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Default Extension="jpeg" ContentType="image/jpeg"/>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rPr>
      </w:pPr>
    </w:p>
    <w:p>
      <w:pPr>
        <w:pStyle w:val="BodyText"/>
        <w:spacing w:before="88"/>
        <w:rPr>
          <w:rFonts w:ascii="Times New Roman"/>
        </w:rPr>
      </w:pPr>
    </w:p>
    <w:p>
      <w:pPr>
        <w:spacing w:line="360" w:lineRule="auto" w:before="0"/>
        <w:ind w:left="732" w:right="734" w:firstLine="0"/>
        <w:jc w:val="center"/>
        <w:rPr>
          <w:b/>
          <w:sz w:val="24"/>
        </w:rPr>
      </w:pPr>
      <w:r>
        <w:rPr>
          <w:b/>
          <w:sz w:val="24"/>
        </w:rPr>
        <w:t>PENGARUH</w:t>
      </w:r>
      <w:r>
        <w:rPr>
          <w:b/>
          <w:spacing w:val="-8"/>
          <w:sz w:val="24"/>
        </w:rPr>
        <w:t> </w:t>
      </w:r>
      <w:r>
        <w:rPr>
          <w:b/>
          <w:sz w:val="24"/>
        </w:rPr>
        <w:t>KARAKTERISTIK</w:t>
      </w:r>
      <w:r>
        <w:rPr>
          <w:b/>
          <w:spacing w:val="-8"/>
          <w:sz w:val="24"/>
        </w:rPr>
        <w:t> </w:t>
      </w:r>
      <w:r>
        <w:rPr>
          <w:b/>
          <w:sz w:val="24"/>
        </w:rPr>
        <w:t>CEO,</w:t>
      </w:r>
      <w:r>
        <w:rPr>
          <w:b/>
          <w:spacing w:val="-8"/>
          <w:sz w:val="24"/>
        </w:rPr>
        <w:t> </w:t>
      </w:r>
      <w:r>
        <w:rPr>
          <w:b/>
          <w:sz w:val="24"/>
        </w:rPr>
        <w:t>KINERJA</w:t>
      </w:r>
      <w:r>
        <w:rPr>
          <w:b/>
          <w:spacing w:val="-8"/>
          <w:sz w:val="24"/>
        </w:rPr>
        <w:t> </w:t>
      </w:r>
      <w:r>
        <w:rPr>
          <w:b/>
          <w:sz w:val="24"/>
        </w:rPr>
        <w:t>KEUANGAN,</w:t>
      </w:r>
      <w:r>
        <w:rPr>
          <w:b/>
          <w:spacing w:val="-8"/>
          <w:sz w:val="24"/>
        </w:rPr>
        <w:t> </w:t>
      </w:r>
      <w:r>
        <w:rPr>
          <w:b/>
          <w:sz w:val="24"/>
        </w:rPr>
        <w:t>DAN </w:t>
      </w:r>
      <w:r>
        <w:rPr>
          <w:b/>
          <w:i/>
          <w:sz w:val="24"/>
        </w:rPr>
        <w:t>POLITICAL</w:t>
      </w:r>
      <w:r>
        <w:rPr>
          <w:b/>
          <w:i/>
          <w:spacing w:val="-3"/>
          <w:sz w:val="24"/>
        </w:rPr>
        <w:t> </w:t>
      </w:r>
      <w:r>
        <w:rPr>
          <w:b/>
          <w:i/>
          <w:sz w:val="24"/>
        </w:rPr>
        <w:t>COST</w:t>
      </w:r>
      <w:r>
        <w:rPr>
          <w:b/>
          <w:i/>
          <w:spacing w:val="-2"/>
          <w:sz w:val="24"/>
        </w:rPr>
        <w:t> </w:t>
      </w:r>
      <w:r>
        <w:rPr>
          <w:b/>
          <w:sz w:val="24"/>
        </w:rPr>
        <w:t>TERHADAP</w:t>
      </w:r>
      <w:r>
        <w:rPr>
          <w:b/>
          <w:spacing w:val="-2"/>
          <w:sz w:val="24"/>
        </w:rPr>
        <w:t> </w:t>
      </w:r>
      <w:r>
        <w:rPr>
          <w:b/>
          <w:i/>
          <w:sz w:val="24"/>
        </w:rPr>
        <w:t>ENVIRONMENTAL,</w:t>
      </w:r>
      <w:r>
        <w:rPr>
          <w:b/>
          <w:i/>
          <w:spacing w:val="-3"/>
          <w:sz w:val="24"/>
        </w:rPr>
        <w:t> </w:t>
      </w:r>
      <w:r>
        <w:rPr>
          <w:b/>
          <w:i/>
          <w:sz w:val="24"/>
        </w:rPr>
        <w:t>SOCIAL,</w:t>
      </w:r>
      <w:r>
        <w:rPr>
          <w:b/>
          <w:i/>
          <w:spacing w:val="-3"/>
          <w:sz w:val="24"/>
        </w:rPr>
        <w:t> </w:t>
      </w:r>
      <w:r>
        <w:rPr>
          <w:b/>
          <w:i/>
          <w:sz w:val="24"/>
        </w:rPr>
        <w:t>AND GOVERNANCE </w:t>
      </w:r>
      <w:r>
        <w:rPr>
          <w:b/>
          <w:sz w:val="24"/>
        </w:rPr>
        <w:t>(ESG) </w:t>
      </w:r>
      <w:r>
        <w:rPr>
          <w:b/>
          <w:i/>
          <w:sz w:val="24"/>
        </w:rPr>
        <w:t>DISCLOSURE </w:t>
      </w:r>
      <w:r>
        <w:rPr>
          <w:b/>
          <w:sz w:val="24"/>
        </w:rPr>
        <w:t>DENGAN UKURAN PERUSAHAAN SEBAGAI VARIABEL MODERASI</w:t>
      </w:r>
    </w:p>
    <w:p>
      <w:pPr>
        <w:pStyle w:val="Heading2"/>
        <w:spacing w:line="360" w:lineRule="auto" w:before="160"/>
        <w:ind w:left="670" w:right="672" w:firstLine="0"/>
        <w:jc w:val="center"/>
      </w:pPr>
      <w:r>
        <w:rPr/>
        <w:t>(Studi</w:t>
      </w:r>
      <w:r>
        <w:rPr>
          <w:spacing w:val="-5"/>
        </w:rPr>
        <w:t> </w:t>
      </w:r>
      <w:r>
        <w:rPr/>
        <w:t>Empiris</w:t>
      </w:r>
      <w:r>
        <w:rPr>
          <w:spacing w:val="-5"/>
        </w:rPr>
        <w:t> </w:t>
      </w:r>
      <w:r>
        <w:rPr/>
        <w:t>Pada</w:t>
      </w:r>
      <w:r>
        <w:rPr>
          <w:spacing w:val="-5"/>
        </w:rPr>
        <w:t> </w:t>
      </w:r>
      <w:r>
        <w:rPr/>
        <w:t>Perusahaan</w:t>
      </w:r>
      <w:r>
        <w:rPr>
          <w:spacing w:val="-5"/>
        </w:rPr>
        <w:t> </w:t>
      </w:r>
      <w:r>
        <w:rPr/>
        <w:t>Sektor</w:t>
      </w:r>
      <w:r>
        <w:rPr>
          <w:spacing w:val="-5"/>
        </w:rPr>
        <w:t> </w:t>
      </w:r>
      <w:r>
        <w:rPr/>
        <w:t>Mining</w:t>
      </w:r>
      <w:r>
        <w:rPr>
          <w:spacing w:val="-5"/>
        </w:rPr>
        <w:t> </w:t>
      </w:r>
      <w:r>
        <w:rPr/>
        <w:t>Di</w:t>
      </w:r>
      <w:r>
        <w:rPr>
          <w:spacing w:val="-5"/>
        </w:rPr>
        <w:t> </w:t>
      </w:r>
      <w:r>
        <w:rPr/>
        <w:t>Bursa</w:t>
      </w:r>
      <w:r>
        <w:rPr>
          <w:spacing w:val="-5"/>
        </w:rPr>
        <w:t> </w:t>
      </w:r>
      <w:r>
        <w:rPr/>
        <w:t>Efek Indonesia (BEI) Tahun 2021-2023)</w:t>
      </w:r>
    </w:p>
    <w:p>
      <w:pPr>
        <w:pStyle w:val="BodyText"/>
        <w:rPr>
          <w:b/>
        </w:rPr>
      </w:pPr>
    </w:p>
    <w:p>
      <w:pPr>
        <w:pStyle w:val="BodyText"/>
        <w:spacing w:before="66"/>
        <w:rPr>
          <w:b/>
        </w:rPr>
      </w:pPr>
    </w:p>
    <w:p>
      <w:pPr>
        <w:spacing w:before="0"/>
        <w:ind w:left="732" w:right="734" w:firstLine="0"/>
        <w:jc w:val="center"/>
        <w:rPr>
          <w:b/>
          <w:sz w:val="24"/>
        </w:rPr>
      </w:pPr>
      <w:r>
        <w:rPr>
          <w:b/>
          <w:spacing w:val="-2"/>
          <w:sz w:val="24"/>
        </w:rPr>
        <w:t>Skripsi</w:t>
      </w:r>
    </w:p>
    <w:p>
      <w:pPr>
        <w:pStyle w:val="BodyText"/>
        <w:rPr>
          <w:b/>
        </w:rPr>
      </w:pPr>
    </w:p>
    <w:p>
      <w:pPr>
        <w:pStyle w:val="BodyText"/>
        <w:rPr>
          <w:b/>
        </w:rPr>
      </w:pPr>
    </w:p>
    <w:p>
      <w:pPr>
        <w:pStyle w:val="BodyText"/>
        <w:spacing w:before="44"/>
        <w:rPr>
          <w:b/>
        </w:rPr>
      </w:pPr>
    </w:p>
    <w:p>
      <w:pPr>
        <w:pStyle w:val="BodyText"/>
        <w:ind w:left="732" w:right="734"/>
        <w:jc w:val="center"/>
      </w:pPr>
      <w:r>
        <w:rPr>
          <w:spacing w:val="-2"/>
        </w:rPr>
        <w:t>Oleh:</w:t>
      </w:r>
    </w:p>
    <w:p>
      <w:pPr>
        <w:pStyle w:val="BodyText"/>
        <w:spacing w:before="22"/>
      </w:pPr>
    </w:p>
    <w:p>
      <w:pPr>
        <w:pStyle w:val="Heading2"/>
        <w:spacing w:line="499" w:lineRule="auto"/>
        <w:ind w:left="3069" w:right="3070" w:firstLine="0"/>
        <w:jc w:val="center"/>
      </w:pPr>
      <w:r>
        <w:rPr/>
        <w:t>Usi</w:t>
      </w:r>
      <w:r>
        <w:rPr>
          <w:spacing w:val="-12"/>
        </w:rPr>
        <w:t> </w:t>
      </w:r>
      <w:r>
        <w:rPr/>
        <w:t>Nada</w:t>
      </w:r>
      <w:r>
        <w:rPr>
          <w:spacing w:val="-12"/>
        </w:rPr>
        <w:t> </w:t>
      </w:r>
      <w:r>
        <w:rPr/>
        <w:t>Sausan</w:t>
      </w:r>
      <w:r>
        <w:rPr>
          <w:spacing w:val="-12"/>
        </w:rPr>
        <w:t> </w:t>
      </w:r>
      <w:r>
        <w:rPr/>
        <w:t>Nasori NPM : 4320600166</w:t>
      </w:r>
    </w:p>
    <w:p>
      <w:pPr>
        <w:pStyle w:val="BodyText"/>
        <w:rPr>
          <w:b/>
        </w:rPr>
      </w:pPr>
    </w:p>
    <w:p>
      <w:pPr>
        <w:pStyle w:val="BodyText"/>
        <w:spacing w:before="22"/>
        <w:rPr>
          <w:b/>
        </w:rPr>
      </w:pPr>
    </w:p>
    <w:p>
      <w:pPr>
        <w:pStyle w:val="BodyText"/>
        <w:ind w:left="732" w:right="734"/>
        <w:jc w:val="center"/>
      </w:pPr>
      <w:r>
        <w:rPr/>
        <w:t>Diajukan</w:t>
      </w:r>
      <w:r>
        <w:rPr>
          <w:spacing w:val="-7"/>
        </w:rPr>
        <w:t> </w:t>
      </w:r>
      <w:r>
        <w:rPr>
          <w:spacing w:val="-2"/>
        </w:rPr>
        <w:t>Kepada:</w:t>
      </w:r>
    </w:p>
    <w:p>
      <w:pPr>
        <w:pStyle w:val="BodyText"/>
      </w:pPr>
    </w:p>
    <w:p>
      <w:pPr>
        <w:pStyle w:val="BodyText"/>
      </w:pPr>
    </w:p>
    <w:p>
      <w:pPr>
        <w:pStyle w:val="BodyText"/>
        <w:spacing w:before="44"/>
      </w:pPr>
    </w:p>
    <w:p>
      <w:pPr>
        <w:pStyle w:val="Heading2"/>
        <w:spacing w:line="379" w:lineRule="auto"/>
        <w:ind w:left="2786" w:right="2786" w:firstLine="0"/>
        <w:jc w:val="center"/>
      </w:pPr>
      <w:r>
        <w:rPr/>
        <w:t>Program Studi Akuntansi Fakultas</w:t>
      </w:r>
      <w:r>
        <w:rPr>
          <w:spacing w:val="-12"/>
        </w:rPr>
        <w:t> </w:t>
      </w:r>
      <w:r>
        <w:rPr/>
        <w:t>Ekonomi</w:t>
      </w:r>
      <w:r>
        <w:rPr>
          <w:spacing w:val="-13"/>
        </w:rPr>
        <w:t> </w:t>
      </w:r>
      <w:r>
        <w:rPr/>
        <w:t>Dan</w:t>
      </w:r>
      <w:r>
        <w:rPr>
          <w:spacing w:val="-12"/>
        </w:rPr>
        <w:t> </w:t>
      </w:r>
      <w:r>
        <w:rPr/>
        <w:t>Bisnis Universitas Pancasakti Tegal </w:t>
      </w:r>
      <w:r>
        <w:rPr>
          <w:spacing w:val="-4"/>
        </w:rPr>
        <w:t>2024</w:t>
      </w:r>
    </w:p>
    <w:p>
      <w:pPr>
        <w:pStyle w:val="Heading2"/>
        <w:spacing w:after="0" w:line="379" w:lineRule="auto"/>
        <w:jc w:val="center"/>
        <w:sectPr>
          <w:headerReference w:type="default" r:id="rId5"/>
          <w:type w:val="continuous"/>
          <w:pgSz w:w="11910" w:h="16840"/>
          <w:pgMar w:header="2268" w:footer="0" w:top="4540" w:bottom="280" w:left="1559" w:right="992"/>
          <w:pgNumType w:start="1"/>
        </w:sectPr>
      </w:pPr>
    </w:p>
    <w:p>
      <w:pPr>
        <w:pStyle w:val="BodyText"/>
        <w:rPr>
          <w:b/>
        </w:rPr>
      </w:pPr>
    </w:p>
    <w:p>
      <w:pPr>
        <w:pStyle w:val="BodyText"/>
        <w:spacing w:before="66"/>
        <w:rPr>
          <w:b/>
        </w:rPr>
      </w:pPr>
    </w:p>
    <w:p>
      <w:pPr>
        <w:spacing w:line="360" w:lineRule="auto" w:before="1"/>
        <w:ind w:left="732" w:right="734" w:firstLine="0"/>
        <w:jc w:val="center"/>
        <w:rPr>
          <w:b/>
          <w:sz w:val="24"/>
        </w:rPr>
      </w:pPr>
      <w:r>
        <w:rPr>
          <w:b/>
          <w:sz w:val="24"/>
        </w:rPr>
        <w:t>PENGARUH</w:t>
      </w:r>
      <w:r>
        <w:rPr>
          <w:b/>
          <w:spacing w:val="-8"/>
          <w:sz w:val="24"/>
        </w:rPr>
        <w:t> </w:t>
      </w:r>
      <w:r>
        <w:rPr>
          <w:b/>
          <w:sz w:val="24"/>
        </w:rPr>
        <w:t>KARAKTERISTIK</w:t>
      </w:r>
      <w:r>
        <w:rPr>
          <w:b/>
          <w:spacing w:val="-8"/>
          <w:sz w:val="24"/>
        </w:rPr>
        <w:t> </w:t>
      </w:r>
      <w:r>
        <w:rPr>
          <w:b/>
          <w:sz w:val="24"/>
        </w:rPr>
        <w:t>CEO,</w:t>
      </w:r>
      <w:r>
        <w:rPr>
          <w:b/>
          <w:spacing w:val="-8"/>
          <w:sz w:val="24"/>
        </w:rPr>
        <w:t> </w:t>
      </w:r>
      <w:r>
        <w:rPr>
          <w:b/>
          <w:sz w:val="24"/>
        </w:rPr>
        <w:t>KINERJA</w:t>
      </w:r>
      <w:r>
        <w:rPr>
          <w:b/>
          <w:spacing w:val="-8"/>
          <w:sz w:val="24"/>
        </w:rPr>
        <w:t> </w:t>
      </w:r>
      <w:r>
        <w:rPr>
          <w:b/>
          <w:sz w:val="24"/>
        </w:rPr>
        <w:t>KEUANGAN,</w:t>
      </w:r>
      <w:r>
        <w:rPr>
          <w:b/>
          <w:spacing w:val="-8"/>
          <w:sz w:val="24"/>
        </w:rPr>
        <w:t> </w:t>
      </w:r>
      <w:r>
        <w:rPr>
          <w:b/>
          <w:sz w:val="24"/>
        </w:rPr>
        <w:t>DAN </w:t>
      </w:r>
      <w:r>
        <w:rPr>
          <w:b/>
          <w:i/>
          <w:sz w:val="24"/>
        </w:rPr>
        <w:t>POLITICAL</w:t>
      </w:r>
      <w:r>
        <w:rPr>
          <w:b/>
          <w:i/>
          <w:spacing w:val="-3"/>
          <w:sz w:val="24"/>
        </w:rPr>
        <w:t> </w:t>
      </w:r>
      <w:r>
        <w:rPr>
          <w:b/>
          <w:i/>
          <w:sz w:val="24"/>
        </w:rPr>
        <w:t>COST</w:t>
      </w:r>
      <w:r>
        <w:rPr>
          <w:b/>
          <w:i/>
          <w:spacing w:val="-2"/>
          <w:sz w:val="24"/>
        </w:rPr>
        <w:t> </w:t>
      </w:r>
      <w:r>
        <w:rPr>
          <w:b/>
          <w:sz w:val="24"/>
        </w:rPr>
        <w:t>TERHADAP</w:t>
      </w:r>
      <w:r>
        <w:rPr>
          <w:b/>
          <w:spacing w:val="-2"/>
          <w:sz w:val="24"/>
        </w:rPr>
        <w:t> </w:t>
      </w:r>
      <w:r>
        <w:rPr>
          <w:b/>
          <w:i/>
          <w:sz w:val="24"/>
        </w:rPr>
        <w:t>ENVIRONMENTAL,</w:t>
      </w:r>
      <w:r>
        <w:rPr>
          <w:b/>
          <w:i/>
          <w:spacing w:val="-3"/>
          <w:sz w:val="24"/>
        </w:rPr>
        <w:t> </w:t>
      </w:r>
      <w:r>
        <w:rPr>
          <w:b/>
          <w:i/>
          <w:sz w:val="24"/>
        </w:rPr>
        <w:t>SOCIAL,</w:t>
      </w:r>
      <w:r>
        <w:rPr>
          <w:b/>
          <w:i/>
          <w:spacing w:val="-3"/>
          <w:sz w:val="24"/>
        </w:rPr>
        <w:t> </w:t>
      </w:r>
      <w:r>
        <w:rPr>
          <w:b/>
          <w:i/>
          <w:sz w:val="24"/>
        </w:rPr>
        <w:t>AND GOVERNANCE </w:t>
      </w:r>
      <w:r>
        <w:rPr>
          <w:b/>
          <w:sz w:val="24"/>
        </w:rPr>
        <w:t>(ESG) </w:t>
      </w:r>
      <w:r>
        <w:rPr>
          <w:b/>
          <w:i/>
          <w:sz w:val="24"/>
        </w:rPr>
        <w:t>DISCLOSURE </w:t>
      </w:r>
      <w:r>
        <w:rPr>
          <w:b/>
          <w:sz w:val="24"/>
        </w:rPr>
        <w:t>DENGAN UKURAN PERUSAHAAN SEBAGAI VARIABEL MODERASI</w:t>
      </w:r>
    </w:p>
    <w:p>
      <w:pPr>
        <w:pStyle w:val="Heading2"/>
        <w:spacing w:line="360" w:lineRule="auto" w:before="160"/>
        <w:ind w:left="670" w:right="672" w:firstLine="0"/>
        <w:jc w:val="center"/>
      </w:pPr>
      <w:r>
        <w:rPr/>
        <w:t>(Studi</w:t>
      </w:r>
      <w:r>
        <w:rPr>
          <w:spacing w:val="-5"/>
        </w:rPr>
        <w:t> </w:t>
      </w:r>
      <w:r>
        <w:rPr/>
        <w:t>Empiris</w:t>
      </w:r>
      <w:r>
        <w:rPr>
          <w:spacing w:val="-5"/>
        </w:rPr>
        <w:t> </w:t>
      </w:r>
      <w:r>
        <w:rPr/>
        <w:t>Pada</w:t>
      </w:r>
      <w:r>
        <w:rPr>
          <w:spacing w:val="-5"/>
        </w:rPr>
        <w:t> </w:t>
      </w:r>
      <w:r>
        <w:rPr/>
        <w:t>Perusahaan</w:t>
      </w:r>
      <w:r>
        <w:rPr>
          <w:spacing w:val="-5"/>
        </w:rPr>
        <w:t> </w:t>
      </w:r>
      <w:r>
        <w:rPr/>
        <w:t>Sektor</w:t>
      </w:r>
      <w:r>
        <w:rPr>
          <w:spacing w:val="-5"/>
        </w:rPr>
        <w:t> </w:t>
      </w:r>
      <w:r>
        <w:rPr/>
        <w:t>Mining</w:t>
      </w:r>
      <w:r>
        <w:rPr>
          <w:spacing w:val="-5"/>
        </w:rPr>
        <w:t> </w:t>
      </w:r>
      <w:r>
        <w:rPr/>
        <w:t>Di</w:t>
      </w:r>
      <w:r>
        <w:rPr>
          <w:spacing w:val="-5"/>
        </w:rPr>
        <w:t> </w:t>
      </w:r>
      <w:r>
        <w:rPr/>
        <w:t>Bursa</w:t>
      </w:r>
      <w:r>
        <w:rPr>
          <w:spacing w:val="-5"/>
        </w:rPr>
        <w:t> </w:t>
      </w:r>
      <w:r>
        <w:rPr/>
        <w:t>Efek Indonesia (BEI) Tahun 2021-2023)</w:t>
      </w:r>
    </w:p>
    <w:p>
      <w:pPr>
        <w:spacing w:before="160"/>
        <w:ind w:left="732" w:right="734" w:firstLine="0"/>
        <w:jc w:val="center"/>
        <w:rPr>
          <w:b/>
          <w:sz w:val="24"/>
        </w:rPr>
      </w:pPr>
      <w:r>
        <w:rPr>
          <w:b/>
          <w:spacing w:val="-2"/>
          <w:sz w:val="24"/>
        </w:rPr>
        <w:t>Skripsi</w:t>
      </w:r>
    </w:p>
    <w:p>
      <w:pPr>
        <w:pStyle w:val="BodyText"/>
        <w:spacing w:before="21"/>
        <w:rPr>
          <w:b/>
        </w:rPr>
      </w:pPr>
    </w:p>
    <w:p>
      <w:pPr>
        <w:pStyle w:val="BodyText"/>
        <w:spacing w:line="360" w:lineRule="auto" w:before="1"/>
        <w:ind w:left="729" w:right="734"/>
        <w:jc w:val="center"/>
        <w:rPr>
          <w:rFonts w:ascii="Times New Roman"/>
        </w:rPr>
      </w:pPr>
      <w:r>
        <w:rPr>
          <w:rFonts w:ascii="Times New Roman"/>
        </w:rPr>
        <w:t>Diajukan</w:t>
      </w:r>
      <w:r>
        <w:rPr>
          <w:rFonts w:ascii="Times New Roman"/>
          <w:spacing w:val="-6"/>
        </w:rPr>
        <w:t> </w:t>
      </w:r>
      <w:r>
        <w:rPr>
          <w:rFonts w:ascii="Times New Roman"/>
        </w:rPr>
        <w:t>Untuk</w:t>
      </w:r>
      <w:r>
        <w:rPr>
          <w:rFonts w:ascii="Times New Roman"/>
          <w:spacing w:val="-6"/>
        </w:rPr>
        <w:t> </w:t>
      </w:r>
      <w:r>
        <w:rPr>
          <w:rFonts w:ascii="Times New Roman"/>
        </w:rPr>
        <w:t>Memenuhi</w:t>
      </w:r>
      <w:r>
        <w:rPr>
          <w:rFonts w:ascii="Times New Roman"/>
          <w:spacing w:val="-6"/>
        </w:rPr>
        <w:t> </w:t>
      </w:r>
      <w:r>
        <w:rPr>
          <w:rFonts w:ascii="Times New Roman"/>
        </w:rPr>
        <w:t>Persyaratan</w:t>
      </w:r>
      <w:r>
        <w:rPr>
          <w:rFonts w:ascii="Times New Roman"/>
          <w:spacing w:val="-6"/>
        </w:rPr>
        <w:t> </w:t>
      </w:r>
      <w:r>
        <w:rPr>
          <w:rFonts w:ascii="Times New Roman"/>
        </w:rPr>
        <w:t>Memperoleh</w:t>
      </w:r>
      <w:r>
        <w:rPr>
          <w:rFonts w:ascii="Times New Roman"/>
          <w:spacing w:val="-6"/>
        </w:rPr>
        <w:t> </w:t>
      </w:r>
      <w:r>
        <w:rPr>
          <w:rFonts w:ascii="Times New Roman"/>
        </w:rPr>
        <w:t>Gelar</w:t>
      </w:r>
      <w:r>
        <w:rPr>
          <w:rFonts w:ascii="Times New Roman"/>
          <w:spacing w:val="-6"/>
        </w:rPr>
        <w:t> </w:t>
      </w:r>
      <w:r>
        <w:rPr>
          <w:rFonts w:ascii="Times New Roman"/>
        </w:rPr>
        <w:t>Sarjana</w:t>
      </w:r>
      <w:r>
        <w:rPr>
          <w:rFonts w:ascii="Times New Roman"/>
          <w:spacing w:val="-6"/>
        </w:rPr>
        <w:t> </w:t>
      </w:r>
      <w:r>
        <w:rPr>
          <w:rFonts w:ascii="Times New Roman"/>
        </w:rPr>
        <w:t>Akuntansi pada Fakultas Ekonomi dan Bisnis Universitas Pancasakti Tegal</w:t>
      </w:r>
    </w:p>
    <w:p>
      <w:pPr>
        <w:pStyle w:val="BodyText"/>
        <w:rPr>
          <w:rFonts w:ascii="Times New Roman"/>
        </w:rPr>
      </w:pPr>
    </w:p>
    <w:p>
      <w:pPr>
        <w:pStyle w:val="BodyText"/>
        <w:spacing w:before="21"/>
        <w:rPr>
          <w:rFonts w:ascii="Times New Roman"/>
        </w:rPr>
      </w:pPr>
    </w:p>
    <w:p>
      <w:pPr>
        <w:pStyle w:val="BodyText"/>
        <w:spacing w:before="1"/>
        <w:ind w:left="732" w:right="734"/>
        <w:jc w:val="center"/>
      </w:pPr>
      <w:r>
        <w:rPr>
          <w:spacing w:val="-2"/>
        </w:rPr>
        <w:t>Oleh:</w:t>
      </w:r>
    </w:p>
    <w:p>
      <w:pPr>
        <w:pStyle w:val="BodyText"/>
        <w:spacing w:before="21"/>
      </w:pPr>
    </w:p>
    <w:p>
      <w:pPr>
        <w:pStyle w:val="Heading2"/>
        <w:spacing w:line="499" w:lineRule="auto" w:before="1"/>
        <w:ind w:left="3069" w:right="3070" w:firstLine="0"/>
        <w:jc w:val="center"/>
      </w:pPr>
      <w:r>
        <w:rPr/>
        <w:t>Usi</w:t>
      </w:r>
      <w:r>
        <w:rPr>
          <w:spacing w:val="-12"/>
        </w:rPr>
        <w:t> </w:t>
      </w:r>
      <w:r>
        <w:rPr/>
        <w:t>Nada</w:t>
      </w:r>
      <w:r>
        <w:rPr>
          <w:spacing w:val="-12"/>
        </w:rPr>
        <w:t> </w:t>
      </w:r>
      <w:r>
        <w:rPr/>
        <w:t>Sausan</w:t>
      </w:r>
      <w:r>
        <w:rPr>
          <w:spacing w:val="-12"/>
        </w:rPr>
        <w:t> </w:t>
      </w:r>
      <w:r>
        <w:rPr/>
        <w:t>Nasori NPM: 4320600166</w:t>
      </w:r>
    </w:p>
    <w:p>
      <w:pPr>
        <w:pStyle w:val="BodyText"/>
        <w:spacing w:before="181"/>
        <w:rPr>
          <w:b/>
        </w:rPr>
      </w:pPr>
    </w:p>
    <w:p>
      <w:pPr>
        <w:pStyle w:val="BodyText"/>
        <w:ind w:left="732" w:right="734"/>
        <w:jc w:val="center"/>
      </w:pPr>
      <w:r>
        <w:rPr/>
        <w:t>Diajukan</w:t>
      </w:r>
      <w:r>
        <w:rPr>
          <w:spacing w:val="-7"/>
        </w:rPr>
        <w:t> </w:t>
      </w:r>
      <w:r>
        <w:rPr>
          <w:spacing w:val="-2"/>
        </w:rPr>
        <w:t>Kepada:</w:t>
      </w:r>
    </w:p>
    <w:p>
      <w:pPr>
        <w:pStyle w:val="BodyText"/>
      </w:pPr>
    </w:p>
    <w:p>
      <w:pPr>
        <w:pStyle w:val="BodyText"/>
      </w:pPr>
    </w:p>
    <w:p>
      <w:pPr>
        <w:pStyle w:val="BodyText"/>
        <w:spacing w:before="44"/>
      </w:pPr>
    </w:p>
    <w:p>
      <w:pPr>
        <w:pStyle w:val="Heading2"/>
        <w:spacing w:line="379" w:lineRule="auto"/>
        <w:ind w:left="2786" w:right="2786" w:firstLine="0"/>
        <w:jc w:val="center"/>
      </w:pPr>
      <w:r>
        <w:rPr/>
        <w:t>Program Studi Akuntansi Fakultas</w:t>
      </w:r>
      <w:r>
        <w:rPr>
          <w:spacing w:val="-12"/>
        </w:rPr>
        <w:t> </w:t>
      </w:r>
      <w:r>
        <w:rPr/>
        <w:t>Ekonomi</w:t>
      </w:r>
      <w:r>
        <w:rPr>
          <w:spacing w:val="-13"/>
        </w:rPr>
        <w:t> </w:t>
      </w:r>
      <w:r>
        <w:rPr/>
        <w:t>Dan</w:t>
      </w:r>
      <w:r>
        <w:rPr>
          <w:spacing w:val="-12"/>
        </w:rPr>
        <w:t> </w:t>
      </w:r>
      <w:r>
        <w:rPr/>
        <w:t>Bisnis Universitas Pancasakti Tegal </w:t>
      </w:r>
      <w:r>
        <w:rPr>
          <w:spacing w:val="-4"/>
        </w:rPr>
        <w:t>2024</w:t>
      </w:r>
    </w:p>
    <w:p>
      <w:pPr>
        <w:pStyle w:val="BodyText"/>
        <w:rPr>
          <w:b/>
        </w:rPr>
      </w:pPr>
    </w:p>
    <w:p>
      <w:pPr>
        <w:pStyle w:val="BodyText"/>
        <w:spacing w:before="16"/>
        <w:rPr>
          <w:b/>
        </w:rPr>
      </w:pPr>
    </w:p>
    <w:p>
      <w:pPr>
        <w:pStyle w:val="BodyText"/>
        <w:ind w:left="733" w:right="734"/>
        <w:jc w:val="center"/>
        <w:rPr>
          <w:rFonts w:ascii="Times New Roman"/>
        </w:rPr>
      </w:pPr>
      <w:r>
        <w:rPr>
          <w:rFonts w:ascii="Times New Roman"/>
          <w:spacing w:val="-10"/>
        </w:rPr>
        <w:t>i</w:t>
      </w:r>
    </w:p>
    <w:p>
      <w:pPr>
        <w:pStyle w:val="BodyText"/>
        <w:spacing w:after="0"/>
        <w:jc w:val="center"/>
        <w:rPr>
          <w:rFonts w:ascii="Times New Roman"/>
        </w:rPr>
        <w:sectPr>
          <w:pgSz w:w="11910" w:h="16840"/>
          <w:pgMar w:header="2268" w:footer="0" w:top="4540" w:bottom="280" w:left="1559" w:right="992"/>
        </w:sectPr>
      </w:pPr>
    </w:p>
    <w:p>
      <w:pPr>
        <w:pStyle w:val="BodyText"/>
        <w:rPr>
          <w:rFonts w:ascii="Times New Roman"/>
        </w:rPr>
      </w:pPr>
      <w:r>
        <w:rPr>
          <w:rFonts w:ascii="Times New Roman"/>
        </w:rPr>
        <w:drawing>
          <wp:anchor distT="0" distB="0" distL="0" distR="0" allowOverlap="1" layoutInCell="1" locked="0" behindDoc="0" simplePos="0" relativeHeight="15728640">
            <wp:simplePos x="0" y="0"/>
            <wp:positionH relativeFrom="page">
              <wp:posOffset>1440180</wp:posOffset>
            </wp:positionH>
            <wp:positionV relativeFrom="page">
              <wp:posOffset>1440180</wp:posOffset>
            </wp:positionV>
            <wp:extent cx="5524500" cy="9213850"/>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7" cstate="print"/>
                    <a:stretch>
                      <a:fillRect/>
                    </a:stretch>
                  </pic:blipFill>
                  <pic:spPr>
                    <a:xfrm>
                      <a:off x="0" y="0"/>
                      <a:ext cx="5524500" cy="9213850"/>
                    </a:xfrm>
                    <a:prstGeom prst="rect">
                      <a:avLst/>
                    </a:prstGeom>
                  </pic:spPr>
                </pic:pic>
              </a:graphicData>
            </a:graphic>
          </wp:anchor>
        </w:drawing>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24"/>
        <w:rPr>
          <w:rFonts w:ascii="Times New Roman"/>
        </w:rPr>
      </w:pPr>
    </w:p>
    <w:p>
      <w:pPr>
        <w:pStyle w:val="BodyText"/>
        <w:ind w:left="733" w:right="734"/>
        <w:jc w:val="center"/>
        <w:rPr>
          <w:rFonts w:ascii="Times New Roman"/>
        </w:rPr>
      </w:pPr>
      <w:r>
        <w:rPr>
          <w:rFonts w:ascii="Times New Roman"/>
          <w:spacing w:val="-5"/>
        </w:rPr>
        <w:t>ii</w:t>
      </w:r>
    </w:p>
    <w:p>
      <w:pPr>
        <w:pStyle w:val="BodyText"/>
        <w:spacing w:after="0"/>
        <w:jc w:val="center"/>
        <w:rPr>
          <w:rFonts w:ascii="Times New Roman"/>
        </w:rPr>
        <w:sectPr>
          <w:headerReference w:type="default" r:id="rId6"/>
          <w:pgSz w:w="11910" w:h="16840"/>
          <w:pgMar w:header="0" w:footer="0" w:top="1920" w:bottom="0" w:left="1559" w:right="992"/>
        </w:sectPr>
      </w:pPr>
    </w:p>
    <w:p>
      <w:pPr>
        <w:pStyle w:val="BodyText"/>
        <w:rPr>
          <w:rFonts w:ascii="Times New Roman"/>
        </w:rPr>
      </w:pPr>
      <w:r>
        <w:rPr>
          <w:rFonts w:ascii="Times New Roman"/>
        </w:rPr>
        <w:drawing>
          <wp:anchor distT="0" distB="0" distL="0" distR="0" allowOverlap="1" layoutInCell="1" locked="0" behindDoc="0" simplePos="0" relativeHeight="15729152">
            <wp:simplePos x="0" y="0"/>
            <wp:positionH relativeFrom="page">
              <wp:posOffset>1440180</wp:posOffset>
            </wp:positionH>
            <wp:positionV relativeFrom="page">
              <wp:posOffset>1440180</wp:posOffset>
            </wp:positionV>
            <wp:extent cx="6089650" cy="9226550"/>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9" cstate="print"/>
                    <a:stretch>
                      <a:fillRect/>
                    </a:stretch>
                  </pic:blipFill>
                  <pic:spPr>
                    <a:xfrm>
                      <a:off x="0" y="0"/>
                      <a:ext cx="6089650" cy="9226550"/>
                    </a:xfrm>
                    <a:prstGeom prst="rect">
                      <a:avLst/>
                    </a:prstGeom>
                  </pic:spPr>
                </pic:pic>
              </a:graphicData>
            </a:graphic>
          </wp:anchor>
        </w:drawing>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24"/>
        <w:rPr>
          <w:rFonts w:ascii="Times New Roman"/>
        </w:rPr>
      </w:pPr>
    </w:p>
    <w:p>
      <w:pPr>
        <w:pStyle w:val="BodyText"/>
        <w:ind w:left="733" w:right="734"/>
        <w:jc w:val="center"/>
        <w:rPr>
          <w:rFonts w:ascii="Times New Roman"/>
        </w:rPr>
      </w:pPr>
      <w:r>
        <w:rPr>
          <w:rFonts w:ascii="Times New Roman"/>
          <w:spacing w:val="-5"/>
        </w:rPr>
        <w:t>iii</w:t>
      </w:r>
    </w:p>
    <w:p>
      <w:pPr>
        <w:pStyle w:val="BodyText"/>
        <w:spacing w:after="0"/>
        <w:jc w:val="center"/>
        <w:rPr>
          <w:rFonts w:ascii="Times New Roman"/>
        </w:rPr>
        <w:sectPr>
          <w:headerReference w:type="default" r:id="rId8"/>
          <w:pgSz w:w="11910" w:h="16840"/>
          <w:pgMar w:header="0" w:footer="0" w:top="1920" w:bottom="0" w:left="1559" w:right="992"/>
        </w:sectPr>
      </w:pPr>
    </w:p>
    <w:p>
      <w:pPr>
        <w:pStyle w:val="BodyText"/>
        <w:spacing w:before="54"/>
        <w:rPr>
          <w:rFonts w:ascii="Times New Roman"/>
        </w:rPr>
      </w:pPr>
    </w:p>
    <w:p>
      <w:pPr>
        <w:pStyle w:val="Heading1"/>
        <w:jc w:val="center"/>
        <w:rPr>
          <w:rFonts w:ascii="Times New Roman"/>
        </w:rPr>
      </w:pPr>
      <w:bookmarkStart w:name="_bookmark0" w:id="1"/>
      <w:bookmarkEnd w:id="1"/>
      <w:r>
        <w:rPr>
          <w:b w:val="0"/>
        </w:rPr>
      </w:r>
      <w:r>
        <w:rPr>
          <w:rFonts w:ascii="Times New Roman"/>
        </w:rPr>
        <w:t>MOTTO</w:t>
      </w:r>
      <w:r>
        <w:rPr>
          <w:rFonts w:ascii="Times New Roman"/>
          <w:spacing w:val="-2"/>
        </w:rPr>
        <w:t> </w:t>
      </w:r>
      <w:r>
        <w:rPr>
          <w:rFonts w:ascii="Times New Roman"/>
        </w:rPr>
        <w:t>DAN</w:t>
      </w:r>
      <w:r>
        <w:rPr>
          <w:rFonts w:ascii="Times New Roman"/>
          <w:spacing w:val="-1"/>
        </w:rPr>
        <w:t> </w:t>
      </w:r>
      <w:r>
        <w:rPr>
          <w:rFonts w:ascii="Times New Roman"/>
          <w:spacing w:val="-2"/>
        </w:rPr>
        <w:t>PERSEMBAHAN</w:t>
      </w:r>
    </w:p>
    <w:p>
      <w:pPr>
        <w:pStyle w:val="BodyText"/>
        <w:rPr>
          <w:rFonts w:ascii="Times New Roman"/>
          <w:b/>
        </w:rPr>
      </w:pPr>
    </w:p>
    <w:p>
      <w:pPr>
        <w:pStyle w:val="BodyText"/>
        <w:spacing w:before="173"/>
        <w:rPr>
          <w:rFonts w:ascii="Times New Roman"/>
          <w:b/>
        </w:rPr>
      </w:pPr>
    </w:p>
    <w:p>
      <w:pPr>
        <w:spacing w:before="1"/>
        <w:ind w:left="709" w:right="0" w:firstLine="0"/>
        <w:jc w:val="left"/>
        <w:rPr>
          <w:rFonts w:ascii="Times New Roman"/>
          <w:b/>
          <w:sz w:val="24"/>
        </w:rPr>
      </w:pPr>
      <w:r>
        <w:rPr>
          <w:rFonts w:ascii="Times New Roman"/>
          <w:b/>
          <w:spacing w:val="-2"/>
          <w:sz w:val="24"/>
        </w:rPr>
        <w:t>MOTTO</w:t>
      </w:r>
    </w:p>
    <w:p>
      <w:pPr>
        <w:pStyle w:val="BodyText"/>
        <w:spacing w:before="181"/>
        <w:ind w:left="709"/>
        <w:jc w:val="both"/>
        <w:rPr>
          <w:rFonts w:ascii="Times New Roman" w:hAnsi="Times New Roman"/>
        </w:rPr>
      </w:pPr>
      <w:r>
        <w:rPr>
          <w:rFonts w:ascii="Times New Roman" w:hAnsi="Times New Roman"/>
        </w:rPr>
        <w:t>“Maka</w:t>
      </w:r>
      <w:r>
        <w:rPr>
          <w:rFonts w:ascii="Times New Roman" w:hAnsi="Times New Roman"/>
          <w:spacing w:val="-7"/>
        </w:rPr>
        <w:t> </w:t>
      </w:r>
      <w:r>
        <w:rPr>
          <w:rFonts w:ascii="Times New Roman" w:hAnsi="Times New Roman"/>
        </w:rPr>
        <w:t>sesungguhnya</w:t>
      </w:r>
      <w:r>
        <w:rPr>
          <w:rFonts w:ascii="Times New Roman" w:hAnsi="Times New Roman"/>
          <w:spacing w:val="-4"/>
        </w:rPr>
        <w:t> </w:t>
      </w:r>
      <w:r>
        <w:rPr>
          <w:rFonts w:ascii="Times New Roman" w:hAnsi="Times New Roman"/>
        </w:rPr>
        <w:t>bersama</w:t>
      </w:r>
      <w:r>
        <w:rPr>
          <w:rFonts w:ascii="Times New Roman" w:hAnsi="Times New Roman"/>
          <w:spacing w:val="-4"/>
        </w:rPr>
        <w:t> </w:t>
      </w:r>
      <w:r>
        <w:rPr>
          <w:rFonts w:ascii="Times New Roman" w:hAnsi="Times New Roman"/>
        </w:rPr>
        <w:t>kesulitan</w:t>
      </w:r>
      <w:r>
        <w:rPr>
          <w:rFonts w:ascii="Times New Roman" w:hAnsi="Times New Roman"/>
          <w:spacing w:val="-4"/>
        </w:rPr>
        <w:t> </w:t>
      </w:r>
      <w:r>
        <w:rPr>
          <w:rFonts w:ascii="Times New Roman" w:hAnsi="Times New Roman"/>
        </w:rPr>
        <w:t>ada</w:t>
      </w:r>
      <w:r>
        <w:rPr>
          <w:rFonts w:ascii="Times New Roman" w:hAnsi="Times New Roman"/>
          <w:spacing w:val="-4"/>
        </w:rPr>
        <w:t> </w:t>
      </w:r>
      <w:r>
        <w:rPr>
          <w:rFonts w:ascii="Times New Roman" w:hAnsi="Times New Roman"/>
        </w:rPr>
        <w:t>kemudahan.</w:t>
      </w:r>
      <w:r>
        <w:rPr>
          <w:rFonts w:ascii="Times New Roman" w:hAnsi="Times New Roman"/>
          <w:spacing w:val="-4"/>
        </w:rPr>
        <w:t> </w:t>
      </w:r>
      <w:r>
        <w:rPr>
          <w:rFonts w:ascii="Times New Roman" w:hAnsi="Times New Roman"/>
        </w:rPr>
        <w:t>(Q.S.</w:t>
      </w:r>
      <w:r>
        <w:rPr>
          <w:rFonts w:ascii="Times New Roman" w:hAnsi="Times New Roman"/>
          <w:spacing w:val="-4"/>
        </w:rPr>
        <w:t> </w:t>
      </w:r>
      <w:r>
        <w:rPr>
          <w:rFonts w:ascii="Times New Roman" w:hAnsi="Times New Roman"/>
        </w:rPr>
        <w:t>Al-Insyirah</w:t>
      </w:r>
      <w:r>
        <w:rPr>
          <w:rFonts w:ascii="Times New Roman" w:hAnsi="Times New Roman"/>
          <w:spacing w:val="-4"/>
        </w:rPr>
        <w:t> </w:t>
      </w:r>
      <w:r>
        <w:rPr>
          <w:rFonts w:ascii="Times New Roman" w:hAnsi="Times New Roman"/>
        </w:rPr>
        <w:t>:</w:t>
      </w:r>
      <w:r>
        <w:rPr>
          <w:rFonts w:ascii="Times New Roman" w:hAnsi="Times New Roman"/>
          <w:spacing w:val="-4"/>
        </w:rPr>
        <w:t> </w:t>
      </w:r>
      <w:r>
        <w:rPr>
          <w:rFonts w:ascii="Times New Roman" w:hAnsi="Times New Roman"/>
          <w:spacing w:val="-5"/>
        </w:rPr>
        <w:t>5)”</w:t>
      </w:r>
    </w:p>
    <w:p>
      <w:pPr>
        <w:pStyle w:val="BodyText"/>
        <w:spacing w:line="276" w:lineRule="auto" w:before="202"/>
        <w:ind w:left="709" w:right="712"/>
        <w:jc w:val="both"/>
        <w:rPr>
          <w:rFonts w:ascii="Times New Roman" w:hAnsi="Times New Roman"/>
        </w:rPr>
      </w:pPr>
      <w:r>
        <w:rPr>
          <w:rFonts w:ascii="Times New Roman" w:hAnsi="Times New Roman"/>
        </w:rPr>
        <w:t>“Hidup bukan tentang menunggu badai berlalu, tetapi tentang belajar menari di tengah hujan. Karena setiap kesulitan yang datang mengajarkan kita untuk bertahan, menemukan kekuatan di dalam diri, dan menemukan keindahan dalam setiap perjuangan.”</w:t>
      </w:r>
    </w:p>
    <w:p>
      <w:pPr>
        <w:pStyle w:val="BodyText"/>
        <w:spacing w:line="276" w:lineRule="auto" w:before="160"/>
        <w:ind w:left="709" w:right="713"/>
        <w:jc w:val="both"/>
        <w:rPr>
          <w:rFonts w:ascii="Times New Roman" w:hAnsi="Times New Roman"/>
        </w:rPr>
      </w:pPr>
      <w:r>
        <w:rPr>
          <w:rFonts w:ascii="Times New Roman" w:hAnsi="Times New Roman"/>
        </w:rPr>
        <w:t>“Aturan lima untuk lima. Jika suatu hal tidak akan berguna untukmu dalam lima tahun ke depan, jangan menghabiskan waktu lebih dari lima menit mengurusi hal </w:t>
      </w:r>
      <w:r>
        <w:rPr>
          <w:rFonts w:ascii="Times New Roman" w:hAnsi="Times New Roman"/>
          <w:spacing w:val="-2"/>
        </w:rPr>
        <w:t>itu.”</w:t>
      </w:r>
    </w:p>
    <w:p>
      <w:pPr>
        <w:pStyle w:val="BodyText"/>
        <w:rPr>
          <w:rFonts w:ascii="Times New Roman"/>
        </w:rPr>
      </w:pPr>
    </w:p>
    <w:p>
      <w:pPr>
        <w:pStyle w:val="BodyText"/>
        <w:spacing w:before="85"/>
        <w:rPr>
          <w:rFonts w:ascii="Times New Roman"/>
        </w:rPr>
      </w:pPr>
    </w:p>
    <w:p>
      <w:pPr>
        <w:pStyle w:val="Heading1"/>
        <w:ind w:left="709" w:right="0"/>
        <w:rPr>
          <w:rFonts w:ascii="Times New Roman"/>
        </w:rPr>
      </w:pPr>
      <w:r>
        <w:rPr>
          <w:rFonts w:ascii="Times New Roman"/>
          <w:spacing w:val="-2"/>
        </w:rPr>
        <w:t>PERSEMBAHAN</w:t>
      </w:r>
    </w:p>
    <w:p>
      <w:pPr>
        <w:pStyle w:val="BodyText"/>
        <w:spacing w:before="22"/>
        <w:rPr>
          <w:rFonts w:ascii="Times New Roman"/>
          <w:b/>
        </w:rPr>
      </w:pPr>
    </w:p>
    <w:p>
      <w:pPr>
        <w:pStyle w:val="BodyText"/>
        <w:ind w:left="709"/>
        <w:jc w:val="both"/>
        <w:rPr>
          <w:rFonts w:ascii="Times New Roman"/>
        </w:rPr>
      </w:pPr>
      <w:r>
        <w:rPr>
          <w:rFonts w:ascii="Times New Roman"/>
        </w:rPr>
        <w:t>Bismillaahirrahmaanirrahiim.</w:t>
      </w:r>
      <w:r>
        <w:rPr>
          <w:rFonts w:ascii="Times New Roman"/>
          <w:spacing w:val="-10"/>
        </w:rPr>
        <w:t> </w:t>
      </w:r>
      <w:r>
        <w:rPr>
          <w:rFonts w:ascii="Times New Roman"/>
        </w:rPr>
        <w:t>Penulis</w:t>
      </w:r>
      <w:r>
        <w:rPr>
          <w:rFonts w:ascii="Times New Roman"/>
          <w:spacing w:val="-8"/>
        </w:rPr>
        <w:t> </w:t>
      </w:r>
      <w:r>
        <w:rPr>
          <w:rFonts w:ascii="Times New Roman"/>
        </w:rPr>
        <w:t>mempersembahkan</w:t>
      </w:r>
      <w:r>
        <w:rPr>
          <w:rFonts w:ascii="Times New Roman"/>
          <w:spacing w:val="-7"/>
        </w:rPr>
        <w:t> </w:t>
      </w:r>
      <w:r>
        <w:rPr>
          <w:rFonts w:ascii="Times New Roman"/>
        </w:rPr>
        <w:t>skripsi</w:t>
      </w:r>
      <w:r>
        <w:rPr>
          <w:rFonts w:ascii="Times New Roman"/>
          <w:spacing w:val="-8"/>
        </w:rPr>
        <w:t> </w:t>
      </w:r>
      <w:r>
        <w:rPr>
          <w:rFonts w:ascii="Times New Roman"/>
        </w:rPr>
        <w:t>ini</w:t>
      </w:r>
      <w:r>
        <w:rPr>
          <w:rFonts w:ascii="Times New Roman"/>
          <w:spacing w:val="-7"/>
        </w:rPr>
        <w:t> </w:t>
      </w:r>
      <w:r>
        <w:rPr>
          <w:rFonts w:ascii="Times New Roman"/>
          <w:spacing w:val="-2"/>
        </w:rPr>
        <w:t>kepada:</w:t>
      </w:r>
    </w:p>
    <w:p>
      <w:pPr>
        <w:pStyle w:val="BodyText"/>
        <w:spacing w:before="22"/>
        <w:rPr>
          <w:rFonts w:ascii="Times New Roman"/>
        </w:rPr>
      </w:pPr>
    </w:p>
    <w:p>
      <w:pPr>
        <w:pStyle w:val="ListParagraph"/>
        <w:numPr>
          <w:ilvl w:val="0"/>
          <w:numId w:val="1"/>
        </w:numPr>
        <w:tabs>
          <w:tab w:pos="993" w:val="left" w:leader="none"/>
        </w:tabs>
        <w:spacing w:line="360" w:lineRule="auto" w:before="0" w:after="0"/>
        <w:ind w:left="993" w:right="712" w:hanging="360"/>
        <w:jc w:val="both"/>
        <w:rPr>
          <w:rFonts w:ascii="Times New Roman" w:hAnsi="Times New Roman"/>
          <w:sz w:val="24"/>
        </w:rPr>
      </w:pPr>
      <w:r>
        <w:rPr>
          <w:rFonts w:ascii="Times New Roman" w:hAnsi="Times New Roman"/>
          <w:sz w:val="24"/>
        </w:rPr>
        <w:t>Ibu Najiyah dan Bapak Nasori yang selalu memberikan cinta, kasih sayang dan do’a yang tak terputus, sekaligus memberikan dukungan dan semangat yang berarti dalam kehidupan.</w:t>
      </w:r>
    </w:p>
    <w:p>
      <w:pPr>
        <w:pStyle w:val="ListParagraph"/>
        <w:numPr>
          <w:ilvl w:val="0"/>
          <w:numId w:val="1"/>
        </w:numPr>
        <w:tabs>
          <w:tab w:pos="993" w:val="left" w:leader="none"/>
        </w:tabs>
        <w:spacing w:line="360" w:lineRule="auto" w:before="0" w:after="0"/>
        <w:ind w:left="993" w:right="712" w:hanging="360"/>
        <w:jc w:val="both"/>
        <w:rPr>
          <w:rFonts w:ascii="Times New Roman"/>
          <w:sz w:val="24"/>
        </w:rPr>
      </w:pPr>
      <w:r>
        <w:rPr>
          <w:rFonts w:ascii="Times New Roman"/>
          <w:sz w:val="24"/>
        </w:rPr>
        <w:t>Seluruh keluarga terutama adik saya Aulan Darma yang sangat membantu dalam setiap langkah perjalanan kuliahan.</w:t>
      </w:r>
    </w:p>
    <w:p>
      <w:pPr>
        <w:pStyle w:val="ListParagraph"/>
        <w:numPr>
          <w:ilvl w:val="0"/>
          <w:numId w:val="1"/>
        </w:numPr>
        <w:tabs>
          <w:tab w:pos="993" w:val="left" w:leader="none"/>
        </w:tabs>
        <w:spacing w:line="360" w:lineRule="auto" w:before="0" w:after="0"/>
        <w:ind w:left="993" w:right="711" w:hanging="360"/>
        <w:jc w:val="both"/>
        <w:rPr>
          <w:rFonts w:ascii="Times New Roman"/>
          <w:sz w:val="24"/>
        </w:rPr>
      </w:pPr>
      <w:r>
        <w:rPr>
          <w:rFonts w:ascii="Times New Roman"/>
          <w:sz w:val="24"/>
        </w:rPr>
        <w:t>Seseorang yang telah menjadi perantara sebagai pendamping, pembimbing dan sumber inspirasi saya dalam memahami makna kehidupan.</w:t>
      </w:r>
    </w:p>
    <w:p>
      <w:pPr>
        <w:pStyle w:val="ListParagraph"/>
        <w:numPr>
          <w:ilvl w:val="0"/>
          <w:numId w:val="1"/>
        </w:numPr>
        <w:tabs>
          <w:tab w:pos="1069" w:val="left" w:leader="none"/>
        </w:tabs>
        <w:spacing w:line="360" w:lineRule="auto" w:before="0" w:after="0"/>
        <w:ind w:left="1069" w:right="713" w:hanging="360"/>
        <w:jc w:val="both"/>
        <w:rPr>
          <w:rFonts w:ascii="Times New Roman"/>
          <w:sz w:val="24"/>
        </w:rPr>
      </w:pPr>
      <w:r>
        <w:rPr>
          <w:rFonts w:ascii="Times New Roman"/>
          <w:sz w:val="24"/>
        </w:rPr>
        <w:t>Diri saya sendiri, terima kasih telah berjuang, bersabar dalam setiap proses, dan tidak menyerah hingga berhasil menyelesaikan studi.</w:t>
      </w:r>
    </w:p>
    <w:p>
      <w:pPr>
        <w:pStyle w:val="ListParagraph"/>
        <w:numPr>
          <w:ilvl w:val="0"/>
          <w:numId w:val="1"/>
        </w:numPr>
        <w:tabs>
          <w:tab w:pos="1069" w:val="left" w:leader="none"/>
        </w:tabs>
        <w:spacing w:line="360" w:lineRule="auto" w:before="0" w:after="0"/>
        <w:ind w:left="1069" w:right="712" w:hanging="360"/>
        <w:jc w:val="both"/>
        <w:rPr>
          <w:rFonts w:ascii="Times New Roman"/>
          <w:sz w:val="24"/>
        </w:rPr>
      </w:pPr>
      <w:r>
        <w:rPr>
          <w:rFonts w:ascii="Times New Roman"/>
          <w:sz w:val="24"/>
        </w:rPr>
        <w:t>Sahabat dan teaman yang tidak bisa saya sebutkan satu persatu, terima kasih telah rela menyempatkan waktunya dan memberikan semangat selama pembuatan skripsi ini.</w:t>
      </w:r>
    </w:p>
    <w:p>
      <w:pPr>
        <w:pStyle w:val="ListParagraph"/>
        <w:numPr>
          <w:ilvl w:val="0"/>
          <w:numId w:val="1"/>
        </w:numPr>
        <w:tabs>
          <w:tab w:pos="1069" w:val="left" w:leader="none"/>
        </w:tabs>
        <w:spacing w:line="360" w:lineRule="auto" w:before="0" w:after="0"/>
        <w:ind w:left="1069" w:right="712" w:hanging="360"/>
        <w:jc w:val="both"/>
        <w:rPr>
          <w:rFonts w:ascii="Times New Roman"/>
          <w:sz w:val="24"/>
        </w:rPr>
      </w:pPr>
      <w:r>
        <w:rPr>
          <w:rFonts w:ascii="Times New Roman"/>
          <w:sz w:val="24"/>
        </w:rPr>
        <w:t>Almamater</w:t>
      </w:r>
      <w:r>
        <w:rPr>
          <w:rFonts w:ascii="Times New Roman"/>
          <w:spacing w:val="-2"/>
          <w:sz w:val="24"/>
        </w:rPr>
        <w:t> </w:t>
      </w:r>
      <w:r>
        <w:rPr>
          <w:rFonts w:ascii="Times New Roman"/>
          <w:sz w:val="24"/>
        </w:rPr>
        <w:t>saya</w:t>
      </w:r>
      <w:r>
        <w:rPr>
          <w:rFonts w:ascii="Times New Roman"/>
          <w:spacing w:val="-2"/>
          <w:sz w:val="24"/>
        </w:rPr>
        <w:t> </w:t>
      </w:r>
      <w:r>
        <w:rPr>
          <w:rFonts w:ascii="Times New Roman"/>
          <w:sz w:val="24"/>
        </w:rPr>
        <w:t>yang</w:t>
      </w:r>
      <w:r>
        <w:rPr>
          <w:rFonts w:ascii="Times New Roman"/>
          <w:spacing w:val="-2"/>
          <w:sz w:val="24"/>
        </w:rPr>
        <w:t> </w:t>
      </w:r>
      <w:r>
        <w:rPr>
          <w:rFonts w:ascii="Times New Roman"/>
          <w:sz w:val="24"/>
        </w:rPr>
        <w:t>berperan</w:t>
      </w:r>
      <w:r>
        <w:rPr>
          <w:rFonts w:ascii="Times New Roman"/>
          <w:spacing w:val="-2"/>
          <w:sz w:val="24"/>
        </w:rPr>
        <w:t> </w:t>
      </w:r>
      <w:r>
        <w:rPr>
          <w:rFonts w:ascii="Times New Roman"/>
          <w:sz w:val="24"/>
        </w:rPr>
        <w:t>dalam</w:t>
      </w:r>
      <w:r>
        <w:rPr>
          <w:rFonts w:ascii="Times New Roman"/>
          <w:spacing w:val="-2"/>
          <w:sz w:val="24"/>
        </w:rPr>
        <w:t> </w:t>
      </w:r>
      <w:r>
        <w:rPr>
          <w:rFonts w:ascii="Times New Roman"/>
          <w:sz w:val="24"/>
        </w:rPr>
        <w:t>membentuk</w:t>
      </w:r>
      <w:r>
        <w:rPr>
          <w:rFonts w:ascii="Times New Roman"/>
          <w:spacing w:val="-2"/>
          <w:sz w:val="24"/>
        </w:rPr>
        <w:t> </w:t>
      </w:r>
      <w:r>
        <w:rPr>
          <w:rFonts w:ascii="Times New Roman"/>
          <w:sz w:val="24"/>
        </w:rPr>
        <w:t>karakter</w:t>
      </w:r>
      <w:r>
        <w:rPr>
          <w:rFonts w:ascii="Times New Roman"/>
          <w:spacing w:val="-2"/>
          <w:sz w:val="24"/>
        </w:rPr>
        <w:t> </w:t>
      </w:r>
      <w:r>
        <w:rPr>
          <w:rFonts w:ascii="Times New Roman"/>
          <w:sz w:val="24"/>
        </w:rPr>
        <w:t>individu</w:t>
      </w:r>
      <w:r>
        <w:rPr>
          <w:rFonts w:ascii="Times New Roman"/>
          <w:spacing w:val="-2"/>
          <w:sz w:val="24"/>
        </w:rPr>
        <w:t> </w:t>
      </w:r>
      <w:r>
        <w:rPr>
          <w:rFonts w:ascii="Times New Roman"/>
          <w:sz w:val="24"/>
        </w:rPr>
        <w:t>yang</w:t>
      </w:r>
      <w:r>
        <w:rPr>
          <w:rFonts w:ascii="Times New Roman"/>
          <w:spacing w:val="-2"/>
          <w:sz w:val="24"/>
        </w:rPr>
        <w:t> </w:t>
      </w:r>
      <w:r>
        <w:rPr>
          <w:rFonts w:ascii="Times New Roman"/>
          <w:sz w:val="24"/>
        </w:rPr>
        <w:t>saya </w:t>
      </w:r>
      <w:r>
        <w:rPr>
          <w:rFonts w:ascii="Times New Roman"/>
          <w:spacing w:val="-2"/>
          <w:sz w:val="24"/>
        </w:rPr>
        <w:t>banggakan.</w:t>
      </w:r>
    </w:p>
    <w:p>
      <w:pPr>
        <w:pStyle w:val="ListParagraph"/>
        <w:numPr>
          <w:ilvl w:val="0"/>
          <w:numId w:val="1"/>
        </w:numPr>
        <w:tabs>
          <w:tab w:pos="1069" w:val="left" w:leader="none"/>
        </w:tabs>
        <w:spacing w:line="357" w:lineRule="auto" w:before="0" w:after="0"/>
        <w:ind w:left="1069" w:right="708" w:hanging="360"/>
        <w:jc w:val="both"/>
        <w:rPr>
          <w:sz w:val="24"/>
        </w:rPr>
      </w:pPr>
      <w:r>
        <w:rPr>
          <w:sz w:val="24"/>
        </w:rPr>
        <w:t>Semua pihak yang telah mendukung dan membantu yang tidak bisa penulis sebutkan satu persatu sehingga skripsi ini dapat terselesaikan</w:t>
      </w:r>
    </w:p>
    <w:p>
      <w:pPr>
        <w:pStyle w:val="BodyText"/>
      </w:pPr>
    </w:p>
    <w:p>
      <w:pPr>
        <w:pStyle w:val="BodyText"/>
        <w:spacing w:before="43"/>
      </w:pPr>
    </w:p>
    <w:p>
      <w:pPr>
        <w:pStyle w:val="BodyText"/>
        <w:ind w:left="733" w:right="734"/>
        <w:jc w:val="center"/>
        <w:rPr>
          <w:rFonts w:ascii="Times New Roman"/>
        </w:rPr>
      </w:pPr>
      <w:r>
        <w:rPr>
          <w:rFonts w:ascii="Times New Roman"/>
          <w:spacing w:val="-5"/>
        </w:rPr>
        <w:t>iv</w:t>
      </w:r>
    </w:p>
    <w:p>
      <w:pPr>
        <w:pStyle w:val="BodyText"/>
        <w:spacing w:after="0"/>
        <w:jc w:val="center"/>
        <w:rPr>
          <w:rFonts w:ascii="Times New Roman"/>
        </w:rPr>
        <w:sectPr>
          <w:headerReference w:type="default" r:id="rId10"/>
          <w:pgSz w:w="11910" w:h="16840"/>
          <w:pgMar w:header="0" w:footer="0" w:top="1920" w:bottom="280" w:left="1559" w:right="992"/>
        </w:sectPr>
      </w:pPr>
    </w:p>
    <w:p>
      <w:pPr>
        <w:pStyle w:val="BodyText"/>
        <w:spacing w:before="54"/>
        <w:rPr>
          <w:rFonts w:ascii="Times New Roman"/>
        </w:rPr>
      </w:pPr>
    </w:p>
    <w:p>
      <w:pPr>
        <w:pStyle w:val="BodyText"/>
        <w:tabs>
          <w:tab w:pos="8138" w:val="left" w:leader="none"/>
        </w:tabs>
        <w:ind w:left="1068"/>
      </w:pPr>
      <w:r>
        <w:rPr>
          <w:spacing w:val="-2"/>
        </w:rPr>
        <w:t>dengan</w:t>
      </w:r>
      <w:r>
        <w:rPr/>
        <w:tab/>
      </w:r>
      <w:r>
        <w:rPr>
          <w:spacing w:val="-2"/>
        </w:rPr>
        <w:t>baik.</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0"/>
      </w:pPr>
    </w:p>
    <w:p>
      <w:pPr>
        <w:pStyle w:val="BodyText"/>
        <w:ind w:left="734" w:right="734"/>
        <w:jc w:val="center"/>
        <w:rPr>
          <w:rFonts w:ascii="Times New Roman"/>
        </w:rPr>
      </w:pPr>
      <w:r>
        <w:rPr>
          <w:rFonts w:ascii="Times New Roman"/>
          <w:spacing w:val="-10"/>
        </w:rPr>
        <w:t>v</w:t>
      </w:r>
    </w:p>
    <w:p>
      <w:pPr>
        <w:pStyle w:val="BodyText"/>
        <w:spacing w:after="0"/>
        <w:jc w:val="center"/>
        <w:rPr>
          <w:rFonts w:ascii="Times New Roman"/>
        </w:rPr>
        <w:sectPr>
          <w:headerReference w:type="default" r:id="rId11"/>
          <w:pgSz w:w="11910" w:h="16840"/>
          <w:pgMar w:header="0" w:footer="0" w:top="1920" w:bottom="280" w:left="1559" w:right="992"/>
        </w:sectPr>
      </w:pPr>
    </w:p>
    <w:p>
      <w:pPr>
        <w:pStyle w:val="BodyText"/>
        <w:rPr>
          <w:rFonts w:ascii="Times New Roman"/>
        </w:rPr>
      </w:pPr>
      <w:r>
        <w:rPr>
          <w:rFonts w:ascii="Times New Roman"/>
        </w:rPr>
        <w:drawing>
          <wp:anchor distT="0" distB="0" distL="0" distR="0" allowOverlap="1" layoutInCell="1" locked="0" behindDoc="0" simplePos="0" relativeHeight="15729664">
            <wp:simplePos x="0" y="0"/>
            <wp:positionH relativeFrom="page">
              <wp:posOffset>1668779</wp:posOffset>
            </wp:positionH>
            <wp:positionV relativeFrom="page">
              <wp:posOffset>1440180</wp:posOffset>
            </wp:positionV>
            <wp:extent cx="5891529" cy="9207500"/>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13" cstate="print"/>
                    <a:stretch>
                      <a:fillRect/>
                    </a:stretch>
                  </pic:blipFill>
                  <pic:spPr>
                    <a:xfrm>
                      <a:off x="0" y="0"/>
                      <a:ext cx="5891529" cy="9207500"/>
                    </a:xfrm>
                    <a:prstGeom prst="rect">
                      <a:avLst/>
                    </a:prstGeom>
                  </pic:spPr>
                </pic:pic>
              </a:graphicData>
            </a:graphic>
          </wp:anchor>
        </w:drawing>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24"/>
        <w:rPr>
          <w:rFonts w:ascii="Times New Roman"/>
        </w:rPr>
      </w:pPr>
    </w:p>
    <w:p>
      <w:pPr>
        <w:pStyle w:val="BodyText"/>
        <w:ind w:left="733" w:right="734"/>
        <w:jc w:val="center"/>
        <w:rPr>
          <w:rFonts w:ascii="Times New Roman"/>
        </w:rPr>
      </w:pPr>
      <w:r>
        <w:rPr>
          <w:rFonts w:ascii="Times New Roman"/>
          <w:spacing w:val="-5"/>
        </w:rPr>
        <w:t>vi</w:t>
      </w:r>
    </w:p>
    <w:p>
      <w:pPr>
        <w:pStyle w:val="BodyText"/>
        <w:spacing w:after="0"/>
        <w:jc w:val="center"/>
        <w:rPr>
          <w:rFonts w:ascii="Times New Roman"/>
        </w:rPr>
        <w:sectPr>
          <w:headerReference w:type="default" r:id="rId12"/>
          <w:pgSz w:w="11910" w:h="16840"/>
          <w:pgMar w:header="0" w:footer="0" w:top="1920" w:bottom="0" w:left="1559" w:right="992"/>
        </w:sectPr>
      </w:pPr>
    </w:p>
    <w:p>
      <w:pPr>
        <w:pStyle w:val="BodyText"/>
        <w:spacing w:before="240"/>
        <w:rPr>
          <w:rFonts w:ascii="Times New Roman"/>
        </w:rPr>
      </w:pPr>
    </w:p>
    <w:p>
      <w:pPr>
        <w:pStyle w:val="BodyText"/>
        <w:spacing w:line="276" w:lineRule="auto"/>
        <w:ind w:left="708" w:right="707" w:firstLine="720"/>
        <w:jc w:val="both"/>
        <w:rPr>
          <w:sz w:val="22"/>
        </w:rPr>
      </w:pPr>
      <w:r>
        <w:rPr/>
        <w:t>Penelitian bertujuan </w:t>
      </w:r>
      <w:bookmarkStart w:name="_bookmark1" w:id="2"/>
      <w:bookmarkEnd w:id="2"/>
      <w:r>
        <w:rPr/>
        <w:t>mengetahu</w:t>
      </w:r>
      <w:r>
        <w:rPr/>
        <w:t>i pengaruh Karakteristik CEO, Kinerja Keuangan, dan </w:t>
      </w:r>
      <w:r>
        <w:rPr>
          <w:i/>
        </w:rPr>
        <w:t>Political Cost </w:t>
      </w:r>
      <w:r>
        <w:rPr/>
        <w:t>terhadap </w:t>
      </w:r>
      <w:r>
        <w:rPr>
          <w:i/>
        </w:rPr>
        <w:t>Environmental, Social, Governance </w:t>
      </w:r>
      <w:r>
        <w:rPr/>
        <w:t>(ESG) </w:t>
      </w:r>
      <w:r>
        <w:rPr>
          <w:i/>
        </w:rPr>
        <w:t>Disclosure </w:t>
      </w:r>
      <w:r>
        <w:rPr/>
        <w:t>tanpa dan dengan moderasi ukuran perusahaan pada Perusahaan Sektor Mining di Bursa Efek Indonesia</w:t>
      </w:r>
      <w:r>
        <w:rPr>
          <w:spacing w:val="40"/>
        </w:rPr>
        <w:t> </w:t>
      </w:r>
      <w:r>
        <w:rPr/>
        <w:t>(BEI) Tahun 2021-2023. Metode yang digunakan dalam penelitian ini adalah kuantitatif dengan metode pengumpulan data menggunakan metode dokumentasi. Jumlah perusahaan yang diteliti adalah 10 perusahaan dengan 3 tahun penelitian, yang mana berarti sampel penelitian berjumlah 30 data. Adapun metode analisis data yang digunakan terdiri dari analisis statistik deskriptif, uji asumsi klasik, analisis regresi linear berganda, analisis regresi moderasi dengan pendekatan selisih mutlak, dan uji hipotesis. Hasil penelitian menunjukkan bahwa karakteristik CEO dan kinerja keuangan yang diproksikan dengan ROE berpengaruh positif, sedangkan </w:t>
      </w:r>
      <w:r>
        <w:rPr>
          <w:i/>
        </w:rPr>
        <w:t>political cost </w:t>
      </w:r>
      <w:r>
        <w:rPr/>
        <w:t>berpengaruh negatif</w:t>
      </w:r>
      <w:r>
        <w:rPr>
          <w:spacing w:val="40"/>
        </w:rPr>
        <w:t> </w:t>
      </w:r>
      <w:r>
        <w:rPr/>
        <w:t>terhadap </w:t>
      </w:r>
      <w:r>
        <w:rPr>
          <w:i/>
        </w:rPr>
        <w:t>Environmental, Social, Governance </w:t>
      </w:r>
      <w:r>
        <w:rPr/>
        <w:t>(ESG) </w:t>
      </w:r>
      <w:r>
        <w:rPr>
          <w:i/>
        </w:rPr>
        <w:t>Disclosure. </w:t>
      </w:r>
      <w:r>
        <w:rPr/>
        <w:t>Dari sisi pengujian moderasi, ukuran perusahaan mampu memperkuat pengaruh positif karakteristik CEO dan kinerja keuangan yang diproksikan dengan ROE terhadap </w:t>
      </w:r>
      <w:r>
        <w:rPr>
          <w:i/>
        </w:rPr>
        <w:t>Environmental, Social, Governance </w:t>
      </w:r>
      <w:r>
        <w:rPr/>
        <w:t>(ESG), namun tidak mampu memoderasi pengaruh </w:t>
      </w:r>
      <w:r>
        <w:rPr>
          <w:i/>
        </w:rPr>
        <w:t>political cost </w:t>
      </w:r>
      <w:r>
        <w:rPr/>
        <w:t>terhadap </w:t>
      </w:r>
      <w:r>
        <w:rPr>
          <w:i/>
        </w:rPr>
        <w:t>Environmental, Social, Governance </w:t>
      </w:r>
      <w:r>
        <w:rPr/>
        <w:t>(ESG) pada Perusahaan Sektor Mining di Bursa Efek Indonesia (BEI) Tahun 2021-2023</w:t>
      </w:r>
      <w:r>
        <w:rPr>
          <w:sz w:val="22"/>
        </w:rPr>
        <w:t>.</w:t>
      </w:r>
    </w:p>
    <w:p>
      <w:pPr>
        <w:pStyle w:val="BodyText"/>
        <w:spacing w:before="14"/>
      </w:pPr>
    </w:p>
    <w:p>
      <w:pPr>
        <w:pStyle w:val="Heading2"/>
        <w:tabs>
          <w:tab w:pos="2266" w:val="left" w:leader="none"/>
        </w:tabs>
        <w:spacing w:line="276" w:lineRule="auto" w:before="1"/>
        <w:ind w:left="2148" w:right="708" w:hanging="1440"/>
      </w:pPr>
      <w:r>
        <w:rPr/>
        <w:t>Kata Kunci:</w:t>
        <w:tab/>
        <w:tab/>
        <w:t>ESG,</w:t>
      </w:r>
      <w:r>
        <w:rPr>
          <w:spacing w:val="80"/>
        </w:rPr>
        <w:t> </w:t>
      </w:r>
      <w:r>
        <w:rPr/>
        <w:t>Karakteristik</w:t>
      </w:r>
      <w:r>
        <w:rPr>
          <w:spacing w:val="80"/>
        </w:rPr>
        <w:t> </w:t>
      </w:r>
      <w:r>
        <w:rPr/>
        <w:t>CEO,</w:t>
      </w:r>
      <w:r>
        <w:rPr>
          <w:spacing w:val="80"/>
        </w:rPr>
        <w:t> </w:t>
      </w:r>
      <w:r>
        <w:rPr/>
        <w:t>Kinerja</w:t>
      </w:r>
      <w:r>
        <w:rPr>
          <w:spacing w:val="80"/>
        </w:rPr>
        <w:t> </w:t>
      </w:r>
      <w:r>
        <w:rPr/>
        <w:t>Keuangan,</w:t>
      </w:r>
      <w:r>
        <w:rPr>
          <w:spacing w:val="-1"/>
        </w:rPr>
        <w:t> </w:t>
      </w:r>
      <w:r>
        <w:rPr>
          <w:i/>
        </w:rPr>
        <w:t>Political Cost, </w:t>
      </w:r>
      <w:r>
        <w:rPr/>
        <w:t>Ukuran Perusahaan</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43"/>
        <w:rPr>
          <w:b/>
        </w:rPr>
      </w:pPr>
    </w:p>
    <w:p>
      <w:pPr>
        <w:pStyle w:val="BodyText"/>
        <w:ind w:left="733" w:right="734"/>
        <w:jc w:val="center"/>
        <w:rPr>
          <w:rFonts w:ascii="Times New Roman"/>
        </w:rPr>
      </w:pPr>
      <w:r>
        <w:rPr>
          <w:rFonts w:ascii="Times New Roman"/>
          <w:spacing w:val="-5"/>
        </w:rPr>
        <w:t>vii</w:t>
      </w:r>
    </w:p>
    <w:p>
      <w:pPr>
        <w:pStyle w:val="BodyText"/>
        <w:spacing w:after="0"/>
        <w:jc w:val="center"/>
        <w:rPr>
          <w:rFonts w:ascii="Times New Roman"/>
        </w:rPr>
        <w:sectPr>
          <w:headerReference w:type="default" r:id="rId14"/>
          <w:pgSz w:w="11910" w:h="16840"/>
          <w:pgMar w:header="2278" w:footer="0" w:top="2540" w:bottom="280" w:left="1559" w:right="992"/>
        </w:sectPr>
      </w:pPr>
    </w:p>
    <w:p>
      <w:pPr>
        <w:spacing w:line="276" w:lineRule="auto" w:before="276"/>
        <w:ind w:left="708" w:right="708" w:firstLine="720"/>
        <w:jc w:val="both"/>
        <w:rPr>
          <w:i/>
          <w:sz w:val="24"/>
        </w:rPr>
      </w:pPr>
      <w:r>
        <w:rPr>
          <w:i/>
          <w:sz w:val="24"/>
        </w:rPr>
        <w:t>The study aims to </w:t>
      </w:r>
      <w:bookmarkStart w:name="_bookmark2" w:id="3"/>
      <w:bookmarkEnd w:id="3"/>
      <w:r>
        <w:rPr>
          <w:i/>
          <w:sz w:val="24"/>
        </w:rPr>
        <w:t>determin</w:t>
      </w:r>
      <w:r>
        <w:rPr>
          <w:i/>
          <w:sz w:val="24"/>
        </w:rPr>
        <w:t>e the influence of CEO Characteristics, Financial Performance, and Political Cost on Environmental, Social, Governance (ESG) Disclosure without and with company size moderation on Mining Sector Companies on the Indonesia Stock Exchange (IDX) in 2021-2023. The method used in this study is quantitative with a data collection method using the documentation method. The number of companies studied was 10 companies with 3 years of research, which means that the research sample amounted to 30 data. The data analysis methods used consist of descriptive statistical analysis, classical assumption tests, multiple linear regression analysis, moderate regression analysis with an absolute difference approach, and hypothesis tests. The results show that CEO characteristics and financial performance proxied with ROE have a positive effect, while political cost has a negative effect on Environmental, Social, Governance (ESG) Disclosure. In terms of moderation testing, the size of the company was able to strengthen the positive influence of CEO characteristics and financial performance</w:t>
      </w:r>
      <w:r>
        <w:rPr>
          <w:i/>
          <w:spacing w:val="40"/>
          <w:sz w:val="24"/>
        </w:rPr>
        <w:t> </w:t>
      </w:r>
      <w:r>
        <w:rPr>
          <w:i/>
          <w:sz w:val="24"/>
        </w:rPr>
        <w:t>proxied by ROE on Environmental, Social, Governance (ESG), but was unable to moderate the influence of political costs on Environmental, Social, Governance (ESG) in Mining Sector Companies on the Indonesia Stock Exchange (IDX) in 2021-2023.</w:t>
      </w:r>
    </w:p>
    <w:p>
      <w:pPr>
        <w:pStyle w:val="BodyText"/>
        <w:rPr>
          <w:i/>
        </w:rPr>
      </w:pPr>
    </w:p>
    <w:p>
      <w:pPr>
        <w:pStyle w:val="BodyText"/>
        <w:spacing w:before="82"/>
        <w:rPr>
          <w:i/>
        </w:rPr>
      </w:pPr>
    </w:p>
    <w:p>
      <w:pPr>
        <w:pStyle w:val="Heading3"/>
        <w:tabs>
          <w:tab w:pos="2147" w:val="left" w:leader="none"/>
        </w:tabs>
        <w:spacing w:line="276" w:lineRule="auto"/>
        <w:ind w:left="2148" w:right="1475" w:hanging="1440"/>
      </w:pPr>
      <w:r>
        <w:rPr>
          <w:spacing w:val="-2"/>
        </w:rPr>
        <w:t>Keywords:</w:t>
      </w:r>
      <w:r>
        <w:rPr/>
        <w:tab/>
        <w:t>ESG,</w:t>
      </w:r>
      <w:r>
        <w:rPr>
          <w:spacing w:val="-10"/>
        </w:rPr>
        <w:t> </w:t>
      </w:r>
      <w:r>
        <w:rPr/>
        <w:t>CEO</w:t>
      </w:r>
      <w:r>
        <w:rPr>
          <w:spacing w:val="-10"/>
        </w:rPr>
        <w:t> </w:t>
      </w:r>
      <w:r>
        <w:rPr/>
        <w:t>Characteristics,</w:t>
      </w:r>
      <w:r>
        <w:rPr>
          <w:spacing w:val="-10"/>
        </w:rPr>
        <w:t> </w:t>
      </w:r>
      <w:r>
        <w:rPr/>
        <w:t>Financial</w:t>
      </w:r>
      <w:r>
        <w:rPr>
          <w:spacing w:val="-10"/>
        </w:rPr>
        <w:t> </w:t>
      </w:r>
      <w:r>
        <w:rPr/>
        <w:t>Performance, Political Cost, Company Size</w:t>
      </w: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spacing w:before="181"/>
        <w:rPr>
          <w:b/>
          <w:i/>
        </w:rPr>
      </w:pPr>
    </w:p>
    <w:p>
      <w:pPr>
        <w:pStyle w:val="BodyText"/>
        <w:ind w:left="733" w:right="734"/>
        <w:jc w:val="center"/>
        <w:rPr>
          <w:rFonts w:ascii="Times New Roman"/>
        </w:rPr>
      </w:pPr>
      <w:r>
        <w:rPr>
          <w:rFonts w:ascii="Times New Roman"/>
          <w:spacing w:val="-4"/>
        </w:rPr>
        <w:t>viii</w:t>
      </w:r>
    </w:p>
    <w:p>
      <w:pPr>
        <w:pStyle w:val="BodyText"/>
        <w:spacing w:after="0"/>
        <w:jc w:val="center"/>
        <w:rPr>
          <w:rFonts w:ascii="Times New Roman"/>
        </w:rPr>
        <w:sectPr>
          <w:headerReference w:type="default" r:id="rId15"/>
          <w:pgSz w:w="11910" w:h="16840"/>
          <w:pgMar w:header="2278" w:footer="0" w:top="2540" w:bottom="280" w:left="1559" w:right="992"/>
        </w:sectPr>
      </w:pPr>
    </w:p>
    <w:p>
      <w:pPr>
        <w:pStyle w:val="BodyText"/>
        <w:rPr>
          <w:rFonts w:ascii="Times New Roman"/>
        </w:rPr>
      </w:pPr>
      <w:r>
        <w:rPr>
          <w:rFonts w:ascii="Times New Roman"/>
        </w:rPr>
        <w:drawing>
          <wp:anchor distT="0" distB="0" distL="0" distR="0" allowOverlap="1" layoutInCell="1" locked="0" behindDoc="0" simplePos="0" relativeHeight="15730176">
            <wp:simplePos x="0" y="0"/>
            <wp:positionH relativeFrom="page">
              <wp:posOffset>1440180</wp:posOffset>
            </wp:positionH>
            <wp:positionV relativeFrom="page">
              <wp:posOffset>1440180</wp:posOffset>
            </wp:positionV>
            <wp:extent cx="5772150" cy="9220200"/>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17" cstate="print"/>
                    <a:stretch>
                      <a:fillRect/>
                    </a:stretch>
                  </pic:blipFill>
                  <pic:spPr>
                    <a:xfrm>
                      <a:off x="0" y="0"/>
                      <a:ext cx="5772150" cy="9220200"/>
                    </a:xfrm>
                    <a:prstGeom prst="rect">
                      <a:avLst/>
                    </a:prstGeom>
                  </pic:spPr>
                </pic:pic>
              </a:graphicData>
            </a:graphic>
          </wp:anchor>
        </w:drawing>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24"/>
        <w:rPr>
          <w:rFonts w:ascii="Times New Roman"/>
        </w:rPr>
      </w:pPr>
    </w:p>
    <w:p>
      <w:pPr>
        <w:pStyle w:val="BodyText"/>
        <w:ind w:left="733" w:right="734"/>
        <w:jc w:val="center"/>
        <w:rPr>
          <w:rFonts w:ascii="Times New Roman"/>
        </w:rPr>
      </w:pPr>
      <w:r>
        <w:rPr>
          <w:rFonts w:ascii="Times New Roman"/>
          <w:spacing w:val="-5"/>
        </w:rPr>
        <w:t>ix</w:t>
      </w:r>
    </w:p>
    <w:p>
      <w:pPr>
        <w:pStyle w:val="BodyText"/>
        <w:spacing w:after="0"/>
        <w:jc w:val="center"/>
        <w:rPr>
          <w:rFonts w:ascii="Times New Roman"/>
        </w:rPr>
        <w:sectPr>
          <w:headerReference w:type="default" r:id="rId16"/>
          <w:pgSz w:w="11910" w:h="16840"/>
          <w:pgMar w:header="0" w:footer="0" w:top="1920" w:bottom="0" w:left="1559" w:right="992"/>
        </w:sectPr>
      </w:pPr>
    </w:p>
    <w:p>
      <w:pPr>
        <w:pStyle w:val="BodyText"/>
        <w:spacing w:before="134"/>
        <w:rPr>
          <w:rFonts w:ascii="Times New Roman"/>
        </w:rPr>
      </w:pPr>
    </w:p>
    <w:p>
      <w:pPr>
        <w:pStyle w:val="Heading1"/>
        <w:jc w:val="center"/>
      </w:pPr>
      <w:bookmarkStart w:name="_bookmark3" w:id="4"/>
      <w:bookmarkEnd w:id="4"/>
      <w:r>
        <w:rPr>
          <w:b w:val="0"/>
        </w:rPr>
      </w:r>
      <w:r>
        <w:rPr/>
        <w:t>DAFTAR</w:t>
      </w:r>
      <w:r>
        <w:rPr>
          <w:spacing w:val="-3"/>
        </w:rPr>
        <w:t> </w:t>
      </w:r>
      <w:r>
        <w:rPr>
          <w:spacing w:val="-5"/>
        </w:rPr>
        <w:t>ISI</w:t>
      </w:r>
    </w:p>
    <w:p>
      <w:pPr>
        <w:pStyle w:val="Heading1"/>
        <w:spacing w:after="0"/>
        <w:jc w:val="center"/>
        <w:sectPr>
          <w:headerReference w:type="default" r:id="rId18"/>
          <w:pgSz w:w="11910" w:h="16840"/>
          <w:pgMar w:header="0" w:footer="0" w:top="1920" w:bottom="956" w:left="1559" w:right="992"/>
        </w:sectPr>
      </w:pPr>
    </w:p>
    <w:sdt>
      <w:sdtPr>
        <w:docPartObj>
          <w:docPartGallery w:val="Table of Contents"/>
          <w:docPartUnique/>
        </w:docPartObj>
      </w:sdtPr>
      <w:sdtEndPr/>
      <w:sdtContent>
        <w:p>
          <w:pPr>
            <w:pStyle w:val="TOC1"/>
            <w:tabs>
              <w:tab w:pos="7855" w:val="left" w:leader="dot"/>
            </w:tabs>
            <w:spacing w:before="276"/>
            <w:ind w:right="26"/>
          </w:pPr>
          <w:r>
            <w:rPr/>
            <w:t>HALAMAN</w:t>
          </w:r>
          <w:r>
            <w:rPr>
              <w:spacing w:val="-3"/>
            </w:rPr>
            <w:t> </w:t>
          </w:r>
          <w:r>
            <w:rPr>
              <w:spacing w:val="-2"/>
            </w:rPr>
            <w:t>JUDUL</w:t>
          </w:r>
          <w:r>
            <w:rPr>
              <w:rFonts w:ascii="Times New Roman"/>
            </w:rPr>
            <w:tab/>
          </w:r>
          <w:r>
            <w:rPr>
              <w:spacing w:val="-10"/>
            </w:rPr>
            <w:t>i</w:t>
          </w:r>
        </w:p>
        <w:p>
          <w:pPr>
            <w:pStyle w:val="TOC1"/>
            <w:tabs>
              <w:tab w:pos="7808" w:val="left" w:leader="dot"/>
            </w:tabs>
          </w:pPr>
          <w:r>
            <w:rPr/>
            <w:t>HALAMAN</w:t>
          </w:r>
          <w:r>
            <w:rPr>
              <w:spacing w:val="-4"/>
            </w:rPr>
            <w:t> </w:t>
          </w:r>
          <w:r>
            <w:rPr/>
            <w:t>PERSETUJUAN</w:t>
          </w:r>
          <w:r>
            <w:rPr>
              <w:spacing w:val="-3"/>
            </w:rPr>
            <w:t> </w:t>
          </w:r>
          <w:r>
            <w:rPr>
              <w:spacing w:val="-2"/>
            </w:rPr>
            <w:t>PEMBIMBING</w:t>
          </w:r>
          <w:r>
            <w:rPr>
              <w:rFonts w:ascii="Times New Roman"/>
            </w:rPr>
            <w:tab/>
          </w:r>
          <w:r>
            <w:rPr>
              <w:spacing w:val="-5"/>
            </w:rPr>
            <w:t>ii</w:t>
          </w:r>
        </w:p>
        <w:p>
          <w:pPr>
            <w:pStyle w:val="TOC3"/>
            <w:tabs>
              <w:tab w:pos="8434" w:val="left" w:leader="dot"/>
            </w:tabs>
          </w:pPr>
          <w:r>
            <w:rPr/>
            <w:t>PENGESAHAN</w:t>
          </w:r>
          <w:r>
            <w:rPr>
              <w:spacing w:val="-9"/>
            </w:rPr>
            <w:t> </w:t>
          </w:r>
          <w:r>
            <w:rPr>
              <w:spacing w:val="-2"/>
            </w:rPr>
            <w:t>SKRIPSI</w:t>
          </w:r>
          <w:r>
            <w:rPr/>
            <w:tab/>
          </w:r>
          <w:r>
            <w:rPr>
              <w:spacing w:val="-5"/>
            </w:rPr>
            <w:t>iii</w:t>
          </w:r>
        </w:p>
        <w:p>
          <w:pPr>
            <w:pStyle w:val="TOC3"/>
            <w:tabs>
              <w:tab w:pos="8448" w:val="left" w:leader="dot"/>
            </w:tabs>
          </w:pPr>
          <w:hyperlink w:history="true" w:anchor="_bookmark0">
            <w:r>
              <w:rPr/>
              <w:t>MOTTO</w:t>
            </w:r>
            <w:r>
              <w:rPr>
                <w:spacing w:val="-2"/>
              </w:rPr>
              <w:t> </w:t>
            </w:r>
            <w:r>
              <w:rPr/>
              <w:t>DAN</w:t>
            </w:r>
            <w:r>
              <w:rPr>
                <w:spacing w:val="-2"/>
              </w:rPr>
              <w:t> PERSEMBAHAN</w:t>
            </w:r>
            <w:r>
              <w:rPr/>
              <w:tab/>
            </w:r>
            <w:r>
              <w:rPr>
                <w:spacing w:val="-5"/>
              </w:rPr>
              <w:t>iv</w:t>
            </w:r>
          </w:hyperlink>
        </w:p>
        <w:p>
          <w:pPr>
            <w:pStyle w:val="TOC3"/>
            <w:tabs>
              <w:tab w:pos="8513" w:val="left" w:leader="dot"/>
            </w:tabs>
          </w:pPr>
          <w:r>
            <w:rPr/>
            <w:t>PERNYATAAN</w:t>
          </w:r>
          <w:r>
            <w:rPr>
              <w:spacing w:val="-5"/>
            </w:rPr>
            <w:t> </w:t>
          </w:r>
          <w:r>
            <w:rPr/>
            <w:t>KEASLIAN</w:t>
          </w:r>
          <w:r>
            <w:rPr>
              <w:spacing w:val="-5"/>
            </w:rPr>
            <w:t> </w:t>
          </w:r>
          <w:r>
            <w:rPr/>
            <w:t>DAN</w:t>
          </w:r>
          <w:r>
            <w:rPr>
              <w:spacing w:val="-5"/>
            </w:rPr>
            <w:t> </w:t>
          </w:r>
          <w:r>
            <w:rPr/>
            <w:t>PERSETUJUAN</w:t>
          </w:r>
          <w:r>
            <w:rPr>
              <w:spacing w:val="-4"/>
            </w:rPr>
            <w:t> </w:t>
          </w:r>
          <w:r>
            <w:rPr>
              <w:spacing w:val="-2"/>
            </w:rPr>
            <w:t>PUBLIKASI</w:t>
          </w:r>
          <w:r>
            <w:rPr/>
            <w:tab/>
          </w:r>
          <w:r>
            <w:rPr>
              <w:spacing w:val="-10"/>
            </w:rPr>
            <w:t>v</w:t>
          </w:r>
        </w:p>
        <w:p>
          <w:pPr>
            <w:pStyle w:val="TOC3"/>
            <w:tabs>
              <w:tab w:pos="8448" w:val="left" w:leader="dot"/>
            </w:tabs>
          </w:pPr>
          <w:hyperlink w:history="true" w:anchor="_bookmark1">
            <w:r>
              <w:rPr>
                <w:spacing w:val="-2"/>
              </w:rPr>
              <w:t>ABSTRAK</w:t>
            </w:r>
            <w:r>
              <w:rPr/>
              <w:tab/>
            </w:r>
            <w:r>
              <w:rPr>
                <w:spacing w:val="-5"/>
              </w:rPr>
              <w:t>vi</w:t>
            </w:r>
          </w:hyperlink>
        </w:p>
        <w:p>
          <w:pPr>
            <w:pStyle w:val="TOC3"/>
            <w:tabs>
              <w:tab w:pos="8360" w:val="left" w:leader="dot"/>
            </w:tabs>
          </w:pPr>
          <w:hyperlink w:history="true" w:anchor="_bookmark2">
            <w:r>
              <w:rPr>
                <w:spacing w:val="-2"/>
              </w:rPr>
              <w:t>ABSTRACT</w:t>
            </w:r>
            <w:r>
              <w:rPr/>
              <w:tab/>
            </w:r>
            <w:r>
              <w:rPr>
                <w:spacing w:val="-5"/>
              </w:rPr>
              <w:t>vii</w:t>
            </w:r>
          </w:hyperlink>
        </w:p>
        <w:p>
          <w:pPr>
            <w:pStyle w:val="TOC3"/>
            <w:tabs>
              <w:tab w:pos="8314" w:val="left" w:leader="dot"/>
            </w:tabs>
          </w:pPr>
          <w:r>
            <w:rPr/>
            <w:t>KATA</w:t>
          </w:r>
          <w:r>
            <w:rPr>
              <w:spacing w:val="-2"/>
            </w:rPr>
            <w:t> PENGANTAR</w:t>
          </w:r>
          <w:r>
            <w:rPr/>
            <w:tab/>
          </w:r>
          <w:r>
            <w:rPr>
              <w:spacing w:val="-4"/>
            </w:rPr>
            <w:t>viii</w:t>
          </w:r>
        </w:p>
        <w:p>
          <w:pPr>
            <w:pStyle w:val="TOC3"/>
            <w:tabs>
              <w:tab w:pos="8515" w:val="left" w:leader="dot"/>
            </w:tabs>
          </w:pPr>
          <w:hyperlink w:history="true" w:anchor="_bookmark3">
            <w:r>
              <w:rPr/>
              <w:t>DAFTAR</w:t>
            </w:r>
            <w:r>
              <w:rPr>
                <w:spacing w:val="-4"/>
              </w:rPr>
              <w:t> </w:t>
            </w:r>
            <w:r>
              <w:rPr>
                <w:spacing w:val="-5"/>
              </w:rPr>
              <w:t>ISI</w:t>
            </w:r>
            <w:r>
              <w:rPr/>
              <w:tab/>
            </w:r>
            <w:r>
              <w:rPr>
                <w:spacing w:val="-10"/>
              </w:rPr>
              <w:t>x</w:t>
            </w:r>
          </w:hyperlink>
        </w:p>
        <w:p>
          <w:pPr>
            <w:pStyle w:val="TOC3"/>
            <w:tabs>
              <w:tab w:pos="8361" w:val="left" w:leader="dot"/>
            </w:tabs>
          </w:pPr>
          <w:hyperlink w:history="true" w:anchor="_bookmark4">
            <w:r>
              <w:rPr/>
              <w:t>DAFTAR</w:t>
            </w:r>
            <w:r>
              <w:rPr>
                <w:spacing w:val="-4"/>
              </w:rPr>
              <w:t> </w:t>
            </w:r>
            <w:r>
              <w:rPr>
                <w:spacing w:val="-2"/>
              </w:rPr>
              <w:t>TABEL</w:t>
            </w:r>
            <w:r>
              <w:rPr/>
              <w:tab/>
            </w:r>
            <w:r>
              <w:rPr>
                <w:spacing w:val="-5"/>
              </w:rPr>
              <w:t>xii</w:t>
            </w:r>
          </w:hyperlink>
        </w:p>
        <w:p>
          <w:pPr>
            <w:pStyle w:val="TOC3"/>
            <w:tabs>
              <w:tab w:pos="8314" w:val="left" w:leader="dot"/>
            </w:tabs>
          </w:pPr>
          <w:hyperlink w:history="true" w:anchor="_bookmark5">
            <w:r>
              <w:rPr/>
              <w:t>DAFTAR</w:t>
            </w:r>
            <w:r>
              <w:rPr>
                <w:spacing w:val="-4"/>
              </w:rPr>
              <w:t> </w:t>
            </w:r>
            <w:r>
              <w:rPr>
                <w:spacing w:val="-2"/>
              </w:rPr>
              <w:t>GAMBAR</w:t>
            </w:r>
            <w:r>
              <w:rPr/>
              <w:tab/>
            </w:r>
            <w:r>
              <w:rPr>
                <w:spacing w:val="-4"/>
              </w:rPr>
              <w:t>xiii</w:t>
            </w:r>
          </w:hyperlink>
        </w:p>
        <w:p>
          <w:pPr>
            <w:pStyle w:val="TOC3"/>
            <w:tabs>
              <w:tab w:pos="8327" w:val="left" w:leader="dot"/>
            </w:tabs>
          </w:pPr>
          <w:hyperlink w:history="true" w:anchor="_bookmark6">
            <w:r>
              <w:rPr/>
              <w:t>DAFTAR</w:t>
            </w:r>
            <w:r>
              <w:rPr>
                <w:spacing w:val="-4"/>
              </w:rPr>
              <w:t> </w:t>
            </w:r>
            <w:r>
              <w:rPr>
                <w:spacing w:val="-2"/>
              </w:rPr>
              <w:t>LAMPIRAN</w:t>
            </w:r>
            <w:r>
              <w:rPr/>
              <w:tab/>
            </w:r>
            <w:r>
              <w:rPr>
                <w:spacing w:val="-5"/>
              </w:rPr>
              <w:t>xiv</w:t>
            </w:r>
          </w:hyperlink>
        </w:p>
        <w:p>
          <w:pPr>
            <w:pStyle w:val="TOC2"/>
            <w:tabs>
              <w:tab w:pos="8514" w:val="left" w:leader="dot"/>
            </w:tabs>
          </w:pPr>
          <w:hyperlink w:history="true" w:anchor="_bookmark7">
            <w:r>
              <w:rPr/>
              <w:t>BAB</w:t>
            </w:r>
            <w:r>
              <w:rPr>
                <w:spacing w:val="-1"/>
              </w:rPr>
              <w:t> </w:t>
            </w:r>
            <w:r>
              <w:rPr/>
              <w:t>I </w:t>
            </w:r>
            <w:r>
              <w:rPr>
                <w:spacing w:val="-2"/>
              </w:rPr>
              <w:t>PENDAHULUAN</w:t>
            </w:r>
            <w:r>
              <w:rPr/>
              <w:tab/>
            </w:r>
            <w:r>
              <w:rPr>
                <w:spacing w:val="-10"/>
              </w:rPr>
              <w:t>1</w:t>
            </w:r>
          </w:hyperlink>
        </w:p>
        <w:p>
          <w:pPr>
            <w:pStyle w:val="TOC4"/>
            <w:numPr>
              <w:ilvl w:val="0"/>
              <w:numId w:val="2"/>
            </w:numPr>
            <w:tabs>
              <w:tab w:pos="1701" w:val="left" w:leader="none"/>
              <w:tab w:pos="8514" w:val="left" w:leader="dot"/>
            </w:tabs>
            <w:spacing w:line="240" w:lineRule="auto" w:before="138" w:after="0"/>
            <w:ind w:left="1701" w:right="0" w:hanging="425"/>
            <w:jc w:val="left"/>
          </w:pPr>
          <w:hyperlink w:history="true" w:anchor="_bookmark8">
            <w:r>
              <w:rPr/>
              <w:t>Latar</w:t>
            </w:r>
            <w:r>
              <w:rPr>
                <w:spacing w:val="-2"/>
              </w:rPr>
              <w:t> </w:t>
            </w:r>
            <w:r>
              <w:rPr/>
              <w:t>Belakang</w:t>
            </w:r>
            <w:r>
              <w:rPr>
                <w:spacing w:val="-1"/>
              </w:rPr>
              <w:t> </w:t>
            </w:r>
            <w:r>
              <w:rPr>
                <w:spacing w:val="-2"/>
              </w:rPr>
              <w:t>Masalah</w:t>
            </w:r>
            <w:r>
              <w:rPr/>
              <w:tab/>
            </w:r>
            <w:r>
              <w:rPr>
                <w:spacing w:val="-10"/>
              </w:rPr>
              <w:t>1</w:t>
            </w:r>
          </w:hyperlink>
        </w:p>
        <w:p>
          <w:pPr>
            <w:pStyle w:val="TOC4"/>
            <w:numPr>
              <w:ilvl w:val="0"/>
              <w:numId w:val="2"/>
            </w:numPr>
            <w:tabs>
              <w:tab w:pos="1701" w:val="left" w:leader="none"/>
              <w:tab w:pos="8394" w:val="left" w:leader="dot"/>
            </w:tabs>
            <w:spacing w:line="240" w:lineRule="auto" w:before="138" w:after="0"/>
            <w:ind w:left="1701" w:right="0" w:hanging="425"/>
            <w:jc w:val="left"/>
          </w:pPr>
          <w:hyperlink w:history="true" w:anchor="_bookmark9">
            <w:r>
              <w:rPr/>
              <w:t>Rumusan</w:t>
            </w:r>
            <w:r>
              <w:rPr>
                <w:spacing w:val="-4"/>
              </w:rPr>
              <w:t> </w:t>
            </w:r>
            <w:r>
              <w:rPr>
                <w:spacing w:val="-2"/>
              </w:rPr>
              <w:t>Masalah</w:t>
            </w:r>
            <w:r>
              <w:rPr/>
              <w:tab/>
            </w:r>
            <w:r>
              <w:rPr>
                <w:spacing w:val="-5"/>
              </w:rPr>
              <w:t>13</w:t>
            </w:r>
          </w:hyperlink>
        </w:p>
        <w:p>
          <w:pPr>
            <w:pStyle w:val="TOC4"/>
            <w:numPr>
              <w:ilvl w:val="0"/>
              <w:numId w:val="2"/>
            </w:numPr>
            <w:tabs>
              <w:tab w:pos="1701" w:val="left" w:leader="none"/>
              <w:tab w:pos="8394" w:val="left" w:leader="dot"/>
            </w:tabs>
            <w:spacing w:line="240" w:lineRule="auto" w:before="138" w:after="0"/>
            <w:ind w:left="1701" w:right="0" w:hanging="425"/>
            <w:jc w:val="left"/>
          </w:pPr>
          <w:hyperlink w:history="true" w:anchor="_bookmark10">
            <w:r>
              <w:rPr/>
              <w:t>Tujuan</w:t>
            </w:r>
            <w:r>
              <w:rPr>
                <w:spacing w:val="-3"/>
              </w:rPr>
              <w:t> </w:t>
            </w:r>
            <w:r>
              <w:rPr>
                <w:spacing w:val="-2"/>
              </w:rPr>
              <w:t>Penelitian</w:t>
            </w:r>
            <w:r>
              <w:rPr/>
              <w:tab/>
            </w:r>
            <w:r>
              <w:rPr>
                <w:spacing w:val="-5"/>
              </w:rPr>
              <w:t>14</w:t>
            </w:r>
          </w:hyperlink>
        </w:p>
        <w:p>
          <w:pPr>
            <w:pStyle w:val="TOC4"/>
            <w:numPr>
              <w:ilvl w:val="0"/>
              <w:numId w:val="2"/>
            </w:numPr>
            <w:tabs>
              <w:tab w:pos="1701" w:val="left" w:leader="none"/>
              <w:tab w:pos="8394" w:val="left" w:leader="dot"/>
            </w:tabs>
            <w:spacing w:line="240" w:lineRule="auto" w:before="137" w:after="0"/>
            <w:ind w:left="1701" w:right="0" w:hanging="425"/>
            <w:jc w:val="left"/>
          </w:pPr>
          <w:hyperlink w:history="true" w:anchor="_bookmark11">
            <w:r>
              <w:rPr/>
              <w:t>Manfaat</w:t>
            </w:r>
            <w:r>
              <w:rPr>
                <w:spacing w:val="-3"/>
              </w:rPr>
              <w:t> </w:t>
            </w:r>
            <w:r>
              <w:rPr>
                <w:spacing w:val="-2"/>
              </w:rPr>
              <w:t>Penelitian</w:t>
            </w:r>
            <w:r>
              <w:rPr/>
              <w:tab/>
            </w:r>
            <w:r>
              <w:rPr>
                <w:spacing w:val="-5"/>
              </w:rPr>
              <w:t>16</w:t>
            </w:r>
          </w:hyperlink>
        </w:p>
        <w:p>
          <w:pPr>
            <w:pStyle w:val="TOC2"/>
            <w:tabs>
              <w:tab w:pos="8394" w:val="left" w:leader="dot"/>
            </w:tabs>
          </w:pPr>
          <w:hyperlink w:history="true" w:anchor="_bookmark12">
            <w:r>
              <w:rPr/>
              <w:t>BAB</w:t>
            </w:r>
            <w:r>
              <w:rPr>
                <w:spacing w:val="-3"/>
              </w:rPr>
              <w:t> </w:t>
            </w:r>
            <w:r>
              <w:rPr/>
              <w:t>II</w:t>
            </w:r>
            <w:r>
              <w:rPr>
                <w:spacing w:val="-2"/>
              </w:rPr>
              <w:t> </w:t>
            </w:r>
            <w:r>
              <w:rPr/>
              <w:t>TINJAUAN</w:t>
            </w:r>
            <w:r>
              <w:rPr>
                <w:spacing w:val="-2"/>
              </w:rPr>
              <w:t> PUSTAKA</w:t>
            </w:r>
            <w:r>
              <w:rPr/>
              <w:tab/>
            </w:r>
            <w:r>
              <w:rPr>
                <w:spacing w:val="-5"/>
              </w:rPr>
              <w:t>18</w:t>
            </w:r>
          </w:hyperlink>
        </w:p>
        <w:p>
          <w:pPr>
            <w:pStyle w:val="TOC4"/>
            <w:numPr>
              <w:ilvl w:val="0"/>
              <w:numId w:val="3"/>
            </w:numPr>
            <w:tabs>
              <w:tab w:pos="1701" w:val="left" w:leader="none"/>
              <w:tab w:pos="8394" w:val="left" w:leader="dot"/>
            </w:tabs>
            <w:spacing w:line="240" w:lineRule="auto" w:before="138" w:after="0"/>
            <w:ind w:left="1701" w:right="0" w:hanging="425"/>
            <w:jc w:val="left"/>
          </w:pPr>
          <w:hyperlink w:history="true" w:anchor="_bookmark13">
            <w:r>
              <w:rPr/>
              <w:t>Landasan</w:t>
            </w:r>
            <w:r>
              <w:rPr>
                <w:spacing w:val="-3"/>
              </w:rPr>
              <w:t> </w:t>
            </w:r>
            <w:r>
              <w:rPr>
                <w:spacing w:val="-2"/>
              </w:rPr>
              <w:t>Teori</w:t>
            </w:r>
            <w:r>
              <w:rPr/>
              <w:tab/>
            </w:r>
            <w:r>
              <w:rPr>
                <w:spacing w:val="-5"/>
              </w:rPr>
              <w:t>18</w:t>
            </w:r>
          </w:hyperlink>
        </w:p>
        <w:p>
          <w:pPr>
            <w:pStyle w:val="TOC5"/>
            <w:numPr>
              <w:ilvl w:val="1"/>
              <w:numId w:val="3"/>
            </w:numPr>
            <w:tabs>
              <w:tab w:pos="2126" w:val="left" w:leader="none"/>
              <w:tab w:pos="8394" w:val="left" w:leader="dot"/>
            </w:tabs>
            <w:spacing w:line="240" w:lineRule="auto" w:before="138" w:after="0"/>
            <w:ind w:left="2126" w:right="0" w:hanging="424"/>
            <w:jc w:val="left"/>
          </w:pPr>
          <w:hyperlink w:history="true" w:anchor="_bookmark14">
            <w:r>
              <w:rPr/>
              <w:t>Teori</w:t>
            </w:r>
            <w:r>
              <w:rPr>
                <w:spacing w:val="-4"/>
              </w:rPr>
              <w:t> </w:t>
            </w:r>
            <w:r>
              <w:rPr>
                <w:spacing w:val="-2"/>
              </w:rPr>
              <w:t>Stakeholder</w:t>
            </w:r>
            <w:r>
              <w:rPr/>
              <w:tab/>
            </w:r>
            <w:r>
              <w:rPr>
                <w:spacing w:val="-5"/>
              </w:rPr>
              <w:t>18</w:t>
            </w:r>
          </w:hyperlink>
        </w:p>
        <w:p>
          <w:pPr>
            <w:pStyle w:val="TOC5"/>
            <w:numPr>
              <w:ilvl w:val="1"/>
              <w:numId w:val="3"/>
            </w:numPr>
            <w:tabs>
              <w:tab w:pos="2126" w:val="left" w:leader="none"/>
              <w:tab w:pos="8394" w:val="left" w:leader="dot"/>
            </w:tabs>
            <w:spacing w:line="240" w:lineRule="auto" w:before="138" w:after="0"/>
            <w:ind w:left="2126" w:right="0" w:hanging="424"/>
            <w:jc w:val="left"/>
          </w:pPr>
          <w:hyperlink w:history="true" w:anchor="_bookmark15">
            <w:r>
              <w:rPr/>
              <w:t>Teori</w:t>
            </w:r>
            <w:r>
              <w:rPr>
                <w:spacing w:val="-2"/>
              </w:rPr>
              <w:t> Keagenan</w:t>
            </w:r>
            <w:r>
              <w:rPr/>
              <w:tab/>
            </w:r>
            <w:r>
              <w:rPr>
                <w:spacing w:val="-5"/>
              </w:rPr>
              <w:t>20</w:t>
            </w:r>
          </w:hyperlink>
        </w:p>
        <w:p>
          <w:pPr>
            <w:pStyle w:val="TOC7"/>
            <w:numPr>
              <w:ilvl w:val="1"/>
              <w:numId w:val="3"/>
            </w:numPr>
            <w:tabs>
              <w:tab w:pos="2126" w:val="left" w:leader="none"/>
              <w:tab w:pos="8395" w:val="left" w:leader="dot"/>
            </w:tabs>
            <w:spacing w:line="240" w:lineRule="auto" w:before="138" w:after="0"/>
            <w:ind w:left="2126" w:right="0" w:hanging="424"/>
            <w:jc w:val="left"/>
            <w:rPr>
              <w:b w:val="0"/>
              <w:i w:val="0"/>
              <w:sz w:val="24"/>
            </w:rPr>
          </w:pPr>
          <w:hyperlink w:history="true" w:anchor="_bookmark16">
            <w:r>
              <w:rPr>
                <w:b w:val="0"/>
                <w:sz w:val="24"/>
              </w:rPr>
              <w:t>Environmental</w:t>
            </w:r>
            <w:r>
              <w:rPr>
                <w:b w:val="0"/>
                <w:i w:val="0"/>
                <w:sz w:val="24"/>
              </w:rPr>
              <w:t>,</w:t>
            </w:r>
            <w:r>
              <w:rPr>
                <w:b w:val="0"/>
                <w:i w:val="0"/>
                <w:spacing w:val="-5"/>
                <w:sz w:val="24"/>
              </w:rPr>
              <w:t> </w:t>
            </w:r>
            <w:r>
              <w:rPr>
                <w:b w:val="0"/>
                <w:sz w:val="24"/>
              </w:rPr>
              <w:t>Social</w:t>
            </w:r>
            <w:r>
              <w:rPr>
                <w:b w:val="0"/>
                <w:i w:val="0"/>
                <w:sz w:val="24"/>
              </w:rPr>
              <w:t>,</w:t>
            </w:r>
            <w:r>
              <w:rPr>
                <w:b w:val="0"/>
                <w:i w:val="0"/>
                <w:spacing w:val="-5"/>
                <w:sz w:val="24"/>
              </w:rPr>
              <w:t> </w:t>
            </w:r>
            <w:r>
              <w:rPr>
                <w:b w:val="0"/>
                <w:sz w:val="24"/>
              </w:rPr>
              <w:t>Governance</w:t>
            </w:r>
            <w:r>
              <w:rPr>
                <w:b w:val="0"/>
                <w:spacing w:val="-4"/>
                <w:sz w:val="24"/>
              </w:rPr>
              <w:t> </w:t>
            </w:r>
            <w:r>
              <w:rPr>
                <w:b w:val="0"/>
                <w:i w:val="0"/>
                <w:sz w:val="24"/>
              </w:rPr>
              <w:t>(ESG)</w:t>
            </w:r>
            <w:r>
              <w:rPr>
                <w:b w:val="0"/>
                <w:i w:val="0"/>
                <w:spacing w:val="-4"/>
                <w:sz w:val="24"/>
              </w:rPr>
              <w:t> </w:t>
            </w:r>
            <w:r>
              <w:rPr>
                <w:b w:val="0"/>
                <w:spacing w:val="-2"/>
                <w:sz w:val="24"/>
              </w:rPr>
              <w:t>Disclosure</w:t>
            </w:r>
            <w:r>
              <w:rPr>
                <w:b w:val="0"/>
                <w:i w:val="0"/>
                <w:sz w:val="24"/>
              </w:rPr>
              <w:tab/>
            </w:r>
            <w:r>
              <w:rPr>
                <w:b w:val="0"/>
                <w:i w:val="0"/>
                <w:spacing w:val="-5"/>
                <w:sz w:val="24"/>
              </w:rPr>
              <w:t>21</w:t>
            </w:r>
          </w:hyperlink>
        </w:p>
        <w:p>
          <w:pPr>
            <w:pStyle w:val="TOC5"/>
            <w:numPr>
              <w:ilvl w:val="1"/>
              <w:numId w:val="3"/>
            </w:numPr>
            <w:tabs>
              <w:tab w:pos="2126" w:val="left" w:leader="none"/>
              <w:tab w:pos="8392" w:val="left" w:leader="dot"/>
            </w:tabs>
            <w:spacing w:line="240" w:lineRule="auto" w:before="138" w:after="0"/>
            <w:ind w:left="2126" w:right="0" w:hanging="424"/>
            <w:jc w:val="left"/>
          </w:pPr>
          <w:hyperlink w:history="true" w:anchor="_bookmark17">
            <w:r>
              <w:rPr/>
              <w:t>Karakteristik</w:t>
            </w:r>
            <w:r>
              <w:rPr>
                <w:spacing w:val="-4"/>
              </w:rPr>
              <w:t> </w:t>
            </w:r>
            <w:r>
              <w:rPr/>
              <w:t>Chief</w:t>
            </w:r>
            <w:r>
              <w:rPr>
                <w:spacing w:val="-4"/>
              </w:rPr>
              <w:t> </w:t>
            </w:r>
            <w:r>
              <w:rPr/>
              <w:t>Executive</w:t>
            </w:r>
            <w:r>
              <w:rPr>
                <w:spacing w:val="-4"/>
              </w:rPr>
              <w:t> </w:t>
            </w:r>
            <w:r>
              <w:rPr/>
              <w:t>Officer</w:t>
            </w:r>
            <w:r>
              <w:rPr>
                <w:spacing w:val="-3"/>
              </w:rPr>
              <w:t> </w:t>
            </w:r>
            <w:r>
              <w:rPr>
                <w:spacing w:val="-2"/>
              </w:rPr>
              <w:t>(CEO)</w:t>
            </w:r>
            <w:r>
              <w:rPr/>
              <w:tab/>
            </w:r>
            <w:r>
              <w:rPr>
                <w:spacing w:val="-5"/>
              </w:rPr>
              <w:t>28</w:t>
            </w:r>
          </w:hyperlink>
        </w:p>
        <w:p>
          <w:pPr>
            <w:pStyle w:val="TOC5"/>
            <w:numPr>
              <w:ilvl w:val="1"/>
              <w:numId w:val="3"/>
            </w:numPr>
            <w:tabs>
              <w:tab w:pos="2126" w:val="left" w:leader="none"/>
              <w:tab w:pos="8394" w:val="left" w:leader="dot"/>
            </w:tabs>
            <w:spacing w:line="240" w:lineRule="auto" w:before="138" w:after="0"/>
            <w:ind w:left="2126" w:right="0" w:hanging="424"/>
            <w:jc w:val="left"/>
          </w:pPr>
          <w:hyperlink w:history="true" w:anchor="_bookmark18">
            <w:r>
              <w:rPr/>
              <w:t>Kinerja</w:t>
            </w:r>
            <w:r>
              <w:rPr>
                <w:spacing w:val="-7"/>
              </w:rPr>
              <w:t> </w:t>
            </w:r>
            <w:r>
              <w:rPr>
                <w:spacing w:val="-2"/>
              </w:rPr>
              <w:t>Keuangan</w:t>
            </w:r>
            <w:r>
              <w:rPr/>
              <w:tab/>
            </w:r>
            <w:r>
              <w:rPr>
                <w:spacing w:val="-5"/>
              </w:rPr>
              <w:t>30</w:t>
            </w:r>
          </w:hyperlink>
        </w:p>
        <w:p>
          <w:pPr>
            <w:pStyle w:val="TOC6"/>
            <w:numPr>
              <w:ilvl w:val="1"/>
              <w:numId w:val="3"/>
            </w:numPr>
            <w:tabs>
              <w:tab w:pos="2126" w:val="left" w:leader="none"/>
              <w:tab w:pos="8395" w:val="left" w:leader="dot"/>
            </w:tabs>
            <w:spacing w:line="240" w:lineRule="auto" w:before="138" w:after="0"/>
            <w:ind w:left="2126" w:right="0" w:hanging="424"/>
            <w:jc w:val="left"/>
            <w:rPr>
              <w:i w:val="0"/>
            </w:rPr>
          </w:pPr>
          <w:hyperlink w:history="true" w:anchor="_bookmark19">
            <w:r>
              <w:rPr/>
              <w:t>Political</w:t>
            </w:r>
            <w:r>
              <w:rPr>
                <w:spacing w:val="-8"/>
              </w:rPr>
              <w:t> </w:t>
            </w:r>
            <w:r>
              <w:rPr>
                <w:spacing w:val="-4"/>
              </w:rPr>
              <w:t>Cost</w:t>
            </w:r>
            <w:r>
              <w:rPr>
                <w:i w:val="0"/>
              </w:rPr>
              <w:tab/>
            </w:r>
            <w:r>
              <w:rPr>
                <w:i w:val="0"/>
                <w:spacing w:val="-5"/>
              </w:rPr>
              <w:t>34</w:t>
            </w:r>
          </w:hyperlink>
        </w:p>
        <w:p>
          <w:pPr>
            <w:pStyle w:val="TOC5"/>
            <w:numPr>
              <w:ilvl w:val="1"/>
              <w:numId w:val="3"/>
            </w:numPr>
            <w:tabs>
              <w:tab w:pos="2126" w:val="left" w:leader="none"/>
              <w:tab w:pos="8394" w:val="left" w:leader="dot"/>
            </w:tabs>
            <w:spacing w:line="240" w:lineRule="auto" w:before="138" w:after="0"/>
            <w:ind w:left="2126" w:right="0" w:hanging="424"/>
            <w:jc w:val="left"/>
          </w:pPr>
          <w:hyperlink w:history="true" w:anchor="_bookmark20">
            <w:r>
              <w:rPr/>
              <w:t>Ukuran</w:t>
            </w:r>
            <w:r>
              <w:rPr>
                <w:spacing w:val="-4"/>
              </w:rPr>
              <w:t> </w:t>
            </w:r>
            <w:r>
              <w:rPr>
                <w:spacing w:val="-2"/>
              </w:rPr>
              <w:t>Perusahaan</w:t>
            </w:r>
            <w:r>
              <w:rPr/>
              <w:tab/>
            </w:r>
            <w:r>
              <w:rPr>
                <w:spacing w:val="-5"/>
              </w:rPr>
              <w:t>39</w:t>
            </w:r>
          </w:hyperlink>
        </w:p>
        <w:p>
          <w:pPr>
            <w:pStyle w:val="TOC4"/>
            <w:numPr>
              <w:ilvl w:val="0"/>
              <w:numId w:val="3"/>
            </w:numPr>
            <w:tabs>
              <w:tab w:pos="1701" w:val="left" w:leader="none"/>
              <w:tab w:pos="8394" w:val="left" w:leader="dot"/>
            </w:tabs>
            <w:spacing w:line="240" w:lineRule="auto" w:before="138" w:after="0"/>
            <w:ind w:left="1701" w:right="0" w:hanging="425"/>
            <w:jc w:val="left"/>
          </w:pPr>
          <w:hyperlink w:history="true" w:anchor="_bookmark21">
            <w:r>
              <w:rPr/>
              <w:t>Penelitian</w:t>
            </w:r>
            <w:r>
              <w:rPr>
                <w:spacing w:val="-8"/>
              </w:rPr>
              <w:t> </w:t>
            </w:r>
            <w:r>
              <w:rPr>
                <w:spacing w:val="-2"/>
              </w:rPr>
              <w:t>Terdahulu</w:t>
            </w:r>
            <w:r>
              <w:rPr/>
              <w:tab/>
            </w:r>
            <w:r>
              <w:rPr>
                <w:spacing w:val="-5"/>
              </w:rPr>
              <w:t>43</w:t>
            </w:r>
          </w:hyperlink>
        </w:p>
        <w:p>
          <w:pPr>
            <w:pStyle w:val="TOC4"/>
            <w:numPr>
              <w:ilvl w:val="0"/>
              <w:numId w:val="3"/>
            </w:numPr>
            <w:tabs>
              <w:tab w:pos="1701" w:val="left" w:leader="none"/>
              <w:tab w:pos="8392" w:val="left" w:leader="dot"/>
            </w:tabs>
            <w:spacing w:line="240" w:lineRule="auto" w:before="138" w:after="0"/>
            <w:ind w:left="1701" w:right="0" w:hanging="425"/>
            <w:jc w:val="left"/>
          </w:pPr>
          <w:hyperlink w:history="true" w:anchor="_bookmark23">
            <w:r>
              <w:rPr/>
              <w:t>Kerangka</w:t>
            </w:r>
            <w:r>
              <w:rPr>
                <w:spacing w:val="-6"/>
              </w:rPr>
              <w:t> </w:t>
            </w:r>
            <w:r>
              <w:rPr/>
              <w:t>Pemikiran</w:t>
            </w:r>
            <w:r>
              <w:rPr>
                <w:spacing w:val="-5"/>
              </w:rPr>
              <w:t> </w:t>
            </w:r>
            <w:r>
              <w:rPr>
                <w:spacing w:val="-2"/>
              </w:rPr>
              <w:t>Konseptual</w:t>
            </w:r>
            <w:r>
              <w:rPr/>
              <w:tab/>
            </w:r>
            <w:r>
              <w:rPr>
                <w:spacing w:val="-5"/>
              </w:rPr>
              <w:t>54</w:t>
            </w:r>
          </w:hyperlink>
        </w:p>
        <w:p>
          <w:pPr>
            <w:pStyle w:val="TOC4"/>
            <w:numPr>
              <w:ilvl w:val="0"/>
              <w:numId w:val="3"/>
            </w:numPr>
            <w:tabs>
              <w:tab w:pos="1701" w:val="left" w:leader="none"/>
              <w:tab w:pos="8394" w:val="left" w:leader="dot"/>
            </w:tabs>
            <w:spacing w:line="240" w:lineRule="auto" w:before="138" w:after="0"/>
            <w:ind w:left="1701" w:right="0" w:hanging="425"/>
            <w:jc w:val="left"/>
          </w:pPr>
          <w:hyperlink w:history="true" w:anchor="_bookmark25">
            <w:r>
              <w:rPr>
                <w:spacing w:val="-2"/>
              </w:rPr>
              <w:t>Hipotesis</w:t>
            </w:r>
            <w:r>
              <w:rPr/>
              <w:tab/>
            </w:r>
            <w:r>
              <w:rPr>
                <w:spacing w:val="-5"/>
              </w:rPr>
              <w:t>68</w:t>
            </w:r>
          </w:hyperlink>
        </w:p>
        <w:p>
          <w:pPr>
            <w:pStyle w:val="TOC3"/>
            <w:spacing w:before="819" w:after="20"/>
            <w:ind w:left="734" w:right="734"/>
            <w:jc w:val="center"/>
          </w:pPr>
          <w:r>
            <w:rPr>
              <w:spacing w:val="-10"/>
            </w:rPr>
            <w:t>x</w:t>
          </w:r>
        </w:p>
        <w:p>
          <w:pPr>
            <w:pStyle w:val="TOC2"/>
            <w:tabs>
              <w:tab w:pos="8634" w:val="right" w:leader="dot"/>
            </w:tabs>
            <w:spacing w:before="332"/>
          </w:pPr>
          <w:hyperlink w:history="true" w:anchor="_bookmark26">
            <w:r>
              <w:rPr/>
              <w:t>BAB</w:t>
            </w:r>
            <w:r>
              <w:rPr>
                <w:spacing w:val="-2"/>
              </w:rPr>
              <w:t> </w:t>
            </w:r>
            <w:r>
              <w:rPr/>
              <w:t>III</w:t>
            </w:r>
            <w:r>
              <w:rPr>
                <w:spacing w:val="-1"/>
              </w:rPr>
              <w:t> </w:t>
            </w:r>
            <w:r>
              <w:rPr/>
              <w:t>METODE</w:t>
            </w:r>
            <w:r>
              <w:rPr>
                <w:spacing w:val="-1"/>
              </w:rPr>
              <w:t> </w:t>
            </w:r>
            <w:r>
              <w:rPr>
                <w:spacing w:val="-2"/>
              </w:rPr>
              <w:t>PENELITIAN</w:t>
            </w:r>
            <w:r>
              <w:rPr/>
              <w:tab/>
            </w:r>
            <w:r>
              <w:rPr>
                <w:spacing w:val="-5"/>
              </w:rPr>
              <w:t>70</w:t>
            </w:r>
          </w:hyperlink>
        </w:p>
        <w:p>
          <w:pPr>
            <w:pStyle w:val="TOC4"/>
            <w:numPr>
              <w:ilvl w:val="0"/>
              <w:numId w:val="4"/>
            </w:numPr>
            <w:tabs>
              <w:tab w:pos="1701" w:val="left" w:leader="none"/>
              <w:tab w:pos="8634" w:val="right" w:leader="dot"/>
            </w:tabs>
            <w:spacing w:line="240" w:lineRule="auto" w:before="138" w:after="0"/>
            <w:ind w:left="1701" w:right="0" w:hanging="425"/>
            <w:jc w:val="left"/>
          </w:pPr>
          <w:hyperlink w:history="true" w:anchor="_bookmark27">
            <w:r>
              <w:rPr/>
              <w:t>Jenis</w:t>
            </w:r>
            <w:r>
              <w:rPr>
                <w:spacing w:val="-3"/>
              </w:rPr>
              <w:t> </w:t>
            </w:r>
            <w:r>
              <w:rPr>
                <w:spacing w:val="-2"/>
              </w:rPr>
              <w:t>Penelitian</w:t>
            </w:r>
            <w:r>
              <w:rPr/>
              <w:tab/>
            </w:r>
            <w:r>
              <w:rPr>
                <w:spacing w:val="-5"/>
              </w:rPr>
              <w:t>70</w:t>
            </w:r>
          </w:hyperlink>
        </w:p>
        <w:p>
          <w:pPr>
            <w:pStyle w:val="TOC4"/>
            <w:numPr>
              <w:ilvl w:val="0"/>
              <w:numId w:val="4"/>
            </w:numPr>
            <w:tabs>
              <w:tab w:pos="1701" w:val="left" w:leader="none"/>
              <w:tab w:pos="8633" w:val="right" w:leader="dot"/>
            </w:tabs>
            <w:spacing w:line="240" w:lineRule="auto" w:before="138" w:after="0"/>
            <w:ind w:left="1701" w:right="0" w:hanging="425"/>
            <w:jc w:val="left"/>
          </w:pPr>
          <w:hyperlink w:history="true" w:anchor="_bookmark28">
            <w:r>
              <w:rPr/>
              <w:t>Populasi</w:t>
            </w:r>
            <w:r>
              <w:rPr>
                <w:spacing w:val="-4"/>
              </w:rPr>
              <w:t> </w:t>
            </w:r>
            <w:r>
              <w:rPr/>
              <w:t>dan</w:t>
            </w:r>
            <w:r>
              <w:rPr>
                <w:spacing w:val="-3"/>
              </w:rPr>
              <w:t> </w:t>
            </w:r>
            <w:r>
              <w:rPr>
                <w:spacing w:val="-2"/>
              </w:rPr>
              <w:t>Sampel</w:t>
            </w:r>
            <w:r>
              <w:rPr/>
              <w:tab/>
            </w:r>
            <w:r>
              <w:rPr>
                <w:spacing w:val="-5"/>
              </w:rPr>
              <w:t>71</w:t>
            </w:r>
          </w:hyperlink>
        </w:p>
        <w:p>
          <w:pPr>
            <w:pStyle w:val="TOC4"/>
            <w:numPr>
              <w:ilvl w:val="0"/>
              <w:numId w:val="4"/>
            </w:numPr>
            <w:tabs>
              <w:tab w:pos="1701" w:val="left" w:leader="none"/>
              <w:tab w:pos="8630" w:val="right" w:leader="dot"/>
            </w:tabs>
            <w:spacing w:line="240" w:lineRule="auto" w:before="138" w:after="0"/>
            <w:ind w:left="1701" w:right="0" w:hanging="425"/>
            <w:jc w:val="left"/>
          </w:pPr>
          <w:hyperlink w:history="true" w:anchor="_bookmark32">
            <w:r>
              <w:rPr/>
              <w:t>Definisi</w:t>
            </w:r>
            <w:r>
              <w:rPr>
                <w:spacing w:val="-6"/>
              </w:rPr>
              <w:t> </w:t>
            </w:r>
            <w:r>
              <w:rPr/>
              <w:t>Konseptual</w:t>
            </w:r>
            <w:r>
              <w:rPr>
                <w:spacing w:val="-5"/>
              </w:rPr>
              <w:t> </w:t>
            </w:r>
            <w:r>
              <w:rPr/>
              <w:t>dan</w:t>
            </w:r>
            <w:r>
              <w:rPr>
                <w:spacing w:val="-5"/>
              </w:rPr>
              <w:t> </w:t>
            </w:r>
            <w:r>
              <w:rPr/>
              <w:t>Operasional</w:t>
            </w:r>
            <w:r>
              <w:rPr>
                <w:spacing w:val="-5"/>
              </w:rPr>
              <w:t> </w:t>
            </w:r>
            <w:r>
              <w:rPr>
                <w:spacing w:val="-2"/>
              </w:rPr>
              <w:t>Variabel</w:t>
            </w:r>
            <w:r>
              <w:rPr/>
              <w:tab/>
            </w:r>
            <w:r>
              <w:rPr>
                <w:spacing w:val="-5"/>
              </w:rPr>
              <w:t>74</w:t>
            </w:r>
          </w:hyperlink>
        </w:p>
        <w:p>
          <w:pPr>
            <w:pStyle w:val="TOC4"/>
            <w:numPr>
              <w:ilvl w:val="0"/>
              <w:numId w:val="4"/>
            </w:numPr>
            <w:tabs>
              <w:tab w:pos="1701" w:val="left" w:leader="none"/>
              <w:tab w:pos="8633" w:val="right" w:leader="dot"/>
            </w:tabs>
            <w:spacing w:line="240" w:lineRule="auto" w:before="138" w:after="0"/>
            <w:ind w:left="1701" w:right="0" w:hanging="425"/>
            <w:jc w:val="left"/>
          </w:pPr>
          <w:hyperlink w:history="true" w:anchor="_bookmark34">
            <w:r>
              <w:rPr/>
              <w:t>Metode</w:t>
            </w:r>
            <w:r>
              <w:rPr>
                <w:spacing w:val="-8"/>
              </w:rPr>
              <w:t> </w:t>
            </w:r>
            <w:r>
              <w:rPr/>
              <w:t>Pengumpulan</w:t>
            </w:r>
            <w:r>
              <w:rPr>
                <w:spacing w:val="-6"/>
              </w:rPr>
              <w:t> </w:t>
            </w:r>
            <w:r>
              <w:rPr>
                <w:spacing w:val="-4"/>
              </w:rPr>
              <w:t>Data</w:t>
            </w:r>
            <w:r>
              <w:rPr/>
              <w:tab/>
            </w:r>
            <w:r>
              <w:rPr>
                <w:spacing w:val="-5"/>
              </w:rPr>
              <w:t>80</w:t>
            </w:r>
          </w:hyperlink>
        </w:p>
        <w:p>
          <w:pPr>
            <w:pStyle w:val="TOC4"/>
            <w:numPr>
              <w:ilvl w:val="0"/>
              <w:numId w:val="4"/>
            </w:numPr>
            <w:tabs>
              <w:tab w:pos="1701" w:val="left" w:leader="none"/>
              <w:tab w:pos="8634" w:val="right" w:leader="dot"/>
            </w:tabs>
            <w:spacing w:line="240" w:lineRule="auto" w:before="138" w:after="0"/>
            <w:ind w:left="1701" w:right="0" w:hanging="425"/>
            <w:jc w:val="left"/>
          </w:pPr>
          <w:hyperlink w:history="true" w:anchor="_bookmark35">
            <w:r>
              <w:rPr/>
              <w:t>Metode</w:t>
            </w:r>
            <w:r>
              <w:rPr>
                <w:spacing w:val="-7"/>
              </w:rPr>
              <w:t> </w:t>
            </w:r>
            <w:r>
              <w:rPr/>
              <w:t>Analisis</w:t>
            </w:r>
            <w:r>
              <w:rPr>
                <w:spacing w:val="-5"/>
              </w:rPr>
              <w:t> </w:t>
            </w:r>
            <w:r>
              <w:rPr>
                <w:spacing w:val="-4"/>
              </w:rPr>
              <w:t>Data</w:t>
            </w:r>
            <w:r>
              <w:rPr/>
              <w:tab/>
            </w:r>
            <w:r>
              <w:rPr>
                <w:spacing w:val="-5"/>
              </w:rPr>
              <w:t>81</w:t>
            </w:r>
          </w:hyperlink>
        </w:p>
        <w:p>
          <w:pPr>
            <w:pStyle w:val="TOC5"/>
            <w:numPr>
              <w:ilvl w:val="1"/>
              <w:numId w:val="4"/>
            </w:numPr>
            <w:tabs>
              <w:tab w:pos="2126" w:val="left" w:leader="none"/>
              <w:tab w:pos="8635" w:val="right" w:leader="dot"/>
            </w:tabs>
            <w:spacing w:line="240" w:lineRule="auto" w:before="138" w:after="0"/>
            <w:ind w:left="2126" w:right="0" w:hanging="424"/>
            <w:jc w:val="left"/>
          </w:pPr>
          <w:hyperlink w:history="true" w:anchor="_bookmark36">
            <w:r>
              <w:rPr/>
              <w:t>Analilis</w:t>
            </w:r>
            <w:r>
              <w:rPr>
                <w:spacing w:val="-6"/>
              </w:rPr>
              <w:t> </w:t>
            </w:r>
            <w:r>
              <w:rPr>
                <w:spacing w:val="-2"/>
              </w:rPr>
              <w:t>Deskriptif</w:t>
            </w:r>
            <w:r>
              <w:rPr/>
              <w:tab/>
            </w:r>
            <w:r>
              <w:rPr>
                <w:spacing w:val="-5"/>
              </w:rPr>
              <w:t>81</w:t>
            </w:r>
          </w:hyperlink>
        </w:p>
        <w:p>
          <w:pPr>
            <w:pStyle w:val="TOC5"/>
            <w:numPr>
              <w:ilvl w:val="1"/>
              <w:numId w:val="4"/>
            </w:numPr>
            <w:tabs>
              <w:tab w:pos="2126" w:val="left" w:leader="none"/>
              <w:tab w:pos="8634" w:val="right" w:leader="dot"/>
            </w:tabs>
            <w:spacing w:line="240" w:lineRule="auto" w:before="138" w:after="0"/>
            <w:ind w:left="2126" w:right="0" w:hanging="424"/>
            <w:jc w:val="left"/>
          </w:pPr>
          <w:hyperlink w:history="true" w:anchor="_bookmark37">
            <w:r>
              <w:rPr/>
              <w:t>Uji</w:t>
            </w:r>
            <w:r>
              <w:rPr>
                <w:spacing w:val="-4"/>
              </w:rPr>
              <w:t> </w:t>
            </w:r>
            <w:r>
              <w:rPr/>
              <w:t>Asumsi</w:t>
            </w:r>
            <w:r>
              <w:rPr>
                <w:spacing w:val="-3"/>
              </w:rPr>
              <w:t> </w:t>
            </w:r>
            <w:r>
              <w:rPr>
                <w:spacing w:val="-2"/>
              </w:rPr>
              <w:t>Klasik</w:t>
            </w:r>
            <w:r>
              <w:rPr/>
              <w:tab/>
            </w:r>
            <w:r>
              <w:rPr>
                <w:spacing w:val="-5"/>
              </w:rPr>
              <w:t>81</w:t>
            </w:r>
          </w:hyperlink>
        </w:p>
        <w:p>
          <w:pPr>
            <w:pStyle w:val="TOC5"/>
            <w:numPr>
              <w:ilvl w:val="1"/>
              <w:numId w:val="4"/>
            </w:numPr>
            <w:tabs>
              <w:tab w:pos="2126" w:val="left" w:leader="none"/>
              <w:tab w:pos="8633" w:val="right" w:leader="dot"/>
            </w:tabs>
            <w:spacing w:line="240" w:lineRule="auto" w:before="138" w:after="0"/>
            <w:ind w:left="2126" w:right="0" w:hanging="424"/>
            <w:jc w:val="left"/>
          </w:pPr>
          <w:hyperlink w:history="true" w:anchor="_bookmark38">
            <w:r>
              <w:rPr/>
              <w:t>Analisis</w:t>
            </w:r>
            <w:r>
              <w:rPr>
                <w:spacing w:val="-4"/>
              </w:rPr>
              <w:t> </w:t>
            </w:r>
            <w:r>
              <w:rPr/>
              <w:t>Regresi</w:t>
            </w:r>
            <w:r>
              <w:rPr>
                <w:spacing w:val="-4"/>
              </w:rPr>
              <w:t> </w:t>
            </w:r>
            <w:r>
              <w:rPr/>
              <w:t>Linier</w:t>
            </w:r>
            <w:r>
              <w:rPr>
                <w:spacing w:val="-4"/>
              </w:rPr>
              <w:t> </w:t>
            </w:r>
            <w:r>
              <w:rPr>
                <w:spacing w:val="-2"/>
              </w:rPr>
              <w:t>Berganda</w:t>
            </w:r>
            <w:r>
              <w:rPr/>
              <w:tab/>
            </w:r>
            <w:r>
              <w:rPr>
                <w:spacing w:val="-5"/>
              </w:rPr>
              <w:t>84</w:t>
            </w:r>
          </w:hyperlink>
        </w:p>
        <w:p>
          <w:pPr>
            <w:pStyle w:val="TOC5"/>
            <w:numPr>
              <w:ilvl w:val="1"/>
              <w:numId w:val="4"/>
            </w:numPr>
            <w:tabs>
              <w:tab w:pos="2126" w:val="left" w:leader="none"/>
              <w:tab w:pos="8633" w:val="right" w:leader="dot"/>
            </w:tabs>
            <w:spacing w:line="240" w:lineRule="auto" w:before="138" w:after="0"/>
            <w:ind w:left="2126" w:right="0" w:hanging="424"/>
            <w:jc w:val="left"/>
          </w:pPr>
          <w:hyperlink w:history="true" w:anchor="_bookmark39">
            <w:r>
              <w:rPr/>
              <w:t>Uji</w:t>
            </w:r>
            <w:r>
              <w:rPr>
                <w:spacing w:val="-4"/>
              </w:rPr>
              <w:t> </w:t>
            </w:r>
            <w:r>
              <w:rPr/>
              <w:t>Uji</w:t>
            </w:r>
            <w:r>
              <w:rPr>
                <w:spacing w:val="-1"/>
              </w:rPr>
              <w:t> </w:t>
            </w:r>
            <w:r>
              <w:rPr/>
              <w:t>F</w:t>
            </w:r>
            <w:r>
              <w:rPr>
                <w:spacing w:val="-1"/>
              </w:rPr>
              <w:t> </w:t>
            </w:r>
            <w:r>
              <w:rPr>
                <w:spacing w:val="-2"/>
              </w:rPr>
              <w:t>(Simultan)</w:t>
            </w:r>
            <w:r>
              <w:rPr/>
              <w:tab/>
            </w:r>
            <w:r>
              <w:rPr>
                <w:spacing w:val="-5"/>
              </w:rPr>
              <w:t>85</w:t>
            </w:r>
          </w:hyperlink>
        </w:p>
        <w:p>
          <w:pPr>
            <w:pStyle w:val="TOC5"/>
            <w:numPr>
              <w:ilvl w:val="1"/>
              <w:numId w:val="4"/>
            </w:numPr>
            <w:tabs>
              <w:tab w:pos="2126" w:val="left" w:leader="none"/>
              <w:tab w:pos="8634" w:val="right" w:leader="dot"/>
            </w:tabs>
            <w:spacing w:line="240" w:lineRule="auto" w:before="138" w:after="0"/>
            <w:ind w:left="2126" w:right="0" w:hanging="424"/>
            <w:jc w:val="left"/>
          </w:pPr>
          <w:hyperlink w:history="true" w:anchor="_bookmark40">
            <w:r>
              <w:rPr/>
              <w:t>Uji</w:t>
            </w:r>
            <w:r>
              <w:rPr>
                <w:spacing w:val="-1"/>
              </w:rPr>
              <w:t> </w:t>
            </w:r>
            <w:r>
              <w:rPr/>
              <w:t>t</w:t>
            </w:r>
            <w:r>
              <w:rPr>
                <w:spacing w:val="-1"/>
              </w:rPr>
              <w:t> </w:t>
            </w:r>
            <w:r>
              <w:rPr>
                <w:spacing w:val="-2"/>
              </w:rPr>
              <w:t>(Parsial)</w:t>
            </w:r>
            <w:r>
              <w:rPr/>
              <w:tab/>
            </w:r>
            <w:r>
              <w:rPr>
                <w:spacing w:val="-5"/>
              </w:rPr>
              <w:t>85</w:t>
            </w:r>
          </w:hyperlink>
        </w:p>
        <w:p>
          <w:pPr>
            <w:pStyle w:val="TOC5"/>
            <w:numPr>
              <w:ilvl w:val="1"/>
              <w:numId w:val="4"/>
            </w:numPr>
            <w:tabs>
              <w:tab w:pos="2126" w:val="left" w:leader="none"/>
              <w:tab w:pos="8633" w:val="right" w:leader="dot"/>
            </w:tabs>
            <w:spacing w:line="240" w:lineRule="auto" w:before="138" w:after="0"/>
            <w:ind w:left="2126" w:right="0" w:hanging="424"/>
            <w:jc w:val="left"/>
          </w:pPr>
          <w:hyperlink w:history="true" w:anchor="_bookmark41">
            <w:r>
              <w:rPr/>
              <w:t>Uji</w:t>
            </w:r>
            <w:r>
              <w:rPr>
                <w:spacing w:val="-6"/>
              </w:rPr>
              <w:t> </w:t>
            </w:r>
            <w:r>
              <w:rPr/>
              <w:t>R</w:t>
            </w:r>
            <w:r>
              <w:rPr>
                <w:vertAlign w:val="superscript"/>
              </w:rPr>
              <w:t>2</w:t>
            </w:r>
            <w:r>
              <w:rPr>
                <w:spacing w:val="-20"/>
                <w:vertAlign w:val="baseline"/>
              </w:rPr>
              <w:t> </w:t>
            </w:r>
            <w:r>
              <w:rPr>
                <w:vertAlign w:val="baseline"/>
              </w:rPr>
              <w:t>(Koefisien</w:t>
            </w:r>
            <w:r>
              <w:rPr>
                <w:spacing w:val="-3"/>
                <w:vertAlign w:val="baseline"/>
              </w:rPr>
              <w:t> </w:t>
            </w:r>
            <w:r>
              <w:rPr>
                <w:spacing w:val="-2"/>
                <w:vertAlign w:val="baseline"/>
              </w:rPr>
              <w:t>Determinasi)</w:t>
            </w:r>
            <w:r>
              <w:rPr>
                <w:vertAlign w:val="baseline"/>
              </w:rPr>
              <w:tab/>
            </w:r>
            <w:r>
              <w:rPr>
                <w:spacing w:val="-5"/>
                <w:vertAlign w:val="baseline"/>
              </w:rPr>
              <w:t>86</w:t>
            </w:r>
          </w:hyperlink>
        </w:p>
        <w:p>
          <w:pPr>
            <w:pStyle w:val="TOC2"/>
            <w:tabs>
              <w:tab w:pos="8634" w:val="right" w:leader="dot"/>
            </w:tabs>
          </w:pPr>
          <w:r>
            <w:rPr/>
            <w:t>BAB</w:t>
          </w:r>
          <w:r>
            <w:rPr>
              <w:spacing w:val="-2"/>
            </w:rPr>
            <w:t> </w:t>
          </w:r>
          <w:r>
            <w:rPr/>
            <w:t>IV</w:t>
          </w:r>
          <w:r>
            <w:rPr>
              <w:spacing w:val="-2"/>
            </w:rPr>
            <w:t> </w:t>
          </w:r>
          <w:r>
            <w:rPr/>
            <w:t>HASIL</w:t>
          </w:r>
          <w:r>
            <w:rPr>
              <w:spacing w:val="-2"/>
            </w:rPr>
            <w:t> </w:t>
          </w:r>
          <w:r>
            <w:rPr/>
            <w:t>DAN</w:t>
          </w:r>
          <w:r>
            <w:rPr>
              <w:spacing w:val="-2"/>
            </w:rPr>
            <w:t> PEMBAHASAN</w:t>
          </w:r>
          <w:r>
            <w:rPr/>
            <w:tab/>
          </w:r>
          <w:r>
            <w:rPr>
              <w:spacing w:val="-5"/>
            </w:rPr>
            <w:t>87</w:t>
          </w:r>
        </w:p>
        <w:p>
          <w:pPr>
            <w:pStyle w:val="TOC4"/>
            <w:numPr>
              <w:ilvl w:val="0"/>
              <w:numId w:val="5"/>
            </w:numPr>
            <w:tabs>
              <w:tab w:pos="1701" w:val="left" w:leader="none"/>
              <w:tab w:pos="8632" w:val="right" w:leader="dot"/>
            </w:tabs>
            <w:spacing w:line="240" w:lineRule="auto" w:before="138" w:after="0"/>
            <w:ind w:left="1701" w:right="0" w:hanging="425"/>
            <w:jc w:val="left"/>
          </w:pPr>
          <w:r>
            <w:rPr/>
            <w:t>Gambaran</w:t>
          </w:r>
          <w:r>
            <w:rPr>
              <w:spacing w:val="-4"/>
            </w:rPr>
            <w:t> </w:t>
          </w:r>
          <w:r>
            <w:rPr/>
            <w:t>Umum</w:t>
          </w:r>
          <w:r>
            <w:rPr>
              <w:spacing w:val="-3"/>
            </w:rPr>
            <w:t> </w:t>
          </w:r>
          <w:r>
            <w:rPr/>
            <w:t>Objek</w:t>
          </w:r>
          <w:r>
            <w:rPr>
              <w:spacing w:val="-3"/>
            </w:rPr>
            <w:t> </w:t>
          </w:r>
          <w:r>
            <w:rPr>
              <w:spacing w:val="-2"/>
            </w:rPr>
            <w:t>Penelitian</w:t>
          </w:r>
          <w:r>
            <w:rPr/>
            <w:tab/>
          </w:r>
          <w:r>
            <w:rPr>
              <w:spacing w:val="-5"/>
            </w:rPr>
            <w:t>87</w:t>
          </w:r>
        </w:p>
        <w:p>
          <w:pPr>
            <w:pStyle w:val="TOC4"/>
            <w:numPr>
              <w:ilvl w:val="0"/>
              <w:numId w:val="5"/>
            </w:numPr>
            <w:tabs>
              <w:tab w:pos="1701" w:val="left" w:leader="none"/>
              <w:tab w:pos="8634" w:val="right" w:leader="dot"/>
            </w:tabs>
            <w:spacing w:line="240" w:lineRule="auto" w:before="138" w:after="0"/>
            <w:ind w:left="1701" w:right="0" w:hanging="425"/>
            <w:jc w:val="left"/>
          </w:pPr>
          <w:r>
            <w:rPr/>
            <w:t>Hasil</w:t>
          </w:r>
          <w:r>
            <w:rPr>
              <w:spacing w:val="-3"/>
            </w:rPr>
            <w:t> </w:t>
          </w:r>
          <w:r>
            <w:rPr>
              <w:spacing w:val="-2"/>
            </w:rPr>
            <w:t>Penelitian</w:t>
          </w:r>
          <w:r>
            <w:rPr/>
            <w:tab/>
          </w:r>
          <w:r>
            <w:rPr>
              <w:spacing w:val="-5"/>
            </w:rPr>
            <w:t>89</w:t>
          </w:r>
        </w:p>
        <w:p>
          <w:pPr>
            <w:pStyle w:val="TOC5"/>
            <w:numPr>
              <w:ilvl w:val="1"/>
              <w:numId w:val="5"/>
            </w:numPr>
            <w:tabs>
              <w:tab w:pos="2126" w:val="left" w:leader="none"/>
              <w:tab w:pos="8634" w:val="right" w:leader="dot"/>
            </w:tabs>
            <w:spacing w:line="240" w:lineRule="auto" w:before="138" w:after="0"/>
            <w:ind w:left="2126" w:right="0" w:hanging="424"/>
            <w:jc w:val="left"/>
          </w:pPr>
          <w:r>
            <w:rPr/>
            <w:t>Analisis</w:t>
          </w:r>
          <w:r>
            <w:rPr>
              <w:spacing w:val="-4"/>
            </w:rPr>
            <w:t> </w:t>
          </w:r>
          <w:r>
            <w:rPr/>
            <w:t>Statistik</w:t>
          </w:r>
          <w:r>
            <w:rPr>
              <w:spacing w:val="-4"/>
            </w:rPr>
            <w:t> </w:t>
          </w:r>
          <w:r>
            <w:rPr>
              <w:spacing w:val="-2"/>
            </w:rPr>
            <w:t>Deskriptif</w:t>
          </w:r>
          <w:r>
            <w:rPr/>
            <w:tab/>
          </w:r>
          <w:r>
            <w:rPr>
              <w:spacing w:val="-5"/>
            </w:rPr>
            <w:t>89</w:t>
          </w:r>
        </w:p>
        <w:p>
          <w:pPr>
            <w:pStyle w:val="TOC5"/>
            <w:numPr>
              <w:ilvl w:val="1"/>
              <w:numId w:val="5"/>
            </w:numPr>
            <w:tabs>
              <w:tab w:pos="2126" w:val="left" w:leader="none"/>
              <w:tab w:pos="8634" w:val="right" w:leader="dot"/>
            </w:tabs>
            <w:spacing w:line="240" w:lineRule="auto" w:before="138" w:after="0"/>
            <w:ind w:left="2126" w:right="0" w:hanging="424"/>
            <w:jc w:val="left"/>
          </w:pPr>
          <w:r>
            <w:rPr/>
            <w:t>Uji</w:t>
          </w:r>
          <w:r>
            <w:rPr>
              <w:spacing w:val="-4"/>
            </w:rPr>
            <w:t> </w:t>
          </w:r>
          <w:r>
            <w:rPr/>
            <w:t>Asumsi</w:t>
          </w:r>
          <w:r>
            <w:rPr>
              <w:spacing w:val="-3"/>
            </w:rPr>
            <w:t> </w:t>
          </w:r>
          <w:r>
            <w:rPr>
              <w:spacing w:val="-2"/>
            </w:rPr>
            <w:t>Klasik</w:t>
          </w:r>
          <w:r>
            <w:rPr/>
            <w:tab/>
          </w:r>
          <w:r>
            <w:rPr>
              <w:spacing w:val="-5"/>
            </w:rPr>
            <w:t>91</w:t>
          </w:r>
        </w:p>
        <w:p>
          <w:pPr>
            <w:pStyle w:val="TOC5"/>
            <w:numPr>
              <w:ilvl w:val="1"/>
              <w:numId w:val="5"/>
            </w:numPr>
            <w:tabs>
              <w:tab w:pos="2126" w:val="left" w:leader="none"/>
              <w:tab w:pos="8633" w:val="right" w:leader="dot"/>
            </w:tabs>
            <w:spacing w:line="240" w:lineRule="auto" w:before="137" w:after="0"/>
            <w:ind w:left="2126" w:right="0" w:hanging="424"/>
            <w:jc w:val="left"/>
          </w:pPr>
          <w:r>
            <w:rPr/>
            <w:t>Analisis</w:t>
          </w:r>
          <w:r>
            <w:rPr>
              <w:spacing w:val="-4"/>
            </w:rPr>
            <w:t> </w:t>
          </w:r>
          <w:r>
            <w:rPr/>
            <w:t>Regresi</w:t>
          </w:r>
          <w:r>
            <w:rPr>
              <w:spacing w:val="-4"/>
            </w:rPr>
            <w:t> </w:t>
          </w:r>
          <w:r>
            <w:rPr/>
            <w:t>Linear</w:t>
          </w:r>
          <w:r>
            <w:rPr>
              <w:spacing w:val="-3"/>
            </w:rPr>
            <w:t> </w:t>
          </w:r>
          <w:r>
            <w:rPr>
              <w:spacing w:val="-2"/>
            </w:rPr>
            <w:t>Berganda</w:t>
          </w:r>
          <w:r>
            <w:rPr/>
            <w:tab/>
          </w:r>
          <w:r>
            <w:rPr>
              <w:spacing w:val="-5"/>
            </w:rPr>
            <w:t>95</w:t>
          </w:r>
        </w:p>
        <w:p>
          <w:pPr>
            <w:pStyle w:val="TOC5"/>
            <w:numPr>
              <w:ilvl w:val="1"/>
              <w:numId w:val="5"/>
            </w:numPr>
            <w:tabs>
              <w:tab w:pos="2126" w:val="left" w:leader="none"/>
              <w:tab w:pos="8631" w:val="right" w:leader="dot"/>
            </w:tabs>
            <w:spacing w:line="240" w:lineRule="auto" w:before="138" w:after="0"/>
            <w:ind w:left="2126" w:right="0" w:hanging="424"/>
            <w:jc w:val="left"/>
          </w:pPr>
          <w:r>
            <w:rPr/>
            <w:t>Analisis</w:t>
          </w:r>
          <w:r>
            <w:rPr>
              <w:spacing w:val="-4"/>
            </w:rPr>
            <w:t> </w:t>
          </w:r>
          <w:r>
            <w:rPr/>
            <w:t>Regresi</w:t>
          </w:r>
          <w:r>
            <w:rPr>
              <w:spacing w:val="-4"/>
            </w:rPr>
            <w:t> </w:t>
          </w:r>
          <w:r>
            <w:rPr/>
            <w:t>Moderasi</w:t>
          </w:r>
          <w:r>
            <w:rPr>
              <w:spacing w:val="-4"/>
            </w:rPr>
            <w:t> </w:t>
          </w:r>
          <w:r>
            <w:rPr/>
            <w:t>dengan</w:t>
          </w:r>
          <w:r>
            <w:rPr>
              <w:spacing w:val="-4"/>
            </w:rPr>
            <w:t> </w:t>
          </w:r>
          <w:r>
            <w:rPr/>
            <w:t>Pendekatan</w:t>
          </w:r>
          <w:r>
            <w:rPr>
              <w:spacing w:val="-4"/>
            </w:rPr>
            <w:t> </w:t>
          </w:r>
          <w:r>
            <w:rPr/>
            <w:t>Selisih</w:t>
          </w:r>
          <w:r>
            <w:rPr>
              <w:spacing w:val="-3"/>
            </w:rPr>
            <w:t> </w:t>
          </w:r>
          <w:r>
            <w:rPr>
              <w:spacing w:val="-2"/>
            </w:rPr>
            <w:t>Mutlak</w:t>
          </w:r>
          <w:r>
            <w:rPr/>
            <w:tab/>
          </w:r>
          <w:r>
            <w:rPr>
              <w:spacing w:val="-5"/>
            </w:rPr>
            <w:t>97</w:t>
          </w:r>
        </w:p>
        <w:p>
          <w:pPr>
            <w:pStyle w:val="TOC5"/>
            <w:numPr>
              <w:ilvl w:val="1"/>
              <w:numId w:val="5"/>
            </w:numPr>
            <w:tabs>
              <w:tab w:pos="2126" w:val="left" w:leader="none"/>
              <w:tab w:pos="8633" w:val="right" w:leader="dot"/>
            </w:tabs>
            <w:spacing w:line="240" w:lineRule="auto" w:before="138" w:after="0"/>
            <w:ind w:left="2126" w:right="0" w:hanging="424"/>
            <w:jc w:val="left"/>
          </w:pPr>
          <w:r>
            <w:rPr/>
            <w:t>Uji</w:t>
          </w:r>
          <w:r>
            <w:rPr>
              <w:spacing w:val="-4"/>
            </w:rPr>
            <w:t> </w:t>
          </w:r>
          <w:r>
            <w:rPr/>
            <w:t>Hipotesis</w:t>
          </w:r>
          <w:r>
            <w:rPr>
              <w:spacing w:val="-4"/>
            </w:rPr>
            <w:t> </w:t>
          </w:r>
          <w:r>
            <w:rPr/>
            <w:t>Tanpa</w:t>
          </w:r>
          <w:r>
            <w:rPr>
              <w:spacing w:val="-3"/>
            </w:rPr>
            <w:t> </w:t>
          </w:r>
          <w:r>
            <w:rPr>
              <w:spacing w:val="-2"/>
            </w:rPr>
            <w:t>Moderasi</w:t>
          </w:r>
          <w:r>
            <w:rPr/>
            <w:tab/>
          </w:r>
          <w:r>
            <w:rPr>
              <w:spacing w:val="-5"/>
            </w:rPr>
            <w:t>98</w:t>
          </w:r>
        </w:p>
        <w:p>
          <w:pPr>
            <w:pStyle w:val="TOC5"/>
            <w:numPr>
              <w:ilvl w:val="1"/>
              <w:numId w:val="5"/>
            </w:numPr>
            <w:tabs>
              <w:tab w:pos="2126" w:val="left" w:leader="none"/>
              <w:tab w:pos="8632" w:val="right" w:leader="dot"/>
            </w:tabs>
            <w:spacing w:line="240" w:lineRule="auto" w:before="138" w:after="0"/>
            <w:ind w:left="2126" w:right="0" w:hanging="424"/>
            <w:jc w:val="left"/>
          </w:pPr>
          <w:r>
            <w:rPr/>
            <w:t>Uji</w:t>
          </w:r>
          <w:r>
            <w:rPr>
              <w:spacing w:val="-4"/>
            </w:rPr>
            <w:t> </w:t>
          </w:r>
          <w:r>
            <w:rPr/>
            <w:t>Hipotesis</w:t>
          </w:r>
          <w:r>
            <w:rPr>
              <w:spacing w:val="-4"/>
            </w:rPr>
            <w:t> </w:t>
          </w:r>
          <w:r>
            <w:rPr/>
            <w:t>dengan</w:t>
          </w:r>
          <w:r>
            <w:rPr>
              <w:spacing w:val="-4"/>
            </w:rPr>
            <w:t> </w:t>
          </w:r>
          <w:r>
            <w:rPr>
              <w:spacing w:val="-2"/>
            </w:rPr>
            <w:t>Moderasi</w:t>
          </w:r>
          <w:r>
            <w:rPr/>
            <w:tab/>
          </w:r>
          <w:r>
            <w:rPr>
              <w:spacing w:val="-5"/>
            </w:rPr>
            <w:t>101</w:t>
          </w:r>
        </w:p>
        <w:p>
          <w:pPr>
            <w:pStyle w:val="TOC4"/>
            <w:numPr>
              <w:ilvl w:val="0"/>
              <w:numId w:val="5"/>
            </w:numPr>
            <w:tabs>
              <w:tab w:pos="1701" w:val="left" w:leader="none"/>
              <w:tab w:pos="8634" w:val="right" w:leader="dot"/>
            </w:tabs>
            <w:spacing w:line="240" w:lineRule="auto" w:before="138" w:after="0"/>
            <w:ind w:left="1701" w:right="0" w:hanging="425"/>
            <w:jc w:val="left"/>
          </w:pPr>
          <w:r>
            <w:rPr>
              <w:spacing w:val="-2"/>
            </w:rPr>
            <w:t>Pembahasan</w:t>
          </w:r>
          <w:r>
            <w:rPr/>
            <w:tab/>
          </w:r>
          <w:r>
            <w:rPr>
              <w:spacing w:val="-5"/>
            </w:rPr>
            <w:t>105</w:t>
          </w:r>
        </w:p>
        <w:p>
          <w:pPr>
            <w:pStyle w:val="TOC2"/>
            <w:tabs>
              <w:tab w:pos="8633" w:val="right" w:leader="dot"/>
            </w:tabs>
          </w:pPr>
          <w:r>
            <w:rPr/>
            <w:t>BAB</w:t>
          </w:r>
          <w:r>
            <w:rPr>
              <w:spacing w:val="-3"/>
            </w:rPr>
            <w:t> </w:t>
          </w:r>
          <w:r>
            <w:rPr/>
            <w:t>V</w:t>
          </w:r>
          <w:r>
            <w:rPr>
              <w:spacing w:val="-2"/>
            </w:rPr>
            <w:t> </w:t>
          </w:r>
          <w:r>
            <w:rPr/>
            <w:t>KESIMPULAN</w:t>
          </w:r>
          <w:r>
            <w:rPr>
              <w:spacing w:val="-3"/>
            </w:rPr>
            <w:t> </w:t>
          </w:r>
          <w:r>
            <w:rPr/>
            <w:t>DAN</w:t>
          </w:r>
          <w:r>
            <w:rPr>
              <w:spacing w:val="-2"/>
            </w:rPr>
            <w:t> SARAN.</w:t>
          </w:r>
          <w:r>
            <w:rPr/>
            <w:tab/>
          </w:r>
          <w:r>
            <w:rPr>
              <w:spacing w:val="-5"/>
            </w:rPr>
            <w:t>118</w:t>
          </w:r>
        </w:p>
        <w:p>
          <w:pPr>
            <w:pStyle w:val="TOC4"/>
            <w:numPr>
              <w:ilvl w:val="0"/>
              <w:numId w:val="6"/>
            </w:numPr>
            <w:tabs>
              <w:tab w:pos="1701" w:val="left" w:leader="none"/>
              <w:tab w:pos="8634" w:val="right" w:leader="dot"/>
            </w:tabs>
            <w:spacing w:line="240" w:lineRule="auto" w:before="138" w:after="0"/>
            <w:ind w:left="1701" w:right="0" w:hanging="425"/>
            <w:jc w:val="left"/>
          </w:pPr>
          <w:r>
            <w:rPr>
              <w:spacing w:val="-2"/>
            </w:rPr>
            <w:t>Kesimpulan</w:t>
          </w:r>
          <w:r>
            <w:rPr/>
            <w:tab/>
          </w:r>
          <w:r>
            <w:rPr>
              <w:spacing w:val="-5"/>
            </w:rPr>
            <w:t>118</w:t>
          </w:r>
        </w:p>
        <w:p>
          <w:pPr>
            <w:pStyle w:val="TOC4"/>
            <w:numPr>
              <w:ilvl w:val="0"/>
              <w:numId w:val="6"/>
            </w:numPr>
            <w:tabs>
              <w:tab w:pos="1701" w:val="left" w:leader="none"/>
              <w:tab w:pos="8635" w:val="right" w:leader="dot"/>
            </w:tabs>
            <w:spacing w:line="240" w:lineRule="auto" w:before="138" w:after="0"/>
            <w:ind w:left="1701" w:right="0" w:hanging="425"/>
            <w:jc w:val="left"/>
          </w:pPr>
          <w:r>
            <w:rPr>
              <w:spacing w:val="-2"/>
            </w:rPr>
            <w:t>Saran</w:t>
          </w:r>
          <w:r>
            <w:rPr/>
            <w:tab/>
          </w:r>
          <w:r>
            <w:rPr>
              <w:spacing w:val="-5"/>
            </w:rPr>
            <w:t>119</w:t>
          </w:r>
        </w:p>
        <w:p>
          <w:pPr>
            <w:pStyle w:val="TOC2"/>
            <w:tabs>
              <w:tab w:pos="8634" w:val="right" w:leader="dot"/>
            </w:tabs>
          </w:pPr>
          <w:r>
            <w:rPr/>
            <w:t>DAFTAR</w:t>
          </w:r>
          <w:r>
            <w:rPr>
              <w:spacing w:val="-4"/>
            </w:rPr>
            <w:t> </w:t>
          </w:r>
          <w:r>
            <w:rPr>
              <w:spacing w:val="-2"/>
            </w:rPr>
            <w:t>PUSTAKA</w:t>
          </w:r>
          <w:r>
            <w:rPr/>
            <w:tab/>
          </w:r>
          <w:r>
            <w:rPr>
              <w:spacing w:val="-5"/>
            </w:rPr>
            <w:t>122</w:t>
          </w:r>
        </w:p>
        <w:p>
          <w:pPr>
            <w:pStyle w:val="TOC2"/>
            <w:tabs>
              <w:tab w:pos="8634" w:val="right" w:leader="dot"/>
            </w:tabs>
          </w:pPr>
          <w:r>
            <w:rPr>
              <w:spacing w:val="-2"/>
            </w:rPr>
            <w:t>LAMPIRAN</w:t>
          </w:r>
          <w:r>
            <w:rPr/>
            <w:tab/>
          </w:r>
          <w:r>
            <w:rPr>
              <w:spacing w:val="-5"/>
            </w:rPr>
            <w:t>127</w:t>
          </w:r>
        </w:p>
      </w:sdtContent>
    </w:sdt>
    <w:p>
      <w:pPr>
        <w:pStyle w:val="TOC2"/>
        <w:spacing w:after="0"/>
        <w:sectPr>
          <w:type w:val="continuous"/>
          <w:pgSz w:w="11910" w:h="16840"/>
          <w:pgMar w:header="0" w:footer="0" w:top="1938" w:bottom="956" w:left="1559" w:right="992"/>
        </w:sect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71"/>
        <w:rPr>
          <w:rFonts w:ascii="Times New Roman"/>
        </w:rPr>
      </w:pPr>
    </w:p>
    <w:p>
      <w:pPr>
        <w:pStyle w:val="BodyText"/>
        <w:ind w:left="733" w:right="734"/>
        <w:jc w:val="center"/>
        <w:rPr>
          <w:rFonts w:ascii="Times New Roman"/>
        </w:rPr>
      </w:pPr>
      <w:r>
        <w:rPr>
          <w:rFonts w:ascii="Times New Roman"/>
          <w:spacing w:val="-5"/>
        </w:rPr>
        <w:t>xi</w:t>
      </w:r>
    </w:p>
    <w:p>
      <w:pPr>
        <w:pStyle w:val="BodyText"/>
        <w:spacing w:after="0"/>
        <w:jc w:val="center"/>
        <w:rPr>
          <w:rFonts w:ascii="Times New Roman"/>
        </w:rPr>
        <w:sectPr>
          <w:type w:val="continuous"/>
          <w:pgSz w:w="11910" w:h="16840"/>
          <w:pgMar w:header="0" w:footer="0" w:top="1920" w:bottom="280" w:left="1559" w:right="992"/>
        </w:sectPr>
      </w:pPr>
    </w:p>
    <w:p>
      <w:pPr>
        <w:pStyle w:val="BodyText"/>
        <w:spacing w:before="54"/>
        <w:rPr>
          <w:rFonts w:ascii="Times New Roman"/>
        </w:rPr>
      </w:pPr>
    </w:p>
    <w:p>
      <w:pPr>
        <w:pStyle w:val="Heading1"/>
        <w:jc w:val="center"/>
      </w:pPr>
      <w:bookmarkStart w:name="_bookmark4" w:id="5"/>
      <w:bookmarkEnd w:id="5"/>
      <w:r>
        <w:rPr>
          <w:b w:val="0"/>
        </w:rPr>
      </w:r>
      <w:r>
        <w:rPr/>
        <w:t>DAFTAR</w:t>
      </w:r>
      <w:r>
        <w:rPr>
          <w:spacing w:val="-3"/>
        </w:rPr>
        <w:t> </w:t>
      </w:r>
      <w:r>
        <w:rPr>
          <w:spacing w:val="-2"/>
        </w:rPr>
        <w:t>TABEL</w:t>
      </w:r>
    </w:p>
    <w:p>
      <w:pPr>
        <w:pStyle w:val="BodyText"/>
        <w:tabs>
          <w:tab w:pos="8355" w:val="left" w:leader="dot"/>
        </w:tabs>
        <w:spacing w:before="276"/>
        <w:ind w:left="709"/>
      </w:pPr>
      <w:hyperlink w:history="true" w:anchor="_bookmark22">
        <w:r>
          <w:rPr/>
          <w:t>Tabel</w:t>
        </w:r>
        <w:r>
          <w:rPr>
            <w:spacing w:val="-5"/>
          </w:rPr>
          <w:t> </w:t>
        </w:r>
        <w:r>
          <w:rPr/>
          <w:t>2.1</w:t>
        </w:r>
        <w:r>
          <w:rPr>
            <w:spacing w:val="-4"/>
          </w:rPr>
          <w:t> </w:t>
        </w:r>
        <w:r>
          <w:rPr/>
          <w:t>Penelitian</w:t>
        </w:r>
        <w:r>
          <w:rPr>
            <w:spacing w:val="-4"/>
          </w:rPr>
          <w:t> </w:t>
        </w:r>
        <w:r>
          <w:rPr>
            <w:spacing w:val="-2"/>
          </w:rPr>
          <w:t>Terdahulu</w:t>
        </w:r>
        <w:r>
          <w:rPr>
            <w:rFonts w:ascii="Times New Roman"/>
          </w:rPr>
          <w:tab/>
        </w:r>
        <w:r>
          <w:rPr>
            <w:spacing w:val="-5"/>
          </w:rPr>
          <w:t>50</w:t>
        </w:r>
      </w:hyperlink>
    </w:p>
    <w:p>
      <w:pPr>
        <w:pStyle w:val="BodyText"/>
        <w:tabs>
          <w:tab w:pos="1625" w:val="left" w:leader="none"/>
          <w:tab w:pos="2276" w:val="left" w:leader="none"/>
          <w:tab w:pos="3246" w:val="left" w:leader="none"/>
          <w:tab w:pos="8352" w:val="left" w:leader="dot"/>
        </w:tabs>
        <w:spacing w:line="360" w:lineRule="auto" w:before="138"/>
        <w:ind w:left="2127" w:right="733" w:hanging="1418"/>
      </w:pPr>
      <w:hyperlink w:history="true" w:anchor="_bookmark29">
        <w:r>
          <w:rPr>
            <w:spacing w:val="-2"/>
          </w:rPr>
          <w:t>Tabel</w:t>
        </w:r>
        <w:r>
          <w:rPr/>
          <w:tab/>
        </w:r>
        <w:r>
          <w:rPr>
            <w:spacing w:val="-4"/>
          </w:rPr>
          <w:t>3.1</w:t>
        </w:r>
        <w:r>
          <w:rPr/>
          <w:tab/>
          <w:tab/>
        </w:r>
        <w:r>
          <w:rPr>
            <w:spacing w:val="-2"/>
          </w:rPr>
          <w:t>Daftar</w:t>
        </w:r>
        <w:r>
          <w:rPr/>
          <w:tab/>
          <w:t>Populasi</w:t>
        </w:r>
        <w:r>
          <w:rPr>
            <w:spacing w:val="40"/>
          </w:rPr>
          <w:t>  </w:t>
        </w:r>
        <w:r>
          <w:rPr/>
          <w:t>Perusahaan</w:t>
        </w:r>
        <w:r>
          <w:rPr>
            <w:spacing w:val="40"/>
          </w:rPr>
          <w:t>  </w:t>
        </w:r>
        <w:r>
          <w:rPr/>
          <w:t>Manufaktur</w:t>
        </w:r>
        <w:r>
          <w:rPr>
            <w:spacing w:val="40"/>
          </w:rPr>
          <w:t>  </w:t>
        </w:r>
        <w:r>
          <w:rPr/>
          <w:t>Sektor</w:t>
        </w:r>
      </w:hyperlink>
      <w:r>
        <w:rPr>
          <w:spacing w:val="80"/>
        </w:rPr>
        <w:t> </w:t>
      </w:r>
      <w:hyperlink w:history="true" w:anchor="_bookmark29">
        <w:r>
          <w:rPr>
            <w:spacing w:val="-2"/>
          </w:rPr>
          <w:t>Pertambangan.</w:t>
        </w:r>
        <w:r>
          <w:rPr>
            <w:rFonts w:ascii="Times New Roman"/>
          </w:rPr>
          <w:tab/>
        </w:r>
        <w:r>
          <w:rPr>
            <w:spacing w:val="-5"/>
          </w:rPr>
          <w:t>72</w:t>
        </w:r>
      </w:hyperlink>
    </w:p>
    <w:p>
      <w:pPr>
        <w:pStyle w:val="BodyText"/>
        <w:tabs>
          <w:tab w:pos="8353" w:val="left" w:leader="dot"/>
        </w:tabs>
        <w:ind w:left="709"/>
      </w:pPr>
      <w:hyperlink w:history="true" w:anchor="_bookmark30">
        <w:r>
          <w:rPr/>
          <w:t>Tabel</w:t>
        </w:r>
        <w:r>
          <w:rPr>
            <w:spacing w:val="-4"/>
          </w:rPr>
          <w:t> </w:t>
        </w:r>
        <w:r>
          <w:rPr/>
          <w:t>3.2</w:t>
        </w:r>
        <w:r>
          <w:rPr>
            <w:spacing w:val="-4"/>
          </w:rPr>
          <w:t> </w:t>
        </w:r>
        <w:r>
          <w:rPr/>
          <w:t>Kriteria</w:t>
        </w:r>
        <w:r>
          <w:rPr>
            <w:spacing w:val="-3"/>
          </w:rPr>
          <w:t> </w:t>
        </w:r>
        <w:r>
          <w:rPr>
            <w:spacing w:val="-2"/>
          </w:rPr>
          <w:t>Sampel</w:t>
        </w:r>
        <w:r>
          <w:rPr>
            <w:rFonts w:ascii="Times New Roman"/>
          </w:rPr>
          <w:tab/>
        </w:r>
        <w:r>
          <w:rPr>
            <w:spacing w:val="-5"/>
          </w:rPr>
          <w:t>74</w:t>
        </w:r>
      </w:hyperlink>
    </w:p>
    <w:p>
      <w:pPr>
        <w:pStyle w:val="BodyText"/>
        <w:tabs>
          <w:tab w:pos="8354" w:val="left" w:leader="dot"/>
        </w:tabs>
        <w:spacing w:before="138"/>
        <w:ind w:left="709"/>
      </w:pPr>
      <w:hyperlink w:history="true" w:anchor="_bookmark31">
        <w:r>
          <w:rPr/>
          <w:t>Tabel</w:t>
        </w:r>
        <w:r>
          <w:rPr>
            <w:spacing w:val="-3"/>
          </w:rPr>
          <w:t> </w:t>
        </w:r>
        <w:r>
          <w:rPr/>
          <w:t>3.3</w:t>
        </w:r>
        <w:r>
          <w:rPr>
            <w:spacing w:val="-3"/>
          </w:rPr>
          <w:t> </w:t>
        </w:r>
        <w:r>
          <w:rPr/>
          <w:t>Sampel</w:t>
        </w:r>
        <w:r>
          <w:rPr>
            <w:spacing w:val="-3"/>
          </w:rPr>
          <w:t> </w:t>
        </w:r>
        <w:r>
          <w:rPr>
            <w:spacing w:val="-2"/>
          </w:rPr>
          <w:t>Penelitian</w:t>
        </w:r>
        <w:r>
          <w:rPr>
            <w:rFonts w:ascii="Times New Roman"/>
          </w:rPr>
          <w:tab/>
        </w:r>
        <w:r>
          <w:rPr>
            <w:spacing w:val="-5"/>
          </w:rPr>
          <w:t>74</w:t>
        </w:r>
      </w:hyperlink>
    </w:p>
    <w:p>
      <w:pPr>
        <w:pStyle w:val="BodyText"/>
        <w:tabs>
          <w:tab w:pos="8357" w:val="left" w:leader="dot"/>
        </w:tabs>
        <w:spacing w:before="138"/>
        <w:ind w:left="709"/>
      </w:pPr>
      <w:hyperlink w:history="true" w:anchor="_bookmark33">
        <w:r>
          <w:rPr/>
          <w:t>Tabel</w:t>
        </w:r>
        <w:r>
          <w:rPr>
            <w:spacing w:val="-6"/>
          </w:rPr>
          <w:t> </w:t>
        </w:r>
        <w:r>
          <w:rPr/>
          <w:t>3.4</w:t>
        </w:r>
        <w:r>
          <w:rPr>
            <w:spacing w:val="-5"/>
          </w:rPr>
          <w:t> </w:t>
        </w:r>
        <w:r>
          <w:rPr/>
          <w:t>Definisi</w:t>
        </w:r>
        <w:r>
          <w:rPr>
            <w:spacing w:val="-6"/>
          </w:rPr>
          <w:t> </w:t>
        </w:r>
        <w:r>
          <w:rPr/>
          <w:t>Operasional</w:t>
        </w:r>
        <w:r>
          <w:rPr>
            <w:spacing w:val="-5"/>
          </w:rPr>
          <w:t> </w:t>
        </w:r>
        <w:r>
          <w:rPr>
            <w:spacing w:val="-2"/>
          </w:rPr>
          <w:t>Variabel</w:t>
        </w:r>
        <w:r>
          <w:rPr>
            <w:rFonts w:ascii="Times New Roman"/>
          </w:rPr>
          <w:tab/>
        </w:r>
        <w:r>
          <w:rPr>
            <w:spacing w:val="-5"/>
          </w:rPr>
          <w:t>78</w:t>
        </w:r>
      </w:hyperlink>
    </w:p>
    <w:p>
      <w:pPr>
        <w:pStyle w:val="BodyText"/>
        <w:tabs>
          <w:tab w:pos="8357" w:val="left" w:leader="dot"/>
        </w:tabs>
        <w:spacing w:before="138"/>
        <w:ind w:left="709"/>
      </w:pPr>
      <w:r>
        <w:rPr/>
        <w:t>Tabel</w:t>
      </w:r>
      <w:r>
        <w:rPr>
          <w:spacing w:val="-2"/>
        </w:rPr>
        <w:t> </w:t>
      </w:r>
      <w:r>
        <w:rPr/>
        <w:t>4.1</w:t>
      </w:r>
      <w:r>
        <w:rPr>
          <w:spacing w:val="-2"/>
        </w:rPr>
        <w:t> </w:t>
      </w:r>
      <w:r>
        <w:rPr/>
        <w:t>Hasil</w:t>
      </w:r>
      <w:r>
        <w:rPr>
          <w:spacing w:val="-2"/>
        </w:rPr>
        <w:t> </w:t>
      </w:r>
      <w:r>
        <w:rPr/>
        <w:t>Analisis</w:t>
      </w:r>
      <w:r>
        <w:rPr>
          <w:spacing w:val="-2"/>
        </w:rPr>
        <w:t> </w:t>
      </w:r>
      <w:r>
        <w:rPr/>
        <w:t>Statistik</w:t>
      </w:r>
      <w:r>
        <w:rPr>
          <w:spacing w:val="-1"/>
        </w:rPr>
        <w:t> </w:t>
      </w:r>
      <w:r>
        <w:rPr>
          <w:spacing w:val="-2"/>
        </w:rPr>
        <w:t>Deskriptif</w:t>
      </w:r>
      <w:r>
        <w:rPr>
          <w:rFonts w:ascii="Times New Roman"/>
        </w:rPr>
        <w:tab/>
      </w:r>
      <w:r>
        <w:rPr>
          <w:spacing w:val="-5"/>
        </w:rPr>
        <w:t>89</w:t>
      </w:r>
    </w:p>
    <w:p>
      <w:pPr>
        <w:pStyle w:val="BodyText"/>
        <w:tabs>
          <w:tab w:pos="8355" w:val="left" w:leader="dot"/>
        </w:tabs>
        <w:spacing w:before="138"/>
        <w:ind w:left="709"/>
      </w:pPr>
      <w:r>
        <w:rPr/>
        <w:t>Tabel</w:t>
      </w:r>
      <w:r>
        <w:rPr>
          <w:spacing w:val="-3"/>
        </w:rPr>
        <w:t> </w:t>
      </w:r>
      <w:r>
        <w:rPr/>
        <w:t>4.2</w:t>
      </w:r>
      <w:r>
        <w:rPr>
          <w:spacing w:val="-3"/>
        </w:rPr>
        <w:t> </w:t>
      </w:r>
      <w:r>
        <w:rPr/>
        <w:t>Hasil</w:t>
      </w:r>
      <w:r>
        <w:rPr>
          <w:spacing w:val="-3"/>
        </w:rPr>
        <w:t> </w:t>
      </w:r>
      <w:r>
        <w:rPr/>
        <w:t>Uji</w:t>
      </w:r>
      <w:r>
        <w:rPr>
          <w:spacing w:val="-2"/>
        </w:rPr>
        <w:t> Normalitas</w:t>
      </w:r>
      <w:r>
        <w:rPr>
          <w:rFonts w:ascii="Times New Roman"/>
        </w:rPr>
        <w:tab/>
      </w:r>
      <w:r>
        <w:rPr>
          <w:spacing w:val="-5"/>
        </w:rPr>
        <w:t>92</w:t>
      </w:r>
    </w:p>
    <w:p>
      <w:pPr>
        <w:pStyle w:val="BodyText"/>
        <w:tabs>
          <w:tab w:pos="8357" w:val="left" w:leader="dot"/>
        </w:tabs>
        <w:spacing w:before="138"/>
        <w:ind w:left="709"/>
      </w:pPr>
      <w:r>
        <w:rPr/>
        <w:t>Tabel</w:t>
      </w:r>
      <w:r>
        <w:rPr>
          <w:spacing w:val="-3"/>
        </w:rPr>
        <w:t> </w:t>
      </w:r>
      <w:r>
        <w:rPr/>
        <w:t>4.3</w:t>
      </w:r>
      <w:r>
        <w:rPr>
          <w:spacing w:val="-3"/>
        </w:rPr>
        <w:t> </w:t>
      </w:r>
      <w:r>
        <w:rPr/>
        <w:t>Hasil</w:t>
      </w:r>
      <w:r>
        <w:rPr>
          <w:spacing w:val="-3"/>
        </w:rPr>
        <w:t> </w:t>
      </w:r>
      <w:r>
        <w:rPr/>
        <w:t>Uji</w:t>
      </w:r>
      <w:r>
        <w:rPr>
          <w:spacing w:val="-2"/>
        </w:rPr>
        <w:t> Heterokedastisitas</w:t>
      </w:r>
      <w:r>
        <w:rPr>
          <w:rFonts w:ascii="Times New Roman"/>
        </w:rPr>
        <w:tab/>
      </w:r>
      <w:r>
        <w:rPr>
          <w:spacing w:val="-5"/>
        </w:rPr>
        <w:t>93</w:t>
      </w:r>
    </w:p>
    <w:p>
      <w:pPr>
        <w:pStyle w:val="BodyText"/>
        <w:tabs>
          <w:tab w:pos="8357" w:val="left" w:leader="dot"/>
        </w:tabs>
        <w:spacing w:before="138"/>
        <w:ind w:left="709"/>
      </w:pPr>
      <w:r>
        <w:rPr/>
        <w:t>Tabel</w:t>
      </w:r>
      <w:r>
        <w:rPr>
          <w:spacing w:val="-3"/>
        </w:rPr>
        <w:t> </w:t>
      </w:r>
      <w:r>
        <w:rPr/>
        <w:t>4.4</w:t>
      </w:r>
      <w:r>
        <w:rPr>
          <w:spacing w:val="-3"/>
        </w:rPr>
        <w:t> </w:t>
      </w:r>
      <w:r>
        <w:rPr/>
        <w:t>Hasil</w:t>
      </w:r>
      <w:r>
        <w:rPr>
          <w:spacing w:val="-3"/>
        </w:rPr>
        <w:t> </w:t>
      </w:r>
      <w:r>
        <w:rPr/>
        <w:t>Uji</w:t>
      </w:r>
      <w:r>
        <w:rPr>
          <w:spacing w:val="-2"/>
        </w:rPr>
        <w:t> Multikolinearitas</w:t>
      </w:r>
      <w:r>
        <w:rPr>
          <w:rFonts w:ascii="Times New Roman"/>
        </w:rPr>
        <w:tab/>
      </w:r>
      <w:r>
        <w:rPr>
          <w:spacing w:val="-5"/>
        </w:rPr>
        <w:t>94</w:t>
      </w:r>
    </w:p>
    <w:p>
      <w:pPr>
        <w:pStyle w:val="BodyText"/>
        <w:tabs>
          <w:tab w:pos="8355" w:val="left" w:leader="dot"/>
        </w:tabs>
        <w:spacing w:before="138"/>
        <w:ind w:left="709"/>
      </w:pPr>
      <w:r>
        <w:rPr/>
        <w:t>Tabel</w:t>
      </w:r>
      <w:r>
        <w:rPr>
          <w:spacing w:val="-3"/>
        </w:rPr>
        <w:t> </w:t>
      </w:r>
      <w:r>
        <w:rPr/>
        <w:t>4.5</w:t>
      </w:r>
      <w:r>
        <w:rPr>
          <w:spacing w:val="-3"/>
        </w:rPr>
        <w:t> </w:t>
      </w:r>
      <w:r>
        <w:rPr/>
        <w:t>Hasil</w:t>
      </w:r>
      <w:r>
        <w:rPr>
          <w:spacing w:val="-3"/>
        </w:rPr>
        <w:t> </w:t>
      </w:r>
      <w:r>
        <w:rPr/>
        <w:t>Uji</w:t>
      </w:r>
      <w:r>
        <w:rPr>
          <w:spacing w:val="-2"/>
        </w:rPr>
        <w:t> Autokorelasi</w:t>
      </w:r>
      <w:r>
        <w:rPr>
          <w:rFonts w:ascii="Times New Roman"/>
        </w:rPr>
        <w:tab/>
      </w:r>
      <w:r>
        <w:rPr>
          <w:spacing w:val="-5"/>
        </w:rPr>
        <w:t>95</w:t>
      </w:r>
    </w:p>
    <w:p>
      <w:pPr>
        <w:pStyle w:val="BodyText"/>
        <w:tabs>
          <w:tab w:pos="8361" w:val="left" w:leader="dot"/>
        </w:tabs>
        <w:spacing w:before="138"/>
        <w:ind w:left="709"/>
      </w:pPr>
      <w:r>
        <w:rPr/>
        <w:t>Tabel</w:t>
      </w:r>
      <w:r>
        <w:rPr>
          <w:spacing w:val="-3"/>
        </w:rPr>
        <w:t> </w:t>
      </w:r>
      <w:r>
        <w:rPr/>
        <w:t>4.6</w:t>
      </w:r>
      <w:r>
        <w:rPr>
          <w:spacing w:val="-2"/>
        </w:rPr>
        <w:t> </w:t>
      </w:r>
      <w:r>
        <w:rPr/>
        <w:t>Hasil</w:t>
      </w:r>
      <w:r>
        <w:rPr>
          <w:spacing w:val="-3"/>
        </w:rPr>
        <w:t> </w:t>
      </w:r>
      <w:r>
        <w:rPr/>
        <w:t>Analisis</w:t>
      </w:r>
      <w:r>
        <w:rPr>
          <w:spacing w:val="-2"/>
        </w:rPr>
        <w:t> </w:t>
      </w:r>
      <w:r>
        <w:rPr/>
        <w:t>Regresi</w:t>
      </w:r>
      <w:r>
        <w:rPr>
          <w:spacing w:val="-3"/>
        </w:rPr>
        <w:t> </w:t>
      </w:r>
      <w:r>
        <w:rPr/>
        <w:t>Linear</w:t>
      </w:r>
      <w:r>
        <w:rPr>
          <w:spacing w:val="-2"/>
        </w:rPr>
        <w:t> Berganda</w:t>
      </w:r>
      <w:r>
        <w:rPr>
          <w:rFonts w:ascii="Times New Roman"/>
        </w:rPr>
        <w:tab/>
      </w:r>
      <w:r>
        <w:rPr>
          <w:spacing w:val="-5"/>
        </w:rPr>
        <w:t>95</w:t>
      </w:r>
    </w:p>
    <w:p>
      <w:pPr>
        <w:pStyle w:val="BodyText"/>
        <w:tabs>
          <w:tab w:pos="8358" w:val="left" w:leader="dot"/>
        </w:tabs>
        <w:spacing w:before="138"/>
        <w:ind w:left="709"/>
      </w:pPr>
      <w:r>
        <w:rPr/>
        <w:t>Tabel</w:t>
      </w:r>
      <w:r>
        <w:rPr>
          <w:spacing w:val="-3"/>
        </w:rPr>
        <w:t> </w:t>
      </w:r>
      <w:r>
        <w:rPr/>
        <w:t>4.7</w:t>
      </w:r>
      <w:r>
        <w:rPr>
          <w:spacing w:val="-3"/>
        </w:rPr>
        <w:t> </w:t>
      </w:r>
      <w:r>
        <w:rPr/>
        <w:t>Hasil</w:t>
      </w:r>
      <w:r>
        <w:rPr>
          <w:spacing w:val="-3"/>
        </w:rPr>
        <w:t> </w:t>
      </w:r>
      <w:r>
        <w:rPr/>
        <w:t>Analisis</w:t>
      </w:r>
      <w:r>
        <w:rPr>
          <w:spacing w:val="-3"/>
        </w:rPr>
        <w:t> </w:t>
      </w:r>
      <w:r>
        <w:rPr/>
        <w:t>Regresi</w:t>
      </w:r>
      <w:r>
        <w:rPr>
          <w:spacing w:val="-3"/>
        </w:rPr>
        <w:t> </w:t>
      </w:r>
      <w:r>
        <w:rPr>
          <w:spacing w:val="-2"/>
        </w:rPr>
        <w:t>Moderasi</w:t>
      </w:r>
      <w:r>
        <w:rPr>
          <w:rFonts w:ascii="Times New Roman"/>
        </w:rPr>
        <w:tab/>
      </w:r>
      <w:r>
        <w:rPr>
          <w:spacing w:val="-5"/>
        </w:rPr>
        <w:t>97</w:t>
      </w:r>
    </w:p>
    <w:p>
      <w:pPr>
        <w:pStyle w:val="BodyText"/>
        <w:tabs>
          <w:tab w:pos="8357" w:val="left" w:leader="dot"/>
        </w:tabs>
        <w:spacing w:before="138"/>
        <w:ind w:left="709"/>
      </w:pPr>
      <w:r>
        <w:rPr/>
        <w:t>Tabel</w:t>
      </w:r>
      <w:r>
        <w:rPr>
          <w:spacing w:val="-4"/>
        </w:rPr>
        <w:t> </w:t>
      </w:r>
      <w:r>
        <w:rPr/>
        <w:t>4.8</w:t>
      </w:r>
      <w:r>
        <w:rPr>
          <w:spacing w:val="-2"/>
        </w:rPr>
        <w:t> </w:t>
      </w:r>
      <w:r>
        <w:rPr/>
        <w:t>Hasil</w:t>
      </w:r>
      <w:r>
        <w:rPr>
          <w:spacing w:val="-2"/>
        </w:rPr>
        <w:t> </w:t>
      </w:r>
      <w:r>
        <w:rPr/>
        <w:t>Uji</w:t>
      </w:r>
      <w:r>
        <w:rPr>
          <w:spacing w:val="-2"/>
        </w:rPr>
        <w:t> </w:t>
      </w:r>
      <w:r>
        <w:rPr/>
        <w:t>Goodness</w:t>
      </w:r>
      <w:r>
        <w:rPr>
          <w:spacing w:val="-2"/>
        </w:rPr>
        <w:t> </w:t>
      </w:r>
      <w:r>
        <w:rPr/>
        <w:t>of</w:t>
      </w:r>
      <w:r>
        <w:rPr>
          <w:spacing w:val="-2"/>
        </w:rPr>
        <w:t> </w:t>
      </w:r>
      <w:r>
        <w:rPr/>
        <w:t>Fit</w:t>
      </w:r>
      <w:r>
        <w:rPr>
          <w:spacing w:val="-1"/>
        </w:rPr>
        <w:t> </w:t>
      </w:r>
      <w:r>
        <w:rPr>
          <w:spacing w:val="-10"/>
        </w:rPr>
        <w:t>1</w:t>
      </w:r>
      <w:r>
        <w:rPr>
          <w:rFonts w:ascii="Times New Roman"/>
        </w:rPr>
        <w:tab/>
      </w:r>
      <w:r>
        <w:rPr>
          <w:spacing w:val="-5"/>
        </w:rPr>
        <w:t>99</w:t>
      </w:r>
    </w:p>
    <w:p>
      <w:pPr>
        <w:pStyle w:val="BodyText"/>
        <w:tabs>
          <w:tab w:pos="8224" w:val="left" w:leader="dot"/>
        </w:tabs>
        <w:spacing w:before="138"/>
        <w:ind w:left="709"/>
      </w:pPr>
      <w:r>
        <w:rPr/>
        <w:t>Tabel</w:t>
      </w:r>
      <w:r>
        <w:rPr>
          <w:spacing w:val="-3"/>
        </w:rPr>
        <w:t> </w:t>
      </w:r>
      <w:r>
        <w:rPr/>
        <w:t>4.9</w:t>
      </w:r>
      <w:r>
        <w:rPr>
          <w:spacing w:val="-3"/>
        </w:rPr>
        <w:t> </w:t>
      </w:r>
      <w:r>
        <w:rPr/>
        <w:t>Hasil</w:t>
      </w:r>
      <w:r>
        <w:rPr>
          <w:spacing w:val="-2"/>
        </w:rPr>
        <w:t> </w:t>
      </w:r>
      <w:r>
        <w:rPr/>
        <w:t>Uji</w:t>
      </w:r>
      <w:r>
        <w:rPr>
          <w:spacing w:val="-3"/>
        </w:rPr>
        <w:t> </w:t>
      </w:r>
      <w:r>
        <w:rPr/>
        <w:t>Hipotesis</w:t>
      </w:r>
      <w:r>
        <w:rPr>
          <w:spacing w:val="-3"/>
        </w:rPr>
        <w:t> </w:t>
      </w:r>
      <w:r>
        <w:rPr/>
        <w:t>Parsial</w:t>
      </w:r>
      <w:r>
        <w:rPr>
          <w:spacing w:val="-2"/>
        </w:rPr>
        <w:t> </w:t>
      </w:r>
      <w:r>
        <w:rPr>
          <w:spacing w:val="-10"/>
        </w:rPr>
        <w:t>1</w:t>
      </w:r>
      <w:r>
        <w:rPr>
          <w:rFonts w:ascii="Times New Roman"/>
        </w:rPr>
        <w:tab/>
      </w:r>
      <w:r>
        <w:rPr>
          <w:spacing w:val="-5"/>
        </w:rPr>
        <w:t>100</w:t>
      </w:r>
    </w:p>
    <w:p>
      <w:pPr>
        <w:pStyle w:val="BodyText"/>
        <w:tabs>
          <w:tab w:pos="8226" w:val="left" w:leader="dot"/>
        </w:tabs>
        <w:spacing w:before="138"/>
        <w:ind w:left="709"/>
      </w:pPr>
      <w:r>
        <w:rPr/>
        <w:t>Tabel</w:t>
      </w:r>
      <w:r>
        <w:rPr>
          <w:spacing w:val="-5"/>
        </w:rPr>
        <w:t> </w:t>
      </w:r>
      <w:r>
        <w:rPr/>
        <w:t>4.10</w:t>
      </w:r>
      <w:r>
        <w:rPr>
          <w:spacing w:val="-5"/>
        </w:rPr>
        <w:t> </w:t>
      </w:r>
      <w:r>
        <w:rPr/>
        <w:t>Hasil</w:t>
      </w:r>
      <w:r>
        <w:rPr>
          <w:spacing w:val="-5"/>
        </w:rPr>
        <w:t> </w:t>
      </w:r>
      <w:r>
        <w:rPr/>
        <w:t>Uji</w:t>
      </w:r>
      <w:r>
        <w:rPr>
          <w:spacing w:val="-5"/>
        </w:rPr>
        <w:t> </w:t>
      </w:r>
      <w:r>
        <w:rPr/>
        <w:t>Koefisien</w:t>
      </w:r>
      <w:r>
        <w:rPr>
          <w:spacing w:val="-5"/>
        </w:rPr>
        <w:t> </w:t>
      </w:r>
      <w:r>
        <w:rPr/>
        <w:t>Determinasi</w:t>
      </w:r>
      <w:r>
        <w:rPr>
          <w:spacing w:val="-4"/>
        </w:rPr>
        <w:t> </w:t>
      </w:r>
      <w:r>
        <w:rPr>
          <w:spacing w:val="-10"/>
        </w:rPr>
        <w:t>1</w:t>
      </w:r>
      <w:r>
        <w:rPr>
          <w:rFonts w:ascii="Times New Roman"/>
        </w:rPr>
        <w:tab/>
      </w:r>
      <w:r>
        <w:rPr>
          <w:spacing w:val="-5"/>
        </w:rPr>
        <w:t>101</w:t>
      </w:r>
    </w:p>
    <w:p>
      <w:pPr>
        <w:pStyle w:val="BodyText"/>
        <w:tabs>
          <w:tab w:pos="8224" w:val="left" w:leader="dot"/>
        </w:tabs>
        <w:spacing w:before="138"/>
        <w:ind w:left="709"/>
      </w:pPr>
      <w:r>
        <w:rPr/>
        <w:t>Tabel</w:t>
      </w:r>
      <w:r>
        <w:rPr>
          <w:spacing w:val="-4"/>
        </w:rPr>
        <w:t> </w:t>
      </w:r>
      <w:r>
        <w:rPr/>
        <w:t>4.11</w:t>
      </w:r>
      <w:r>
        <w:rPr>
          <w:spacing w:val="-2"/>
        </w:rPr>
        <w:t> </w:t>
      </w:r>
      <w:r>
        <w:rPr/>
        <w:t>Hasil</w:t>
      </w:r>
      <w:r>
        <w:rPr>
          <w:spacing w:val="-2"/>
        </w:rPr>
        <w:t> </w:t>
      </w:r>
      <w:r>
        <w:rPr/>
        <w:t>Uji</w:t>
      </w:r>
      <w:r>
        <w:rPr>
          <w:spacing w:val="-2"/>
        </w:rPr>
        <w:t> </w:t>
      </w:r>
      <w:r>
        <w:rPr/>
        <w:t>Goodness</w:t>
      </w:r>
      <w:r>
        <w:rPr>
          <w:spacing w:val="-2"/>
        </w:rPr>
        <w:t> </w:t>
      </w:r>
      <w:r>
        <w:rPr/>
        <w:t>of</w:t>
      </w:r>
      <w:r>
        <w:rPr>
          <w:spacing w:val="-2"/>
        </w:rPr>
        <w:t> </w:t>
      </w:r>
      <w:r>
        <w:rPr/>
        <w:t>Fit</w:t>
      </w:r>
      <w:r>
        <w:rPr>
          <w:spacing w:val="-2"/>
        </w:rPr>
        <w:t> </w:t>
      </w:r>
      <w:r>
        <w:rPr>
          <w:spacing w:val="-10"/>
        </w:rPr>
        <w:t>2</w:t>
      </w:r>
      <w:r>
        <w:rPr>
          <w:rFonts w:ascii="Times New Roman"/>
        </w:rPr>
        <w:tab/>
      </w:r>
      <w:r>
        <w:rPr>
          <w:spacing w:val="-5"/>
        </w:rPr>
        <w:t>102</w:t>
      </w:r>
    </w:p>
    <w:p>
      <w:pPr>
        <w:pStyle w:val="BodyText"/>
        <w:tabs>
          <w:tab w:pos="8225" w:val="left" w:leader="dot"/>
        </w:tabs>
        <w:spacing w:before="138"/>
        <w:ind w:left="709"/>
      </w:pPr>
      <w:r>
        <w:rPr/>
        <w:t>Tabel</w:t>
      </w:r>
      <w:r>
        <w:rPr>
          <w:spacing w:val="-3"/>
        </w:rPr>
        <w:t> </w:t>
      </w:r>
      <w:r>
        <w:rPr/>
        <w:t>4.12</w:t>
      </w:r>
      <w:r>
        <w:rPr>
          <w:spacing w:val="-3"/>
        </w:rPr>
        <w:t> </w:t>
      </w:r>
      <w:r>
        <w:rPr/>
        <w:t>Hasil</w:t>
      </w:r>
      <w:r>
        <w:rPr>
          <w:spacing w:val="-3"/>
        </w:rPr>
        <w:t> </w:t>
      </w:r>
      <w:r>
        <w:rPr/>
        <w:t>Uji</w:t>
      </w:r>
      <w:r>
        <w:rPr>
          <w:spacing w:val="-3"/>
        </w:rPr>
        <w:t> </w:t>
      </w:r>
      <w:r>
        <w:rPr/>
        <w:t>Hipotesis</w:t>
      </w:r>
      <w:r>
        <w:rPr>
          <w:spacing w:val="-3"/>
        </w:rPr>
        <w:t> </w:t>
      </w:r>
      <w:r>
        <w:rPr/>
        <w:t>Parsial</w:t>
      </w:r>
      <w:r>
        <w:rPr>
          <w:spacing w:val="-2"/>
        </w:rPr>
        <w:t> </w:t>
      </w:r>
      <w:r>
        <w:rPr>
          <w:spacing w:val="-10"/>
        </w:rPr>
        <w:t>2</w:t>
      </w:r>
      <w:r>
        <w:rPr>
          <w:rFonts w:ascii="Times New Roman"/>
        </w:rPr>
        <w:tab/>
      </w:r>
      <w:r>
        <w:rPr>
          <w:spacing w:val="-5"/>
        </w:rPr>
        <w:t>103</w:t>
      </w:r>
    </w:p>
    <w:p>
      <w:pPr>
        <w:pStyle w:val="BodyText"/>
        <w:tabs>
          <w:tab w:pos="8226" w:val="left" w:leader="dot"/>
        </w:tabs>
        <w:spacing w:before="137"/>
        <w:ind w:left="709"/>
      </w:pPr>
      <w:r>
        <w:rPr/>
        <w:t>Tabel</w:t>
      </w:r>
      <w:r>
        <w:rPr>
          <w:spacing w:val="-5"/>
        </w:rPr>
        <w:t> </w:t>
      </w:r>
      <w:r>
        <w:rPr/>
        <w:t>4.13</w:t>
      </w:r>
      <w:r>
        <w:rPr>
          <w:spacing w:val="-5"/>
        </w:rPr>
        <w:t> </w:t>
      </w:r>
      <w:r>
        <w:rPr/>
        <w:t>Hasil</w:t>
      </w:r>
      <w:r>
        <w:rPr>
          <w:spacing w:val="-5"/>
        </w:rPr>
        <w:t> </w:t>
      </w:r>
      <w:r>
        <w:rPr/>
        <w:t>Uji</w:t>
      </w:r>
      <w:r>
        <w:rPr>
          <w:spacing w:val="-5"/>
        </w:rPr>
        <w:t> </w:t>
      </w:r>
      <w:r>
        <w:rPr/>
        <w:t>Koefisien</w:t>
      </w:r>
      <w:r>
        <w:rPr>
          <w:spacing w:val="-5"/>
        </w:rPr>
        <w:t> </w:t>
      </w:r>
      <w:r>
        <w:rPr/>
        <w:t>Determinasi</w:t>
      </w:r>
      <w:r>
        <w:rPr>
          <w:spacing w:val="-4"/>
        </w:rPr>
        <w:t> </w:t>
      </w:r>
      <w:r>
        <w:rPr>
          <w:spacing w:val="-10"/>
        </w:rPr>
        <w:t>2</w:t>
      </w:r>
      <w:r>
        <w:rPr>
          <w:rFonts w:ascii="Times New Roman"/>
        </w:rPr>
        <w:tab/>
      </w:r>
      <w:r>
        <w:rPr>
          <w:spacing w:val="-5"/>
        </w:rPr>
        <w:t>104</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1"/>
      </w:pPr>
    </w:p>
    <w:p>
      <w:pPr>
        <w:pStyle w:val="BodyText"/>
        <w:ind w:left="733" w:right="734"/>
        <w:jc w:val="center"/>
        <w:rPr>
          <w:rFonts w:ascii="Times New Roman"/>
        </w:rPr>
      </w:pPr>
      <w:r>
        <w:rPr>
          <w:rFonts w:ascii="Times New Roman"/>
          <w:spacing w:val="-5"/>
        </w:rPr>
        <w:t>xii</w:t>
      </w:r>
    </w:p>
    <w:p>
      <w:pPr>
        <w:pStyle w:val="BodyText"/>
        <w:spacing w:after="0"/>
        <w:jc w:val="center"/>
        <w:rPr>
          <w:rFonts w:ascii="Times New Roman"/>
        </w:rPr>
        <w:sectPr>
          <w:headerReference w:type="default" r:id="rId19"/>
          <w:pgSz w:w="11910" w:h="16840"/>
          <w:pgMar w:header="0" w:footer="0" w:top="1920" w:bottom="280" w:left="1559" w:right="992"/>
        </w:sectPr>
      </w:pPr>
    </w:p>
    <w:p>
      <w:pPr>
        <w:pStyle w:val="BodyText"/>
        <w:spacing w:before="54"/>
        <w:rPr>
          <w:rFonts w:ascii="Times New Roman"/>
        </w:rPr>
      </w:pPr>
    </w:p>
    <w:p>
      <w:pPr>
        <w:pStyle w:val="Heading1"/>
        <w:jc w:val="center"/>
      </w:pPr>
      <w:bookmarkStart w:name="_bookmark5" w:id="6"/>
      <w:bookmarkEnd w:id="6"/>
      <w:r>
        <w:rPr>
          <w:b w:val="0"/>
        </w:rPr>
      </w:r>
      <w:r>
        <w:rPr/>
        <w:t>DAFTAR</w:t>
      </w:r>
      <w:r>
        <w:rPr>
          <w:spacing w:val="-3"/>
        </w:rPr>
        <w:t> </w:t>
      </w:r>
      <w:r>
        <w:rPr>
          <w:spacing w:val="-2"/>
        </w:rPr>
        <w:t>GAMBAR</w:t>
      </w:r>
    </w:p>
    <w:p>
      <w:pPr>
        <w:pStyle w:val="BodyText"/>
        <w:tabs>
          <w:tab w:pos="7926" w:val="right" w:leader="dot"/>
        </w:tabs>
        <w:spacing w:before="276"/>
        <w:ind w:right="8"/>
        <w:jc w:val="center"/>
        <w:rPr>
          <w:rFonts w:ascii="Times New Roman"/>
        </w:rPr>
      </w:pPr>
      <w:hyperlink w:history="true" w:anchor="_bookmark24">
        <w:r>
          <w:rPr/>
          <w:t>Gambar</w:t>
        </w:r>
        <w:r>
          <w:rPr>
            <w:spacing w:val="-4"/>
          </w:rPr>
          <w:t> </w:t>
        </w:r>
        <w:r>
          <w:rPr/>
          <w:t>2.1</w:t>
        </w:r>
        <w:r>
          <w:rPr>
            <w:spacing w:val="-4"/>
          </w:rPr>
          <w:t> </w:t>
        </w:r>
        <w:r>
          <w:rPr/>
          <w:t>Kerangka</w:t>
        </w:r>
        <w:r>
          <w:rPr>
            <w:spacing w:val="-4"/>
          </w:rPr>
          <w:t> </w:t>
        </w:r>
        <w:r>
          <w:rPr/>
          <w:t>Pemikiran</w:t>
        </w:r>
        <w:r>
          <w:rPr>
            <w:spacing w:val="-3"/>
          </w:rPr>
          <w:t> </w:t>
        </w:r>
        <w:r>
          <w:rPr>
            <w:spacing w:val="-2"/>
          </w:rPr>
          <w:t>Konseptual</w:t>
        </w:r>
        <w:r>
          <w:rPr>
            <w:rFonts w:ascii="Times New Roman"/>
          </w:rPr>
          <w:tab/>
        </w:r>
        <w:r>
          <w:rPr>
            <w:rFonts w:ascii="Times New Roman"/>
            <w:spacing w:val="-5"/>
          </w:rPr>
          <w:t>67</w:t>
        </w:r>
      </w:hyperlink>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69"/>
        <w:rPr>
          <w:rFonts w:ascii="Times New Roman"/>
        </w:rPr>
      </w:pPr>
    </w:p>
    <w:p>
      <w:pPr>
        <w:pStyle w:val="BodyText"/>
        <w:ind w:left="733" w:right="734"/>
        <w:jc w:val="center"/>
        <w:rPr>
          <w:rFonts w:ascii="Times New Roman"/>
        </w:rPr>
      </w:pPr>
      <w:r>
        <w:rPr>
          <w:rFonts w:ascii="Times New Roman"/>
          <w:spacing w:val="-4"/>
        </w:rPr>
        <w:t>xiii</w:t>
      </w:r>
    </w:p>
    <w:p>
      <w:pPr>
        <w:pStyle w:val="BodyText"/>
        <w:spacing w:after="0"/>
        <w:jc w:val="center"/>
        <w:rPr>
          <w:rFonts w:ascii="Times New Roman"/>
        </w:rPr>
        <w:sectPr>
          <w:headerReference w:type="default" r:id="rId20"/>
          <w:pgSz w:w="11910" w:h="16840"/>
          <w:pgMar w:header="0" w:footer="0" w:top="1920" w:bottom="280" w:left="1559" w:right="992"/>
        </w:sectPr>
      </w:pPr>
    </w:p>
    <w:p>
      <w:pPr>
        <w:pStyle w:val="BodyText"/>
        <w:rPr>
          <w:rFonts w:ascii="Times New Roman"/>
        </w:rPr>
      </w:pPr>
    </w:p>
    <w:p>
      <w:pPr>
        <w:pStyle w:val="BodyText"/>
        <w:spacing w:before="235"/>
        <w:rPr>
          <w:rFonts w:ascii="Times New Roman"/>
        </w:rPr>
      </w:pPr>
    </w:p>
    <w:p>
      <w:pPr>
        <w:pStyle w:val="Heading1"/>
        <w:spacing w:before="1"/>
        <w:jc w:val="center"/>
        <w:rPr>
          <w:rFonts w:ascii="Times New Roman"/>
        </w:rPr>
      </w:pPr>
      <w:bookmarkStart w:name="_bookmark6" w:id="7"/>
      <w:bookmarkEnd w:id="7"/>
      <w:r>
        <w:rPr>
          <w:b w:val="0"/>
        </w:rPr>
      </w:r>
      <w:r>
        <w:rPr>
          <w:rFonts w:ascii="Times New Roman"/>
        </w:rPr>
        <w:t>DAFTAR</w:t>
      </w:r>
      <w:r>
        <w:rPr>
          <w:rFonts w:ascii="Times New Roman"/>
          <w:spacing w:val="-5"/>
        </w:rPr>
        <w:t> </w:t>
      </w:r>
      <w:r>
        <w:rPr>
          <w:rFonts w:ascii="Times New Roman"/>
          <w:spacing w:val="-2"/>
        </w:rPr>
        <w:t>LAMPIRAN</w:t>
      </w:r>
    </w:p>
    <w:p>
      <w:pPr>
        <w:pStyle w:val="BodyText"/>
        <w:tabs>
          <w:tab w:pos="8635" w:val="right" w:leader="dot"/>
        </w:tabs>
        <w:spacing w:before="276"/>
        <w:ind w:left="708"/>
        <w:rPr>
          <w:rFonts w:ascii="Times New Roman"/>
        </w:rPr>
      </w:pPr>
      <w:r>
        <w:rPr/>
        <w:t>Lampiran</w:t>
      </w:r>
      <w:r>
        <w:rPr>
          <w:spacing w:val="-5"/>
        </w:rPr>
        <w:t> </w:t>
      </w:r>
      <w:r>
        <w:rPr/>
        <w:t>1.</w:t>
      </w:r>
      <w:r>
        <w:rPr>
          <w:spacing w:val="-4"/>
        </w:rPr>
        <w:t> </w:t>
      </w:r>
      <w:r>
        <w:rPr/>
        <w:t>Sampling</w:t>
      </w:r>
      <w:r>
        <w:rPr>
          <w:spacing w:val="-4"/>
        </w:rPr>
        <w:t> </w:t>
      </w:r>
      <w:r>
        <w:rPr/>
        <w:t>Data</w:t>
      </w:r>
      <w:r>
        <w:rPr>
          <w:spacing w:val="-4"/>
        </w:rPr>
        <w:t> </w:t>
      </w:r>
      <w:r>
        <w:rPr>
          <w:spacing w:val="-2"/>
        </w:rPr>
        <w:t>Penelitian</w:t>
      </w:r>
      <w:r>
        <w:rPr>
          <w:rFonts w:ascii="Times New Roman"/>
        </w:rPr>
        <w:tab/>
      </w:r>
      <w:r>
        <w:rPr>
          <w:rFonts w:ascii="Times New Roman"/>
          <w:spacing w:val="-5"/>
        </w:rPr>
        <w:t>127</w:t>
      </w:r>
    </w:p>
    <w:p>
      <w:pPr>
        <w:pStyle w:val="BodyText"/>
        <w:tabs>
          <w:tab w:pos="8635" w:val="right" w:leader="dot"/>
        </w:tabs>
        <w:spacing w:before="138"/>
        <w:ind w:left="708"/>
        <w:rPr>
          <w:rFonts w:ascii="Times New Roman"/>
        </w:rPr>
      </w:pPr>
      <w:r>
        <w:rPr/>
        <w:t>Lampiran</w:t>
      </w:r>
      <w:r>
        <w:rPr>
          <w:spacing w:val="-5"/>
        </w:rPr>
        <w:t> </w:t>
      </w:r>
      <w:r>
        <w:rPr/>
        <w:t>2.</w:t>
      </w:r>
      <w:r>
        <w:rPr>
          <w:spacing w:val="-4"/>
        </w:rPr>
        <w:t> </w:t>
      </w:r>
      <w:r>
        <w:rPr/>
        <w:t>Tabulasi</w:t>
      </w:r>
      <w:r>
        <w:rPr>
          <w:spacing w:val="-4"/>
        </w:rPr>
        <w:t> </w:t>
      </w:r>
      <w:r>
        <w:rPr/>
        <w:t>Data</w:t>
      </w:r>
      <w:r>
        <w:rPr>
          <w:spacing w:val="-4"/>
        </w:rPr>
        <w:t> </w:t>
      </w:r>
      <w:r>
        <w:rPr>
          <w:spacing w:val="-2"/>
        </w:rPr>
        <w:t>Penelitian</w:t>
      </w:r>
      <w:r>
        <w:rPr>
          <w:rFonts w:ascii="Times New Roman"/>
        </w:rPr>
        <w:tab/>
      </w:r>
      <w:r>
        <w:rPr>
          <w:rFonts w:ascii="Times New Roman"/>
          <w:spacing w:val="-5"/>
        </w:rPr>
        <w:t>128</w:t>
      </w:r>
    </w:p>
    <w:p>
      <w:pPr>
        <w:pStyle w:val="BodyText"/>
        <w:tabs>
          <w:tab w:pos="8635" w:val="right" w:leader="dot"/>
        </w:tabs>
        <w:spacing w:before="139"/>
        <w:ind w:left="708"/>
        <w:rPr>
          <w:rFonts w:ascii="Times New Roman"/>
        </w:rPr>
      </w:pPr>
      <w:r>
        <w:rPr/>
        <w:t>Lampiran</w:t>
      </w:r>
      <w:r>
        <w:rPr>
          <w:spacing w:val="-4"/>
        </w:rPr>
        <w:t> </w:t>
      </w:r>
      <w:r>
        <w:rPr/>
        <w:t>3.</w:t>
      </w:r>
      <w:r>
        <w:rPr>
          <w:spacing w:val="-4"/>
        </w:rPr>
        <w:t> </w:t>
      </w:r>
      <w:r>
        <w:rPr/>
        <w:t>Hasil</w:t>
      </w:r>
      <w:r>
        <w:rPr>
          <w:spacing w:val="-3"/>
        </w:rPr>
        <w:t> </w:t>
      </w:r>
      <w:r>
        <w:rPr/>
        <w:t>Olah</w:t>
      </w:r>
      <w:r>
        <w:rPr>
          <w:spacing w:val="-4"/>
        </w:rPr>
        <w:t> </w:t>
      </w:r>
      <w:r>
        <w:rPr/>
        <w:t>Data</w:t>
      </w:r>
      <w:r>
        <w:rPr>
          <w:spacing w:val="-3"/>
        </w:rPr>
        <w:t> </w:t>
      </w:r>
      <w:r>
        <w:rPr>
          <w:spacing w:val="-2"/>
        </w:rPr>
        <w:t>Penelitian</w:t>
      </w:r>
      <w:r>
        <w:rPr>
          <w:rFonts w:ascii="Times New Roman"/>
        </w:rPr>
        <w:tab/>
      </w:r>
      <w:r>
        <w:rPr>
          <w:rFonts w:ascii="Times New Roman"/>
          <w:spacing w:val="-5"/>
        </w:rPr>
        <w:t>131</w: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60"/>
        <w:rPr>
          <w:rFonts w:ascii="Times New Roman"/>
        </w:rPr>
      </w:pPr>
    </w:p>
    <w:p>
      <w:pPr>
        <w:pStyle w:val="BodyText"/>
        <w:ind w:left="733" w:right="734"/>
        <w:jc w:val="center"/>
        <w:rPr>
          <w:rFonts w:ascii="Times New Roman"/>
        </w:rPr>
      </w:pPr>
      <w:r>
        <w:rPr>
          <w:rFonts w:ascii="Times New Roman"/>
          <w:spacing w:val="-5"/>
        </w:rPr>
        <w:t>xiv</w:t>
      </w:r>
    </w:p>
    <w:p>
      <w:pPr>
        <w:pStyle w:val="BodyText"/>
        <w:spacing w:after="0"/>
        <w:jc w:val="center"/>
        <w:rPr>
          <w:rFonts w:ascii="Times New Roman"/>
        </w:rPr>
        <w:sectPr>
          <w:headerReference w:type="default" r:id="rId21"/>
          <w:pgSz w:w="11910" w:h="16840"/>
          <w:pgMar w:header="0" w:footer="0" w:top="1920" w:bottom="280" w:left="1559" w:right="992"/>
        </w:sectPr>
      </w:pPr>
    </w:p>
    <w:p>
      <w:pPr>
        <w:pStyle w:val="BodyText"/>
        <w:spacing w:before="86"/>
        <w:rPr>
          <w:rFonts w:ascii="Times New Roman"/>
        </w:rPr>
      </w:pPr>
    </w:p>
    <w:p>
      <w:pPr>
        <w:pStyle w:val="Heading1"/>
        <w:spacing w:line="196" w:lineRule="auto"/>
        <w:ind w:left="3750" w:right="3749" w:hanging="66"/>
        <w:jc w:val="center"/>
      </w:pPr>
      <w:r>
        <w:rPr/>
        <w:t>BAB I </w:t>
      </w:r>
      <w:r>
        <w:rPr>
          <w:spacing w:val="-2"/>
        </w:rPr>
        <w:t>PE</w:t>
      </w:r>
      <w:bookmarkStart w:name="_bookmark7" w:id="8"/>
      <w:bookmarkEnd w:id="8"/>
      <w:r>
        <w:rPr>
          <w:spacing w:val="-2"/>
        </w:rPr>
        <w:t>NDAHU</w:t>
      </w:r>
      <w:r>
        <w:rPr>
          <w:spacing w:val="-2"/>
        </w:rPr>
        <w:t>LUAN</w:t>
      </w:r>
    </w:p>
    <w:p>
      <w:pPr>
        <w:pStyle w:val="BodyText"/>
        <w:rPr>
          <w:b/>
        </w:rPr>
      </w:pPr>
    </w:p>
    <w:p>
      <w:pPr>
        <w:pStyle w:val="BodyText"/>
        <w:spacing w:before="8"/>
        <w:rPr>
          <w:b/>
        </w:rPr>
      </w:pPr>
    </w:p>
    <w:p>
      <w:pPr>
        <w:pStyle w:val="Heading2"/>
        <w:numPr>
          <w:ilvl w:val="0"/>
          <w:numId w:val="7"/>
        </w:numPr>
        <w:tabs>
          <w:tab w:pos="1132" w:val="left" w:leader="none"/>
        </w:tabs>
        <w:spacing w:line="240" w:lineRule="auto" w:before="0" w:after="0"/>
        <w:ind w:left="1132" w:right="0" w:hanging="355"/>
        <w:jc w:val="left"/>
      </w:pPr>
      <w:bookmarkStart w:name="_bookmark8" w:id="9"/>
      <w:bookmarkEnd w:id="9"/>
      <w:r>
        <w:rPr/>
        <w:t>L</w:t>
      </w:r>
      <w:r>
        <w:rPr/>
        <w:t>atar</w:t>
      </w:r>
      <w:r>
        <w:rPr>
          <w:spacing w:val="-5"/>
        </w:rPr>
        <w:t> </w:t>
      </w:r>
      <w:r>
        <w:rPr/>
        <w:t>Belakang</w:t>
      </w:r>
      <w:r>
        <w:rPr>
          <w:spacing w:val="-4"/>
        </w:rPr>
        <w:t> </w:t>
      </w:r>
      <w:r>
        <w:rPr>
          <w:spacing w:val="-2"/>
        </w:rPr>
        <w:t>Masalah</w:t>
      </w:r>
    </w:p>
    <w:p>
      <w:pPr>
        <w:pStyle w:val="BodyText"/>
        <w:rPr>
          <w:b/>
        </w:rPr>
      </w:pPr>
    </w:p>
    <w:p>
      <w:pPr>
        <w:pStyle w:val="BodyText"/>
        <w:spacing w:line="480" w:lineRule="auto"/>
        <w:ind w:left="1134" w:right="708" w:firstLine="708"/>
        <w:jc w:val="both"/>
      </w:pPr>
      <w:r>
        <w:rPr/>
        <w:t>Industri pertambangan di Indonesia memiliki peran yang sangat signifikan dalam perekonomian negara ini, menyumbang sebagian besar pendapatan ekspor dan menjadi sumber utama pendapatan</w:t>
      </w:r>
      <w:r>
        <w:rPr>
          <w:spacing w:val="40"/>
        </w:rPr>
        <w:t> </w:t>
      </w:r>
      <w:r>
        <w:rPr/>
        <w:t>bagi banyak daerah di Indonesia (Tasrif, 2021). Industri ini menjadi penggerak utama ekonomi, terutama diwilayah-wilayah yang kaya akan sumber daya alam seperti Kalimantan, Sumatra, dan Papua (Sudirman</w:t>
      </w:r>
      <w:r>
        <w:rPr>
          <w:spacing w:val="-5"/>
        </w:rPr>
        <w:t> </w:t>
      </w:r>
      <w:r>
        <w:rPr/>
        <w:t>&amp;</w:t>
      </w:r>
      <w:r>
        <w:rPr>
          <w:spacing w:val="-5"/>
        </w:rPr>
        <w:t> </w:t>
      </w:r>
      <w:r>
        <w:rPr/>
        <w:t>Wijaya</w:t>
      </w:r>
      <w:r>
        <w:rPr>
          <w:spacing w:val="-5"/>
        </w:rPr>
        <w:t> </w:t>
      </w:r>
      <w:r>
        <w:rPr/>
        <w:t>2020).</w:t>
      </w:r>
      <w:r>
        <w:rPr>
          <w:spacing w:val="-5"/>
        </w:rPr>
        <w:t> </w:t>
      </w:r>
      <w:r>
        <w:rPr/>
        <w:t>Berbagai</w:t>
      </w:r>
      <w:r>
        <w:rPr>
          <w:spacing w:val="-5"/>
        </w:rPr>
        <w:t> </w:t>
      </w:r>
      <w:r>
        <w:rPr/>
        <w:t>komonditas</w:t>
      </w:r>
      <w:r>
        <w:rPr>
          <w:spacing w:val="-5"/>
        </w:rPr>
        <w:t> </w:t>
      </w:r>
      <w:r>
        <w:rPr/>
        <w:t>tambang</w:t>
      </w:r>
      <w:r>
        <w:rPr>
          <w:spacing w:val="-5"/>
        </w:rPr>
        <w:t> </w:t>
      </w:r>
      <w:r>
        <w:rPr/>
        <w:t>seperti</w:t>
      </w:r>
      <w:r>
        <w:rPr>
          <w:spacing w:val="-5"/>
        </w:rPr>
        <w:t> </w:t>
      </w:r>
      <w:r>
        <w:rPr/>
        <w:t>batu bara, emas, timah, tembaga dan nikel memberikan kontribusi signifikan terhadap Produk Domestik Bruto (PDB) nasional, serta menciptakan lapangan pekerjaan yang mendukung ekonomi sekitar. Bersamaan dengan manfaat ekonominya, industri ini juga dikenal karena dampak negatifnya terhadap lingkungan dan masyarakat sekitar (Kurniawan, et al. 2019). Eksploitasi tambang yang tidak berkelanjutan sering kali menyebabkan kerusakan lingkungan yang serius, termasuk deforestasi besar-besaran disekitar kawasan tambang, pencemaran air akibat limbah tambang dan penurunan kualitas udara di area pertambangan, serta hilangnya keanekaragaman hayati (Darsono, 2021). Selain itu, dampak sosial juga terjadi dalam bentuk konflik lahan, peningkatan kesenjangan sosial, dan perubahan struktur sosial di komunitas sekitar tambang.</w:t>
      </w:r>
    </w:p>
    <w:p>
      <w:pPr>
        <w:pStyle w:val="BodyText"/>
      </w:pPr>
    </w:p>
    <w:p>
      <w:pPr>
        <w:pStyle w:val="BodyText"/>
        <w:spacing w:before="129"/>
      </w:pPr>
    </w:p>
    <w:p>
      <w:pPr>
        <w:pStyle w:val="BodyText"/>
        <w:spacing w:before="1"/>
        <w:ind w:left="734" w:right="734"/>
        <w:jc w:val="center"/>
        <w:rPr>
          <w:rFonts w:ascii="Times New Roman"/>
        </w:rPr>
      </w:pPr>
      <w:r>
        <w:rPr>
          <w:rFonts w:ascii="Times New Roman"/>
          <w:spacing w:val="-10"/>
        </w:rPr>
        <w:t>1</w:t>
      </w:r>
    </w:p>
    <w:p>
      <w:pPr>
        <w:pStyle w:val="BodyText"/>
        <w:spacing w:after="0"/>
        <w:jc w:val="center"/>
        <w:rPr>
          <w:rFonts w:ascii="Times New Roman"/>
        </w:rPr>
        <w:sectPr>
          <w:headerReference w:type="default" r:id="rId22"/>
          <w:pgSz w:w="11910" w:h="16840"/>
          <w:pgMar w:header="0" w:footer="0" w:top="1920" w:bottom="280" w:left="1559" w:right="992"/>
        </w:sect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80"/>
        <w:rPr>
          <w:rFonts w:ascii="Times New Roman"/>
        </w:rPr>
      </w:pPr>
    </w:p>
    <w:p>
      <w:pPr>
        <w:pStyle w:val="BodyText"/>
        <w:spacing w:line="480" w:lineRule="auto"/>
        <w:ind w:left="1135" w:right="708" w:firstLine="708"/>
        <w:jc w:val="both"/>
      </w:pPr>
      <w:r>
        <w:rPr/>
        <w:t>Cara memastikan industri pertambangan di Indonesia dapat terurus dengan berkontribusi terhadap perekonomian tanpa mengorbankan lingkungan dan Masyarakat, dengan melakukan pendekatan holistik dan berkelanjutan (Wibowo, 2020). Salah satu langkah penting ialah dengan penerapan kebijakan pengelolaan tambang yang memperhatikan aspek lingkungan dan sosial secara lebih dalam. Kolaborasi yang era tantara pemerintah, perusahaan,</w:t>
      </w:r>
      <w:r>
        <w:rPr>
          <w:spacing w:val="80"/>
        </w:rPr>
        <w:t> </w:t>
      </w:r>
      <w:r>
        <w:rPr/>
        <w:t>dan Masyarakat sekitar sangat penting dalam menciptakan keseimbangan antara eksploitasi sumber daya dan perlindungan </w:t>
      </w:r>
      <w:r>
        <w:rPr>
          <w:spacing w:val="-2"/>
        </w:rPr>
        <w:t>lingkungan.</w:t>
      </w:r>
    </w:p>
    <w:p>
      <w:pPr>
        <w:pStyle w:val="BodyText"/>
        <w:spacing w:line="480" w:lineRule="auto"/>
        <w:ind w:left="1135" w:right="708" w:firstLine="708"/>
        <w:jc w:val="both"/>
      </w:pPr>
      <w:r>
        <w:rPr/>
        <w:t>Selain itu, Hasibuan (2021) menekankan pentingnya pemberdayaan masyarakat sekitar sebagai bagian dari tanggung jawab sosial perusahaan. Dengan adanya program-program yang mendukung pengembangan keterampilan dan infrastruktur di daerah sekitar tambang, perusahaan dapat menciptakan dampak positif jangka panjang yang membantu mengurangi ketergantungan masyarakat pada aktivitas tambang (Kurniawan, et al. 2019). Hal ini tidak hanya mengurangi ketegangan sosia, tetapi juga meningkatkan kualitas hidup dan kesejahteraan ekonomi masyarakat sekitar.</w:t>
      </w:r>
    </w:p>
    <w:p>
      <w:pPr>
        <w:pStyle w:val="BodyText"/>
        <w:spacing w:line="480" w:lineRule="auto"/>
        <w:ind w:left="1135" w:right="709" w:firstLine="708"/>
        <w:jc w:val="both"/>
      </w:pPr>
      <w:r>
        <w:rPr/>
        <w:t>Beberapa tahun terakhir, tekanan untuk memperbaiki praktik bisnis di sektor pertambangan telah meningkat. Tercermin dalam tuntutan yang semakin kuat dari para pemangku kepentingan, termasuk</w:t>
      </w:r>
      <w:r>
        <w:rPr>
          <w:spacing w:val="80"/>
        </w:rPr>
        <w:t>  </w:t>
      </w:r>
      <w:r>
        <w:rPr/>
        <w:t>masyarakat,</w:t>
      </w:r>
      <w:r>
        <w:rPr>
          <w:spacing w:val="80"/>
        </w:rPr>
        <w:t>  </w:t>
      </w:r>
      <w:r>
        <w:rPr/>
        <w:t>organisasi</w:t>
      </w:r>
      <w:r>
        <w:rPr>
          <w:spacing w:val="80"/>
        </w:rPr>
        <w:t>  </w:t>
      </w:r>
      <w:r>
        <w:rPr/>
        <w:t>lingkungan,</w:t>
      </w:r>
      <w:r>
        <w:rPr>
          <w:spacing w:val="80"/>
        </w:rPr>
        <w:t>  </w:t>
      </w:r>
      <w:r>
        <w:rPr/>
        <w:t>investor,</w:t>
      </w:r>
      <w:r>
        <w:rPr>
          <w:spacing w:val="80"/>
        </w:rPr>
        <w:t>  </w:t>
      </w:r>
      <w:r>
        <w:rPr/>
        <w:t>dan</w:t>
      </w:r>
    </w:p>
    <w:p>
      <w:pPr>
        <w:pStyle w:val="BodyText"/>
        <w:spacing w:after="0" w:line="480" w:lineRule="auto"/>
        <w:jc w:val="both"/>
        <w:sectPr>
          <w:headerReference w:type="default" r:id="rId23"/>
          <w:pgSz w:w="11910" w:h="16840"/>
          <w:pgMar w:header="718" w:footer="0" w:top="980" w:bottom="280" w:left="1559" w:right="992"/>
          <w:pgNumType w:start="2"/>
        </w:sectPr>
      </w:pPr>
    </w:p>
    <w:p>
      <w:pPr>
        <w:pStyle w:val="BodyText"/>
      </w:pPr>
    </w:p>
    <w:p>
      <w:pPr>
        <w:pStyle w:val="BodyText"/>
      </w:pPr>
    </w:p>
    <w:p>
      <w:pPr>
        <w:pStyle w:val="BodyText"/>
      </w:pPr>
    </w:p>
    <w:p>
      <w:pPr>
        <w:pStyle w:val="BodyText"/>
        <w:spacing w:before="180"/>
      </w:pPr>
    </w:p>
    <w:p>
      <w:pPr>
        <w:pStyle w:val="BodyText"/>
        <w:spacing w:line="480" w:lineRule="auto"/>
        <w:ind w:left="1134" w:right="707"/>
        <w:jc w:val="both"/>
      </w:pPr>
      <w:r>
        <w:rPr/>
        <w:t>pemerintah, untuk mendorong praktik pertambangan yang berkelanjutan. Pengungkapan </w:t>
      </w:r>
      <w:r>
        <w:rPr>
          <w:i/>
        </w:rPr>
        <w:t>Environmental</w:t>
      </w:r>
      <w:r>
        <w:rPr/>
        <w:t>, </w:t>
      </w:r>
      <w:r>
        <w:rPr>
          <w:i/>
        </w:rPr>
        <w:t>Social</w:t>
      </w:r>
      <w:r>
        <w:rPr/>
        <w:t>, </w:t>
      </w:r>
      <w:r>
        <w:rPr>
          <w:i/>
        </w:rPr>
        <w:t>Governance </w:t>
      </w:r>
      <w:r>
        <w:rPr/>
        <w:t>(ESG) menjadi salah satu langkah yang diambil oleh perusahaan pertambangan untuk meningkatkan transparansi dan akuntabilitas mereka terhadap dampak lingkungan, sosial, dan tata kelola Perusahaan (Pribadi, 2022).</w:t>
      </w:r>
    </w:p>
    <w:p>
      <w:pPr>
        <w:pStyle w:val="BodyText"/>
        <w:spacing w:line="480" w:lineRule="auto"/>
        <w:ind w:left="1135" w:right="707" w:firstLine="708"/>
        <w:jc w:val="both"/>
      </w:pPr>
      <w:r>
        <w:rPr/>
        <w:t>Pentingnya pengungkapan ESG semakin diperkuat oleh tuntutan yang semakin kuat dari berbagai pemangku kepentingan, termasuk investor, konsumen, dan masyarakat umum, untuk transparansi dan akuntabilitas perusahaan dalam hal dampak lingkungan dan sosial mereka (Bax, Broccardo &amp; Paterlini, 2024). Investor semakin menyadari bahwa faktor-faktor ESG dapat memiliki dampak signifikan terhadap nilai jangka panjang perusahaan, baik dalam hal risiko finansial maupun peluang pertumbuhan (Hidayat, 2023). Oleh karena itu, pengungkapan ESG tidak hanya merupakan tanggung jawab etis, tetapi juga merupakan strategi yang cerdas</w:t>
      </w:r>
      <w:r>
        <w:rPr>
          <w:spacing w:val="40"/>
        </w:rPr>
        <w:t> </w:t>
      </w:r>
      <w:r>
        <w:rPr/>
        <w:t>untuk membangun kepercayaan pemangku kepentingan, mengurangi risiko, dan memperkuat kinerja bisnis jangka panjang.</w:t>
      </w:r>
    </w:p>
    <w:p>
      <w:pPr>
        <w:pStyle w:val="BodyText"/>
        <w:spacing w:line="480" w:lineRule="auto"/>
        <w:ind w:left="1135" w:right="709" w:firstLine="708"/>
        <w:jc w:val="both"/>
      </w:pPr>
      <w:r>
        <w:rPr/>
        <w:t>Sektor pertambangan, di mana dampak lingkungan dan sosial seringkali sangat besar, pengungkapan ESG dapat menjadi alat penting dalam menjaga keberlanjutan bisnis dan memperkuat hubungan dengan masyarakat dan regulator (Sangging, 2017). Dengan</w:t>
      </w:r>
      <w:r>
        <w:rPr>
          <w:spacing w:val="40"/>
        </w:rPr>
        <w:t> </w:t>
      </w:r>
      <w:r>
        <w:rPr/>
        <w:t>memberikan</w:t>
      </w:r>
      <w:r>
        <w:rPr>
          <w:spacing w:val="40"/>
        </w:rPr>
        <w:t> </w:t>
      </w:r>
      <w:r>
        <w:rPr/>
        <w:t>informasi</w:t>
      </w:r>
      <w:r>
        <w:rPr>
          <w:spacing w:val="40"/>
        </w:rPr>
        <w:t> </w:t>
      </w:r>
      <w:r>
        <w:rPr/>
        <w:t>yang</w:t>
      </w:r>
      <w:r>
        <w:rPr>
          <w:spacing w:val="40"/>
        </w:rPr>
        <w:t> </w:t>
      </w:r>
      <w:r>
        <w:rPr/>
        <w:t>transparan</w:t>
      </w:r>
      <w:r>
        <w:rPr>
          <w:spacing w:val="40"/>
        </w:rPr>
        <w:t> </w:t>
      </w:r>
      <w:r>
        <w:rPr/>
        <w:t>dan</w:t>
      </w:r>
      <w:r>
        <w:rPr>
          <w:spacing w:val="40"/>
        </w:rPr>
        <w:t> </w:t>
      </w:r>
      <w:r>
        <w:rPr/>
        <w:t>akurat</w:t>
      </w:r>
      <w:r>
        <w:rPr>
          <w:spacing w:val="40"/>
        </w:rPr>
        <w:t> </w:t>
      </w:r>
      <w:r>
        <w:rPr/>
        <w:t>tentang</w:t>
      </w:r>
    </w:p>
    <w:p>
      <w:pPr>
        <w:pStyle w:val="BodyText"/>
        <w:spacing w:after="0" w:line="480" w:lineRule="auto"/>
        <w:jc w:val="both"/>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BodyText"/>
        <w:spacing w:line="480" w:lineRule="auto"/>
        <w:ind w:left="1134" w:right="708"/>
        <w:jc w:val="both"/>
      </w:pPr>
      <w:r>
        <w:rPr/>
        <w:t>upaya mereka dalam mengelola risiko dan dampak mereka, perusahaan pertambangan dapat membangun reputasi yang lebih baik, mengurangi risiko konflik sosial, dan memperoleh akses yang lebih baik ke pasar modal (Rahayu, 2020). Oleh karena itu, penelitian tentang faktor-faktor yang memengaruhi pengungkapan ESG di sektor pertambangan Indonesia memiliki implikasi yang penting bagi praktik bisnis, kebijakan publik, dan pembangunan berkelanjutan secara keseluruhan (Lestari, 2020).</w:t>
      </w:r>
    </w:p>
    <w:p>
      <w:pPr>
        <w:pStyle w:val="BodyText"/>
        <w:spacing w:line="480" w:lineRule="auto"/>
        <w:ind w:left="1134" w:right="707" w:firstLine="708"/>
        <w:jc w:val="both"/>
      </w:pPr>
      <w:r>
        <w:rPr/>
        <w:t>Perusahaan di Indonesia masih dikatakan keterbelakangan dalam segi ESG </w:t>
      </w:r>
      <w:r>
        <w:rPr>
          <w:i/>
        </w:rPr>
        <w:t>disclosure</w:t>
      </w:r>
      <w:r>
        <w:rPr/>
        <w:t>, dimana indeks ESG di Indonesia ada pada urutan ke-36 dari 47 pasar modal dunia pada tahun 2021, padahal</w:t>
      </w:r>
      <w:r>
        <w:rPr>
          <w:spacing w:val="-3"/>
        </w:rPr>
        <w:t> </w:t>
      </w:r>
      <w:r>
        <w:rPr/>
        <w:t>penerapan</w:t>
      </w:r>
      <w:r>
        <w:rPr>
          <w:spacing w:val="-3"/>
        </w:rPr>
        <w:t> </w:t>
      </w:r>
      <w:r>
        <w:rPr/>
        <w:t>ESG</w:t>
      </w:r>
      <w:r>
        <w:rPr>
          <w:spacing w:val="-3"/>
        </w:rPr>
        <w:t> </w:t>
      </w:r>
      <w:r>
        <w:rPr/>
        <w:t>disclosure</w:t>
      </w:r>
      <w:r>
        <w:rPr>
          <w:spacing w:val="-3"/>
        </w:rPr>
        <w:t> </w:t>
      </w:r>
      <w:r>
        <w:rPr/>
        <w:t>berdampak</w:t>
      </w:r>
      <w:r>
        <w:rPr>
          <w:spacing w:val="-3"/>
        </w:rPr>
        <w:t> </w:t>
      </w:r>
      <w:r>
        <w:rPr/>
        <w:t>positif</w:t>
      </w:r>
      <w:r>
        <w:rPr>
          <w:spacing w:val="-3"/>
        </w:rPr>
        <w:t> </w:t>
      </w:r>
      <w:r>
        <w:rPr/>
        <w:t>bagi</w:t>
      </w:r>
      <w:r>
        <w:rPr>
          <w:spacing w:val="-3"/>
        </w:rPr>
        <w:t> </w:t>
      </w:r>
      <w:r>
        <w:rPr/>
        <w:t>lingkungan serta terhadap kinerja perusahaan (Daruri, 2021). Serta menurut Rikhana (2020). perusahaan yang mengungkapkan kepedulian yang besar pada lingkungan sosial, akan berdampak baik pada citra suatu perusahaan dilihat dari sudut pandang investor dan masyarakat.</w:t>
      </w:r>
    </w:p>
    <w:p>
      <w:pPr>
        <w:pStyle w:val="BodyText"/>
        <w:spacing w:line="480" w:lineRule="auto"/>
        <w:ind w:left="1134" w:right="707" w:firstLine="708"/>
        <w:jc w:val="both"/>
      </w:pPr>
      <w:r>
        <w:rPr/>
        <w:t>Peningkatan nilai perusahaan akan lebih baik jika diiringi dengan perkembangan </w:t>
      </w:r>
      <w:r>
        <w:rPr>
          <w:i/>
        </w:rPr>
        <w:t>Corporate Social Responsibility </w:t>
      </w:r>
      <w:r>
        <w:rPr/>
        <w:t>(CSR) di Indonesia. Walaupun di Indonesia kegiatan CSR masih bersifat pengungkapan sukarela, perusahaan dapat memperoleh manfaat berupa legitimasi dari masyarakat sekitar dengan mengungkapkan informasi terkait. Pengungkapan aspek CSR oleh perusahaan juga berpotensi</w:t>
      </w:r>
      <w:r>
        <w:rPr>
          <w:spacing w:val="40"/>
        </w:rPr>
        <w:t> </w:t>
      </w:r>
      <w:r>
        <w:rPr/>
        <w:t>menarik</w:t>
      </w:r>
      <w:r>
        <w:rPr>
          <w:spacing w:val="40"/>
        </w:rPr>
        <w:t> </w:t>
      </w:r>
      <w:r>
        <w:rPr/>
        <w:t>minat</w:t>
      </w:r>
      <w:r>
        <w:rPr>
          <w:spacing w:val="40"/>
        </w:rPr>
        <w:t> </w:t>
      </w:r>
      <w:r>
        <w:rPr/>
        <w:t>investor</w:t>
      </w:r>
      <w:r>
        <w:rPr>
          <w:spacing w:val="40"/>
        </w:rPr>
        <w:t> </w:t>
      </w:r>
      <w:r>
        <w:rPr/>
        <w:t>yang</w:t>
      </w:r>
      <w:r>
        <w:rPr>
          <w:spacing w:val="40"/>
        </w:rPr>
        <w:t> </w:t>
      </w:r>
      <w:r>
        <w:rPr/>
        <w:t>mempertimbangkan</w:t>
      </w:r>
      <w:r>
        <w:rPr>
          <w:spacing w:val="40"/>
        </w:rPr>
        <w:t> </w:t>
      </w:r>
      <w:r>
        <w:rPr/>
        <w:t>aspek</w:t>
      </w:r>
    </w:p>
    <w:p>
      <w:pPr>
        <w:pStyle w:val="BodyText"/>
        <w:spacing w:after="0" w:line="480" w:lineRule="auto"/>
        <w:jc w:val="both"/>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BodyText"/>
        <w:spacing w:line="480" w:lineRule="auto"/>
        <w:ind w:left="1134" w:right="708"/>
        <w:jc w:val="both"/>
      </w:pPr>
      <w:r>
        <w:rPr/>
        <w:t>lingkungan melalui tiga pengungkapan utama, yaitu Environment, Social, dan Governance (ESG) (Rahmawati, 2019). Tren investasi ESG di Indonesia menjadi pilihan investasi jangka panjang yang diminati investor karena alasan utama yaitu manajemen risiko yang baik dan kuat serta keberlanjutan investasi.</w:t>
      </w:r>
    </w:p>
    <w:p>
      <w:pPr>
        <w:pStyle w:val="BodyText"/>
        <w:spacing w:line="480" w:lineRule="auto"/>
        <w:ind w:left="1134" w:right="708" w:firstLine="708"/>
        <w:jc w:val="both"/>
      </w:pPr>
      <w:r>
        <w:rPr/>
        <w:t>ESG dianggap sebagai strategi fundamental dalam menjaga keberlanjutan perusahaan dan menjadi populer terutama di sektor perbankan (McDonald &amp; Rundle-Thiele, 2008). Keputusan strategis yang tepat dalam mengalokasikan sumber daya dan modal untuk memenuhi komitmen terkait ESG membantu bank mencapai stabilitas finansial serta meningkatkan loyalitas nasabah (Shakil, et al. 2020). Kelalaian dalam implementasi ESG dapat merusak reputasi perusahaan dan mempertanyakan keberlanjutan jangka panjangnya. Oleh karena itu, perusahaan perlu berhati-hati dalam menginvestasikan proyek yang merugikan lingkungan atau tidak sesuai dengan nilai sosial. Meskipun demikian, ada kalanya perusahaan mengabaikan kewajiban ESG, sehingga menimbulkan kontroversi yang dapat bertentangan dengan komitmen terhadap tujuan lingkungan dan sosial kolektif (Hassan, et al. 2020).</w:t>
      </w:r>
    </w:p>
    <w:p>
      <w:pPr>
        <w:pStyle w:val="BodyText"/>
        <w:spacing w:line="480" w:lineRule="auto"/>
        <w:ind w:left="1134" w:right="707" w:firstLine="708"/>
        <w:jc w:val="both"/>
      </w:pPr>
      <w:r>
        <w:rPr/>
        <w:t>Karakteristik CEO juga memainkan peran penting dalam menentukan praktik pengungkapan ESG di perusahaan pertambangan. Karakteristik seorang CEO, seperti pengalaman, pendidikan,</w:t>
      </w:r>
      <w:r>
        <w:rPr>
          <w:spacing w:val="40"/>
        </w:rPr>
        <w:t> </w:t>
      </w:r>
      <w:r>
        <w:rPr/>
        <w:t>kepemimpinan,</w:t>
      </w:r>
      <w:r>
        <w:rPr>
          <w:spacing w:val="40"/>
        </w:rPr>
        <w:t> </w:t>
      </w:r>
      <w:r>
        <w:rPr/>
        <w:t>dan</w:t>
      </w:r>
      <w:r>
        <w:rPr>
          <w:spacing w:val="40"/>
        </w:rPr>
        <w:t> </w:t>
      </w:r>
      <w:r>
        <w:rPr/>
        <w:t>nilai-nilai</w:t>
      </w:r>
      <w:r>
        <w:rPr>
          <w:spacing w:val="40"/>
        </w:rPr>
        <w:t> </w:t>
      </w:r>
      <w:r>
        <w:rPr/>
        <w:t>pribadi,</w:t>
      </w:r>
      <w:r>
        <w:rPr>
          <w:spacing w:val="40"/>
        </w:rPr>
        <w:t> </w:t>
      </w:r>
      <w:r>
        <w:rPr/>
        <w:t>dapat</w:t>
      </w:r>
      <w:r>
        <w:rPr>
          <w:spacing w:val="40"/>
        </w:rPr>
        <w:t> </w:t>
      </w:r>
      <w:r>
        <w:rPr/>
        <w:t>membentuk</w:t>
      </w:r>
    </w:p>
    <w:p>
      <w:pPr>
        <w:pStyle w:val="BodyText"/>
        <w:spacing w:after="0" w:line="480" w:lineRule="auto"/>
        <w:jc w:val="both"/>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BodyText"/>
        <w:spacing w:line="480" w:lineRule="auto"/>
        <w:ind w:left="1134" w:right="708"/>
        <w:jc w:val="both"/>
      </w:pPr>
      <w:r>
        <w:rPr/>
        <w:t>arah strategis dan budaya perusahaan secara keseluruhan (Lestari, Mutmainah &amp; Raharja, 2024). Dalam konteks ini, CEO yang memiliki kesadaran lingkungan dan komitmen terhadap tanggung jawab sosial mungkin lebih cenderung untuk memprioritaskan pengungkapan ESG dalam operasi perusahaan mereka. CEO yang berpengalaman dan berpendidikan tinggi dalam bidang lingkungan atau tata kelola perusahaan dapat membawa pemahaman yang lebih dalam tentang pentingnya praktik bisnis berkelanjutan (Situmorang &amp; Putri, 2023). Mereka</w:t>
      </w:r>
      <w:r>
        <w:rPr>
          <w:spacing w:val="-4"/>
        </w:rPr>
        <w:t> </w:t>
      </w:r>
      <w:r>
        <w:rPr/>
        <w:t>mungkin</w:t>
      </w:r>
      <w:r>
        <w:rPr>
          <w:spacing w:val="-4"/>
        </w:rPr>
        <w:t> </w:t>
      </w:r>
      <w:r>
        <w:rPr/>
        <w:t>memiliki</w:t>
      </w:r>
      <w:r>
        <w:rPr>
          <w:spacing w:val="-4"/>
        </w:rPr>
        <w:t> </w:t>
      </w:r>
      <w:r>
        <w:rPr/>
        <w:t>visi</w:t>
      </w:r>
      <w:r>
        <w:rPr>
          <w:spacing w:val="-4"/>
        </w:rPr>
        <w:t> </w:t>
      </w:r>
      <w:r>
        <w:rPr/>
        <w:t>jangka</w:t>
      </w:r>
      <w:r>
        <w:rPr>
          <w:spacing w:val="-4"/>
        </w:rPr>
        <w:t> </w:t>
      </w:r>
      <w:r>
        <w:rPr/>
        <w:t>panjang</w:t>
      </w:r>
      <w:r>
        <w:rPr>
          <w:spacing w:val="-4"/>
        </w:rPr>
        <w:t> </w:t>
      </w:r>
      <w:r>
        <w:rPr/>
        <w:t>yang</w:t>
      </w:r>
      <w:r>
        <w:rPr>
          <w:spacing w:val="-4"/>
        </w:rPr>
        <w:t> </w:t>
      </w:r>
      <w:r>
        <w:rPr/>
        <w:t>lebih</w:t>
      </w:r>
      <w:r>
        <w:rPr>
          <w:spacing w:val="-4"/>
        </w:rPr>
        <w:t> </w:t>
      </w:r>
      <w:r>
        <w:rPr/>
        <w:t>besar</w:t>
      </w:r>
      <w:r>
        <w:rPr>
          <w:spacing w:val="-4"/>
        </w:rPr>
        <w:t> </w:t>
      </w:r>
      <w:r>
        <w:rPr/>
        <w:t>tentang dampak positif yang dapat dicapai melalui pengungkapan ESG dan bagaimana hal tersebut dapat menguntungkan perusahaan dari segi reputasi, kinerja keuangan, dan hubungan dengan pemangku kepentingan. Selain itu, gaya kepemimpinan CEO juga dapat mempengaruhi budaya perusahaan terkait dengan tanggung jawab sosial dan lingkungan (Siregar &amp; Khomsiyah, 2023). CEO yang menerapkan gaya kepemimpinan yang terbuka, kolaboratif, dan berorientasi pada nilai-nilai sosial mungkin lebih mendorong budaya di mana pengungkapan ESG dianggap sebagai prioritas. Dengan demikian, karakteristik CEO dapat menjadi elemen penting dalam menentukan sejauh mana sebuah perusahaan pertambangan berkomitmen untuk menerapkan praktik bisnis yang berkelanjutan dan transparan (Putra &amp; Kartini, 2023).</w:t>
      </w:r>
    </w:p>
    <w:p>
      <w:pPr>
        <w:pStyle w:val="BodyText"/>
        <w:spacing w:after="0" w:line="480" w:lineRule="auto"/>
        <w:jc w:val="both"/>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BodyText"/>
        <w:spacing w:line="480" w:lineRule="auto"/>
        <w:ind w:left="1135" w:right="708" w:firstLine="708"/>
        <w:jc w:val="both"/>
      </w:pPr>
      <w:r>
        <w:rPr/>
        <w:t>Kinerja keuangan memiliki indikator dari baik buruknya keputusan</w:t>
      </w:r>
      <w:r>
        <w:rPr>
          <w:spacing w:val="-4"/>
        </w:rPr>
        <w:t> </w:t>
      </w:r>
      <w:r>
        <w:rPr/>
        <w:t>manajemen</w:t>
      </w:r>
      <w:r>
        <w:rPr>
          <w:spacing w:val="-4"/>
        </w:rPr>
        <w:t> </w:t>
      </w:r>
      <w:r>
        <w:rPr/>
        <w:t>dalam</w:t>
      </w:r>
      <w:r>
        <w:rPr>
          <w:spacing w:val="-4"/>
        </w:rPr>
        <w:t> </w:t>
      </w:r>
      <w:r>
        <w:rPr/>
        <w:t>pengambilan</w:t>
      </w:r>
      <w:r>
        <w:rPr>
          <w:spacing w:val="-4"/>
        </w:rPr>
        <w:t> </w:t>
      </w:r>
      <w:r>
        <w:rPr/>
        <w:t>keputusan</w:t>
      </w:r>
      <w:r>
        <w:rPr>
          <w:spacing w:val="-4"/>
        </w:rPr>
        <w:t> </w:t>
      </w:r>
      <w:r>
        <w:rPr/>
        <w:t>dan</w:t>
      </w:r>
      <w:r>
        <w:rPr>
          <w:spacing w:val="-4"/>
        </w:rPr>
        <w:t> </w:t>
      </w:r>
      <w:r>
        <w:rPr/>
        <w:t>merupakan efektivitas manajemen dalam mengelola sumber daya (Sudirman &amp; Wijaya, 2020). Perusahaan yang mampu mengoptimalkan proses produksi,</w:t>
      </w:r>
      <w:r>
        <w:rPr>
          <w:spacing w:val="-6"/>
        </w:rPr>
        <w:t> </w:t>
      </w:r>
      <w:r>
        <w:rPr/>
        <w:t>meningkatkan</w:t>
      </w:r>
      <w:r>
        <w:rPr>
          <w:spacing w:val="-6"/>
        </w:rPr>
        <w:t> </w:t>
      </w:r>
      <w:r>
        <w:rPr/>
        <w:t>efesiensi</w:t>
      </w:r>
      <w:r>
        <w:rPr>
          <w:spacing w:val="-6"/>
        </w:rPr>
        <w:t> </w:t>
      </w:r>
      <w:r>
        <w:rPr/>
        <w:t>opersional,</w:t>
      </w:r>
      <w:r>
        <w:rPr>
          <w:spacing w:val="-6"/>
        </w:rPr>
        <w:t> </w:t>
      </w:r>
      <w:r>
        <w:rPr/>
        <w:t>dan</w:t>
      </w:r>
      <w:r>
        <w:rPr>
          <w:spacing w:val="-6"/>
        </w:rPr>
        <w:t> </w:t>
      </w:r>
      <w:r>
        <w:rPr/>
        <w:t>meminimalkan</w:t>
      </w:r>
      <w:r>
        <w:rPr>
          <w:spacing w:val="-6"/>
        </w:rPr>
        <w:t> </w:t>
      </w:r>
      <w:r>
        <w:rPr/>
        <w:t>biaya serta memiliki potensi lebih besar untuk menghasilkan laba yang</w:t>
      </w:r>
      <w:r>
        <w:rPr>
          <w:spacing w:val="40"/>
        </w:rPr>
        <w:t> </w:t>
      </w:r>
      <w:r>
        <w:rPr/>
        <w:t>stabil. Pengelolaan risiko yang baik termasuk risiko lingkungan dan sosial, juga dapat menjadikan kinerja keuangan yang positif. Di sektor pertambangan, kinerja keuangan tidak hanya mencakup aspek profitabilitas, tetapi juga bagaimana perusahaan mengelola risiko lingkungan dan sosial. Parwati &amp; Sudiartha (2016) menyatakan bahwa kinerja keuangan yang baik dapat mencerminkan komitmen perusahaan terhadap praktik bisnis yang berkelanjutan. Selain itu, pengungkapan Environmental, Social, and Governance (ESG) dapat berfungsi sebagai alat untuk meningkatkan reputasi perusahaan dan membangun kepercayaan dengan pemangku kepentingan. Dalam konteks ini, pengungkapan ESG menjadi semakin relevan, karena semakin</w:t>
      </w:r>
      <w:r>
        <w:rPr>
          <w:spacing w:val="-5"/>
        </w:rPr>
        <w:t> </w:t>
      </w:r>
      <w:r>
        <w:rPr/>
        <w:t>banyak</w:t>
      </w:r>
      <w:r>
        <w:rPr>
          <w:spacing w:val="-5"/>
        </w:rPr>
        <w:t> </w:t>
      </w:r>
      <w:r>
        <w:rPr/>
        <w:t>investor</w:t>
      </w:r>
      <w:r>
        <w:rPr>
          <w:spacing w:val="-5"/>
        </w:rPr>
        <w:t> </w:t>
      </w:r>
      <w:r>
        <w:rPr/>
        <w:t>dan</w:t>
      </w:r>
      <w:r>
        <w:rPr>
          <w:spacing w:val="-5"/>
        </w:rPr>
        <w:t> </w:t>
      </w:r>
      <w:r>
        <w:rPr/>
        <w:t>konsumen</w:t>
      </w:r>
      <w:r>
        <w:rPr>
          <w:spacing w:val="-5"/>
        </w:rPr>
        <w:t> </w:t>
      </w:r>
      <w:r>
        <w:rPr/>
        <w:t>yang</w:t>
      </w:r>
      <w:r>
        <w:rPr>
          <w:spacing w:val="-5"/>
        </w:rPr>
        <w:t> </w:t>
      </w:r>
      <w:r>
        <w:rPr/>
        <w:t>memperhatikan</w:t>
      </w:r>
      <w:r>
        <w:rPr>
          <w:spacing w:val="-5"/>
        </w:rPr>
        <w:t> </w:t>
      </w:r>
      <w:r>
        <w:rPr/>
        <w:t>dampak sosial dan lingkungan dari keputusan bisnis. Pengungkapan ESG dapat memberikan wawasan yang lebih dalam tentang kinerja perusahaan dalam hal keberlanjutan. Perusahaan yang secara aktif menerapkan praktik ESG tidak hanya memenuhi tuntutan regulasi, tetapi</w:t>
      </w:r>
      <w:r>
        <w:rPr>
          <w:spacing w:val="40"/>
        </w:rPr>
        <w:t>  </w:t>
      </w:r>
      <w:r>
        <w:rPr/>
        <w:t>juga</w:t>
      </w:r>
      <w:r>
        <w:rPr>
          <w:spacing w:val="40"/>
        </w:rPr>
        <w:t>  </w:t>
      </w:r>
      <w:r>
        <w:rPr/>
        <w:t>dapat</w:t>
      </w:r>
      <w:r>
        <w:rPr>
          <w:spacing w:val="40"/>
        </w:rPr>
        <w:t>  </w:t>
      </w:r>
      <w:r>
        <w:rPr/>
        <w:t>meraih</w:t>
      </w:r>
      <w:r>
        <w:rPr>
          <w:spacing w:val="40"/>
        </w:rPr>
        <w:t>  </w:t>
      </w:r>
      <w:r>
        <w:rPr/>
        <w:t>keuntungan</w:t>
      </w:r>
      <w:r>
        <w:rPr>
          <w:spacing w:val="40"/>
        </w:rPr>
        <w:t>  </w:t>
      </w:r>
      <w:r>
        <w:rPr/>
        <w:t>jangka</w:t>
      </w:r>
      <w:r>
        <w:rPr>
          <w:spacing w:val="40"/>
        </w:rPr>
        <w:t>  </w:t>
      </w:r>
      <w:r>
        <w:rPr/>
        <w:t>panjang</w:t>
      </w:r>
      <w:r>
        <w:rPr>
          <w:spacing w:val="40"/>
        </w:rPr>
        <w:t>  </w:t>
      </w:r>
      <w:r>
        <w:rPr/>
        <w:t>melalui</w:t>
      </w:r>
    </w:p>
    <w:p>
      <w:pPr>
        <w:pStyle w:val="BodyText"/>
        <w:spacing w:after="0" w:line="480" w:lineRule="auto"/>
        <w:jc w:val="both"/>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BodyText"/>
        <w:spacing w:line="480" w:lineRule="auto"/>
        <w:ind w:left="1134" w:right="708"/>
        <w:jc w:val="both"/>
      </w:pPr>
      <w:r>
        <w:rPr/>
        <w:t>pengurangan biaya dan peningkatan reputasi (Lestari, et al. 2024). Meskipun pentingnya kinerja keuangan dan pengungkapan ESG telah diakui, masih banyak perusahaan pertambangan yang menghadapi tantangan dalam mengintegrasikan kedua aspek ini ke dalam model bisnis mereka (Arifin &amp; Yuliana, 2021). Oleh karena itu, penelitian ini bertujuan untuk menyelidiki hubungan antara kinerja keuangan dan praktik pengungkapan ESG di sektor pertambangan Indonesia, dengan fokus pada bagaimana kedua faktor ini saling memengaruhi dan berkontribusi pada keberlanjutan perusahaan.</w:t>
      </w:r>
    </w:p>
    <w:p>
      <w:pPr>
        <w:pStyle w:val="BodyText"/>
        <w:spacing w:line="480" w:lineRule="auto"/>
        <w:ind w:left="1135" w:right="707" w:firstLine="707"/>
        <w:jc w:val="both"/>
      </w:pPr>
      <w:r>
        <w:rPr/>
        <w:t>Selanjutnya, biaya politik (</w:t>
      </w:r>
      <w:r>
        <w:rPr>
          <w:i/>
        </w:rPr>
        <w:t>political cost)</w:t>
      </w:r>
      <w:r>
        <w:rPr/>
        <w:t>, juga merupakan faktor yang tidak bisa diabaikan dalam konteks pengungkapan ESG di</w:t>
      </w:r>
      <w:r>
        <w:rPr>
          <w:spacing w:val="80"/>
        </w:rPr>
        <w:t> </w:t>
      </w:r>
      <w:r>
        <w:rPr/>
        <w:t>sektor pertambangan Indonesia (Siregar, 2023). Industri pertambangan seringkali terlibat dalam dinamika politik yang kompleks, di mana regulasi, kebijakan, dan kepentingan politik dapat berdampak signifikan pada operasi dan reputasi perusahaan. Dalam situasi ini, perusahaan mungkin merasa perlu untuk meningkatkan pengungkapan ESG sebagai strategi untuk mengelola risiko politik</w:t>
      </w:r>
      <w:r>
        <w:rPr>
          <w:spacing w:val="40"/>
        </w:rPr>
        <w:t> </w:t>
      </w:r>
      <w:r>
        <w:rPr/>
        <w:t>dan menjaga hubungan baik dengan pemerintah, pemangku kepentingan, dan masyarakat luas. Perusahaan pertambangan yang memiliki keterkaitan politik yang tinggi mungkin menghadapi tekanan untuk memperkuat transparansi dalam pengungkapan ESG sebagai langkah untuk menjaga kredibilitas dan reputasi mereka di mata pemangku</w:t>
      </w:r>
      <w:r>
        <w:rPr>
          <w:spacing w:val="40"/>
        </w:rPr>
        <w:t> </w:t>
      </w:r>
      <w:r>
        <w:rPr/>
        <w:t>kepentingan</w:t>
      </w:r>
      <w:r>
        <w:rPr>
          <w:spacing w:val="40"/>
        </w:rPr>
        <w:t> </w:t>
      </w:r>
      <w:r>
        <w:rPr/>
        <w:t>(Putri</w:t>
      </w:r>
      <w:r>
        <w:rPr>
          <w:spacing w:val="40"/>
        </w:rPr>
        <w:t> </w:t>
      </w:r>
      <w:r>
        <w:rPr/>
        <w:t>&amp;</w:t>
      </w:r>
      <w:r>
        <w:rPr>
          <w:spacing w:val="40"/>
        </w:rPr>
        <w:t> </w:t>
      </w:r>
      <w:r>
        <w:rPr/>
        <w:t>Tiara,</w:t>
      </w:r>
      <w:r>
        <w:rPr>
          <w:spacing w:val="40"/>
        </w:rPr>
        <w:t> </w:t>
      </w:r>
      <w:r>
        <w:rPr/>
        <w:t>2024).</w:t>
      </w:r>
      <w:r>
        <w:rPr>
          <w:spacing w:val="40"/>
        </w:rPr>
        <w:t> </w:t>
      </w:r>
      <w:r>
        <w:rPr/>
        <w:t>Dengan</w:t>
      </w:r>
      <w:r>
        <w:rPr>
          <w:spacing w:val="40"/>
        </w:rPr>
        <w:t> </w:t>
      </w:r>
      <w:r>
        <w:rPr/>
        <w:t>memberikan</w:t>
      </w:r>
    </w:p>
    <w:p>
      <w:pPr>
        <w:pStyle w:val="BodyText"/>
        <w:spacing w:after="0" w:line="480" w:lineRule="auto"/>
        <w:jc w:val="both"/>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BodyText"/>
        <w:spacing w:line="480" w:lineRule="auto"/>
        <w:ind w:left="1134" w:right="708"/>
        <w:jc w:val="both"/>
      </w:pPr>
      <w:r>
        <w:rPr/>
        <w:t>informasi yang lebih terperinci tentang upaya-upaya mereka dalam mengelola dampak lingkungan dan sosial, perusahaan dapat</w:t>
      </w:r>
      <w:r>
        <w:rPr>
          <w:spacing w:val="40"/>
        </w:rPr>
        <w:t> </w:t>
      </w:r>
      <w:r>
        <w:rPr/>
        <w:t>berusaha untuk membangun hubungan yang lebih kuat dengan pemerintah, mengurangi risiko terkait perubahan regulasi yang merugikan, dan memperkuat legitimasi sosial mereka di tengah </w:t>
      </w:r>
      <w:r>
        <w:rPr>
          <w:spacing w:val="-2"/>
        </w:rPr>
        <w:t>masyarakat.</w:t>
      </w:r>
    </w:p>
    <w:p>
      <w:pPr>
        <w:pStyle w:val="BodyText"/>
        <w:spacing w:line="480" w:lineRule="auto"/>
        <w:ind w:left="1134" w:right="707" w:firstLine="708"/>
        <w:jc w:val="both"/>
      </w:pPr>
      <w:r>
        <w:rPr>
          <w:i/>
        </w:rPr>
        <w:t>Environmental, social, and governance </w:t>
      </w:r>
      <w:r>
        <w:rPr/>
        <w:t>(ESG) merupakan seperangkat kode operasional perusahaan yang digunakan oleh investor yang peduli terhadap isu sosial dan lingkungan untuk mempertimbangkan investasi di masa depan (Chen &amp; Yang, 2020). Salah satu tantangan utama dalam isu </w:t>
      </w:r>
      <w:r>
        <w:rPr>
          <w:i/>
        </w:rPr>
        <w:t>environmental, social, and governance </w:t>
      </w:r>
      <w:r>
        <w:rPr/>
        <w:t>(ESG) di dunia adalah penerapan prinsip keberlanjutan di perusahaan. Salah satu sorotan media mengangkat permintaan kepada pemerintah untuk melindungi hak dan kesejahteraan pekerja selama pandemi COVID-19. Selain itu, terdapat isu lingkungan terkait kebocoran metana di Antartika, yang merupakan salah satu gas</w:t>
      </w:r>
      <w:r>
        <w:rPr>
          <w:spacing w:val="40"/>
        </w:rPr>
        <w:t> </w:t>
      </w:r>
      <w:r>
        <w:rPr/>
        <w:t>rumah kaca paling kuat. Kebocoran ini dikhawatirkan memiliki dampak signifikan terhadap krisis iklim global. Di bidang tata kelola perusahaan, kasus dugaan korupsi proyek fiktif di PT Waskita Karya menunjukkan kurangnya penerapan tata kelola yang baik. Seharusnya, perusahaan mampu mengimplementasikan prinsip </w:t>
      </w:r>
      <w:r>
        <w:rPr>
          <w:i/>
        </w:rPr>
        <w:t>Good Corporate Governance </w:t>
      </w:r>
      <w:r>
        <w:rPr/>
        <w:t>(GCG) sebagai bagian dari indikator ESG</w:t>
      </w:r>
      <w:r>
        <w:rPr>
          <w:spacing w:val="40"/>
        </w:rPr>
        <w:t> </w:t>
      </w:r>
      <w:r>
        <w:rPr/>
        <w:t>pada aspek tata kelola perusahaan (Hariyoga &amp; Suprianto, 2020).</w:t>
      </w:r>
    </w:p>
    <w:p>
      <w:pPr>
        <w:pStyle w:val="BodyText"/>
        <w:spacing w:after="0" w:line="480" w:lineRule="auto"/>
        <w:jc w:val="both"/>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BodyText"/>
        <w:spacing w:line="480" w:lineRule="auto"/>
        <w:ind w:left="1135" w:right="708" w:firstLine="708"/>
        <w:jc w:val="both"/>
      </w:pPr>
      <w:r>
        <w:rPr/>
        <w:t>Isu lingkungan telah menjadi perhatian sensitif selama dua dekade terakhir, seperti yang terlihat pada proses divestasi PT Freeport Indonesia (FI) oleh PT Indonesia Asahan Aluminium</w:t>
      </w:r>
      <w:r>
        <w:rPr>
          <w:spacing w:val="40"/>
        </w:rPr>
        <w:t> </w:t>
      </w:r>
      <w:r>
        <w:rPr/>
        <w:t>(Inalum). Berdasarkan temuan Badan Pemeriksa Keuangan (BPK), terjadi kerugian sebesar Rp 185 triliun yang disebabkan oleh aktivitas penambangan PTFI. Kerugian ini berasal dari kerusakan ekosistem yang membutuhkan biaya rehabilitasi di sekitar area tambang. Inalum membutuhkan pinjaman dari sindikasi perbankan asing, namun pencairan dana pinjaman tertunda sambil menunggu penyelesaian isu lingkungan ini (Nurbaya, 2017).</w:t>
      </w:r>
    </w:p>
    <w:p>
      <w:pPr>
        <w:pStyle w:val="BodyText"/>
        <w:spacing w:line="480" w:lineRule="auto"/>
        <w:ind w:left="1134" w:right="707" w:firstLine="708"/>
        <w:jc w:val="both"/>
      </w:pPr>
      <w:r>
        <w:rPr/>
        <w:t>Fenomena </w:t>
      </w:r>
      <w:r>
        <w:rPr>
          <w:i/>
        </w:rPr>
        <w:t>Environment, Social, Governance </w:t>
      </w:r>
      <w:r>
        <w:rPr/>
        <w:t>(ESG) </w:t>
      </w:r>
      <w:r>
        <w:rPr>
          <w:i/>
        </w:rPr>
        <w:t>Disclosure </w:t>
      </w:r>
      <w:r>
        <w:rPr/>
        <w:t>di Bursa Efek Indonesia (BEI) menjadi sebuah hal yang menarik untuk diamati. Pada kasus PT Timah Tbk dan masyarakat sekitar yang menolak memberikan izin penambangan kepada perusahaan</w:t>
      </w:r>
      <w:r>
        <w:rPr>
          <w:spacing w:val="80"/>
        </w:rPr>
        <w:t> </w:t>
      </w:r>
      <w:r>
        <w:rPr/>
        <w:t>tersebut. Salah satu penyebabnya karena kurangnya kepedulian dan komunikasi PT Timah Tbk, yang merupakan anak perusahaan PT Indonesia Asahan Aluminium (Inalum), terhadap warga sekitar. Walaupun masyarakat tahu bahwa PT Timah pernah melakukan kegiatan eksploitasi di wilayah mereka, namun perusahaan menghentikan aktivitas tersebut tanpa memberikan penjelasan</w:t>
      </w:r>
      <w:r>
        <w:rPr>
          <w:spacing w:val="80"/>
        </w:rPr>
        <w:t> </w:t>
      </w:r>
      <w:r>
        <w:rPr/>
        <w:t>kepada masyarakat mengenai alasan penghentiannya itu (Tarmizi, </w:t>
      </w:r>
      <w:r>
        <w:rPr>
          <w:spacing w:val="-2"/>
        </w:rPr>
        <w:t>2021).</w:t>
      </w:r>
    </w:p>
    <w:p>
      <w:pPr>
        <w:pStyle w:val="BodyText"/>
        <w:spacing w:after="0" w:line="480" w:lineRule="auto"/>
        <w:jc w:val="both"/>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BodyText"/>
        <w:spacing w:line="480" w:lineRule="auto"/>
        <w:ind w:left="1135" w:right="708" w:firstLine="708"/>
        <w:jc w:val="both"/>
      </w:pPr>
      <w:r>
        <w:rPr/>
        <w:t>Pertambangan timah telah lama menjadi sektor ekonomi penting di Indonesia. Namun, di balik tingginya angka produksi, terdapat sisi gelap dari dampak buruk pertambangan timah ilegal di Kepulauan Bangka Belitung. Berdasarkan data, ekspor timah Indonesia mencapai 68.711 metrik ton, sementara kontribusi PT</w:t>
      </w:r>
      <w:r>
        <w:rPr>
          <w:spacing w:val="40"/>
        </w:rPr>
        <w:t> </w:t>
      </w:r>
      <w:r>
        <w:rPr/>
        <w:t>Timah Tbk, BUMN terbesar di sektor ini, hanya sebesar 12.505 metrik ton </w:t>
      </w:r>
      <w:hyperlink r:id="rId24">
        <w:r>
          <w:rPr/>
          <w:t>(https://www.kontan.co.id),</w:t>
        </w:r>
      </w:hyperlink>
      <w:r>
        <w:rPr/>
        <w:t> jauh dari kapasitas Izin Usaha Pertambangan (IUP) yang dimilikinya. Indonesia memiliki cadangan timah terbesar kedua di dunia, mencapai 800.000 ton logam. Namun, potensi besar ini diiringi dengan fakta yang memprihatinkan baru-baru ini, terungkap besarnya kerugian akibat pertambangan timah ilegal, yang mencapai 271 triliun rupiah. Kerugian ini meliputi dampak ekologis sebesar 183 triliun rupiah, kerugian ekonomi lingkungan sebesar 74 triliun rupiah, dan biaya pemulihan lingkungan sebesar 12 triliun rupiah.</w:t>
      </w:r>
    </w:p>
    <w:p>
      <w:pPr>
        <w:pStyle w:val="BodyText"/>
        <w:spacing w:line="480" w:lineRule="auto"/>
        <w:ind w:left="1135" w:right="708" w:firstLine="708"/>
        <w:jc w:val="both"/>
      </w:pPr>
      <w:r>
        <w:rPr/>
        <w:t>Jika ditelusuri lebih dalam, permasalahan ini salah satunya berakar</w:t>
      </w:r>
      <w:r>
        <w:rPr>
          <w:spacing w:val="-4"/>
        </w:rPr>
        <w:t> </w:t>
      </w:r>
      <w:r>
        <w:rPr/>
        <w:t>pada</w:t>
      </w:r>
      <w:r>
        <w:rPr>
          <w:spacing w:val="-4"/>
        </w:rPr>
        <w:t> </w:t>
      </w:r>
      <w:r>
        <w:rPr/>
        <w:t>tata</w:t>
      </w:r>
      <w:r>
        <w:rPr>
          <w:spacing w:val="-4"/>
        </w:rPr>
        <w:t> </w:t>
      </w:r>
      <w:r>
        <w:rPr/>
        <w:t>kelola</w:t>
      </w:r>
      <w:r>
        <w:rPr>
          <w:spacing w:val="-4"/>
        </w:rPr>
        <w:t> </w:t>
      </w:r>
      <w:r>
        <w:rPr/>
        <w:t>BUMN</w:t>
      </w:r>
      <w:r>
        <w:rPr>
          <w:spacing w:val="-4"/>
        </w:rPr>
        <w:t> </w:t>
      </w:r>
      <w:r>
        <w:rPr/>
        <w:t>yang</w:t>
      </w:r>
      <w:r>
        <w:rPr>
          <w:spacing w:val="-4"/>
        </w:rPr>
        <w:t> </w:t>
      </w:r>
      <w:r>
        <w:rPr/>
        <w:t>kurang</w:t>
      </w:r>
      <w:r>
        <w:rPr>
          <w:spacing w:val="-4"/>
        </w:rPr>
        <w:t> </w:t>
      </w:r>
      <w:r>
        <w:rPr/>
        <w:t>baik.</w:t>
      </w:r>
      <w:r>
        <w:rPr>
          <w:spacing w:val="-4"/>
        </w:rPr>
        <w:t> </w:t>
      </w:r>
      <w:r>
        <w:rPr/>
        <w:t>Meskipun</w:t>
      </w:r>
      <w:r>
        <w:rPr>
          <w:spacing w:val="-4"/>
        </w:rPr>
        <w:t> </w:t>
      </w:r>
      <w:r>
        <w:rPr/>
        <w:t>PT</w:t>
      </w:r>
      <w:r>
        <w:rPr>
          <w:spacing w:val="-4"/>
        </w:rPr>
        <w:t> </w:t>
      </w:r>
      <w:r>
        <w:rPr/>
        <w:t>Timah Tbk. memiliki izin usaha pertambangan (IUP) yang luas, perusahaan ini tidak mampu memanfaatkan sepenuhnya, sehingga harus berkolaborasi</w:t>
      </w:r>
      <w:r>
        <w:rPr>
          <w:spacing w:val="-2"/>
        </w:rPr>
        <w:t> </w:t>
      </w:r>
      <w:r>
        <w:rPr/>
        <w:t>dengan</w:t>
      </w:r>
      <w:r>
        <w:rPr>
          <w:spacing w:val="-2"/>
        </w:rPr>
        <w:t> </w:t>
      </w:r>
      <w:r>
        <w:rPr/>
        <w:t>pihak</w:t>
      </w:r>
      <w:r>
        <w:rPr>
          <w:spacing w:val="-2"/>
        </w:rPr>
        <w:t> </w:t>
      </w:r>
      <w:r>
        <w:rPr/>
        <w:t>swasta</w:t>
      </w:r>
      <w:r>
        <w:rPr>
          <w:spacing w:val="-2"/>
        </w:rPr>
        <w:t> </w:t>
      </w:r>
      <w:r>
        <w:rPr/>
        <w:t>atau</w:t>
      </w:r>
      <w:r>
        <w:rPr>
          <w:spacing w:val="-2"/>
        </w:rPr>
        <w:t> </w:t>
      </w:r>
      <w:r>
        <w:rPr/>
        <w:t>masyarakat.</w:t>
      </w:r>
      <w:r>
        <w:rPr>
          <w:spacing w:val="-2"/>
        </w:rPr>
        <w:t> </w:t>
      </w:r>
      <w:r>
        <w:rPr/>
        <w:t>Di</w:t>
      </w:r>
      <w:r>
        <w:rPr>
          <w:spacing w:val="-2"/>
        </w:rPr>
        <w:t> </w:t>
      </w:r>
      <w:r>
        <w:rPr/>
        <w:t>sinilah</w:t>
      </w:r>
      <w:r>
        <w:rPr>
          <w:spacing w:val="-2"/>
        </w:rPr>
        <w:t> </w:t>
      </w:r>
      <w:r>
        <w:rPr/>
        <w:t>praktik tidak sehat mulai muncul. Modusnya, pengusaha swasta yang diberi izin menambang di area IUP PT Timah Tbk justru menjual hasil tambang</w:t>
      </w:r>
      <w:r>
        <w:rPr>
          <w:spacing w:val="38"/>
        </w:rPr>
        <w:t>  </w:t>
      </w:r>
      <w:r>
        <w:rPr/>
        <w:t>ke</w:t>
      </w:r>
      <w:r>
        <w:rPr>
          <w:spacing w:val="38"/>
        </w:rPr>
        <w:t>  </w:t>
      </w:r>
      <w:r>
        <w:rPr/>
        <w:t>pihak</w:t>
      </w:r>
      <w:r>
        <w:rPr>
          <w:spacing w:val="38"/>
        </w:rPr>
        <w:t>  </w:t>
      </w:r>
      <w:r>
        <w:rPr/>
        <w:t>lain</w:t>
      </w:r>
      <w:r>
        <w:rPr>
          <w:spacing w:val="38"/>
        </w:rPr>
        <w:t>  </w:t>
      </w:r>
      <w:r>
        <w:rPr/>
        <w:t>yang</w:t>
      </w:r>
      <w:r>
        <w:rPr>
          <w:spacing w:val="38"/>
        </w:rPr>
        <w:t>  </w:t>
      </w:r>
      <w:r>
        <w:rPr/>
        <w:t>menawarkan</w:t>
      </w:r>
      <w:r>
        <w:rPr>
          <w:spacing w:val="38"/>
        </w:rPr>
        <w:t>  </w:t>
      </w:r>
      <w:r>
        <w:rPr/>
        <w:t>harga</w:t>
      </w:r>
      <w:r>
        <w:rPr>
          <w:spacing w:val="38"/>
        </w:rPr>
        <w:t>  </w:t>
      </w:r>
      <w:r>
        <w:rPr/>
        <w:t>lebih</w:t>
      </w:r>
      <w:r>
        <w:rPr>
          <w:spacing w:val="38"/>
        </w:rPr>
        <w:t>  </w:t>
      </w:r>
      <w:r>
        <w:rPr/>
        <w:t>tinggi,</w:t>
      </w:r>
    </w:p>
    <w:p>
      <w:pPr>
        <w:pStyle w:val="BodyText"/>
        <w:spacing w:after="0" w:line="480" w:lineRule="auto"/>
        <w:jc w:val="both"/>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BodyText"/>
        <w:spacing w:line="480" w:lineRule="auto"/>
        <w:ind w:left="1134" w:right="708"/>
        <w:jc w:val="both"/>
      </w:pPr>
      <w:r>
        <w:rPr/>
        <w:t>mengabaikan perjanjian dengan PT Timah Tbk. Keuntungan dari selisih harga ini kemudian dibagi oleh berbagai pihak.</w:t>
      </w:r>
    </w:p>
    <w:p>
      <w:pPr>
        <w:pStyle w:val="BodyText"/>
        <w:spacing w:line="480" w:lineRule="auto"/>
        <w:ind w:left="1134" w:right="708" w:firstLine="708"/>
        <w:jc w:val="both"/>
      </w:pPr>
      <w:r>
        <w:rPr/>
        <w:t>Selain itu, terdapat dugaan keterlibatan oknum aparat yang menerima suap untuk memungkinkan operasi tambang ilegal berjalan mulus. Data menunjukkan lebih dari 90% produksi timah berasal dari tambang</w:t>
      </w:r>
      <w:r>
        <w:rPr>
          <w:spacing w:val="-1"/>
        </w:rPr>
        <w:t> </w:t>
      </w:r>
      <w:r>
        <w:rPr/>
        <w:t>ilegal</w:t>
      </w:r>
      <w:r>
        <w:rPr>
          <w:spacing w:val="-1"/>
        </w:rPr>
        <w:t> </w:t>
      </w:r>
      <w:r>
        <w:rPr/>
        <w:t>(CNBC),</w:t>
      </w:r>
      <w:r>
        <w:rPr>
          <w:spacing w:val="-1"/>
        </w:rPr>
        <w:t> </w:t>
      </w:r>
      <w:r>
        <w:rPr/>
        <w:t>membuat</w:t>
      </w:r>
      <w:r>
        <w:rPr>
          <w:spacing w:val="-1"/>
        </w:rPr>
        <w:t> </w:t>
      </w:r>
      <w:r>
        <w:rPr/>
        <w:t>penambangan</w:t>
      </w:r>
      <w:r>
        <w:rPr>
          <w:spacing w:val="-1"/>
        </w:rPr>
        <w:t> </w:t>
      </w:r>
      <w:r>
        <w:rPr/>
        <w:t>resmi</w:t>
      </w:r>
      <w:r>
        <w:rPr>
          <w:spacing w:val="-1"/>
        </w:rPr>
        <w:t> </w:t>
      </w:r>
      <w:r>
        <w:rPr/>
        <w:t>oleh</w:t>
      </w:r>
      <w:r>
        <w:rPr>
          <w:spacing w:val="-1"/>
        </w:rPr>
        <w:t> </w:t>
      </w:r>
      <w:r>
        <w:rPr/>
        <w:t>PT</w:t>
      </w:r>
      <w:r>
        <w:rPr>
          <w:spacing w:val="-1"/>
        </w:rPr>
        <w:t> </w:t>
      </w:r>
      <w:r>
        <w:rPr/>
        <w:t>Timah Tbk seakan tenggelam di antara maraknya aktivitas tambang ilegal.</w:t>
      </w:r>
    </w:p>
    <w:p>
      <w:pPr>
        <w:pStyle w:val="BodyText"/>
        <w:spacing w:line="480" w:lineRule="auto"/>
        <w:ind w:left="1134" w:right="707" w:firstLine="708"/>
        <w:jc w:val="both"/>
      </w:pPr>
      <w:r>
        <w:rPr/>
        <w:t>Kasus tersebut dapat dikatakn sektor pertambangan global telah menunjukkan daya tahan dan fleksibilitas luar biasa dalam menyesuaikan operasinya selama pandemi. Selain itu, dorongan menuju kelestarian lingkungan telah menciptakan dinamika yang mudah berubah bagi perusahaan pertambangan. Meski menantang, perubahan tersebut juga membawa peluang bagi transformasional yang signifikan. Berdasarkan tinjauan</w:t>
      </w:r>
      <w:r>
        <w:rPr>
          <w:spacing w:val="40"/>
        </w:rPr>
        <w:t> </w:t>
      </w:r>
      <w:r>
        <w:rPr/>
        <w:t>tahun lalu, terbukti bahwa menempatkan ESG sebagai inti dari strategi perusahaan menjadi sangat penting untuk mendorong pertumbuhan. Di masa depan, semakin jelas bahwa banyak investor di sektor ini akan lebih tertarik pada perusahaan yang secara aktif mengitegritas kebijakan ESG. Dalam menghadapi permasalahan ini, upaya pemerintah setempat tampaknya selalu tumpul. Masalah ini terus dibiarkan berlarut-larut karena telah menjadi sumber mata pencaharian bagi warga setempat. Langkah pemerintah daerah untuk menangani persoalan ini hanya sebatas rencana pengenaan pajak bagi pengepul timah sebagai cara</w:t>
      </w:r>
    </w:p>
    <w:p>
      <w:pPr>
        <w:pStyle w:val="BodyText"/>
        <w:spacing w:after="0" w:line="480" w:lineRule="auto"/>
        <w:jc w:val="both"/>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BodyText"/>
        <w:spacing w:line="480" w:lineRule="auto"/>
        <w:ind w:left="1134" w:right="708"/>
        <w:jc w:val="both"/>
      </w:pPr>
      <w:r>
        <w:rPr/>
        <w:t>mengontrol aktivitas tambang ilegal. Solusi alternatif ini seperti buah simalakama, karena jika diterapkan, kebijakan tersebut bisa tampak sebagai bentuk legitimasi terhadap praktik tambang inkonvensional yang sejatinya ilegal.</w:t>
      </w:r>
    </w:p>
    <w:p>
      <w:pPr>
        <w:pStyle w:val="BodyText"/>
        <w:spacing w:line="480" w:lineRule="auto"/>
        <w:ind w:left="1134" w:right="707" w:firstLine="708"/>
        <w:jc w:val="both"/>
      </w:pPr>
      <w:r>
        <w:rPr/>
        <w:t>ESG (</w:t>
      </w:r>
      <w:r>
        <w:rPr>
          <w:i/>
        </w:rPr>
        <w:t>Environmental, Social, and Governance) </w:t>
      </w:r>
      <w:r>
        <w:rPr/>
        <w:t>kini menjadi fokus utama dalam dunia bisnis dan investasi modern. ESG menekankan pentingnya memperhatikan aspek lingkungan, sosial,</w:t>
      </w:r>
      <w:r>
        <w:rPr>
          <w:spacing w:val="40"/>
        </w:rPr>
        <w:t> </w:t>
      </w:r>
      <w:r>
        <w:rPr/>
        <w:t>dan tata kelola perusahaan dalam setiap pengambilan keputusan bisnis, sehingga dampak negatif dapat diminimalisasi. Dalam konteks pertambangan</w:t>
      </w:r>
      <w:r>
        <w:rPr>
          <w:spacing w:val="-3"/>
        </w:rPr>
        <w:t> </w:t>
      </w:r>
      <w:r>
        <w:rPr/>
        <w:t>timah</w:t>
      </w:r>
      <w:r>
        <w:rPr>
          <w:spacing w:val="-3"/>
        </w:rPr>
        <w:t> </w:t>
      </w:r>
      <w:r>
        <w:rPr/>
        <w:t>ilegal</w:t>
      </w:r>
      <w:r>
        <w:rPr>
          <w:spacing w:val="-3"/>
        </w:rPr>
        <w:t> </w:t>
      </w:r>
      <w:r>
        <w:rPr/>
        <w:t>yang</w:t>
      </w:r>
      <w:r>
        <w:rPr>
          <w:spacing w:val="-3"/>
        </w:rPr>
        <w:t> </w:t>
      </w:r>
      <w:r>
        <w:rPr/>
        <w:t>marak</w:t>
      </w:r>
      <w:r>
        <w:rPr>
          <w:spacing w:val="-3"/>
        </w:rPr>
        <w:t> </w:t>
      </w:r>
      <w:r>
        <w:rPr/>
        <w:t>di</w:t>
      </w:r>
      <w:r>
        <w:rPr>
          <w:spacing w:val="-3"/>
        </w:rPr>
        <w:t> </w:t>
      </w:r>
      <w:r>
        <w:rPr/>
        <w:t>Kepulauan</w:t>
      </w:r>
      <w:r>
        <w:rPr>
          <w:spacing w:val="-3"/>
        </w:rPr>
        <w:t> </w:t>
      </w:r>
      <w:r>
        <w:rPr/>
        <w:t>Bangka</w:t>
      </w:r>
      <w:r>
        <w:rPr>
          <w:spacing w:val="-3"/>
        </w:rPr>
        <w:t> </w:t>
      </w:r>
      <w:r>
        <w:rPr/>
        <w:t>Belitung, penerapan prinsip-prinsip ESG ini dapat menjadi solusi yang efektif. Dengan mengintegrasikan pertimbangan lingkungan, kesejahteraan masyarakat, dan praktik tata kelola yang baik, pelaku bisnis dan pemerintah dapat mengurangi dampak buruk yang ditimbulkan oleh penambangan ilegal serta membangun hubungan yang lebih sehat dengan masyarakat sekitar </w:t>
      </w:r>
      <w:hyperlink r:id="rId25">
        <w:r>
          <w:rPr/>
          <w:t>(kompasiana.com).</w:t>
        </w:r>
      </w:hyperlink>
    </w:p>
    <w:p>
      <w:pPr>
        <w:spacing w:line="480" w:lineRule="auto" w:before="0"/>
        <w:ind w:left="1134" w:right="707" w:firstLine="708"/>
        <w:jc w:val="both"/>
        <w:rPr>
          <w:sz w:val="24"/>
        </w:rPr>
      </w:pPr>
      <w:r>
        <w:rPr>
          <w:sz w:val="24"/>
        </w:rPr>
        <w:t>Berdasarkan hasil peneliti terdahulu yang masih tidak selaras, penelitian Triyani (2020) menerangkan variabel karakteristik CEO berpengaruh positif terhadap </w:t>
      </w:r>
      <w:r>
        <w:rPr>
          <w:i/>
          <w:sz w:val="24"/>
        </w:rPr>
        <w:t>environmental, social and governance </w:t>
      </w:r>
      <w:r>
        <w:rPr>
          <w:sz w:val="24"/>
        </w:rPr>
        <w:t>(ESG) </w:t>
      </w:r>
      <w:r>
        <w:rPr>
          <w:i/>
          <w:sz w:val="24"/>
        </w:rPr>
        <w:t>disclosure</w:t>
      </w:r>
      <w:r>
        <w:rPr>
          <w:sz w:val="24"/>
        </w:rPr>
        <w:t>. Hasil tersebut berbeda dengan penelitian Lestari (2024) yang menyatakan bahwa karakteristik CEO tidak berpengaruh positif </w:t>
      </w:r>
      <w:r>
        <w:rPr>
          <w:i/>
          <w:sz w:val="24"/>
        </w:rPr>
        <w:t>environmental, social and governance </w:t>
      </w:r>
      <w:r>
        <w:rPr>
          <w:sz w:val="24"/>
        </w:rPr>
        <w:t>(ESG) </w:t>
      </w:r>
      <w:r>
        <w:rPr>
          <w:i/>
          <w:sz w:val="24"/>
        </w:rPr>
        <w:t>disclosure</w:t>
      </w:r>
      <w:r>
        <w:rPr>
          <w:sz w:val="24"/>
        </w:rPr>
        <w:t>. Kemudian penelitian yang dilakukan oleh Hamdi (2022) menerangkan</w:t>
      </w:r>
    </w:p>
    <w:p>
      <w:pPr>
        <w:spacing w:after="0" w:line="480" w:lineRule="auto"/>
        <w:jc w:val="both"/>
        <w:rPr>
          <w:sz w:val="24"/>
        </w:rPr>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spacing w:line="480" w:lineRule="auto" w:before="0"/>
        <w:ind w:left="1134" w:right="707" w:firstLine="0"/>
        <w:jc w:val="both"/>
        <w:rPr>
          <w:sz w:val="24"/>
        </w:rPr>
      </w:pPr>
      <w:r>
        <w:rPr>
          <w:sz w:val="24"/>
        </w:rPr>
        <w:t>variabel kinerja keuangan berpengaruh positif terhadap</w:t>
      </w:r>
      <w:r>
        <w:rPr>
          <w:spacing w:val="80"/>
          <w:sz w:val="24"/>
        </w:rPr>
        <w:t> </w:t>
      </w:r>
      <w:r>
        <w:rPr>
          <w:i/>
          <w:sz w:val="24"/>
        </w:rPr>
        <w:t>environmental, social and governance </w:t>
      </w:r>
      <w:r>
        <w:rPr>
          <w:sz w:val="24"/>
        </w:rPr>
        <w:t>(ESG) </w:t>
      </w:r>
      <w:r>
        <w:rPr>
          <w:i/>
          <w:sz w:val="24"/>
        </w:rPr>
        <w:t>disclosure</w:t>
      </w:r>
      <w:r>
        <w:rPr>
          <w:sz w:val="24"/>
        </w:rPr>
        <w:t>. Hasil</w:t>
      </w:r>
      <w:r>
        <w:rPr>
          <w:spacing w:val="40"/>
          <w:sz w:val="24"/>
        </w:rPr>
        <w:t> </w:t>
      </w:r>
      <w:r>
        <w:rPr>
          <w:sz w:val="24"/>
        </w:rPr>
        <w:t>tersebut berbeda dengan penelitian Markus Apriono, </w:t>
      </w:r>
      <w:r>
        <w:rPr>
          <w:i/>
          <w:sz w:val="24"/>
        </w:rPr>
        <w:t>et all </w:t>
      </w:r>
      <w:r>
        <w:rPr>
          <w:sz w:val="24"/>
        </w:rPr>
        <w:t>(2023)</w:t>
      </w:r>
      <w:r>
        <w:rPr>
          <w:spacing w:val="80"/>
          <w:sz w:val="24"/>
        </w:rPr>
        <w:t> </w:t>
      </w:r>
      <w:r>
        <w:rPr>
          <w:sz w:val="24"/>
        </w:rPr>
        <w:t>yang menyatakan bahwa kinerja keuangan tidak berpengaruh positif terhadap </w:t>
      </w:r>
      <w:r>
        <w:rPr>
          <w:i/>
          <w:sz w:val="24"/>
        </w:rPr>
        <w:t>environmental, social and governance </w:t>
      </w:r>
      <w:r>
        <w:rPr>
          <w:sz w:val="24"/>
        </w:rPr>
        <w:t>(ESG) </w:t>
      </w:r>
      <w:r>
        <w:rPr>
          <w:i/>
          <w:sz w:val="24"/>
        </w:rPr>
        <w:t>disclosure</w:t>
      </w:r>
      <w:r>
        <w:rPr>
          <w:sz w:val="24"/>
        </w:rPr>
        <w:t>. Sedangkan penelitian yang dilakukan oleh Noviani (2019) menerangkan variabel </w:t>
      </w:r>
      <w:r>
        <w:rPr>
          <w:i/>
          <w:sz w:val="24"/>
        </w:rPr>
        <w:t>political cost </w:t>
      </w:r>
      <w:r>
        <w:rPr>
          <w:sz w:val="24"/>
        </w:rPr>
        <w:t>berpengaruh positif terhadap </w:t>
      </w:r>
      <w:r>
        <w:rPr>
          <w:i/>
          <w:sz w:val="24"/>
        </w:rPr>
        <w:t>environmental, social and governance </w:t>
      </w:r>
      <w:r>
        <w:rPr>
          <w:sz w:val="24"/>
        </w:rPr>
        <w:t>(ESG) </w:t>
      </w:r>
      <w:r>
        <w:rPr>
          <w:i/>
          <w:sz w:val="24"/>
        </w:rPr>
        <w:t>disclosure</w:t>
      </w:r>
      <w:r>
        <w:rPr>
          <w:sz w:val="24"/>
        </w:rPr>
        <w:t>. Namun hasil penelitian Yanti, S (2023) menyatakan bahwa </w:t>
      </w:r>
      <w:r>
        <w:rPr>
          <w:i/>
          <w:sz w:val="24"/>
        </w:rPr>
        <w:t>political cost </w:t>
      </w:r>
      <w:r>
        <w:rPr>
          <w:sz w:val="24"/>
        </w:rPr>
        <w:t>tidak berpengaruh positif dan signifikan terhadap </w:t>
      </w:r>
      <w:r>
        <w:rPr>
          <w:i/>
          <w:sz w:val="24"/>
        </w:rPr>
        <w:t>environmental, social and governance </w:t>
      </w:r>
      <w:r>
        <w:rPr>
          <w:sz w:val="24"/>
        </w:rPr>
        <w:t>(ESG) </w:t>
      </w:r>
      <w:r>
        <w:rPr>
          <w:i/>
          <w:sz w:val="24"/>
        </w:rPr>
        <w:t>disclosure</w:t>
      </w:r>
      <w:r>
        <w:rPr>
          <w:sz w:val="24"/>
        </w:rPr>
        <w:t>.</w:t>
      </w:r>
    </w:p>
    <w:p>
      <w:pPr>
        <w:pStyle w:val="BodyText"/>
        <w:spacing w:line="480" w:lineRule="auto"/>
        <w:ind w:left="1134" w:right="707" w:firstLine="708"/>
        <w:jc w:val="both"/>
      </w:pPr>
      <w:r>
        <w:rPr/>
        <w:t>Penelitian ini menambahkan ukuran perusahaan sebagai variabel moderating, karena dianggap dapat mempengaruhi </w:t>
      </w:r>
      <w:r>
        <w:rPr>
          <w:i/>
        </w:rPr>
        <w:t>environmental, social and governance </w:t>
      </w:r>
      <w:r>
        <w:rPr/>
        <w:t>(ESG)</w:t>
      </w:r>
      <w:r>
        <w:rPr>
          <w:spacing w:val="40"/>
        </w:rPr>
        <w:t> </w:t>
      </w:r>
      <w:r>
        <w:rPr>
          <w:i/>
        </w:rPr>
        <w:t>disclosure</w:t>
      </w:r>
      <w:r>
        <w:rPr/>
        <w:t>. Asumsinya bahwa semakin besar ukuran perusahaan, semakin tinggi pula </w:t>
      </w:r>
      <w:r>
        <w:rPr>
          <w:i/>
        </w:rPr>
        <w:t>intellectual capital </w:t>
      </w:r>
      <w:r>
        <w:rPr/>
        <w:t>dan tanggung jawab perusahaan terhadap prinsip- prinsip ESG. Dengan mempertimbangkan latar belakang, fenomena, dan perbedaan dari penelitian sebelumnya.</w:t>
      </w:r>
    </w:p>
    <w:p>
      <w:pPr>
        <w:spacing w:line="480" w:lineRule="auto" w:before="200"/>
        <w:ind w:left="1134" w:right="707" w:firstLine="708"/>
        <w:jc w:val="both"/>
        <w:rPr>
          <w:b/>
          <w:sz w:val="24"/>
        </w:rPr>
      </w:pPr>
      <w:r>
        <w:rPr>
          <w:sz w:val="24"/>
        </w:rPr>
        <w:t>Berdasarkan pada latar belakang dan perbedaan di dalam hasil dibuat dengan menggunakan peneliti sebelumnya, penulis akan evaluasi yang mempengaruhi faktor </w:t>
      </w:r>
      <w:r>
        <w:rPr>
          <w:i/>
          <w:sz w:val="24"/>
        </w:rPr>
        <w:t>environmrntal, social and governance </w:t>
      </w:r>
      <w:r>
        <w:rPr>
          <w:sz w:val="24"/>
        </w:rPr>
        <w:t>(ESG) </w:t>
      </w:r>
      <w:r>
        <w:rPr>
          <w:i/>
          <w:sz w:val="24"/>
        </w:rPr>
        <w:t>disclosure </w:t>
      </w:r>
      <w:r>
        <w:rPr>
          <w:sz w:val="24"/>
        </w:rPr>
        <w:t>dengan judul penelitian </w:t>
      </w:r>
      <w:r>
        <w:rPr>
          <w:b/>
          <w:sz w:val="24"/>
        </w:rPr>
        <w:t>“Pengaruh Karakteristik CEO, Kinerja Keuangan, Dan </w:t>
      </w:r>
      <w:r>
        <w:rPr>
          <w:b/>
          <w:i/>
          <w:sz w:val="24"/>
        </w:rPr>
        <w:t>Political Cost </w:t>
      </w:r>
      <w:r>
        <w:rPr>
          <w:b/>
          <w:sz w:val="24"/>
        </w:rPr>
        <w:t>terhadap</w:t>
      </w:r>
    </w:p>
    <w:p>
      <w:pPr>
        <w:spacing w:after="0" w:line="480" w:lineRule="auto"/>
        <w:jc w:val="both"/>
        <w:rPr>
          <w:b/>
          <w:sz w:val="24"/>
        </w:rPr>
        <w:sectPr>
          <w:pgSz w:w="11910" w:h="16840"/>
          <w:pgMar w:header="718" w:footer="0" w:top="980" w:bottom="280" w:left="1559" w:right="992"/>
        </w:sectPr>
      </w:pPr>
    </w:p>
    <w:p>
      <w:pPr>
        <w:pStyle w:val="BodyText"/>
        <w:rPr>
          <w:b/>
        </w:rPr>
      </w:pPr>
    </w:p>
    <w:p>
      <w:pPr>
        <w:pStyle w:val="BodyText"/>
        <w:rPr>
          <w:b/>
        </w:rPr>
      </w:pPr>
    </w:p>
    <w:p>
      <w:pPr>
        <w:pStyle w:val="BodyText"/>
        <w:rPr>
          <w:b/>
        </w:rPr>
      </w:pPr>
    </w:p>
    <w:p>
      <w:pPr>
        <w:pStyle w:val="BodyText"/>
        <w:spacing w:before="180"/>
        <w:rPr>
          <w:b/>
        </w:rPr>
      </w:pPr>
    </w:p>
    <w:p>
      <w:pPr>
        <w:spacing w:line="480" w:lineRule="auto" w:before="0"/>
        <w:ind w:left="1135" w:right="707" w:firstLine="0"/>
        <w:jc w:val="both"/>
        <w:rPr>
          <w:b/>
          <w:sz w:val="24"/>
        </w:rPr>
      </w:pPr>
      <w:r>
        <w:rPr>
          <w:b/>
          <w:i/>
          <w:sz w:val="24"/>
        </w:rPr>
        <w:t>Environmental, Social, Governance </w:t>
      </w:r>
      <w:r>
        <w:rPr>
          <w:b/>
          <w:sz w:val="24"/>
        </w:rPr>
        <w:t>(ESG) </w:t>
      </w:r>
      <w:r>
        <w:rPr>
          <w:b/>
          <w:i/>
          <w:sz w:val="24"/>
        </w:rPr>
        <w:t>Disclosure </w:t>
      </w:r>
      <w:r>
        <w:rPr>
          <w:b/>
          <w:sz w:val="24"/>
        </w:rPr>
        <w:t>Dengan Ukuran Perusahaan Sebagai Variabel Moderasi (Studi Empiris Pada Perusahaan Sektor Mining Di Bursa Efek Indonesia (BEI) Tahun 2021-2023)”.</w:t>
      </w:r>
    </w:p>
    <w:p>
      <w:pPr>
        <w:pStyle w:val="BodyText"/>
        <w:rPr>
          <w:b/>
        </w:rPr>
      </w:pPr>
    </w:p>
    <w:p>
      <w:pPr>
        <w:pStyle w:val="BodyText"/>
        <w:rPr>
          <w:b/>
        </w:rPr>
      </w:pPr>
    </w:p>
    <w:p>
      <w:pPr>
        <w:pStyle w:val="Heading2"/>
        <w:numPr>
          <w:ilvl w:val="0"/>
          <w:numId w:val="7"/>
        </w:numPr>
        <w:tabs>
          <w:tab w:pos="1133" w:val="left" w:leader="none"/>
        </w:tabs>
        <w:spacing w:line="240" w:lineRule="auto" w:before="0" w:after="0"/>
        <w:ind w:left="1133" w:right="0" w:hanging="355"/>
        <w:jc w:val="left"/>
      </w:pPr>
      <w:bookmarkStart w:name="_bookmark9" w:id="10"/>
      <w:bookmarkEnd w:id="10"/>
      <w:r>
        <w:rPr/>
        <w:t>R</w:t>
      </w:r>
      <w:r>
        <w:rPr/>
        <w:t>umusan</w:t>
      </w:r>
      <w:r>
        <w:rPr>
          <w:spacing w:val="-4"/>
        </w:rPr>
        <w:t> </w:t>
      </w:r>
      <w:r>
        <w:rPr>
          <w:spacing w:val="-2"/>
        </w:rPr>
        <w:t>Masalah</w:t>
      </w:r>
    </w:p>
    <w:p>
      <w:pPr>
        <w:pStyle w:val="BodyText"/>
        <w:rPr>
          <w:b/>
        </w:rPr>
      </w:pPr>
    </w:p>
    <w:p>
      <w:pPr>
        <w:pStyle w:val="BodyText"/>
        <w:spacing w:line="480" w:lineRule="auto"/>
        <w:ind w:left="1134" w:right="708" w:firstLine="708"/>
        <w:jc w:val="both"/>
      </w:pPr>
      <w:r>
        <w:rPr/>
        <w:t>Dalam uraian latar belakang masalah di atas, beberapa pertanyaan mendasar muncul yang perlu dijawab untuk memahami secara komprehensif pengaruh karakteristik CEO, kinerja keuangan, dan </w:t>
      </w:r>
      <w:r>
        <w:rPr>
          <w:i/>
        </w:rPr>
        <w:t>political cost </w:t>
      </w:r>
      <w:r>
        <w:rPr/>
        <w:t>terhadap </w:t>
      </w:r>
      <w:r>
        <w:rPr>
          <w:i/>
        </w:rPr>
        <w:t>environmental, social and governance </w:t>
      </w:r>
      <w:r>
        <w:rPr/>
        <w:t>(ESG) </w:t>
      </w:r>
      <w:r>
        <w:rPr>
          <w:i/>
        </w:rPr>
        <w:t>disclosure </w:t>
      </w:r>
      <w:r>
        <w:rPr/>
        <w:t>dengan ukuran perusahaan sebagai variabel moderasi di sektor pertambangan Indonesia. Adapun rumusan masalah dalam penelitian ini adalah sebagai berikut:</w:t>
      </w:r>
    </w:p>
    <w:p>
      <w:pPr>
        <w:pStyle w:val="ListParagraph"/>
        <w:numPr>
          <w:ilvl w:val="1"/>
          <w:numId w:val="7"/>
        </w:numPr>
        <w:tabs>
          <w:tab w:pos="1426" w:val="left" w:leader="none"/>
          <w:tab w:pos="1428" w:val="left" w:leader="none"/>
        </w:tabs>
        <w:spacing w:line="480" w:lineRule="auto" w:before="0" w:after="0"/>
        <w:ind w:left="1428" w:right="707" w:hanging="360"/>
        <w:jc w:val="both"/>
        <w:rPr>
          <w:sz w:val="24"/>
        </w:rPr>
      </w:pPr>
      <w:r>
        <w:rPr>
          <w:sz w:val="24"/>
        </w:rPr>
        <w:t>Apakah karakteristik CEO berpengaruh terhadap </w:t>
      </w:r>
      <w:r>
        <w:rPr>
          <w:i/>
          <w:sz w:val="24"/>
        </w:rPr>
        <w:t>Environmental, Social, and Governance </w:t>
      </w:r>
      <w:r>
        <w:rPr>
          <w:sz w:val="24"/>
        </w:rPr>
        <w:t>(ESG) </w:t>
      </w:r>
      <w:r>
        <w:rPr>
          <w:i/>
          <w:sz w:val="24"/>
        </w:rPr>
        <w:t>disclosure </w:t>
      </w:r>
      <w:r>
        <w:rPr>
          <w:sz w:val="24"/>
        </w:rPr>
        <w:t>di sektor </w:t>
      </w:r>
      <w:r>
        <w:rPr>
          <w:i/>
          <w:sz w:val="24"/>
        </w:rPr>
        <w:t>mining </w:t>
      </w:r>
      <w:r>
        <w:rPr>
          <w:sz w:val="24"/>
        </w:rPr>
        <w:t>yang terdaftar di Bursa Efek Indonesia periode 2021-2023?</w:t>
      </w:r>
    </w:p>
    <w:p>
      <w:pPr>
        <w:pStyle w:val="ListParagraph"/>
        <w:numPr>
          <w:ilvl w:val="1"/>
          <w:numId w:val="7"/>
        </w:numPr>
        <w:tabs>
          <w:tab w:pos="1427" w:val="left" w:leader="none"/>
          <w:tab w:pos="1429" w:val="left" w:leader="none"/>
        </w:tabs>
        <w:spacing w:line="480" w:lineRule="auto" w:before="0" w:after="0"/>
        <w:ind w:left="1429" w:right="707" w:hanging="360"/>
        <w:jc w:val="both"/>
        <w:rPr>
          <w:sz w:val="24"/>
        </w:rPr>
      </w:pPr>
      <w:r>
        <w:rPr>
          <w:sz w:val="24"/>
        </w:rPr>
        <w:t>Apakah kinerja keuangan perusahaan berpengaruh terhadap </w:t>
      </w:r>
      <w:r>
        <w:rPr>
          <w:i/>
          <w:sz w:val="24"/>
        </w:rPr>
        <w:t>Environmental, Social, and Governance </w:t>
      </w:r>
      <w:r>
        <w:rPr>
          <w:sz w:val="24"/>
        </w:rPr>
        <w:t>(ESG) </w:t>
      </w:r>
      <w:r>
        <w:rPr>
          <w:i/>
          <w:sz w:val="24"/>
        </w:rPr>
        <w:t>disclosure </w:t>
      </w:r>
      <w:r>
        <w:rPr>
          <w:sz w:val="24"/>
        </w:rPr>
        <w:t>di sektor </w:t>
      </w:r>
      <w:r>
        <w:rPr>
          <w:i/>
          <w:sz w:val="24"/>
        </w:rPr>
        <w:t>mining </w:t>
      </w:r>
      <w:r>
        <w:rPr>
          <w:sz w:val="24"/>
        </w:rPr>
        <w:t>yang terdaftar di Bursa Efek Indonesia periode 2021-2023?</w:t>
      </w:r>
    </w:p>
    <w:p>
      <w:pPr>
        <w:pStyle w:val="ListParagraph"/>
        <w:numPr>
          <w:ilvl w:val="1"/>
          <w:numId w:val="7"/>
        </w:numPr>
        <w:tabs>
          <w:tab w:pos="1427" w:val="left" w:leader="none"/>
          <w:tab w:pos="1429" w:val="left" w:leader="none"/>
        </w:tabs>
        <w:spacing w:line="480" w:lineRule="auto" w:before="0" w:after="0"/>
        <w:ind w:left="1429" w:right="707" w:hanging="360"/>
        <w:jc w:val="both"/>
        <w:rPr>
          <w:sz w:val="24"/>
        </w:rPr>
      </w:pPr>
      <w:r>
        <w:rPr>
          <w:sz w:val="24"/>
        </w:rPr>
        <w:t>Apakah </w:t>
      </w:r>
      <w:r>
        <w:rPr>
          <w:i/>
          <w:sz w:val="24"/>
        </w:rPr>
        <w:t>political cost </w:t>
      </w:r>
      <w:r>
        <w:rPr>
          <w:sz w:val="24"/>
        </w:rPr>
        <w:t>berpengaruh terhadap </w:t>
      </w:r>
      <w:r>
        <w:rPr>
          <w:i/>
          <w:sz w:val="24"/>
        </w:rPr>
        <w:t>Environmental, Social, and</w:t>
      </w:r>
      <w:r>
        <w:rPr>
          <w:i/>
          <w:spacing w:val="-3"/>
          <w:sz w:val="24"/>
        </w:rPr>
        <w:t> </w:t>
      </w:r>
      <w:r>
        <w:rPr>
          <w:i/>
          <w:sz w:val="24"/>
        </w:rPr>
        <w:t>Governance</w:t>
      </w:r>
      <w:r>
        <w:rPr>
          <w:i/>
          <w:spacing w:val="-3"/>
          <w:sz w:val="24"/>
        </w:rPr>
        <w:t> </w:t>
      </w:r>
      <w:r>
        <w:rPr>
          <w:sz w:val="24"/>
        </w:rPr>
        <w:t>(ESG)</w:t>
      </w:r>
      <w:r>
        <w:rPr>
          <w:spacing w:val="-3"/>
          <w:sz w:val="24"/>
        </w:rPr>
        <w:t> </w:t>
      </w:r>
      <w:r>
        <w:rPr>
          <w:i/>
          <w:sz w:val="24"/>
        </w:rPr>
        <w:t>disclosure</w:t>
      </w:r>
      <w:r>
        <w:rPr>
          <w:i/>
          <w:spacing w:val="-3"/>
          <w:sz w:val="24"/>
        </w:rPr>
        <w:t> </w:t>
      </w:r>
      <w:r>
        <w:rPr>
          <w:sz w:val="24"/>
        </w:rPr>
        <w:t>di</w:t>
      </w:r>
      <w:r>
        <w:rPr>
          <w:spacing w:val="-3"/>
          <w:sz w:val="24"/>
        </w:rPr>
        <w:t> </w:t>
      </w:r>
      <w:r>
        <w:rPr>
          <w:sz w:val="24"/>
        </w:rPr>
        <w:t>sektor</w:t>
      </w:r>
      <w:r>
        <w:rPr>
          <w:spacing w:val="-3"/>
          <w:sz w:val="24"/>
        </w:rPr>
        <w:t> </w:t>
      </w:r>
      <w:r>
        <w:rPr>
          <w:i/>
          <w:sz w:val="24"/>
        </w:rPr>
        <w:t>mining</w:t>
      </w:r>
      <w:r>
        <w:rPr>
          <w:i/>
          <w:spacing w:val="-3"/>
          <w:sz w:val="24"/>
        </w:rPr>
        <w:t> </w:t>
      </w:r>
      <w:r>
        <w:rPr>
          <w:sz w:val="24"/>
        </w:rPr>
        <w:t>yang</w:t>
      </w:r>
      <w:r>
        <w:rPr>
          <w:spacing w:val="-3"/>
          <w:sz w:val="24"/>
        </w:rPr>
        <w:t> </w:t>
      </w:r>
      <w:r>
        <w:rPr>
          <w:sz w:val="24"/>
        </w:rPr>
        <w:t>terdaftar</w:t>
      </w:r>
      <w:r>
        <w:rPr>
          <w:spacing w:val="-3"/>
          <w:sz w:val="24"/>
        </w:rPr>
        <w:t> </w:t>
      </w:r>
      <w:r>
        <w:rPr>
          <w:sz w:val="24"/>
        </w:rPr>
        <w:t>di Bursa Efek Indonesia periode 2021-2023?</w:t>
      </w:r>
    </w:p>
    <w:p>
      <w:pPr>
        <w:pStyle w:val="ListParagraph"/>
        <w:spacing w:after="0" w:line="480" w:lineRule="auto"/>
        <w:jc w:val="both"/>
        <w:rPr>
          <w:sz w:val="24"/>
        </w:rPr>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ListParagraph"/>
        <w:numPr>
          <w:ilvl w:val="1"/>
          <w:numId w:val="7"/>
        </w:numPr>
        <w:tabs>
          <w:tab w:pos="1426" w:val="left" w:leader="none"/>
          <w:tab w:pos="1428" w:val="left" w:leader="none"/>
        </w:tabs>
        <w:spacing w:line="480" w:lineRule="auto" w:before="0" w:after="0"/>
        <w:ind w:left="1428" w:right="707" w:hanging="360"/>
        <w:jc w:val="both"/>
        <w:rPr>
          <w:sz w:val="24"/>
        </w:rPr>
      </w:pPr>
      <w:r>
        <w:rPr>
          <w:sz w:val="24"/>
        </w:rPr>
        <w:t>Apakah ukuran perusahaan berpengaruh dalam memoderasi karakteristik CEO terhadap </w:t>
      </w:r>
      <w:r>
        <w:rPr>
          <w:i/>
          <w:sz w:val="24"/>
        </w:rPr>
        <w:t>Environmental, Social, and Governance </w:t>
      </w:r>
      <w:r>
        <w:rPr>
          <w:sz w:val="24"/>
        </w:rPr>
        <w:t>(ESG) </w:t>
      </w:r>
      <w:r>
        <w:rPr>
          <w:i/>
          <w:sz w:val="24"/>
        </w:rPr>
        <w:t>disclosure </w:t>
      </w:r>
      <w:r>
        <w:rPr>
          <w:sz w:val="24"/>
        </w:rPr>
        <w:t>di sektor </w:t>
      </w:r>
      <w:r>
        <w:rPr>
          <w:i/>
          <w:sz w:val="24"/>
        </w:rPr>
        <w:t>mining </w:t>
      </w:r>
      <w:r>
        <w:rPr>
          <w:sz w:val="24"/>
        </w:rPr>
        <w:t>yang terdaftar di Bursa Efek Indonesia periode 2021-2023?</w:t>
      </w:r>
    </w:p>
    <w:p>
      <w:pPr>
        <w:pStyle w:val="ListParagraph"/>
        <w:numPr>
          <w:ilvl w:val="1"/>
          <w:numId w:val="7"/>
        </w:numPr>
        <w:tabs>
          <w:tab w:pos="1426" w:val="left" w:leader="none"/>
          <w:tab w:pos="1428" w:val="left" w:leader="none"/>
        </w:tabs>
        <w:spacing w:line="480" w:lineRule="auto" w:before="0" w:after="0"/>
        <w:ind w:left="1428" w:right="707" w:hanging="360"/>
        <w:jc w:val="both"/>
        <w:rPr>
          <w:sz w:val="24"/>
        </w:rPr>
      </w:pPr>
      <w:r>
        <w:rPr>
          <w:sz w:val="24"/>
        </w:rPr>
        <w:t>Apakah ukuran perusahaan berpengaruh dalam memoderasi</w:t>
      </w:r>
      <w:r>
        <w:rPr>
          <w:spacing w:val="40"/>
          <w:sz w:val="24"/>
        </w:rPr>
        <w:t> </w:t>
      </w:r>
      <w:r>
        <w:rPr>
          <w:sz w:val="24"/>
        </w:rPr>
        <w:t>kinerja keuangan terhadap </w:t>
      </w:r>
      <w:r>
        <w:rPr>
          <w:i/>
          <w:sz w:val="24"/>
        </w:rPr>
        <w:t>Environmental, Social, and Governance </w:t>
      </w:r>
      <w:r>
        <w:rPr>
          <w:sz w:val="24"/>
        </w:rPr>
        <w:t>(ESG) </w:t>
      </w:r>
      <w:r>
        <w:rPr>
          <w:i/>
          <w:sz w:val="24"/>
        </w:rPr>
        <w:t>disclosure </w:t>
      </w:r>
      <w:r>
        <w:rPr>
          <w:sz w:val="24"/>
        </w:rPr>
        <w:t>di sektor </w:t>
      </w:r>
      <w:r>
        <w:rPr>
          <w:i/>
          <w:sz w:val="24"/>
        </w:rPr>
        <w:t>mining </w:t>
      </w:r>
      <w:r>
        <w:rPr>
          <w:sz w:val="24"/>
        </w:rPr>
        <w:t>yang terdaftar di Bursa Efek Indonesia periode 2021-2023?</w:t>
      </w:r>
    </w:p>
    <w:p>
      <w:pPr>
        <w:pStyle w:val="ListParagraph"/>
        <w:numPr>
          <w:ilvl w:val="1"/>
          <w:numId w:val="7"/>
        </w:numPr>
        <w:tabs>
          <w:tab w:pos="1426" w:val="left" w:leader="none"/>
          <w:tab w:pos="1428" w:val="left" w:leader="none"/>
        </w:tabs>
        <w:spacing w:line="480" w:lineRule="auto" w:before="0" w:after="0"/>
        <w:ind w:left="1428" w:right="707" w:hanging="360"/>
        <w:jc w:val="both"/>
        <w:rPr>
          <w:sz w:val="24"/>
        </w:rPr>
      </w:pPr>
      <w:r>
        <w:rPr>
          <w:sz w:val="24"/>
        </w:rPr>
        <w:t>Apakah ukuran perusahaan berpengaruh dalam memoderasi </w:t>
      </w:r>
      <w:r>
        <w:rPr>
          <w:i/>
          <w:sz w:val="24"/>
        </w:rPr>
        <w:t>political cost </w:t>
      </w:r>
      <w:r>
        <w:rPr>
          <w:sz w:val="24"/>
        </w:rPr>
        <w:t>terhadap </w:t>
      </w:r>
      <w:r>
        <w:rPr>
          <w:i/>
          <w:sz w:val="24"/>
        </w:rPr>
        <w:t>Environmental, Social, and Governance </w:t>
      </w:r>
      <w:r>
        <w:rPr>
          <w:sz w:val="24"/>
        </w:rPr>
        <w:t>(ESG) </w:t>
      </w:r>
      <w:r>
        <w:rPr>
          <w:i/>
          <w:sz w:val="24"/>
        </w:rPr>
        <w:t>disclosure </w:t>
      </w:r>
      <w:r>
        <w:rPr>
          <w:sz w:val="24"/>
        </w:rPr>
        <w:t>di sektor </w:t>
      </w:r>
      <w:r>
        <w:rPr>
          <w:i/>
          <w:sz w:val="24"/>
        </w:rPr>
        <w:t>mining </w:t>
      </w:r>
      <w:r>
        <w:rPr>
          <w:sz w:val="24"/>
        </w:rPr>
        <w:t>yang terdaftar di Bursa Efek Indonesia periode 2021-2023?</w:t>
      </w:r>
    </w:p>
    <w:p>
      <w:pPr>
        <w:pStyle w:val="BodyText"/>
      </w:pPr>
    </w:p>
    <w:p>
      <w:pPr>
        <w:pStyle w:val="BodyText"/>
      </w:pPr>
    </w:p>
    <w:p>
      <w:pPr>
        <w:pStyle w:val="Heading2"/>
        <w:numPr>
          <w:ilvl w:val="0"/>
          <w:numId w:val="7"/>
        </w:numPr>
        <w:tabs>
          <w:tab w:pos="1132" w:val="left" w:leader="none"/>
        </w:tabs>
        <w:spacing w:line="240" w:lineRule="auto" w:before="0" w:after="0"/>
        <w:ind w:left="1132" w:right="0" w:hanging="355"/>
        <w:jc w:val="left"/>
      </w:pPr>
      <w:bookmarkStart w:name="_bookmark10" w:id="11"/>
      <w:bookmarkEnd w:id="11"/>
      <w:r>
        <w:rPr/>
        <w:t>Tu</w:t>
      </w:r>
      <w:r>
        <w:rPr/>
        <w:t>juan</w:t>
      </w:r>
      <w:r>
        <w:rPr>
          <w:spacing w:val="-2"/>
        </w:rPr>
        <w:t> Penelitian</w:t>
      </w:r>
    </w:p>
    <w:p>
      <w:pPr>
        <w:pStyle w:val="BodyText"/>
        <w:rPr>
          <w:b/>
        </w:rPr>
      </w:pPr>
    </w:p>
    <w:p>
      <w:pPr>
        <w:pStyle w:val="BodyText"/>
        <w:spacing w:line="480" w:lineRule="auto"/>
        <w:ind w:left="1134" w:right="709" w:firstLine="708"/>
        <w:jc w:val="both"/>
      </w:pPr>
      <w:r>
        <w:rPr/>
        <w:t>Berikut ini adalah tujuan penelitian yang didasarkan pada rumusan masalah di atas:</w:t>
      </w:r>
    </w:p>
    <w:p>
      <w:pPr>
        <w:pStyle w:val="ListParagraph"/>
        <w:numPr>
          <w:ilvl w:val="1"/>
          <w:numId w:val="7"/>
        </w:numPr>
        <w:tabs>
          <w:tab w:pos="1426" w:val="left" w:leader="none"/>
          <w:tab w:pos="1428" w:val="left" w:leader="none"/>
        </w:tabs>
        <w:spacing w:line="480" w:lineRule="auto" w:before="0" w:after="0"/>
        <w:ind w:left="1428" w:right="707" w:hanging="360"/>
        <w:jc w:val="both"/>
        <w:rPr>
          <w:sz w:val="24"/>
        </w:rPr>
      </w:pPr>
      <w:r>
        <w:rPr>
          <w:sz w:val="24"/>
        </w:rPr>
        <w:t>Untuk mengetahui pengaruh karakteristik CEO berpengaruh terhadap </w:t>
      </w:r>
      <w:r>
        <w:rPr>
          <w:i/>
          <w:sz w:val="24"/>
        </w:rPr>
        <w:t>Environmental, Social, and Governance </w:t>
      </w:r>
      <w:r>
        <w:rPr>
          <w:sz w:val="24"/>
        </w:rPr>
        <w:t>(ESG) </w:t>
      </w:r>
      <w:r>
        <w:rPr>
          <w:i/>
          <w:sz w:val="24"/>
        </w:rPr>
        <w:t>disclosure </w:t>
      </w:r>
      <w:r>
        <w:rPr>
          <w:sz w:val="24"/>
        </w:rPr>
        <w:t>di sektor </w:t>
      </w:r>
      <w:r>
        <w:rPr>
          <w:i/>
          <w:sz w:val="24"/>
        </w:rPr>
        <w:t>mining </w:t>
      </w:r>
      <w:r>
        <w:rPr>
          <w:sz w:val="24"/>
        </w:rPr>
        <w:t>yang terdaftar di Bursa Efek Indonesia periode </w:t>
      </w:r>
      <w:r>
        <w:rPr>
          <w:spacing w:val="-2"/>
          <w:sz w:val="24"/>
        </w:rPr>
        <w:t>2021-2023.</w:t>
      </w:r>
    </w:p>
    <w:p>
      <w:pPr>
        <w:pStyle w:val="ListParagraph"/>
        <w:numPr>
          <w:ilvl w:val="1"/>
          <w:numId w:val="7"/>
        </w:numPr>
        <w:tabs>
          <w:tab w:pos="1426" w:val="left" w:leader="none"/>
          <w:tab w:pos="1428" w:val="left" w:leader="none"/>
        </w:tabs>
        <w:spacing w:line="480" w:lineRule="auto" w:before="0" w:after="0"/>
        <w:ind w:left="1428" w:right="708" w:hanging="360"/>
        <w:jc w:val="both"/>
        <w:rPr>
          <w:sz w:val="24"/>
        </w:rPr>
      </w:pPr>
      <w:r>
        <w:rPr>
          <w:sz w:val="24"/>
        </w:rPr>
        <w:t>Untuk mengetahui pengaruh kinerja keuangan perusahaan berpengaruh</w:t>
      </w:r>
      <w:r>
        <w:rPr>
          <w:spacing w:val="80"/>
          <w:sz w:val="24"/>
        </w:rPr>
        <w:t> </w:t>
      </w:r>
      <w:r>
        <w:rPr>
          <w:sz w:val="24"/>
        </w:rPr>
        <w:t>terhadap</w:t>
      </w:r>
      <w:r>
        <w:rPr>
          <w:spacing w:val="80"/>
          <w:sz w:val="24"/>
        </w:rPr>
        <w:t> </w:t>
      </w:r>
      <w:r>
        <w:rPr>
          <w:i/>
          <w:sz w:val="24"/>
        </w:rPr>
        <w:t>Environmental,</w:t>
      </w:r>
      <w:r>
        <w:rPr>
          <w:i/>
          <w:spacing w:val="80"/>
          <w:sz w:val="24"/>
        </w:rPr>
        <w:t> </w:t>
      </w:r>
      <w:r>
        <w:rPr>
          <w:i/>
          <w:sz w:val="24"/>
        </w:rPr>
        <w:t>Social,</w:t>
      </w:r>
      <w:r>
        <w:rPr>
          <w:i/>
          <w:spacing w:val="80"/>
          <w:sz w:val="24"/>
        </w:rPr>
        <w:t> </w:t>
      </w:r>
      <w:r>
        <w:rPr>
          <w:i/>
          <w:sz w:val="24"/>
        </w:rPr>
        <w:t>and</w:t>
      </w:r>
      <w:r>
        <w:rPr>
          <w:i/>
          <w:spacing w:val="80"/>
          <w:sz w:val="24"/>
        </w:rPr>
        <w:t> </w:t>
      </w:r>
      <w:r>
        <w:rPr>
          <w:i/>
          <w:sz w:val="24"/>
        </w:rPr>
        <w:t>Governance</w:t>
      </w:r>
    </w:p>
    <w:p>
      <w:pPr>
        <w:pStyle w:val="ListParagraph"/>
        <w:spacing w:after="0" w:line="480" w:lineRule="auto"/>
        <w:jc w:val="both"/>
        <w:rPr>
          <w:sz w:val="24"/>
        </w:rPr>
        <w:sectPr>
          <w:pgSz w:w="11910" w:h="16840"/>
          <w:pgMar w:header="718" w:footer="0" w:top="980" w:bottom="280" w:left="1559" w:right="992"/>
        </w:sectPr>
      </w:pPr>
    </w:p>
    <w:p>
      <w:pPr>
        <w:pStyle w:val="BodyText"/>
        <w:rPr>
          <w:i/>
        </w:rPr>
      </w:pPr>
    </w:p>
    <w:p>
      <w:pPr>
        <w:pStyle w:val="BodyText"/>
        <w:rPr>
          <w:i/>
        </w:rPr>
      </w:pPr>
    </w:p>
    <w:p>
      <w:pPr>
        <w:pStyle w:val="BodyText"/>
        <w:rPr>
          <w:i/>
        </w:rPr>
      </w:pPr>
    </w:p>
    <w:p>
      <w:pPr>
        <w:pStyle w:val="BodyText"/>
        <w:spacing w:before="180"/>
        <w:rPr>
          <w:i/>
        </w:rPr>
      </w:pPr>
    </w:p>
    <w:p>
      <w:pPr>
        <w:pStyle w:val="BodyText"/>
        <w:spacing w:line="480" w:lineRule="auto"/>
        <w:ind w:left="1428" w:right="707"/>
        <w:jc w:val="both"/>
      </w:pPr>
      <w:r>
        <w:rPr/>
        <w:t>(ESG) </w:t>
      </w:r>
      <w:r>
        <w:rPr>
          <w:i/>
        </w:rPr>
        <w:t>disclosure </w:t>
      </w:r>
      <w:r>
        <w:rPr/>
        <w:t>di sektor </w:t>
      </w:r>
      <w:r>
        <w:rPr>
          <w:i/>
        </w:rPr>
        <w:t>mining </w:t>
      </w:r>
      <w:r>
        <w:rPr/>
        <w:t>yang terdaftar di Bursa Efek Indonesia periode 2021-2023.</w:t>
      </w:r>
    </w:p>
    <w:p>
      <w:pPr>
        <w:pStyle w:val="ListParagraph"/>
        <w:numPr>
          <w:ilvl w:val="1"/>
          <w:numId w:val="7"/>
        </w:numPr>
        <w:tabs>
          <w:tab w:pos="1426" w:val="left" w:leader="none"/>
          <w:tab w:pos="1428" w:val="left" w:leader="none"/>
        </w:tabs>
        <w:spacing w:line="480" w:lineRule="auto" w:before="0" w:after="0"/>
        <w:ind w:left="1428" w:right="707" w:hanging="360"/>
        <w:jc w:val="both"/>
        <w:rPr>
          <w:sz w:val="24"/>
        </w:rPr>
      </w:pPr>
      <w:r>
        <w:rPr>
          <w:sz w:val="24"/>
        </w:rPr>
        <w:t>Untuk mengetahui pengaruh </w:t>
      </w:r>
      <w:r>
        <w:rPr>
          <w:i/>
          <w:sz w:val="24"/>
        </w:rPr>
        <w:t>political cost </w:t>
      </w:r>
      <w:r>
        <w:rPr>
          <w:sz w:val="24"/>
        </w:rPr>
        <w:t>berpengaruh terhadap </w:t>
      </w:r>
      <w:r>
        <w:rPr>
          <w:i/>
          <w:sz w:val="24"/>
        </w:rPr>
        <w:t>Environmental, Social, and Governance </w:t>
      </w:r>
      <w:r>
        <w:rPr>
          <w:sz w:val="24"/>
        </w:rPr>
        <w:t>(ESG) </w:t>
      </w:r>
      <w:r>
        <w:rPr>
          <w:i/>
          <w:sz w:val="24"/>
        </w:rPr>
        <w:t>disclosure </w:t>
      </w:r>
      <w:r>
        <w:rPr>
          <w:sz w:val="24"/>
        </w:rPr>
        <w:t>di sektor </w:t>
      </w:r>
      <w:r>
        <w:rPr>
          <w:i/>
          <w:sz w:val="24"/>
        </w:rPr>
        <w:t>mining </w:t>
      </w:r>
      <w:r>
        <w:rPr>
          <w:sz w:val="24"/>
        </w:rPr>
        <w:t>yang terdaftar di Bursa Efek Indonesia periode 2021-2023.</w:t>
      </w:r>
    </w:p>
    <w:p>
      <w:pPr>
        <w:pStyle w:val="ListParagraph"/>
        <w:numPr>
          <w:ilvl w:val="1"/>
          <w:numId w:val="7"/>
        </w:numPr>
        <w:tabs>
          <w:tab w:pos="1426" w:val="left" w:leader="none"/>
          <w:tab w:pos="1428" w:val="left" w:leader="none"/>
        </w:tabs>
        <w:spacing w:line="480" w:lineRule="auto" w:before="0" w:after="0"/>
        <w:ind w:left="1428" w:right="707" w:hanging="360"/>
        <w:jc w:val="both"/>
        <w:rPr>
          <w:sz w:val="24"/>
        </w:rPr>
      </w:pPr>
      <w:r>
        <w:rPr>
          <w:sz w:val="24"/>
        </w:rPr>
        <w:t>Untuk mengetahui pengaruh ukuran perusahaan dalam memoderasi</w:t>
      </w:r>
      <w:r>
        <w:rPr>
          <w:spacing w:val="-2"/>
          <w:sz w:val="24"/>
        </w:rPr>
        <w:t> </w:t>
      </w:r>
      <w:r>
        <w:rPr>
          <w:sz w:val="24"/>
        </w:rPr>
        <w:t>karakteristik</w:t>
      </w:r>
      <w:r>
        <w:rPr>
          <w:spacing w:val="-2"/>
          <w:sz w:val="24"/>
        </w:rPr>
        <w:t> </w:t>
      </w:r>
      <w:r>
        <w:rPr>
          <w:sz w:val="24"/>
        </w:rPr>
        <w:t>CEO</w:t>
      </w:r>
      <w:r>
        <w:rPr>
          <w:spacing w:val="-2"/>
          <w:sz w:val="24"/>
        </w:rPr>
        <w:t> </w:t>
      </w:r>
      <w:r>
        <w:rPr>
          <w:sz w:val="24"/>
        </w:rPr>
        <w:t>terhadap</w:t>
      </w:r>
      <w:r>
        <w:rPr>
          <w:spacing w:val="-1"/>
          <w:sz w:val="24"/>
        </w:rPr>
        <w:t> </w:t>
      </w:r>
      <w:r>
        <w:rPr>
          <w:i/>
          <w:sz w:val="24"/>
        </w:rPr>
        <w:t>Environmental,</w:t>
      </w:r>
      <w:r>
        <w:rPr>
          <w:i/>
          <w:spacing w:val="-2"/>
          <w:sz w:val="24"/>
        </w:rPr>
        <w:t> </w:t>
      </w:r>
      <w:r>
        <w:rPr>
          <w:i/>
          <w:sz w:val="24"/>
        </w:rPr>
        <w:t>Social,</w:t>
      </w:r>
      <w:r>
        <w:rPr>
          <w:i/>
          <w:spacing w:val="-2"/>
          <w:sz w:val="24"/>
        </w:rPr>
        <w:t> </w:t>
      </w:r>
      <w:r>
        <w:rPr>
          <w:i/>
          <w:sz w:val="24"/>
        </w:rPr>
        <w:t>and Governance </w:t>
      </w:r>
      <w:r>
        <w:rPr>
          <w:sz w:val="24"/>
        </w:rPr>
        <w:t>(ESG) </w:t>
      </w:r>
      <w:r>
        <w:rPr>
          <w:i/>
          <w:sz w:val="24"/>
        </w:rPr>
        <w:t>disclosure </w:t>
      </w:r>
      <w:r>
        <w:rPr>
          <w:sz w:val="24"/>
        </w:rPr>
        <w:t>di sektor </w:t>
      </w:r>
      <w:r>
        <w:rPr>
          <w:i/>
          <w:sz w:val="24"/>
        </w:rPr>
        <w:t>mining </w:t>
      </w:r>
      <w:r>
        <w:rPr>
          <w:sz w:val="24"/>
        </w:rPr>
        <w:t>yang terdaftar di Bursa Efek Indonesia periode 2021-2023.</w:t>
      </w:r>
    </w:p>
    <w:p>
      <w:pPr>
        <w:pStyle w:val="ListParagraph"/>
        <w:numPr>
          <w:ilvl w:val="1"/>
          <w:numId w:val="7"/>
        </w:numPr>
        <w:tabs>
          <w:tab w:pos="1426" w:val="left" w:leader="none"/>
          <w:tab w:pos="1428" w:val="left" w:leader="none"/>
        </w:tabs>
        <w:spacing w:line="480" w:lineRule="auto" w:before="0" w:after="0"/>
        <w:ind w:left="1428" w:right="707" w:hanging="360"/>
        <w:jc w:val="both"/>
        <w:rPr>
          <w:sz w:val="24"/>
        </w:rPr>
      </w:pPr>
      <w:r>
        <w:rPr>
          <w:sz w:val="24"/>
        </w:rPr>
        <w:t>Untuk mengetahui pengaruh ukuran perusahaan dalam memoderasi kinerja keuangan terhadap </w:t>
      </w:r>
      <w:r>
        <w:rPr>
          <w:i/>
          <w:sz w:val="24"/>
        </w:rPr>
        <w:t>Environmental, Social, and Governance </w:t>
      </w:r>
      <w:r>
        <w:rPr>
          <w:sz w:val="24"/>
        </w:rPr>
        <w:t>(ESG) </w:t>
      </w:r>
      <w:r>
        <w:rPr>
          <w:i/>
          <w:sz w:val="24"/>
        </w:rPr>
        <w:t>disclosure </w:t>
      </w:r>
      <w:r>
        <w:rPr>
          <w:sz w:val="24"/>
        </w:rPr>
        <w:t>di sektor </w:t>
      </w:r>
      <w:r>
        <w:rPr>
          <w:i/>
          <w:sz w:val="24"/>
        </w:rPr>
        <w:t>mining </w:t>
      </w:r>
      <w:r>
        <w:rPr>
          <w:sz w:val="24"/>
        </w:rPr>
        <w:t>yang terdaftar di Bursa Efek Indonesia periode 2021-2023.</w:t>
      </w:r>
    </w:p>
    <w:p>
      <w:pPr>
        <w:pStyle w:val="ListParagraph"/>
        <w:numPr>
          <w:ilvl w:val="1"/>
          <w:numId w:val="7"/>
        </w:numPr>
        <w:tabs>
          <w:tab w:pos="1426" w:val="left" w:leader="none"/>
          <w:tab w:pos="1428" w:val="left" w:leader="none"/>
        </w:tabs>
        <w:spacing w:line="480" w:lineRule="auto" w:before="0" w:after="0"/>
        <w:ind w:left="1428" w:right="707" w:hanging="360"/>
        <w:jc w:val="both"/>
        <w:rPr>
          <w:sz w:val="24"/>
        </w:rPr>
      </w:pPr>
      <w:r>
        <w:rPr>
          <w:sz w:val="24"/>
        </w:rPr>
        <w:t>Untuk mengetahui pengaruh ukuran perusahaan dalam memoderasi </w:t>
      </w:r>
      <w:r>
        <w:rPr>
          <w:i/>
          <w:sz w:val="24"/>
        </w:rPr>
        <w:t>political cost </w:t>
      </w:r>
      <w:r>
        <w:rPr>
          <w:sz w:val="24"/>
        </w:rPr>
        <w:t>terhadap </w:t>
      </w:r>
      <w:r>
        <w:rPr>
          <w:i/>
          <w:sz w:val="24"/>
        </w:rPr>
        <w:t>Environmental, Social, and Governance </w:t>
      </w:r>
      <w:r>
        <w:rPr>
          <w:sz w:val="24"/>
        </w:rPr>
        <w:t>(ESG) </w:t>
      </w:r>
      <w:r>
        <w:rPr>
          <w:i/>
          <w:sz w:val="24"/>
        </w:rPr>
        <w:t>disclosure </w:t>
      </w:r>
      <w:r>
        <w:rPr>
          <w:sz w:val="24"/>
        </w:rPr>
        <w:t>di sektor </w:t>
      </w:r>
      <w:r>
        <w:rPr>
          <w:i/>
          <w:sz w:val="24"/>
        </w:rPr>
        <w:t>mining </w:t>
      </w:r>
      <w:r>
        <w:rPr>
          <w:sz w:val="24"/>
        </w:rPr>
        <w:t>yang terdaftar di Bursa Efek Indonesia periode 2021-2023.</w:t>
      </w:r>
    </w:p>
    <w:p>
      <w:pPr>
        <w:pStyle w:val="BodyText"/>
      </w:pPr>
    </w:p>
    <w:p>
      <w:pPr>
        <w:pStyle w:val="BodyText"/>
      </w:pPr>
    </w:p>
    <w:p>
      <w:pPr>
        <w:pStyle w:val="BodyText"/>
      </w:pPr>
    </w:p>
    <w:p>
      <w:pPr>
        <w:pStyle w:val="BodyText"/>
      </w:pPr>
    </w:p>
    <w:p>
      <w:pPr>
        <w:pStyle w:val="Heading2"/>
        <w:numPr>
          <w:ilvl w:val="0"/>
          <w:numId w:val="7"/>
        </w:numPr>
        <w:tabs>
          <w:tab w:pos="355" w:val="left" w:leader="none"/>
        </w:tabs>
        <w:spacing w:line="240" w:lineRule="auto" w:before="0" w:after="0"/>
        <w:ind w:left="355" w:right="6113" w:hanging="355"/>
        <w:jc w:val="right"/>
      </w:pPr>
      <w:bookmarkStart w:name="_bookmark11" w:id="12"/>
      <w:bookmarkEnd w:id="12"/>
      <w:r>
        <w:rPr/>
        <w:t>Ma</w:t>
      </w:r>
      <w:r>
        <w:rPr/>
        <w:t>nfaat</w:t>
      </w:r>
      <w:r>
        <w:rPr>
          <w:spacing w:val="-2"/>
        </w:rPr>
        <w:t> Penelitian</w:t>
      </w:r>
    </w:p>
    <w:p>
      <w:pPr>
        <w:pStyle w:val="BodyText"/>
        <w:rPr>
          <w:b/>
        </w:rPr>
      </w:pPr>
    </w:p>
    <w:p>
      <w:pPr>
        <w:pStyle w:val="ListParagraph"/>
        <w:numPr>
          <w:ilvl w:val="1"/>
          <w:numId w:val="7"/>
        </w:numPr>
        <w:tabs>
          <w:tab w:pos="358" w:val="left" w:leader="none"/>
        </w:tabs>
        <w:spacing w:line="240" w:lineRule="auto" w:before="0" w:after="0"/>
        <w:ind w:left="358" w:right="6084" w:hanging="358"/>
        <w:jc w:val="right"/>
        <w:rPr>
          <w:b/>
          <w:sz w:val="24"/>
        </w:rPr>
      </w:pPr>
      <w:r>
        <w:rPr>
          <w:b/>
          <w:sz w:val="24"/>
        </w:rPr>
        <w:t>Manfaat</w:t>
      </w:r>
      <w:r>
        <w:rPr>
          <w:b/>
          <w:spacing w:val="-2"/>
          <w:sz w:val="24"/>
        </w:rPr>
        <w:t> Teoritis</w:t>
      </w:r>
    </w:p>
    <w:p>
      <w:pPr>
        <w:pStyle w:val="BodyText"/>
        <w:rPr>
          <w:b/>
        </w:rPr>
      </w:pPr>
    </w:p>
    <w:p>
      <w:pPr>
        <w:pStyle w:val="ListParagraph"/>
        <w:numPr>
          <w:ilvl w:val="2"/>
          <w:numId w:val="7"/>
        </w:numPr>
        <w:tabs>
          <w:tab w:pos="358" w:val="left" w:leader="none"/>
        </w:tabs>
        <w:spacing w:line="240" w:lineRule="auto" w:before="0" w:after="0"/>
        <w:ind w:left="358" w:right="5997" w:hanging="358"/>
        <w:jc w:val="right"/>
        <w:rPr>
          <w:sz w:val="24"/>
        </w:rPr>
      </w:pPr>
      <w:r>
        <w:rPr>
          <w:sz w:val="24"/>
        </w:rPr>
        <w:t>Bagi</w:t>
      </w:r>
      <w:r>
        <w:rPr>
          <w:spacing w:val="-2"/>
          <w:sz w:val="24"/>
        </w:rPr>
        <w:t> Akademisi</w:t>
      </w:r>
    </w:p>
    <w:p>
      <w:pPr>
        <w:pStyle w:val="ListParagraph"/>
        <w:spacing w:after="0" w:line="240" w:lineRule="auto"/>
        <w:jc w:val="right"/>
        <w:rPr>
          <w:sz w:val="24"/>
        </w:rPr>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BodyText"/>
        <w:spacing w:line="480" w:lineRule="auto"/>
        <w:ind w:left="1701" w:right="708" w:firstLine="708"/>
        <w:jc w:val="both"/>
      </w:pPr>
      <w:r>
        <w:rPr/>
        <w:t>Penelitian ini dapat memberikan kontribusi baru terhadap literatur akademis tentang pengungapan ESG, terutama dalam konteks sektor pertambangan. Dengan mengidentifikasi faktor- faktor yang memengaruhi praktik pengungapan, penelitian ini dapat melengkapi pemahaman teoritis tentang hubungan antara karakteristik perusahaan dan pengungkapan ESG.</w:t>
      </w:r>
    </w:p>
    <w:p>
      <w:pPr>
        <w:pStyle w:val="ListParagraph"/>
        <w:numPr>
          <w:ilvl w:val="2"/>
          <w:numId w:val="7"/>
        </w:numPr>
        <w:tabs>
          <w:tab w:pos="1699" w:val="left" w:leader="none"/>
        </w:tabs>
        <w:spacing w:line="240" w:lineRule="auto" w:before="0" w:after="0"/>
        <w:ind w:left="1699" w:right="0" w:hanging="358"/>
        <w:jc w:val="both"/>
        <w:rPr>
          <w:sz w:val="24"/>
        </w:rPr>
      </w:pPr>
      <w:r>
        <w:rPr>
          <w:sz w:val="24"/>
        </w:rPr>
        <w:t>Bagi</w:t>
      </w:r>
      <w:r>
        <w:rPr>
          <w:spacing w:val="-5"/>
          <w:sz w:val="24"/>
        </w:rPr>
        <w:t> </w:t>
      </w:r>
      <w:r>
        <w:rPr>
          <w:sz w:val="24"/>
        </w:rPr>
        <w:t>Penelitian</w:t>
      </w:r>
      <w:r>
        <w:rPr>
          <w:spacing w:val="-5"/>
          <w:sz w:val="24"/>
        </w:rPr>
        <w:t> </w:t>
      </w:r>
      <w:r>
        <w:rPr>
          <w:spacing w:val="-2"/>
          <w:sz w:val="24"/>
        </w:rPr>
        <w:t>Selanjutnya</w:t>
      </w:r>
    </w:p>
    <w:p>
      <w:pPr>
        <w:pStyle w:val="BodyText"/>
      </w:pPr>
    </w:p>
    <w:p>
      <w:pPr>
        <w:pStyle w:val="BodyText"/>
        <w:spacing w:line="480" w:lineRule="auto"/>
        <w:ind w:left="1701" w:right="708" w:firstLine="708"/>
        <w:jc w:val="both"/>
      </w:pPr>
      <w:r>
        <w:rPr/>
        <w:t>Temuan dari penelitian ini dapat membantu dalam pengembangan teori dan konsep tentang praktik pengungkapan ESG. Dengan memahami lebih dalam tentang bagaimana faktor- faktor tertentu memengaruhi pengungapan, penelitian ini dapat membantu dalam pengembangan model atau kerangka kerja yang lebih komprehensif untuk memahami fenomena ini secara lebih luas.</w:t>
      </w:r>
    </w:p>
    <w:p>
      <w:pPr>
        <w:pStyle w:val="Heading2"/>
        <w:numPr>
          <w:ilvl w:val="1"/>
          <w:numId w:val="7"/>
        </w:numPr>
        <w:tabs>
          <w:tab w:pos="1426" w:val="left" w:leader="none"/>
        </w:tabs>
        <w:spacing w:line="240" w:lineRule="auto" w:before="0" w:after="0"/>
        <w:ind w:left="1426" w:right="0" w:hanging="358"/>
        <w:jc w:val="both"/>
      </w:pPr>
      <w:r>
        <w:rPr/>
        <w:t>Manfaat</w:t>
      </w:r>
      <w:r>
        <w:rPr>
          <w:spacing w:val="-2"/>
        </w:rPr>
        <w:t> Praktis</w:t>
      </w:r>
    </w:p>
    <w:p>
      <w:pPr>
        <w:pStyle w:val="BodyText"/>
        <w:rPr>
          <w:b/>
        </w:rPr>
      </w:pPr>
    </w:p>
    <w:p>
      <w:pPr>
        <w:pStyle w:val="ListParagraph"/>
        <w:numPr>
          <w:ilvl w:val="2"/>
          <w:numId w:val="7"/>
        </w:numPr>
        <w:tabs>
          <w:tab w:pos="1840" w:val="left" w:leader="none"/>
        </w:tabs>
        <w:spacing w:line="240" w:lineRule="auto" w:before="0" w:after="0"/>
        <w:ind w:left="1840" w:right="0" w:hanging="358"/>
        <w:jc w:val="left"/>
        <w:rPr>
          <w:sz w:val="24"/>
        </w:rPr>
      </w:pPr>
      <w:r>
        <w:rPr>
          <w:sz w:val="24"/>
        </w:rPr>
        <w:t>Bagi</w:t>
      </w:r>
      <w:r>
        <w:rPr>
          <w:spacing w:val="-2"/>
          <w:sz w:val="24"/>
        </w:rPr>
        <w:t> Perusahaan</w:t>
      </w:r>
    </w:p>
    <w:p>
      <w:pPr>
        <w:pStyle w:val="BodyText"/>
      </w:pPr>
    </w:p>
    <w:p>
      <w:pPr>
        <w:pStyle w:val="BodyText"/>
        <w:spacing w:line="480" w:lineRule="auto"/>
        <w:ind w:left="1842" w:right="708" w:firstLine="567"/>
        <w:jc w:val="both"/>
      </w:pPr>
      <w:r>
        <w:rPr/>
        <w:t>Penelitian ini dapat memberikan panduan praktis bagi perusahaan pertambangan untuk memahami faktor-faktor yang memengaruhi pengungapan ESG. Dengan pemahaman yang lebih baik tentang bagaimana karakteristik CEO, kinerja keuangan, dan political cost mempengaruhi praktik pengungkapan, perusahaan dapat mengambil langkah-langkah</w:t>
      </w:r>
    </w:p>
    <w:p>
      <w:pPr>
        <w:pStyle w:val="BodyText"/>
        <w:spacing w:after="0" w:line="480" w:lineRule="auto"/>
        <w:jc w:val="both"/>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BodyText"/>
        <w:tabs>
          <w:tab w:pos="2911" w:val="left" w:leader="none"/>
          <w:tab w:pos="3781" w:val="left" w:leader="none"/>
          <w:tab w:pos="5557" w:val="left" w:leader="none"/>
          <w:tab w:pos="7160" w:val="left" w:leader="none"/>
          <w:tab w:pos="8243" w:val="left" w:leader="none"/>
        </w:tabs>
        <w:spacing w:line="480" w:lineRule="auto"/>
        <w:ind w:left="1843" w:right="709"/>
      </w:pPr>
      <w:r>
        <w:rPr>
          <w:spacing w:val="-2"/>
        </w:rPr>
        <w:t>konkret</w:t>
      </w:r>
      <w:r>
        <w:rPr/>
        <w:tab/>
      </w:r>
      <w:r>
        <w:rPr>
          <w:spacing w:val="-2"/>
        </w:rPr>
        <w:t>untuk</w:t>
      </w:r>
      <w:r>
        <w:rPr/>
        <w:tab/>
      </w:r>
      <w:r>
        <w:rPr>
          <w:spacing w:val="-2"/>
        </w:rPr>
        <w:t>meningkatkan</w:t>
      </w:r>
      <w:r>
        <w:rPr/>
        <w:tab/>
      </w:r>
      <w:r>
        <w:rPr>
          <w:spacing w:val="-2"/>
        </w:rPr>
        <w:t>transparansi</w:t>
      </w:r>
      <w:r>
        <w:rPr/>
        <w:tab/>
      </w:r>
      <w:r>
        <w:rPr>
          <w:spacing w:val="-2"/>
        </w:rPr>
        <w:t>mereka</w:t>
      </w:r>
      <w:r>
        <w:rPr/>
        <w:tab/>
      </w:r>
      <w:r>
        <w:rPr>
          <w:spacing w:val="-4"/>
        </w:rPr>
        <w:t>dan </w:t>
      </w:r>
      <w:r>
        <w:rPr/>
        <w:t>memperbaiki hubungan dengan pemangku kepentingan.</w:t>
      </w:r>
    </w:p>
    <w:p>
      <w:pPr>
        <w:pStyle w:val="ListParagraph"/>
        <w:numPr>
          <w:ilvl w:val="2"/>
          <w:numId w:val="7"/>
        </w:numPr>
        <w:tabs>
          <w:tab w:pos="1841" w:val="left" w:leader="none"/>
        </w:tabs>
        <w:spacing w:line="240" w:lineRule="auto" w:before="0" w:after="0"/>
        <w:ind w:left="1841" w:right="0" w:hanging="358"/>
        <w:jc w:val="both"/>
        <w:rPr>
          <w:sz w:val="24"/>
        </w:rPr>
      </w:pPr>
      <w:r>
        <w:rPr>
          <w:sz w:val="24"/>
        </w:rPr>
        <w:t>Bagi</w:t>
      </w:r>
      <w:r>
        <w:rPr>
          <w:spacing w:val="-2"/>
          <w:sz w:val="24"/>
        </w:rPr>
        <w:t> Regulator</w:t>
      </w:r>
    </w:p>
    <w:p>
      <w:pPr>
        <w:pStyle w:val="BodyText"/>
      </w:pPr>
    </w:p>
    <w:p>
      <w:pPr>
        <w:pStyle w:val="BodyText"/>
        <w:spacing w:line="480" w:lineRule="auto"/>
        <w:ind w:left="1843" w:right="708" w:firstLine="567"/>
        <w:jc w:val="both"/>
      </w:pPr>
      <w:r>
        <w:rPr/>
        <w:t>Hasil penelitian ini dapat memberikan informasi berharga bagi regulator tentang dinamika pengungapan ESG di sektor pertambangan. Regulator dapat menggunakan wawasan ini untuk merumuskan kebijakan yang lebih efektif dalam mendorong praktik bisnis berkelanjutan dan meningkatkan pengawasan terhadap perusahaan pertambangan.</w:t>
      </w:r>
    </w:p>
    <w:p>
      <w:pPr>
        <w:pStyle w:val="ListParagraph"/>
        <w:numPr>
          <w:ilvl w:val="2"/>
          <w:numId w:val="7"/>
        </w:numPr>
        <w:tabs>
          <w:tab w:pos="1841" w:val="left" w:leader="none"/>
        </w:tabs>
        <w:spacing w:line="240" w:lineRule="auto" w:before="0" w:after="0"/>
        <w:ind w:left="1841" w:right="0" w:hanging="358"/>
        <w:jc w:val="both"/>
        <w:rPr>
          <w:sz w:val="24"/>
        </w:rPr>
      </w:pPr>
      <w:r>
        <w:rPr>
          <w:sz w:val="24"/>
        </w:rPr>
        <w:t>Bagi</w:t>
      </w:r>
      <w:r>
        <w:rPr>
          <w:spacing w:val="-2"/>
          <w:sz w:val="24"/>
        </w:rPr>
        <w:t> Investor</w:t>
      </w:r>
    </w:p>
    <w:p>
      <w:pPr>
        <w:pStyle w:val="BodyText"/>
      </w:pPr>
    </w:p>
    <w:p>
      <w:pPr>
        <w:pStyle w:val="BodyText"/>
        <w:spacing w:line="480" w:lineRule="auto"/>
        <w:ind w:left="1843" w:right="708" w:firstLine="567"/>
        <w:jc w:val="both"/>
      </w:pPr>
      <w:r>
        <w:rPr/>
        <w:t>Bagi investor, penelitian ini dapat menjadi sumber informasi</w:t>
      </w:r>
      <w:r>
        <w:rPr>
          <w:spacing w:val="-4"/>
        </w:rPr>
        <w:t> </w:t>
      </w:r>
      <w:r>
        <w:rPr/>
        <w:t>yang</w:t>
      </w:r>
      <w:r>
        <w:rPr>
          <w:spacing w:val="-4"/>
        </w:rPr>
        <w:t> </w:t>
      </w:r>
      <w:r>
        <w:rPr/>
        <w:t>berharga</w:t>
      </w:r>
      <w:r>
        <w:rPr>
          <w:spacing w:val="-4"/>
        </w:rPr>
        <w:t> </w:t>
      </w:r>
      <w:r>
        <w:rPr/>
        <w:t>dalam</w:t>
      </w:r>
      <w:r>
        <w:rPr>
          <w:spacing w:val="-4"/>
        </w:rPr>
        <w:t> </w:t>
      </w:r>
      <w:r>
        <w:rPr/>
        <w:t>mengevaluasi</w:t>
      </w:r>
      <w:r>
        <w:rPr>
          <w:spacing w:val="-4"/>
        </w:rPr>
        <w:t> </w:t>
      </w:r>
      <w:r>
        <w:rPr/>
        <w:t>investasi</w:t>
      </w:r>
      <w:r>
        <w:rPr>
          <w:spacing w:val="-4"/>
        </w:rPr>
        <w:t> </w:t>
      </w:r>
      <w:r>
        <w:rPr/>
        <w:t>mereka. Dengan pemahaman yang lebih baik tentang elemen-elemen yang mempengaruhi pengungkapan ESG, investor dapat membuat</w:t>
      </w:r>
      <w:r>
        <w:rPr>
          <w:spacing w:val="-2"/>
        </w:rPr>
        <w:t> </w:t>
      </w:r>
      <w:r>
        <w:rPr/>
        <w:t>keputusan</w:t>
      </w:r>
      <w:r>
        <w:rPr>
          <w:spacing w:val="-2"/>
        </w:rPr>
        <w:t> </w:t>
      </w:r>
      <w:r>
        <w:rPr/>
        <w:t>investasi</w:t>
      </w:r>
      <w:r>
        <w:rPr>
          <w:spacing w:val="-2"/>
        </w:rPr>
        <w:t> </w:t>
      </w:r>
      <w:r>
        <w:rPr/>
        <w:t>yang</w:t>
      </w:r>
      <w:r>
        <w:rPr>
          <w:spacing w:val="-2"/>
        </w:rPr>
        <w:t> </w:t>
      </w:r>
      <w:r>
        <w:rPr/>
        <w:t>lebih</w:t>
      </w:r>
      <w:r>
        <w:rPr>
          <w:spacing w:val="-2"/>
        </w:rPr>
        <w:t> </w:t>
      </w:r>
      <w:r>
        <w:rPr/>
        <w:t>berbasis</w:t>
      </w:r>
      <w:r>
        <w:rPr>
          <w:spacing w:val="-2"/>
        </w:rPr>
        <w:t> </w:t>
      </w:r>
      <w:r>
        <w:rPr/>
        <w:t>pengetahuan dan mengidentifikasi perusahaan yang memiliki komitmen yang kuat terhadap praktik bisnis berkelanjutan.</w:t>
      </w:r>
    </w:p>
    <w:p>
      <w:pPr>
        <w:pStyle w:val="BodyText"/>
        <w:spacing w:after="0" w:line="480" w:lineRule="auto"/>
        <w:jc w:val="both"/>
        <w:sectPr>
          <w:pgSz w:w="11910" w:h="16840"/>
          <w:pgMar w:header="718" w:footer="0" w:top="980" w:bottom="280" w:left="1559" w:right="992"/>
        </w:sectPr>
      </w:pPr>
    </w:p>
    <w:p>
      <w:pPr>
        <w:pStyle w:val="BodyText"/>
        <w:spacing w:before="86"/>
      </w:pPr>
    </w:p>
    <w:p>
      <w:pPr>
        <w:pStyle w:val="Heading1"/>
        <w:spacing w:line="196" w:lineRule="auto"/>
        <w:ind w:left="3457" w:right="3315" w:firstLine="826"/>
      </w:pPr>
      <w:r>
        <w:rPr/>
        <w:t>BAB II TINJAUAN</w:t>
      </w:r>
      <w:r>
        <w:rPr>
          <w:spacing w:val="-17"/>
        </w:rPr>
        <w:t> </w:t>
      </w:r>
      <w:r>
        <w:rPr/>
        <w:t>P</w:t>
      </w:r>
      <w:bookmarkStart w:name="_bookmark12" w:id="13"/>
      <w:bookmarkEnd w:id="13"/>
      <w:r>
        <w:rPr/>
        <w:t>U</w:t>
      </w:r>
      <w:r>
        <w:rPr/>
        <w:t>STAKA</w:t>
      </w:r>
    </w:p>
    <w:p>
      <w:pPr>
        <w:pStyle w:val="BodyText"/>
        <w:rPr>
          <w:b/>
        </w:rPr>
      </w:pPr>
    </w:p>
    <w:p>
      <w:pPr>
        <w:pStyle w:val="BodyText"/>
        <w:rPr>
          <w:b/>
        </w:rPr>
      </w:pPr>
    </w:p>
    <w:p>
      <w:pPr>
        <w:pStyle w:val="BodyText"/>
        <w:spacing w:before="8"/>
        <w:rPr>
          <w:b/>
        </w:rPr>
      </w:pPr>
    </w:p>
    <w:p>
      <w:pPr>
        <w:pStyle w:val="Heading2"/>
        <w:numPr>
          <w:ilvl w:val="0"/>
          <w:numId w:val="8"/>
        </w:numPr>
        <w:tabs>
          <w:tab w:pos="1132" w:val="left" w:leader="none"/>
        </w:tabs>
        <w:spacing w:line="240" w:lineRule="auto" w:before="0" w:after="0"/>
        <w:ind w:left="1132" w:right="0" w:hanging="355"/>
        <w:jc w:val="left"/>
      </w:pPr>
      <w:bookmarkStart w:name="_bookmark13" w:id="14"/>
      <w:bookmarkEnd w:id="14"/>
      <w:r>
        <w:rPr/>
        <w:t>L</w:t>
      </w:r>
      <w:r>
        <w:rPr/>
        <w:t>andasan</w:t>
      </w:r>
      <w:r>
        <w:rPr>
          <w:spacing w:val="-6"/>
        </w:rPr>
        <w:t> </w:t>
      </w:r>
      <w:r>
        <w:rPr>
          <w:spacing w:val="-4"/>
        </w:rPr>
        <w:t>Teori</w:t>
      </w:r>
    </w:p>
    <w:p>
      <w:pPr>
        <w:pStyle w:val="BodyText"/>
        <w:rPr>
          <w:b/>
        </w:rPr>
      </w:pPr>
    </w:p>
    <w:p>
      <w:pPr>
        <w:pStyle w:val="Heading2"/>
        <w:numPr>
          <w:ilvl w:val="1"/>
          <w:numId w:val="8"/>
        </w:numPr>
        <w:tabs>
          <w:tab w:pos="1488" w:val="left" w:leader="none"/>
        </w:tabs>
        <w:spacing w:line="240" w:lineRule="auto" w:before="0" w:after="0"/>
        <w:ind w:left="1488" w:right="0" w:hanging="355"/>
        <w:jc w:val="left"/>
      </w:pPr>
      <w:bookmarkStart w:name="_bookmark14" w:id="15"/>
      <w:bookmarkEnd w:id="15"/>
      <w:r>
        <w:rPr/>
        <w:t>T</w:t>
      </w:r>
      <w:r>
        <w:rPr/>
        <w:t>eori</w:t>
      </w:r>
      <w:r>
        <w:rPr>
          <w:spacing w:val="-2"/>
        </w:rPr>
        <w:t> Stakeholder</w:t>
      </w:r>
    </w:p>
    <w:p>
      <w:pPr>
        <w:pStyle w:val="BodyText"/>
        <w:rPr>
          <w:b/>
        </w:rPr>
      </w:pPr>
    </w:p>
    <w:p>
      <w:pPr>
        <w:pStyle w:val="BodyText"/>
        <w:spacing w:line="480" w:lineRule="auto"/>
        <w:ind w:left="1559" w:right="707" w:firstLine="709"/>
        <w:jc w:val="both"/>
      </w:pPr>
      <w:r>
        <w:rPr/>
        <w:t>Teori ini muncul karena kesadaran yang berkembang dan menyadari bahwa bisnis memiliki pemangku kepentingan, yaitu pihak-pihak yang memiliki kepentingan dalam bisnis (Damayanti &amp; Syarifuddin, 2020). Ada dua pendekatan dalam memperlakukan stakeholder, yaitu pendekatan hubungan korporat lama (</w:t>
      </w:r>
      <w:r>
        <w:rPr>
          <w:i/>
        </w:rPr>
        <w:t>old- corporate relation</w:t>
      </w:r>
      <w:r>
        <w:rPr/>
        <w:t>) yang menekankan pada pemisahan kegiatan perusahaan tanpa adanya kesatuan antara fungsi-fungsi, dan pendekatan</w:t>
      </w:r>
      <w:r>
        <w:rPr>
          <w:spacing w:val="-6"/>
        </w:rPr>
        <w:t> </w:t>
      </w:r>
      <w:r>
        <w:rPr/>
        <w:t>hubungan</w:t>
      </w:r>
      <w:r>
        <w:rPr>
          <w:spacing w:val="-6"/>
        </w:rPr>
        <w:t> </w:t>
      </w:r>
      <w:r>
        <w:rPr/>
        <w:t>korporat</w:t>
      </w:r>
      <w:r>
        <w:rPr>
          <w:spacing w:val="-6"/>
        </w:rPr>
        <w:t> </w:t>
      </w:r>
      <w:r>
        <w:rPr/>
        <w:t>baru</w:t>
      </w:r>
      <w:r>
        <w:rPr>
          <w:spacing w:val="-6"/>
        </w:rPr>
        <w:t> </w:t>
      </w:r>
      <w:r>
        <w:rPr/>
        <w:t>(</w:t>
      </w:r>
      <w:r>
        <w:rPr>
          <w:i/>
        </w:rPr>
        <w:t>new-corporate</w:t>
      </w:r>
      <w:r>
        <w:rPr>
          <w:i/>
          <w:spacing w:val="-6"/>
        </w:rPr>
        <w:t> </w:t>
      </w:r>
      <w:r>
        <w:rPr>
          <w:i/>
        </w:rPr>
        <w:t>relation</w:t>
      </w:r>
      <w:r>
        <w:rPr/>
        <w:t>)</w:t>
      </w:r>
      <w:r>
        <w:rPr>
          <w:spacing w:val="-6"/>
        </w:rPr>
        <w:t> </w:t>
      </w:r>
      <w:r>
        <w:rPr/>
        <w:t>yang menekankan pada kolaborasi antara perusahaan dengan seluruh stakeholdernya (Gede, 2005).</w:t>
      </w:r>
    </w:p>
    <w:p>
      <w:pPr>
        <w:pStyle w:val="BodyText"/>
        <w:spacing w:line="480" w:lineRule="auto"/>
        <w:ind w:left="1559" w:right="708" w:firstLine="709"/>
        <w:jc w:val="both"/>
      </w:pPr>
      <w:r>
        <w:rPr/>
        <w:t>Teori stakeholder dapat diklasifikasikan dalam dua perspektif utama, yaitu perspektif normatif dan perspektif positif (Hamdi. et al, 2022). Dalam perspektif normatif, semua stakeholder harus diperlakukan secara adil dan perusahaan harus bertanggung jawab secara etis kepada mereka. Sementara dalam perspektif positif, manajer perusahaan dipengaruhi oleh kekuatan stakeholder dan menyediakan informasi sesuai dengan pengaruh stakeholder tersebut. Salah satu taktik yang digunakan oleh bisnis untuk</w:t>
      </w:r>
      <w:r>
        <w:rPr>
          <w:spacing w:val="40"/>
        </w:rPr>
        <w:t> </w:t>
      </w:r>
      <w:r>
        <w:rPr/>
        <w:t>menjaga</w:t>
      </w:r>
      <w:r>
        <w:rPr>
          <w:spacing w:val="40"/>
        </w:rPr>
        <w:t> </w:t>
      </w:r>
      <w:r>
        <w:rPr/>
        <w:t>hubungan</w:t>
      </w:r>
      <w:r>
        <w:rPr>
          <w:spacing w:val="40"/>
        </w:rPr>
        <w:t> </w:t>
      </w:r>
      <w:r>
        <w:rPr/>
        <w:t>dengan</w:t>
      </w:r>
      <w:r>
        <w:rPr>
          <w:spacing w:val="40"/>
        </w:rPr>
        <w:t> </w:t>
      </w:r>
      <w:r>
        <w:rPr/>
        <w:t>para</w:t>
      </w:r>
      <w:r>
        <w:rPr>
          <w:spacing w:val="40"/>
        </w:rPr>
        <w:t> </w:t>
      </w:r>
      <w:r>
        <w:rPr/>
        <w:t>pemangku</w:t>
      </w:r>
      <w:r>
        <w:rPr>
          <w:spacing w:val="40"/>
        </w:rPr>
        <w:t> </w:t>
      </w:r>
      <w:r>
        <w:rPr/>
        <w:t>kepentingan</w:t>
      </w:r>
    </w:p>
    <w:p>
      <w:pPr>
        <w:pStyle w:val="BodyText"/>
        <w:spacing w:before="129"/>
      </w:pPr>
    </w:p>
    <w:p>
      <w:pPr>
        <w:pStyle w:val="BodyText"/>
        <w:spacing w:before="1"/>
        <w:ind w:left="734" w:right="734"/>
        <w:jc w:val="center"/>
        <w:rPr>
          <w:rFonts w:ascii="Times New Roman"/>
        </w:rPr>
      </w:pPr>
      <w:r>
        <w:rPr>
          <w:rFonts w:ascii="Times New Roman"/>
          <w:spacing w:val="-5"/>
        </w:rPr>
        <w:t>20</w:t>
      </w:r>
    </w:p>
    <w:p>
      <w:pPr>
        <w:pStyle w:val="BodyText"/>
        <w:spacing w:after="0"/>
        <w:jc w:val="center"/>
        <w:rPr>
          <w:rFonts w:ascii="Times New Roman"/>
        </w:rPr>
        <w:sectPr>
          <w:headerReference w:type="default" r:id="rId26"/>
          <w:pgSz w:w="11910" w:h="16840"/>
          <w:pgMar w:header="0" w:footer="0" w:top="1920" w:bottom="280" w:left="1559" w:right="992"/>
        </w:sect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80"/>
        <w:rPr>
          <w:rFonts w:ascii="Times New Roman"/>
        </w:rPr>
      </w:pPr>
    </w:p>
    <w:p>
      <w:pPr>
        <w:pStyle w:val="BodyText"/>
        <w:spacing w:line="480" w:lineRule="auto"/>
        <w:ind w:left="1559" w:right="708"/>
        <w:jc w:val="both"/>
      </w:pPr>
      <w:r>
        <w:rPr/>
        <w:t>adalah dengan menerbitkan laporan keberlanjutan yang</w:t>
      </w:r>
      <w:r>
        <w:rPr>
          <w:spacing w:val="40"/>
        </w:rPr>
        <w:t> </w:t>
      </w:r>
      <w:r>
        <w:rPr/>
        <w:t>mencakup kinerja ekonomi, sosial, dan lingkungan. Laporan keberlanjutan ini bertujuan untuk menjaga hubungan yang baik dan keterbukaan informasi kepada investor dan kreditor. Hubungan yang baik dan keterbukaan informasi dapat meningkatkan nilai bagi stakeholder dan mengurangi potensi kerugian yang mungkin mereka alami, sehingga stakeholder akan mendukung tujuan perusahaan tanpa menuntut imbalan yang</w:t>
      </w:r>
      <w:r>
        <w:rPr>
          <w:spacing w:val="40"/>
        </w:rPr>
        <w:t> </w:t>
      </w:r>
      <w:r>
        <w:rPr/>
        <w:t>lebih besar.</w:t>
      </w:r>
    </w:p>
    <w:p>
      <w:pPr>
        <w:pStyle w:val="BodyText"/>
        <w:spacing w:line="480" w:lineRule="auto"/>
        <w:ind w:left="1559" w:right="707" w:firstLine="709"/>
        <w:jc w:val="both"/>
      </w:pPr>
      <w:r>
        <w:rPr/>
        <w:t>Teori stakeholder berfokus pada pentingnya</w:t>
      </w:r>
      <w:r>
        <w:rPr>
          <w:spacing w:val="40"/>
        </w:rPr>
        <w:t> </w:t>
      </w:r>
      <w:r>
        <w:rPr/>
        <w:t>memperhatikan berbagai pihak yang berkepentingan dalam suatu organisasi, termasuk pemegang saham, karyawan, masyarakat, dan lingkungan (Antonius &amp; Ida, 2023). Menurut Freeman (1984), perusahaan seharusnya tidak hanya memikirkan pemegang saham, tetapi juga seluruh pemangku kepentingan.</w:t>
      </w:r>
    </w:p>
    <w:p>
      <w:pPr>
        <w:pStyle w:val="BodyText"/>
        <w:spacing w:line="480" w:lineRule="auto"/>
        <w:ind w:left="1559" w:right="708" w:firstLine="709"/>
        <w:jc w:val="both"/>
      </w:pPr>
      <w:r>
        <w:rPr/>
        <w:t>Berdasarkan uraian diatas teori stakeholder menyatakan bahwa perusahaan tidak hanya menjalankan operasinya untuk kepentingan sendiri, tetapi juga memperhatikan kepentingan para pemangku kepentingan. Stakeholder ini mencakup berbagai</w:t>
      </w:r>
      <w:r>
        <w:rPr>
          <w:spacing w:val="40"/>
        </w:rPr>
        <w:t> </w:t>
      </w:r>
      <w:r>
        <w:rPr/>
        <w:t>pihak,</w:t>
      </w:r>
      <w:r>
        <w:rPr>
          <w:spacing w:val="-5"/>
        </w:rPr>
        <w:t> </w:t>
      </w:r>
      <w:r>
        <w:rPr/>
        <w:t>baik</w:t>
      </w:r>
      <w:r>
        <w:rPr>
          <w:spacing w:val="-5"/>
        </w:rPr>
        <w:t> </w:t>
      </w:r>
      <w:r>
        <w:rPr/>
        <w:t>dari</w:t>
      </w:r>
      <w:r>
        <w:rPr>
          <w:spacing w:val="-5"/>
        </w:rPr>
        <w:t> </w:t>
      </w:r>
      <w:r>
        <w:rPr/>
        <w:t>dalam</w:t>
      </w:r>
      <w:r>
        <w:rPr>
          <w:spacing w:val="-5"/>
        </w:rPr>
        <w:t> </w:t>
      </w:r>
      <w:r>
        <w:rPr/>
        <w:t>maupun</w:t>
      </w:r>
      <w:r>
        <w:rPr>
          <w:spacing w:val="-5"/>
        </w:rPr>
        <w:t> </w:t>
      </w:r>
      <w:r>
        <w:rPr/>
        <w:t>luar</w:t>
      </w:r>
      <w:r>
        <w:rPr>
          <w:spacing w:val="-5"/>
        </w:rPr>
        <w:t> </w:t>
      </w:r>
      <w:r>
        <w:rPr/>
        <w:t>perusahaan,</w:t>
      </w:r>
      <w:r>
        <w:rPr>
          <w:spacing w:val="-5"/>
        </w:rPr>
        <w:t> </w:t>
      </w:r>
      <w:r>
        <w:rPr/>
        <w:t>seperti</w:t>
      </w:r>
      <w:r>
        <w:rPr>
          <w:spacing w:val="-5"/>
        </w:rPr>
        <w:t> </w:t>
      </w:r>
      <w:r>
        <w:rPr/>
        <w:t>organisasi atau perusahaan itu sendiri, pemilik bisnis, karyawan, pemegang saham, konsumen, pemasok, pesaing, investor, pemerintah, masyarakat</w:t>
      </w:r>
      <w:r>
        <w:rPr>
          <w:spacing w:val="40"/>
        </w:rPr>
        <w:t> </w:t>
      </w:r>
      <w:r>
        <w:rPr/>
        <w:t>umum,</w:t>
      </w:r>
      <w:r>
        <w:rPr>
          <w:spacing w:val="40"/>
        </w:rPr>
        <w:t> </w:t>
      </w:r>
      <w:r>
        <w:rPr/>
        <w:t>dan</w:t>
      </w:r>
      <w:r>
        <w:rPr>
          <w:spacing w:val="40"/>
        </w:rPr>
        <w:t> </w:t>
      </w:r>
      <w:r>
        <w:rPr/>
        <w:t>komunitas</w:t>
      </w:r>
      <w:r>
        <w:rPr>
          <w:spacing w:val="40"/>
        </w:rPr>
        <w:t> </w:t>
      </w:r>
      <w:r>
        <w:rPr/>
        <w:t>dalam</w:t>
      </w:r>
      <w:r>
        <w:rPr>
          <w:spacing w:val="40"/>
        </w:rPr>
        <w:t> </w:t>
      </w:r>
      <w:r>
        <w:rPr/>
        <w:t>masyarakat</w:t>
      </w:r>
      <w:r>
        <w:rPr>
          <w:spacing w:val="40"/>
        </w:rPr>
        <w:t> </w:t>
      </w:r>
      <w:r>
        <w:rPr/>
        <w:t>(Isnaini</w:t>
      </w:r>
      <w:r>
        <w:rPr>
          <w:spacing w:val="40"/>
        </w:rPr>
        <w:t> </w:t>
      </w:r>
      <w:r>
        <w:rPr/>
        <w:t>&amp;</w:t>
      </w:r>
    </w:p>
    <w:p>
      <w:pPr>
        <w:pStyle w:val="BodyText"/>
        <w:spacing w:after="0" w:line="480" w:lineRule="auto"/>
        <w:jc w:val="both"/>
        <w:sectPr>
          <w:headerReference w:type="default" r:id="rId27"/>
          <w:pgSz w:w="11910" w:h="16840"/>
          <w:pgMar w:header="718" w:footer="0" w:top="980" w:bottom="280" w:left="1559" w:right="992"/>
          <w:pgNumType w:start="21"/>
        </w:sectPr>
      </w:pPr>
    </w:p>
    <w:p>
      <w:pPr>
        <w:pStyle w:val="BodyText"/>
      </w:pPr>
    </w:p>
    <w:p>
      <w:pPr>
        <w:pStyle w:val="BodyText"/>
      </w:pPr>
    </w:p>
    <w:p>
      <w:pPr>
        <w:pStyle w:val="BodyText"/>
      </w:pPr>
    </w:p>
    <w:p>
      <w:pPr>
        <w:pStyle w:val="BodyText"/>
        <w:spacing w:before="180"/>
      </w:pPr>
    </w:p>
    <w:p>
      <w:pPr>
        <w:pStyle w:val="BodyText"/>
        <w:spacing w:line="480" w:lineRule="auto"/>
        <w:ind w:left="1559" w:right="708"/>
        <w:jc w:val="both"/>
      </w:pPr>
      <w:r>
        <w:rPr/>
        <w:t>Kurnia, 2017). Karakteristik perusahaan menjadi aspek penting bagi stakeholder. Khususnya para stakeholder yang juga merupakan pemegang saham memiliki peran signifikan dalam penerapan CSR, sehingga penting bagi mereka untuk memahami tingkat profitabilitas perusahaan dan besarnya aset yang dimiliki perusahaan tersebut.</w:t>
      </w:r>
    </w:p>
    <w:p>
      <w:pPr>
        <w:pStyle w:val="BodyText"/>
        <w:spacing w:line="480" w:lineRule="auto"/>
        <w:ind w:left="1559" w:right="708" w:firstLine="709"/>
        <w:jc w:val="both"/>
      </w:pPr>
      <w:r>
        <w:rPr/>
        <w:t>Adanya pengungkapan ESG, kinerja keuangan perusahaan diharapkan mendapat dampak positif. Komitmen perusahaan terhadap isu keberlanjutan menjadi faktor yang diperhatikan oleh para pemangku kepentingan (stakeholder), yang pada akhirnya dapat memengaruhi keputusan untuk memberikan kontribusi atau investasi bagi perusahaan. Hal ini sejalan dengan temuan yang menunjukkan bahwa keterbukaan terhadap ESG dapat meningkatkan kepercayaan dan dukungan stakeholder karena mereka melihat perusahaan sebagai entitas yang bertanggung jawab secara sosial dan lingkungan (Nugroho &amp; Raharjo, 2023; Pratama &amp; Wijaya, 2023).</w:t>
      </w:r>
    </w:p>
    <w:p>
      <w:pPr>
        <w:pStyle w:val="Heading2"/>
        <w:numPr>
          <w:ilvl w:val="1"/>
          <w:numId w:val="8"/>
        </w:numPr>
        <w:tabs>
          <w:tab w:pos="1488" w:val="left" w:leader="none"/>
        </w:tabs>
        <w:spacing w:line="240" w:lineRule="auto" w:before="0" w:after="0"/>
        <w:ind w:left="1488" w:right="0" w:hanging="355"/>
        <w:jc w:val="both"/>
      </w:pPr>
      <w:bookmarkStart w:name="_bookmark15" w:id="16"/>
      <w:bookmarkEnd w:id="16"/>
      <w:r>
        <w:rPr/>
        <w:t>T</w:t>
      </w:r>
      <w:r>
        <w:rPr/>
        <w:t>eori</w:t>
      </w:r>
      <w:r>
        <w:rPr>
          <w:spacing w:val="-2"/>
        </w:rPr>
        <w:t> Keagenan</w:t>
      </w:r>
    </w:p>
    <w:p>
      <w:pPr>
        <w:pStyle w:val="BodyText"/>
        <w:rPr>
          <w:b/>
        </w:rPr>
      </w:pPr>
    </w:p>
    <w:p>
      <w:pPr>
        <w:pStyle w:val="BodyText"/>
        <w:spacing w:line="480" w:lineRule="auto"/>
        <w:ind w:left="1559" w:right="707" w:firstLine="709"/>
        <w:jc w:val="both"/>
      </w:pPr>
      <w:r>
        <w:rPr/>
        <w:t>Jensen &amp; William, (1976) menyatakan bahwa hubungan keagenan adalah sebuah kontrak antara manajer (</w:t>
      </w:r>
      <w:r>
        <w:rPr>
          <w:i/>
        </w:rPr>
        <w:t>agent</w:t>
      </w:r>
      <w:r>
        <w:rPr/>
        <w:t>) dengan investor (</w:t>
      </w:r>
      <w:r>
        <w:rPr>
          <w:i/>
        </w:rPr>
        <w:t>principal</w:t>
      </w:r>
      <w:r>
        <w:rPr/>
        <w:t>). Teori keagenan adalah hubungan kontrak</w:t>
      </w:r>
      <w:r>
        <w:rPr>
          <w:spacing w:val="40"/>
        </w:rPr>
        <w:t> </w:t>
      </w:r>
      <w:r>
        <w:rPr/>
        <w:t>yang menyatakan hak dan kewajiban masing-masing dimana antara</w:t>
      </w:r>
      <w:r>
        <w:rPr>
          <w:spacing w:val="80"/>
          <w:w w:val="150"/>
        </w:rPr>
        <w:t> </w:t>
      </w:r>
      <w:r>
        <w:rPr/>
        <w:t>satu</w:t>
      </w:r>
      <w:r>
        <w:rPr>
          <w:spacing w:val="80"/>
          <w:w w:val="150"/>
        </w:rPr>
        <w:t> </w:t>
      </w:r>
      <w:r>
        <w:rPr/>
        <w:t>kelompok</w:t>
      </w:r>
      <w:r>
        <w:rPr>
          <w:spacing w:val="80"/>
          <w:w w:val="150"/>
        </w:rPr>
        <w:t> </w:t>
      </w:r>
      <w:r>
        <w:rPr/>
        <w:t>pemberi</w:t>
      </w:r>
      <w:r>
        <w:rPr>
          <w:spacing w:val="80"/>
          <w:w w:val="150"/>
        </w:rPr>
        <w:t> </w:t>
      </w:r>
      <w:r>
        <w:rPr/>
        <w:t>kerja</w:t>
      </w:r>
      <w:r>
        <w:rPr>
          <w:spacing w:val="80"/>
          <w:w w:val="150"/>
        </w:rPr>
        <w:t> </w:t>
      </w:r>
      <w:r>
        <w:rPr/>
        <w:t>(</w:t>
      </w:r>
      <w:r>
        <w:rPr>
          <w:i/>
        </w:rPr>
        <w:t>principal</w:t>
      </w:r>
      <w:r>
        <w:rPr/>
        <w:t>)</w:t>
      </w:r>
      <w:r>
        <w:rPr>
          <w:spacing w:val="80"/>
          <w:w w:val="150"/>
        </w:rPr>
        <w:t> </w:t>
      </w:r>
      <w:r>
        <w:rPr/>
        <w:t>yaitu</w:t>
      </w:r>
      <w:r>
        <w:rPr>
          <w:spacing w:val="80"/>
          <w:w w:val="150"/>
        </w:rPr>
        <w:t> </w:t>
      </w:r>
      <w:r>
        <w:rPr/>
        <w:t>para</w:t>
      </w:r>
    </w:p>
    <w:p>
      <w:pPr>
        <w:pStyle w:val="BodyText"/>
        <w:spacing w:after="0" w:line="480" w:lineRule="auto"/>
        <w:jc w:val="both"/>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BodyText"/>
        <w:spacing w:line="480" w:lineRule="auto"/>
        <w:ind w:left="1560" w:right="707"/>
        <w:jc w:val="both"/>
      </w:pPr>
      <w:r>
        <w:rPr/>
        <w:t>pemegang saham yang melibatkan orang (</w:t>
      </w:r>
      <w:r>
        <w:rPr>
          <w:i/>
        </w:rPr>
        <w:t>agent</w:t>
      </w:r>
      <w:r>
        <w:rPr/>
        <w:t>) yaitu manajemen untuk melakukan tugas (Richter, et al. 2020). Sebagai principal akan memfasilitasi dan memberikan dana untuk mengoperasikan</w:t>
      </w:r>
      <w:r>
        <w:rPr>
          <w:spacing w:val="-7"/>
        </w:rPr>
        <w:t> </w:t>
      </w:r>
      <w:r>
        <w:rPr/>
        <w:t>perusahaan,</w:t>
      </w:r>
      <w:r>
        <w:rPr>
          <w:spacing w:val="-7"/>
        </w:rPr>
        <w:t> </w:t>
      </w:r>
      <w:r>
        <w:rPr/>
        <w:t>sedangkan</w:t>
      </w:r>
      <w:r>
        <w:rPr>
          <w:spacing w:val="-7"/>
        </w:rPr>
        <w:t> </w:t>
      </w:r>
      <w:r>
        <w:rPr/>
        <w:t>agen</w:t>
      </w:r>
      <w:r>
        <w:rPr>
          <w:spacing w:val="-7"/>
        </w:rPr>
        <w:t> </w:t>
      </w:r>
      <w:r>
        <w:rPr/>
        <w:t>memiliki</w:t>
      </w:r>
      <w:r>
        <w:rPr>
          <w:spacing w:val="-7"/>
        </w:rPr>
        <w:t> </w:t>
      </w:r>
      <w:r>
        <w:rPr/>
        <w:t>kewajiban untuk mengelola apa yang ditugaskan oleh para pemegang</w:t>
      </w:r>
      <w:r>
        <w:rPr>
          <w:spacing w:val="40"/>
        </w:rPr>
        <w:t> </w:t>
      </w:r>
      <w:r>
        <w:rPr/>
        <w:t>saham kepadanya. Untuk tujuan kepentingan tersebut prinsipal akan</w:t>
      </w:r>
      <w:r>
        <w:rPr>
          <w:spacing w:val="-1"/>
        </w:rPr>
        <w:t> </w:t>
      </w:r>
      <w:r>
        <w:rPr/>
        <w:t>menerima</w:t>
      </w:r>
      <w:r>
        <w:rPr>
          <w:spacing w:val="-1"/>
        </w:rPr>
        <w:t> </w:t>
      </w:r>
      <w:r>
        <w:rPr/>
        <w:t>hasil</w:t>
      </w:r>
      <w:r>
        <w:rPr>
          <w:spacing w:val="-1"/>
        </w:rPr>
        <w:t> </w:t>
      </w:r>
      <w:r>
        <w:rPr/>
        <w:t>yaitu</w:t>
      </w:r>
      <w:r>
        <w:rPr>
          <w:spacing w:val="-1"/>
        </w:rPr>
        <w:t> </w:t>
      </w:r>
      <w:r>
        <w:rPr/>
        <w:t>pembagian</w:t>
      </w:r>
      <w:r>
        <w:rPr>
          <w:spacing w:val="-1"/>
        </w:rPr>
        <w:t> </w:t>
      </w:r>
      <w:r>
        <w:rPr/>
        <w:t>laba,</w:t>
      </w:r>
      <w:r>
        <w:rPr>
          <w:spacing w:val="-1"/>
        </w:rPr>
        <w:t> </w:t>
      </w:r>
      <w:r>
        <w:rPr/>
        <w:t>sedangkan</w:t>
      </w:r>
      <w:r>
        <w:rPr>
          <w:spacing w:val="-1"/>
        </w:rPr>
        <w:t> </w:t>
      </w:r>
      <w:r>
        <w:rPr/>
        <w:t>agen</w:t>
      </w:r>
      <w:r>
        <w:rPr>
          <w:spacing w:val="-1"/>
        </w:rPr>
        <w:t> </w:t>
      </w:r>
      <w:r>
        <w:rPr/>
        <w:t>akan menerima gaji, bonus, dan berbagai kompensasi lainnya.</w:t>
      </w:r>
    </w:p>
    <w:p>
      <w:pPr>
        <w:pStyle w:val="BodyText"/>
        <w:spacing w:line="480" w:lineRule="auto"/>
        <w:ind w:left="1560" w:right="708" w:firstLine="709"/>
        <w:jc w:val="both"/>
      </w:pPr>
      <w:r>
        <w:rPr/>
        <w:t>Teori keagenan dapat mendeskripsikan bagaimana keadaan para pihak dalam bisnis akan bertindak, seperti yang diketahui pada umumnya antara agent dan principal memiliki kepentingan/ tujuan yang berbeda sehingga dapat menimbulkan konflik keagenan (</w:t>
      </w:r>
      <w:r>
        <w:rPr>
          <w:i/>
        </w:rPr>
        <w:t>agent conflict</w:t>
      </w:r>
      <w:r>
        <w:rPr/>
        <w:t>) (Afrizal, 2018). Pemisahan kepemilikan dan kontrol bisnis menyebabkan konflik keagenan. Biaya keagenan, atau biaya pemantauan prinsipal, adalah hasil dari konflik kepentingan antara manajer dan investor.</w:t>
      </w:r>
    </w:p>
    <w:p>
      <w:pPr>
        <w:pStyle w:val="BodyText"/>
        <w:spacing w:line="480" w:lineRule="auto"/>
        <w:ind w:left="1789" w:right="708" w:firstLine="633"/>
        <w:jc w:val="both"/>
      </w:pPr>
      <w:r>
        <w:rPr/>
        <w:t>Perbedaan informasi antara pemilik dan agen membuat manajer dapat memanipulasi laporan keuangan tanpa sepengetahuan pemilik perusahaan, yang bisa memicu munculnya masalah keagenan. Pembagian antara kepemilikan dan kontrol perusahaan adalah penyebab konflik keagenan ini. yang berkaitan dengan penerapan prinsip konservatisme dalam laporan keuangan (Sumardi, et al. 2019).</w:t>
      </w:r>
    </w:p>
    <w:p>
      <w:pPr>
        <w:pStyle w:val="BodyText"/>
        <w:spacing w:after="0" w:line="480" w:lineRule="auto"/>
        <w:jc w:val="both"/>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Heading3"/>
        <w:numPr>
          <w:ilvl w:val="1"/>
          <w:numId w:val="8"/>
        </w:numPr>
        <w:tabs>
          <w:tab w:pos="1488" w:val="left" w:leader="none"/>
        </w:tabs>
        <w:spacing w:line="240" w:lineRule="auto" w:before="0" w:after="0"/>
        <w:ind w:left="1488" w:right="0" w:hanging="355"/>
        <w:jc w:val="left"/>
      </w:pPr>
      <w:bookmarkStart w:name="_bookmark16" w:id="17"/>
      <w:bookmarkEnd w:id="17"/>
      <w:r>
        <w:rPr>
          <w:i w:val="0"/>
          <w:spacing w:val="23"/>
        </w:rPr>
      </w:r>
      <w:r>
        <w:rPr/>
        <w:t>Environmental</w:t>
      </w:r>
      <w:r>
        <w:rPr>
          <w:i w:val="0"/>
        </w:rPr>
        <w:t>,</w:t>
      </w:r>
      <w:r>
        <w:rPr>
          <w:i w:val="0"/>
          <w:spacing w:val="-6"/>
        </w:rPr>
        <w:t> </w:t>
      </w:r>
      <w:r>
        <w:rPr/>
        <w:t>Social</w:t>
      </w:r>
      <w:r>
        <w:rPr>
          <w:i w:val="0"/>
        </w:rPr>
        <w:t>,</w:t>
      </w:r>
      <w:r>
        <w:rPr>
          <w:i w:val="0"/>
          <w:spacing w:val="-4"/>
        </w:rPr>
        <w:t> </w:t>
      </w:r>
      <w:r>
        <w:rPr/>
        <w:t>Governance</w:t>
      </w:r>
      <w:r>
        <w:rPr>
          <w:spacing w:val="-4"/>
        </w:rPr>
        <w:t> </w:t>
      </w:r>
      <w:r>
        <w:rPr>
          <w:i w:val="0"/>
        </w:rPr>
        <w:t>(ESG)</w:t>
      </w:r>
      <w:r>
        <w:rPr>
          <w:i w:val="0"/>
          <w:spacing w:val="-3"/>
        </w:rPr>
        <w:t> </w:t>
      </w:r>
      <w:r>
        <w:rPr>
          <w:spacing w:val="-2"/>
        </w:rPr>
        <w:t>Disclosure</w:t>
      </w:r>
    </w:p>
    <w:p>
      <w:pPr>
        <w:pStyle w:val="BodyText"/>
        <w:rPr>
          <w:b/>
          <w:i/>
        </w:rPr>
      </w:pPr>
    </w:p>
    <w:p>
      <w:pPr>
        <w:pStyle w:val="BodyText"/>
        <w:spacing w:line="480" w:lineRule="auto"/>
        <w:ind w:left="1559" w:right="708" w:firstLine="709"/>
        <w:jc w:val="both"/>
      </w:pPr>
      <w:r>
        <w:rPr/>
        <w:t>Menurut </w:t>
      </w:r>
      <w:r>
        <w:rPr>
          <w:i/>
        </w:rPr>
        <w:t>World Commission on Environment and Development </w:t>
      </w:r>
      <w:r>
        <w:rPr/>
        <w:t>(WCED, 1987), Pembangunan yang memenuhi kebutuhan saat ini tanpa membahayakan kapasitas generasi mendatang dikenal sebagai pembangunan berkelanjutan. untuk memenuhi kebutuhan mereka sendiri (Liu, et al. 2023). Keberlanjutan mencakup kinerja perusahaan dalam aspek ekonomi, lingkungan, dan sosial serta memastikan kesetaraan secara berkelanjutan (Damayanti &amp; Syarifuddin, 2020). Motivasi lain untuk praktik keberlanjutan datang dari tekanan stakeholder perusahaan, investor, pelanggan, dan regulator. Kinerja berkelanjutan menjadi salah satu tantangan utama bagi perusahaan dalam lingkungan persaingan saat ini. Pengukuran kinerja berkelanjutan secara rutin dapat menunjukkan interaksi antara sistem bisnis, masyarakat, dan lingkungan, sehingga dapat menilai apakah perusahaan memiliki dampak positif dan sejalan dengan tujuan pembangunan berkelanjutan (Taufiq, 2022).</w:t>
      </w:r>
    </w:p>
    <w:p>
      <w:pPr>
        <w:pStyle w:val="BodyText"/>
        <w:spacing w:line="480" w:lineRule="auto"/>
        <w:ind w:left="1559" w:right="707" w:firstLine="709"/>
        <w:jc w:val="both"/>
      </w:pPr>
      <w:r>
        <w:rPr/>
        <w:t>Beberapa tahun terakhir, muncul tren baru di mana investor mempertimbangkan faktor lingkungan, sosial, dan tata kelola perusahaan dengan menggunakan skor </w:t>
      </w:r>
      <w:r>
        <w:rPr>
          <w:i/>
        </w:rPr>
        <w:t>environmental</w:t>
      </w:r>
      <w:r>
        <w:rPr/>
        <w:t>, </w:t>
      </w:r>
      <w:r>
        <w:rPr>
          <w:i/>
        </w:rPr>
        <w:t>social</w:t>
      </w:r>
      <w:r>
        <w:rPr/>
        <w:t>,</w:t>
      </w:r>
      <w:r>
        <w:rPr>
          <w:spacing w:val="40"/>
        </w:rPr>
        <w:t> </w:t>
      </w:r>
      <w:r>
        <w:rPr>
          <w:i/>
        </w:rPr>
        <w:t>and governance </w:t>
      </w:r>
      <w:r>
        <w:rPr/>
        <w:t>(ESG). Menurut Oehoedoe, Minanurohman &amp; Fitriani, (2023) pengungkapan informasi mengenai aktivitas ekonomi,</w:t>
      </w:r>
      <w:r>
        <w:rPr>
          <w:spacing w:val="40"/>
        </w:rPr>
        <w:t> </w:t>
      </w:r>
      <w:r>
        <w:rPr/>
        <w:t>lingkungan,</w:t>
      </w:r>
      <w:r>
        <w:rPr>
          <w:spacing w:val="40"/>
        </w:rPr>
        <w:t> </w:t>
      </w:r>
      <w:r>
        <w:rPr/>
        <w:t>dan</w:t>
      </w:r>
      <w:r>
        <w:rPr>
          <w:spacing w:val="40"/>
        </w:rPr>
        <w:t> </w:t>
      </w:r>
      <w:r>
        <w:rPr/>
        <w:t>tata</w:t>
      </w:r>
      <w:r>
        <w:rPr>
          <w:spacing w:val="40"/>
        </w:rPr>
        <w:t> </w:t>
      </w:r>
      <w:r>
        <w:rPr/>
        <w:t>kelola</w:t>
      </w:r>
      <w:r>
        <w:rPr>
          <w:spacing w:val="40"/>
        </w:rPr>
        <w:t> </w:t>
      </w:r>
      <w:r>
        <w:rPr/>
        <w:t>perusahaan</w:t>
      </w:r>
      <w:r>
        <w:rPr>
          <w:spacing w:val="40"/>
        </w:rPr>
        <w:t> </w:t>
      </w:r>
      <w:r>
        <w:rPr/>
        <w:t>memberikan</w:t>
      </w:r>
    </w:p>
    <w:p>
      <w:pPr>
        <w:pStyle w:val="BodyText"/>
        <w:spacing w:after="0" w:line="480" w:lineRule="auto"/>
        <w:jc w:val="both"/>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BodyText"/>
        <w:spacing w:line="480" w:lineRule="auto"/>
        <w:ind w:left="1559" w:right="708"/>
        <w:jc w:val="both"/>
      </w:pPr>
      <w:r>
        <w:rPr/>
        <w:t>sinyal positif kepada investor dan stakeholder, menunjukkan kinerja keberlanjutan perusahaan. ESG adalah sistem yang digunakan oleh pasar modal untuk mengevaluasi kinerja non- keuangan perusahaan, seperti kinerja lingkungan, sosial, dan tata kelola (Seow and Loo, 2023). Kinerja lingkungan mendiskusikan bagaimana bisnis mempengaruhi ekosistem, tanah, udara, dan</w:t>
      </w:r>
      <w:r>
        <w:rPr>
          <w:spacing w:val="40"/>
        </w:rPr>
        <w:t> </w:t>
      </w:r>
      <w:r>
        <w:rPr/>
        <w:t>air, serta makhluk hidup. Kinerja sosial mencakup kegiatan sosial perusahaan dan cara pelaksanaannya, yang terbagi dalam tiga subkategori: masyarakat, hak asasi manusia, dan tanggung jawab produk. Tata kelola dinilai dari dampak ekonomi perusahaan pada stakeholder dan sistem ekonomi lokal, nasional, dan global (Apriono, et al. 2023).</w:t>
      </w:r>
    </w:p>
    <w:p>
      <w:pPr>
        <w:pStyle w:val="BodyText"/>
        <w:spacing w:line="480" w:lineRule="auto"/>
        <w:ind w:left="1559" w:right="708" w:firstLine="709"/>
        <w:jc w:val="both"/>
      </w:pPr>
      <w:r>
        <w:rPr/>
        <w:t>ESG merupakan konsep yang relatif baru, sehingga perusahaan cenderung menghadapi tantangan dalam melakukan pengungkapan yang optimal. Selain itu, para pengguna informasi keuangan membutuhkan waktu untuk memproses dan memahami informasi ESG agar dapat menjadikannya dasar dalam pengambilan keputusan yang efektif. Menurut Mamun, et al. (2022),</w:t>
      </w:r>
      <w:r>
        <w:rPr>
          <w:spacing w:val="-1"/>
        </w:rPr>
        <w:t> </w:t>
      </w:r>
      <w:r>
        <w:rPr/>
        <w:t>indikator</w:t>
      </w:r>
      <w:r>
        <w:rPr>
          <w:spacing w:val="-1"/>
        </w:rPr>
        <w:t> </w:t>
      </w:r>
      <w:r>
        <w:rPr/>
        <w:t>ESG</w:t>
      </w:r>
      <w:r>
        <w:rPr>
          <w:spacing w:val="-1"/>
        </w:rPr>
        <w:t> </w:t>
      </w:r>
      <w:r>
        <w:rPr/>
        <w:t>bertujuan</w:t>
      </w:r>
      <w:r>
        <w:rPr>
          <w:spacing w:val="-1"/>
        </w:rPr>
        <w:t> </w:t>
      </w:r>
      <w:r>
        <w:rPr/>
        <w:t>untuk</w:t>
      </w:r>
      <w:r>
        <w:rPr>
          <w:spacing w:val="-1"/>
        </w:rPr>
        <w:t> </w:t>
      </w:r>
      <w:r>
        <w:rPr/>
        <w:t>memberikan</w:t>
      </w:r>
      <w:r>
        <w:rPr>
          <w:spacing w:val="-1"/>
        </w:rPr>
        <w:t> </w:t>
      </w:r>
      <w:r>
        <w:rPr/>
        <w:t>wawasan</w:t>
      </w:r>
      <w:r>
        <w:rPr>
          <w:spacing w:val="-1"/>
        </w:rPr>
        <w:t> </w:t>
      </w:r>
      <w:r>
        <w:rPr/>
        <w:t>lebih lanjut mengenai kinerja perusahaan yang tidak tercermin dalam laporan keuangan konvensional. Pengungkapan ini berperan penting dalam membangun dan menjaga hubungan yang baik dengan</w:t>
      </w:r>
      <w:r>
        <w:rPr>
          <w:spacing w:val="40"/>
        </w:rPr>
        <w:t> </w:t>
      </w:r>
      <w:r>
        <w:rPr/>
        <w:t>berbagai</w:t>
      </w:r>
      <w:r>
        <w:rPr>
          <w:spacing w:val="40"/>
        </w:rPr>
        <w:t> </w:t>
      </w:r>
      <w:r>
        <w:rPr/>
        <w:t>pemangku</w:t>
      </w:r>
      <w:r>
        <w:rPr>
          <w:spacing w:val="40"/>
        </w:rPr>
        <w:t> </w:t>
      </w:r>
      <w:r>
        <w:rPr/>
        <w:t>kepentingan.</w:t>
      </w:r>
      <w:r>
        <w:rPr>
          <w:spacing w:val="40"/>
        </w:rPr>
        <w:t> </w:t>
      </w:r>
      <w:r>
        <w:rPr/>
        <w:t>Melalui</w:t>
      </w:r>
      <w:r>
        <w:rPr>
          <w:spacing w:val="40"/>
        </w:rPr>
        <w:t> </w:t>
      </w:r>
      <w:r>
        <w:rPr/>
        <w:t>transparansi</w:t>
      </w:r>
    </w:p>
    <w:p>
      <w:pPr>
        <w:pStyle w:val="BodyText"/>
        <w:spacing w:after="0" w:line="480" w:lineRule="auto"/>
        <w:jc w:val="both"/>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BodyText"/>
        <w:spacing w:line="480" w:lineRule="auto"/>
        <w:ind w:left="1559" w:right="708"/>
        <w:jc w:val="both"/>
      </w:pPr>
      <w:r>
        <w:rPr/>
        <w:t>yang ditawarkan oleh pengungkapan ESG, para pemangku kepentingan, termasuk investor, dapat membuat keputusan yang lebih terinformasi mengenai dampak keberlanjutan perusahaan terhadap</w:t>
      </w:r>
      <w:r>
        <w:rPr>
          <w:spacing w:val="-1"/>
        </w:rPr>
        <w:t> </w:t>
      </w:r>
      <w:r>
        <w:rPr/>
        <w:t>kinerja</w:t>
      </w:r>
      <w:r>
        <w:rPr>
          <w:spacing w:val="-1"/>
        </w:rPr>
        <w:t> </w:t>
      </w:r>
      <w:r>
        <w:rPr/>
        <w:t>dan</w:t>
      </w:r>
      <w:r>
        <w:rPr>
          <w:spacing w:val="-1"/>
        </w:rPr>
        <w:t> </w:t>
      </w:r>
      <w:r>
        <w:rPr/>
        <w:t>nilai</w:t>
      </w:r>
      <w:r>
        <w:rPr>
          <w:spacing w:val="-1"/>
        </w:rPr>
        <w:t> </w:t>
      </w:r>
      <w:r>
        <w:rPr/>
        <w:t>jangka</w:t>
      </w:r>
      <w:r>
        <w:rPr>
          <w:spacing w:val="-1"/>
        </w:rPr>
        <w:t> </w:t>
      </w:r>
      <w:r>
        <w:rPr/>
        <w:t>panjang</w:t>
      </w:r>
      <w:r>
        <w:rPr>
          <w:spacing w:val="-1"/>
        </w:rPr>
        <w:t> </w:t>
      </w:r>
      <w:r>
        <w:rPr/>
        <w:t>(Widyastuti</w:t>
      </w:r>
      <w:r>
        <w:rPr>
          <w:spacing w:val="-1"/>
        </w:rPr>
        <w:t> </w:t>
      </w:r>
      <w:r>
        <w:rPr/>
        <w:t>&amp;</w:t>
      </w:r>
      <w:r>
        <w:rPr>
          <w:spacing w:val="-1"/>
        </w:rPr>
        <w:t> </w:t>
      </w:r>
      <w:r>
        <w:rPr/>
        <w:t>Ratnawati, </w:t>
      </w:r>
      <w:r>
        <w:rPr>
          <w:spacing w:val="-2"/>
        </w:rPr>
        <w:t>2021).</w:t>
      </w:r>
    </w:p>
    <w:p>
      <w:pPr>
        <w:pStyle w:val="BodyText"/>
        <w:spacing w:line="480" w:lineRule="auto"/>
        <w:ind w:left="1559" w:right="707" w:firstLine="709"/>
        <w:jc w:val="both"/>
      </w:pPr>
      <w:r>
        <w:rPr/>
        <w:t>Menurut Setiani (2023), pengungkapan </w:t>
      </w:r>
      <w:r>
        <w:rPr>
          <w:i/>
        </w:rPr>
        <w:t>Environmental Social Governance </w:t>
      </w:r>
      <w:r>
        <w:rPr/>
        <w:t>(ESG) merupakan pendekatan baru dalam mengukur dan menyampaikan informasi sukarela perusahaan. Sebelumnya, perusahaan hanya melakukan pelaporan CSR yang terpisah dalam laporan tahunan, diikuti dengan pelaporan keberlanjutan, yang kemudian berkembang menjadi pelaporan terintegrasi. Berdasarkan panduan indeks ESG yang dipublikasikan di </w:t>
      </w:r>
      <w:hyperlink r:id="rId28">
        <w:r>
          <w:rPr/>
          <w:t>www.idx.co.id.</w:t>
        </w:r>
      </w:hyperlink>
      <w:r>
        <w:rPr>
          <w:spacing w:val="40"/>
        </w:rPr>
        <w:t> </w:t>
      </w:r>
      <w:r>
        <w:rPr/>
        <w:t>Penilaian nilai ESG saham berfokus pada evaluasi kinerja berkelanjutan yang mencakup tiga aspek utama, yaitu </w:t>
      </w:r>
      <w:r>
        <w:rPr>
          <w:i/>
        </w:rPr>
        <w:t>Environmental </w:t>
      </w:r>
      <w:r>
        <w:rPr/>
        <w:t>(Lingkungan), </w:t>
      </w:r>
      <w:r>
        <w:rPr>
          <w:i/>
        </w:rPr>
        <w:t>Social </w:t>
      </w:r>
      <w:r>
        <w:rPr/>
        <w:t>(Sosial), dan </w:t>
      </w:r>
      <w:r>
        <w:rPr>
          <w:i/>
        </w:rPr>
        <w:t>Governance </w:t>
      </w:r>
      <w:r>
        <w:rPr/>
        <w:t>(Tata Kelola).</w:t>
      </w:r>
    </w:p>
    <w:p>
      <w:pPr>
        <w:pStyle w:val="BodyText"/>
        <w:spacing w:line="480" w:lineRule="auto"/>
        <w:ind w:left="1559" w:right="708" w:firstLine="709"/>
        <w:jc w:val="both"/>
      </w:pPr>
      <w:r>
        <w:rPr/>
        <w:t>Pengungkapan informasi mengenai kinerja ESG telah menjadi indikator kunci dalam evaluasi perusahaan. Dapat memberikan wawasan tentang bagaimana perusahaan bisa meningkatkan kinerja keberlanjutan mereka, serta memanfaatkan pengungkapan ESG sebagai alat untuk menarik minat investor</w:t>
      </w:r>
      <w:r>
        <w:rPr>
          <w:spacing w:val="40"/>
        </w:rPr>
        <w:t> </w:t>
      </w:r>
      <w:r>
        <w:rPr/>
        <w:t>dan membangun reputasi yang baik di mata publik. Selain itu juga bertujuan</w:t>
      </w:r>
      <w:r>
        <w:rPr>
          <w:spacing w:val="80"/>
        </w:rPr>
        <w:t> </w:t>
      </w:r>
      <w:r>
        <w:rPr/>
        <w:t>untuk</w:t>
      </w:r>
      <w:r>
        <w:rPr>
          <w:spacing w:val="80"/>
        </w:rPr>
        <w:t> </w:t>
      </w:r>
      <w:r>
        <w:rPr/>
        <w:t>mengeksplorasi</w:t>
      </w:r>
      <w:r>
        <w:rPr>
          <w:spacing w:val="80"/>
        </w:rPr>
        <w:t> </w:t>
      </w:r>
      <w:r>
        <w:rPr/>
        <w:t>interaksi</w:t>
      </w:r>
      <w:r>
        <w:rPr>
          <w:spacing w:val="80"/>
        </w:rPr>
        <w:t> </w:t>
      </w:r>
      <w:r>
        <w:rPr/>
        <w:t>antara</w:t>
      </w:r>
      <w:r>
        <w:rPr>
          <w:spacing w:val="80"/>
        </w:rPr>
        <w:t> </w:t>
      </w:r>
      <w:r>
        <w:rPr/>
        <w:t>praktik</w:t>
      </w:r>
      <w:r>
        <w:rPr>
          <w:spacing w:val="80"/>
        </w:rPr>
        <w:t> </w:t>
      </w:r>
      <w:r>
        <w:rPr/>
        <w:t>bisnis</w:t>
      </w:r>
    </w:p>
    <w:p>
      <w:pPr>
        <w:pStyle w:val="BodyText"/>
        <w:spacing w:after="0" w:line="480" w:lineRule="auto"/>
        <w:jc w:val="both"/>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BodyText"/>
        <w:spacing w:line="480" w:lineRule="auto"/>
        <w:ind w:left="1559" w:right="708"/>
        <w:jc w:val="both"/>
      </w:pPr>
      <w:r>
        <w:rPr/>
        <w:t>yang berkelanjutan dan dampaknya terhadap komunitas serta lingkungan, sehingga dapat memberikan panduan bagi perusahaan dalam menjalankan tanggung jawab sosial mereka secara efektif. Dengan memahami hubungan yang kompleks antara aspek lingkungan, sosial, dan tata kelola, perusahaan</w:t>
      </w:r>
      <w:r>
        <w:rPr>
          <w:spacing w:val="40"/>
        </w:rPr>
        <w:t> </w:t>
      </w:r>
      <w:r>
        <w:rPr/>
        <w:t>dapat beradaptasi dengan tuntutan pasar yang terus berubah dan berkontribusi secara positif terhadap pencapaian tujuan pembangunan berkelanjutan, yang pada gilirannya akan mendukung keberlanjutan ekonomi jangka panjang dan kesejahteraan masyarakat secara keseluruhan. Komponen aspek environment, social, governance menurut (Putri &amp; Pramesti, 2024) yaitu sebagai berikut :</w:t>
      </w:r>
    </w:p>
    <w:p>
      <w:pPr>
        <w:pStyle w:val="ListParagraph"/>
        <w:numPr>
          <w:ilvl w:val="2"/>
          <w:numId w:val="8"/>
        </w:numPr>
        <w:tabs>
          <w:tab w:pos="2407" w:val="left" w:leader="none"/>
        </w:tabs>
        <w:spacing w:line="240" w:lineRule="auto" w:before="0" w:after="0"/>
        <w:ind w:left="2407" w:right="0" w:hanging="358"/>
        <w:jc w:val="both"/>
        <w:rPr>
          <w:sz w:val="24"/>
        </w:rPr>
      </w:pPr>
      <w:r>
        <w:rPr>
          <w:i/>
          <w:sz w:val="24"/>
        </w:rPr>
        <w:t>Environment</w:t>
      </w:r>
      <w:r>
        <w:rPr>
          <w:i/>
          <w:spacing w:val="-8"/>
          <w:sz w:val="24"/>
        </w:rPr>
        <w:t> </w:t>
      </w:r>
      <w:r>
        <w:rPr>
          <w:spacing w:val="-2"/>
          <w:sz w:val="24"/>
        </w:rPr>
        <w:t>(Lingkungan)</w:t>
      </w:r>
    </w:p>
    <w:p>
      <w:pPr>
        <w:pStyle w:val="BodyText"/>
      </w:pPr>
    </w:p>
    <w:p>
      <w:pPr>
        <w:pStyle w:val="BodyText"/>
        <w:spacing w:line="480" w:lineRule="auto"/>
        <w:ind w:left="2409" w:right="708"/>
        <w:jc w:val="both"/>
      </w:pPr>
      <w:r>
        <w:rPr/>
        <w:t>Lingkungan dalam ESG melihat bagaimana perusahaan mempengaruhi bumi dan sumber daya alam. Hal tersebut mencakup berbagai isu mulai dari pengelolaan emisi gas rumah kaca, efisiensi penggunaan energi dan air, hingga manajemen limbah dan pemanfaatan bahan baku. Perusahaan yang memperhatikan aspek lingkungan akan mengembangkan kebijakan-kebijakan proaktif seperti penggunaan energi terbarukan, meminimalisir limbah, serta</w:t>
      </w:r>
      <w:r>
        <w:rPr>
          <w:spacing w:val="75"/>
          <w:w w:val="150"/>
        </w:rPr>
        <w:t> </w:t>
      </w:r>
      <w:r>
        <w:rPr/>
        <w:t>mengurangi</w:t>
      </w:r>
      <w:r>
        <w:rPr>
          <w:spacing w:val="76"/>
          <w:w w:val="150"/>
        </w:rPr>
        <w:t> </w:t>
      </w:r>
      <w:r>
        <w:rPr/>
        <w:t>jejak</w:t>
      </w:r>
      <w:r>
        <w:rPr>
          <w:spacing w:val="76"/>
          <w:w w:val="150"/>
        </w:rPr>
        <w:t> </w:t>
      </w:r>
      <w:r>
        <w:rPr/>
        <w:t>karbon</w:t>
      </w:r>
      <w:r>
        <w:rPr>
          <w:spacing w:val="76"/>
          <w:w w:val="150"/>
        </w:rPr>
        <w:t> </w:t>
      </w:r>
      <w:r>
        <w:rPr/>
        <w:t>mereka.</w:t>
      </w:r>
      <w:r>
        <w:rPr>
          <w:spacing w:val="76"/>
          <w:w w:val="150"/>
        </w:rPr>
        <w:t> </w:t>
      </w:r>
      <w:r>
        <w:rPr/>
        <w:t>Mereka</w:t>
      </w:r>
      <w:r>
        <w:rPr>
          <w:spacing w:val="75"/>
          <w:w w:val="150"/>
        </w:rPr>
        <w:t> </w:t>
      </w:r>
      <w:r>
        <w:rPr>
          <w:spacing w:val="-4"/>
        </w:rPr>
        <w:t>juga</w:t>
      </w:r>
    </w:p>
    <w:p>
      <w:pPr>
        <w:pStyle w:val="BodyText"/>
        <w:spacing w:after="0" w:line="480" w:lineRule="auto"/>
        <w:jc w:val="both"/>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BodyText"/>
        <w:spacing w:line="480" w:lineRule="auto"/>
        <w:ind w:left="2409" w:right="708"/>
        <w:jc w:val="both"/>
      </w:pPr>
      <w:r>
        <w:rPr/>
        <w:t>berfokus pada adaptasi terhadap perubahan iklim dan berkontribusi pada upaya global untuk melestarikan alam.</w:t>
      </w:r>
    </w:p>
    <w:p>
      <w:pPr>
        <w:pStyle w:val="ListParagraph"/>
        <w:numPr>
          <w:ilvl w:val="2"/>
          <w:numId w:val="8"/>
        </w:numPr>
        <w:tabs>
          <w:tab w:pos="2407" w:val="left" w:leader="none"/>
        </w:tabs>
        <w:spacing w:line="240" w:lineRule="auto" w:before="0" w:after="0"/>
        <w:ind w:left="2407" w:right="0" w:hanging="358"/>
        <w:jc w:val="left"/>
        <w:rPr>
          <w:sz w:val="24"/>
        </w:rPr>
      </w:pPr>
      <w:r>
        <w:rPr>
          <w:i/>
          <w:sz w:val="24"/>
        </w:rPr>
        <w:t>Social</w:t>
      </w:r>
      <w:r>
        <w:rPr>
          <w:i/>
          <w:spacing w:val="-6"/>
          <w:sz w:val="24"/>
        </w:rPr>
        <w:t> </w:t>
      </w:r>
      <w:r>
        <w:rPr>
          <w:spacing w:val="-2"/>
          <w:sz w:val="24"/>
        </w:rPr>
        <w:t>(Sosial)</w:t>
      </w:r>
    </w:p>
    <w:p>
      <w:pPr>
        <w:pStyle w:val="BodyText"/>
      </w:pPr>
    </w:p>
    <w:p>
      <w:pPr>
        <w:pStyle w:val="BodyText"/>
        <w:spacing w:line="480" w:lineRule="auto"/>
        <w:ind w:left="2409" w:right="708"/>
        <w:jc w:val="both"/>
      </w:pPr>
      <w:r>
        <w:rPr/>
        <w:t>Sosial mengukur bagaimana perusahaan memperlakukan orang-orang, baik di dalam maupun di luar organisasinya. Ini mencakup perlindungan terhadap hak asasi manusia, memperjuangkan kesetaraan gender dan ras, menjaga kesehatan dan keselamatan kerja, serta memastikan bahwa kebijakan tenaga kerja adil dan inklusif. Hubungan dengan komunitas dan kontribusi perusahaan terhadap pengembangan sosial di sekitar operasinya juga merupakan bagian penting dari aspek sosial. Perusahaan yang berhasil di aspek sosial sering kali membangun budaya inklusif yang memprioritaskan kesejahteraan karyawan, menyediakan lingkungan kerja yang aman, dan berkontribusi secara aktif terhadap masyarakat sekitar.</w:t>
      </w:r>
    </w:p>
    <w:p>
      <w:pPr>
        <w:pStyle w:val="BodyText"/>
      </w:pPr>
    </w:p>
    <w:p>
      <w:pPr>
        <w:pStyle w:val="BodyText"/>
      </w:pPr>
    </w:p>
    <w:p>
      <w:pPr>
        <w:pStyle w:val="BodyText"/>
      </w:pPr>
    </w:p>
    <w:p>
      <w:pPr>
        <w:pStyle w:val="BodyText"/>
      </w:pPr>
    </w:p>
    <w:p>
      <w:pPr>
        <w:pStyle w:val="ListParagraph"/>
        <w:numPr>
          <w:ilvl w:val="2"/>
          <w:numId w:val="8"/>
        </w:numPr>
        <w:tabs>
          <w:tab w:pos="2407" w:val="left" w:leader="none"/>
        </w:tabs>
        <w:spacing w:line="240" w:lineRule="auto" w:before="0" w:after="0"/>
        <w:ind w:left="2407" w:right="0" w:hanging="358"/>
        <w:jc w:val="left"/>
        <w:rPr>
          <w:sz w:val="24"/>
        </w:rPr>
      </w:pPr>
      <w:r>
        <w:rPr>
          <w:i/>
          <w:sz w:val="24"/>
        </w:rPr>
        <w:t>Governance</w:t>
      </w:r>
      <w:r>
        <w:rPr>
          <w:i/>
          <w:spacing w:val="-6"/>
          <w:sz w:val="24"/>
        </w:rPr>
        <w:t> </w:t>
      </w:r>
      <w:r>
        <w:rPr>
          <w:sz w:val="24"/>
        </w:rPr>
        <w:t>(Tata</w:t>
      </w:r>
      <w:r>
        <w:rPr>
          <w:spacing w:val="-6"/>
          <w:sz w:val="24"/>
        </w:rPr>
        <w:t> </w:t>
      </w:r>
      <w:r>
        <w:rPr>
          <w:spacing w:val="-2"/>
          <w:sz w:val="24"/>
        </w:rPr>
        <w:t>Kelola)</w:t>
      </w:r>
    </w:p>
    <w:p>
      <w:pPr>
        <w:pStyle w:val="BodyText"/>
      </w:pPr>
    </w:p>
    <w:p>
      <w:pPr>
        <w:pStyle w:val="BodyText"/>
        <w:spacing w:line="480" w:lineRule="auto"/>
        <w:ind w:left="2409" w:right="709"/>
        <w:jc w:val="both"/>
      </w:pPr>
      <w:r>
        <w:rPr/>
        <w:t>Tata kelola berkaitan dengan cara perusahaan dikelola, dijalankan, dan diatur. Ini mencakup transparansi dalam pengambilan keputusan, akuntabilitas, serta kepatuhan terhadap</w:t>
      </w:r>
      <w:r>
        <w:rPr>
          <w:spacing w:val="51"/>
        </w:rPr>
        <w:t>  </w:t>
      </w:r>
      <w:r>
        <w:rPr/>
        <w:t>hukum</w:t>
      </w:r>
      <w:r>
        <w:rPr>
          <w:spacing w:val="51"/>
        </w:rPr>
        <w:t>  </w:t>
      </w:r>
      <w:r>
        <w:rPr/>
        <w:t>dan</w:t>
      </w:r>
      <w:r>
        <w:rPr>
          <w:spacing w:val="51"/>
        </w:rPr>
        <w:t>  </w:t>
      </w:r>
      <w:r>
        <w:rPr/>
        <w:t>peraturan.</w:t>
      </w:r>
      <w:r>
        <w:rPr>
          <w:spacing w:val="51"/>
        </w:rPr>
        <w:t>  </w:t>
      </w:r>
      <w:r>
        <w:rPr/>
        <w:t>Dalam</w:t>
      </w:r>
      <w:r>
        <w:rPr>
          <w:spacing w:val="51"/>
        </w:rPr>
        <w:t>  </w:t>
      </w:r>
      <w:r>
        <w:rPr/>
        <w:t>aspek</w:t>
      </w:r>
      <w:r>
        <w:rPr>
          <w:spacing w:val="51"/>
        </w:rPr>
        <w:t>  </w:t>
      </w:r>
      <w:r>
        <w:rPr>
          <w:spacing w:val="-4"/>
        </w:rPr>
        <w:t>ini,</w:t>
      </w:r>
    </w:p>
    <w:p>
      <w:pPr>
        <w:pStyle w:val="BodyText"/>
        <w:spacing w:after="0" w:line="480" w:lineRule="auto"/>
        <w:jc w:val="both"/>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BodyText"/>
        <w:spacing w:line="480" w:lineRule="auto"/>
        <w:ind w:left="2409" w:right="707"/>
        <w:jc w:val="both"/>
      </w:pPr>
      <w:r>
        <w:rPr/>
        <w:t>perusahaan dinilai berdasarkan struktur dewan direksi, kebijakan anti-korupsi, kepatuhan terhadap etika bisnis, serta manajemen risiko. Perusahaan dengan tata kelola yang baik akan memiliki dewan yang beragam dan independen, serta menjalankan prosedur yang memastikan adanya akuntabilitas penuh dalam operasi mereka. Tata kelola yang kuat membantu perusahaan menghindari konflik kepentingan, memastikan adanya transparansi dalam pelaporan, serta menjaga</w:t>
      </w:r>
      <w:r>
        <w:rPr>
          <w:spacing w:val="40"/>
        </w:rPr>
        <w:t> </w:t>
      </w:r>
      <w:r>
        <w:rPr/>
        <w:t>kepercayaan investor dan stakeholder lainnya.</w:t>
      </w:r>
    </w:p>
    <w:p>
      <w:pPr>
        <w:pStyle w:val="BodyText"/>
        <w:spacing w:line="480" w:lineRule="auto"/>
        <w:ind w:left="1559" w:right="707" w:firstLine="709"/>
        <w:jc w:val="both"/>
      </w:pPr>
      <w:r>
        <w:rPr/>
        <w:t>Menurut</w:t>
      </w:r>
      <w:r>
        <w:rPr>
          <w:spacing w:val="40"/>
        </w:rPr>
        <w:t> </w:t>
      </w:r>
      <w:r>
        <w:rPr/>
        <w:t>Ghazali &amp; Zulmaita (2020) pengungkapan ESG </w:t>
      </w:r>
      <w:r>
        <w:rPr>
          <w:i/>
        </w:rPr>
        <w:t>(Environmental, Social, and Governance) </w:t>
      </w:r>
      <w:r>
        <w:rPr/>
        <w:t>merupakan alat pengukuran dalam perkembangan pengungkapan informasi mengenai dampak dari praktik lingkungan, sosial, dan tata kelola yang dilakukan oleh perusahaan. Informasi non-finansial ini menjadi indikator penting dalam menilai dan mengevaluasi kinerja perusahaan selama aktivitas operasionalnya, serta dampak yang dihasilkannya terhadap ketiga kriteria tersebut. Pengungkapan ESG</w:t>
      </w:r>
      <w:r>
        <w:rPr>
          <w:spacing w:val="-1"/>
        </w:rPr>
        <w:t> </w:t>
      </w:r>
      <w:r>
        <w:rPr/>
        <w:t>dapat</w:t>
      </w:r>
      <w:r>
        <w:rPr>
          <w:spacing w:val="-1"/>
        </w:rPr>
        <w:t> </w:t>
      </w:r>
      <w:r>
        <w:rPr/>
        <w:t>diukur</w:t>
      </w:r>
      <w:r>
        <w:rPr>
          <w:spacing w:val="-1"/>
        </w:rPr>
        <w:t> </w:t>
      </w:r>
      <w:r>
        <w:rPr/>
        <w:t>menggunakan</w:t>
      </w:r>
      <w:r>
        <w:rPr>
          <w:spacing w:val="-1"/>
        </w:rPr>
        <w:t> </w:t>
      </w:r>
      <w:r>
        <w:rPr/>
        <w:t>GRI</w:t>
      </w:r>
      <w:r>
        <w:rPr>
          <w:spacing w:val="-1"/>
        </w:rPr>
        <w:t> </w:t>
      </w:r>
      <w:r>
        <w:rPr>
          <w:i/>
        </w:rPr>
        <w:t>Standards,</w:t>
      </w:r>
      <w:r>
        <w:rPr>
          <w:i/>
          <w:spacing w:val="-1"/>
        </w:rPr>
        <w:t> </w:t>
      </w:r>
      <w:r>
        <w:rPr/>
        <w:t>yang</w:t>
      </w:r>
      <w:r>
        <w:rPr>
          <w:spacing w:val="-1"/>
        </w:rPr>
        <w:t> </w:t>
      </w:r>
      <w:r>
        <w:rPr/>
        <w:t>merupakan praktik terbaik yang dikembangkan oleh </w:t>
      </w:r>
      <w:r>
        <w:rPr>
          <w:i/>
        </w:rPr>
        <w:t>Global Reporting Initiative </w:t>
      </w:r>
      <w:r>
        <w:rPr/>
        <w:t>(GRI). GRI menyediakan kerangka kerja pelaporan dampak ekonomi, lingkungan, dan sosial kepada publik melalui standar yang diakui secara global </w:t>
      </w:r>
      <w:r>
        <w:rPr>
          <w:i/>
        </w:rPr>
        <w:t>(Global Reporting Initiative, 2016)</w:t>
      </w:r>
      <w:r>
        <w:rPr/>
        <w:t>. Pada</w:t>
      </w:r>
    </w:p>
    <w:p>
      <w:pPr>
        <w:pStyle w:val="BodyText"/>
        <w:spacing w:after="0" w:line="480" w:lineRule="auto"/>
        <w:jc w:val="both"/>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BodyText"/>
        <w:spacing w:line="480" w:lineRule="auto"/>
        <w:ind w:left="1559" w:right="707"/>
        <w:jc w:val="both"/>
      </w:pPr>
      <w:r>
        <w:rPr/>
        <w:t>pendekatan pengungkapan ESG, perusahaan dapat menggunakan GRI sebesar 300 untuk topik </w:t>
      </w:r>
      <w:r>
        <w:rPr>
          <w:i/>
        </w:rPr>
        <w:t>environment </w:t>
      </w:r>
      <w:r>
        <w:rPr/>
        <w:t>(lingkungan) dengan total 32 indikator pengungkapan, GRI 400 untuk topik </w:t>
      </w:r>
      <w:r>
        <w:rPr>
          <w:i/>
        </w:rPr>
        <w:t>social </w:t>
      </w:r>
      <w:r>
        <w:rPr/>
        <w:t>(social) dengan total 40 indikator</w:t>
      </w:r>
      <w:r>
        <w:rPr>
          <w:spacing w:val="40"/>
        </w:rPr>
        <w:t> </w:t>
      </w:r>
      <w:r>
        <w:rPr/>
        <w:t>pengungkapan, dan GRI 102 untuk </w:t>
      </w:r>
      <w:r>
        <w:rPr>
          <w:i/>
        </w:rPr>
        <w:t>governance </w:t>
      </w:r>
      <w:r>
        <w:rPr/>
        <w:t>(tata kelola) dengan total 27 indikator pengungkapan. Teknik perhitungan pengungkapan ESG dilakukan dengan membandingkan jumlah indikator yang diungkapkan oleh perusahaan dengan jumlah total indikator di setiap modul GRI untuk masing-masing aspek ESG. Perhitungan ini menggunakan </w:t>
      </w:r>
      <w:r>
        <w:rPr>
          <w:i/>
        </w:rPr>
        <w:t>dummy variable, </w:t>
      </w:r>
      <w:r>
        <w:rPr/>
        <w:t>di mana nilai 1 diberikan jika item pengungkapan diungkapkan, dan nilai 0 jika tidak diungkapkan.</w:t>
      </w:r>
    </w:p>
    <w:p>
      <w:pPr>
        <w:pStyle w:val="BodyText"/>
        <w:spacing w:line="480" w:lineRule="auto"/>
        <w:ind w:left="1559" w:right="707" w:firstLine="709"/>
        <w:jc w:val="both"/>
      </w:pPr>
      <w:r>
        <w:rPr/>
        <w:t>Tantangan ESG memiliki relevansi khusus bagi sektor perbankan karena perannya sebagai mediator keuangan dan</w:t>
      </w:r>
      <w:r>
        <w:rPr>
          <w:spacing w:val="40"/>
        </w:rPr>
        <w:t> </w:t>
      </w:r>
      <w:r>
        <w:rPr/>
        <w:t>agen penggalangan modal (Triyani &amp; Setyahuni, 2020). Peran ini menempatkan perusahaan perbankan sebagai katalis penting dalam pembangunan ekonomi, sehingga harus mendukung</w:t>
      </w:r>
      <w:r>
        <w:rPr>
          <w:spacing w:val="40"/>
        </w:rPr>
        <w:t> </w:t>
      </w:r>
      <w:r>
        <w:rPr/>
        <w:t>praktik bisnis berkelanjutan. Kegagalan perusahaan perbankan dalam menjalankan peran ini dapat menyebabkan mereka memfasilitasi praktik bisnis yang berdampak negatif signifikan pada lingkungan dan sosial serta gagal mengatasi isu-isu ESG. ESG mencakup aktivitas perusahaan yang berkaitan dengan lingkungan</w:t>
      </w:r>
      <w:r>
        <w:rPr>
          <w:spacing w:val="80"/>
        </w:rPr>
        <w:t> </w:t>
      </w:r>
      <w:r>
        <w:rPr/>
        <w:t>sekitar,</w:t>
      </w:r>
      <w:r>
        <w:rPr>
          <w:spacing w:val="80"/>
        </w:rPr>
        <w:t> </w:t>
      </w:r>
      <w:r>
        <w:rPr/>
        <w:t>interaksi</w:t>
      </w:r>
      <w:r>
        <w:rPr>
          <w:spacing w:val="80"/>
        </w:rPr>
        <w:t> </w:t>
      </w:r>
      <w:r>
        <w:rPr/>
        <w:t>dengan</w:t>
      </w:r>
      <w:r>
        <w:rPr>
          <w:spacing w:val="80"/>
        </w:rPr>
        <w:t> </w:t>
      </w:r>
      <w:r>
        <w:rPr/>
        <w:t>masyarakat,</w:t>
      </w:r>
      <w:r>
        <w:rPr>
          <w:spacing w:val="80"/>
        </w:rPr>
        <w:t> </w:t>
      </w:r>
      <w:r>
        <w:rPr/>
        <w:t>dan</w:t>
      </w:r>
      <w:r>
        <w:rPr>
          <w:spacing w:val="80"/>
        </w:rPr>
        <w:t> </w:t>
      </w:r>
      <w:r>
        <w:rPr/>
        <w:t>sistem</w:t>
      </w:r>
    </w:p>
    <w:p>
      <w:pPr>
        <w:pStyle w:val="BodyText"/>
        <w:spacing w:after="0" w:line="480" w:lineRule="auto"/>
        <w:jc w:val="both"/>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BodyText"/>
        <w:spacing w:line="480" w:lineRule="auto"/>
        <w:ind w:left="1559" w:right="708"/>
        <w:jc w:val="both"/>
      </w:pPr>
      <w:r>
        <w:rPr/>
        <w:t>pengendalian internal untuk mencapai tujuan perusahaan dan memenuhi kebutuhan stakeholder. Indeks ESG dihitung dengan rumus (Bax, et al. 2024):</w:t>
      </w:r>
    </w:p>
    <w:p>
      <w:pPr>
        <w:pStyle w:val="BodyText"/>
        <w:spacing w:before="3"/>
        <w:rPr>
          <w:sz w:val="7"/>
        </w:rPr>
      </w:pPr>
      <w:r>
        <w:rPr>
          <w:sz w:val="7"/>
        </w:rPr>
        <mc:AlternateContent>
          <mc:Choice Requires="wps">
            <w:drawing>
              <wp:anchor distT="0" distB="0" distL="0" distR="0" allowOverlap="1" layoutInCell="1" locked="0" behindDoc="1" simplePos="0" relativeHeight="487589888">
                <wp:simplePos x="0" y="0"/>
                <wp:positionH relativeFrom="page">
                  <wp:posOffset>2143125</wp:posOffset>
                </wp:positionH>
                <wp:positionV relativeFrom="paragraph">
                  <wp:posOffset>68656</wp:posOffset>
                </wp:positionV>
                <wp:extent cx="4327525" cy="593725"/>
                <wp:effectExtent l="0" t="0" r="0" b="0"/>
                <wp:wrapTopAndBottom/>
                <wp:docPr id="10" name="Group 10"/>
                <wp:cNvGraphicFramePr>
                  <a:graphicFrameLocks/>
                </wp:cNvGraphicFramePr>
                <a:graphic>
                  <a:graphicData uri="http://schemas.microsoft.com/office/word/2010/wordprocessingGroup">
                    <wpg:wgp>
                      <wpg:cNvPr id="10" name="Group 10"/>
                      <wpg:cNvGrpSpPr/>
                      <wpg:grpSpPr>
                        <a:xfrm>
                          <a:off x="0" y="0"/>
                          <a:ext cx="4327525" cy="593725"/>
                          <a:chExt cx="4327525" cy="593725"/>
                        </a:xfrm>
                      </wpg:grpSpPr>
                      <wps:wsp>
                        <wps:cNvPr id="11" name="Graphic 11"/>
                        <wps:cNvSpPr/>
                        <wps:spPr>
                          <a:xfrm>
                            <a:off x="3174" y="3174"/>
                            <a:ext cx="4321175" cy="587375"/>
                          </a:xfrm>
                          <a:custGeom>
                            <a:avLst/>
                            <a:gdLst/>
                            <a:ahLst/>
                            <a:cxnLst/>
                            <a:rect l="l" t="t" r="r" b="b"/>
                            <a:pathLst>
                              <a:path w="4321175" h="587375">
                                <a:moveTo>
                                  <a:pt x="0" y="0"/>
                                </a:moveTo>
                                <a:lnTo>
                                  <a:pt x="4321175" y="0"/>
                                </a:lnTo>
                                <a:lnTo>
                                  <a:pt x="4321175" y="586854"/>
                                </a:lnTo>
                                <a:lnTo>
                                  <a:pt x="0" y="586854"/>
                                </a:lnTo>
                                <a:lnTo>
                                  <a:pt x="0" y="0"/>
                                </a:lnTo>
                                <a:close/>
                              </a:path>
                            </a:pathLst>
                          </a:custGeom>
                          <a:ln w="6349">
                            <a:solidFill>
                              <a:srgbClr val="000000"/>
                            </a:solidFill>
                            <a:prstDash val="solid"/>
                          </a:ln>
                        </wps:spPr>
                        <wps:bodyPr wrap="square" lIns="0" tIns="0" rIns="0" bIns="0" rtlCol="0">
                          <a:prstTxWarp prst="textNoShape">
                            <a:avLst/>
                          </a:prstTxWarp>
                          <a:noAutofit/>
                        </wps:bodyPr>
                      </wps:wsp>
                      <wps:wsp>
                        <wps:cNvPr id="12" name="Graphic 12"/>
                        <wps:cNvSpPr/>
                        <wps:spPr>
                          <a:xfrm>
                            <a:off x="1610613" y="224497"/>
                            <a:ext cx="1889125" cy="1270"/>
                          </a:xfrm>
                          <a:custGeom>
                            <a:avLst/>
                            <a:gdLst/>
                            <a:ahLst/>
                            <a:cxnLst/>
                            <a:rect l="l" t="t" r="r" b="b"/>
                            <a:pathLst>
                              <a:path w="1889125" h="0">
                                <a:moveTo>
                                  <a:pt x="0" y="0"/>
                                </a:moveTo>
                                <a:lnTo>
                                  <a:pt x="1888921" y="0"/>
                                </a:lnTo>
                              </a:path>
                            </a:pathLst>
                          </a:custGeom>
                          <a:ln w="9143">
                            <a:solidFill>
                              <a:srgbClr val="000000"/>
                            </a:solidFill>
                            <a:prstDash val="solid"/>
                          </a:ln>
                        </wps:spPr>
                        <wps:bodyPr wrap="square" lIns="0" tIns="0" rIns="0" bIns="0" rtlCol="0">
                          <a:prstTxWarp prst="textNoShape">
                            <a:avLst/>
                          </a:prstTxWarp>
                          <a:noAutofit/>
                        </wps:bodyPr>
                      </wps:wsp>
                      <wps:wsp>
                        <wps:cNvPr id="13" name="Textbox 13"/>
                        <wps:cNvSpPr txBox="1"/>
                        <wps:spPr>
                          <a:xfrm>
                            <a:off x="612139" y="161162"/>
                            <a:ext cx="978535" cy="153670"/>
                          </a:xfrm>
                          <a:prstGeom prst="rect">
                            <a:avLst/>
                          </a:prstGeom>
                        </wps:spPr>
                        <wps:txbx>
                          <w:txbxContent>
                            <w:p>
                              <w:pPr>
                                <w:spacing w:line="227" w:lineRule="exact" w:before="0"/>
                                <w:ind w:left="0" w:right="0" w:firstLine="0"/>
                                <w:jc w:val="left"/>
                                <w:rPr>
                                  <w:rFonts w:ascii="Cambria"/>
                                  <w:sz w:val="24"/>
                                </w:rPr>
                              </w:pPr>
                              <w:r>
                                <w:rPr>
                                  <w:rFonts w:ascii="Cambria"/>
                                  <w:w w:val="110"/>
                                  <w:sz w:val="24"/>
                                </w:rPr>
                                <w:t>Indeks</w:t>
                              </w:r>
                              <w:r>
                                <w:rPr>
                                  <w:rFonts w:ascii="Cambria"/>
                                  <w:spacing w:val="-14"/>
                                  <w:w w:val="110"/>
                                  <w:sz w:val="24"/>
                                </w:rPr>
                                <w:t> </w:t>
                              </w:r>
                              <w:r>
                                <w:rPr>
                                  <w:rFonts w:ascii="Cambria"/>
                                  <w:w w:val="110"/>
                                  <w:sz w:val="24"/>
                                </w:rPr>
                                <w:t>ESG</w:t>
                              </w:r>
                              <w:r>
                                <w:rPr>
                                  <w:rFonts w:ascii="Cambria"/>
                                  <w:spacing w:val="40"/>
                                  <w:w w:val="110"/>
                                  <w:sz w:val="24"/>
                                </w:rPr>
                                <w:t> </w:t>
                              </w:r>
                              <w:r>
                                <w:rPr>
                                  <w:rFonts w:ascii="Cambria"/>
                                  <w:spacing w:val="-10"/>
                                  <w:w w:val="110"/>
                                  <w:sz w:val="24"/>
                                </w:rPr>
                                <w:t>=</w:t>
                              </w:r>
                            </w:p>
                          </w:txbxContent>
                        </wps:txbx>
                        <wps:bodyPr wrap="square" lIns="0" tIns="0" rIns="0" bIns="0" rtlCol="0">
                          <a:noAutofit/>
                        </wps:bodyPr>
                      </wps:wsp>
                      <wps:wsp>
                        <wps:cNvPr id="14" name="Textbox 14"/>
                        <wps:cNvSpPr txBox="1"/>
                        <wps:spPr>
                          <a:xfrm>
                            <a:off x="1610614" y="55790"/>
                            <a:ext cx="1899920" cy="361950"/>
                          </a:xfrm>
                          <a:prstGeom prst="rect">
                            <a:avLst/>
                          </a:prstGeom>
                        </wps:spPr>
                        <wps:txbx>
                          <w:txbxContent>
                            <w:p>
                              <w:pPr>
                                <w:spacing w:line="227" w:lineRule="exact" w:before="0"/>
                                <w:ind w:left="1" w:right="18" w:firstLine="0"/>
                                <w:jc w:val="center"/>
                                <w:rPr>
                                  <w:rFonts w:ascii="Cambria" w:eastAsia="Cambria"/>
                                  <w:sz w:val="24"/>
                                </w:rPr>
                              </w:pPr>
                              <w:r>
                                <w:rPr>
                                  <w:rFonts w:ascii="Cambria" w:eastAsia="Cambria"/>
                                  <w:w w:val="85"/>
                                  <w:sz w:val="24"/>
                                </w:rPr>
                                <w:t>𝑁𝑖𝑙𝑎𝑖</w:t>
                              </w:r>
                              <w:r>
                                <w:rPr>
                                  <w:rFonts w:ascii="Cambria" w:eastAsia="Cambria"/>
                                  <w:spacing w:val="30"/>
                                  <w:sz w:val="24"/>
                                </w:rPr>
                                <w:t> </w:t>
                              </w:r>
                              <w:r>
                                <w:rPr>
                                  <w:rFonts w:ascii="Cambria" w:eastAsia="Cambria"/>
                                  <w:w w:val="85"/>
                                  <w:sz w:val="24"/>
                                </w:rPr>
                                <w:t>𝑝𝑒𝑛𝑔𝑢𝑛𝑔𝑘𝑎𝑝𝑎𝑛</w:t>
                              </w:r>
                              <w:r>
                                <w:rPr>
                                  <w:rFonts w:ascii="Cambria" w:eastAsia="Cambria"/>
                                  <w:spacing w:val="31"/>
                                  <w:sz w:val="24"/>
                                </w:rPr>
                                <w:t> </w:t>
                              </w:r>
                              <w:r>
                                <w:rPr>
                                  <w:rFonts w:ascii="Cambria" w:eastAsia="Cambria"/>
                                  <w:spacing w:val="-5"/>
                                  <w:w w:val="85"/>
                                  <w:sz w:val="24"/>
                                </w:rPr>
                                <w:t>𝐸𝑆𝐺</w:t>
                              </w:r>
                            </w:p>
                            <w:p>
                              <w:pPr>
                                <w:spacing w:before="46"/>
                                <w:ind w:left="0" w:right="18" w:firstLine="0"/>
                                <w:jc w:val="center"/>
                                <w:rPr>
                                  <w:rFonts w:ascii="Cambria" w:eastAsia="Cambria"/>
                                  <w:sz w:val="24"/>
                                </w:rPr>
                              </w:pPr>
                              <w:r>
                                <w:rPr>
                                  <w:rFonts w:ascii="Cambria" w:eastAsia="Cambria"/>
                                  <w:w w:val="85"/>
                                  <w:sz w:val="24"/>
                                </w:rPr>
                                <w:t>𝑇𝑜𝑡𝑎𝑙</w:t>
                              </w:r>
                              <w:r>
                                <w:rPr>
                                  <w:rFonts w:ascii="Cambria" w:eastAsia="Cambria"/>
                                  <w:spacing w:val="20"/>
                                  <w:sz w:val="24"/>
                                </w:rPr>
                                <w:t> </w:t>
                              </w:r>
                              <w:r>
                                <w:rPr>
                                  <w:rFonts w:ascii="Cambria" w:eastAsia="Cambria"/>
                                  <w:w w:val="85"/>
                                  <w:sz w:val="24"/>
                                </w:rPr>
                                <w:t>𝑝𝑒𝑛𝑔𝑢𝑛𝑔𝑘𝑎𝑝𝑎𝑛</w:t>
                              </w:r>
                              <w:r>
                                <w:rPr>
                                  <w:rFonts w:ascii="Cambria" w:eastAsia="Cambria"/>
                                  <w:spacing w:val="21"/>
                                  <w:sz w:val="24"/>
                                </w:rPr>
                                <w:t> </w:t>
                              </w:r>
                              <w:r>
                                <w:rPr>
                                  <w:rFonts w:ascii="Cambria" w:eastAsia="Cambria"/>
                                  <w:spacing w:val="-2"/>
                                  <w:w w:val="85"/>
                                  <w:sz w:val="24"/>
                                </w:rPr>
                                <w:t>𝑚𝑎𝑘𝑠𝑖𝑚𝑎𝑙</w:t>
                              </w:r>
                            </w:p>
                          </w:txbxContent>
                        </wps:txbx>
                        <wps:bodyPr wrap="square" lIns="0" tIns="0" rIns="0" bIns="0" rtlCol="0">
                          <a:noAutofit/>
                        </wps:bodyPr>
                      </wps:wsp>
                      <wps:wsp>
                        <wps:cNvPr id="15" name="Textbox 15"/>
                        <wps:cNvSpPr txBox="1"/>
                        <wps:spPr>
                          <a:xfrm>
                            <a:off x="3533026" y="161157"/>
                            <a:ext cx="501650" cy="153670"/>
                          </a:xfrm>
                          <a:prstGeom prst="rect">
                            <a:avLst/>
                          </a:prstGeom>
                        </wps:spPr>
                        <wps:txbx>
                          <w:txbxContent>
                            <w:p>
                              <w:pPr>
                                <w:spacing w:line="227" w:lineRule="exact" w:before="0"/>
                                <w:ind w:left="0" w:right="0" w:firstLine="0"/>
                                <w:jc w:val="left"/>
                                <w:rPr>
                                  <w:rFonts w:ascii="Cambria" w:hAnsi="Cambria"/>
                                  <w:sz w:val="24"/>
                                </w:rPr>
                              </w:pPr>
                              <w:r>
                                <w:rPr>
                                  <w:rFonts w:ascii="Cambria" w:hAnsi="Cambria"/>
                                  <w:sz w:val="24"/>
                                </w:rPr>
                                <w:t>×</w:t>
                              </w:r>
                              <w:r>
                                <w:rPr>
                                  <w:rFonts w:ascii="Cambria" w:hAnsi="Cambria"/>
                                  <w:spacing w:val="23"/>
                                  <w:sz w:val="24"/>
                                </w:rPr>
                                <w:t> </w:t>
                              </w:r>
                              <w:r>
                                <w:rPr>
                                  <w:rFonts w:ascii="Cambria" w:hAnsi="Cambria"/>
                                  <w:spacing w:val="-12"/>
                                  <w:sz w:val="24"/>
                                </w:rPr>
                                <w:t>100%</w:t>
                              </w:r>
                            </w:p>
                          </w:txbxContent>
                        </wps:txbx>
                        <wps:bodyPr wrap="square" lIns="0" tIns="0" rIns="0" bIns="0" rtlCol="0">
                          <a:noAutofit/>
                        </wps:bodyPr>
                      </wps:wsp>
                    </wpg:wgp>
                  </a:graphicData>
                </a:graphic>
              </wp:anchor>
            </w:drawing>
          </mc:Choice>
          <mc:Fallback>
            <w:pict>
              <v:group style="position:absolute;margin-left:168.750015pt;margin-top:5.406031pt;width:340.75pt;height:46.75pt;mso-position-horizontal-relative:page;mso-position-vertical-relative:paragraph;z-index:-15726592;mso-wrap-distance-left:0;mso-wrap-distance-right:0" id="docshapegroup5" coordorigin="3375,108" coordsize="6815,935">
                <v:rect style="position:absolute;left:3380;top:113;width:6805;height:925" id="docshape6" filled="false" stroked="true" strokeweight=".49997pt" strokecolor="#000000">
                  <v:stroke dashstyle="solid"/>
                </v:rect>
                <v:line style="position:absolute" from="5911,462" to="8886,462" stroked="true" strokeweight=".71997pt" strokecolor="#000000">
                  <v:stroke dashstyle="solid"/>
                </v:line>
                <v:shape style="position:absolute;left:4339;top:361;width:1541;height:242" type="#_x0000_t202" id="docshape7" filled="false" stroked="false">
                  <v:textbox inset="0,0,0,0">
                    <w:txbxContent>
                      <w:p>
                        <w:pPr>
                          <w:spacing w:line="227" w:lineRule="exact" w:before="0"/>
                          <w:ind w:left="0" w:right="0" w:firstLine="0"/>
                          <w:jc w:val="left"/>
                          <w:rPr>
                            <w:rFonts w:ascii="Cambria"/>
                            <w:sz w:val="24"/>
                          </w:rPr>
                        </w:pPr>
                        <w:r>
                          <w:rPr>
                            <w:rFonts w:ascii="Cambria"/>
                            <w:w w:val="110"/>
                            <w:sz w:val="24"/>
                          </w:rPr>
                          <w:t>Indeks</w:t>
                        </w:r>
                        <w:r>
                          <w:rPr>
                            <w:rFonts w:ascii="Cambria"/>
                            <w:spacing w:val="-14"/>
                            <w:w w:val="110"/>
                            <w:sz w:val="24"/>
                          </w:rPr>
                          <w:t> </w:t>
                        </w:r>
                        <w:r>
                          <w:rPr>
                            <w:rFonts w:ascii="Cambria"/>
                            <w:w w:val="110"/>
                            <w:sz w:val="24"/>
                          </w:rPr>
                          <w:t>ESG</w:t>
                        </w:r>
                        <w:r>
                          <w:rPr>
                            <w:rFonts w:ascii="Cambria"/>
                            <w:spacing w:val="40"/>
                            <w:w w:val="110"/>
                            <w:sz w:val="24"/>
                          </w:rPr>
                          <w:t> </w:t>
                        </w:r>
                        <w:r>
                          <w:rPr>
                            <w:rFonts w:ascii="Cambria"/>
                            <w:spacing w:val="-10"/>
                            <w:w w:val="110"/>
                            <w:sz w:val="24"/>
                          </w:rPr>
                          <w:t>=</w:t>
                        </w:r>
                      </w:p>
                    </w:txbxContent>
                  </v:textbox>
                  <w10:wrap type="none"/>
                </v:shape>
                <v:shape style="position:absolute;left:5911;top:195;width:2992;height:570" type="#_x0000_t202" id="docshape8" filled="false" stroked="false">
                  <v:textbox inset="0,0,0,0">
                    <w:txbxContent>
                      <w:p>
                        <w:pPr>
                          <w:spacing w:line="227" w:lineRule="exact" w:before="0"/>
                          <w:ind w:left="1" w:right="18" w:firstLine="0"/>
                          <w:jc w:val="center"/>
                          <w:rPr>
                            <w:rFonts w:ascii="Cambria" w:eastAsia="Cambria"/>
                            <w:sz w:val="24"/>
                          </w:rPr>
                        </w:pPr>
                        <w:r>
                          <w:rPr>
                            <w:rFonts w:ascii="Cambria" w:eastAsia="Cambria"/>
                            <w:w w:val="85"/>
                            <w:sz w:val="24"/>
                          </w:rPr>
                          <w:t>𝑁𝑖𝑙𝑎𝑖</w:t>
                        </w:r>
                        <w:r>
                          <w:rPr>
                            <w:rFonts w:ascii="Cambria" w:eastAsia="Cambria"/>
                            <w:spacing w:val="30"/>
                            <w:sz w:val="24"/>
                          </w:rPr>
                          <w:t> </w:t>
                        </w:r>
                        <w:r>
                          <w:rPr>
                            <w:rFonts w:ascii="Cambria" w:eastAsia="Cambria"/>
                            <w:w w:val="85"/>
                            <w:sz w:val="24"/>
                          </w:rPr>
                          <w:t>𝑝𝑒𝑛𝑔𝑢𝑛𝑔𝑘𝑎𝑝𝑎𝑛</w:t>
                        </w:r>
                        <w:r>
                          <w:rPr>
                            <w:rFonts w:ascii="Cambria" w:eastAsia="Cambria"/>
                            <w:spacing w:val="31"/>
                            <w:sz w:val="24"/>
                          </w:rPr>
                          <w:t> </w:t>
                        </w:r>
                        <w:r>
                          <w:rPr>
                            <w:rFonts w:ascii="Cambria" w:eastAsia="Cambria"/>
                            <w:spacing w:val="-5"/>
                            <w:w w:val="85"/>
                            <w:sz w:val="24"/>
                          </w:rPr>
                          <w:t>𝐸𝑆𝐺</w:t>
                        </w:r>
                      </w:p>
                      <w:p>
                        <w:pPr>
                          <w:spacing w:before="46"/>
                          <w:ind w:left="0" w:right="18" w:firstLine="0"/>
                          <w:jc w:val="center"/>
                          <w:rPr>
                            <w:rFonts w:ascii="Cambria" w:eastAsia="Cambria"/>
                            <w:sz w:val="24"/>
                          </w:rPr>
                        </w:pPr>
                        <w:r>
                          <w:rPr>
                            <w:rFonts w:ascii="Cambria" w:eastAsia="Cambria"/>
                            <w:w w:val="85"/>
                            <w:sz w:val="24"/>
                          </w:rPr>
                          <w:t>𝑇𝑜𝑡𝑎𝑙</w:t>
                        </w:r>
                        <w:r>
                          <w:rPr>
                            <w:rFonts w:ascii="Cambria" w:eastAsia="Cambria"/>
                            <w:spacing w:val="20"/>
                            <w:sz w:val="24"/>
                          </w:rPr>
                          <w:t> </w:t>
                        </w:r>
                        <w:r>
                          <w:rPr>
                            <w:rFonts w:ascii="Cambria" w:eastAsia="Cambria"/>
                            <w:w w:val="85"/>
                            <w:sz w:val="24"/>
                          </w:rPr>
                          <w:t>𝑝𝑒𝑛𝑔𝑢𝑛𝑔𝑘𝑎𝑝𝑎𝑛</w:t>
                        </w:r>
                        <w:r>
                          <w:rPr>
                            <w:rFonts w:ascii="Cambria" w:eastAsia="Cambria"/>
                            <w:spacing w:val="21"/>
                            <w:sz w:val="24"/>
                          </w:rPr>
                          <w:t> </w:t>
                        </w:r>
                        <w:r>
                          <w:rPr>
                            <w:rFonts w:ascii="Cambria" w:eastAsia="Cambria"/>
                            <w:spacing w:val="-2"/>
                            <w:w w:val="85"/>
                            <w:sz w:val="24"/>
                          </w:rPr>
                          <w:t>𝑚𝑎𝑘𝑠𝑖𝑚𝑎𝑙</w:t>
                        </w:r>
                      </w:p>
                    </w:txbxContent>
                  </v:textbox>
                  <w10:wrap type="none"/>
                </v:shape>
                <v:shape style="position:absolute;left:8938;top:361;width:790;height:242" type="#_x0000_t202" id="docshape9" filled="false" stroked="false">
                  <v:textbox inset="0,0,0,0">
                    <w:txbxContent>
                      <w:p>
                        <w:pPr>
                          <w:spacing w:line="227" w:lineRule="exact" w:before="0"/>
                          <w:ind w:left="0" w:right="0" w:firstLine="0"/>
                          <w:jc w:val="left"/>
                          <w:rPr>
                            <w:rFonts w:ascii="Cambria" w:hAnsi="Cambria"/>
                            <w:sz w:val="24"/>
                          </w:rPr>
                        </w:pPr>
                        <w:r>
                          <w:rPr>
                            <w:rFonts w:ascii="Cambria" w:hAnsi="Cambria"/>
                            <w:sz w:val="24"/>
                          </w:rPr>
                          <w:t>×</w:t>
                        </w:r>
                        <w:r>
                          <w:rPr>
                            <w:rFonts w:ascii="Cambria" w:hAnsi="Cambria"/>
                            <w:spacing w:val="23"/>
                            <w:sz w:val="24"/>
                          </w:rPr>
                          <w:t> </w:t>
                        </w:r>
                        <w:r>
                          <w:rPr>
                            <w:rFonts w:ascii="Cambria" w:hAnsi="Cambria"/>
                            <w:spacing w:val="-12"/>
                            <w:sz w:val="24"/>
                          </w:rPr>
                          <w:t>100%</w:t>
                        </w:r>
                      </w:p>
                    </w:txbxContent>
                  </v:textbox>
                  <w10:wrap type="none"/>
                </v:shape>
                <w10:wrap type="topAndBottom"/>
              </v:group>
            </w:pict>
          </mc:Fallback>
        </mc:AlternateContent>
      </w:r>
    </w:p>
    <w:p>
      <w:pPr>
        <w:pStyle w:val="BodyText"/>
      </w:pPr>
    </w:p>
    <w:p>
      <w:pPr>
        <w:pStyle w:val="BodyText"/>
        <w:spacing w:before="61"/>
      </w:pPr>
    </w:p>
    <w:p>
      <w:pPr>
        <w:pStyle w:val="Heading2"/>
        <w:numPr>
          <w:ilvl w:val="1"/>
          <w:numId w:val="8"/>
        </w:numPr>
        <w:tabs>
          <w:tab w:pos="1488" w:val="left" w:leader="none"/>
        </w:tabs>
        <w:spacing w:line="240" w:lineRule="auto" w:before="0" w:after="0"/>
        <w:ind w:left="1488" w:right="0" w:hanging="355"/>
        <w:jc w:val="left"/>
      </w:pPr>
      <w:bookmarkStart w:name="_bookmark17" w:id="18"/>
      <w:bookmarkEnd w:id="18"/>
      <w:r>
        <w:rPr/>
        <w:t>Karakteristi</w:t>
      </w:r>
      <w:r>
        <w:rPr/>
        <w:t>k</w:t>
      </w:r>
      <w:r>
        <w:rPr>
          <w:spacing w:val="-7"/>
        </w:rPr>
        <w:t> </w:t>
      </w:r>
      <w:r>
        <w:rPr/>
        <w:t>Chief</w:t>
      </w:r>
      <w:r>
        <w:rPr>
          <w:spacing w:val="-6"/>
        </w:rPr>
        <w:t> </w:t>
      </w:r>
      <w:r>
        <w:rPr/>
        <w:t>Executive</w:t>
      </w:r>
      <w:r>
        <w:rPr>
          <w:spacing w:val="-6"/>
        </w:rPr>
        <w:t> </w:t>
      </w:r>
      <w:r>
        <w:rPr/>
        <w:t>Officer</w:t>
      </w:r>
      <w:r>
        <w:rPr>
          <w:spacing w:val="-6"/>
        </w:rPr>
        <w:t> </w:t>
      </w:r>
      <w:r>
        <w:rPr>
          <w:spacing w:val="-2"/>
        </w:rPr>
        <w:t>(CEO)</w:t>
      </w:r>
    </w:p>
    <w:p>
      <w:pPr>
        <w:pStyle w:val="BodyText"/>
        <w:rPr>
          <w:b/>
        </w:rPr>
      </w:pPr>
    </w:p>
    <w:p>
      <w:pPr>
        <w:pStyle w:val="BodyText"/>
        <w:spacing w:line="480" w:lineRule="auto"/>
        <w:ind w:left="1559" w:right="707" w:firstLine="709"/>
        <w:jc w:val="both"/>
      </w:pPr>
      <w:r>
        <w:rPr>
          <w:i/>
        </w:rPr>
        <w:t>Chief Executive Officer </w:t>
      </w:r>
      <w:r>
        <w:rPr/>
        <w:t>(CEO) adalah jabatan tertinggi dalam perusahaan yang memainkan peran penting dalam pengambilan Keputusan (Seow and Loo, 2023). Robbins (dalam Oehoedoe, Minanurohman &amp; Fitriani, 2023) mendefinisikan CEO sebagai manajer senior yang membuat keputusan dan menetapkan kebijakan dan metode yang berbeda untuk mencapai visi organisasi. Di Indonesia, CEO dikenal sebagai direktur utama, direksi, atau </w:t>
      </w:r>
      <w:r>
        <w:rPr>
          <w:i/>
        </w:rPr>
        <w:t>President Director</w:t>
      </w:r>
      <w:r>
        <w:rPr/>
        <w:t>. Peraturan tentang direksi tercantum dalam Undang-Undang Republik Indonesia No. 40 tahun</w:t>
      </w:r>
      <w:r>
        <w:rPr>
          <w:spacing w:val="-1"/>
        </w:rPr>
        <w:t> </w:t>
      </w:r>
      <w:r>
        <w:rPr/>
        <w:t>2007</w:t>
      </w:r>
      <w:r>
        <w:rPr>
          <w:spacing w:val="-1"/>
        </w:rPr>
        <w:t> </w:t>
      </w:r>
      <w:r>
        <w:rPr/>
        <w:t>bab</w:t>
      </w:r>
      <w:r>
        <w:rPr>
          <w:spacing w:val="-1"/>
        </w:rPr>
        <w:t> </w:t>
      </w:r>
      <w:r>
        <w:rPr/>
        <w:t>VII</w:t>
      </w:r>
      <w:r>
        <w:rPr>
          <w:spacing w:val="-1"/>
        </w:rPr>
        <w:t> </w:t>
      </w:r>
      <w:r>
        <w:rPr/>
        <w:t>mengenai</w:t>
      </w:r>
      <w:r>
        <w:rPr>
          <w:spacing w:val="-1"/>
        </w:rPr>
        <w:t> </w:t>
      </w:r>
      <w:r>
        <w:rPr/>
        <w:t>perseroan</w:t>
      </w:r>
      <w:r>
        <w:rPr>
          <w:spacing w:val="-1"/>
        </w:rPr>
        <w:t> </w:t>
      </w:r>
      <w:r>
        <w:rPr/>
        <w:t>terbatas,</w:t>
      </w:r>
      <w:r>
        <w:rPr>
          <w:spacing w:val="-1"/>
        </w:rPr>
        <w:t> </w:t>
      </w:r>
      <w:r>
        <w:rPr/>
        <w:t>yang</w:t>
      </w:r>
      <w:r>
        <w:rPr>
          <w:spacing w:val="-1"/>
        </w:rPr>
        <w:t> </w:t>
      </w:r>
      <w:r>
        <w:rPr/>
        <w:t>mencakup tugas, wewenang, dan tanggung jawab dewan direksi. CEO memiliki kekuasaan terbesar dalam membuat keputusan terkait kinerja</w:t>
      </w:r>
      <w:r>
        <w:rPr>
          <w:spacing w:val="-3"/>
        </w:rPr>
        <w:t> </w:t>
      </w:r>
      <w:r>
        <w:rPr/>
        <w:t>organisasi,</w:t>
      </w:r>
      <w:r>
        <w:rPr>
          <w:spacing w:val="-3"/>
        </w:rPr>
        <w:t> </w:t>
      </w:r>
      <w:r>
        <w:rPr/>
        <w:t>termasuk</w:t>
      </w:r>
      <w:r>
        <w:rPr>
          <w:spacing w:val="-3"/>
        </w:rPr>
        <w:t> </w:t>
      </w:r>
      <w:r>
        <w:rPr/>
        <w:t>menentukan</w:t>
      </w:r>
      <w:r>
        <w:rPr>
          <w:spacing w:val="-3"/>
        </w:rPr>
        <w:t> </w:t>
      </w:r>
      <w:r>
        <w:rPr/>
        <w:t>apa</w:t>
      </w:r>
      <w:r>
        <w:rPr>
          <w:spacing w:val="-3"/>
        </w:rPr>
        <w:t> </w:t>
      </w:r>
      <w:r>
        <w:rPr/>
        <w:t>dan</w:t>
      </w:r>
      <w:r>
        <w:rPr>
          <w:spacing w:val="-3"/>
        </w:rPr>
        <w:t> </w:t>
      </w:r>
      <w:r>
        <w:rPr/>
        <w:t>kapan</w:t>
      </w:r>
      <w:r>
        <w:rPr>
          <w:spacing w:val="-3"/>
        </w:rPr>
        <w:t> </w:t>
      </w:r>
      <w:r>
        <w:rPr/>
        <w:t>informasi harus diungkapkan, seperti pelaporan keuangan (Ulinnuha, Harymawan &amp; Aini, 2024). Oleh karena itu, CEO sering dianggap sebagai wajah perusahaan, yang mempengaruhi aspek keuangan</w:t>
      </w:r>
    </w:p>
    <w:p>
      <w:pPr>
        <w:pStyle w:val="BodyText"/>
        <w:spacing w:after="0" w:line="480" w:lineRule="auto"/>
        <w:jc w:val="both"/>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BodyText"/>
        <w:spacing w:line="480" w:lineRule="auto"/>
        <w:ind w:left="1559" w:right="710"/>
        <w:jc w:val="both"/>
      </w:pPr>
      <w:r>
        <w:rPr/>
        <w:t>seperti kinerja finansial, laba, dan return saham perusahaan. Dari aspek non-keuangan, seorang CEO mencerminkan retensi karyawan, kepercayaan industri, dan reputasi perusahaan secara </w:t>
      </w:r>
      <w:r>
        <w:rPr>
          <w:spacing w:val="-2"/>
        </w:rPr>
        <w:t>keseluruhan.</w:t>
      </w:r>
    </w:p>
    <w:p>
      <w:pPr>
        <w:pStyle w:val="BodyText"/>
        <w:spacing w:line="480" w:lineRule="auto"/>
        <w:ind w:left="1559" w:right="708" w:firstLine="709"/>
        <w:jc w:val="both"/>
      </w:pPr>
      <w:r>
        <w:rPr/>
        <w:t>Karakteristik adalah sifat khas yang melekat pada seseorang atau objek tertentu. Karakteristik individu adalah sifat khas yang dimiliki seseorang yang menunjukkan kepribadian tertentu</w:t>
      </w:r>
      <w:r>
        <w:rPr>
          <w:spacing w:val="-4"/>
        </w:rPr>
        <w:t> </w:t>
      </w:r>
      <w:r>
        <w:rPr/>
        <w:t>(Lestari,</w:t>
      </w:r>
      <w:r>
        <w:rPr>
          <w:spacing w:val="-4"/>
        </w:rPr>
        <w:t> </w:t>
      </w:r>
      <w:r>
        <w:rPr/>
        <w:t>et</w:t>
      </w:r>
      <w:r>
        <w:rPr>
          <w:spacing w:val="-4"/>
        </w:rPr>
        <w:t> </w:t>
      </w:r>
      <w:r>
        <w:rPr/>
        <w:t>al.</w:t>
      </w:r>
      <w:r>
        <w:rPr>
          <w:spacing w:val="-4"/>
        </w:rPr>
        <w:t> </w:t>
      </w:r>
      <w:r>
        <w:rPr/>
        <w:t>2024).</w:t>
      </w:r>
      <w:r>
        <w:rPr>
          <w:spacing w:val="-4"/>
        </w:rPr>
        <w:t> </w:t>
      </w:r>
      <w:r>
        <w:rPr/>
        <w:t>Karakteristik</w:t>
      </w:r>
      <w:r>
        <w:rPr>
          <w:spacing w:val="-4"/>
        </w:rPr>
        <w:t> </w:t>
      </w:r>
      <w:r>
        <w:rPr/>
        <w:t>individu</w:t>
      </w:r>
      <w:r>
        <w:rPr>
          <w:spacing w:val="-4"/>
        </w:rPr>
        <w:t> </w:t>
      </w:r>
      <w:r>
        <w:rPr/>
        <w:t>adalah</w:t>
      </w:r>
      <w:r>
        <w:rPr>
          <w:spacing w:val="-4"/>
        </w:rPr>
        <w:t> </w:t>
      </w:r>
      <w:r>
        <w:rPr/>
        <w:t>ciri</w:t>
      </w:r>
      <w:r>
        <w:rPr>
          <w:spacing w:val="-4"/>
        </w:rPr>
        <w:t> </w:t>
      </w:r>
      <w:r>
        <w:rPr/>
        <w:t>khas atau sifat khusus yang dimiliki karyawan, yang membedakannya dari</w:t>
      </w:r>
      <w:r>
        <w:rPr>
          <w:spacing w:val="-4"/>
        </w:rPr>
        <w:t> </w:t>
      </w:r>
      <w:r>
        <w:rPr/>
        <w:t>karyawan</w:t>
      </w:r>
      <w:r>
        <w:rPr>
          <w:spacing w:val="-4"/>
        </w:rPr>
        <w:t> </w:t>
      </w:r>
      <w:r>
        <w:rPr/>
        <w:t>lain</w:t>
      </w:r>
      <w:r>
        <w:rPr>
          <w:spacing w:val="-4"/>
        </w:rPr>
        <w:t> </w:t>
      </w:r>
      <w:r>
        <w:rPr/>
        <w:t>dan</w:t>
      </w:r>
      <w:r>
        <w:rPr>
          <w:spacing w:val="-4"/>
        </w:rPr>
        <w:t> </w:t>
      </w:r>
      <w:r>
        <w:rPr/>
        <w:t>memungkinkannya</w:t>
      </w:r>
      <w:r>
        <w:rPr>
          <w:spacing w:val="-4"/>
        </w:rPr>
        <w:t> </w:t>
      </w:r>
      <w:r>
        <w:rPr/>
        <w:t>untuk</w:t>
      </w:r>
      <w:r>
        <w:rPr>
          <w:spacing w:val="-4"/>
        </w:rPr>
        <w:t> </w:t>
      </w:r>
      <w:r>
        <w:rPr/>
        <w:t>mempertahankan dan meningkatkan kinerja (Fu, et al. 2024).</w:t>
      </w:r>
    </w:p>
    <w:p>
      <w:pPr>
        <w:pStyle w:val="BodyText"/>
        <w:spacing w:line="480" w:lineRule="auto"/>
        <w:ind w:left="1559" w:right="708" w:firstLine="709"/>
        <w:jc w:val="both"/>
      </w:pPr>
      <w:r>
        <w:rPr/>
        <w:t>Berdasarkan penjelasan diatas dapat disimpulkan definisi karakteristik CEO adalah merujuk pada sifat, atribut, dan latar belakang individu yang memegang posisi CEO dalam sebuah perusahaan. Ini mencakup berbagai aspek seperti pendidikan, pengalaman profesional, gaya kepemimpinan, dan kemampuan interpersonal, yang secara keseluruhan memengaruhi pengambilan keputusan, strategi perusahaan, dan kinerja organisasi. Karakteristik ini berperan penting dalam membentuk budaya perusahaan dan menentukan arah strategis yang diambil oleh perusahaan. Menurut Finkelstein, et al. (2009), Karakteristik CEO mencakup pengalaman, pendidikan, dan atribut pribadi yang memengaruhi bagaimana seorang CEO membuat keputusan dan</w:t>
      </w:r>
    </w:p>
    <w:p>
      <w:pPr>
        <w:pStyle w:val="BodyText"/>
        <w:spacing w:after="0" w:line="480" w:lineRule="auto"/>
        <w:jc w:val="both"/>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BodyText"/>
        <w:spacing w:line="480" w:lineRule="auto"/>
        <w:ind w:left="1559" w:right="710"/>
        <w:jc w:val="both"/>
      </w:pPr>
      <w:r>
        <w:rPr/>
        <w:t>memimpin perusahaan. Hal ini dapat berdampak langsung pada kinerja dan keberhasilan organisasi.</w:t>
      </w:r>
    </w:p>
    <w:p>
      <w:pPr>
        <w:pStyle w:val="BodyText"/>
        <w:spacing w:line="480" w:lineRule="auto"/>
        <w:ind w:left="1559" w:right="708" w:firstLine="709"/>
        <w:jc w:val="both"/>
      </w:pPr>
      <w:r>
        <w:rPr/>
        <w:t>Dalam konteks ini, karakteristik individu CEO, termasuk pendidikan, pengalaman, usia, dan jenis kelamin, berfungsi sebagai indikator penting dalam memprediksi keberhasilan</w:t>
      </w:r>
      <w:r>
        <w:rPr>
          <w:spacing w:val="40"/>
        </w:rPr>
        <w:t> </w:t>
      </w:r>
      <w:r>
        <w:rPr/>
        <w:t>strategi yang diambil serta hasil yang dicapai. Karakteristik CEO diharapkan memberikan kontribusi dalam pengembangan teori manajemen, khususnya mengenai hubungan antara kepemimpinan dan kinerja organisasi. Dengan demikian, hasil penelitian dapat menjadi acuan bagi pemangku kepentingan</w:t>
      </w:r>
      <w:r>
        <w:rPr>
          <w:spacing w:val="40"/>
        </w:rPr>
        <w:t> </w:t>
      </w:r>
      <w:r>
        <w:rPr/>
        <w:t>dalam mengevaluasi efektivitas kepemimpinan CEO serta mendukung proses pengambilan keputusan yang lebih baik di tingkat manajerial.</w:t>
      </w:r>
    </w:p>
    <w:p>
      <w:pPr>
        <w:pStyle w:val="BodyText"/>
        <w:spacing w:line="480" w:lineRule="auto"/>
        <w:ind w:left="1559" w:right="707" w:firstLine="567"/>
        <w:jc w:val="both"/>
      </w:pPr>
      <w:r>
        <w:rPr/>
        <mc:AlternateContent>
          <mc:Choice Requires="wps">
            <w:drawing>
              <wp:anchor distT="0" distB="0" distL="0" distR="0" allowOverlap="1" layoutInCell="1" locked="0" behindDoc="1" simplePos="0" relativeHeight="486084096">
                <wp:simplePos x="0" y="0"/>
                <wp:positionH relativeFrom="page">
                  <wp:posOffset>2260133</wp:posOffset>
                </wp:positionH>
                <wp:positionV relativeFrom="paragraph">
                  <wp:posOffset>2108011</wp:posOffset>
                </wp:positionV>
                <wp:extent cx="728345" cy="170815"/>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728345" cy="170815"/>
                        </a:xfrm>
                        <a:prstGeom prst="rect">
                          <a:avLst/>
                        </a:prstGeom>
                      </wps:spPr>
                      <wps:txbx>
                        <w:txbxContent>
                          <w:p>
                            <w:pPr>
                              <w:pStyle w:val="BodyText"/>
                              <w:spacing w:line="268" w:lineRule="exact"/>
                            </w:pPr>
                            <w:r>
                              <w:rPr/>
                              <w:t>ur </w:t>
                            </w:r>
                            <w:r>
                              <w:rPr>
                                <w:spacing w:val="-2"/>
                              </w:rPr>
                              <w:t>dengan:</w:t>
                            </w:r>
                          </w:p>
                        </w:txbxContent>
                      </wps:txbx>
                      <wps:bodyPr wrap="square" lIns="0" tIns="0" rIns="0" bIns="0" rtlCol="0">
                        <a:noAutofit/>
                      </wps:bodyPr>
                    </wps:wsp>
                  </a:graphicData>
                </a:graphic>
              </wp:anchor>
            </w:drawing>
          </mc:Choice>
          <mc:Fallback>
            <w:pict>
              <v:shape style="position:absolute;margin-left:177.963303pt;margin-top:165.985168pt;width:57.35pt;height:13.45pt;mso-position-horizontal-relative:page;mso-position-vertical-relative:paragraph;z-index:-17232384" type="#_x0000_t202" id="docshape10" filled="false" stroked="false">
                <v:textbox inset="0,0,0,0">
                  <w:txbxContent>
                    <w:p>
                      <w:pPr>
                        <w:pStyle w:val="BodyText"/>
                        <w:spacing w:line="268" w:lineRule="exact"/>
                      </w:pPr>
                      <w:r>
                        <w:rPr/>
                        <w:t>ur </w:t>
                      </w:r>
                      <w:r>
                        <w:rPr>
                          <w:spacing w:val="-2"/>
                        </w:rPr>
                        <w:t>dengan:</w:t>
                      </w:r>
                    </w:p>
                  </w:txbxContent>
                </v:textbox>
                <w10:wrap type="none"/>
              </v:shape>
            </w:pict>
          </mc:Fallback>
        </mc:AlternateContent>
      </w:r>
      <w:r>
        <w:rPr/>
        <mc:AlternateContent>
          <mc:Choice Requires="wps">
            <w:drawing>
              <wp:anchor distT="0" distB="0" distL="0" distR="0" allowOverlap="1" layoutInCell="1" locked="0" behindDoc="0" simplePos="0" relativeHeight="15731712">
                <wp:simplePos x="0" y="0"/>
                <wp:positionH relativeFrom="page">
                  <wp:posOffset>2298700</wp:posOffset>
                </wp:positionH>
                <wp:positionV relativeFrom="paragraph">
                  <wp:posOffset>2019369</wp:posOffset>
                </wp:positionV>
                <wp:extent cx="3981450" cy="586740"/>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3981450" cy="586740"/>
                        </a:xfrm>
                        <a:custGeom>
                          <a:avLst/>
                          <a:gdLst/>
                          <a:ahLst/>
                          <a:cxnLst/>
                          <a:rect l="l" t="t" r="r" b="b"/>
                          <a:pathLst>
                            <a:path w="3981450" h="586740">
                              <a:moveTo>
                                <a:pt x="3981450" y="0"/>
                              </a:moveTo>
                              <a:lnTo>
                                <a:pt x="0" y="0"/>
                              </a:lnTo>
                              <a:lnTo>
                                <a:pt x="0" y="586739"/>
                              </a:lnTo>
                              <a:lnTo>
                                <a:pt x="3981450" y="586739"/>
                              </a:lnTo>
                              <a:lnTo>
                                <a:pt x="398145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181pt;margin-top:159.005447pt;width:313.5pt;height:46.2pt;mso-position-horizontal-relative:page;mso-position-vertical-relative:paragraph;z-index:15731712" id="docshape11" filled="true" fillcolor="#ffffff" stroked="false">
                <v:fill type="solid"/>
                <w10:wrap type="none"/>
              </v:rect>
            </w:pict>
          </mc:Fallback>
        </mc:AlternateContent>
      </w:r>
      <w:r>
        <w:rPr/>
        <mc:AlternateContent>
          <mc:Choice Requires="wps">
            <w:drawing>
              <wp:anchor distT="0" distB="0" distL="0" distR="0" allowOverlap="1" layoutInCell="1" locked="0" behindDoc="0" simplePos="0" relativeHeight="15732224">
                <wp:simplePos x="0" y="0"/>
                <wp:positionH relativeFrom="page">
                  <wp:posOffset>2298700</wp:posOffset>
                </wp:positionH>
                <wp:positionV relativeFrom="paragraph">
                  <wp:posOffset>2019369</wp:posOffset>
                </wp:positionV>
                <wp:extent cx="3981450" cy="58674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3981450" cy="586740"/>
                        </a:xfrm>
                        <a:prstGeom prst="rect">
                          <a:avLst/>
                        </a:prstGeom>
                        <a:ln w="6349">
                          <a:solidFill>
                            <a:srgbClr val="000000"/>
                          </a:solidFill>
                          <a:prstDash val="solid"/>
                        </a:ln>
                      </wps:spPr>
                      <wps:txbx>
                        <w:txbxContent>
                          <w:p>
                            <w:pPr>
                              <w:pStyle w:val="BodyText"/>
                              <w:spacing w:before="30"/>
                              <w:ind w:left="286"/>
                              <w:rPr>
                                <w:rFonts w:ascii="Cambria" w:eastAsia="Cambria"/>
                              </w:rPr>
                            </w:pPr>
                            <w:r>
                              <w:rPr>
                                <w:rFonts w:ascii="Cambria" w:eastAsia="Cambria"/>
                                <w:spacing w:val="6"/>
                              </w:rPr>
                              <w:t>CEO</w:t>
                            </w:r>
                            <w:r>
                              <w:rPr>
                                <w:rFonts w:ascii="Cambria" w:eastAsia="Cambria"/>
                                <w:spacing w:val="59"/>
                              </w:rPr>
                              <w:t> </w:t>
                            </w:r>
                            <w:r>
                              <w:rPr>
                                <w:rFonts w:ascii="Cambria" w:eastAsia="Cambria"/>
                                <w:spacing w:val="-2"/>
                              </w:rPr>
                              <w:t>𝑡𝑒𝑛𝑢𝑟𝑒</w:t>
                            </w:r>
                          </w:p>
                        </w:txbxContent>
                      </wps:txbx>
                      <wps:bodyPr wrap="square" lIns="0" tIns="0" rIns="0" bIns="0" rtlCol="0">
                        <a:noAutofit/>
                      </wps:bodyPr>
                    </wps:wsp>
                  </a:graphicData>
                </a:graphic>
              </wp:anchor>
            </w:drawing>
          </mc:Choice>
          <mc:Fallback>
            <w:pict>
              <v:shape style="position:absolute;margin-left:181pt;margin-top:159.005447pt;width:313.5pt;height:46.2pt;mso-position-horizontal-relative:page;mso-position-vertical-relative:paragraph;z-index:15732224" type="#_x0000_t202" id="docshape12" filled="false" stroked="true" strokeweight=".49997pt" strokecolor="#000000">
                <v:textbox inset="0,0,0,0">
                  <w:txbxContent>
                    <w:p>
                      <w:pPr>
                        <w:pStyle w:val="BodyText"/>
                        <w:spacing w:before="30"/>
                        <w:ind w:left="286"/>
                        <w:rPr>
                          <w:rFonts w:ascii="Cambria" w:eastAsia="Cambria"/>
                        </w:rPr>
                      </w:pPr>
                      <w:r>
                        <w:rPr>
                          <w:rFonts w:ascii="Cambria" w:eastAsia="Cambria"/>
                          <w:spacing w:val="6"/>
                        </w:rPr>
                        <w:t>CEO</w:t>
                      </w:r>
                      <w:r>
                        <w:rPr>
                          <w:rFonts w:ascii="Cambria" w:eastAsia="Cambria"/>
                          <w:spacing w:val="59"/>
                        </w:rPr>
                        <w:t> </w:t>
                      </w:r>
                      <w:r>
                        <w:rPr>
                          <w:rFonts w:ascii="Cambria" w:eastAsia="Cambria"/>
                          <w:spacing w:val="-2"/>
                        </w:rPr>
                        <w:t>𝑡𝑒𝑛𝑢𝑟𝑒</w:t>
                      </w:r>
                    </w:p>
                  </w:txbxContent>
                </v:textbox>
                <v:stroke dashstyle="solid"/>
                <w10:wrap type="none"/>
              </v:shape>
            </w:pict>
          </mc:Fallback>
        </mc:AlternateContent>
      </w:r>
      <w:r>
        <w:rPr/>
        <w:t>Karakteristik CEO memungkinkan CEO mempengaruhi cara dalam pengambilan keputusan investasi. Perbedaan karakteristik yang dimiliki oleh CEO menyebabkan mereka cenderung meremehkan atau melebih-lebihkan risiko terkait strategi perusahaan (Almulhim &amp; Aljughaiman, 2023). Indikator karakteristik CEO menggunakan masa jabatan CEO </w:t>
      </w:r>
      <w:r>
        <w:rPr>
          <w:i/>
        </w:rPr>
        <w:t>(CEO tenure) </w:t>
      </w:r>
      <w:r>
        <w:rPr>
          <w:spacing w:val="-4"/>
        </w:rPr>
        <w:t>diuk</w:t>
      </w:r>
    </w:p>
    <w:p>
      <w:pPr>
        <w:pStyle w:val="BodyText"/>
      </w:pPr>
    </w:p>
    <w:p>
      <w:pPr>
        <w:pStyle w:val="BodyText"/>
      </w:pPr>
    </w:p>
    <w:p>
      <w:pPr>
        <w:pStyle w:val="BodyText"/>
      </w:pPr>
    </w:p>
    <w:p>
      <w:pPr>
        <w:pStyle w:val="BodyText"/>
      </w:pPr>
    </w:p>
    <w:p>
      <w:pPr>
        <w:pStyle w:val="Heading2"/>
        <w:numPr>
          <w:ilvl w:val="1"/>
          <w:numId w:val="8"/>
        </w:numPr>
        <w:tabs>
          <w:tab w:pos="1488" w:val="left" w:leader="none"/>
        </w:tabs>
        <w:spacing w:line="240" w:lineRule="auto" w:before="0" w:after="0"/>
        <w:ind w:left="1488" w:right="0" w:hanging="355"/>
        <w:jc w:val="left"/>
      </w:pPr>
      <w:bookmarkStart w:name="_bookmark18" w:id="19"/>
      <w:bookmarkEnd w:id="19"/>
      <w:r>
        <w:rPr/>
        <w:t>Ki</w:t>
      </w:r>
      <w:r>
        <w:rPr/>
        <w:t>nerja</w:t>
      </w:r>
      <w:r>
        <w:rPr>
          <w:spacing w:val="-5"/>
        </w:rPr>
        <w:t> </w:t>
      </w:r>
      <w:r>
        <w:rPr>
          <w:spacing w:val="-2"/>
        </w:rPr>
        <w:t>Keuangan</w:t>
      </w:r>
    </w:p>
    <w:p>
      <w:pPr>
        <w:pStyle w:val="Heading2"/>
        <w:spacing w:after="0" w:line="240" w:lineRule="auto"/>
        <w:jc w:val="left"/>
        <w:sectPr>
          <w:pgSz w:w="11910" w:h="16840"/>
          <w:pgMar w:header="718" w:footer="0" w:top="980" w:bottom="280" w:left="1559" w:right="992"/>
        </w:sectPr>
      </w:pPr>
    </w:p>
    <w:p>
      <w:pPr>
        <w:pStyle w:val="BodyText"/>
        <w:rPr>
          <w:b/>
        </w:rPr>
      </w:pPr>
    </w:p>
    <w:p>
      <w:pPr>
        <w:pStyle w:val="BodyText"/>
        <w:rPr>
          <w:b/>
        </w:rPr>
      </w:pPr>
    </w:p>
    <w:p>
      <w:pPr>
        <w:pStyle w:val="BodyText"/>
        <w:rPr>
          <w:b/>
        </w:rPr>
      </w:pPr>
    </w:p>
    <w:p>
      <w:pPr>
        <w:pStyle w:val="BodyText"/>
        <w:spacing w:before="180"/>
        <w:rPr>
          <w:b/>
        </w:rPr>
      </w:pPr>
    </w:p>
    <w:p>
      <w:pPr>
        <w:pStyle w:val="BodyText"/>
        <w:spacing w:line="480" w:lineRule="auto"/>
        <w:ind w:left="1559" w:right="708" w:firstLine="709"/>
        <w:jc w:val="both"/>
      </w:pPr>
      <w:r>
        <w:rPr/>
        <w:t>Perusahaan yang memiliki kinerja baik terdapat dua penilaian utama yang menjadi acuan: kinerja keuangan dan non- keuangan (Parwati &amp; Sudiartha, 2016). Kinerja keuangan dinilai melalui laporan keuangan perusahaan, terdiri dari laporan posisi keuangan, laporan laba rugi komprehensif, laporan perubahan ekuitas, laporan arus kas, dan catatan atas laporan keuangan. Analisis kinerja keuangan menunjukkan seberapa baik</w:t>
      </w:r>
      <w:r>
        <w:rPr>
          <w:spacing w:val="40"/>
        </w:rPr>
        <w:t> </w:t>
      </w:r>
      <w:r>
        <w:rPr/>
        <w:t>perusahaan mematuhi peraturan keuangannya. (Kumalasari, 2016). Kinerja keuangan perusahaan adalah dasar penilaian kondisi keuangan berdasarkan analisis rasio keuangan (Darsono, 2021). Analisis kinerja keuangan menjadi penting karena menjadi landasan bagi pengambilan keputusan dari para pemangku kepentingan internal dan eksternal perusahaan. Hal ini memperlihatkan perlunya pengukuran dan penilaian yang cermat terhadap kinerja keuangan guna memastikan perusahaan dapat bersaing dengan efektif di pasar.</w:t>
      </w:r>
    </w:p>
    <w:p>
      <w:pPr>
        <w:pStyle w:val="BodyText"/>
        <w:spacing w:line="480" w:lineRule="auto"/>
        <w:ind w:left="1559" w:right="707" w:firstLine="709"/>
        <w:jc w:val="both"/>
      </w:pPr>
      <w:r>
        <w:rPr/>
        <w:t>Pengukuran kinerja juga dianggap sebagai alat pengendalian organisasi, dengan memberlakukan sistem </w:t>
      </w:r>
      <w:r>
        <w:rPr>
          <w:i/>
        </w:rPr>
        <w:t>reward </w:t>
      </w:r>
      <w:r>
        <w:rPr/>
        <w:t>dan </w:t>
      </w:r>
      <w:r>
        <w:rPr>
          <w:i/>
        </w:rPr>
        <w:t>punishment</w:t>
      </w:r>
      <w:r>
        <w:rPr/>
        <w:t>, sesuai dengan pendapat Ulan &amp; Alit (2019) kinerja keuangan dianggap sebagai cerminan dari prestasi perusahaan dan dapat digunakan sebagai ukuran untuk menilai kesehatan keuangan perusahaan dalam periode tertentu. Dalam konteks</w:t>
      </w:r>
      <w:r>
        <w:rPr>
          <w:spacing w:val="80"/>
        </w:rPr>
        <w:t> </w:t>
      </w:r>
      <w:r>
        <w:rPr/>
        <w:t>teori</w:t>
      </w:r>
      <w:r>
        <w:rPr>
          <w:spacing w:val="80"/>
        </w:rPr>
        <w:t> </w:t>
      </w:r>
      <w:r>
        <w:rPr/>
        <w:t>legitimasi,</w:t>
      </w:r>
      <w:r>
        <w:rPr>
          <w:spacing w:val="80"/>
        </w:rPr>
        <w:t> </w:t>
      </w:r>
      <w:r>
        <w:rPr/>
        <w:t>perusahaan</w:t>
      </w:r>
      <w:r>
        <w:rPr>
          <w:spacing w:val="80"/>
        </w:rPr>
        <w:t> </w:t>
      </w:r>
      <w:r>
        <w:rPr/>
        <w:t>diharapkan</w:t>
      </w:r>
      <w:r>
        <w:rPr>
          <w:spacing w:val="80"/>
        </w:rPr>
        <w:t> </w:t>
      </w:r>
      <w:r>
        <w:rPr/>
        <w:t>tidak</w:t>
      </w:r>
      <w:r>
        <w:rPr>
          <w:spacing w:val="80"/>
        </w:rPr>
        <w:t> </w:t>
      </w:r>
      <w:r>
        <w:rPr/>
        <w:t>hanya</w:t>
      </w:r>
    </w:p>
    <w:p>
      <w:pPr>
        <w:pStyle w:val="BodyText"/>
        <w:spacing w:after="0" w:line="480" w:lineRule="auto"/>
        <w:jc w:val="both"/>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BodyText"/>
        <w:spacing w:line="480" w:lineRule="auto"/>
        <w:ind w:left="1559" w:right="708"/>
        <w:jc w:val="both"/>
      </w:pPr>
      <w:r>
        <w:rPr/>
        <w:t>memperhatikan keuntungan finansial, tetapi juga mempertimbangkan dampak sosial dan lingkungan dari operasi </w:t>
      </w:r>
      <w:r>
        <w:rPr>
          <w:spacing w:val="-2"/>
        </w:rPr>
        <w:t>bisnisnya.</w:t>
      </w:r>
    </w:p>
    <w:p>
      <w:pPr>
        <w:pStyle w:val="BodyText"/>
        <w:spacing w:line="480" w:lineRule="auto"/>
        <w:ind w:left="1559" w:right="708" w:firstLine="709"/>
        <w:jc w:val="both"/>
      </w:pPr>
      <w:r>
        <w:rPr/>
        <w:t>Uraian tersebut dapat disimpulkan bahwa kinerja keuangan adalah pencapaian prestasi perusahaan dalam kerangka waktu yang</w:t>
      </w:r>
      <w:r>
        <w:rPr>
          <w:spacing w:val="-4"/>
        </w:rPr>
        <w:t> </w:t>
      </w:r>
      <w:r>
        <w:rPr/>
        <w:t>menggunakan</w:t>
      </w:r>
      <w:r>
        <w:rPr>
          <w:spacing w:val="-4"/>
        </w:rPr>
        <w:t> </w:t>
      </w:r>
      <w:r>
        <w:rPr/>
        <w:t>ukuran</w:t>
      </w:r>
      <w:r>
        <w:rPr>
          <w:spacing w:val="-4"/>
        </w:rPr>
        <w:t> </w:t>
      </w:r>
      <w:r>
        <w:rPr/>
        <w:t>profitabilitas,</w:t>
      </w:r>
      <w:r>
        <w:rPr>
          <w:spacing w:val="-4"/>
        </w:rPr>
        <w:t> </w:t>
      </w:r>
      <w:r>
        <w:rPr/>
        <w:t>likuiditas,</w:t>
      </w:r>
      <w:r>
        <w:rPr>
          <w:spacing w:val="-4"/>
        </w:rPr>
        <w:t> </w:t>
      </w:r>
      <w:r>
        <w:rPr/>
        <w:t>dan</w:t>
      </w:r>
      <w:r>
        <w:rPr>
          <w:spacing w:val="-4"/>
        </w:rPr>
        <w:t> </w:t>
      </w:r>
      <w:r>
        <w:rPr/>
        <w:t>kecukupan modal untuk menunjukkan kondisi perekonomian. Mengukur kinerja keuangan bisnis memiliki beberapa tujuan berikut:</w:t>
      </w:r>
    </w:p>
    <w:p>
      <w:pPr>
        <w:pStyle w:val="ListParagraph"/>
        <w:numPr>
          <w:ilvl w:val="0"/>
          <w:numId w:val="9"/>
        </w:numPr>
        <w:tabs>
          <w:tab w:pos="1968" w:val="left" w:leader="none"/>
        </w:tabs>
        <w:spacing w:line="480" w:lineRule="auto" w:before="0" w:after="0"/>
        <w:ind w:left="1968" w:right="709" w:hanging="450"/>
        <w:jc w:val="both"/>
        <w:rPr>
          <w:sz w:val="24"/>
        </w:rPr>
      </w:pPr>
      <w:r>
        <w:rPr>
          <w:sz w:val="24"/>
        </w:rPr>
        <w:t>Memahami likuiditas perusahaan, atau kapasitasnya untuk memenuhi kewajiban keuangan segera.</w:t>
      </w:r>
    </w:p>
    <w:p>
      <w:pPr>
        <w:pStyle w:val="ListParagraph"/>
        <w:numPr>
          <w:ilvl w:val="0"/>
          <w:numId w:val="9"/>
        </w:numPr>
        <w:tabs>
          <w:tab w:pos="1968" w:val="left" w:leader="none"/>
        </w:tabs>
        <w:spacing w:line="480" w:lineRule="auto" w:before="0" w:after="0"/>
        <w:ind w:left="1968" w:right="709" w:hanging="450"/>
        <w:jc w:val="both"/>
        <w:rPr>
          <w:sz w:val="24"/>
        </w:rPr>
      </w:pPr>
      <w:r>
        <w:rPr>
          <w:sz w:val="24"/>
        </w:rPr>
        <w:t>Mengetahui solvabilitas perusahaan, atau kapasitasnya untuk membayar utang jika perusahaan dilikuidasi.</w:t>
      </w:r>
    </w:p>
    <w:p>
      <w:pPr>
        <w:pStyle w:val="ListParagraph"/>
        <w:numPr>
          <w:ilvl w:val="0"/>
          <w:numId w:val="9"/>
        </w:numPr>
        <w:tabs>
          <w:tab w:pos="1968" w:val="left" w:leader="none"/>
        </w:tabs>
        <w:spacing w:line="480" w:lineRule="auto" w:before="0" w:after="0"/>
        <w:ind w:left="1968" w:right="707" w:hanging="450"/>
        <w:jc w:val="both"/>
        <w:rPr>
          <w:sz w:val="24"/>
        </w:rPr>
      </w:pPr>
      <w:r>
        <w:rPr>
          <w:sz w:val="24"/>
        </w:rPr>
        <w:t>Menyadari tingkat profitabilitas atau rentabilitas, yang</w:t>
      </w:r>
      <w:r>
        <w:rPr>
          <w:spacing w:val="40"/>
          <w:sz w:val="24"/>
        </w:rPr>
        <w:t> </w:t>
      </w:r>
      <w:r>
        <w:rPr>
          <w:sz w:val="24"/>
        </w:rPr>
        <w:t>mengacu pada kapasitas bisnis untuk menghasilkan laba dalam jangka waktu tertentu.</w:t>
      </w:r>
    </w:p>
    <w:p>
      <w:pPr>
        <w:pStyle w:val="ListParagraph"/>
        <w:numPr>
          <w:ilvl w:val="0"/>
          <w:numId w:val="9"/>
        </w:numPr>
        <w:tabs>
          <w:tab w:pos="1968" w:val="left" w:leader="none"/>
        </w:tabs>
        <w:spacing w:line="480" w:lineRule="auto" w:before="0" w:after="0"/>
        <w:ind w:left="1968" w:right="708" w:hanging="450"/>
        <w:jc w:val="both"/>
        <w:rPr>
          <w:sz w:val="24"/>
        </w:rPr>
      </w:pPr>
      <w:r>
        <w:rPr>
          <w:sz w:val="24"/>
        </w:rPr>
        <w:t>Mengetahui tingkat stabilitas, khususnya kapasitas bisnis untuk beroperasi dengan stabil, termasuk membayar hutang dan bunga tepat waktu.</w:t>
      </w:r>
    </w:p>
    <w:p>
      <w:pPr>
        <w:pStyle w:val="BodyText"/>
        <w:spacing w:line="480" w:lineRule="auto"/>
        <w:ind w:left="1559" w:right="708" w:firstLine="709"/>
        <w:jc w:val="both"/>
      </w:pPr>
      <w:r>
        <w:rPr/>
        <w:t>Penilaian kinerja perusahaan berbeda-beda sesuai dengan ruang lingkup bisnis masing-masing. Misalnya, perusahaan pertambangan memiliki ruang lingkup yang berbeda dengan perusahaan</w:t>
      </w:r>
      <w:r>
        <w:rPr>
          <w:spacing w:val="37"/>
        </w:rPr>
        <w:t> </w:t>
      </w:r>
      <w:r>
        <w:rPr/>
        <w:t>pertanian</w:t>
      </w:r>
      <w:r>
        <w:rPr>
          <w:spacing w:val="37"/>
        </w:rPr>
        <w:t> </w:t>
      </w:r>
      <w:r>
        <w:rPr/>
        <w:t>atau</w:t>
      </w:r>
      <w:r>
        <w:rPr>
          <w:spacing w:val="37"/>
        </w:rPr>
        <w:t> </w:t>
      </w:r>
      <w:r>
        <w:rPr/>
        <w:t>transportasi.</w:t>
      </w:r>
      <w:r>
        <w:rPr>
          <w:spacing w:val="37"/>
        </w:rPr>
        <w:t> </w:t>
      </w:r>
      <w:r>
        <w:rPr/>
        <w:t>ada</w:t>
      </w:r>
      <w:r>
        <w:rPr>
          <w:spacing w:val="37"/>
        </w:rPr>
        <w:t> </w:t>
      </w:r>
      <w:r>
        <w:rPr/>
        <w:t>lima</w:t>
      </w:r>
      <w:r>
        <w:rPr>
          <w:spacing w:val="37"/>
        </w:rPr>
        <w:t> </w:t>
      </w:r>
      <w:r>
        <w:rPr/>
        <w:t>langkah</w:t>
      </w:r>
      <w:r>
        <w:rPr>
          <w:spacing w:val="37"/>
        </w:rPr>
        <w:t> </w:t>
      </w:r>
      <w:r>
        <w:rPr/>
        <w:t>untuk</w:t>
      </w:r>
    </w:p>
    <w:p>
      <w:pPr>
        <w:pStyle w:val="BodyText"/>
        <w:spacing w:after="0" w:line="480" w:lineRule="auto"/>
        <w:jc w:val="both"/>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BodyText"/>
        <w:spacing w:line="480" w:lineRule="auto"/>
        <w:ind w:left="1559" w:right="710"/>
        <w:jc w:val="both"/>
      </w:pPr>
      <w:r>
        <w:rPr/>
        <w:t>mengevaluasi kinerja keuangan bisnis secara keseluruhan, yaitu (Kumalasari, 2016):</w:t>
      </w:r>
    </w:p>
    <w:p>
      <w:pPr>
        <w:pStyle w:val="ListParagraph"/>
        <w:numPr>
          <w:ilvl w:val="0"/>
          <w:numId w:val="10"/>
        </w:numPr>
        <w:tabs>
          <w:tab w:pos="1984" w:val="left" w:leader="none"/>
        </w:tabs>
        <w:spacing w:line="480" w:lineRule="auto" w:before="0" w:after="0"/>
        <w:ind w:left="1984" w:right="707" w:hanging="426"/>
        <w:jc w:val="both"/>
        <w:rPr>
          <w:sz w:val="24"/>
        </w:rPr>
      </w:pPr>
      <w:r>
        <w:rPr>
          <w:sz w:val="24"/>
        </w:rPr>
        <w:t>Melakukan </w:t>
      </w:r>
      <w:r>
        <w:rPr>
          <w:i/>
          <w:sz w:val="24"/>
        </w:rPr>
        <w:t>review </w:t>
      </w:r>
      <w:r>
        <w:rPr>
          <w:sz w:val="24"/>
        </w:rPr>
        <w:t>terhadap data laporan keuangan untuk memastikan kesesuaiannya dengan kaidah akuntansi yang </w:t>
      </w:r>
      <w:r>
        <w:rPr>
          <w:spacing w:val="-2"/>
          <w:sz w:val="24"/>
        </w:rPr>
        <w:t>berlaku.</w:t>
      </w:r>
    </w:p>
    <w:p>
      <w:pPr>
        <w:pStyle w:val="ListParagraph"/>
        <w:numPr>
          <w:ilvl w:val="0"/>
          <w:numId w:val="10"/>
        </w:numPr>
        <w:tabs>
          <w:tab w:pos="1984" w:val="left" w:leader="none"/>
        </w:tabs>
        <w:spacing w:line="480" w:lineRule="auto" w:before="0" w:after="0"/>
        <w:ind w:left="1984" w:right="708" w:hanging="426"/>
        <w:jc w:val="both"/>
        <w:rPr>
          <w:sz w:val="24"/>
        </w:rPr>
      </w:pPr>
      <w:r>
        <w:rPr>
          <w:sz w:val="24"/>
        </w:rPr>
        <w:t>Melakukan perhitungan yang disesuaikan dengan kondisi dan permasalahan yang ada untuk memperoleh kesimpulan analisis yang diinginkan.</w:t>
      </w:r>
    </w:p>
    <w:p>
      <w:pPr>
        <w:pStyle w:val="ListParagraph"/>
        <w:numPr>
          <w:ilvl w:val="0"/>
          <w:numId w:val="10"/>
        </w:numPr>
        <w:tabs>
          <w:tab w:pos="1984" w:val="left" w:leader="none"/>
        </w:tabs>
        <w:spacing w:line="480" w:lineRule="auto" w:before="0" w:after="0"/>
        <w:ind w:left="1984" w:right="707" w:hanging="426"/>
        <w:jc w:val="both"/>
        <w:rPr>
          <w:sz w:val="24"/>
        </w:rPr>
      </w:pPr>
      <w:r>
        <w:rPr>
          <w:sz w:val="24"/>
        </w:rPr>
        <w:t>Melakukan perbandingan hasil perhitungan dengan perusahaan lain menggunakan metode </w:t>
      </w:r>
      <w:r>
        <w:rPr>
          <w:i/>
          <w:sz w:val="24"/>
        </w:rPr>
        <w:t>time series analysis </w:t>
      </w:r>
      <w:r>
        <w:rPr>
          <w:sz w:val="24"/>
        </w:rPr>
        <w:t>(perbandingan antar waktu) dan </w:t>
      </w:r>
      <w:r>
        <w:rPr>
          <w:i/>
          <w:sz w:val="24"/>
        </w:rPr>
        <w:t>cross sectional approach </w:t>
      </w:r>
      <w:r>
        <w:rPr>
          <w:sz w:val="24"/>
        </w:rPr>
        <w:t>(perbandingan antar perusahaan sejenis secara bersamaan).</w:t>
      </w:r>
    </w:p>
    <w:p>
      <w:pPr>
        <w:pStyle w:val="ListParagraph"/>
        <w:numPr>
          <w:ilvl w:val="0"/>
          <w:numId w:val="10"/>
        </w:numPr>
        <w:tabs>
          <w:tab w:pos="1878" w:val="left" w:leader="none"/>
        </w:tabs>
        <w:spacing w:line="480" w:lineRule="auto" w:before="0" w:after="0"/>
        <w:ind w:left="1878" w:right="707" w:hanging="360"/>
        <w:jc w:val="both"/>
        <w:rPr>
          <w:sz w:val="24"/>
        </w:rPr>
      </w:pPr>
      <w:r>
        <w:rPr>
          <w:sz w:val="24"/>
        </w:rPr>
        <w:t>Menganalisis beberapa masalah yang ditemukan untuk menentukan tantangan yang dihadapi bisnis.</w:t>
      </w:r>
    </w:p>
    <w:p>
      <w:pPr>
        <w:pStyle w:val="ListParagraph"/>
        <w:numPr>
          <w:ilvl w:val="0"/>
          <w:numId w:val="10"/>
        </w:numPr>
        <w:tabs>
          <w:tab w:pos="1878" w:val="left" w:leader="none"/>
        </w:tabs>
        <w:spacing w:line="480" w:lineRule="auto" w:before="0" w:after="0"/>
        <w:ind w:left="1878" w:right="709" w:hanging="360"/>
        <w:jc w:val="both"/>
        <w:rPr>
          <w:sz w:val="24"/>
        </w:rPr>
      </w:pPr>
      <w:r>
        <w:rPr>
          <w:sz w:val="24"/>
        </w:rPr>
        <w:t>Mengidentifikasi masalah dan menawarkan solusi, guna mengatasi kendala yang ada.</w:t>
      </w:r>
    </w:p>
    <w:p>
      <w:pPr>
        <w:spacing w:line="480" w:lineRule="auto" w:before="0"/>
        <w:ind w:left="1559" w:right="707" w:firstLine="850"/>
        <w:jc w:val="both"/>
        <w:rPr>
          <w:sz w:val="24"/>
        </w:rPr>
      </w:pPr>
      <w:r>
        <w:rPr>
          <w:sz w:val="24"/>
        </w:rPr>
        <w:t>Kinerja keuangan dapat diukur menggunakan perhitungan laba yang diperoleh perusahaan. Ada beberapa cara untuk mengukur kinerja keuangan yakni </w:t>
      </w:r>
      <w:r>
        <w:rPr>
          <w:i/>
          <w:sz w:val="24"/>
        </w:rPr>
        <w:t>Return on Assets </w:t>
      </w:r>
      <w:r>
        <w:rPr>
          <w:sz w:val="24"/>
        </w:rPr>
        <w:t>(ROA),</w:t>
      </w:r>
      <w:r>
        <w:rPr>
          <w:spacing w:val="40"/>
          <w:sz w:val="24"/>
        </w:rPr>
        <w:t> </w:t>
      </w:r>
      <w:r>
        <w:rPr>
          <w:i/>
          <w:sz w:val="24"/>
        </w:rPr>
        <w:t>Return on Equity </w:t>
      </w:r>
      <w:r>
        <w:rPr>
          <w:sz w:val="24"/>
        </w:rPr>
        <w:t>(ROE), </w:t>
      </w:r>
      <w:r>
        <w:rPr>
          <w:i/>
          <w:sz w:val="24"/>
        </w:rPr>
        <w:t>Return on Invesment </w:t>
      </w:r>
      <w:r>
        <w:rPr>
          <w:sz w:val="24"/>
        </w:rPr>
        <w:t>(ROI), dan </w:t>
      </w:r>
      <w:r>
        <w:rPr>
          <w:i/>
          <w:sz w:val="24"/>
        </w:rPr>
        <w:t>Return on Invested Capital </w:t>
      </w:r>
      <w:r>
        <w:rPr>
          <w:sz w:val="24"/>
        </w:rPr>
        <w:t>(ROIC) (Salsabilla &amp; Kusumawardani, 2023). Penelitian ini sendiri akan menggunakan ROE sebagai proksi kinerja keuangan. </w:t>
      </w:r>
      <w:r>
        <w:rPr>
          <w:i/>
          <w:sz w:val="24"/>
        </w:rPr>
        <w:t>Return on Equity </w:t>
      </w:r>
      <w:r>
        <w:rPr>
          <w:sz w:val="24"/>
        </w:rPr>
        <w:t>(ROE) merupakan salah satu</w:t>
      </w:r>
    </w:p>
    <w:p>
      <w:pPr>
        <w:spacing w:after="0" w:line="480" w:lineRule="auto"/>
        <w:jc w:val="both"/>
        <w:rPr>
          <w:sz w:val="24"/>
        </w:rPr>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BodyText"/>
        <w:spacing w:line="480" w:lineRule="auto" w:after="4"/>
        <w:ind w:left="1559" w:right="708"/>
        <w:jc w:val="both"/>
      </w:pPr>
      <w:r>
        <w:rPr/>
        <w:t>indikator</w:t>
      </w:r>
      <w:r>
        <w:rPr>
          <w:spacing w:val="-3"/>
        </w:rPr>
        <w:t> </w:t>
      </w:r>
      <w:r>
        <w:rPr/>
        <w:t>penting</w:t>
      </w:r>
      <w:r>
        <w:rPr>
          <w:spacing w:val="-3"/>
        </w:rPr>
        <w:t> </w:t>
      </w:r>
      <w:r>
        <w:rPr/>
        <w:t>yang</w:t>
      </w:r>
      <w:r>
        <w:rPr>
          <w:spacing w:val="-3"/>
        </w:rPr>
        <w:t> </w:t>
      </w:r>
      <w:r>
        <w:rPr/>
        <w:t>sering</w:t>
      </w:r>
      <w:r>
        <w:rPr>
          <w:spacing w:val="-3"/>
        </w:rPr>
        <w:t> </w:t>
      </w:r>
      <w:r>
        <w:rPr/>
        <w:t>digunakan</w:t>
      </w:r>
      <w:r>
        <w:rPr>
          <w:spacing w:val="-3"/>
        </w:rPr>
        <w:t> </w:t>
      </w:r>
      <w:r>
        <w:rPr/>
        <w:t>oleh</w:t>
      </w:r>
      <w:r>
        <w:rPr>
          <w:spacing w:val="-3"/>
        </w:rPr>
        <w:t> </w:t>
      </w:r>
      <w:r>
        <w:rPr/>
        <w:t>investor</w:t>
      </w:r>
      <w:r>
        <w:rPr>
          <w:spacing w:val="-3"/>
        </w:rPr>
        <w:t> </w:t>
      </w:r>
      <w:r>
        <w:rPr/>
        <w:t>dan</w:t>
      </w:r>
      <w:r>
        <w:rPr>
          <w:spacing w:val="-3"/>
        </w:rPr>
        <w:t> </w:t>
      </w:r>
      <w:r>
        <w:rPr/>
        <w:t>manajer dalam menilai efisiensi sebuah perusahaan dalam menghasilkan keuntungan dari setiap dolar ekuitas yang dimiliki. Wairisal (2024) menjelaskan bahwa ROE adalah metrik yang menunjukkan kemampuan perusahaan untuk menghasilkan profit yang akan dikembalikan sebagai nilai bagi pemegang saham. Sebagai salah satu barometer kesehatan finansial perusahaan, ROE memberi gambaran tentang tingkat pengembalian aset yang berada dalam kontrol perusahaan. Jadi, ROE bisa menjadi faktor penentu bagi investor dalam membuat keputusan untuk menanamkan modal mereka ke dalam sebuah perusahaan. Adapun rumus untuk menghitung ROE ini adalah sebagai berikut.</w:t>
      </w:r>
    </w:p>
    <w:p>
      <w:pPr>
        <w:pStyle w:val="BodyText"/>
        <w:ind w:left="2484"/>
        <w:rPr>
          <w:sz w:val="20"/>
        </w:rPr>
      </w:pPr>
      <w:r>
        <w:rPr>
          <w:sz w:val="20"/>
        </w:rPr>
        <mc:AlternateContent>
          <mc:Choice Requires="wps">
            <w:drawing>
              <wp:inline distT="0" distB="0" distL="0" distR="0">
                <wp:extent cx="3086100" cy="593090"/>
                <wp:effectExtent l="9525" t="0" r="0" b="6984"/>
                <wp:docPr id="19" name="Group 19"/>
                <wp:cNvGraphicFramePr>
                  <a:graphicFrameLocks/>
                </wp:cNvGraphicFramePr>
                <a:graphic>
                  <a:graphicData uri="http://schemas.microsoft.com/office/word/2010/wordprocessingGroup">
                    <wpg:wgp>
                      <wpg:cNvPr id="19" name="Group 19"/>
                      <wpg:cNvGrpSpPr/>
                      <wpg:grpSpPr>
                        <a:xfrm>
                          <a:off x="0" y="0"/>
                          <a:ext cx="3086100" cy="593090"/>
                          <a:chExt cx="3086100" cy="593090"/>
                        </a:xfrm>
                      </wpg:grpSpPr>
                      <wps:wsp>
                        <wps:cNvPr id="20" name="Graphic 20"/>
                        <wps:cNvSpPr/>
                        <wps:spPr>
                          <a:xfrm>
                            <a:off x="3174" y="3174"/>
                            <a:ext cx="3079750" cy="586740"/>
                          </a:xfrm>
                          <a:custGeom>
                            <a:avLst/>
                            <a:gdLst/>
                            <a:ahLst/>
                            <a:cxnLst/>
                            <a:rect l="l" t="t" r="r" b="b"/>
                            <a:pathLst>
                              <a:path w="3079750" h="586740">
                                <a:moveTo>
                                  <a:pt x="0" y="0"/>
                                </a:moveTo>
                                <a:lnTo>
                                  <a:pt x="3079750" y="0"/>
                                </a:lnTo>
                                <a:lnTo>
                                  <a:pt x="3079750" y="586739"/>
                                </a:lnTo>
                                <a:lnTo>
                                  <a:pt x="0" y="586739"/>
                                </a:lnTo>
                                <a:lnTo>
                                  <a:pt x="0" y="0"/>
                                </a:lnTo>
                                <a:close/>
                              </a:path>
                            </a:pathLst>
                          </a:custGeom>
                          <a:ln w="6349">
                            <a:solidFill>
                              <a:srgbClr val="000000"/>
                            </a:solidFill>
                            <a:prstDash val="solid"/>
                          </a:ln>
                        </wps:spPr>
                        <wps:bodyPr wrap="square" lIns="0" tIns="0" rIns="0" bIns="0" rtlCol="0">
                          <a:prstTxWarp prst="textNoShape">
                            <a:avLst/>
                          </a:prstTxWarp>
                          <a:noAutofit/>
                        </wps:bodyPr>
                      </wps:wsp>
                      <wps:wsp>
                        <wps:cNvPr id="21" name="Graphic 21"/>
                        <wps:cNvSpPr/>
                        <wps:spPr>
                          <a:xfrm>
                            <a:off x="745628" y="224497"/>
                            <a:ext cx="1571625" cy="1270"/>
                          </a:xfrm>
                          <a:custGeom>
                            <a:avLst/>
                            <a:gdLst/>
                            <a:ahLst/>
                            <a:cxnLst/>
                            <a:rect l="l" t="t" r="r" b="b"/>
                            <a:pathLst>
                              <a:path w="1571625" h="0">
                                <a:moveTo>
                                  <a:pt x="0" y="0"/>
                                </a:moveTo>
                                <a:lnTo>
                                  <a:pt x="1571029" y="0"/>
                                </a:lnTo>
                              </a:path>
                            </a:pathLst>
                          </a:custGeom>
                          <a:ln w="9143">
                            <a:solidFill>
                              <a:srgbClr val="000000"/>
                            </a:solidFill>
                            <a:prstDash val="solid"/>
                          </a:ln>
                        </wps:spPr>
                        <wps:bodyPr wrap="square" lIns="0" tIns="0" rIns="0" bIns="0" rtlCol="0">
                          <a:prstTxWarp prst="textNoShape">
                            <a:avLst/>
                          </a:prstTxWarp>
                          <a:noAutofit/>
                        </wps:bodyPr>
                      </wps:wsp>
                      <wps:wsp>
                        <wps:cNvPr id="22" name="Textbox 22"/>
                        <wps:cNvSpPr txBox="1"/>
                        <wps:spPr>
                          <a:xfrm>
                            <a:off x="187959" y="161162"/>
                            <a:ext cx="474345" cy="153670"/>
                          </a:xfrm>
                          <a:prstGeom prst="rect">
                            <a:avLst/>
                          </a:prstGeom>
                        </wps:spPr>
                        <wps:txbx>
                          <w:txbxContent>
                            <w:p>
                              <w:pPr>
                                <w:spacing w:line="227" w:lineRule="exact" w:before="0"/>
                                <w:ind w:left="0" w:right="0" w:firstLine="0"/>
                                <w:jc w:val="left"/>
                                <w:rPr>
                                  <w:rFonts w:ascii="Cambria"/>
                                  <w:sz w:val="24"/>
                                </w:rPr>
                              </w:pPr>
                              <w:r>
                                <w:rPr>
                                  <w:rFonts w:ascii="Cambria"/>
                                  <w:w w:val="115"/>
                                  <w:sz w:val="24"/>
                                </w:rPr>
                                <w:t>ROE</w:t>
                              </w:r>
                              <w:r>
                                <w:rPr>
                                  <w:rFonts w:ascii="Cambria"/>
                                  <w:spacing w:val="-8"/>
                                  <w:w w:val="115"/>
                                  <w:sz w:val="24"/>
                                </w:rPr>
                                <w:t> </w:t>
                              </w:r>
                              <w:r>
                                <w:rPr>
                                  <w:rFonts w:ascii="Cambria"/>
                                  <w:spacing w:val="-10"/>
                                  <w:w w:val="115"/>
                                  <w:sz w:val="24"/>
                                </w:rPr>
                                <w:t>=</w:t>
                              </w:r>
                            </w:p>
                          </w:txbxContent>
                        </wps:txbx>
                        <wps:bodyPr wrap="square" lIns="0" tIns="0" rIns="0" bIns="0" rtlCol="0">
                          <a:noAutofit/>
                        </wps:bodyPr>
                      </wps:wsp>
                      <wps:wsp>
                        <wps:cNvPr id="23" name="Textbox 23"/>
                        <wps:cNvSpPr txBox="1"/>
                        <wps:spPr>
                          <a:xfrm>
                            <a:off x="745628" y="55790"/>
                            <a:ext cx="1583055" cy="361950"/>
                          </a:xfrm>
                          <a:prstGeom prst="rect">
                            <a:avLst/>
                          </a:prstGeom>
                        </wps:spPr>
                        <wps:txbx>
                          <w:txbxContent>
                            <w:p>
                              <w:pPr>
                                <w:spacing w:line="227" w:lineRule="exact" w:before="0"/>
                                <w:ind w:left="-1" w:right="18" w:firstLine="0"/>
                                <w:jc w:val="center"/>
                                <w:rPr>
                                  <w:rFonts w:ascii="Cambria" w:hAnsi="Cambria" w:eastAsia="Cambria"/>
                                  <w:sz w:val="24"/>
                                </w:rPr>
                              </w:pPr>
                              <w:r>
                                <w:rPr>
                                  <w:rFonts w:ascii="Cambria" w:hAnsi="Cambria" w:eastAsia="Cambria"/>
                                  <w:w w:val="85"/>
                                  <w:sz w:val="24"/>
                                </w:rPr>
                                <w:t>𝐿𝑎𝑏𝑎</w:t>
                              </w:r>
                              <w:r>
                                <w:rPr>
                                  <w:rFonts w:ascii="Cambria" w:hAnsi="Cambria" w:eastAsia="Cambria"/>
                                  <w:spacing w:val="9"/>
                                  <w:sz w:val="24"/>
                                </w:rPr>
                                <w:t> </w:t>
                              </w:r>
                              <w:r>
                                <w:rPr>
                                  <w:rFonts w:ascii="Cambria" w:hAnsi="Cambria" w:eastAsia="Cambria"/>
                                  <w:w w:val="85"/>
                                  <w:sz w:val="24"/>
                                </w:rPr>
                                <w:t>𝐵𝑒𝑟𝑠𝑖ℎ</w:t>
                              </w:r>
                              <w:r>
                                <w:rPr>
                                  <w:rFonts w:ascii="Cambria" w:hAnsi="Cambria" w:eastAsia="Cambria"/>
                                  <w:spacing w:val="9"/>
                                  <w:sz w:val="24"/>
                                </w:rPr>
                                <w:t> </w:t>
                              </w:r>
                              <w:r>
                                <w:rPr>
                                  <w:rFonts w:ascii="Cambria" w:hAnsi="Cambria" w:eastAsia="Cambria"/>
                                  <w:w w:val="85"/>
                                  <w:sz w:val="24"/>
                                </w:rPr>
                                <w:t>𝑆𝑒𝑡𝑒𝑙𝑎ℎ</w:t>
                              </w:r>
                              <w:r>
                                <w:rPr>
                                  <w:rFonts w:ascii="Cambria" w:hAnsi="Cambria" w:eastAsia="Cambria"/>
                                  <w:spacing w:val="10"/>
                                  <w:sz w:val="24"/>
                                </w:rPr>
                                <w:t> </w:t>
                              </w:r>
                              <w:r>
                                <w:rPr>
                                  <w:rFonts w:ascii="Cambria" w:hAnsi="Cambria" w:eastAsia="Cambria"/>
                                  <w:spacing w:val="-4"/>
                                  <w:w w:val="85"/>
                                  <w:sz w:val="24"/>
                                </w:rPr>
                                <w:t>𝑃𝑎𝑗𝑎𝑘</w:t>
                              </w:r>
                            </w:p>
                            <w:p>
                              <w:pPr>
                                <w:spacing w:before="46"/>
                                <w:ind w:left="1" w:right="18" w:firstLine="0"/>
                                <w:jc w:val="center"/>
                                <w:rPr>
                                  <w:rFonts w:ascii="Cambria" w:eastAsia="Cambria"/>
                                  <w:sz w:val="24"/>
                                </w:rPr>
                              </w:pPr>
                              <w:r>
                                <w:rPr>
                                  <w:rFonts w:ascii="Cambria" w:eastAsia="Cambria"/>
                                  <w:spacing w:val="-2"/>
                                  <w:w w:val="90"/>
                                  <w:sz w:val="24"/>
                                </w:rPr>
                                <w:t>𝑇𝑜𝑡𝑎𝑙</w:t>
                              </w:r>
                              <w:r>
                                <w:rPr>
                                  <w:rFonts w:ascii="Cambria" w:eastAsia="Cambria"/>
                                  <w:spacing w:val="-6"/>
                                  <w:sz w:val="24"/>
                                </w:rPr>
                                <w:t> </w:t>
                              </w:r>
                              <w:r>
                                <w:rPr>
                                  <w:rFonts w:ascii="Cambria" w:eastAsia="Cambria"/>
                                  <w:spacing w:val="-2"/>
                                  <w:sz w:val="24"/>
                                </w:rPr>
                                <w:t>𝐸𝑘𝑢𝑖𝑡𝑎𝑠</w:t>
                              </w:r>
                            </w:p>
                          </w:txbxContent>
                        </wps:txbx>
                        <wps:bodyPr wrap="square" lIns="0" tIns="0" rIns="0" bIns="0" rtlCol="0">
                          <a:noAutofit/>
                        </wps:bodyPr>
                      </wps:wsp>
                      <wps:wsp>
                        <wps:cNvPr id="24" name="Textbox 24"/>
                        <wps:cNvSpPr txBox="1"/>
                        <wps:spPr>
                          <a:xfrm>
                            <a:off x="2373892" y="161157"/>
                            <a:ext cx="356870" cy="153670"/>
                          </a:xfrm>
                          <a:prstGeom prst="rect">
                            <a:avLst/>
                          </a:prstGeom>
                        </wps:spPr>
                        <wps:txbx>
                          <w:txbxContent>
                            <w:p>
                              <w:pPr>
                                <w:spacing w:line="227" w:lineRule="exact" w:before="0"/>
                                <w:ind w:left="0" w:right="0" w:firstLine="0"/>
                                <w:jc w:val="left"/>
                                <w:rPr>
                                  <w:rFonts w:ascii="Cambria"/>
                                  <w:sz w:val="24"/>
                                </w:rPr>
                              </w:pPr>
                              <w:r>
                                <w:rPr>
                                  <w:rFonts w:ascii="Cambria"/>
                                  <w:sz w:val="24"/>
                                </w:rPr>
                                <w:t>x</w:t>
                              </w:r>
                              <w:r>
                                <w:rPr>
                                  <w:rFonts w:ascii="Cambria"/>
                                  <w:spacing w:val="12"/>
                                  <w:sz w:val="24"/>
                                </w:rPr>
                                <w:t> </w:t>
                              </w:r>
                              <w:r>
                                <w:rPr>
                                  <w:rFonts w:ascii="Cambria"/>
                                  <w:spacing w:val="-11"/>
                                  <w:sz w:val="24"/>
                                </w:rPr>
                                <w:t>100</w:t>
                              </w:r>
                            </w:p>
                          </w:txbxContent>
                        </wps:txbx>
                        <wps:bodyPr wrap="square" lIns="0" tIns="0" rIns="0" bIns="0" rtlCol="0">
                          <a:noAutofit/>
                        </wps:bodyPr>
                      </wps:wsp>
                    </wpg:wgp>
                  </a:graphicData>
                </a:graphic>
              </wp:inline>
            </w:drawing>
          </mc:Choice>
          <mc:Fallback>
            <w:pict>
              <v:group style="width:243pt;height:46.7pt;mso-position-horizontal-relative:char;mso-position-vertical-relative:line" id="docshapegroup13" coordorigin="0,0" coordsize="4860,934">
                <v:rect style="position:absolute;left:5;top:5;width:4850;height:924" id="docshape14" filled="false" stroked="true" strokeweight=".49997pt" strokecolor="#000000">
                  <v:stroke dashstyle="solid"/>
                </v:rect>
                <v:line style="position:absolute" from="1174,354" to="3648,354" stroked="true" strokeweight=".71997pt" strokecolor="#000000">
                  <v:stroke dashstyle="solid"/>
                </v:line>
                <v:shape style="position:absolute;left:296;top:253;width:747;height:242" type="#_x0000_t202" id="docshape15" filled="false" stroked="false">
                  <v:textbox inset="0,0,0,0">
                    <w:txbxContent>
                      <w:p>
                        <w:pPr>
                          <w:spacing w:line="227" w:lineRule="exact" w:before="0"/>
                          <w:ind w:left="0" w:right="0" w:firstLine="0"/>
                          <w:jc w:val="left"/>
                          <w:rPr>
                            <w:rFonts w:ascii="Cambria"/>
                            <w:sz w:val="24"/>
                          </w:rPr>
                        </w:pPr>
                        <w:r>
                          <w:rPr>
                            <w:rFonts w:ascii="Cambria"/>
                            <w:w w:val="115"/>
                            <w:sz w:val="24"/>
                          </w:rPr>
                          <w:t>ROE</w:t>
                        </w:r>
                        <w:r>
                          <w:rPr>
                            <w:rFonts w:ascii="Cambria"/>
                            <w:spacing w:val="-8"/>
                            <w:w w:val="115"/>
                            <w:sz w:val="24"/>
                          </w:rPr>
                          <w:t> </w:t>
                        </w:r>
                        <w:r>
                          <w:rPr>
                            <w:rFonts w:ascii="Cambria"/>
                            <w:spacing w:val="-10"/>
                            <w:w w:val="115"/>
                            <w:sz w:val="24"/>
                          </w:rPr>
                          <w:t>=</w:t>
                        </w:r>
                      </w:p>
                    </w:txbxContent>
                  </v:textbox>
                  <w10:wrap type="none"/>
                </v:shape>
                <v:shape style="position:absolute;left:1174;top:87;width:2493;height:570" type="#_x0000_t202" id="docshape16" filled="false" stroked="false">
                  <v:textbox inset="0,0,0,0">
                    <w:txbxContent>
                      <w:p>
                        <w:pPr>
                          <w:spacing w:line="227" w:lineRule="exact" w:before="0"/>
                          <w:ind w:left="-1" w:right="18" w:firstLine="0"/>
                          <w:jc w:val="center"/>
                          <w:rPr>
                            <w:rFonts w:ascii="Cambria" w:hAnsi="Cambria" w:eastAsia="Cambria"/>
                            <w:sz w:val="24"/>
                          </w:rPr>
                        </w:pPr>
                        <w:r>
                          <w:rPr>
                            <w:rFonts w:ascii="Cambria" w:hAnsi="Cambria" w:eastAsia="Cambria"/>
                            <w:w w:val="85"/>
                            <w:sz w:val="24"/>
                          </w:rPr>
                          <w:t>𝐿𝑎𝑏𝑎</w:t>
                        </w:r>
                        <w:r>
                          <w:rPr>
                            <w:rFonts w:ascii="Cambria" w:hAnsi="Cambria" w:eastAsia="Cambria"/>
                            <w:spacing w:val="9"/>
                            <w:sz w:val="24"/>
                          </w:rPr>
                          <w:t> </w:t>
                        </w:r>
                        <w:r>
                          <w:rPr>
                            <w:rFonts w:ascii="Cambria" w:hAnsi="Cambria" w:eastAsia="Cambria"/>
                            <w:w w:val="85"/>
                            <w:sz w:val="24"/>
                          </w:rPr>
                          <w:t>𝐵𝑒𝑟𝑠𝑖ℎ</w:t>
                        </w:r>
                        <w:r>
                          <w:rPr>
                            <w:rFonts w:ascii="Cambria" w:hAnsi="Cambria" w:eastAsia="Cambria"/>
                            <w:spacing w:val="9"/>
                            <w:sz w:val="24"/>
                          </w:rPr>
                          <w:t> </w:t>
                        </w:r>
                        <w:r>
                          <w:rPr>
                            <w:rFonts w:ascii="Cambria" w:hAnsi="Cambria" w:eastAsia="Cambria"/>
                            <w:w w:val="85"/>
                            <w:sz w:val="24"/>
                          </w:rPr>
                          <w:t>𝑆𝑒𝑡𝑒𝑙𝑎ℎ</w:t>
                        </w:r>
                        <w:r>
                          <w:rPr>
                            <w:rFonts w:ascii="Cambria" w:hAnsi="Cambria" w:eastAsia="Cambria"/>
                            <w:spacing w:val="10"/>
                            <w:sz w:val="24"/>
                          </w:rPr>
                          <w:t> </w:t>
                        </w:r>
                        <w:r>
                          <w:rPr>
                            <w:rFonts w:ascii="Cambria" w:hAnsi="Cambria" w:eastAsia="Cambria"/>
                            <w:spacing w:val="-4"/>
                            <w:w w:val="85"/>
                            <w:sz w:val="24"/>
                          </w:rPr>
                          <w:t>𝑃𝑎𝑗𝑎𝑘</w:t>
                        </w:r>
                      </w:p>
                      <w:p>
                        <w:pPr>
                          <w:spacing w:before="46"/>
                          <w:ind w:left="1" w:right="18" w:firstLine="0"/>
                          <w:jc w:val="center"/>
                          <w:rPr>
                            <w:rFonts w:ascii="Cambria" w:eastAsia="Cambria"/>
                            <w:sz w:val="24"/>
                          </w:rPr>
                        </w:pPr>
                        <w:r>
                          <w:rPr>
                            <w:rFonts w:ascii="Cambria" w:eastAsia="Cambria"/>
                            <w:spacing w:val="-2"/>
                            <w:w w:val="90"/>
                            <w:sz w:val="24"/>
                          </w:rPr>
                          <w:t>𝑇𝑜𝑡𝑎𝑙</w:t>
                        </w:r>
                        <w:r>
                          <w:rPr>
                            <w:rFonts w:ascii="Cambria" w:eastAsia="Cambria"/>
                            <w:spacing w:val="-6"/>
                            <w:sz w:val="24"/>
                          </w:rPr>
                          <w:t> </w:t>
                        </w:r>
                        <w:r>
                          <w:rPr>
                            <w:rFonts w:ascii="Cambria" w:eastAsia="Cambria"/>
                            <w:spacing w:val="-2"/>
                            <w:sz w:val="24"/>
                          </w:rPr>
                          <w:t>𝐸𝑘𝑢𝑖𝑡𝑎𝑠</w:t>
                        </w:r>
                      </w:p>
                    </w:txbxContent>
                  </v:textbox>
                  <w10:wrap type="none"/>
                </v:shape>
                <v:shape style="position:absolute;left:3738;top:253;width:562;height:242" type="#_x0000_t202" id="docshape17" filled="false" stroked="false">
                  <v:textbox inset="0,0,0,0">
                    <w:txbxContent>
                      <w:p>
                        <w:pPr>
                          <w:spacing w:line="227" w:lineRule="exact" w:before="0"/>
                          <w:ind w:left="0" w:right="0" w:firstLine="0"/>
                          <w:jc w:val="left"/>
                          <w:rPr>
                            <w:rFonts w:ascii="Cambria"/>
                            <w:sz w:val="24"/>
                          </w:rPr>
                        </w:pPr>
                        <w:r>
                          <w:rPr>
                            <w:rFonts w:ascii="Cambria"/>
                            <w:sz w:val="24"/>
                          </w:rPr>
                          <w:t>x</w:t>
                        </w:r>
                        <w:r>
                          <w:rPr>
                            <w:rFonts w:ascii="Cambria"/>
                            <w:spacing w:val="12"/>
                            <w:sz w:val="24"/>
                          </w:rPr>
                          <w:t> </w:t>
                        </w:r>
                        <w:r>
                          <w:rPr>
                            <w:rFonts w:ascii="Cambria"/>
                            <w:spacing w:val="-11"/>
                            <w:sz w:val="24"/>
                          </w:rPr>
                          <w:t>100</w:t>
                        </w:r>
                      </w:p>
                    </w:txbxContent>
                  </v:textbox>
                  <w10:wrap type="none"/>
                </v:shape>
              </v:group>
            </w:pict>
          </mc:Fallback>
        </mc:AlternateContent>
      </w:r>
      <w:r>
        <w:rPr>
          <w:sz w:val="20"/>
        </w:rPr>
      </w:r>
    </w:p>
    <w:p>
      <w:pPr>
        <w:pStyle w:val="BodyText"/>
        <w:spacing w:before="133"/>
      </w:pPr>
    </w:p>
    <w:p>
      <w:pPr>
        <w:pStyle w:val="BodyText"/>
        <w:ind w:left="2126"/>
      </w:pPr>
      <w:r>
        <w:rPr/>
        <w:t>Sumber:</w:t>
      </w:r>
      <w:r>
        <w:rPr>
          <w:spacing w:val="-4"/>
        </w:rPr>
        <w:t> </w:t>
      </w:r>
      <w:r>
        <w:rPr/>
        <w:t>Ardiyanto</w:t>
      </w:r>
      <w:r>
        <w:rPr>
          <w:spacing w:val="-4"/>
        </w:rPr>
        <w:t> </w:t>
      </w:r>
      <w:r>
        <w:rPr/>
        <w:t>et.</w:t>
      </w:r>
      <w:r>
        <w:rPr>
          <w:spacing w:val="-4"/>
        </w:rPr>
        <w:t> </w:t>
      </w:r>
      <w:r>
        <w:rPr/>
        <w:t>al.</w:t>
      </w:r>
      <w:r>
        <w:rPr>
          <w:spacing w:val="-4"/>
        </w:rPr>
        <w:t> </w:t>
      </w:r>
      <w:r>
        <w:rPr>
          <w:spacing w:val="-2"/>
        </w:rPr>
        <w:t>(2020)</w:t>
      </w:r>
    </w:p>
    <w:p>
      <w:pPr>
        <w:pStyle w:val="BodyText"/>
        <w:spacing w:before="41"/>
      </w:pPr>
    </w:p>
    <w:p>
      <w:pPr>
        <w:pStyle w:val="BodyText"/>
        <w:spacing w:line="480" w:lineRule="auto"/>
        <w:ind w:left="1560" w:right="708" w:firstLine="567"/>
        <w:jc w:val="both"/>
      </w:pPr>
      <w:r>
        <w:rPr/>
        <w:t>Berbagai penjelasan di atas Kinerja keuangan perusahaan menggambarkan kondisi keuangan perusahaan selama periode waktu tertentu, termasuk kemampuannya dalam menyediakan keuangan maupun penyaluran dana dan biasanya diukur dengan menggunakan indikator kecukupan modal,</w:t>
      </w:r>
      <w:r>
        <w:rPr>
          <w:spacing w:val="-2"/>
        </w:rPr>
        <w:t> </w:t>
      </w:r>
      <w:r>
        <w:rPr/>
        <w:t>likuiditas dan profitabilitas.</w:t>
      </w:r>
      <w:r>
        <w:rPr>
          <w:spacing w:val="-4"/>
        </w:rPr>
        <w:t> </w:t>
      </w:r>
      <w:r>
        <w:rPr/>
        <w:t>Salah satu cara untuk mengetahui kinerja keuangan suatu perusahaan adalah dengan menganalisis laporan keuangan perusahaan</w:t>
      </w:r>
      <w:r>
        <w:rPr>
          <w:spacing w:val="40"/>
        </w:rPr>
        <w:t>  </w:t>
      </w:r>
      <w:r>
        <w:rPr/>
        <w:t>tersebut</w:t>
      </w:r>
      <w:r>
        <w:rPr>
          <w:spacing w:val="40"/>
        </w:rPr>
        <w:t>  </w:t>
      </w:r>
      <w:r>
        <w:rPr/>
        <w:t>dengan</w:t>
      </w:r>
      <w:r>
        <w:rPr>
          <w:spacing w:val="40"/>
        </w:rPr>
        <w:t>  </w:t>
      </w:r>
      <w:r>
        <w:rPr/>
        <w:t>rasio-rasio</w:t>
      </w:r>
      <w:r>
        <w:rPr>
          <w:spacing w:val="40"/>
        </w:rPr>
        <w:t>  </w:t>
      </w:r>
      <w:r>
        <w:rPr/>
        <w:t>keuangan.</w:t>
      </w:r>
      <w:r>
        <w:rPr>
          <w:spacing w:val="40"/>
        </w:rPr>
        <w:t>  </w:t>
      </w:r>
      <w:r>
        <w:rPr/>
        <w:t>Untuk</w:t>
      </w:r>
    </w:p>
    <w:p>
      <w:pPr>
        <w:pStyle w:val="BodyText"/>
        <w:spacing w:after="0" w:line="480" w:lineRule="auto"/>
        <w:jc w:val="both"/>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BodyText"/>
        <w:spacing w:line="480" w:lineRule="auto"/>
        <w:ind w:left="1559" w:right="710"/>
        <w:jc w:val="both"/>
      </w:pPr>
      <w:r>
        <w:rPr/>
        <w:t>mengetahui kinerja keuangan perusahaan tersebut baik atau buruk,</w:t>
      </w:r>
      <w:r>
        <w:rPr>
          <w:spacing w:val="-2"/>
        </w:rPr>
        <w:t> </w:t>
      </w:r>
      <w:r>
        <w:rPr/>
        <w:t>maka harus dilakukannya analisis laporan keuangan perusahaan (Sari, et al. 2023).</w:t>
      </w:r>
    </w:p>
    <w:p>
      <w:pPr>
        <w:pStyle w:val="Heading3"/>
        <w:numPr>
          <w:ilvl w:val="1"/>
          <w:numId w:val="8"/>
        </w:numPr>
        <w:tabs>
          <w:tab w:pos="1557" w:val="left" w:leader="none"/>
        </w:tabs>
        <w:spacing w:line="240" w:lineRule="auto" w:before="0" w:after="0"/>
        <w:ind w:left="1557" w:right="0" w:hanging="355"/>
        <w:jc w:val="both"/>
      </w:pPr>
      <w:bookmarkStart w:name="_bookmark19" w:id="20"/>
      <w:bookmarkEnd w:id="20"/>
      <w:r>
        <w:rPr>
          <w:i w:val="0"/>
          <w:spacing w:val="23"/>
        </w:rPr>
      </w:r>
      <w:r>
        <w:rPr/>
        <w:t>Political</w:t>
      </w:r>
      <w:r>
        <w:rPr>
          <w:spacing w:val="-8"/>
        </w:rPr>
        <w:t> </w:t>
      </w:r>
      <w:r>
        <w:rPr>
          <w:spacing w:val="-4"/>
        </w:rPr>
        <w:t>Cost</w:t>
      </w:r>
    </w:p>
    <w:p>
      <w:pPr>
        <w:pStyle w:val="BodyText"/>
        <w:rPr>
          <w:b/>
          <w:i/>
        </w:rPr>
      </w:pPr>
    </w:p>
    <w:p>
      <w:pPr>
        <w:pStyle w:val="BodyText"/>
        <w:spacing w:line="480" w:lineRule="auto"/>
        <w:ind w:left="1559" w:right="708" w:firstLine="709"/>
        <w:jc w:val="both"/>
      </w:pPr>
      <w:r>
        <w:rPr/>
        <w:t>Sebuah perusahaan dikatakan berafiliasi secara politik jika presiden (CEO) perusahaan tersebut adalah pejabat pemerintah atau anggota organisasi politik saat ini atau sebelumnya</w:t>
      </w:r>
      <w:r>
        <w:rPr>
          <w:spacing w:val="40"/>
        </w:rPr>
        <w:t> </w:t>
      </w:r>
      <w:r>
        <w:rPr/>
        <w:t>(Purwanto &amp; Harsono, 2022). Industri yang berafiliasi secara</w:t>
      </w:r>
      <w:r>
        <w:rPr>
          <w:spacing w:val="40"/>
        </w:rPr>
        <w:t> </w:t>
      </w:r>
      <w:r>
        <w:rPr/>
        <w:t>politik adalah perusahaan di mana setidaknya salah satu dari pemegang saham mayoritas adalah anggota dewan direksi,</w:t>
      </w:r>
      <w:r>
        <w:rPr>
          <w:spacing w:val="40"/>
        </w:rPr>
        <w:t> </w:t>
      </w:r>
      <w:r>
        <w:rPr/>
        <w:t>dewan eksekutif, atau manajemen perusahaan yang memiliki hubungan dekat dengan partai politik atau memegang posisi pejabat negara atau anggota parlemen (Krsitanto, 2019). Artinya, dapat disimpulkan bahwa Koneksi politik adalah kondisi di mana terdapat relasi antara pihak tertentu dengan relasi koneksi politik yang digunakan untuk mencapai banyak hal yang memberikan keuntungan kepada masing-masing pihak yang digunakan untuk mencapai keuntungan.</w:t>
      </w:r>
    </w:p>
    <w:p>
      <w:pPr>
        <w:pStyle w:val="BodyText"/>
        <w:spacing w:line="480" w:lineRule="auto"/>
        <w:ind w:left="1559" w:right="707" w:firstLine="709"/>
        <w:jc w:val="both"/>
      </w:pPr>
      <w:r>
        <w:rPr/>
        <w:t>Motivasi perusahaan untuk melakukan ini termasuk menunjukkan bahwa keuntungan yang diperoleh adalah wajar untuk menghindari kendala politik seperti tuduhan monopoli, serta menghindari tuntutan serikat kerja dengan menunjukkan bahwa laba perusahaan menurun (Jayanti &amp; Sapari, 2016). Hipotesis ini</w:t>
      </w:r>
    </w:p>
    <w:p>
      <w:pPr>
        <w:pStyle w:val="BodyText"/>
        <w:spacing w:after="0" w:line="480" w:lineRule="auto"/>
        <w:jc w:val="both"/>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BodyText"/>
        <w:spacing w:line="480" w:lineRule="auto"/>
        <w:ind w:left="1559" w:right="708"/>
        <w:jc w:val="both"/>
      </w:pPr>
      <w:r>
        <w:rPr/>
        <w:t>didasarkan pada asumsi bahwa perusahaan dengan biaya politik yang besar lebih sensitif dalam hubungannya dengan transfer kemakmuran yang lebih besar dibandingkan perusahaan dengan biaya</w:t>
      </w:r>
      <w:r>
        <w:rPr>
          <w:spacing w:val="-1"/>
        </w:rPr>
        <w:t> </w:t>
      </w:r>
      <w:r>
        <w:rPr/>
        <w:t>politik</w:t>
      </w:r>
      <w:r>
        <w:rPr>
          <w:spacing w:val="-1"/>
        </w:rPr>
        <w:t> </w:t>
      </w:r>
      <w:r>
        <w:rPr/>
        <w:t>yang</w:t>
      </w:r>
      <w:r>
        <w:rPr>
          <w:spacing w:val="-1"/>
        </w:rPr>
        <w:t> </w:t>
      </w:r>
      <w:r>
        <w:rPr/>
        <w:t>kecil.</w:t>
      </w:r>
      <w:r>
        <w:rPr>
          <w:spacing w:val="-1"/>
        </w:rPr>
        <w:t> </w:t>
      </w:r>
      <w:r>
        <w:rPr/>
        <w:t>Dengan</w:t>
      </w:r>
      <w:r>
        <w:rPr>
          <w:spacing w:val="-1"/>
        </w:rPr>
        <w:t> </w:t>
      </w:r>
      <w:r>
        <w:rPr/>
        <w:t>kata</w:t>
      </w:r>
      <w:r>
        <w:rPr>
          <w:spacing w:val="-1"/>
        </w:rPr>
        <w:t> </w:t>
      </w:r>
      <w:r>
        <w:rPr/>
        <w:t>lain,</w:t>
      </w:r>
      <w:r>
        <w:rPr>
          <w:spacing w:val="-1"/>
        </w:rPr>
        <w:t> </w:t>
      </w:r>
      <w:r>
        <w:rPr/>
        <w:t>bisnis</w:t>
      </w:r>
      <w:r>
        <w:rPr>
          <w:spacing w:val="-1"/>
        </w:rPr>
        <w:t> </w:t>
      </w:r>
      <w:r>
        <w:rPr/>
        <w:t>besar</w:t>
      </w:r>
      <w:r>
        <w:rPr>
          <w:spacing w:val="-1"/>
        </w:rPr>
        <w:t> </w:t>
      </w:r>
      <w:r>
        <w:rPr/>
        <w:t>lebih</w:t>
      </w:r>
      <w:r>
        <w:rPr>
          <w:spacing w:val="-1"/>
        </w:rPr>
        <w:t> </w:t>
      </w:r>
      <w:r>
        <w:rPr/>
        <w:t>rentan daripada bisnis kecil untuk memotong atau mengurangi pendapatan yang dilaporkan. (Januarti &amp; Indira 2004).</w:t>
      </w:r>
    </w:p>
    <w:p>
      <w:pPr>
        <w:pStyle w:val="BodyText"/>
        <w:spacing w:line="480" w:lineRule="auto"/>
        <w:ind w:left="1559" w:right="707" w:firstLine="709"/>
        <w:jc w:val="both"/>
      </w:pPr>
      <w:r>
        <w:rPr/>
        <w:t>Teori akuntansi positif menyatakan bahwa ada tiga hubungan keagenan (Ghozali &amp; Chariri, 2007 dalam Ardilasari S. 2018) yang berkaitan dengan biaya politik, yaitu hubungan antara pemerintah dan manajemen. Untuk menghindari peningkatan pemeriksaan pemerintah, analis sekuritas, dan pihak lain yang berkepentingan, para manajer biasanya melaporkan pendapatan mereka secara konservatif. Perusahaan-perusahaan besar biasanya menghadapi sejumlah dampak., seperti harus menyediakan pelayanan publik yang lebih baik dan membayar pajak yang lebih tinggi.</w:t>
      </w:r>
    </w:p>
    <w:p>
      <w:pPr>
        <w:pStyle w:val="BodyText"/>
        <w:spacing w:line="480" w:lineRule="auto"/>
        <w:ind w:left="1559" w:right="708" w:firstLine="709"/>
        <w:jc w:val="both"/>
      </w:pPr>
      <w:r>
        <w:rPr>
          <w:i/>
        </w:rPr>
        <w:t>Political Cost </w:t>
      </w:r>
      <w:r>
        <w:rPr/>
        <w:t>dapat dipengaruhi oleh beberapa faktor</w:t>
      </w:r>
      <w:r>
        <w:rPr>
          <w:spacing w:val="80"/>
        </w:rPr>
        <w:t> </w:t>
      </w:r>
      <w:r>
        <w:rPr/>
        <w:t>utama yang menentukan tingkat risiko dan potensi intervensi yang mungkin dihadapi oleh perusahaan (Kumalasari, 2016):</w:t>
      </w:r>
    </w:p>
    <w:p>
      <w:pPr>
        <w:pStyle w:val="BodyText"/>
      </w:pPr>
    </w:p>
    <w:p>
      <w:pPr>
        <w:pStyle w:val="BodyText"/>
      </w:pPr>
    </w:p>
    <w:p>
      <w:pPr>
        <w:pStyle w:val="BodyText"/>
      </w:pPr>
    </w:p>
    <w:p>
      <w:pPr>
        <w:pStyle w:val="BodyText"/>
      </w:pPr>
    </w:p>
    <w:p>
      <w:pPr>
        <w:pStyle w:val="ListParagraph"/>
        <w:numPr>
          <w:ilvl w:val="0"/>
          <w:numId w:val="11"/>
        </w:numPr>
        <w:tabs>
          <w:tab w:pos="1983" w:val="left" w:leader="none"/>
        </w:tabs>
        <w:spacing w:line="240" w:lineRule="auto" w:before="0" w:after="0"/>
        <w:ind w:left="1983" w:right="0" w:hanging="389"/>
        <w:jc w:val="left"/>
        <w:rPr>
          <w:sz w:val="24"/>
        </w:rPr>
      </w:pPr>
      <w:r>
        <w:rPr>
          <w:sz w:val="24"/>
        </w:rPr>
        <w:t>Ukuran</w:t>
      </w:r>
      <w:r>
        <w:rPr>
          <w:spacing w:val="-5"/>
          <w:sz w:val="24"/>
        </w:rPr>
        <w:t> </w:t>
      </w:r>
      <w:r>
        <w:rPr>
          <w:spacing w:val="-2"/>
          <w:sz w:val="24"/>
        </w:rPr>
        <w:t>Perusahaan:</w:t>
      </w:r>
    </w:p>
    <w:p>
      <w:pPr>
        <w:pStyle w:val="ListParagraph"/>
        <w:spacing w:after="0" w:line="240" w:lineRule="auto"/>
        <w:jc w:val="left"/>
        <w:rPr>
          <w:sz w:val="24"/>
        </w:rPr>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BodyText"/>
        <w:spacing w:line="480" w:lineRule="auto"/>
        <w:ind w:left="1984" w:right="708"/>
        <w:jc w:val="both"/>
      </w:pPr>
      <w:r>
        <w:rPr/>
        <w:t>Perusahaan</w:t>
      </w:r>
      <w:r>
        <w:rPr>
          <w:spacing w:val="-1"/>
        </w:rPr>
        <w:t> </w:t>
      </w:r>
      <w:r>
        <w:rPr/>
        <w:t>besar</w:t>
      </w:r>
      <w:r>
        <w:rPr>
          <w:spacing w:val="-1"/>
        </w:rPr>
        <w:t> </w:t>
      </w:r>
      <w:r>
        <w:rPr/>
        <w:t>lebih</w:t>
      </w:r>
      <w:r>
        <w:rPr>
          <w:spacing w:val="-1"/>
        </w:rPr>
        <w:t> </w:t>
      </w:r>
      <w:r>
        <w:rPr/>
        <w:t>rentan</w:t>
      </w:r>
      <w:r>
        <w:rPr>
          <w:spacing w:val="-1"/>
        </w:rPr>
        <w:t> </w:t>
      </w:r>
      <w:r>
        <w:rPr/>
        <w:t>terhadap</w:t>
      </w:r>
      <w:r>
        <w:rPr>
          <w:spacing w:val="-1"/>
        </w:rPr>
        <w:t> </w:t>
      </w:r>
      <w:r>
        <w:rPr/>
        <w:t>perhatian</w:t>
      </w:r>
      <w:r>
        <w:rPr>
          <w:spacing w:val="-1"/>
        </w:rPr>
        <w:t> </w:t>
      </w:r>
      <w:r>
        <w:rPr/>
        <w:t>pemerintah dan kelompok eksternal karena dampaknya yang lebih luas terhadap ekonomi dan masyarakat. Dengan skala operasional yang besar dan aset yang signifikan, perusahaan-perusahaan ini sering kali dianggap mampu menanggung beban regulasi tambahan. Perusahaan besar juga cenderung lebih menonjol di mata publik dan media, sehingga lebih mungkin menjadi target intervensi politik dan sosial.</w:t>
      </w:r>
    </w:p>
    <w:p>
      <w:pPr>
        <w:pStyle w:val="ListParagraph"/>
        <w:numPr>
          <w:ilvl w:val="0"/>
          <w:numId w:val="11"/>
        </w:numPr>
        <w:tabs>
          <w:tab w:pos="1983" w:val="left" w:leader="none"/>
        </w:tabs>
        <w:spacing w:line="240" w:lineRule="auto" w:before="0" w:after="0"/>
        <w:ind w:left="1983" w:right="0" w:hanging="425"/>
        <w:jc w:val="both"/>
        <w:rPr>
          <w:sz w:val="24"/>
        </w:rPr>
      </w:pPr>
      <w:r>
        <w:rPr>
          <w:sz w:val="24"/>
        </w:rPr>
        <w:t>Industri</w:t>
      </w:r>
      <w:r>
        <w:rPr>
          <w:spacing w:val="-7"/>
          <w:sz w:val="24"/>
        </w:rPr>
        <w:t> </w:t>
      </w:r>
      <w:r>
        <w:rPr>
          <w:spacing w:val="-2"/>
          <w:sz w:val="24"/>
        </w:rPr>
        <w:t>Tertentu:</w:t>
      </w:r>
    </w:p>
    <w:p>
      <w:pPr>
        <w:pStyle w:val="BodyText"/>
      </w:pPr>
    </w:p>
    <w:p>
      <w:pPr>
        <w:pStyle w:val="BodyText"/>
        <w:spacing w:line="480" w:lineRule="auto"/>
        <w:ind w:left="1984" w:right="708"/>
        <w:jc w:val="both"/>
      </w:pPr>
      <w:r>
        <w:rPr/>
        <w:t>Industri</w:t>
      </w:r>
      <w:r>
        <w:rPr>
          <w:spacing w:val="-5"/>
        </w:rPr>
        <w:t> </w:t>
      </w:r>
      <w:r>
        <w:rPr/>
        <w:t>yang</w:t>
      </w:r>
      <w:r>
        <w:rPr>
          <w:spacing w:val="-5"/>
        </w:rPr>
        <w:t> </w:t>
      </w:r>
      <w:r>
        <w:rPr/>
        <w:t>dianggap</w:t>
      </w:r>
      <w:r>
        <w:rPr>
          <w:spacing w:val="-5"/>
        </w:rPr>
        <w:t> </w:t>
      </w:r>
      <w:r>
        <w:rPr/>
        <w:t>memiliki</w:t>
      </w:r>
      <w:r>
        <w:rPr>
          <w:spacing w:val="-5"/>
        </w:rPr>
        <w:t> </w:t>
      </w:r>
      <w:r>
        <w:rPr/>
        <w:t>dampak</w:t>
      </w:r>
      <w:r>
        <w:rPr>
          <w:spacing w:val="-5"/>
        </w:rPr>
        <w:t> </w:t>
      </w:r>
      <w:r>
        <w:rPr/>
        <w:t>sosial</w:t>
      </w:r>
      <w:r>
        <w:rPr>
          <w:spacing w:val="-5"/>
        </w:rPr>
        <w:t> </w:t>
      </w:r>
      <w:r>
        <w:rPr/>
        <w:t>dan</w:t>
      </w:r>
      <w:r>
        <w:rPr>
          <w:spacing w:val="-5"/>
        </w:rPr>
        <w:t> </w:t>
      </w:r>
      <w:r>
        <w:rPr/>
        <w:t>lingkungan yang signifikan, seperti industri minyak dan gas, pertambangan, dan farmasi, cenderung menghadapi biaya politik yang lebih tinggi. Sektor-sektor ini sering kali berada di bawah pengawasan ketat karena dampak potensialnya terhadap kesehatan publik, keselamatan, dan lingkungan. Kebijakan dan regulasi yang ketat diterapkan untuk mengendalikan dampak negatif dari operasi industri ini.</w:t>
      </w:r>
    </w:p>
    <w:p>
      <w:pPr>
        <w:pStyle w:val="ListParagraph"/>
        <w:numPr>
          <w:ilvl w:val="0"/>
          <w:numId w:val="11"/>
        </w:numPr>
        <w:tabs>
          <w:tab w:pos="1983" w:val="left" w:leader="none"/>
        </w:tabs>
        <w:spacing w:line="240" w:lineRule="auto" w:before="0" w:after="0"/>
        <w:ind w:left="1983" w:right="0" w:hanging="425"/>
        <w:jc w:val="both"/>
        <w:rPr>
          <w:sz w:val="24"/>
        </w:rPr>
      </w:pPr>
      <w:r>
        <w:rPr>
          <w:sz w:val="24"/>
        </w:rPr>
        <w:t>Profitabilitas </w:t>
      </w:r>
      <w:r>
        <w:rPr>
          <w:spacing w:val="-2"/>
          <w:sz w:val="24"/>
        </w:rPr>
        <w:t>Tinggi:</w:t>
      </w:r>
    </w:p>
    <w:p>
      <w:pPr>
        <w:pStyle w:val="BodyText"/>
      </w:pPr>
    </w:p>
    <w:p>
      <w:pPr>
        <w:pStyle w:val="BodyText"/>
        <w:spacing w:line="480" w:lineRule="auto"/>
        <w:ind w:left="1984" w:right="708"/>
        <w:jc w:val="both"/>
      </w:pPr>
      <w:r>
        <w:rPr/>
        <w:t>Perusahaan yang sangat menguntungkan mungkin menjadi target regulasi dan perpajakan tambahan karena dianggap mampu memberikan kontribusi lebih besar kepada</w:t>
      </w:r>
      <w:r>
        <w:rPr>
          <w:spacing w:val="40"/>
        </w:rPr>
        <w:t> </w:t>
      </w:r>
      <w:r>
        <w:rPr/>
        <w:t>masyarakat dan negara. Profitabilitas tinggi dapat menarik perhatian</w:t>
      </w:r>
      <w:r>
        <w:rPr>
          <w:spacing w:val="76"/>
          <w:w w:val="150"/>
        </w:rPr>
        <w:t>  </w:t>
      </w:r>
      <w:r>
        <w:rPr/>
        <w:t>pemerintah</w:t>
      </w:r>
      <w:r>
        <w:rPr>
          <w:spacing w:val="76"/>
          <w:w w:val="150"/>
        </w:rPr>
        <w:t>  </w:t>
      </w:r>
      <w:r>
        <w:rPr/>
        <w:t>yang</w:t>
      </w:r>
      <w:r>
        <w:rPr>
          <w:spacing w:val="76"/>
          <w:w w:val="150"/>
        </w:rPr>
        <w:t>  </w:t>
      </w:r>
      <w:r>
        <w:rPr/>
        <w:t>berusaha</w:t>
      </w:r>
      <w:r>
        <w:rPr>
          <w:spacing w:val="76"/>
          <w:w w:val="150"/>
        </w:rPr>
        <w:t>  </w:t>
      </w:r>
      <w:r>
        <w:rPr/>
        <w:t>meningkatkan</w:t>
      </w:r>
    </w:p>
    <w:p>
      <w:pPr>
        <w:pStyle w:val="BodyText"/>
        <w:spacing w:after="0" w:line="480" w:lineRule="auto"/>
        <w:jc w:val="both"/>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BodyText"/>
        <w:spacing w:line="480" w:lineRule="auto"/>
        <w:ind w:left="1984" w:right="708"/>
        <w:jc w:val="both"/>
      </w:pPr>
      <w:r>
        <w:rPr/>
        <w:t>pendapatan melalui pajak atau mencari kontribusi tambahan dari perusahaan-perusahaan yang dinilai mampu memberikan lebih banyak.</w:t>
      </w:r>
    </w:p>
    <w:p>
      <w:pPr>
        <w:pStyle w:val="ListParagraph"/>
        <w:numPr>
          <w:ilvl w:val="0"/>
          <w:numId w:val="11"/>
        </w:numPr>
        <w:tabs>
          <w:tab w:pos="1983" w:val="left" w:leader="none"/>
        </w:tabs>
        <w:spacing w:line="240" w:lineRule="auto" w:before="0" w:after="0"/>
        <w:ind w:left="1983" w:right="0" w:hanging="425"/>
        <w:jc w:val="both"/>
        <w:rPr>
          <w:sz w:val="24"/>
        </w:rPr>
      </w:pPr>
      <w:r>
        <w:rPr>
          <w:sz w:val="24"/>
        </w:rPr>
        <w:t>Isu</w:t>
      </w:r>
      <w:r>
        <w:rPr>
          <w:spacing w:val="-3"/>
          <w:sz w:val="24"/>
        </w:rPr>
        <w:t> </w:t>
      </w:r>
      <w:r>
        <w:rPr>
          <w:sz w:val="24"/>
        </w:rPr>
        <w:t>Sosial</w:t>
      </w:r>
      <w:r>
        <w:rPr>
          <w:spacing w:val="-3"/>
          <w:sz w:val="24"/>
        </w:rPr>
        <w:t> </w:t>
      </w:r>
      <w:r>
        <w:rPr>
          <w:sz w:val="24"/>
        </w:rPr>
        <w:t>dan</w:t>
      </w:r>
      <w:r>
        <w:rPr>
          <w:spacing w:val="-2"/>
          <w:sz w:val="24"/>
        </w:rPr>
        <w:t> Lingkungan</w:t>
      </w:r>
    </w:p>
    <w:p>
      <w:pPr>
        <w:pStyle w:val="BodyText"/>
      </w:pPr>
    </w:p>
    <w:p>
      <w:pPr>
        <w:pStyle w:val="BodyText"/>
        <w:spacing w:line="480" w:lineRule="auto"/>
        <w:ind w:left="1984" w:right="708"/>
        <w:jc w:val="both"/>
      </w:pPr>
      <w:r>
        <w:rPr/>
        <w:t>Perusahaan yang terlibat dalam aktivitas yang berpotensi merugikan lingkungan atau masyarakat dapat menghadapi tekanan dari aktivis, NGO, dan masyarakat umum, yang kemudian mendorong intervensi pemerintah. Isu-isu seperti pencemaran lingkungan, eksploitasi tenaga kerja, dan praktik bisnis yang tidak etis dapat memicu reaksi keras dari berbagai pemangku kepentingan, termasuk regulator dan legislator.</w:t>
      </w:r>
    </w:p>
    <w:p>
      <w:pPr>
        <w:pStyle w:val="BodyText"/>
        <w:spacing w:line="480" w:lineRule="auto"/>
        <w:ind w:left="1560" w:right="707" w:firstLine="709"/>
        <w:jc w:val="both"/>
      </w:pPr>
      <w:r>
        <w:rPr/>
        <w:t>Perusahaan yang menghadapi </w:t>
      </w:r>
      <w:r>
        <w:rPr>
          <w:i/>
        </w:rPr>
        <w:t>political cost </w:t>
      </w:r>
      <w:r>
        <w:rPr/>
        <w:t>yang tinggi mungkin mengambil langkah-langkah strategis dalam kebijakan akuntansi dan manajerial untuk mengurangi eksposur mereka terhadap intervensi eksternal. Berikut beberapa strategi yang mungkin diterapkan (Siregar, 2023) yakni : manajemen laba, pengungkapan sosial dan lingkungan</w:t>
      </w:r>
      <w:r>
        <w:rPr>
          <w:b/>
        </w:rPr>
        <w:t>, </w:t>
      </w:r>
      <w:r>
        <w:rPr>
          <w:i/>
        </w:rPr>
        <w:t>lobbying </w:t>
      </w:r>
      <w:r>
        <w:rPr/>
        <w:t>dan hubungan pemerintah serta investasi dalam praktik berkelanjutan.</w:t>
      </w:r>
    </w:p>
    <w:p>
      <w:pPr>
        <w:pStyle w:val="BodyText"/>
        <w:spacing w:line="480" w:lineRule="auto"/>
        <w:ind w:left="1560" w:right="708" w:firstLine="709"/>
        <w:jc w:val="both"/>
      </w:pPr>
      <w:r>
        <w:rPr/>
        <w:t>Menurut Watts &amp; Zimmerman (dalam Noviani &amp; Suardana, 2019). Pajak, peraturan, subsidi pemerintah, tarif, antimonopoli, tuntutan buruh, dan biaya lain yang harus dibayar oleh bisnis sehubungan dengan aktivitas politik semuanya dianggap sebagai</w:t>
      </w:r>
    </w:p>
    <w:p>
      <w:pPr>
        <w:pStyle w:val="BodyText"/>
        <w:spacing w:after="0" w:line="480" w:lineRule="auto"/>
        <w:jc w:val="both"/>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BodyText"/>
        <w:spacing w:line="480" w:lineRule="auto"/>
        <w:ind w:left="1559"/>
      </w:pPr>
      <w:r>
        <w:rPr/>
        <w:t>biaya politik (transfer kekayaan). Biaya politik dapat dinilai dengan menggunakan empat metrik, khususnya:</w:t>
      </w:r>
    </w:p>
    <w:p>
      <w:pPr>
        <w:pStyle w:val="BodyText"/>
      </w:pPr>
    </w:p>
    <w:p>
      <w:pPr>
        <w:pStyle w:val="BodyText"/>
      </w:pPr>
    </w:p>
    <w:p>
      <w:pPr>
        <w:pStyle w:val="ListParagraph"/>
        <w:numPr>
          <w:ilvl w:val="0"/>
          <w:numId w:val="12"/>
        </w:numPr>
        <w:tabs>
          <w:tab w:pos="1984" w:val="left" w:leader="none"/>
        </w:tabs>
        <w:spacing w:line="240" w:lineRule="auto" w:before="0" w:after="0"/>
        <w:ind w:left="1984" w:right="0" w:hanging="395"/>
        <w:jc w:val="both"/>
        <w:rPr>
          <w:sz w:val="24"/>
        </w:rPr>
      </w:pPr>
      <w:r>
        <w:rPr>
          <w:sz w:val="24"/>
        </w:rPr>
        <w:t>Ukuran</w:t>
      </w:r>
      <w:r>
        <w:rPr>
          <w:spacing w:val="-5"/>
          <w:sz w:val="24"/>
        </w:rPr>
        <w:t> </w:t>
      </w:r>
      <w:r>
        <w:rPr>
          <w:spacing w:val="-2"/>
          <w:sz w:val="24"/>
        </w:rPr>
        <w:t>Perusahaan</w:t>
      </w:r>
    </w:p>
    <w:p>
      <w:pPr>
        <w:pStyle w:val="BodyText"/>
      </w:pPr>
    </w:p>
    <w:p>
      <w:pPr>
        <w:pStyle w:val="BodyText"/>
        <w:spacing w:line="480" w:lineRule="auto"/>
        <w:ind w:left="1985" w:right="709" w:firstLine="709"/>
        <w:jc w:val="both"/>
      </w:pPr>
      <w:r>
        <w:rPr/>
        <w:t>Mencerminkan tingkat besarnya perusahaan yang direfleksikan dari jumlah aset yang dimiliki. Semakin besar ukuran perusahaan, semakin tinggi pula biaya politis yang harus ditanggung, seperti penetapan pajak yang lebih tinggi oleh pemerintah.</w:t>
      </w:r>
    </w:p>
    <w:p>
      <w:pPr>
        <w:pStyle w:val="ListParagraph"/>
        <w:numPr>
          <w:ilvl w:val="0"/>
          <w:numId w:val="12"/>
        </w:numPr>
        <w:tabs>
          <w:tab w:pos="1984" w:val="left" w:leader="none"/>
        </w:tabs>
        <w:spacing w:line="240" w:lineRule="auto" w:before="0" w:after="0"/>
        <w:ind w:left="1984" w:right="0" w:hanging="425"/>
        <w:jc w:val="both"/>
        <w:rPr>
          <w:sz w:val="24"/>
        </w:rPr>
      </w:pPr>
      <w:r>
        <w:rPr>
          <w:sz w:val="24"/>
        </w:rPr>
        <w:t>Risiko</w:t>
      </w:r>
      <w:r>
        <w:rPr>
          <w:spacing w:val="-7"/>
          <w:sz w:val="24"/>
        </w:rPr>
        <w:t> </w:t>
      </w:r>
      <w:r>
        <w:rPr>
          <w:sz w:val="24"/>
        </w:rPr>
        <w:t>Perusahaan</w:t>
      </w:r>
      <w:r>
        <w:rPr>
          <w:spacing w:val="-6"/>
          <w:sz w:val="24"/>
        </w:rPr>
        <w:t> </w:t>
      </w:r>
      <w:r>
        <w:rPr>
          <w:spacing w:val="-2"/>
          <w:sz w:val="24"/>
        </w:rPr>
        <w:t>(</w:t>
      </w:r>
      <w:r>
        <w:rPr>
          <w:i/>
          <w:spacing w:val="-2"/>
          <w:sz w:val="24"/>
        </w:rPr>
        <w:t>risk</w:t>
      </w:r>
      <w:r>
        <w:rPr>
          <w:spacing w:val="-2"/>
          <w:sz w:val="24"/>
        </w:rPr>
        <w:t>)</w:t>
      </w:r>
    </w:p>
    <w:p>
      <w:pPr>
        <w:pStyle w:val="BodyText"/>
      </w:pPr>
    </w:p>
    <w:p>
      <w:pPr>
        <w:pStyle w:val="BodyText"/>
        <w:spacing w:line="480" w:lineRule="auto"/>
        <w:ind w:left="1985" w:right="708" w:firstLine="567"/>
        <w:jc w:val="both"/>
      </w:pPr>
      <w:r>
        <w:rPr/>
        <w:t>Zmijewski &amp; Hagerman (1981) menyatakan bahwa perusahaan dengan risiko lebih tinggi biasanya mendapatkan pengembalian laba yang tinggi sebagai kompensasi dari risiko sistematis</w:t>
      </w:r>
      <w:r>
        <w:rPr>
          <w:spacing w:val="-3"/>
        </w:rPr>
        <w:t> </w:t>
      </w:r>
      <w:r>
        <w:rPr/>
        <w:t>yang</w:t>
      </w:r>
      <w:r>
        <w:rPr>
          <w:spacing w:val="-3"/>
        </w:rPr>
        <w:t> </w:t>
      </w:r>
      <w:r>
        <w:rPr/>
        <w:t>mereka</w:t>
      </w:r>
      <w:r>
        <w:rPr>
          <w:spacing w:val="-3"/>
        </w:rPr>
        <w:t> </w:t>
      </w:r>
      <w:r>
        <w:rPr/>
        <w:t>hadapi.</w:t>
      </w:r>
      <w:r>
        <w:rPr>
          <w:spacing w:val="-3"/>
        </w:rPr>
        <w:t> </w:t>
      </w:r>
      <w:r>
        <w:rPr/>
        <w:t>Salah</w:t>
      </w:r>
      <w:r>
        <w:rPr>
          <w:spacing w:val="-3"/>
        </w:rPr>
        <w:t> </w:t>
      </w:r>
      <w:r>
        <w:rPr/>
        <w:t>satu</w:t>
      </w:r>
      <w:r>
        <w:rPr>
          <w:spacing w:val="-3"/>
        </w:rPr>
        <w:t> </w:t>
      </w:r>
      <w:r>
        <w:rPr/>
        <w:t>risiko</w:t>
      </w:r>
      <w:r>
        <w:rPr>
          <w:spacing w:val="-3"/>
        </w:rPr>
        <w:t> </w:t>
      </w:r>
      <w:r>
        <w:rPr/>
        <w:t>sistematis</w:t>
      </w:r>
      <w:r>
        <w:rPr>
          <w:spacing w:val="-3"/>
        </w:rPr>
        <w:t> </w:t>
      </w:r>
      <w:r>
        <w:rPr/>
        <w:t>ini adalah risiko volatilitas, yaitu risiko naik turunnya harga portofolio saham. Biaya politik bervariasi terhadap risiko perusahaan, dan perusahaan dengan risiko tinggi cenderung memilih prosedur akuntansi yang menurunkan laba atau melaporkan keuangan secara konservatif.</w:t>
      </w:r>
    </w:p>
    <w:p>
      <w:pPr>
        <w:pStyle w:val="ListParagraph"/>
        <w:numPr>
          <w:ilvl w:val="0"/>
          <w:numId w:val="12"/>
        </w:numPr>
        <w:tabs>
          <w:tab w:pos="1984" w:val="left" w:leader="none"/>
        </w:tabs>
        <w:spacing w:line="240" w:lineRule="auto" w:before="0" w:after="0"/>
        <w:ind w:left="1984" w:right="0" w:hanging="425"/>
        <w:jc w:val="both"/>
        <w:rPr>
          <w:sz w:val="24"/>
        </w:rPr>
      </w:pPr>
      <w:r>
        <w:rPr>
          <w:sz w:val="24"/>
        </w:rPr>
        <w:t>Intensitas</w:t>
      </w:r>
      <w:r>
        <w:rPr>
          <w:spacing w:val="-4"/>
          <w:sz w:val="24"/>
        </w:rPr>
        <w:t> </w:t>
      </w:r>
      <w:r>
        <w:rPr>
          <w:sz w:val="24"/>
        </w:rPr>
        <w:t>Modal</w:t>
      </w:r>
      <w:r>
        <w:rPr>
          <w:spacing w:val="-3"/>
          <w:sz w:val="24"/>
        </w:rPr>
        <w:t> </w:t>
      </w:r>
      <w:r>
        <w:rPr>
          <w:sz w:val="24"/>
        </w:rPr>
        <w:t>(</w:t>
      </w:r>
      <w:r>
        <w:rPr>
          <w:i/>
          <w:sz w:val="24"/>
        </w:rPr>
        <w:t>capital</w:t>
      </w:r>
      <w:r>
        <w:rPr>
          <w:i/>
          <w:spacing w:val="-3"/>
          <w:sz w:val="24"/>
        </w:rPr>
        <w:t> </w:t>
      </w:r>
      <w:r>
        <w:rPr>
          <w:i/>
          <w:spacing w:val="-2"/>
          <w:sz w:val="24"/>
        </w:rPr>
        <w:t>intencity</w:t>
      </w:r>
      <w:r>
        <w:rPr>
          <w:spacing w:val="-2"/>
          <w:sz w:val="24"/>
        </w:rPr>
        <w:t>)</w:t>
      </w:r>
    </w:p>
    <w:p>
      <w:pPr>
        <w:pStyle w:val="BodyText"/>
      </w:pPr>
    </w:p>
    <w:p>
      <w:pPr>
        <w:pStyle w:val="BodyText"/>
        <w:spacing w:line="480" w:lineRule="auto"/>
        <w:ind w:left="1984" w:right="708" w:firstLine="567"/>
        <w:jc w:val="both"/>
      </w:pPr>
      <w:r>
        <w:rPr/>
        <w:t>Jumlah modal yang dibutuhkan untuk menghasilkan pendapatan tercermin dalam intensitas modal. Rasio ini Rasio total</w:t>
      </w:r>
      <w:r>
        <w:rPr>
          <w:spacing w:val="80"/>
          <w:w w:val="150"/>
        </w:rPr>
        <w:t> </w:t>
      </w:r>
      <w:r>
        <w:rPr/>
        <w:t>aset</w:t>
      </w:r>
      <w:r>
        <w:rPr>
          <w:spacing w:val="80"/>
          <w:w w:val="150"/>
        </w:rPr>
        <w:t> </w:t>
      </w:r>
      <w:r>
        <w:rPr/>
        <w:t>tetap</w:t>
      </w:r>
      <w:r>
        <w:rPr>
          <w:spacing w:val="80"/>
          <w:w w:val="150"/>
        </w:rPr>
        <w:t> </w:t>
      </w:r>
      <w:r>
        <w:rPr/>
        <w:t>perusahaan</w:t>
      </w:r>
      <w:r>
        <w:rPr>
          <w:spacing w:val="80"/>
          <w:w w:val="150"/>
        </w:rPr>
        <w:t> </w:t>
      </w:r>
      <w:r>
        <w:rPr/>
        <w:t>terhadap</w:t>
      </w:r>
      <w:r>
        <w:rPr>
          <w:spacing w:val="80"/>
          <w:w w:val="150"/>
        </w:rPr>
        <w:t> </w:t>
      </w:r>
      <w:r>
        <w:rPr/>
        <w:t>total</w:t>
      </w:r>
      <w:r>
        <w:rPr>
          <w:spacing w:val="80"/>
          <w:w w:val="150"/>
        </w:rPr>
        <w:t> </w:t>
      </w:r>
      <w:r>
        <w:rPr/>
        <w:t>aset</w:t>
      </w:r>
      <w:r>
        <w:rPr>
          <w:spacing w:val="80"/>
          <w:w w:val="150"/>
        </w:rPr>
        <w:t> </w:t>
      </w:r>
      <w:r>
        <w:rPr/>
        <w:t>bersih</w:t>
      </w:r>
    </w:p>
    <w:p>
      <w:pPr>
        <w:pStyle w:val="BodyText"/>
        <w:spacing w:after="0" w:line="480" w:lineRule="auto"/>
        <w:jc w:val="both"/>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BodyText"/>
        <w:spacing w:line="480" w:lineRule="auto"/>
        <w:ind w:left="1984" w:right="708"/>
        <w:jc w:val="both"/>
      </w:pPr>
      <w:r>
        <w:rPr/>
        <w:t>digunakan untuk menghitung intensitas modal. Jumlah aset modal yang dibutuhkan untuk menghasilkan penjualan meningkat dengan rasio intensitas modal. Zmijewski &amp; Hagerman (1981) berhipotesis bahwa semakin padat modal sebuah</w:t>
      </w:r>
      <w:r>
        <w:rPr>
          <w:spacing w:val="-1"/>
        </w:rPr>
        <w:t> </w:t>
      </w:r>
      <w:r>
        <w:rPr/>
        <w:t>perusahaan,</w:t>
      </w:r>
      <w:r>
        <w:rPr>
          <w:spacing w:val="-1"/>
        </w:rPr>
        <w:t> </w:t>
      </w:r>
      <w:r>
        <w:rPr/>
        <w:t>semakin</w:t>
      </w:r>
      <w:r>
        <w:rPr>
          <w:spacing w:val="-1"/>
        </w:rPr>
        <w:t> </w:t>
      </w:r>
      <w:r>
        <w:rPr/>
        <w:t>besar</w:t>
      </w:r>
      <w:r>
        <w:rPr>
          <w:spacing w:val="-1"/>
        </w:rPr>
        <w:t> </w:t>
      </w:r>
      <w:r>
        <w:rPr/>
        <w:t>biaya</w:t>
      </w:r>
      <w:r>
        <w:rPr>
          <w:spacing w:val="-1"/>
        </w:rPr>
        <w:t> </w:t>
      </w:r>
      <w:r>
        <w:rPr/>
        <w:t>politik</w:t>
      </w:r>
      <w:r>
        <w:rPr>
          <w:spacing w:val="-1"/>
        </w:rPr>
        <w:t> </w:t>
      </w:r>
      <w:r>
        <w:rPr/>
        <w:t>yang</w:t>
      </w:r>
      <w:r>
        <w:rPr>
          <w:spacing w:val="-1"/>
        </w:rPr>
        <w:t> </w:t>
      </w:r>
      <w:r>
        <w:rPr/>
        <w:t>muncul.</w:t>
      </w:r>
    </w:p>
    <w:p>
      <w:pPr>
        <w:pStyle w:val="BodyText"/>
      </w:pPr>
    </w:p>
    <w:p>
      <w:pPr>
        <w:pStyle w:val="BodyText"/>
      </w:pPr>
    </w:p>
    <w:p>
      <w:pPr>
        <w:pStyle w:val="ListParagraph"/>
        <w:numPr>
          <w:ilvl w:val="0"/>
          <w:numId w:val="12"/>
        </w:numPr>
        <w:tabs>
          <w:tab w:pos="1984" w:val="left" w:leader="none"/>
        </w:tabs>
        <w:spacing w:line="240" w:lineRule="auto" w:before="0" w:after="0"/>
        <w:ind w:left="1984" w:right="0" w:hanging="426"/>
        <w:jc w:val="left"/>
        <w:rPr>
          <w:sz w:val="24"/>
        </w:rPr>
      </w:pPr>
      <w:r>
        <w:rPr>
          <w:sz w:val="24"/>
        </w:rPr>
        <w:t>Rasio</w:t>
      </w:r>
      <w:r>
        <w:rPr>
          <w:spacing w:val="-4"/>
          <w:sz w:val="24"/>
        </w:rPr>
        <w:t> </w:t>
      </w:r>
      <w:r>
        <w:rPr>
          <w:spacing w:val="-2"/>
          <w:sz w:val="24"/>
        </w:rPr>
        <w:t>Konsentrasi</w:t>
      </w:r>
    </w:p>
    <w:p>
      <w:pPr>
        <w:pStyle w:val="BodyText"/>
      </w:pPr>
    </w:p>
    <w:p>
      <w:pPr>
        <w:pStyle w:val="BodyText"/>
        <w:spacing w:line="480" w:lineRule="auto"/>
        <w:ind w:left="1984" w:right="708" w:firstLine="567"/>
        <w:jc w:val="both"/>
      </w:pPr>
      <w:r>
        <w:rPr/>
        <w:t>Rasio konsentrasi didefinisikan sebagai persentase penjualan</w:t>
      </w:r>
      <w:r>
        <w:rPr>
          <w:spacing w:val="-6"/>
        </w:rPr>
        <w:t> </w:t>
      </w:r>
      <w:r>
        <w:rPr/>
        <w:t>Perusahaan</w:t>
      </w:r>
      <w:r>
        <w:rPr>
          <w:spacing w:val="-6"/>
        </w:rPr>
        <w:t> </w:t>
      </w:r>
      <w:r>
        <w:rPr/>
        <w:t>dalam</w:t>
      </w:r>
      <w:r>
        <w:rPr>
          <w:spacing w:val="-6"/>
        </w:rPr>
        <w:t> </w:t>
      </w:r>
      <w:r>
        <w:rPr/>
        <w:t>suatu</w:t>
      </w:r>
      <w:r>
        <w:rPr>
          <w:spacing w:val="-6"/>
        </w:rPr>
        <w:t> </w:t>
      </w:r>
      <w:r>
        <w:rPr/>
        <w:t>industri,</w:t>
      </w:r>
      <w:r>
        <w:rPr>
          <w:spacing w:val="-6"/>
        </w:rPr>
        <w:t> </w:t>
      </w:r>
      <w:r>
        <w:rPr/>
        <w:t>yang</w:t>
      </w:r>
      <w:r>
        <w:rPr>
          <w:spacing w:val="-6"/>
        </w:rPr>
        <w:t> </w:t>
      </w:r>
      <w:r>
        <w:rPr/>
        <w:t>memberikan gambaran tentang peran perusahaan dalam industri tersebut. Berdasarkan hipotesis ukuran Watts &amp; Zimmerman (1986), perusahaan dengan rasio konsentrasi tinggi juga memiliki biaya politik yang tinggi.</w:t>
      </w:r>
    </w:p>
    <w:p>
      <w:pPr>
        <w:pStyle w:val="BodyText"/>
        <w:spacing w:line="480" w:lineRule="auto"/>
        <w:ind w:left="1559" w:right="707" w:firstLine="567"/>
        <w:jc w:val="both"/>
        <w:rPr>
          <w:rFonts w:ascii="Times New Roman"/>
        </w:rPr>
      </w:pPr>
      <w:r>
        <w:rPr/>
        <w:t>Pada variabel </w:t>
      </w:r>
      <w:r>
        <w:rPr>
          <w:i/>
        </w:rPr>
        <w:t>political cost </w:t>
      </w:r>
      <w:r>
        <w:rPr/>
        <w:t>yang dihubungkan dengan political connection, proksi </w:t>
      </w:r>
      <w:r>
        <w:rPr>
          <w:rFonts w:ascii="Times New Roman"/>
        </w:rPr>
        <w:t>yang digunakan adalah menggunakan variabel dummy untuk pengukurannya di mana perusahaan diberikan</w:t>
      </w:r>
      <w:r>
        <w:rPr>
          <w:rFonts w:ascii="Times New Roman"/>
          <w:spacing w:val="40"/>
        </w:rPr>
        <w:t> </w:t>
      </w:r>
      <w:r>
        <w:rPr>
          <w:rFonts w:ascii="Times New Roman"/>
        </w:rPr>
        <w:t>skor 1 jika CEO-nya sedang atau pernah menjabat di pemerintahan/ organisasi politik dan 0 jika tidak sedang atau tidak pernah menjabat di pemerintahan/ organisasi politik.</w:t>
      </w:r>
    </w:p>
    <w:p>
      <w:pPr>
        <w:pStyle w:val="Heading2"/>
        <w:numPr>
          <w:ilvl w:val="1"/>
          <w:numId w:val="8"/>
        </w:numPr>
        <w:tabs>
          <w:tab w:pos="1557" w:val="left" w:leader="none"/>
        </w:tabs>
        <w:spacing w:line="240" w:lineRule="auto" w:before="1" w:after="0"/>
        <w:ind w:left="1557" w:right="0" w:hanging="355"/>
        <w:jc w:val="left"/>
      </w:pPr>
      <w:bookmarkStart w:name="_bookmark20" w:id="21"/>
      <w:bookmarkEnd w:id="21"/>
      <w:r>
        <w:rPr/>
        <w:t>Uk</w:t>
      </w:r>
      <w:r>
        <w:rPr/>
        <w:t>uran</w:t>
      </w:r>
      <w:r>
        <w:rPr>
          <w:spacing w:val="-4"/>
        </w:rPr>
        <w:t> </w:t>
      </w:r>
      <w:r>
        <w:rPr>
          <w:spacing w:val="-2"/>
        </w:rPr>
        <w:t>Perusahaan</w:t>
      </w:r>
    </w:p>
    <w:p>
      <w:pPr>
        <w:pStyle w:val="BodyText"/>
        <w:rPr>
          <w:b/>
        </w:rPr>
      </w:pPr>
    </w:p>
    <w:p>
      <w:pPr>
        <w:pStyle w:val="BodyText"/>
        <w:spacing w:line="480" w:lineRule="auto"/>
        <w:ind w:left="1559" w:right="709" w:firstLine="709"/>
        <w:jc w:val="both"/>
      </w:pPr>
      <w:r>
        <w:rPr/>
        <w:t>Ukuran perusahaan pada umumnya dapat diklasifikasikan menjadi perusahaan besar atau kecil. Klasifikasi ini dapat ditentukan berdasarkan total penjualan, total aset yang tercantum</w:t>
      </w:r>
    </w:p>
    <w:p>
      <w:pPr>
        <w:pStyle w:val="BodyText"/>
        <w:spacing w:after="0" w:line="480" w:lineRule="auto"/>
        <w:jc w:val="both"/>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BodyText"/>
        <w:spacing w:line="480" w:lineRule="auto"/>
        <w:ind w:left="1559" w:right="708"/>
        <w:jc w:val="both"/>
      </w:pPr>
      <w:r>
        <w:rPr/>
        <w:t>dalam laporan keuangan, serta jumlah karyawan yang dimiliki. </w:t>
      </w:r>
      <w:r>
        <w:rPr>
          <w:i/>
        </w:rPr>
        <w:t>Firm size </w:t>
      </w:r>
      <w:r>
        <w:rPr/>
        <w:t>atau ukuran perusahaan merupakan suatu skala yang bisa dilihat dari total aset pada akhir tahun buku. Selain itu, total penjualan yang dicapai juga menjadi tolok ukur dalam menilai besar kecilnya perusahaan. Tingginya tingkat penjualan menunjukkan bahwa perusahaan memiliki modal dan aset besar yang mendukung proses produksi dalam skala besar. Dengan demikian, tingkat penjualan yang tinggi berpotensi memengaruhi nilai perusahaan.</w:t>
      </w:r>
    </w:p>
    <w:p>
      <w:pPr>
        <w:pStyle w:val="BodyText"/>
        <w:spacing w:line="480" w:lineRule="auto" w:before="160"/>
        <w:ind w:left="1701" w:right="707" w:firstLine="567"/>
        <w:jc w:val="both"/>
      </w:pPr>
      <w:r>
        <w:rPr/>
        <w:t>Dapat disimpulkan bahwa ukuran perusahaan mencerminkan besar kecilnya perusahaan yang dapat mempengaruhi struktur modal. Jumlah total aset yang dimiliki menunjukkan ukuran bisnis; semakin besar aset keseluruhan, semakin besar bisnisnya. Ukuran perusahaan yang besar cenderung dapat meningkatkan kepercayaan investor untuk berinvestasi, yang dapat meningkatkan nilai perusahaan. Perusahaan besar lebih mudah mengakses pasar modal karena mereka memiliki fleksibilitas dan kemampuan yang lebih baik dalam mendapatkan dana. Kemudahan ini dipandang sebagai sinyal positif oleh calon investor serta investor yang sudah ada, yang dapat mempengaruhi keputusan investasi. Hal ini merefleksikan nilai perusahaan di masa depan dengan prospek pertumbuhan</w:t>
      </w:r>
      <w:r>
        <w:rPr>
          <w:spacing w:val="37"/>
        </w:rPr>
        <w:t> </w:t>
      </w:r>
      <w:r>
        <w:rPr/>
        <w:t>yang</w:t>
      </w:r>
      <w:r>
        <w:rPr>
          <w:spacing w:val="37"/>
        </w:rPr>
        <w:t> </w:t>
      </w:r>
      <w:r>
        <w:rPr/>
        <w:t>baik,</w:t>
      </w:r>
      <w:r>
        <w:rPr>
          <w:spacing w:val="37"/>
        </w:rPr>
        <w:t> </w:t>
      </w:r>
      <w:r>
        <w:rPr/>
        <w:t>sehingga</w:t>
      </w:r>
      <w:r>
        <w:rPr>
          <w:spacing w:val="37"/>
        </w:rPr>
        <w:t> </w:t>
      </w:r>
      <w:r>
        <w:rPr/>
        <w:t>ukuran</w:t>
      </w:r>
      <w:r>
        <w:rPr>
          <w:spacing w:val="37"/>
        </w:rPr>
        <w:t> </w:t>
      </w:r>
      <w:r>
        <w:rPr/>
        <w:t>perusahaan</w:t>
      </w:r>
      <w:r>
        <w:rPr>
          <w:spacing w:val="37"/>
        </w:rPr>
        <w:t> </w:t>
      </w:r>
      <w:r>
        <w:rPr/>
        <w:t>memiliki</w:t>
      </w:r>
    </w:p>
    <w:p>
      <w:pPr>
        <w:pStyle w:val="BodyText"/>
        <w:spacing w:after="0" w:line="480" w:lineRule="auto"/>
        <w:jc w:val="both"/>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BodyText"/>
        <w:spacing w:line="480" w:lineRule="auto"/>
        <w:ind w:left="1702" w:right="711"/>
        <w:jc w:val="both"/>
      </w:pPr>
      <w:r>
        <w:rPr/>
        <w:t>dampak positif terhadap nilai perusahaan (Nurhayati, 2013) dan (Pratiwi, 2017).</w:t>
      </w:r>
    </w:p>
    <w:p>
      <w:pPr>
        <w:pStyle w:val="BodyText"/>
        <w:spacing w:line="480" w:lineRule="auto" w:before="160"/>
        <w:ind w:left="1702" w:right="707" w:firstLine="567"/>
        <w:jc w:val="both"/>
      </w:pPr>
      <w:r>
        <w:rPr/>
        <w:t>Ukuran perusahaan dalam penelitian ini dijadikan sebagai variabel</w:t>
      </w:r>
      <w:r>
        <w:rPr>
          <w:spacing w:val="-1"/>
        </w:rPr>
        <w:t> </w:t>
      </w:r>
      <w:r>
        <w:rPr/>
        <w:t>yang</w:t>
      </w:r>
      <w:r>
        <w:rPr>
          <w:spacing w:val="-1"/>
        </w:rPr>
        <w:t> </w:t>
      </w:r>
      <w:r>
        <w:rPr/>
        <w:t>mampu</w:t>
      </w:r>
      <w:r>
        <w:rPr>
          <w:spacing w:val="-1"/>
        </w:rPr>
        <w:t> </w:t>
      </w:r>
      <w:r>
        <w:rPr/>
        <w:t>memoderasi</w:t>
      </w:r>
      <w:r>
        <w:rPr>
          <w:spacing w:val="-1"/>
        </w:rPr>
        <w:t> </w:t>
      </w:r>
      <w:r>
        <w:rPr/>
        <w:t>hubungan</w:t>
      </w:r>
      <w:r>
        <w:rPr>
          <w:spacing w:val="-1"/>
        </w:rPr>
        <w:t> </w:t>
      </w:r>
      <w:r>
        <w:rPr/>
        <w:t>antara</w:t>
      </w:r>
      <w:r>
        <w:rPr>
          <w:spacing w:val="-1"/>
        </w:rPr>
        <w:t> </w:t>
      </w:r>
      <w:r>
        <w:rPr/>
        <w:t>karakteristik CEO, kinerja keuangan, dan </w:t>
      </w:r>
      <w:r>
        <w:rPr>
          <w:i/>
        </w:rPr>
        <w:t>potical cost </w:t>
      </w:r>
      <w:r>
        <w:rPr/>
        <w:t>terhadap </w:t>
      </w:r>
      <w:r>
        <w:rPr>
          <w:i/>
        </w:rPr>
        <w:t>Enironmental, Social, Governance </w:t>
      </w:r>
      <w:r>
        <w:rPr/>
        <w:t>(ESG) </w:t>
      </w:r>
      <w:r>
        <w:rPr>
          <w:i/>
        </w:rPr>
        <w:t>disclosure</w:t>
      </w:r>
      <w:r>
        <w:rPr/>
        <w:t>. Hal ini didasari oleh fakta bahwa</w:t>
      </w:r>
      <w:r>
        <w:rPr>
          <w:spacing w:val="-3"/>
        </w:rPr>
        <w:t> </w:t>
      </w:r>
      <w:r>
        <w:rPr/>
        <w:t>karakteristik</w:t>
      </w:r>
      <w:r>
        <w:rPr>
          <w:spacing w:val="-3"/>
        </w:rPr>
        <w:t> </w:t>
      </w:r>
      <w:r>
        <w:rPr/>
        <w:t>perusahaan</w:t>
      </w:r>
      <w:r>
        <w:rPr>
          <w:spacing w:val="-3"/>
        </w:rPr>
        <w:t> </w:t>
      </w:r>
      <w:r>
        <w:rPr/>
        <w:t>yang</w:t>
      </w:r>
      <w:r>
        <w:rPr>
          <w:spacing w:val="-3"/>
        </w:rPr>
        <w:t> </w:t>
      </w:r>
      <w:r>
        <w:rPr/>
        <w:t>berbeda,</w:t>
      </w:r>
      <w:r>
        <w:rPr>
          <w:spacing w:val="-3"/>
        </w:rPr>
        <w:t> </w:t>
      </w:r>
      <w:r>
        <w:rPr/>
        <w:t>khususnya</w:t>
      </w:r>
      <w:r>
        <w:rPr>
          <w:spacing w:val="-3"/>
        </w:rPr>
        <w:t> </w:t>
      </w:r>
      <w:r>
        <w:rPr/>
        <w:t>dalam hal ukuran, dapat memengaruhi kemampuan dan efektivitas perusahaan dalam menerapkan inisiatif CSR </w:t>
      </w:r>
      <w:r>
        <w:rPr>
          <w:i/>
        </w:rPr>
        <w:t>(Corporate Social Responsibility)</w:t>
      </w:r>
      <w:r>
        <w:rPr/>
        <w:t>.</w:t>
      </w:r>
      <w:r>
        <w:rPr>
          <w:spacing w:val="-3"/>
        </w:rPr>
        <w:t> </w:t>
      </w:r>
      <w:r>
        <w:rPr/>
        <w:t>Menurut</w:t>
      </w:r>
      <w:r>
        <w:rPr>
          <w:spacing w:val="-3"/>
        </w:rPr>
        <w:t> </w:t>
      </w:r>
      <w:r>
        <w:rPr/>
        <w:t>D’Amato</w:t>
      </w:r>
      <w:r>
        <w:rPr>
          <w:spacing w:val="-3"/>
        </w:rPr>
        <w:t> </w:t>
      </w:r>
      <w:r>
        <w:rPr/>
        <w:t>&amp;</w:t>
      </w:r>
      <w:r>
        <w:rPr>
          <w:spacing w:val="-3"/>
        </w:rPr>
        <w:t> </w:t>
      </w:r>
      <w:r>
        <w:rPr/>
        <w:t>Falivena</w:t>
      </w:r>
      <w:r>
        <w:rPr>
          <w:spacing w:val="-3"/>
        </w:rPr>
        <w:t> </w:t>
      </w:r>
      <w:r>
        <w:rPr/>
        <w:t>(2020),</w:t>
      </w:r>
      <w:r>
        <w:rPr>
          <w:spacing w:val="-3"/>
        </w:rPr>
        <w:t> </w:t>
      </w:r>
      <w:r>
        <w:rPr/>
        <w:t>perusahaan kecil memiliki keterbatasan sumber daya yang mengurangi kemampuan mereka untuk mengimplementasikan strategi CSR secara optimal dibandingkan dengan perusahaan besar. Selain itu, perusahaan kecil umumnya memiliki tingkat visibilitas yang lebih rendah dibandingkan perusahaan besar, yang berarti mereka kurang mendapatkan perhatian dari media dan publik. Rendahnya eksposur ini menyebabkan perusahaan kecil cenderung tidak menarik minat stakeholder dalam jumlah besar, sehingga pengaruh ESG disclosure terhadap nilai perusahaan menjadi lebih lemah pada perusahaan kecil.</w:t>
      </w:r>
    </w:p>
    <w:p>
      <w:pPr>
        <w:pStyle w:val="BodyText"/>
        <w:spacing w:line="480" w:lineRule="auto" w:before="160"/>
        <w:ind w:left="1702" w:right="708" w:firstLine="567"/>
        <w:jc w:val="both"/>
      </w:pPr>
      <w:r>
        <w:rPr/>
        <w:t>Sebaliknya, perusahaan besar memiliki sumber daya yang lebih memadai dan mendapatkan lebih banyak sorotan dari media</w:t>
      </w:r>
      <w:r>
        <w:rPr>
          <w:spacing w:val="73"/>
        </w:rPr>
        <w:t> </w:t>
      </w:r>
      <w:r>
        <w:rPr/>
        <w:t>dan</w:t>
      </w:r>
      <w:r>
        <w:rPr>
          <w:spacing w:val="73"/>
        </w:rPr>
        <w:t> </w:t>
      </w:r>
      <w:r>
        <w:rPr/>
        <w:t>publik.</w:t>
      </w:r>
      <w:r>
        <w:rPr>
          <w:spacing w:val="73"/>
        </w:rPr>
        <w:t> </w:t>
      </w:r>
      <w:r>
        <w:rPr/>
        <w:t>Hal</w:t>
      </w:r>
      <w:r>
        <w:rPr>
          <w:spacing w:val="73"/>
        </w:rPr>
        <w:t> </w:t>
      </w:r>
      <w:r>
        <w:rPr/>
        <w:t>ini</w:t>
      </w:r>
      <w:r>
        <w:rPr>
          <w:spacing w:val="73"/>
        </w:rPr>
        <w:t> </w:t>
      </w:r>
      <w:r>
        <w:rPr/>
        <w:t>membuat</w:t>
      </w:r>
      <w:r>
        <w:rPr>
          <w:spacing w:val="73"/>
        </w:rPr>
        <w:t> </w:t>
      </w:r>
      <w:r>
        <w:rPr/>
        <w:t>mereka</w:t>
      </w:r>
      <w:r>
        <w:rPr>
          <w:spacing w:val="73"/>
        </w:rPr>
        <w:t> </w:t>
      </w:r>
      <w:r>
        <w:rPr/>
        <w:t>cenderung</w:t>
      </w:r>
      <w:r>
        <w:rPr>
          <w:spacing w:val="73"/>
        </w:rPr>
        <w:t> </w:t>
      </w:r>
      <w:r>
        <w:rPr/>
        <w:t>lebih</w:t>
      </w:r>
    </w:p>
    <w:p>
      <w:pPr>
        <w:pStyle w:val="BodyText"/>
        <w:spacing w:after="0" w:line="480" w:lineRule="auto"/>
        <w:jc w:val="both"/>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BodyText"/>
        <w:spacing w:line="480" w:lineRule="auto"/>
        <w:ind w:left="1702" w:right="708"/>
        <w:jc w:val="both"/>
      </w:pPr>
      <w:r>
        <w:rPr/>
        <w:t>mampu dalam melaksanakan praktik CSR dan lebih berpotensi menarik perhatian para stakeholder, yang pada gilirannya dapat meningkatkan</w:t>
      </w:r>
      <w:r>
        <w:rPr>
          <w:spacing w:val="-1"/>
        </w:rPr>
        <w:t> </w:t>
      </w:r>
      <w:r>
        <w:rPr/>
        <w:t>nilai</w:t>
      </w:r>
      <w:r>
        <w:rPr>
          <w:spacing w:val="-1"/>
        </w:rPr>
        <w:t> </w:t>
      </w:r>
      <w:r>
        <w:rPr/>
        <w:t>perusahaan.</w:t>
      </w:r>
      <w:r>
        <w:rPr>
          <w:spacing w:val="-1"/>
        </w:rPr>
        <w:t> </w:t>
      </w:r>
      <w:r>
        <w:rPr/>
        <w:t>Dengan</w:t>
      </w:r>
      <w:r>
        <w:rPr>
          <w:spacing w:val="-1"/>
        </w:rPr>
        <w:t> </w:t>
      </w:r>
      <w:r>
        <w:rPr/>
        <w:t>demikian,</w:t>
      </w:r>
      <w:r>
        <w:rPr>
          <w:spacing w:val="-1"/>
        </w:rPr>
        <w:t> </w:t>
      </w:r>
      <w:r>
        <w:rPr/>
        <w:t>perbedaan</w:t>
      </w:r>
      <w:r>
        <w:rPr>
          <w:spacing w:val="-1"/>
        </w:rPr>
        <w:t> </w:t>
      </w:r>
      <w:r>
        <w:rPr/>
        <w:t>ini menimbulkan perbedaan dalam hubungan antara ESG</w:t>
      </w:r>
      <w:r>
        <w:rPr>
          <w:spacing w:val="40"/>
        </w:rPr>
        <w:t> </w:t>
      </w:r>
      <w:r>
        <w:rPr/>
        <w:t>disclosure dan nilai perusahaan antara perusahaan besar dan </w:t>
      </w:r>
      <w:r>
        <w:rPr>
          <w:spacing w:val="-2"/>
        </w:rPr>
        <w:t>kecil.</w:t>
      </w:r>
    </w:p>
    <w:p>
      <w:pPr>
        <w:pStyle w:val="BodyText"/>
        <w:spacing w:line="480" w:lineRule="auto" w:before="160"/>
        <w:ind w:left="1702" w:right="707" w:firstLine="567"/>
        <w:jc w:val="both"/>
      </w:pPr>
      <w:r>
        <w:rPr/>
        <w:t>Ukuran perusahaan juga dapat berperan sebagai </w:t>
      </w:r>
      <w:r>
        <w:rPr>
          <w:i/>
        </w:rPr>
        <w:t>quasi moderator </w:t>
      </w:r>
      <w:r>
        <w:rPr/>
        <w:t>dalam penelitian ini. Ini berarti ukuran perusahaan tidak hanya memoderasi hubungan antara pengungkapan ESG dan nilai perusahaan, tetapi juga memiliki pengaruh langsung yang signifikan terhadap nilai perusahaan itu sendiri. Dalam konteks ini, perusahaan besar cenderung memiliki nilai perusahaan yang lebih tinggi dibandingkan perusahaan kecil, terlepas dari praktik pengungkapan ESG mereka. Oleh karena itu, pengukuran ukuran perusahaan dalam penelitian ini didasarkan pada metode yang telah digunakan dalam penelitian sebelumnya oleh D’Amato &amp; Falivena (2020), Abdi, et al. (2021), dan Handayati, et al. (2022).</w:t>
      </w:r>
    </w:p>
    <w:p>
      <w:pPr>
        <w:pStyle w:val="BodyText"/>
        <w:spacing w:line="480" w:lineRule="auto" w:before="160"/>
        <w:ind w:left="1702" w:right="709" w:firstLine="567"/>
        <w:jc w:val="both"/>
      </w:pPr>
      <w:r>
        <w:rPr/>
        <w:t>Secara khusus, ada dua metode untuk menghitung</w:t>
      </w:r>
      <w:r>
        <w:rPr>
          <w:spacing w:val="40"/>
        </w:rPr>
        <w:t> </w:t>
      </w:r>
      <w:r>
        <w:rPr/>
        <w:t>indikator ukuran perusahaan:</w:t>
      </w:r>
    </w:p>
    <w:p>
      <w:pPr>
        <w:pStyle w:val="ListParagraph"/>
        <w:numPr>
          <w:ilvl w:val="0"/>
          <w:numId w:val="13"/>
        </w:numPr>
        <w:tabs>
          <w:tab w:pos="1968" w:val="left" w:leader="none"/>
        </w:tabs>
        <w:spacing w:line="480" w:lineRule="auto" w:before="160" w:after="0"/>
        <w:ind w:left="1968" w:right="709" w:hanging="450"/>
        <w:jc w:val="both"/>
        <w:rPr>
          <w:sz w:val="24"/>
        </w:rPr>
      </w:pPr>
      <w:r>
        <w:rPr>
          <w:sz w:val="24"/>
        </w:rPr>
        <w:t>Ukuran Perusahaan = Ln Total Aset: Menurut Riadi Muchlisin (2020),</w:t>
      </w:r>
      <w:r>
        <w:rPr>
          <w:spacing w:val="26"/>
          <w:sz w:val="24"/>
        </w:rPr>
        <w:t> </w:t>
      </w:r>
      <w:r>
        <w:rPr>
          <w:sz w:val="24"/>
        </w:rPr>
        <w:t>aset</w:t>
      </w:r>
      <w:r>
        <w:rPr>
          <w:spacing w:val="26"/>
          <w:sz w:val="24"/>
        </w:rPr>
        <w:t> </w:t>
      </w:r>
      <w:r>
        <w:rPr>
          <w:sz w:val="24"/>
        </w:rPr>
        <w:t>merupakan</w:t>
      </w:r>
      <w:r>
        <w:rPr>
          <w:spacing w:val="26"/>
          <w:sz w:val="24"/>
        </w:rPr>
        <w:t> </w:t>
      </w:r>
      <w:r>
        <w:rPr>
          <w:sz w:val="24"/>
        </w:rPr>
        <w:t>sumber</w:t>
      </w:r>
      <w:r>
        <w:rPr>
          <w:spacing w:val="26"/>
          <w:sz w:val="24"/>
        </w:rPr>
        <w:t> </w:t>
      </w:r>
      <w:r>
        <w:rPr>
          <w:sz w:val="24"/>
        </w:rPr>
        <w:t>daya</w:t>
      </w:r>
      <w:r>
        <w:rPr>
          <w:spacing w:val="26"/>
          <w:sz w:val="24"/>
        </w:rPr>
        <w:t> </w:t>
      </w:r>
      <w:r>
        <w:rPr>
          <w:sz w:val="24"/>
        </w:rPr>
        <w:t>atau</w:t>
      </w:r>
      <w:r>
        <w:rPr>
          <w:spacing w:val="26"/>
          <w:sz w:val="24"/>
        </w:rPr>
        <w:t> </w:t>
      </w:r>
      <w:r>
        <w:rPr>
          <w:sz w:val="24"/>
        </w:rPr>
        <w:t>aset</w:t>
      </w:r>
      <w:r>
        <w:rPr>
          <w:spacing w:val="26"/>
          <w:sz w:val="24"/>
        </w:rPr>
        <w:t> </w:t>
      </w:r>
      <w:r>
        <w:rPr>
          <w:sz w:val="24"/>
        </w:rPr>
        <w:t>yang</w:t>
      </w:r>
      <w:r>
        <w:rPr>
          <w:spacing w:val="26"/>
          <w:sz w:val="24"/>
        </w:rPr>
        <w:t> </w:t>
      </w:r>
      <w:r>
        <w:rPr>
          <w:sz w:val="24"/>
        </w:rPr>
        <w:t>dimiliki</w:t>
      </w:r>
    </w:p>
    <w:p>
      <w:pPr>
        <w:pStyle w:val="ListParagraph"/>
        <w:spacing w:after="0" w:line="480" w:lineRule="auto"/>
        <w:jc w:val="both"/>
        <w:rPr>
          <w:sz w:val="24"/>
        </w:rPr>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BodyText"/>
        <w:spacing w:line="480" w:lineRule="auto"/>
        <w:ind w:left="1968" w:right="708"/>
        <w:jc w:val="both"/>
      </w:pPr>
      <w:r>
        <w:rPr/>
        <w:t>oleh sebuah bisnis. Semakin banyak aset yang dimiliki seseorang, semakin baik kemampuan perusahaan untuk berinvestasi dan memenuhi permintaan produk. Hal ini akan meningkatkan pangsa pasar yang diperoleh dan berpengaruh pada laba perusahaan.</w:t>
      </w:r>
    </w:p>
    <w:p>
      <w:pPr>
        <w:pStyle w:val="ListParagraph"/>
        <w:numPr>
          <w:ilvl w:val="0"/>
          <w:numId w:val="13"/>
        </w:numPr>
        <w:tabs>
          <w:tab w:pos="1968" w:val="left" w:leader="none"/>
        </w:tabs>
        <w:spacing w:line="480" w:lineRule="auto" w:before="0" w:after="0"/>
        <w:ind w:left="1968" w:right="707" w:hanging="360"/>
        <w:jc w:val="both"/>
        <w:rPr>
          <w:sz w:val="24"/>
        </w:rPr>
      </w:pPr>
      <w:r>
        <w:rPr>
          <w:sz w:val="24"/>
        </w:rPr>
        <w:t>Ukuran Perusahaan = Ln Total Penjualan: Muchlisin (2020) menjelaskan bahwa Salah satu aspek penting dalam pemasaran</w:t>
      </w:r>
      <w:r>
        <w:rPr>
          <w:spacing w:val="-5"/>
          <w:sz w:val="24"/>
        </w:rPr>
        <w:t> </w:t>
      </w:r>
      <w:r>
        <w:rPr>
          <w:sz w:val="24"/>
        </w:rPr>
        <w:t>yang</w:t>
      </w:r>
      <w:r>
        <w:rPr>
          <w:spacing w:val="-5"/>
          <w:sz w:val="24"/>
        </w:rPr>
        <w:t> </w:t>
      </w:r>
      <w:r>
        <w:rPr>
          <w:sz w:val="24"/>
        </w:rPr>
        <w:t>membantu</w:t>
      </w:r>
      <w:r>
        <w:rPr>
          <w:spacing w:val="-5"/>
          <w:sz w:val="24"/>
        </w:rPr>
        <w:t> </w:t>
      </w:r>
      <w:r>
        <w:rPr>
          <w:sz w:val="24"/>
        </w:rPr>
        <w:t>bisnis</w:t>
      </w:r>
      <w:r>
        <w:rPr>
          <w:spacing w:val="-5"/>
          <w:sz w:val="24"/>
        </w:rPr>
        <w:t> </w:t>
      </w:r>
      <w:r>
        <w:rPr>
          <w:sz w:val="24"/>
        </w:rPr>
        <w:t>mencapai</w:t>
      </w:r>
      <w:r>
        <w:rPr>
          <w:spacing w:val="-5"/>
          <w:sz w:val="24"/>
        </w:rPr>
        <w:t> </w:t>
      </w:r>
      <w:r>
        <w:rPr>
          <w:sz w:val="24"/>
        </w:rPr>
        <w:t>tujuannya</w:t>
      </w:r>
      <w:r>
        <w:rPr>
          <w:spacing w:val="-5"/>
          <w:sz w:val="24"/>
        </w:rPr>
        <w:t> </w:t>
      </w:r>
      <w:r>
        <w:rPr>
          <w:sz w:val="24"/>
        </w:rPr>
        <w:t>adalah penjualan, yaitu menghasilkan keuntungan. Pertumbuhan penjualan yang konsisten dapat menutupi biaya produksi,</w:t>
      </w:r>
      <w:r>
        <w:rPr>
          <w:spacing w:val="40"/>
          <w:sz w:val="24"/>
        </w:rPr>
        <w:t> </w:t>
      </w:r>
      <w:r>
        <w:rPr>
          <w:sz w:val="24"/>
        </w:rPr>
        <w:t>yang pada akhirnya akan meningkatkan keuntungan perusahaan dan memengaruhi laba yang dihasilkan.</w:t>
      </w:r>
    </w:p>
    <w:p>
      <w:pPr>
        <w:pStyle w:val="BodyText"/>
        <w:spacing w:line="480" w:lineRule="auto"/>
        <w:ind w:left="1559" w:right="708" w:firstLine="709"/>
        <w:jc w:val="both"/>
      </w:pPr>
      <w:r>
        <w:rPr/>
        <w:t>Pada variabel ukuran perusahaan, proksi yang digunakan adalah Ukuran Perusahaan = Ln (Total Aktiva). Penggunaan logaritma natural bertujuan untuk meminimalkan fluktuasi data yang berlebihan. Selain itu, penerapan logaritma natural juga dimaksudkan untuk menyederhanakan angka total aset yang bisa mencapai triliunan rupiah, tanpa mengubah proporsi aslinya (Wahyuni, et al. 2013).</w:t>
      </w:r>
    </w:p>
    <w:p>
      <w:pPr>
        <w:pStyle w:val="Heading2"/>
        <w:numPr>
          <w:ilvl w:val="0"/>
          <w:numId w:val="8"/>
        </w:numPr>
        <w:tabs>
          <w:tab w:pos="1132" w:val="left" w:leader="none"/>
        </w:tabs>
        <w:spacing w:line="240" w:lineRule="auto" w:before="160" w:after="0"/>
        <w:ind w:left="1132" w:right="0" w:hanging="355"/>
        <w:jc w:val="both"/>
      </w:pPr>
      <w:bookmarkStart w:name="_bookmark21" w:id="22"/>
      <w:bookmarkEnd w:id="22"/>
      <w:r>
        <w:rPr/>
        <w:t>P</w:t>
      </w:r>
      <w:r>
        <w:rPr/>
        <w:t>enelitian</w:t>
      </w:r>
      <w:r>
        <w:rPr>
          <w:spacing w:val="-7"/>
        </w:rPr>
        <w:t> </w:t>
      </w:r>
      <w:r>
        <w:rPr>
          <w:spacing w:val="-2"/>
        </w:rPr>
        <w:t>Terdahulu</w:t>
      </w:r>
    </w:p>
    <w:p>
      <w:pPr>
        <w:pStyle w:val="BodyText"/>
        <w:rPr>
          <w:b/>
        </w:rPr>
      </w:pPr>
    </w:p>
    <w:p>
      <w:pPr>
        <w:spacing w:line="480" w:lineRule="auto" w:before="0"/>
        <w:ind w:left="1134" w:right="707" w:firstLine="708"/>
        <w:jc w:val="both"/>
        <w:rPr>
          <w:sz w:val="24"/>
        </w:rPr>
      </w:pPr>
      <w:r>
        <w:rPr>
          <w:sz w:val="24"/>
        </w:rPr>
        <w:t>Penelitian yang berkaitan dengan karakteristik CEO, kinerja keuangan, dan </w:t>
      </w:r>
      <w:r>
        <w:rPr>
          <w:i/>
          <w:sz w:val="24"/>
        </w:rPr>
        <w:t>political cost </w:t>
      </w:r>
      <w:r>
        <w:rPr>
          <w:sz w:val="24"/>
        </w:rPr>
        <w:t>terhadap </w:t>
      </w:r>
      <w:r>
        <w:rPr>
          <w:i/>
          <w:sz w:val="24"/>
        </w:rPr>
        <w:t>environmental</w:t>
      </w:r>
      <w:r>
        <w:rPr>
          <w:sz w:val="24"/>
        </w:rPr>
        <w:t>, </w:t>
      </w:r>
      <w:r>
        <w:rPr>
          <w:i/>
          <w:sz w:val="24"/>
        </w:rPr>
        <w:t>social</w:t>
      </w:r>
      <w:r>
        <w:rPr>
          <w:sz w:val="24"/>
        </w:rPr>
        <w:t>, </w:t>
      </w:r>
      <w:r>
        <w:rPr>
          <w:i/>
          <w:sz w:val="24"/>
        </w:rPr>
        <w:t>and governance</w:t>
      </w:r>
      <w:r>
        <w:rPr>
          <w:i/>
          <w:spacing w:val="40"/>
          <w:sz w:val="24"/>
        </w:rPr>
        <w:t> </w:t>
      </w:r>
      <w:r>
        <w:rPr>
          <w:sz w:val="24"/>
        </w:rPr>
        <w:t>(ESG)</w:t>
      </w:r>
      <w:r>
        <w:rPr>
          <w:spacing w:val="40"/>
          <w:sz w:val="24"/>
        </w:rPr>
        <w:t> </w:t>
      </w:r>
      <w:r>
        <w:rPr>
          <w:i/>
          <w:sz w:val="24"/>
        </w:rPr>
        <w:t>disclosure</w:t>
      </w:r>
      <w:r>
        <w:rPr>
          <w:i/>
          <w:spacing w:val="40"/>
          <w:sz w:val="24"/>
        </w:rPr>
        <w:t> </w:t>
      </w:r>
      <w:r>
        <w:rPr>
          <w:sz w:val="24"/>
        </w:rPr>
        <w:t>dengan</w:t>
      </w:r>
      <w:r>
        <w:rPr>
          <w:spacing w:val="40"/>
          <w:sz w:val="24"/>
        </w:rPr>
        <w:t> </w:t>
      </w:r>
      <w:r>
        <w:rPr>
          <w:sz w:val="24"/>
        </w:rPr>
        <w:t>variabel</w:t>
      </w:r>
      <w:r>
        <w:rPr>
          <w:spacing w:val="40"/>
          <w:sz w:val="24"/>
        </w:rPr>
        <w:t> </w:t>
      </w:r>
      <w:r>
        <w:rPr>
          <w:sz w:val="24"/>
        </w:rPr>
        <w:t>ukuran</w:t>
      </w:r>
      <w:r>
        <w:rPr>
          <w:spacing w:val="40"/>
          <w:sz w:val="24"/>
        </w:rPr>
        <w:t> </w:t>
      </w:r>
      <w:r>
        <w:rPr>
          <w:sz w:val="24"/>
        </w:rPr>
        <w:t>perusahaan</w:t>
      </w:r>
    </w:p>
    <w:p>
      <w:pPr>
        <w:spacing w:after="0" w:line="480" w:lineRule="auto"/>
        <w:jc w:val="both"/>
        <w:rPr>
          <w:sz w:val="24"/>
        </w:rPr>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BodyText"/>
        <w:spacing w:line="480" w:lineRule="auto"/>
        <w:ind w:left="1134" w:right="707"/>
        <w:jc w:val="both"/>
      </w:pPr>
      <w:r>
        <w:rPr/>
        <w:t>sebagai moderasi yang dilakukan oleh peneliti-peneliti terdahulu menjadikan masukan dan meningkatkan kualitas bagi perusahaan terutama dalam sektor </w:t>
      </w:r>
      <w:r>
        <w:rPr>
          <w:i/>
        </w:rPr>
        <w:t>mining. </w:t>
      </w:r>
      <w:r>
        <w:rPr/>
        <w:t>Penelitian ini menggunakan penelitian- penelitian terdahulu sebagai referensi:</w:t>
      </w:r>
    </w:p>
    <w:p>
      <w:pPr>
        <w:pStyle w:val="BodyText"/>
        <w:spacing w:line="480" w:lineRule="auto" w:before="160"/>
        <w:ind w:left="1135" w:right="707" w:firstLine="708"/>
        <w:jc w:val="both"/>
      </w:pPr>
      <w:r>
        <w:rPr/>
        <w:t>Triyani &amp; Setyahuni, (2020) “Pengaruh Karakteristik CEO terhadap Pengungkapan Informasi </w:t>
      </w:r>
      <w:r>
        <w:rPr>
          <w:i/>
        </w:rPr>
        <w:t>Environmental, Social, and Governance </w:t>
      </w:r>
      <w:r>
        <w:rPr/>
        <w:t>(ESG)” penelitian ini bertujuan untuk menguji pengaruh karakteristik CEO terhadap pengungkapan lingkungan, sosial, dan</w:t>
      </w:r>
      <w:r>
        <w:rPr>
          <w:spacing w:val="80"/>
        </w:rPr>
        <w:t> </w:t>
      </w:r>
      <w:r>
        <w:rPr/>
        <w:t>tata kelola (ESG). Sampel diambil menggunakan teknik purposive dari perusahaan publik yang terdaftar di Indonesia dalam periode 2012- 2017,</w:t>
      </w:r>
      <w:r>
        <w:rPr>
          <w:spacing w:val="-4"/>
        </w:rPr>
        <w:t> </w:t>
      </w:r>
      <w:r>
        <w:rPr/>
        <w:t>dengan</w:t>
      </w:r>
      <w:r>
        <w:rPr>
          <w:spacing w:val="-4"/>
        </w:rPr>
        <w:t> </w:t>
      </w:r>
      <w:r>
        <w:rPr/>
        <w:t>total</w:t>
      </w:r>
      <w:r>
        <w:rPr>
          <w:spacing w:val="-4"/>
        </w:rPr>
        <w:t> </w:t>
      </w:r>
      <w:r>
        <w:rPr/>
        <w:t>159</w:t>
      </w:r>
      <w:r>
        <w:rPr>
          <w:spacing w:val="-4"/>
        </w:rPr>
        <w:t> </w:t>
      </w:r>
      <w:r>
        <w:rPr/>
        <w:t>observasi</w:t>
      </w:r>
      <w:r>
        <w:rPr>
          <w:spacing w:val="-4"/>
        </w:rPr>
        <w:t> </w:t>
      </w:r>
      <w:r>
        <w:rPr/>
        <w:t>perusahaan-tahun</w:t>
      </w:r>
      <w:r>
        <w:rPr>
          <w:spacing w:val="-4"/>
        </w:rPr>
        <w:t> </w:t>
      </w:r>
      <w:r>
        <w:rPr/>
        <w:t>yang</w:t>
      </w:r>
      <w:r>
        <w:rPr>
          <w:spacing w:val="-4"/>
        </w:rPr>
        <w:t> </w:t>
      </w:r>
      <w:r>
        <w:rPr/>
        <w:t>dimasukkan dalam analisis. Hasil penelitian menunjukkan bahwa masa jabatan</w:t>
      </w:r>
      <w:r>
        <w:rPr>
          <w:spacing w:val="40"/>
        </w:rPr>
        <w:t> </w:t>
      </w:r>
      <w:r>
        <w:rPr/>
        <w:t>dan usia CEO memiliki dampak negatif terhadap pengungkapan ESG, sementara latar belakang pendidikan CEO berpengaruh positif terhadap pengungkapan ESG. Temuan ini memberikan bukti baru mengenai peran CEO dalam kinerja keberlanjutan perusahaan dan diharapkan dapat menekankan pentingnya pemilihan karakteristik CEO yang tepat untuk meningkatkan pengungkapan ESG.</w:t>
      </w:r>
    </w:p>
    <w:p>
      <w:pPr>
        <w:pStyle w:val="BodyText"/>
        <w:spacing w:line="480" w:lineRule="auto" w:before="160"/>
        <w:ind w:left="1135" w:right="707" w:firstLine="708"/>
        <w:jc w:val="both"/>
      </w:pPr>
      <w:r>
        <w:rPr/>
        <w:t>Yulista &amp; Herawaty (2024) “Peran Karakteristik CEO dalam Memoderasi Pengaruh Antara ESG dan Penghindaran Pajak Terhadap Kinerja Keuangan” penelitian ini bertujuan untuk menguji pengaruh penerapan ESG dan penghindaran pajak terhadap kinerja keuangan dengan karakteristik CEO sebagai variabel moderasi. Data</w:t>
      </w:r>
    </w:p>
    <w:p>
      <w:pPr>
        <w:pStyle w:val="BodyText"/>
        <w:spacing w:after="0" w:line="480" w:lineRule="auto"/>
        <w:jc w:val="both"/>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BodyText"/>
        <w:spacing w:line="480" w:lineRule="auto"/>
        <w:ind w:left="1134" w:right="707"/>
        <w:jc w:val="both"/>
      </w:pPr>
      <w:r>
        <w:rPr/>
        <w:t>yang digunakan berupa data sekunder dari perusahaan sektor </w:t>
      </w:r>
      <w:r>
        <w:rPr>
          <w:i/>
        </w:rPr>
        <w:t>consumer non-cyclicals </w:t>
      </w:r>
      <w:r>
        <w:rPr/>
        <w:t>yang terdaftar di BEI pada periode</w:t>
      </w:r>
      <w:r>
        <w:rPr>
          <w:spacing w:val="40"/>
        </w:rPr>
        <w:t> </w:t>
      </w:r>
      <w:r>
        <w:rPr/>
        <w:t>2020–2022.</w:t>
      </w:r>
      <w:r>
        <w:rPr>
          <w:spacing w:val="-2"/>
        </w:rPr>
        <w:t> </w:t>
      </w:r>
      <w:r>
        <w:rPr/>
        <w:t>Sampel</w:t>
      </w:r>
      <w:r>
        <w:rPr>
          <w:spacing w:val="-2"/>
        </w:rPr>
        <w:t> </w:t>
      </w:r>
      <w:r>
        <w:rPr/>
        <w:t>penelitian</w:t>
      </w:r>
      <w:r>
        <w:rPr>
          <w:spacing w:val="-2"/>
        </w:rPr>
        <w:t> </w:t>
      </w:r>
      <w:r>
        <w:rPr/>
        <w:t>dipilih</w:t>
      </w:r>
      <w:r>
        <w:rPr>
          <w:spacing w:val="-2"/>
        </w:rPr>
        <w:t> </w:t>
      </w:r>
      <w:r>
        <w:rPr/>
        <w:t>menggunakan</w:t>
      </w:r>
      <w:r>
        <w:rPr>
          <w:spacing w:val="-2"/>
        </w:rPr>
        <w:t> </w:t>
      </w:r>
      <w:r>
        <w:rPr/>
        <w:t>metode </w:t>
      </w:r>
      <w:r>
        <w:rPr>
          <w:i/>
        </w:rPr>
        <w:t>purposive sampling, </w:t>
      </w:r>
      <w:r>
        <w:rPr/>
        <w:t>menghasilkan 108 data sampel yang dianalisis dengan </w:t>
      </w:r>
      <w:r>
        <w:rPr>
          <w:i/>
        </w:rPr>
        <w:t>software Eviews. </w:t>
      </w:r>
      <w:r>
        <w:rPr/>
        <w:t>Hasil penelitian menunjukkan bahwa penghindaran pajak berpengaruh positif terhadap kinerja keuangan, dengan karakteristik CEO memperkuat hubungan tersebut. Sebaliknya, penerapan ESG tidak memengaruhi kinerja keuangan, dan karakteristik</w:t>
      </w:r>
      <w:r>
        <w:rPr>
          <w:spacing w:val="-3"/>
        </w:rPr>
        <w:t> </w:t>
      </w:r>
      <w:r>
        <w:rPr/>
        <w:t>CEO</w:t>
      </w:r>
      <w:r>
        <w:rPr>
          <w:spacing w:val="-3"/>
        </w:rPr>
        <w:t> </w:t>
      </w:r>
      <w:r>
        <w:rPr/>
        <w:t>tidak</w:t>
      </w:r>
      <w:r>
        <w:rPr>
          <w:spacing w:val="-3"/>
        </w:rPr>
        <w:t> </w:t>
      </w:r>
      <w:r>
        <w:rPr/>
        <w:t>memoderasi</w:t>
      </w:r>
      <w:r>
        <w:rPr>
          <w:spacing w:val="-3"/>
        </w:rPr>
        <w:t> </w:t>
      </w:r>
      <w:r>
        <w:rPr/>
        <w:t>hubungan</w:t>
      </w:r>
      <w:r>
        <w:rPr>
          <w:spacing w:val="-3"/>
        </w:rPr>
        <w:t> </w:t>
      </w:r>
      <w:r>
        <w:rPr/>
        <w:t>antara</w:t>
      </w:r>
      <w:r>
        <w:rPr>
          <w:spacing w:val="-3"/>
        </w:rPr>
        <w:t> </w:t>
      </w:r>
      <w:r>
        <w:rPr/>
        <w:t>penerapan</w:t>
      </w:r>
      <w:r>
        <w:rPr>
          <w:spacing w:val="-3"/>
        </w:rPr>
        <w:t> </w:t>
      </w:r>
      <w:r>
        <w:rPr/>
        <w:t>ESG dan kinerja keuangan.</w:t>
      </w:r>
    </w:p>
    <w:p>
      <w:pPr>
        <w:pStyle w:val="BodyText"/>
        <w:spacing w:line="480" w:lineRule="auto" w:before="160"/>
        <w:ind w:left="1134" w:right="707" w:firstLine="842"/>
        <w:jc w:val="both"/>
      </w:pPr>
      <w:r>
        <w:rPr/>
        <w:t>Shafira, et al. (2024) </w:t>
      </w:r>
      <w:r>
        <w:rPr>
          <w:i/>
        </w:rPr>
        <w:t>“CEO Education from Reputable University and ESG Disclosure: Evidence from Indonesia” </w:t>
      </w:r>
      <w:r>
        <w:rPr/>
        <w:t>Tujuan dari penelitian ini adalah untuk mengetahui bagaimana latar belakang pendidikan mempengaruhi CEO, khususnya gelar MBA dan teknik yang diperoleh dari universitas terkemuka, terhadap pengungkapan lingkungan, sosial, dan tata kelola (ESG). Sampel yang digunakan dalam penelitian ini mencakup 332 perusahaan dari total 407 perusahaan yang terdaftar di Bursa Efek Indonesia dan mengungkapkan laporan keberlanjutan selama periode 2016 hingga 2020. Analisis dilakukan dengan metode regresi linier berganda. Hasil penelitian menunjukkan bahwa CEO yang memiliki gelar MBA dan teknik dari universitas terkemuka, berdasarkan peringkat QS World University,</w:t>
      </w:r>
      <w:r>
        <w:rPr>
          <w:spacing w:val="58"/>
        </w:rPr>
        <w:t>  </w:t>
      </w:r>
      <w:r>
        <w:rPr/>
        <w:t>memiliki</w:t>
      </w:r>
      <w:r>
        <w:rPr>
          <w:spacing w:val="58"/>
        </w:rPr>
        <w:t>  </w:t>
      </w:r>
      <w:r>
        <w:rPr/>
        <w:t>pengaruh</w:t>
      </w:r>
      <w:r>
        <w:rPr>
          <w:spacing w:val="58"/>
        </w:rPr>
        <w:t>  </w:t>
      </w:r>
      <w:r>
        <w:rPr/>
        <w:t>positif</w:t>
      </w:r>
      <w:r>
        <w:rPr>
          <w:spacing w:val="58"/>
        </w:rPr>
        <w:t>  </w:t>
      </w:r>
      <w:r>
        <w:rPr/>
        <w:t>dan</w:t>
      </w:r>
      <w:r>
        <w:rPr>
          <w:spacing w:val="58"/>
        </w:rPr>
        <w:t>  </w:t>
      </w:r>
      <w:r>
        <w:rPr/>
        <w:t>signifikan</w:t>
      </w:r>
      <w:r>
        <w:rPr>
          <w:spacing w:val="58"/>
        </w:rPr>
        <w:t>  </w:t>
      </w:r>
      <w:r>
        <w:rPr/>
        <w:t>terhadap</w:t>
      </w:r>
    </w:p>
    <w:p>
      <w:pPr>
        <w:pStyle w:val="BodyText"/>
        <w:spacing w:after="0" w:line="480" w:lineRule="auto"/>
        <w:jc w:val="both"/>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BodyText"/>
        <w:spacing w:line="480" w:lineRule="auto"/>
        <w:ind w:left="1134" w:right="708"/>
        <w:jc w:val="both"/>
      </w:pPr>
      <w:r>
        <w:rPr/>
        <w:t>pengungkapan ESG. Penelitian ini memberikan kontribusi pada literatur mengenai karakteristik CEO, terutama latar belakang pendidikan mereka dengan gelar seperti MBA dan teknik, serta dampaknya terhadap pengungkapan ESG. Temuan ini juga menyoroti bagi para pembuat kebijakan tentang pentingnya mempertimbangkan latar belakang pendidikan CEO dalam proses seleksi dan pelatihan, serta implikasi potensialnya terhadap regulasi pengungkapan ESG.</w:t>
      </w:r>
    </w:p>
    <w:p>
      <w:pPr>
        <w:pStyle w:val="BodyText"/>
        <w:spacing w:line="480" w:lineRule="auto"/>
        <w:ind w:left="1134" w:right="708" w:firstLine="709"/>
        <w:jc w:val="both"/>
      </w:pPr>
      <w:r>
        <w:rPr/>
        <w:t>Putri &amp; Puspawati (2023) </w:t>
      </w:r>
      <w:r>
        <w:rPr>
          <w:i/>
        </w:rPr>
        <w:t>“The Effect of ESG Disclosure, Company Size, and Laverage On Company’s Financial Performance</w:t>
      </w:r>
      <w:r>
        <w:rPr>
          <w:i/>
          <w:spacing w:val="40"/>
        </w:rPr>
        <w:t> </w:t>
      </w:r>
      <w:r>
        <w:rPr>
          <w:i/>
        </w:rPr>
        <w:t>in Indonesia” </w:t>
      </w:r>
      <w:r>
        <w:rPr/>
        <w:t>yang menyatakan penelitian ini bertujuan untuk menguji pengaruh pengungkapan ESG, Ukuran Perusahaan, dan Leverage terhadap Kinerja Keuangan Perusahaan. Populasi dalam penelitian ini adalah seluruh perusahaan yang terdaftar di Bursa Efek Indonesia (BEI) tahun 2018-2021. Sampel dipilih dengan menggunakan teknik purposive sampling, sehingga diperoleh 42 sampel perusahaan yang memenuhi kriteria dengan 168 data yang digunakan sebagai sampel penelitian. Kinerja Keuangan diproksikan dengan Return on Assets dan Tobin's Q. Hasil penelitian menunjukkan bahwa Leverage hanya berpengaruh terhadap kinerja keuangan yang diproksikan dengan Retum on Assets, dan pengungkapan ESG, Ukuran Perusahaan, Leverage berpengaruh terhadap kinerja keuangan yang diproksikan dengan Tobin's Q.</w:t>
      </w:r>
    </w:p>
    <w:p>
      <w:pPr>
        <w:pStyle w:val="BodyText"/>
        <w:spacing w:after="0" w:line="480" w:lineRule="auto"/>
        <w:jc w:val="both"/>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BodyText"/>
        <w:spacing w:line="480" w:lineRule="auto"/>
        <w:ind w:left="1134" w:right="707" w:firstLine="709"/>
        <w:jc w:val="both"/>
      </w:pPr>
      <w:r>
        <w:rPr/>
        <w:t>Safitri &amp; Utomo (2020) “Pengaruh </w:t>
      </w:r>
      <w:r>
        <w:rPr>
          <w:i/>
        </w:rPr>
        <w:t>Environmental, Social, Governance </w:t>
      </w:r>
      <w:r>
        <w:rPr/>
        <w:t>(ESG) </w:t>
      </w:r>
      <w:r>
        <w:rPr>
          <w:i/>
        </w:rPr>
        <w:t>Disclosure </w:t>
      </w:r>
      <w:r>
        <w:rPr/>
        <w:t>terhadap Kinerja Perusahaan” penelitian ini bertujuan untuk menguji pengaruh pengungkapan ESG, ukuran perusahaan, dan leverage terhadap kinerja keuangan perusahaan. Populasi penelitian mencakup seluruh perusahaan yang terdaftar di Bursa Efek Indonesia (BEI) selama periode 2018-2021. Sampel dipilih menggunakan teknik purposive sampling,</w:t>
      </w:r>
      <w:r>
        <w:rPr>
          <w:spacing w:val="40"/>
        </w:rPr>
        <w:t> </w:t>
      </w:r>
      <w:r>
        <w:rPr/>
        <w:t>menghasilkan</w:t>
      </w:r>
      <w:r>
        <w:rPr>
          <w:spacing w:val="40"/>
        </w:rPr>
        <w:t> </w:t>
      </w:r>
      <w:r>
        <w:rPr/>
        <w:t>42</w:t>
      </w:r>
      <w:r>
        <w:rPr>
          <w:spacing w:val="40"/>
        </w:rPr>
        <w:t> </w:t>
      </w:r>
      <w:r>
        <w:rPr/>
        <w:t>perusahaan</w:t>
      </w:r>
      <w:r>
        <w:rPr>
          <w:spacing w:val="40"/>
        </w:rPr>
        <w:t> </w:t>
      </w:r>
      <w:r>
        <w:rPr/>
        <w:t>yang</w:t>
      </w:r>
      <w:r>
        <w:rPr>
          <w:spacing w:val="40"/>
        </w:rPr>
        <w:t> </w:t>
      </w:r>
      <w:r>
        <w:rPr/>
        <w:t>memenuhi</w:t>
      </w:r>
      <w:r>
        <w:rPr>
          <w:spacing w:val="40"/>
        </w:rPr>
        <w:t> </w:t>
      </w:r>
      <w:r>
        <w:rPr/>
        <w:t>kriteria,</w:t>
      </w:r>
      <w:r>
        <w:rPr>
          <w:spacing w:val="40"/>
        </w:rPr>
        <w:t> </w:t>
      </w:r>
      <w:r>
        <w:rPr/>
        <w:t>dengan</w:t>
      </w:r>
      <w:r>
        <w:rPr>
          <w:spacing w:val="40"/>
        </w:rPr>
        <w:t> </w:t>
      </w:r>
      <w:r>
        <w:rPr/>
        <w:t>total</w:t>
      </w:r>
    </w:p>
    <w:p>
      <w:pPr>
        <w:pStyle w:val="BodyText"/>
        <w:spacing w:line="480" w:lineRule="auto"/>
        <w:ind w:left="1134" w:right="708"/>
        <w:jc w:val="both"/>
      </w:pPr>
      <w:r>
        <w:rPr/>
        <w:t>168 data sebagai sampel penelitian. Kinerja keuangan diukur menggunakan </w:t>
      </w:r>
      <w:r>
        <w:rPr>
          <w:i/>
        </w:rPr>
        <w:t>Return on Asset</w:t>
      </w:r>
      <w:r>
        <w:rPr/>
        <w:t>s (ROA) dan Tobin's Q. Temuan menunjukkan bahwa leverage mempengaruhi kinerja keuangan yang ditentukan oleh Return on Assets, sedangkan pengungkapan ESG, ukuran perusahaan, dan leverage berpengaruh terhadap kinerja keuangan yang diukur dengan Tobin's Q. Penelitian ini juga mengeksplorasi pengaruh pengungkapan ESG terhadap kinerja perusahaan dengan leverage keuangan dan total aset sebagai variabel kontrol. Variabel yang digunakan meliputi variabel dependen (kinerja operasional, keuangan, dan pasar), variabel independen (pengungkapan ESG), serta variabel kontrol (leverage keuangan dan total aset). Populasi penelitian adalah perusahaan non-keuangan</w:t>
      </w:r>
      <w:r>
        <w:rPr>
          <w:spacing w:val="80"/>
        </w:rPr>
        <w:t> </w:t>
      </w:r>
      <w:r>
        <w:rPr/>
        <w:t>yang terdaftar di BEI pada 2015-2018. Sampel diperoleh melalui purposive sampling, menghasilkan 44 perusahaan yang memenuhi kriteria</w:t>
      </w:r>
      <w:r>
        <w:rPr>
          <w:spacing w:val="80"/>
        </w:rPr>
        <w:t> </w:t>
      </w:r>
      <w:r>
        <w:rPr/>
        <w:t>selama</w:t>
      </w:r>
      <w:r>
        <w:rPr>
          <w:spacing w:val="80"/>
        </w:rPr>
        <w:t> </w:t>
      </w:r>
      <w:r>
        <w:rPr/>
        <w:t>periode</w:t>
      </w:r>
      <w:r>
        <w:rPr>
          <w:spacing w:val="80"/>
        </w:rPr>
        <w:t> </w:t>
      </w:r>
      <w:r>
        <w:rPr/>
        <w:t>empat</w:t>
      </w:r>
      <w:r>
        <w:rPr>
          <w:spacing w:val="80"/>
        </w:rPr>
        <w:t> </w:t>
      </w:r>
      <w:r>
        <w:rPr/>
        <w:t>tahun</w:t>
      </w:r>
      <w:r>
        <w:rPr>
          <w:spacing w:val="80"/>
        </w:rPr>
        <w:t> </w:t>
      </w:r>
      <w:r>
        <w:rPr/>
        <w:t>(2015-2018).</w:t>
      </w:r>
      <w:r>
        <w:rPr>
          <w:spacing w:val="80"/>
        </w:rPr>
        <w:t> </w:t>
      </w:r>
      <w:r>
        <w:rPr/>
        <w:t>Penelitian</w:t>
      </w:r>
      <w:r>
        <w:rPr>
          <w:spacing w:val="80"/>
        </w:rPr>
        <w:t> </w:t>
      </w:r>
      <w:r>
        <w:rPr/>
        <w:t>ini</w:t>
      </w:r>
    </w:p>
    <w:p>
      <w:pPr>
        <w:pStyle w:val="BodyText"/>
        <w:spacing w:after="0" w:line="480" w:lineRule="auto"/>
        <w:jc w:val="both"/>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BodyText"/>
        <w:spacing w:line="480" w:lineRule="auto"/>
        <w:ind w:left="1134" w:right="708"/>
        <w:jc w:val="both"/>
      </w:pPr>
      <w:r>
        <w:rPr/>
        <w:t>menggunakan metode analisis regresi berganda dan teknik statistik data panel untuk menguji hipotesis. Hasilnya menunjukkan bahwa pengungkapan ESG memiliki pengaruh positif dan signifikan terhadap kinerja operasional dan keuangan, tetapi tidak berpengaruh signifikan terhadap kinerja pasar.</w:t>
      </w:r>
    </w:p>
    <w:p>
      <w:pPr>
        <w:pStyle w:val="BodyText"/>
        <w:spacing w:line="480" w:lineRule="auto"/>
        <w:ind w:left="1134" w:right="707" w:firstLine="709"/>
        <w:jc w:val="both"/>
      </w:pPr>
      <w:r>
        <w:rPr/>
        <w:t>Siregar &amp; Kusumawardhani (2023) “Ukuran Perusahaan, Profitabilitas, </w:t>
      </w:r>
      <w:r>
        <w:rPr>
          <w:i/>
        </w:rPr>
        <w:t>Political Cost, </w:t>
      </w:r>
      <w:r>
        <w:rPr/>
        <w:t>Tipe Industri, dan Kinerja Lingkungan terhadap </w:t>
      </w:r>
      <w:r>
        <w:rPr>
          <w:i/>
        </w:rPr>
        <w:t>Environmental Disclosure</w:t>
      </w:r>
      <w:r>
        <w:rPr/>
        <w:t>” penelitian ini bertujuan untuk mengidentifikasi dan menguji pengaruh ukuran perusahaan, profitabilitas, biaya politik, jenis industri, serta kinerja lingkungan terhadap pengungkapan lingkungan. Populasi penelitian terdiri dari perusahaan publik non-keuangan yang terdaftar di Bursa Efek Indonesia (BEI) dan juga tercatat sebagai peserta PROPER selama periode 2017-2021. Purposive sampling adalah metode sampel yang digunakan, dengan unit analisis berupa laporan tahunan, laporan keberlanjutan perusahaan, serta daftar peserta PROPER untuk tahun 2017-2021,</w:t>
      </w:r>
      <w:r>
        <w:rPr>
          <w:spacing w:val="-1"/>
        </w:rPr>
        <w:t> </w:t>
      </w:r>
      <w:r>
        <w:rPr/>
        <w:t>yang</w:t>
      </w:r>
      <w:r>
        <w:rPr>
          <w:spacing w:val="-1"/>
        </w:rPr>
        <w:t> </w:t>
      </w:r>
      <w:r>
        <w:rPr/>
        <w:t>mencakup</w:t>
      </w:r>
      <w:r>
        <w:rPr>
          <w:spacing w:val="-1"/>
        </w:rPr>
        <w:t> </w:t>
      </w:r>
      <w:r>
        <w:rPr/>
        <w:t>total</w:t>
      </w:r>
      <w:r>
        <w:rPr>
          <w:spacing w:val="-1"/>
        </w:rPr>
        <w:t> </w:t>
      </w:r>
      <w:r>
        <w:rPr/>
        <w:t>populasi</w:t>
      </w:r>
      <w:r>
        <w:rPr>
          <w:spacing w:val="-1"/>
        </w:rPr>
        <w:t> </w:t>
      </w:r>
      <w:r>
        <w:rPr/>
        <w:t>sebanyak</w:t>
      </w:r>
      <w:r>
        <w:rPr>
          <w:spacing w:val="-1"/>
        </w:rPr>
        <w:t> </w:t>
      </w:r>
      <w:r>
        <w:rPr/>
        <w:t>177</w:t>
      </w:r>
      <w:r>
        <w:rPr>
          <w:spacing w:val="-1"/>
        </w:rPr>
        <w:t> </w:t>
      </w:r>
      <w:r>
        <w:rPr/>
        <w:t>data.</w:t>
      </w:r>
      <w:r>
        <w:rPr>
          <w:spacing w:val="-1"/>
        </w:rPr>
        <w:t> </w:t>
      </w:r>
      <w:r>
        <w:rPr/>
        <w:t>Metode analisis data yang diterapkan adalah analisis regresi linier berganda. Hasil penelitian menunjukkan bahwa profitabilitas dan kinerja lingkungan berpengaruh positif terhadap pengungkapan lingkungan, sementara ukuran perusahaan, biaya politik, dan jenis industri tidak memiliki pengaruh terhadap pengungkapan lingkungan.</w:t>
      </w:r>
    </w:p>
    <w:p>
      <w:pPr>
        <w:pStyle w:val="BodyText"/>
        <w:spacing w:after="0" w:line="480" w:lineRule="auto"/>
        <w:jc w:val="both"/>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BodyText"/>
        <w:spacing w:line="480" w:lineRule="auto"/>
        <w:ind w:left="1134" w:right="707" w:firstLine="708"/>
        <w:jc w:val="both"/>
      </w:pPr>
      <w:r>
        <w:rPr/>
        <w:t>Noviani &amp; Suardana (2019) “Pengaruh Ukuran Perusahaan, </w:t>
      </w:r>
      <w:r>
        <w:rPr>
          <w:i/>
        </w:rPr>
        <w:t>Political Cost </w:t>
      </w:r>
      <w:r>
        <w:rPr/>
        <w:t>Dan Kinerja Lingkungan Terhadap </w:t>
      </w:r>
      <w:r>
        <w:rPr>
          <w:i/>
        </w:rPr>
        <w:t>Environmental Disclosure</w:t>
      </w:r>
      <w:r>
        <w:rPr>
          <w:i/>
          <w:spacing w:val="-2"/>
        </w:rPr>
        <w:t> </w:t>
      </w:r>
      <w:r>
        <w:rPr/>
        <w:t>Dalam</w:t>
      </w:r>
      <w:r>
        <w:rPr>
          <w:spacing w:val="-3"/>
        </w:rPr>
        <w:t> </w:t>
      </w:r>
      <w:r>
        <w:rPr/>
        <w:t>Laporan</w:t>
      </w:r>
      <w:r>
        <w:rPr>
          <w:spacing w:val="-3"/>
        </w:rPr>
        <w:t> </w:t>
      </w:r>
      <w:r>
        <w:rPr/>
        <w:t>Tahunan”</w:t>
      </w:r>
      <w:r>
        <w:rPr>
          <w:spacing w:val="-3"/>
        </w:rPr>
        <w:t> </w:t>
      </w:r>
      <w:r>
        <w:rPr/>
        <w:t>penelitian</w:t>
      </w:r>
      <w:r>
        <w:rPr>
          <w:spacing w:val="-3"/>
        </w:rPr>
        <w:t> </w:t>
      </w:r>
      <w:r>
        <w:rPr/>
        <w:t>ini</w:t>
      </w:r>
      <w:r>
        <w:rPr>
          <w:spacing w:val="-3"/>
        </w:rPr>
        <w:t> </w:t>
      </w:r>
      <w:r>
        <w:rPr/>
        <w:t>membahas</w:t>
      </w:r>
      <w:r>
        <w:rPr>
          <w:spacing w:val="-3"/>
        </w:rPr>
        <w:t> </w:t>
      </w:r>
      <w:r>
        <w:rPr/>
        <w:t>dampak yang ditimbulkan oleh biaya politik, profitabilitas, dan tipe perusahaan terhadap pengungkapan lingkungan. Populasi yang menjadi fokus penelitian mencakup seluruh perusahaan manufaktur yang terdaftar di Bursa Efek Indonesia (BEI) dan Bursa Efek Malaysia selama periode 2017-2019. Sampel diambil menggunakan metode purposive</w:t>
      </w:r>
      <w:r>
        <w:rPr>
          <w:spacing w:val="80"/>
        </w:rPr>
        <w:t> </w:t>
      </w:r>
      <w:r>
        <w:rPr/>
        <w:t>sampling dari laporan tahunan perusahaan-perusahaan manufaktur yang terdaftar di kedua bursa tersebut. Metode analisis yang digunakan adalah regresi linear berganda. Data yang digunakan</w:t>
      </w:r>
      <w:r>
        <w:rPr>
          <w:spacing w:val="40"/>
        </w:rPr>
        <w:t> </w:t>
      </w:r>
      <w:r>
        <w:rPr/>
        <w:t>dalam penelitian ini diperoleh dari sumber sekunder, yaitu situs web resmi perusahaan industri di Indonesia dan Malaysia pada tahun</w:t>
      </w:r>
      <w:r>
        <w:rPr>
          <w:spacing w:val="40"/>
        </w:rPr>
        <w:t> </w:t>
      </w:r>
      <w:r>
        <w:rPr/>
        <w:t>2017-2019. Dengan menggunakan teknik purposive sampling, sampel yang dipilih berdasarkan karakteristik tertentu terdiri dari 32 perusahaan industri yang memenuhi kriteria selama tiga tahun berturut-turut, sehingga total terdapat 96 data sampel. Analisis dilakukan dengan regresi linear berganda yang diolah menggunakan software SPSS. Hasil pengujian hipotesis menggunakan software tersebut menunjukkan adanya pengaruh negatif antara biaya politik, profitabilitas, dan tipe industri terhadap pengungkapan lingkungan.</w:t>
      </w:r>
    </w:p>
    <w:p>
      <w:pPr>
        <w:spacing w:line="480" w:lineRule="auto" w:before="160"/>
        <w:ind w:left="1134" w:right="707" w:firstLine="708"/>
        <w:jc w:val="both"/>
        <w:rPr>
          <w:sz w:val="24"/>
        </w:rPr>
      </w:pPr>
      <w:r>
        <w:rPr>
          <w:sz w:val="24"/>
        </w:rPr>
        <w:t>Adhi &amp; Cahyonowati (2023) “Pengaruh </w:t>
      </w:r>
      <w:r>
        <w:rPr>
          <w:i/>
          <w:sz w:val="24"/>
        </w:rPr>
        <w:t>Environmental, Social, and Governance </w:t>
      </w:r>
      <w:r>
        <w:rPr>
          <w:sz w:val="24"/>
        </w:rPr>
        <w:t>(ESG) </w:t>
      </w:r>
      <w:r>
        <w:rPr>
          <w:i/>
          <w:sz w:val="24"/>
        </w:rPr>
        <w:t>Disclosure </w:t>
      </w:r>
      <w:r>
        <w:rPr>
          <w:sz w:val="24"/>
        </w:rPr>
        <w:t>terhadap Nilai Perusaahan dengan</w:t>
      </w:r>
    </w:p>
    <w:p>
      <w:pPr>
        <w:spacing w:after="0" w:line="480" w:lineRule="auto"/>
        <w:jc w:val="both"/>
        <w:rPr>
          <w:sz w:val="24"/>
        </w:rPr>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BodyText"/>
        <w:spacing w:line="480" w:lineRule="auto"/>
        <w:ind w:left="1134" w:right="708"/>
        <w:jc w:val="both"/>
      </w:pPr>
      <w:r>
        <w:rPr/>
        <w:t>Ukuran Perusahaan Sebagai Variabel Moderasi” studi empiris perusahaan non-keuangan di Bursa Efek Indonesia (BEI) tahun 2019- 2021. Penelitian ini bertujuan untuk menguji pengaruh pengungkapan lingkungan, sosial, dan tata kelola terhadap nilai perusahaan di sektor non-keuangan selama periode 2019-2021. Variabel yang diuji terdiri dari pengungkapan lingkungan, sosial, dan tata kelola sebagai</w:t>
      </w:r>
      <w:r>
        <w:rPr>
          <w:spacing w:val="40"/>
        </w:rPr>
        <w:t> </w:t>
      </w:r>
      <w:r>
        <w:rPr/>
        <w:t>variabel independen, nilai perusahaan sebagai variabel dependen,</w:t>
      </w:r>
      <w:r>
        <w:rPr>
          <w:spacing w:val="40"/>
        </w:rPr>
        <w:t> </w:t>
      </w:r>
      <w:r>
        <w:rPr/>
        <w:t>dan ukuran perusahaan sebagai variabel moderating. Populasi penelitian mencakup seluruh perusahaan non-keuangan yang</w:t>
      </w:r>
      <w:r>
        <w:rPr>
          <w:spacing w:val="40"/>
        </w:rPr>
        <w:t> </w:t>
      </w:r>
      <w:r>
        <w:rPr/>
        <w:t>terdaftar di Bursa Efek Indonesia (BEI) pada tahun 2019-2021. Teknik pengambilan sampel yang digunakan adalah purposive sampling,</w:t>
      </w:r>
      <w:r>
        <w:rPr>
          <w:spacing w:val="40"/>
        </w:rPr>
        <w:t> </w:t>
      </w:r>
      <w:r>
        <w:rPr/>
        <w:t>yang</w:t>
      </w:r>
      <w:r>
        <w:rPr>
          <w:spacing w:val="-1"/>
        </w:rPr>
        <w:t> </w:t>
      </w:r>
      <w:r>
        <w:rPr/>
        <w:t>menghasilkan</w:t>
      </w:r>
      <w:r>
        <w:rPr>
          <w:spacing w:val="-1"/>
        </w:rPr>
        <w:t> </w:t>
      </w:r>
      <w:r>
        <w:rPr/>
        <w:t>127</w:t>
      </w:r>
      <w:r>
        <w:rPr>
          <w:spacing w:val="-1"/>
        </w:rPr>
        <w:t> </w:t>
      </w:r>
      <w:r>
        <w:rPr/>
        <w:t>sampel.</w:t>
      </w:r>
      <w:r>
        <w:rPr>
          <w:spacing w:val="-1"/>
        </w:rPr>
        <w:t> </w:t>
      </w:r>
      <w:r>
        <w:rPr/>
        <w:t>Metode</w:t>
      </w:r>
      <w:r>
        <w:rPr>
          <w:spacing w:val="-1"/>
        </w:rPr>
        <w:t> </w:t>
      </w:r>
      <w:r>
        <w:rPr/>
        <w:t>analisis</w:t>
      </w:r>
      <w:r>
        <w:rPr>
          <w:spacing w:val="-1"/>
        </w:rPr>
        <w:t> </w:t>
      </w:r>
      <w:r>
        <w:rPr/>
        <w:t>data</w:t>
      </w:r>
      <w:r>
        <w:rPr>
          <w:spacing w:val="-1"/>
        </w:rPr>
        <w:t> </w:t>
      </w:r>
      <w:r>
        <w:rPr/>
        <w:t>yang</w:t>
      </w:r>
      <w:r>
        <w:rPr>
          <w:spacing w:val="-1"/>
        </w:rPr>
        <w:t> </w:t>
      </w:r>
      <w:r>
        <w:rPr/>
        <w:t>diterapkan adalah analisis regresi moderasi menggunakan perangkat lunak</w:t>
      </w:r>
      <w:r>
        <w:rPr>
          <w:spacing w:val="80"/>
        </w:rPr>
        <w:t> </w:t>
      </w:r>
      <w:r>
        <w:rPr/>
        <w:t>SPSS 26. Hasil penelitian menunjukkan bahwa pengungkapan lingkungan, sosial, dan tata kelola memiliki pengaruh positif dan signifikan terhadap nilai perusahaan. Selain itu, ukuran perusahaan juga memberikan pengaruh positif terhadap nilai perusahaan. Di samping itu, ukuran perusahaan dapat memperkuat hubungan antara pengungkapan lingkungan, sosial, dan tata kelola dengan nilai </w:t>
      </w:r>
      <w:r>
        <w:rPr>
          <w:spacing w:val="-2"/>
        </w:rPr>
        <w:t>perusahaan.</w:t>
      </w:r>
    </w:p>
    <w:p>
      <w:pPr>
        <w:spacing w:line="480" w:lineRule="auto" w:before="160"/>
        <w:ind w:left="1134" w:right="707" w:firstLine="708"/>
        <w:jc w:val="both"/>
        <w:rPr>
          <w:sz w:val="24"/>
        </w:rPr>
      </w:pPr>
      <w:r>
        <w:rPr>
          <w:sz w:val="24"/>
        </w:rPr>
        <w:t>Anantya, et al. (2022) “Pengaruh Ukuran Perusahaan, Umur Perusahaan, Jenis Industri, dan Struktur Kepemilikan terhadap </w:t>
      </w:r>
      <w:r>
        <w:rPr>
          <w:i/>
          <w:sz w:val="24"/>
        </w:rPr>
        <w:t>Environmrental,</w:t>
      </w:r>
      <w:r>
        <w:rPr>
          <w:i/>
          <w:spacing w:val="80"/>
          <w:sz w:val="24"/>
        </w:rPr>
        <w:t> </w:t>
      </w:r>
      <w:r>
        <w:rPr>
          <w:i/>
          <w:sz w:val="24"/>
        </w:rPr>
        <w:t>Social,</w:t>
      </w:r>
      <w:r>
        <w:rPr>
          <w:i/>
          <w:spacing w:val="80"/>
          <w:sz w:val="24"/>
        </w:rPr>
        <w:t> </w:t>
      </w:r>
      <w:r>
        <w:rPr>
          <w:i/>
          <w:sz w:val="24"/>
        </w:rPr>
        <w:t>and</w:t>
      </w:r>
      <w:r>
        <w:rPr>
          <w:i/>
          <w:spacing w:val="80"/>
          <w:sz w:val="24"/>
        </w:rPr>
        <w:t> </w:t>
      </w:r>
      <w:r>
        <w:rPr>
          <w:i/>
          <w:sz w:val="24"/>
        </w:rPr>
        <w:t>Governance</w:t>
      </w:r>
      <w:r>
        <w:rPr>
          <w:i/>
          <w:spacing w:val="80"/>
          <w:sz w:val="24"/>
        </w:rPr>
        <w:t> </w:t>
      </w:r>
      <w:r>
        <w:rPr>
          <w:sz w:val="24"/>
        </w:rPr>
        <w:t>(ESG)</w:t>
      </w:r>
      <w:r>
        <w:rPr>
          <w:spacing w:val="80"/>
          <w:sz w:val="24"/>
        </w:rPr>
        <w:t> </w:t>
      </w:r>
      <w:r>
        <w:rPr>
          <w:i/>
          <w:sz w:val="24"/>
        </w:rPr>
        <w:t>Disclosure</w:t>
      </w:r>
      <w:r>
        <w:rPr>
          <w:sz w:val="24"/>
        </w:rPr>
        <w:t>”</w:t>
      </w:r>
      <w:r>
        <w:rPr>
          <w:spacing w:val="80"/>
          <w:sz w:val="24"/>
        </w:rPr>
        <w:t> </w:t>
      </w:r>
      <w:r>
        <w:rPr>
          <w:sz w:val="24"/>
        </w:rPr>
        <w:t>studi</w:t>
      </w:r>
    </w:p>
    <w:p>
      <w:pPr>
        <w:spacing w:after="0" w:line="480" w:lineRule="auto"/>
        <w:jc w:val="both"/>
        <w:rPr>
          <w:sz w:val="24"/>
        </w:rPr>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BodyText"/>
        <w:spacing w:line="480" w:lineRule="auto"/>
        <w:ind w:left="1134" w:right="708"/>
        <w:jc w:val="both"/>
      </w:pPr>
      <w:r>
        <w:rPr/>
        <w:t>empiris perusahaan di Indonesia yang terdaftar di IDX 2017-2020. Penelitian ini memiliki tujuan untuk menganalisis pengaruh ukuran perusahaan,</w:t>
      </w:r>
      <w:r>
        <w:rPr>
          <w:spacing w:val="-2"/>
        </w:rPr>
        <w:t> </w:t>
      </w:r>
      <w:r>
        <w:rPr/>
        <w:t>umur</w:t>
      </w:r>
      <w:r>
        <w:rPr>
          <w:spacing w:val="-2"/>
        </w:rPr>
        <w:t> </w:t>
      </w:r>
      <w:r>
        <w:rPr/>
        <w:t>perusahaan,</w:t>
      </w:r>
      <w:r>
        <w:rPr>
          <w:spacing w:val="-2"/>
        </w:rPr>
        <w:t> </w:t>
      </w:r>
      <w:r>
        <w:rPr/>
        <w:t>jenis</w:t>
      </w:r>
      <w:r>
        <w:rPr>
          <w:spacing w:val="-2"/>
        </w:rPr>
        <w:t> </w:t>
      </w:r>
      <w:r>
        <w:rPr/>
        <w:t>industri,</w:t>
      </w:r>
      <w:r>
        <w:rPr>
          <w:spacing w:val="-2"/>
        </w:rPr>
        <w:t> </w:t>
      </w:r>
      <w:r>
        <w:rPr/>
        <w:t>dan</w:t>
      </w:r>
      <w:r>
        <w:rPr>
          <w:spacing w:val="-2"/>
        </w:rPr>
        <w:t> </w:t>
      </w:r>
      <w:r>
        <w:rPr/>
        <w:t>struktur</w:t>
      </w:r>
      <w:r>
        <w:rPr>
          <w:spacing w:val="-2"/>
        </w:rPr>
        <w:t> </w:t>
      </w:r>
      <w:r>
        <w:rPr/>
        <w:t>kepemilikan terhadap pengungkapan ESG. Pendekatan yang digunakan dalam penelitian ini adalah kuantitatif, dengan menggunakan data sekunder dalam bentuk data panel. Proses pengambilan sampel dilakukan dengan metode purposive sampling. Analisis data dilakukan dengan menggunakan analisis regresi linear berganda, dan alat statistik yang digunakan adalah IBM SPSS 20. Hasil penelitian menunjukkan bahwa ukuran perusahaan berpengaruh terhadap pengungkapan ESG, umur perusahaan juga berpengaruh, jenis perusahaan memiliki pengaruh terhadap pengungkapan ESG, sedangkan struktur kepemilikan tidak berpengaruh terhadap pengungkapan ESG.</w:t>
      </w:r>
    </w:p>
    <w:p>
      <w:pPr>
        <w:pStyle w:val="BodyText"/>
        <w:spacing w:line="480" w:lineRule="auto" w:before="160"/>
        <w:ind w:left="1134" w:right="708" w:firstLine="708"/>
        <w:jc w:val="both"/>
      </w:pPr>
      <w:r>
        <w:rPr/>
        <w:t>Hasna &amp; Haryati (2024) ”Pengungkapan ESG dan Kinerja Keuangan bagi Nilai Perusahaan Dimoderasi oleh Ukuran Perusahaan” penelitian ini bertujuan untuk menjelaskan bagaimana berbagai aspek berinteraksi dan memengaruhi nilai perusahaan. Metode</w:t>
      </w:r>
      <w:r>
        <w:rPr>
          <w:spacing w:val="-3"/>
        </w:rPr>
        <w:t> </w:t>
      </w:r>
      <w:r>
        <w:rPr/>
        <w:t>yang</w:t>
      </w:r>
      <w:r>
        <w:rPr>
          <w:spacing w:val="-3"/>
        </w:rPr>
        <w:t> </w:t>
      </w:r>
      <w:r>
        <w:rPr/>
        <w:t>digunakan</w:t>
      </w:r>
      <w:r>
        <w:rPr>
          <w:spacing w:val="-3"/>
        </w:rPr>
        <w:t> </w:t>
      </w:r>
      <w:r>
        <w:rPr/>
        <w:t>dalam</w:t>
      </w:r>
      <w:r>
        <w:rPr>
          <w:spacing w:val="-3"/>
        </w:rPr>
        <w:t> </w:t>
      </w:r>
      <w:r>
        <w:rPr/>
        <w:t>penelitian</w:t>
      </w:r>
      <w:r>
        <w:rPr>
          <w:spacing w:val="-3"/>
        </w:rPr>
        <w:t> </w:t>
      </w:r>
      <w:r>
        <w:rPr/>
        <w:t>ini</w:t>
      </w:r>
      <w:r>
        <w:rPr>
          <w:spacing w:val="-3"/>
        </w:rPr>
        <w:t> </w:t>
      </w:r>
      <w:r>
        <w:rPr/>
        <w:t>adalah</w:t>
      </w:r>
      <w:r>
        <w:rPr>
          <w:spacing w:val="-3"/>
        </w:rPr>
        <w:t> </w:t>
      </w:r>
      <w:r>
        <w:rPr/>
        <w:t>kuantitatif,</w:t>
      </w:r>
      <w:r>
        <w:rPr>
          <w:spacing w:val="-3"/>
        </w:rPr>
        <w:t> </w:t>
      </w:r>
      <w:r>
        <w:rPr/>
        <w:t>dengan memanfaatkan laporan tahunan dari perusahaan sektor energi yang terdaftar di Bursa Efek Indonesia (BEI) selama periode 2018-2022. Teknik pengambilan sampel yang diterapkan adalah purposive sampling, dengan total sampel sebanyak 16 perusahaan. Data yang dikumpulkan dianalisis menggunakan Partial Least Square-Structural</w:t>
      </w:r>
    </w:p>
    <w:p>
      <w:pPr>
        <w:pStyle w:val="BodyText"/>
        <w:spacing w:after="0" w:line="480" w:lineRule="auto"/>
        <w:jc w:val="both"/>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BodyText"/>
        <w:spacing w:line="480" w:lineRule="auto"/>
        <w:ind w:left="1134" w:right="707"/>
        <w:jc w:val="both"/>
      </w:pPr>
      <w:r>
        <w:rPr/>
        <w:t>Equation Modeling (PLS-SEM) dengan bantuan perangkat lunak SmartPLS 3. Hasil analisis menunjukkan bahwa ESG dan pengungkapan </w:t>
      </w:r>
      <w:r>
        <w:rPr>
          <w:i/>
        </w:rPr>
        <w:t>Return on Assets </w:t>
      </w:r>
      <w:r>
        <w:rPr/>
        <w:t>(ROA) memiliki pengaruh positif dan signifikan terhadap nilai perusahaan, sementara </w:t>
      </w:r>
      <w:r>
        <w:rPr>
          <w:i/>
        </w:rPr>
        <w:t>Return on Equity </w:t>
      </w:r>
      <w:r>
        <w:rPr/>
        <w:t>(ROE) tidak menunjukkan pengaruh terhadap nilai perusahaan. Selain itu, ukuran perusahaan tidak memberikan efek moderasi pada</w:t>
      </w:r>
      <w:r>
        <w:rPr>
          <w:spacing w:val="40"/>
        </w:rPr>
        <w:t> </w:t>
      </w:r>
      <w:r>
        <w:rPr/>
        <w:t>interaksi antara pengungkapan ESG, ROA, atau ROE dengan nilai perusahaan. Meskipun penelitian ini mengindikasikan bahwa ada beberapa aspek yang tidak memengaruhi nilai perusahaan, perusahaan tetap perlu memperhatikan aspek-aspek tersebut untuk keberlanjutan bisnis mereka di masa depan.</w:t>
      </w:r>
    </w:p>
    <w:p>
      <w:pPr>
        <w:spacing w:before="160"/>
        <w:ind w:left="3029" w:right="0" w:firstLine="0"/>
        <w:jc w:val="both"/>
        <w:rPr>
          <w:sz w:val="24"/>
        </w:rPr>
      </w:pPr>
      <w:bookmarkStart w:name="_bookmark22" w:id="23"/>
      <w:bookmarkEnd w:id="23"/>
      <w:r>
        <w:rPr/>
      </w:r>
      <w:r>
        <w:rPr>
          <w:b/>
          <w:sz w:val="24"/>
        </w:rPr>
        <w:t>Tabel</w:t>
      </w:r>
      <w:r>
        <w:rPr>
          <w:b/>
          <w:spacing w:val="-4"/>
          <w:sz w:val="24"/>
        </w:rPr>
        <w:t> </w:t>
      </w:r>
      <w:r>
        <w:rPr>
          <w:b/>
          <w:sz w:val="24"/>
        </w:rPr>
        <w:t>2.1</w:t>
      </w:r>
      <w:r>
        <w:rPr>
          <w:b/>
          <w:spacing w:val="-4"/>
          <w:sz w:val="24"/>
        </w:rPr>
        <w:t> </w:t>
      </w:r>
      <w:r>
        <w:rPr>
          <w:sz w:val="24"/>
        </w:rPr>
        <w:t>Penelitian</w:t>
      </w:r>
      <w:r>
        <w:rPr>
          <w:spacing w:val="-4"/>
          <w:sz w:val="24"/>
        </w:rPr>
        <w:t> </w:t>
      </w:r>
      <w:r>
        <w:rPr>
          <w:spacing w:val="-2"/>
          <w:sz w:val="24"/>
        </w:rPr>
        <w:t>Terdahulu</w:t>
      </w:r>
    </w:p>
    <w:p>
      <w:pPr>
        <w:pStyle w:val="BodyText"/>
        <w:rPr>
          <w:sz w:val="20"/>
        </w:rPr>
      </w:pPr>
    </w:p>
    <w:p>
      <w:pPr>
        <w:pStyle w:val="BodyText"/>
        <w:spacing w:before="11"/>
        <w:rPr>
          <w:sz w:val="20"/>
        </w:rPr>
      </w:pPr>
    </w:p>
    <w:tbl>
      <w:tblPr>
        <w:tblW w:w="0" w:type="auto"/>
        <w:jc w:val="left"/>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6"/>
        <w:gridCol w:w="2634"/>
        <w:gridCol w:w="2125"/>
        <w:gridCol w:w="2658"/>
      </w:tblGrid>
      <w:tr>
        <w:trPr>
          <w:trHeight w:val="551" w:hRule="atLeast"/>
        </w:trPr>
        <w:tc>
          <w:tcPr>
            <w:tcW w:w="536" w:type="dxa"/>
          </w:tcPr>
          <w:p>
            <w:pPr>
              <w:pStyle w:val="TableParagraph"/>
              <w:spacing w:before="5"/>
              <w:ind w:left="9"/>
              <w:jc w:val="center"/>
              <w:rPr>
                <w:b/>
                <w:sz w:val="24"/>
              </w:rPr>
            </w:pPr>
            <w:r>
              <w:rPr>
                <w:b/>
                <w:spacing w:val="-5"/>
                <w:sz w:val="24"/>
              </w:rPr>
              <w:t>No</w:t>
            </w:r>
          </w:p>
        </w:tc>
        <w:tc>
          <w:tcPr>
            <w:tcW w:w="2634" w:type="dxa"/>
          </w:tcPr>
          <w:p>
            <w:pPr>
              <w:pStyle w:val="TableParagraph"/>
              <w:spacing w:before="5"/>
              <w:ind w:left="529"/>
              <w:rPr>
                <w:b/>
                <w:sz w:val="24"/>
              </w:rPr>
            </w:pPr>
            <w:r>
              <w:rPr>
                <w:b/>
                <w:sz w:val="24"/>
              </w:rPr>
              <w:t>Nama</w:t>
            </w:r>
            <w:r>
              <w:rPr>
                <w:b/>
                <w:spacing w:val="-5"/>
                <w:sz w:val="24"/>
              </w:rPr>
              <w:t> </w:t>
            </w:r>
            <w:r>
              <w:rPr>
                <w:b/>
                <w:spacing w:val="-2"/>
                <w:sz w:val="24"/>
              </w:rPr>
              <w:t>Peneliti</w:t>
            </w:r>
          </w:p>
        </w:tc>
        <w:tc>
          <w:tcPr>
            <w:tcW w:w="2125" w:type="dxa"/>
          </w:tcPr>
          <w:p>
            <w:pPr>
              <w:pStyle w:val="TableParagraph"/>
              <w:spacing w:before="5"/>
              <w:ind w:left="595"/>
              <w:rPr>
                <w:b/>
                <w:sz w:val="24"/>
              </w:rPr>
            </w:pPr>
            <w:r>
              <w:rPr>
                <w:b/>
                <w:spacing w:val="-2"/>
                <w:sz w:val="24"/>
              </w:rPr>
              <w:t>Variabel</w:t>
            </w:r>
          </w:p>
        </w:tc>
        <w:tc>
          <w:tcPr>
            <w:tcW w:w="2658" w:type="dxa"/>
          </w:tcPr>
          <w:p>
            <w:pPr>
              <w:pStyle w:val="TableParagraph"/>
              <w:spacing w:before="5"/>
              <w:ind w:left="441"/>
              <w:rPr>
                <w:b/>
                <w:sz w:val="24"/>
              </w:rPr>
            </w:pPr>
            <w:r>
              <w:rPr>
                <w:b/>
                <w:sz w:val="24"/>
              </w:rPr>
              <w:t>Hasil</w:t>
            </w:r>
            <w:r>
              <w:rPr>
                <w:b/>
                <w:spacing w:val="-4"/>
                <w:sz w:val="24"/>
              </w:rPr>
              <w:t> </w:t>
            </w:r>
            <w:r>
              <w:rPr>
                <w:b/>
                <w:spacing w:val="-2"/>
                <w:sz w:val="24"/>
              </w:rPr>
              <w:t>Penelitian</w:t>
            </w:r>
          </w:p>
        </w:tc>
      </w:tr>
      <w:tr>
        <w:trPr>
          <w:trHeight w:val="2856" w:hRule="atLeast"/>
        </w:trPr>
        <w:tc>
          <w:tcPr>
            <w:tcW w:w="536" w:type="dxa"/>
          </w:tcPr>
          <w:p>
            <w:pPr>
              <w:pStyle w:val="TableParagraph"/>
              <w:spacing w:before="5"/>
              <w:ind w:left="9"/>
              <w:jc w:val="center"/>
              <w:rPr>
                <w:sz w:val="24"/>
              </w:rPr>
            </w:pPr>
            <w:r>
              <w:rPr>
                <w:spacing w:val="-10"/>
                <w:sz w:val="24"/>
              </w:rPr>
              <w:t>1</w:t>
            </w:r>
          </w:p>
        </w:tc>
        <w:tc>
          <w:tcPr>
            <w:tcW w:w="2634" w:type="dxa"/>
          </w:tcPr>
          <w:p>
            <w:pPr>
              <w:pStyle w:val="TableParagraph"/>
              <w:tabs>
                <w:tab w:pos="1029" w:val="left" w:leader="none"/>
                <w:tab w:pos="1218" w:val="left" w:leader="none"/>
                <w:tab w:pos="1391" w:val="left" w:leader="none"/>
                <w:tab w:pos="2005" w:val="left" w:leader="none"/>
              </w:tabs>
              <w:spacing w:line="276" w:lineRule="auto" w:before="5"/>
              <w:ind w:right="96"/>
              <w:rPr>
                <w:i/>
                <w:sz w:val="24"/>
              </w:rPr>
            </w:pPr>
            <w:r>
              <w:rPr>
                <w:spacing w:val="-2"/>
                <w:sz w:val="24"/>
              </w:rPr>
              <w:t>Triyani</w:t>
            </w:r>
            <w:r>
              <w:rPr>
                <w:sz w:val="24"/>
              </w:rPr>
              <w:tab/>
            </w:r>
            <w:r>
              <w:rPr>
                <w:spacing w:val="-10"/>
                <w:sz w:val="24"/>
              </w:rPr>
              <w:t>&amp;</w:t>
            </w:r>
            <w:r>
              <w:rPr>
                <w:sz w:val="24"/>
              </w:rPr>
              <w:tab/>
              <w:tab/>
            </w:r>
            <w:r>
              <w:rPr>
                <w:spacing w:val="-2"/>
                <w:sz w:val="24"/>
              </w:rPr>
              <w:t>Setyahuni, (2020)</w:t>
            </w:r>
            <w:r>
              <w:rPr>
                <w:sz w:val="24"/>
              </w:rPr>
              <w:tab/>
              <w:tab/>
              <w:tab/>
            </w:r>
            <w:r>
              <w:rPr>
                <w:spacing w:val="-54"/>
                <w:sz w:val="24"/>
              </w:rPr>
              <w:t> </w:t>
            </w:r>
            <w:r>
              <w:rPr>
                <w:spacing w:val="-2"/>
                <w:sz w:val="24"/>
              </w:rPr>
              <w:t>“Pengaruh Karakteristik</w:t>
            </w:r>
            <w:r>
              <w:rPr>
                <w:sz w:val="24"/>
              </w:rPr>
              <w:tab/>
            </w:r>
            <w:r>
              <w:rPr>
                <w:spacing w:val="-4"/>
                <w:sz w:val="24"/>
              </w:rPr>
              <w:t>CEO </w:t>
            </w:r>
            <w:r>
              <w:rPr>
                <w:spacing w:val="-2"/>
                <w:sz w:val="24"/>
              </w:rPr>
              <w:t>terhadap Pengungkapan Informasi </w:t>
            </w:r>
            <w:r>
              <w:rPr>
                <w:i/>
                <w:sz w:val="24"/>
              </w:rPr>
              <w:t>Environmental,</w:t>
            </w:r>
            <w:r>
              <w:rPr>
                <w:i/>
                <w:spacing w:val="-4"/>
                <w:sz w:val="24"/>
              </w:rPr>
              <w:t> </w:t>
            </w:r>
            <w:r>
              <w:rPr>
                <w:i/>
                <w:sz w:val="24"/>
              </w:rPr>
              <w:t>Social, </w:t>
            </w:r>
            <w:r>
              <w:rPr>
                <w:i/>
                <w:spacing w:val="-5"/>
                <w:sz w:val="24"/>
              </w:rPr>
              <w:t>and</w:t>
            </w:r>
            <w:r>
              <w:rPr>
                <w:i/>
                <w:sz w:val="24"/>
              </w:rPr>
              <w:tab/>
              <w:tab/>
            </w:r>
            <w:r>
              <w:rPr>
                <w:i/>
                <w:spacing w:val="-2"/>
                <w:sz w:val="24"/>
              </w:rPr>
              <w:t>Governance</w:t>
            </w:r>
          </w:p>
          <w:p>
            <w:pPr>
              <w:pStyle w:val="TableParagraph"/>
              <w:rPr>
                <w:sz w:val="24"/>
              </w:rPr>
            </w:pPr>
            <w:r>
              <w:rPr>
                <w:spacing w:val="-2"/>
                <w:sz w:val="24"/>
              </w:rPr>
              <w:t>(ESG)”</w:t>
            </w:r>
          </w:p>
        </w:tc>
        <w:tc>
          <w:tcPr>
            <w:tcW w:w="2125" w:type="dxa"/>
          </w:tcPr>
          <w:p>
            <w:pPr>
              <w:pStyle w:val="TableParagraph"/>
              <w:spacing w:before="5"/>
              <w:ind w:right="96"/>
              <w:jc w:val="both"/>
              <w:rPr>
                <w:sz w:val="24"/>
              </w:rPr>
            </w:pPr>
            <w:r>
              <w:rPr>
                <w:sz w:val="24"/>
              </w:rPr>
              <w:t>Independen (X): Karakteristik</w:t>
            </w:r>
            <w:r>
              <w:rPr>
                <w:spacing w:val="-17"/>
                <w:sz w:val="24"/>
              </w:rPr>
              <w:t> </w:t>
            </w:r>
            <w:r>
              <w:rPr>
                <w:sz w:val="24"/>
              </w:rPr>
              <w:t>CEO Dependen</w:t>
            </w:r>
            <w:r>
              <w:rPr>
                <w:spacing w:val="68"/>
                <w:sz w:val="24"/>
              </w:rPr>
              <w:t>   </w:t>
            </w:r>
            <w:r>
              <w:rPr>
                <w:spacing w:val="-4"/>
                <w:sz w:val="24"/>
              </w:rPr>
              <w:t>(Y):</w:t>
            </w:r>
          </w:p>
          <w:p>
            <w:pPr>
              <w:pStyle w:val="TableParagraph"/>
              <w:tabs>
                <w:tab w:pos="1615" w:val="left" w:leader="none"/>
              </w:tabs>
              <w:spacing w:line="276" w:lineRule="auto" w:before="41"/>
              <w:ind w:right="97"/>
              <w:rPr>
                <w:sz w:val="24"/>
              </w:rPr>
            </w:pPr>
            <w:r>
              <w:rPr>
                <w:spacing w:val="-2"/>
                <w:sz w:val="24"/>
              </w:rPr>
              <w:t>Pengungkapan Informasi </w:t>
            </w:r>
            <w:r>
              <w:rPr>
                <w:i/>
                <w:spacing w:val="-2"/>
                <w:sz w:val="24"/>
              </w:rPr>
              <w:t>Environmental, Social,</w:t>
            </w:r>
            <w:r>
              <w:rPr>
                <w:i/>
                <w:sz w:val="24"/>
              </w:rPr>
              <w:tab/>
            </w:r>
            <w:r>
              <w:rPr>
                <w:i/>
                <w:spacing w:val="-4"/>
                <w:sz w:val="24"/>
              </w:rPr>
              <w:t>and </w:t>
            </w:r>
            <w:r>
              <w:rPr>
                <w:i/>
                <w:spacing w:val="-2"/>
                <w:sz w:val="24"/>
              </w:rPr>
              <w:t>Governance </w:t>
            </w:r>
            <w:r>
              <w:rPr>
                <w:spacing w:val="-2"/>
                <w:sz w:val="24"/>
              </w:rPr>
              <w:t>(ESG)</w:t>
            </w:r>
          </w:p>
        </w:tc>
        <w:tc>
          <w:tcPr>
            <w:tcW w:w="2658" w:type="dxa"/>
          </w:tcPr>
          <w:p>
            <w:pPr>
              <w:pStyle w:val="TableParagraph"/>
              <w:tabs>
                <w:tab w:pos="1601" w:val="left" w:leader="none"/>
                <w:tab w:pos="2082" w:val="left" w:leader="none"/>
              </w:tabs>
              <w:spacing w:line="276" w:lineRule="auto" w:before="5"/>
              <w:ind w:right="96"/>
              <w:jc w:val="both"/>
              <w:rPr>
                <w:sz w:val="24"/>
              </w:rPr>
            </w:pPr>
            <w:r>
              <w:rPr>
                <w:sz w:val="24"/>
              </w:rPr>
              <w:t>Masa</w:t>
            </w:r>
            <w:r>
              <w:rPr>
                <w:spacing w:val="-4"/>
                <w:sz w:val="24"/>
              </w:rPr>
              <w:t> </w:t>
            </w:r>
            <w:r>
              <w:rPr>
                <w:sz w:val="24"/>
              </w:rPr>
              <w:t>jabatan</w:t>
            </w:r>
            <w:r>
              <w:rPr>
                <w:spacing w:val="-4"/>
                <w:sz w:val="24"/>
              </w:rPr>
              <w:t> </w:t>
            </w:r>
            <w:r>
              <w:rPr>
                <w:sz w:val="24"/>
              </w:rPr>
              <w:t>dan</w:t>
            </w:r>
            <w:r>
              <w:rPr>
                <w:spacing w:val="-4"/>
                <w:sz w:val="24"/>
              </w:rPr>
              <w:t> </w:t>
            </w:r>
            <w:r>
              <w:rPr>
                <w:sz w:val="24"/>
              </w:rPr>
              <w:t>usia CEO memiliki dampak </w:t>
            </w:r>
            <w:r>
              <w:rPr>
                <w:spacing w:val="-2"/>
                <w:sz w:val="24"/>
              </w:rPr>
              <w:t>negatif</w:t>
            </w:r>
            <w:r>
              <w:rPr>
                <w:sz w:val="24"/>
              </w:rPr>
              <w:tab/>
            </w:r>
            <w:r>
              <w:rPr>
                <w:spacing w:val="-2"/>
                <w:sz w:val="24"/>
              </w:rPr>
              <w:t>terhadap </w:t>
            </w:r>
            <w:r>
              <w:rPr>
                <w:sz w:val="24"/>
              </w:rPr>
              <w:t>pengungkapan ESG, </w:t>
            </w:r>
            <w:r>
              <w:rPr>
                <w:spacing w:val="-2"/>
                <w:sz w:val="24"/>
              </w:rPr>
              <w:t>sementara</w:t>
            </w:r>
            <w:r>
              <w:rPr>
                <w:sz w:val="24"/>
              </w:rPr>
              <w:tab/>
              <w:tab/>
            </w:r>
            <w:r>
              <w:rPr>
                <w:spacing w:val="-2"/>
                <w:sz w:val="24"/>
              </w:rPr>
              <w:t>latar </w:t>
            </w:r>
            <w:r>
              <w:rPr>
                <w:sz w:val="24"/>
              </w:rPr>
              <w:t>belakang pendidikan CEO</w:t>
            </w:r>
            <w:r>
              <w:rPr>
                <w:spacing w:val="71"/>
                <w:sz w:val="24"/>
              </w:rPr>
              <w:t>    </w:t>
            </w:r>
            <w:r>
              <w:rPr>
                <w:spacing w:val="-2"/>
                <w:sz w:val="24"/>
              </w:rPr>
              <w:t>berpengaruh</w:t>
            </w:r>
          </w:p>
          <w:p>
            <w:pPr>
              <w:pStyle w:val="TableParagraph"/>
              <w:tabs>
                <w:tab w:pos="1601" w:val="left" w:leader="none"/>
              </w:tabs>
              <w:jc w:val="both"/>
              <w:rPr>
                <w:sz w:val="24"/>
              </w:rPr>
            </w:pPr>
            <w:r>
              <w:rPr>
                <w:spacing w:val="-2"/>
                <w:sz w:val="24"/>
              </w:rPr>
              <w:t>positif</w:t>
            </w:r>
            <w:r>
              <w:rPr>
                <w:sz w:val="24"/>
              </w:rPr>
              <w:tab/>
            </w:r>
            <w:r>
              <w:rPr>
                <w:spacing w:val="-2"/>
                <w:sz w:val="24"/>
              </w:rPr>
              <w:t>terhadap</w:t>
            </w:r>
          </w:p>
          <w:p>
            <w:pPr>
              <w:pStyle w:val="TableParagraph"/>
              <w:spacing w:before="41"/>
              <w:jc w:val="both"/>
              <w:rPr>
                <w:sz w:val="24"/>
              </w:rPr>
            </w:pPr>
            <w:r>
              <w:rPr>
                <w:sz w:val="24"/>
              </w:rPr>
              <w:t>pengungkapan</w:t>
            </w:r>
            <w:r>
              <w:rPr>
                <w:spacing w:val="-11"/>
                <w:sz w:val="24"/>
              </w:rPr>
              <w:t> </w:t>
            </w:r>
            <w:r>
              <w:rPr>
                <w:spacing w:val="-4"/>
                <w:sz w:val="24"/>
              </w:rPr>
              <w:t>ESG.</w:t>
            </w:r>
          </w:p>
        </w:tc>
      </w:tr>
      <w:tr>
        <w:trPr>
          <w:trHeight w:val="2221" w:hRule="atLeast"/>
        </w:trPr>
        <w:tc>
          <w:tcPr>
            <w:tcW w:w="536" w:type="dxa"/>
          </w:tcPr>
          <w:p>
            <w:pPr>
              <w:pStyle w:val="TableParagraph"/>
              <w:spacing w:before="5"/>
              <w:ind w:left="9"/>
              <w:jc w:val="center"/>
              <w:rPr>
                <w:sz w:val="24"/>
              </w:rPr>
            </w:pPr>
            <w:r>
              <w:rPr>
                <w:spacing w:val="-10"/>
                <w:sz w:val="24"/>
              </w:rPr>
              <w:t>2</w:t>
            </w:r>
          </w:p>
        </w:tc>
        <w:tc>
          <w:tcPr>
            <w:tcW w:w="2634" w:type="dxa"/>
          </w:tcPr>
          <w:p>
            <w:pPr>
              <w:pStyle w:val="TableParagraph"/>
              <w:tabs>
                <w:tab w:pos="1805" w:val="left" w:leader="none"/>
              </w:tabs>
              <w:spacing w:line="276" w:lineRule="auto" w:before="5"/>
              <w:ind w:right="96"/>
              <w:jc w:val="both"/>
              <w:rPr>
                <w:sz w:val="24"/>
              </w:rPr>
            </w:pPr>
            <w:r>
              <w:rPr>
                <w:sz w:val="24"/>
              </w:rPr>
              <w:t>Yulista &amp; </w:t>
            </w:r>
            <w:r>
              <w:rPr>
                <w:sz w:val="24"/>
              </w:rPr>
              <w:t>Herawaty </w:t>
            </w:r>
            <w:r>
              <w:rPr>
                <w:spacing w:val="-2"/>
                <w:sz w:val="24"/>
              </w:rPr>
              <w:t>(2024)</w:t>
            </w:r>
            <w:r>
              <w:rPr>
                <w:sz w:val="24"/>
              </w:rPr>
              <w:tab/>
            </w:r>
            <w:r>
              <w:rPr>
                <w:spacing w:val="-2"/>
                <w:sz w:val="24"/>
              </w:rPr>
              <w:t>“Peran </w:t>
            </w:r>
            <w:r>
              <w:rPr>
                <w:sz w:val="24"/>
              </w:rPr>
              <w:t>Karakteristik CEO dalam Memoderasi Pengaruh</w:t>
            </w:r>
            <w:r>
              <w:rPr>
                <w:spacing w:val="-4"/>
                <w:sz w:val="24"/>
              </w:rPr>
              <w:t> </w:t>
            </w:r>
            <w:r>
              <w:rPr>
                <w:sz w:val="24"/>
              </w:rPr>
              <w:t>Antara</w:t>
            </w:r>
            <w:r>
              <w:rPr>
                <w:spacing w:val="-4"/>
                <w:sz w:val="24"/>
              </w:rPr>
              <w:t> </w:t>
            </w:r>
            <w:r>
              <w:rPr>
                <w:sz w:val="24"/>
              </w:rPr>
              <w:t>ESG dan</w:t>
            </w:r>
            <w:r>
              <w:rPr>
                <w:spacing w:val="73"/>
                <w:w w:val="150"/>
                <w:sz w:val="24"/>
              </w:rPr>
              <w:t>   </w:t>
            </w:r>
            <w:r>
              <w:rPr>
                <w:spacing w:val="-2"/>
                <w:sz w:val="24"/>
              </w:rPr>
              <w:t>Penghindaran</w:t>
            </w:r>
          </w:p>
          <w:p>
            <w:pPr>
              <w:pStyle w:val="TableParagraph"/>
              <w:tabs>
                <w:tab w:pos="1498" w:val="left" w:leader="none"/>
              </w:tabs>
              <w:jc w:val="both"/>
              <w:rPr>
                <w:sz w:val="24"/>
              </w:rPr>
            </w:pPr>
            <w:r>
              <w:rPr>
                <w:spacing w:val="-2"/>
                <w:sz w:val="24"/>
              </w:rPr>
              <w:t>Pajak</w:t>
            </w:r>
            <w:r>
              <w:rPr>
                <w:sz w:val="24"/>
              </w:rPr>
              <w:tab/>
            </w:r>
            <w:r>
              <w:rPr>
                <w:spacing w:val="-2"/>
                <w:sz w:val="24"/>
              </w:rPr>
              <w:t>Terhadap</w:t>
            </w:r>
          </w:p>
        </w:tc>
        <w:tc>
          <w:tcPr>
            <w:tcW w:w="2125" w:type="dxa"/>
          </w:tcPr>
          <w:p>
            <w:pPr>
              <w:pStyle w:val="TableParagraph"/>
              <w:tabs>
                <w:tab w:pos="1629" w:val="left" w:leader="none"/>
              </w:tabs>
              <w:spacing w:before="5"/>
              <w:ind w:right="96"/>
              <w:rPr>
                <w:sz w:val="24"/>
              </w:rPr>
            </w:pPr>
            <w:r>
              <w:rPr>
                <w:spacing w:val="-2"/>
                <w:sz w:val="24"/>
              </w:rPr>
              <w:t>Independen</w:t>
            </w:r>
            <w:r>
              <w:rPr>
                <w:sz w:val="24"/>
              </w:rPr>
              <w:tab/>
            </w:r>
            <w:r>
              <w:rPr>
                <w:spacing w:val="-4"/>
                <w:sz w:val="24"/>
              </w:rPr>
              <w:t>(X): </w:t>
            </w:r>
            <w:r>
              <w:rPr>
                <w:sz w:val="24"/>
              </w:rPr>
              <w:t>Penerapan</w:t>
            </w:r>
            <w:r>
              <w:rPr>
                <w:spacing w:val="40"/>
                <w:sz w:val="24"/>
              </w:rPr>
              <w:t> </w:t>
            </w:r>
            <w:r>
              <w:rPr>
                <w:sz w:val="24"/>
              </w:rPr>
              <w:t>ESG, </w:t>
            </w:r>
            <w:r>
              <w:rPr>
                <w:spacing w:val="-2"/>
                <w:sz w:val="24"/>
              </w:rPr>
              <w:t>Penghindaran Pajak</w:t>
            </w:r>
          </w:p>
          <w:p>
            <w:pPr>
              <w:pStyle w:val="TableParagraph"/>
              <w:spacing w:line="270" w:lineRule="atLeast"/>
              <w:ind w:right="96"/>
              <w:jc w:val="both"/>
              <w:rPr>
                <w:sz w:val="24"/>
              </w:rPr>
            </w:pPr>
            <w:r>
              <w:rPr>
                <w:sz w:val="24"/>
              </w:rPr>
              <w:t>Dependen (Y): Kinerja</w:t>
            </w:r>
            <w:r>
              <w:rPr>
                <w:spacing w:val="-17"/>
                <w:sz w:val="24"/>
              </w:rPr>
              <w:t> </w:t>
            </w:r>
            <w:r>
              <w:rPr>
                <w:sz w:val="24"/>
              </w:rPr>
              <w:t>Keuangan Moderasi (Z): Karakteristik </w:t>
            </w:r>
            <w:r>
              <w:rPr>
                <w:spacing w:val="-5"/>
                <w:sz w:val="24"/>
              </w:rPr>
              <w:t>CEO</w:t>
            </w:r>
          </w:p>
        </w:tc>
        <w:tc>
          <w:tcPr>
            <w:tcW w:w="2658" w:type="dxa"/>
          </w:tcPr>
          <w:p>
            <w:pPr>
              <w:pStyle w:val="TableParagraph"/>
              <w:tabs>
                <w:tab w:pos="1522" w:val="left" w:leader="none"/>
                <w:tab w:pos="1842" w:val="left" w:leader="none"/>
              </w:tabs>
              <w:spacing w:line="276" w:lineRule="auto" w:before="5"/>
              <w:ind w:left="114" w:right="96"/>
              <w:jc w:val="both"/>
              <w:rPr>
                <w:sz w:val="24"/>
              </w:rPr>
            </w:pPr>
            <w:r>
              <w:rPr>
                <w:spacing w:val="-2"/>
                <w:sz w:val="24"/>
              </w:rPr>
              <w:t>Hasil</w:t>
            </w:r>
            <w:r>
              <w:rPr>
                <w:sz w:val="24"/>
              </w:rPr>
              <w:tab/>
            </w:r>
            <w:r>
              <w:rPr>
                <w:spacing w:val="-2"/>
                <w:sz w:val="24"/>
              </w:rPr>
              <w:t>penelitian </w:t>
            </w:r>
            <w:r>
              <w:rPr>
                <w:sz w:val="24"/>
              </w:rPr>
              <w:t>menunjukkan bahwa penghindaran pajak berpengaruh positif </w:t>
            </w:r>
            <w:r>
              <w:rPr>
                <w:spacing w:val="-2"/>
                <w:sz w:val="24"/>
              </w:rPr>
              <w:t>terhadap</w:t>
            </w:r>
            <w:r>
              <w:rPr>
                <w:sz w:val="24"/>
              </w:rPr>
              <w:tab/>
              <w:tab/>
            </w:r>
            <w:r>
              <w:rPr>
                <w:spacing w:val="-2"/>
                <w:sz w:val="24"/>
              </w:rPr>
              <w:t>kinerja</w:t>
            </w:r>
          </w:p>
          <w:p>
            <w:pPr>
              <w:pStyle w:val="TableParagraph"/>
              <w:ind w:left="114"/>
              <w:jc w:val="both"/>
              <w:rPr>
                <w:sz w:val="24"/>
              </w:rPr>
            </w:pPr>
            <w:r>
              <w:rPr>
                <w:sz w:val="24"/>
              </w:rPr>
              <w:t>keuangan,</w:t>
            </w:r>
            <w:r>
              <w:rPr>
                <w:spacing w:val="67"/>
                <w:w w:val="150"/>
                <w:sz w:val="24"/>
              </w:rPr>
              <w:t>   </w:t>
            </w:r>
            <w:r>
              <w:rPr>
                <w:spacing w:val="-2"/>
                <w:sz w:val="24"/>
              </w:rPr>
              <w:t>dengan</w:t>
            </w:r>
          </w:p>
          <w:p>
            <w:pPr>
              <w:pStyle w:val="TableParagraph"/>
              <w:spacing w:before="41"/>
              <w:ind w:left="114"/>
              <w:jc w:val="both"/>
              <w:rPr>
                <w:sz w:val="24"/>
              </w:rPr>
            </w:pPr>
            <w:r>
              <w:rPr>
                <w:sz w:val="24"/>
              </w:rPr>
              <w:t>karakteristik</w:t>
            </w:r>
            <w:r>
              <w:rPr>
                <w:spacing w:val="58"/>
                <w:w w:val="150"/>
                <w:sz w:val="24"/>
              </w:rPr>
              <w:t>    </w:t>
            </w:r>
            <w:r>
              <w:rPr>
                <w:spacing w:val="-5"/>
                <w:sz w:val="24"/>
              </w:rPr>
              <w:t>CEO</w:t>
            </w:r>
          </w:p>
        </w:tc>
      </w:tr>
    </w:tbl>
    <w:p>
      <w:pPr>
        <w:pStyle w:val="TableParagraph"/>
        <w:spacing w:after="0"/>
        <w:jc w:val="both"/>
        <w:rPr>
          <w:sz w:val="24"/>
        </w:rPr>
        <w:sectPr>
          <w:pgSz w:w="11910" w:h="16840"/>
          <w:pgMar w:header="718" w:footer="0" w:top="980" w:bottom="280" w:left="1559" w:right="99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9"/>
        <w:rPr>
          <w:sz w:val="20"/>
        </w:rPr>
      </w:pPr>
    </w:p>
    <w:tbl>
      <w:tblPr>
        <w:tblW w:w="0" w:type="auto"/>
        <w:jc w:val="left"/>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6"/>
        <w:gridCol w:w="2634"/>
        <w:gridCol w:w="2125"/>
        <w:gridCol w:w="2658"/>
      </w:tblGrid>
      <w:tr>
        <w:trPr>
          <w:trHeight w:val="3491" w:hRule="atLeast"/>
        </w:trPr>
        <w:tc>
          <w:tcPr>
            <w:tcW w:w="536" w:type="dxa"/>
          </w:tcPr>
          <w:p>
            <w:pPr>
              <w:pStyle w:val="TableParagraph"/>
              <w:ind w:left="0"/>
              <w:rPr>
                <w:rFonts w:ascii="Times New Roman"/>
                <w:sz w:val="24"/>
              </w:rPr>
            </w:pPr>
          </w:p>
        </w:tc>
        <w:tc>
          <w:tcPr>
            <w:tcW w:w="2634" w:type="dxa"/>
          </w:tcPr>
          <w:p>
            <w:pPr>
              <w:pStyle w:val="TableParagraph"/>
              <w:spacing w:before="5"/>
              <w:rPr>
                <w:sz w:val="24"/>
              </w:rPr>
            </w:pPr>
            <w:r>
              <w:rPr>
                <w:sz w:val="24"/>
              </w:rPr>
              <w:t>Kinerja</w:t>
            </w:r>
            <w:r>
              <w:rPr>
                <w:spacing w:val="-5"/>
                <w:sz w:val="24"/>
              </w:rPr>
              <w:t> </w:t>
            </w:r>
            <w:r>
              <w:rPr>
                <w:spacing w:val="-2"/>
                <w:sz w:val="24"/>
              </w:rPr>
              <w:t>Keuangan”</w:t>
            </w:r>
          </w:p>
        </w:tc>
        <w:tc>
          <w:tcPr>
            <w:tcW w:w="2125" w:type="dxa"/>
          </w:tcPr>
          <w:p>
            <w:pPr>
              <w:pStyle w:val="TableParagraph"/>
              <w:ind w:left="0"/>
              <w:rPr>
                <w:rFonts w:ascii="Times New Roman"/>
                <w:sz w:val="24"/>
              </w:rPr>
            </w:pPr>
          </w:p>
        </w:tc>
        <w:tc>
          <w:tcPr>
            <w:tcW w:w="2658" w:type="dxa"/>
          </w:tcPr>
          <w:p>
            <w:pPr>
              <w:pStyle w:val="TableParagraph"/>
              <w:tabs>
                <w:tab w:pos="1615" w:val="left" w:leader="none"/>
                <w:tab w:pos="1842" w:val="left" w:leader="none"/>
                <w:tab w:pos="2147" w:val="left" w:leader="none"/>
              </w:tabs>
              <w:spacing w:line="276" w:lineRule="auto" w:before="5"/>
              <w:ind w:left="114" w:right="96"/>
              <w:rPr>
                <w:sz w:val="24"/>
              </w:rPr>
            </w:pPr>
            <w:r>
              <w:rPr>
                <w:spacing w:val="-2"/>
                <w:sz w:val="24"/>
              </w:rPr>
              <w:t>memperkuat</w:t>
            </w:r>
            <w:r>
              <w:rPr>
                <w:spacing w:val="80"/>
                <w:sz w:val="24"/>
              </w:rPr>
              <w:t> </w:t>
            </w:r>
            <w:r>
              <w:rPr>
                <w:spacing w:val="-2"/>
                <w:sz w:val="24"/>
              </w:rPr>
              <w:t>hubungan</w:t>
            </w:r>
            <w:r>
              <w:rPr>
                <w:sz w:val="24"/>
              </w:rPr>
              <w:tab/>
            </w:r>
            <w:r>
              <w:rPr>
                <w:spacing w:val="-2"/>
                <w:sz w:val="24"/>
              </w:rPr>
              <w:t>tersebut. Sebaliknya,</w:t>
            </w:r>
            <w:r>
              <w:rPr>
                <w:spacing w:val="80"/>
                <w:sz w:val="24"/>
              </w:rPr>
              <w:t> </w:t>
            </w:r>
            <w:r>
              <w:rPr>
                <w:sz w:val="24"/>
              </w:rPr>
              <w:t>penerapan</w:t>
            </w:r>
            <w:r>
              <w:rPr>
                <w:spacing w:val="40"/>
                <w:sz w:val="24"/>
              </w:rPr>
              <w:t> </w:t>
            </w:r>
            <w:r>
              <w:rPr>
                <w:sz w:val="24"/>
              </w:rPr>
              <w:t>ESG</w:t>
            </w:r>
            <w:r>
              <w:rPr>
                <w:spacing w:val="40"/>
                <w:sz w:val="24"/>
              </w:rPr>
              <w:t> </w:t>
            </w:r>
            <w:r>
              <w:rPr>
                <w:sz w:val="24"/>
              </w:rPr>
              <w:t>tidak </w:t>
            </w:r>
            <w:r>
              <w:rPr>
                <w:spacing w:val="-2"/>
                <w:sz w:val="24"/>
              </w:rPr>
              <w:t>memengaruhi</w:t>
            </w:r>
            <w:r>
              <w:rPr>
                <w:sz w:val="24"/>
              </w:rPr>
              <w:tab/>
              <w:tab/>
            </w:r>
            <w:r>
              <w:rPr>
                <w:spacing w:val="-2"/>
                <w:sz w:val="24"/>
              </w:rPr>
              <w:t>kinerja keuangan,</w:t>
            </w:r>
            <w:r>
              <w:rPr>
                <w:sz w:val="24"/>
              </w:rPr>
              <w:tab/>
              <w:tab/>
              <w:tab/>
            </w:r>
            <w:r>
              <w:rPr>
                <w:spacing w:val="-5"/>
                <w:sz w:val="24"/>
              </w:rPr>
              <w:t>dan</w:t>
            </w:r>
          </w:p>
          <w:p>
            <w:pPr>
              <w:pStyle w:val="TableParagraph"/>
              <w:spacing w:line="276" w:lineRule="auto"/>
              <w:ind w:left="114" w:right="96"/>
              <w:jc w:val="both"/>
              <w:rPr>
                <w:sz w:val="24"/>
              </w:rPr>
            </w:pPr>
            <w:r>
              <w:rPr>
                <w:sz w:val="24"/>
              </w:rPr>
              <w:t>karakteristik </w:t>
            </w:r>
            <w:r>
              <w:rPr>
                <w:sz w:val="24"/>
              </w:rPr>
              <w:t>CEO</w:t>
            </w:r>
            <w:r>
              <w:rPr>
                <w:spacing w:val="40"/>
                <w:sz w:val="24"/>
              </w:rPr>
              <w:t> </w:t>
            </w:r>
            <w:r>
              <w:rPr>
                <w:sz w:val="24"/>
              </w:rPr>
              <w:t>tidak memoderasi hubungan antara penerapan</w:t>
            </w:r>
            <w:r>
              <w:rPr>
                <w:spacing w:val="25"/>
                <w:sz w:val="24"/>
              </w:rPr>
              <w:t>  </w:t>
            </w:r>
            <w:r>
              <w:rPr>
                <w:sz w:val="24"/>
              </w:rPr>
              <w:t>ESG</w:t>
            </w:r>
            <w:r>
              <w:rPr>
                <w:spacing w:val="26"/>
                <w:sz w:val="24"/>
              </w:rPr>
              <w:t>  </w:t>
            </w:r>
            <w:r>
              <w:rPr>
                <w:spacing w:val="-5"/>
                <w:sz w:val="24"/>
              </w:rPr>
              <w:t>dan</w:t>
            </w:r>
          </w:p>
          <w:p>
            <w:pPr>
              <w:pStyle w:val="TableParagraph"/>
              <w:ind w:left="114"/>
              <w:jc w:val="both"/>
              <w:rPr>
                <w:sz w:val="24"/>
              </w:rPr>
            </w:pPr>
            <w:r>
              <w:rPr>
                <w:sz w:val="24"/>
              </w:rPr>
              <w:t>kinerja</w:t>
            </w:r>
            <w:r>
              <w:rPr>
                <w:spacing w:val="-6"/>
                <w:sz w:val="24"/>
              </w:rPr>
              <w:t> </w:t>
            </w:r>
            <w:r>
              <w:rPr>
                <w:spacing w:val="-2"/>
                <w:sz w:val="24"/>
              </w:rPr>
              <w:t>keuangan.</w:t>
            </w:r>
          </w:p>
        </w:tc>
      </w:tr>
      <w:tr>
        <w:trPr>
          <w:trHeight w:val="3173" w:hRule="atLeast"/>
        </w:trPr>
        <w:tc>
          <w:tcPr>
            <w:tcW w:w="536" w:type="dxa"/>
          </w:tcPr>
          <w:p>
            <w:pPr>
              <w:pStyle w:val="TableParagraph"/>
              <w:spacing w:before="5"/>
              <w:ind w:left="9"/>
              <w:jc w:val="center"/>
              <w:rPr>
                <w:sz w:val="24"/>
              </w:rPr>
            </w:pPr>
            <w:r>
              <w:rPr>
                <w:spacing w:val="-10"/>
                <w:sz w:val="24"/>
              </w:rPr>
              <w:t>3</w:t>
            </w:r>
          </w:p>
        </w:tc>
        <w:tc>
          <w:tcPr>
            <w:tcW w:w="2634" w:type="dxa"/>
          </w:tcPr>
          <w:p>
            <w:pPr>
              <w:pStyle w:val="TableParagraph"/>
              <w:tabs>
                <w:tab w:pos="2045" w:val="left" w:leader="none"/>
              </w:tabs>
              <w:spacing w:line="276" w:lineRule="auto" w:before="5"/>
              <w:ind w:right="96"/>
              <w:jc w:val="both"/>
              <w:rPr>
                <w:i/>
                <w:sz w:val="24"/>
              </w:rPr>
            </w:pPr>
            <w:r>
              <w:rPr>
                <w:sz w:val="24"/>
              </w:rPr>
              <w:t>Shafira, et al. (2024) </w:t>
            </w:r>
            <w:r>
              <w:rPr>
                <w:i/>
                <w:sz w:val="24"/>
              </w:rPr>
              <w:t>“CEO Education from Reputable University and ESG Disclosure: </w:t>
            </w:r>
            <w:r>
              <w:rPr>
                <w:i/>
                <w:spacing w:val="-2"/>
                <w:sz w:val="24"/>
              </w:rPr>
              <w:t>Evidence</w:t>
            </w:r>
            <w:r>
              <w:rPr>
                <w:i/>
                <w:sz w:val="24"/>
              </w:rPr>
              <w:tab/>
            </w:r>
            <w:r>
              <w:rPr>
                <w:i/>
                <w:spacing w:val="-4"/>
                <w:sz w:val="24"/>
              </w:rPr>
              <w:t>from </w:t>
            </w:r>
            <w:r>
              <w:rPr>
                <w:i/>
                <w:spacing w:val="-2"/>
                <w:sz w:val="24"/>
              </w:rPr>
              <w:t>Indonesia”</w:t>
            </w:r>
          </w:p>
        </w:tc>
        <w:tc>
          <w:tcPr>
            <w:tcW w:w="2125" w:type="dxa"/>
          </w:tcPr>
          <w:p>
            <w:pPr>
              <w:pStyle w:val="TableParagraph"/>
              <w:tabs>
                <w:tab w:pos="922" w:val="left" w:leader="none"/>
                <w:tab w:pos="1629" w:val="left" w:leader="none"/>
              </w:tabs>
              <w:spacing w:line="276" w:lineRule="auto" w:before="5"/>
              <w:ind w:right="96"/>
              <w:rPr>
                <w:i/>
                <w:sz w:val="24"/>
              </w:rPr>
            </w:pPr>
            <w:r>
              <w:rPr>
                <w:spacing w:val="-2"/>
                <w:sz w:val="24"/>
              </w:rPr>
              <w:t>Independen</w:t>
            </w:r>
            <w:r>
              <w:rPr>
                <w:sz w:val="24"/>
              </w:rPr>
              <w:tab/>
            </w:r>
            <w:r>
              <w:rPr>
                <w:spacing w:val="-4"/>
                <w:sz w:val="24"/>
              </w:rPr>
              <w:t>(X): </w:t>
            </w:r>
            <w:r>
              <w:rPr>
                <w:i/>
                <w:spacing w:val="-4"/>
                <w:sz w:val="24"/>
              </w:rPr>
              <w:t>CEO</w:t>
            </w:r>
            <w:r>
              <w:rPr>
                <w:i/>
                <w:sz w:val="24"/>
              </w:rPr>
              <w:tab/>
            </w:r>
            <w:r>
              <w:rPr>
                <w:i/>
                <w:spacing w:val="-42"/>
                <w:sz w:val="24"/>
              </w:rPr>
              <w:t> </w:t>
            </w:r>
            <w:r>
              <w:rPr>
                <w:i/>
                <w:spacing w:val="-2"/>
                <w:sz w:val="24"/>
              </w:rPr>
              <w:t>Education </w:t>
            </w:r>
            <w:r>
              <w:rPr>
                <w:i/>
                <w:spacing w:val="-4"/>
                <w:sz w:val="24"/>
              </w:rPr>
              <w:t>from</w:t>
            </w:r>
            <w:r>
              <w:rPr>
                <w:i/>
                <w:sz w:val="24"/>
              </w:rPr>
              <w:tab/>
            </w:r>
            <w:r>
              <w:rPr>
                <w:i/>
                <w:spacing w:val="-2"/>
                <w:sz w:val="24"/>
              </w:rPr>
              <w:t>Reputable University </w:t>
            </w:r>
            <w:r>
              <w:rPr>
                <w:spacing w:val="-2"/>
                <w:sz w:val="24"/>
              </w:rPr>
              <w:t>Dependen</w:t>
            </w:r>
            <w:r>
              <w:rPr>
                <w:sz w:val="24"/>
              </w:rPr>
              <w:tab/>
            </w:r>
            <w:r>
              <w:rPr>
                <w:spacing w:val="-67"/>
                <w:sz w:val="24"/>
              </w:rPr>
              <w:t> </w:t>
            </w:r>
            <w:r>
              <w:rPr>
                <w:spacing w:val="-4"/>
                <w:sz w:val="24"/>
              </w:rPr>
              <w:t>(Y): </w:t>
            </w:r>
            <w:r>
              <w:rPr>
                <w:i/>
                <w:sz w:val="24"/>
              </w:rPr>
              <w:t>ESG Disclosure</w:t>
            </w:r>
          </w:p>
        </w:tc>
        <w:tc>
          <w:tcPr>
            <w:tcW w:w="2658" w:type="dxa"/>
          </w:tcPr>
          <w:p>
            <w:pPr>
              <w:pStyle w:val="TableParagraph"/>
              <w:tabs>
                <w:tab w:pos="895" w:val="left" w:leader="none"/>
                <w:tab w:pos="940" w:val="left" w:leader="none"/>
                <w:tab w:pos="1402" w:val="left" w:leader="none"/>
                <w:tab w:pos="1535" w:val="left" w:leader="none"/>
                <w:tab w:pos="1682" w:val="left" w:leader="none"/>
              </w:tabs>
              <w:spacing w:line="276" w:lineRule="auto" w:before="5"/>
              <w:ind w:right="96"/>
              <w:rPr>
                <w:sz w:val="24"/>
              </w:rPr>
            </w:pPr>
            <w:r>
              <w:rPr>
                <w:spacing w:val="-4"/>
                <w:sz w:val="24"/>
              </w:rPr>
              <w:t>CEO</w:t>
            </w:r>
            <w:r>
              <w:rPr>
                <w:sz w:val="24"/>
              </w:rPr>
              <w:tab/>
            </w:r>
            <w:r>
              <w:rPr>
                <w:spacing w:val="-4"/>
                <w:sz w:val="24"/>
              </w:rPr>
              <w:t>yang</w:t>
            </w:r>
            <w:r>
              <w:rPr>
                <w:sz w:val="24"/>
              </w:rPr>
              <w:tab/>
              <w:tab/>
              <w:tab/>
            </w:r>
            <w:r>
              <w:rPr>
                <w:spacing w:val="-2"/>
                <w:sz w:val="24"/>
              </w:rPr>
              <w:t>memiliki </w:t>
            </w:r>
            <w:r>
              <w:rPr>
                <w:sz w:val="24"/>
              </w:rPr>
              <w:t>gelar</w:t>
            </w:r>
            <w:r>
              <w:rPr>
                <w:spacing w:val="40"/>
                <w:sz w:val="24"/>
              </w:rPr>
              <w:t> </w:t>
            </w:r>
            <w:r>
              <w:rPr>
                <w:sz w:val="24"/>
              </w:rPr>
              <w:t>MBA</w:t>
            </w:r>
            <w:r>
              <w:rPr>
                <w:spacing w:val="40"/>
                <w:sz w:val="24"/>
              </w:rPr>
              <w:t> </w:t>
            </w:r>
            <w:r>
              <w:rPr>
                <w:sz w:val="24"/>
              </w:rPr>
              <w:t>dan</w:t>
            </w:r>
            <w:r>
              <w:rPr>
                <w:spacing w:val="40"/>
                <w:sz w:val="24"/>
              </w:rPr>
              <w:t> </w:t>
            </w:r>
            <w:r>
              <w:rPr>
                <w:sz w:val="24"/>
              </w:rPr>
              <w:t>teknik </w:t>
            </w:r>
            <w:r>
              <w:rPr>
                <w:spacing w:val="-4"/>
                <w:sz w:val="24"/>
              </w:rPr>
              <w:t>dari</w:t>
            </w:r>
            <w:r>
              <w:rPr>
                <w:sz w:val="24"/>
              </w:rPr>
              <w:tab/>
              <w:tab/>
              <w:tab/>
            </w:r>
            <w:r>
              <w:rPr>
                <w:spacing w:val="-2"/>
                <w:sz w:val="24"/>
              </w:rPr>
              <w:t>universitas terkemuka, </w:t>
            </w:r>
            <w:r>
              <w:rPr>
                <w:sz w:val="24"/>
              </w:rPr>
              <w:t>berdasarkan</w:t>
            </w:r>
            <w:r>
              <w:rPr>
                <w:spacing w:val="16"/>
                <w:sz w:val="24"/>
              </w:rPr>
              <w:t> </w:t>
            </w:r>
            <w:r>
              <w:rPr>
                <w:sz w:val="24"/>
              </w:rPr>
              <w:t>peringkat QS</w:t>
            </w:r>
            <w:r>
              <w:rPr>
                <w:spacing w:val="80"/>
                <w:sz w:val="24"/>
              </w:rPr>
              <w:t> </w:t>
            </w:r>
            <w:r>
              <w:rPr>
                <w:sz w:val="24"/>
              </w:rPr>
              <w:t>World</w:t>
            </w:r>
            <w:r>
              <w:rPr>
                <w:spacing w:val="80"/>
                <w:sz w:val="24"/>
              </w:rPr>
              <w:t> </w:t>
            </w:r>
            <w:r>
              <w:rPr>
                <w:sz w:val="24"/>
              </w:rPr>
              <w:t>University, </w:t>
            </w:r>
            <w:r>
              <w:rPr>
                <w:spacing w:val="-2"/>
                <w:sz w:val="24"/>
              </w:rPr>
              <w:t>memiliki</w:t>
            </w:r>
            <w:r>
              <w:rPr>
                <w:sz w:val="24"/>
              </w:rPr>
              <w:tab/>
              <w:tab/>
            </w:r>
            <w:r>
              <w:rPr>
                <w:spacing w:val="-2"/>
                <w:sz w:val="24"/>
              </w:rPr>
              <w:t>pengaruh positif</w:t>
            </w:r>
            <w:r>
              <w:rPr>
                <w:sz w:val="24"/>
              </w:rPr>
              <w:tab/>
              <w:tab/>
            </w:r>
            <w:r>
              <w:rPr>
                <w:spacing w:val="-4"/>
                <w:sz w:val="24"/>
              </w:rPr>
              <w:t>dan</w:t>
            </w:r>
            <w:r>
              <w:rPr>
                <w:sz w:val="24"/>
              </w:rPr>
              <w:tab/>
              <w:tab/>
            </w:r>
            <w:r>
              <w:rPr>
                <w:spacing w:val="-55"/>
                <w:sz w:val="24"/>
              </w:rPr>
              <w:t> </w:t>
            </w:r>
            <w:r>
              <w:rPr>
                <w:spacing w:val="-2"/>
                <w:sz w:val="24"/>
              </w:rPr>
              <w:t>signifikan terhadap</w:t>
            </w:r>
          </w:p>
          <w:p>
            <w:pPr>
              <w:pStyle w:val="TableParagraph"/>
              <w:rPr>
                <w:sz w:val="24"/>
              </w:rPr>
            </w:pPr>
            <w:r>
              <w:rPr>
                <w:sz w:val="24"/>
              </w:rPr>
              <w:t>pengungkapan</w:t>
            </w:r>
            <w:r>
              <w:rPr>
                <w:spacing w:val="-11"/>
                <w:sz w:val="24"/>
              </w:rPr>
              <w:t> </w:t>
            </w:r>
            <w:r>
              <w:rPr>
                <w:spacing w:val="-4"/>
                <w:sz w:val="24"/>
              </w:rPr>
              <w:t>ESG.</w:t>
            </w:r>
          </w:p>
        </w:tc>
      </w:tr>
      <w:tr>
        <w:trPr>
          <w:trHeight w:val="4125" w:hRule="atLeast"/>
        </w:trPr>
        <w:tc>
          <w:tcPr>
            <w:tcW w:w="536" w:type="dxa"/>
          </w:tcPr>
          <w:p>
            <w:pPr>
              <w:pStyle w:val="TableParagraph"/>
              <w:spacing w:before="5"/>
              <w:ind w:left="9"/>
              <w:jc w:val="center"/>
              <w:rPr>
                <w:sz w:val="24"/>
              </w:rPr>
            </w:pPr>
            <w:r>
              <w:rPr>
                <w:spacing w:val="-10"/>
                <w:sz w:val="24"/>
              </w:rPr>
              <w:t>4</w:t>
            </w:r>
          </w:p>
        </w:tc>
        <w:tc>
          <w:tcPr>
            <w:tcW w:w="2634" w:type="dxa"/>
          </w:tcPr>
          <w:p>
            <w:pPr>
              <w:pStyle w:val="TableParagraph"/>
              <w:tabs>
                <w:tab w:pos="1338" w:val="left" w:leader="none"/>
                <w:tab w:pos="2205" w:val="left" w:leader="none"/>
                <w:tab w:pos="2338" w:val="left" w:leader="none"/>
              </w:tabs>
              <w:spacing w:line="276" w:lineRule="auto" w:before="5"/>
              <w:ind w:right="96"/>
              <w:jc w:val="both"/>
              <w:rPr>
                <w:i/>
                <w:sz w:val="24"/>
              </w:rPr>
            </w:pPr>
            <w:r>
              <w:rPr>
                <w:sz w:val="24"/>
              </w:rPr>
              <w:t>Putri &amp; Puspawati (2023) </w:t>
            </w:r>
            <w:r>
              <w:rPr>
                <w:i/>
                <w:sz w:val="24"/>
              </w:rPr>
              <w:t>“The Effect of </w:t>
            </w:r>
            <w:r>
              <w:rPr>
                <w:i/>
                <w:spacing w:val="-4"/>
                <w:sz w:val="24"/>
              </w:rPr>
              <w:t>ESG</w:t>
            </w:r>
            <w:r>
              <w:rPr>
                <w:i/>
                <w:sz w:val="24"/>
              </w:rPr>
              <w:tab/>
            </w:r>
            <w:r>
              <w:rPr>
                <w:i/>
                <w:spacing w:val="-2"/>
                <w:sz w:val="24"/>
              </w:rPr>
              <w:t>Disclosure, </w:t>
            </w:r>
            <w:r>
              <w:rPr>
                <w:i/>
                <w:sz w:val="24"/>
              </w:rPr>
              <w:t>Company Size, </w:t>
            </w:r>
            <w:r>
              <w:rPr>
                <w:i/>
                <w:sz w:val="24"/>
              </w:rPr>
              <w:t>and </w:t>
            </w:r>
            <w:r>
              <w:rPr>
                <w:i/>
                <w:spacing w:val="-2"/>
                <w:sz w:val="24"/>
              </w:rPr>
              <w:t>Laverage</w:t>
            </w:r>
            <w:r>
              <w:rPr>
                <w:i/>
                <w:sz w:val="24"/>
              </w:rPr>
              <w:tab/>
              <w:tab/>
            </w:r>
            <w:r>
              <w:rPr>
                <w:i/>
                <w:spacing w:val="-6"/>
                <w:sz w:val="24"/>
              </w:rPr>
              <w:t>On </w:t>
            </w:r>
            <w:r>
              <w:rPr>
                <w:i/>
                <w:sz w:val="24"/>
              </w:rPr>
              <w:t>Company’s Financial </w:t>
            </w:r>
            <w:r>
              <w:rPr>
                <w:i/>
                <w:spacing w:val="-2"/>
                <w:sz w:val="24"/>
              </w:rPr>
              <w:t>Performance</w:t>
            </w:r>
            <w:r>
              <w:rPr>
                <w:i/>
                <w:sz w:val="24"/>
              </w:rPr>
              <w:tab/>
              <w:tab/>
            </w:r>
            <w:r>
              <w:rPr>
                <w:i/>
                <w:spacing w:val="-6"/>
                <w:sz w:val="24"/>
              </w:rPr>
              <w:t>in </w:t>
            </w:r>
            <w:r>
              <w:rPr>
                <w:i/>
                <w:spacing w:val="-2"/>
                <w:sz w:val="24"/>
              </w:rPr>
              <w:t>Indonesia”</w:t>
            </w:r>
          </w:p>
        </w:tc>
        <w:tc>
          <w:tcPr>
            <w:tcW w:w="2125" w:type="dxa"/>
          </w:tcPr>
          <w:p>
            <w:pPr>
              <w:pStyle w:val="TableParagraph"/>
              <w:tabs>
                <w:tab w:pos="829" w:val="left" w:leader="none"/>
                <w:tab w:pos="1483" w:val="left" w:leader="none"/>
                <w:tab w:pos="1629" w:val="left" w:leader="none"/>
              </w:tabs>
              <w:spacing w:line="276" w:lineRule="auto" w:before="5"/>
              <w:ind w:right="96"/>
              <w:rPr>
                <w:i/>
                <w:sz w:val="24"/>
              </w:rPr>
            </w:pPr>
            <w:r>
              <w:rPr>
                <w:spacing w:val="-2"/>
                <w:sz w:val="24"/>
              </w:rPr>
              <w:t>Independen</w:t>
            </w:r>
            <w:r>
              <w:rPr>
                <w:sz w:val="24"/>
              </w:rPr>
              <w:tab/>
              <w:tab/>
            </w:r>
            <w:r>
              <w:rPr>
                <w:spacing w:val="-4"/>
                <w:sz w:val="24"/>
              </w:rPr>
              <w:t>(X): </w:t>
            </w:r>
            <w:r>
              <w:rPr>
                <w:i/>
                <w:spacing w:val="-4"/>
                <w:sz w:val="24"/>
              </w:rPr>
              <w:t>ESG</w:t>
            </w:r>
            <w:r>
              <w:rPr>
                <w:i/>
                <w:sz w:val="24"/>
              </w:rPr>
              <w:tab/>
            </w:r>
            <w:r>
              <w:rPr>
                <w:i/>
                <w:spacing w:val="-2"/>
                <w:sz w:val="24"/>
              </w:rPr>
              <w:t>Disclosure, Company</w:t>
            </w:r>
            <w:r>
              <w:rPr>
                <w:i/>
                <w:sz w:val="24"/>
              </w:rPr>
              <w:tab/>
            </w:r>
            <w:r>
              <w:rPr>
                <w:i/>
                <w:spacing w:val="-4"/>
                <w:sz w:val="24"/>
              </w:rPr>
              <w:t>Size, </w:t>
            </w:r>
            <w:r>
              <w:rPr>
                <w:i/>
                <w:sz w:val="24"/>
              </w:rPr>
              <w:t>and Laverage </w:t>
            </w:r>
            <w:r>
              <w:rPr>
                <w:spacing w:val="-2"/>
                <w:sz w:val="24"/>
              </w:rPr>
              <w:t>Dependen</w:t>
            </w:r>
            <w:r>
              <w:rPr>
                <w:sz w:val="24"/>
              </w:rPr>
              <w:tab/>
              <w:tab/>
            </w:r>
            <w:r>
              <w:rPr>
                <w:spacing w:val="-67"/>
                <w:sz w:val="24"/>
              </w:rPr>
              <w:t> </w:t>
            </w:r>
            <w:r>
              <w:rPr>
                <w:spacing w:val="-4"/>
                <w:sz w:val="24"/>
              </w:rPr>
              <w:t>(Y): </w:t>
            </w:r>
            <w:r>
              <w:rPr>
                <w:i/>
                <w:spacing w:val="-2"/>
                <w:sz w:val="24"/>
              </w:rPr>
              <w:t>Company’s Financial Performance</w:t>
            </w:r>
          </w:p>
        </w:tc>
        <w:tc>
          <w:tcPr>
            <w:tcW w:w="2658" w:type="dxa"/>
          </w:tcPr>
          <w:p>
            <w:pPr>
              <w:pStyle w:val="TableParagraph"/>
              <w:tabs>
                <w:tab w:pos="1842" w:val="left" w:leader="none"/>
                <w:tab w:pos="1895" w:val="left" w:leader="none"/>
              </w:tabs>
              <w:spacing w:line="276" w:lineRule="auto" w:before="5"/>
              <w:ind w:left="114" w:right="96"/>
              <w:jc w:val="both"/>
              <w:rPr>
                <w:sz w:val="24"/>
              </w:rPr>
            </w:pPr>
            <w:r>
              <w:rPr>
                <w:spacing w:val="-2"/>
                <w:sz w:val="24"/>
              </w:rPr>
              <w:t>Leverage</w:t>
            </w:r>
            <w:r>
              <w:rPr>
                <w:sz w:val="24"/>
              </w:rPr>
              <w:tab/>
              <w:tab/>
            </w:r>
            <w:r>
              <w:rPr>
                <w:spacing w:val="-4"/>
                <w:sz w:val="24"/>
              </w:rPr>
              <w:t>hanya </w:t>
            </w:r>
            <w:r>
              <w:rPr>
                <w:sz w:val="24"/>
              </w:rPr>
              <w:t>berpengaruh terhadap kinerja</w:t>
            </w:r>
            <w:r>
              <w:rPr>
                <w:spacing w:val="-9"/>
                <w:sz w:val="24"/>
              </w:rPr>
              <w:t> </w:t>
            </w:r>
            <w:r>
              <w:rPr>
                <w:sz w:val="24"/>
              </w:rPr>
              <w:t>keuangan</w:t>
            </w:r>
            <w:r>
              <w:rPr>
                <w:spacing w:val="-9"/>
                <w:sz w:val="24"/>
              </w:rPr>
              <w:t> </w:t>
            </w:r>
            <w:r>
              <w:rPr>
                <w:sz w:val="24"/>
              </w:rPr>
              <w:t>yang diproksikan dengan Retum on Assets, dan pengungkapan ESG, Ukuran Perusahaan, Leverage</w:t>
            </w:r>
            <w:r>
              <w:rPr>
                <w:spacing w:val="-17"/>
                <w:sz w:val="24"/>
              </w:rPr>
              <w:t> </w:t>
            </w:r>
            <w:r>
              <w:rPr>
                <w:sz w:val="24"/>
              </w:rPr>
              <w:t>berpengaruh </w:t>
            </w:r>
            <w:r>
              <w:rPr>
                <w:spacing w:val="-2"/>
                <w:sz w:val="24"/>
              </w:rPr>
              <w:t>terhadap</w:t>
            </w:r>
            <w:r>
              <w:rPr>
                <w:sz w:val="24"/>
              </w:rPr>
              <w:tab/>
            </w:r>
            <w:r>
              <w:rPr>
                <w:spacing w:val="-2"/>
                <w:sz w:val="24"/>
              </w:rPr>
              <w:t>kinerja</w:t>
            </w:r>
          </w:p>
          <w:p>
            <w:pPr>
              <w:pStyle w:val="TableParagraph"/>
              <w:tabs>
                <w:tab w:pos="2029" w:val="left" w:leader="none"/>
              </w:tabs>
              <w:spacing w:line="276" w:lineRule="auto"/>
              <w:ind w:left="114" w:right="96"/>
              <w:jc w:val="both"/>
              <w:rPr>
                <w:sz w:val="24"/>
              </w:rPr>
            </w:pPr>
            <w:r>
              <w:rPr>
                <w:spacing w:val="-2"/>
                <w:sz w:val="24"/>
              </w:rPr>
              <w:t>keuangan</w:t>
            </w:r>
            <w:r>
              <w:rPr>
                <w:sz w:val="24"/>
              </w:rPr>
              <w:tab/>
            </w:r>
            <w:r>
              <w:rPr>
                <w:spacing w:val="-4"/>
                <w:sz w:val="24"/>
              </w:rPr>
              <w:t>yang </w:t>
            </w:r>
            <w:r>
              <w:rPr>
                <w:sz w:val="24"/>
              </w:rPr>
              <w:t>diproksikan dengan Tobin's Q.</w:t>
            </w:r>
          </w:p>
        </w:tc>
      </w:tr>
      <w:tr>
        <w:trPr>
          <w:trHeight w:val="1904" w:hRule="atLeast"/>
        </w:trPr>
        <w:tc>
          <w:tcPr>
            <w:tcW w:w="536" w:type="dxa"/>
          </w:tcPr>
          <w:p>
            <w:pPr>
              <w:pStyle w:val="TableParagraph"/>
              <w:spacing w:before="5"/>
              <w:ind w:left="9"/>
              <w:jc w:val="center"/>
              <w:rPr>
                <w:sz w:val="24"/>
              </w:rPr>
            </w:pPr>
            <w:r>
              <w:rPr>
                <w:spacing w:val="-10"/>
                <w:sz w:val="24"/>
              </w:rPr>
              <w:t>5</w:t>
            </w:r>
          </w:p>
        </w:tc>
        <w:tc>
          <w:tcPr>
            <w:tcW w:w="2634" w:type="dxa"/>
          </w:tcPr>
          <w:p>
            <w:pPr>
              <w:pStyle w:val="TableParagraph"/>
              <w:tabs>
                <w:tab w:pos="1578" w:val="left" w:leader="none"/>
                <w:tab w:pos="1859" w:val="left" w:leader="none"/>
              </w:tabs>
              <w:spacing w:line="276" w:lineRule="auto" w:before="5"/>
              <w:ind w:right="96"/>
              <w:rPr>
                <w:sz w:val="24"/>
              </w:rPr>
            </w:pPr>
            <w:r>
              <w:rPr>
                <w:sz w:val="24"/>
              </w:rPr>
              <w:t>Safitri &amp; Utomo (2020) </w:t>
            </w:r>
            <w:r>
              <w:rPr>
                <w:spacing w:val="-2"/>
                <w:sz w:val="24"/>
              </w:rPr>
              <w:t>“Pengaruh </w:t>
            </w:r>
            <w:r>
              <w:rPr>
                <w:i/>
                <w:sz w:val="24"/>
              </w:rPr>
              <w:t>Environmental,</w:t>
            </w:r>
            <w:r>
              <w:rPr>
                <w:i/>
                <w:spacing w:val="-4"/>
                <w:sz w:val="24"/>
              </w:rPr>
              <w:t> </w:t>
            </w:r>
            <w:r>
              <w:rPr>
                <w:i/>
                <w:sz w:val="24"/>
              </w:rPr>
              <w:t>Social, </w:t>
            </w:r>
            <w:r>
              <w:rPr>
                <w:i/>
                <w:spacing w:val="-2"/>
                <w:sz w:val="24"/>
              </w:rPr>
              <w:t>Governance</w:t>
            </w:r>
            <w:r>
              <w:rPr>
                <w:i/>
                <w:sz w:val="24"/>
              </w:rPr>
              <w:tab/>
              <w:tab/>
            </w:r>
            <w:r>
              <w:rPr>
                <w:spacing w:val="-4"/>
                <w:sz w:val="24"/>
              </w:rPr>
              <w:t>(ESG) </w:t>
            </w:r>
            <w:r>
              <w:rPr>
                <w:i/>
                <w:spacing w:val="-2"/>
                <w:sz w:val="24"/>
              </w:rPr>
              <w:t>Disclosure</w:t>
            </w:r>
            <w:r>
              <w:rPr>
                <w:i/>
                <w:sz w:val="24"/>
              </w:rPr>
              <w:tab/>
            </w:r>
            <w:r>
              <w:rPr>
                <w:spacing w:val="-2"/>
                <w:sz w:val="24"/>
              </w:rPr>
              <w:t>terhadap</w:t>
            </w:r>
          </w:p>
          <w:p>
            <w:pPr>
              <w:pStyle w:val="TableParagraph"/>
              <w:rPr>
                <w:sz w:val="24"/>
              </w:rPr>
            </w:pPr>
            <w:r>
              <w:rPr>
                <w:sz w:val="24"/>
              </w:rPr>
              <w:t>Kinerja</w:t>
            </w:r>
            <w:r>
              <w:rPr>
                <w:spacing w:val="-5"/>
                <w:sz w:val="24"/>
              </w:rPr>
              <w:t> </w:t>
            </w:r>
            <w:r>
              <w:rPr>
                <w:spacing w:val="-2"/>
                <w:sz w:val="24"/>
              </w:rPr>
              <w:t>Perusahaan”</w:t>
            </w:r>
          </w:p>
        </w:tc>
        <w:tc>
          <w:tcPr>
            <w:tcW w:w="2125" w:type="dxa"/>
          </w:tcPr>
          <w:p>
            <w:pPr>
              <w:pStyle w:val="TableParagraph"/>
              <w:tabs>
                <w:tab w:pos="1629" w:val="left" w:leader="none"/>
              </w:tabs>
              <w:spacing w:line="276" w:lineRule="auto" w:before="5"/>
              <w:ind w:right="97"/>
              <w:rPr>
                <w:i/>
                <w:sz w:val="24"/>
              </w:rPr>
            </w:pPr>
            <w:r>
              <w:rPr>
                <w:spacing w:val="-2"/>
                <w:sz w:val="24"/>
              </w:rPr>
              <w:t>Independen</w:t>
            </w:r>
            <w:r>
              <w:rPr>
                <w:sz w:val="24"/>
              </w:rPr>
              <w:tab/>
            </w:r>
            <w:r>
              <w:rPr>
                <w:spacing w:val="-4"/>
                <w:sz w:val="24"/>
              </w:rPr>
              <w:t>(X): </w:t>
            </w:r>
            <w:r>
              <w:rPr>
                <w:i/>
                <w:spacing w:val="-2"/>
                <w:sz w:val="24"/>
              </w:rPr>
              <w:t>Environmental, Social, Governance </w:t>
            </w:r>
            <w:r>
              <w:rPr>
                <w:sz w:val="24"/>
              </w:rPr>
              <w:t>(ESG) </w:t>
            </w:r>
            <w:r>
              <w:rPr>
                <w:i/>
                <w:sz w:val="24"/>
              </w:rPr>
              <w:t>Disclosure</w:t>
            </w:r>
          </w:p>
          <w:p>
            <w:pPr>
              <w:pStyle w:val="TableParagraph"/>
              <w:tabs>
                <w:tab w:pos="1630" w:val="left" w:leader="none"/>
              </w:tabs>
              <w:rPr>
                <w:sz w:val="24"/>
              </w:rPr>
            </w:pPr>
            <w:r>
              <w:rPr>
                <w:spacing w:val="-2"/>
                <w:sz w:val="24"/>
              </w:rPr>
              <w:t>Dependen</w:t>
            </w:r>
            <w:r>
              <w:rPr>
                <w:sz w:val="24"/>
              </w:rPr>
              <w:tab/>
            </w:r>
            <w:r>
              <w:rPr>
                <w:spacing w:val="-4"/>
                <w:sz w:val="24"/>
              </w:rPr>
              <w:t>(Y):</w:t>
            </w:r>
          </w:p>
        </w:tc>
        <w:tc>
          <w:tcPr>
            <w:tcW w:w="2658" w:type="dxa"/>
          </w:tcPr>
          <w:p>
            <w:pPr>
              <w:pStyle w:val="TableParagraph"/>
              <w:tabs>
                <w:tab w:pos="1842" w:val="left" w:leader="none"/>
                <w:tab w:pos="2149" w:val="left" w:leader="none"/>
              </w:tabs>
              <w:spacing w:line="276" w:lineRule="auto" w:before="5"/>
              <w:ind w:right="96"/>
              <w:jc w:val="both"/>
              <w:rPr>
                <w:sz w:val="24"/>
              </w:rPr>
            </w:pPr>
            <w:r>
              <w:rPr>
                <w:sz w:val="24"/>
              </w:rPr>
              <w:t>pengungkapan ESG memiliki pengaruh positif dan signifikan </w:t>
            </w:r>
            <w:r>
              <w:rPr>
                <w:spacing w:val="-2"/>
                <w:sz w:val="24"/>
              </w:rPr>
              <w:t>terhadap</w:t>
            </w:r>
            <w:r>
              <w:rPr>
                <w:sz w:val="24"/>
              </w:rPr>
              <w:tab/>
            </w:r>
            <w:r>
              <w:rPr>
                <w:spacing w:val="-2"/>
                <w:sz w:val="24"/>
              </w:rPr>
              <w:t>kinerja operasional</w:t>
            </w:r>
            <w:r>
              <w:rPr>
                <w:sz w:val="24"/>
              </w:rPr>
              <w:tab/>
              <w:tab/>
            </w:r>
            <w:r>
              <w:rPr>
                <w:spacing w:val="-5"/>
                <w:sz w:val="24"/>
              </w:rPr>
              <w:t>dan</w:t>
            </w:r>
          </w:p>
          <w:p>
            <w:pPr>
              <w:pStyle w:val="TableParagraph"/>
              <w:jc w:val="both"/>
              <w:rPr>
                <w:sz w:val="24"/>
              </w:rPr>
            </w:pPr>
            <w:r>
              <w:rPr>
                <w:sz w:val="24"/>
              </w:rPr>
              <w:t>keuangan,</w:t>
            </w:r>
            <w:r>
              <w:rPr>
                <w:spacing w:val="39"/>
                <w:sz w:val="24"/>
              </w:rPr>
              <w:t> </w:t>
            </w:r>
            <w:r>
              <w:rPr>
                <w:sz w:val="24"/>
              </w:rPr>
              <w:t>tetapi</w:t>
            </w:r>
            <w:r>
              <w:rPr>
                <w:spacing w:val="40"/>
                <w:sz w:val="24"/>
              </w:rPr>
              <w:t> </w:t>
            </w:r>
            <w:r>
              <w:rPr>
                <w:spacing w:val="-2"/>
                <w:sz w:val="24"/>
              </w:rPr>
              <w:t>tidak</w:t>
            </w:r>
          </w:p>
        </w:tc>
      </w:tr>
    </w:tbl>
    <w:p>
      <w:pPr>
        <w:pStyle w:val="TableParagraph"/>
        <w:spacing w:after="0"/>
        <w:jc w:val="both"/>
        <w:rPr>
          <w:sz w:val="24"/>
        </w:rPr>
        <w:sectPr>
          <w:pgSz w:w="11910" w:h="16840"/>
          <w:pgMar w:header="718" w:footer="0" w:top="980" w:bottom="280" w:left="1559" w:right="99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9"/>
        <w:rPr>
          <w:sz w:val="20"/>
        </w:rPr>
      </w:pPr>
    </w:p>
    <w:tbl>
      <w:tblPr>
        <w:tblW w:w="0" w:type="auto"/>
        <w:jc w:val="left"/>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6"/>
        <w:gridCol w:w="2634"/>
        <w:gridCol w:w="2125"/>
        <w:gridCol w:w="2658"/>
      </w:tblGrid>
      <w:tr>
        <w:trPr>
          <w:trHeight w:val="952" w:hRule="atLeast"/>
        </w:trPr>
        <w:tc>
          <w:tcPr>
            <w:tcW w:w="536" w:type="dxa"/>
          </w:tcPr>
          <w:p>
            <w:pPr>
              <w:pStyle w:val="TableParagraph"/>
              <w:ind w:left="0"/>
              <w:rPr>
                <w:rFonts w:ascii="Times New Roman"/>
                <w:sz w:val="24"/>
              </w:rPr>
            </w:pPr>
          </w:p>
        </w:tc>
        <w:tc>
          <w:tcPr>
            <w:tcW w:w="2634" w:type="dxa"/>
          </w:tcPr>
          <w:p>
            <w:pPr>
              <w:pStyle w:val="TableParagraph"/>
              <w:ind w:left="0"/>
              <w:rPr>
                <w:rFonts w:ascii="Times New Roman"/>
                <w:sz w:val="24"/>
              </w:rPr>
            </w:pPr>
          </w:p>
        </w:tc>
        <w:tc>
          <w:tcPr>
            <w:tcW w:w="2125" w:type="dxa"/>
          </w:tcPr>
          <w:p>
            <w:pPr>
              <w:pStyle w:val="TableParagraph"/>
              <w:spacing w:line="276" w:lineRule="auto" w:before="5"/>
              <w:ind w:right="97"/>
              <w:rPr>
                <w:sz w:val="24"/>
              </w:rPr>
            </w:pPr>
            <w:r>
              <w:rPr>
                <w:spacing w:val="-2"/>
                <w:sz w:val="24"/>
              </w:rPr>
              <w:t>Kinerja Perusahaan</w:t>
            </w:r>
          </w:p>
        </w:tc>
        <w:tc>
          <w:tcPr>
            <w:tcW w:w="2658" w:type="dxa"/>
          </w:tcPr>
          <w:p>
            <w:pPr>
              <w:pStyle w:val="TableParagraph"/>
              <w:tabs>
                <w:tab w:pos="1842" w:val="left" w:leader="none"/>
              </w:tabs>
              <w:spacing w:line="276" w:lineRule="auto" w:before="5"/>
              <w:ind w:right="96"/>
              <w:rPr>
                <w:sz w:val="24"/>
              </w:rPr>
            </w:pPr>
            <w:r>
              <w:rPr>
                <w:sz w:val="24"/>
              </w:rPr>
              <w:t>berpengaruh</w:t>
            </w:r>
            <w:r>
              <w:rPr>
                <w:spacing w:val="-15"/>
                <w:sz w:val="24"/>
              </w:rPr>
              <w:t> </w:t>
            </w:r>
            <w:r>
              <w:rPr>
                <w:sz w:val="24"/>
              </w:rPr>
              <w:t>signifikan </w:t>
            </w:r>
            <w:r>
              <w:rPr>
                <w:spacing w:val="-2"/>
                <w:sz w:val="24"/>
              </w:rPr>
              <w:t>terhadap</w:t>
            </w:r>
            <w:r>
              <w:rPr>
                <w:sz w:val="24"/>
              </w:rPr>
              <w:tab/>
            </w:r>
            <w:r>
              <w:rPr>
                <w:spacing w:val="-2"/>
                <w:sz w:val="24"/>
              </w:rPr>
              <w:t>kinerja</w:t>
            </w:r>
          </w:p>
          <w:p>
            <w:pPr>
              <w:pStyle w:val="TableParagraph"/>
              <w:rPr>
                <w:sz w:val="24"/>
              </w:rPr>
            </w:pPr>
            <w:r>
              <w:rPr>
                <w:spacing w:val="-2"/>
                <w:sz w:val="24"/>
              </w:rPr>
              <w:t>pasar.</w:t>
            </w:r>
          </w:p>
        </w:tc>
      </w:tr>
      <w:tr>
        <w:trPr>
          <w:trHeight w:val="3808" w:hRule="atLeast"/>
        </w:trPr>
        <w:tc>
          <w:tcPr>
            <w:tcW w:w="536" w:type="dxa"/>
          </w:tcPr>
          <w:p>
            <w:pPr>
              <w:pStyle w:val="TableParagraph"/>
              <w:spacing w:before="5"/>
              <w:ind w:left="9"/>
              <w:jc w:val="center"/>
              <w:rPr>
                <w:sz w:val="24"/>
              </w:rPr>
            </w:pPr>
            <w:r>
              <w:rPr>
                <w:spacing w:val="-10"/>
                <w:sz w:val="24"/>
              </w:rPr>
              <w:t>6</w:t>
            </w:r>
          </w:p>
        </w:tc>
        <w:tc>
          <w:tcPr>
            <w:tcW w:w="2634" w:type="dxa"/>
          </w:tcPr>
          <w:p>
            <w:pPr>
              <w:pStyle w:val="TableParagraph"/>
              <w:tabs>
                <w:tab w:pos="2365" w:val="left" w:leader="none"/>
              </w:tabs>
              <w:spacing w:before="5"/>
              <w:jc w:val="both"/>
              <w:rPr>
                <w:sz w:val="24"/>
              </w:rPr>
            </w:pPr>
            <w:r>
              <w:rPr>
                <w:spacing w:val="-2"/>
                <w:sz w:val="24"/>
              </w:rPr>
              <w:t>Siregar</w:t>
            </w:r>
            <w:r>
              <w:rPr>
                <w:sz w:val="24"/>
              </w:rPr>
              <w:tab/>
            </w:r>
            <w:r>
              <w:rPr>
                <w:spacing w:val="-10"/>
                <w:sz w:val="24"/>
              </w:rPr>
              <w:t>&amp;</w:t>
            </w:r>
          </w:p>
          <w:p>
            <w:pPr>
              <w:pStyle w:val="TableParagraph"/>
              <w:tabs>
                <w:tab w:pos="1778" w:val="left" w:leader="none"/>
              </w:tabs>
              <w:spacing w:line="276" w:lineRule="auto" w:before="41"/>
              <w:ind w:right="96"/>
              <w:jc w:val="both"/>
              <w:rPr>
                <w:sz w:val="24"/>
              </w:rPr>
            </w:pPr>
            <w:r>
              <w:rPr>
                <w:sz w:val="24"/>
              </w:rPr>
              <w:t>Kusumawardi (2023) “Ukuran Perusahaan, Profitabilitas, </w:t>
            </w:r>
            <w:r>
              <w:rPr>
                <w:i/>
                <w:sz w:val="24"/>
              </w:rPr>
              <w:t>Political Cost, </w:t>
            </w:r>
            <w:r>
              <w:rPr>
                <w:sz w:val="24"/>
              </w:rPr>
              <w:t>Tipe Industri, </w:t>
            </w:r>
            <w:r>
              <w:rPr>
                <w:spacing w:val="-5"/>
                <w:sz w:val="24"/>
              </w:rPr>
              <w:t>dan</w:t>
            </w:r>
            <w:r>
              <w:rPr>
                <w:sz w:val="24"/>
              </w:rPr>
              <w:tab/>
            </w:r>
            <w:r>
              <w:rPr>
                <w:spacing w:val="-2"/>
                <w:sz w:val="24"/>
              </w:rPr>
              <w:t>Kinerja</w:t>
            </w:r>
          </w:p>
          <w:p>
            <w:pPr>
              <w:pStyle w:val="TableParagraph"/>
              <w:tabs>
                <w:tab w:pos="1578" w:val="left" w:leader="none"/>
              </w:tabs>
              <w:spacing w:line="276" w:lineRule="auto"/>
              <w:ind w:right="96"/>
              <w:rPr>
                <w:sz w:val="24"/>
              </w:rPr>
            </w:pPr>
            <w:r>
              <w:rPr>
                <w:spacing w:val="-2"/>
                <w:sz w:val="24"/>
              </w:rPr>
              <w:t>Lingkungan</w:t>
            </w:r>
            <w:r>
              <w:rPr>
                <w:sz w:val="24"/>
              </w:rPr>
              <w:tab/>
            </w:r>
            <w:r>
              <w:rPr>
                <w:spacing w:val="-2"/>
                <w:sz w:val="24"/>
              </w:rPr>
              <w:t>terhadap </w:t>
            </w:r>
            <w:r>
              <w:rPr>
                <w:i/>
                <w:spacing w:val="-2"/>
                <w:sz w:val="24"/>
              </w:rPr>
              <w:t>Environmental Disclosure</w:t>
            </w:r>
            <w:r>
              <w:rPr>
                <w:spacing w:val="-2"/>
                <w:sz w:val="24"/>
              </w:rPr>
              <w:t>”</w:t>
            </w:r>
          </w:p>
        </w:tc>
        <w:tc>
          <w:tcPr>
            <w:tcW w:w="2125" w:type="dxa"/>
          </w:tcPr>
          <w:p>
            <w:pPr>
              <w:pStyle w:val="TableParagraph"/>
              <w:tabs>
                <w:tab w:pos="1456" w:val="left" w:leader="none"/>
                <w:tab w:pos="1629" w:val="left" w:leader="none"/>
              </w:tabs>
              <w:spacing w:line="276" w:lineRule="auto" w:before="5"/>
              <w:ind w:right="96"/>
              <w:rPr>
                <w:i/>
                <w:sz w:val="24"/>
              </w:rPr>
            </w:pPr>
            <w:r>
              <w:rPr>
                <w:spacing w:val="-2"/>
                <w:sz w:val="24"/>
              </w:rPr>
              <w:t>Independen</w:t>
            </w:r>
            <w:r>
              <w:rPr>
                <w:sz w:val="24"/>
              </w:rPr>
              <w:tab/>
              <w:tab/>
            </w:r>
            <w:r>
              <w:rPr>
                <w:spacing w:val="-4"/>
                <w:sz w:val="24"/>
              </w:rPr>
              <w:t>(X): </w:t>
            </w:r>
            <w:r>
              <w:rPr>
                <w:spacing w:val="-2"/>
                <w:sz w:val="24"/>
              </w:rPr>
              <w:t>Ukuran Perusahaan, Profitabilitas, </w:t>
            </w:r>
            <w:r>
              <w:rPr>
                <w:i/>
                <w:spacing w:val="-2"/>
                <w:sz w:val="24"/>
              </w:rPr>
              <w:t>Political</w:t>
            </w:r>
            <w:r>
              <w:rPr>
                <w:i/>
                <w:sz w:val="24"/>
              </w:rPr>
              <w:tab/>
            </w:r>
            <w:r>
              <w:rPr>
                <w:i/>
                <w:spacing w:val="-4"/>
                <w:sz w:val="24"/>
              </w:rPr>
              <w:t>Cost, </w:t>
            </w:r>
            <w:r>
              <w:rPr>
                <w:sz w:val="24"/>
              </w:rPr>
              <w:t>Tipe Industri, dan </w:t>
            </w:r>
            <w:r>
              <w:rPr>
                <w:spacing w:val="-2"/>
                <w:sz w:val="24"/>
              </w:rPr>
              <w:t>Kinerja Lingkungan Dependen</w:t>
            </w:r>
            <w:r>
              <w:rPr>
                <w:sz w:val="24"/>
              </w:rPr>
              <w:tab/>
              <w:tab/>
            </w:r>
            <w:r>
              <w:rPr>
                <w:spacing w:val="-67"/>
                <w:sz w:val="24"/>
              </w:rPr>
              <w:t> </w:t>
            </w:r>
            <w:r>
              <w:rPr>
                <w:spacing w:val="-4"/>
                <w:sz w:val="24"/>
              </w:rPr>
              <w:t>(Y): </w:t>
            </w:r>
            <w:r>
              <w:rPr>
                <w:i/>
                <w:spacing w:val="-2"/>
                <w:sz w:val="24"/>
              </w:rPr>
              <w:t>Environmental Disclosure</w:t>
            </w:r>
          </w:p>
        </w:tc>
        <w:tc>
          <w:tcPr>
            <w:tcW w:w="2658" w:type="dxa"/>
          </w:tcPr>
          <w:p>
            <w:pPr>
              <w:pStyle w:val="TableParagraph"/>
              <w:tabs>
                <w:tab w:pos="1215" w:val="left" w:leader="none"/>
                <w:tab w:pos="1388" w:val="left" w:leader="none"/>
                <w:tab w:pos="1602" w:val="left" w:leader="none"/>
                <w:tab w:pos="1922" w:val="left" w:leader="none"/>
                <w:tab w:pos="2149" w:val="left" w:leader="none"/>
              </w:tabs>
              <w:spacing w:line="276" w:lineRule="auto" w:before="5"/>
              <w:ind w:right="96"/>
              <w:rPr>
                <w:sz w:val="24"/>
              </w:rPr>
            </w:pPr>
            <w:r>
              <w:rPr>
                <w:spacing w:val="-2"/>
                <w:sz w:val="24"/>
              </w:rPr>
              <w:t>profitabilitas</w:t>
            </w:r>
            <w:r>
              <w:rPr>
                <w:sz w:val="24"/>
              </w:rPr>
              <w:tab/>
              <w:tab/>
              <w:tab/>
            </w:r>
            <w:r>
              <w:rPr>
                <w:spacing w:val="-4"/>
                <w:sz w:val="24"/>
              </w:rPr>
              <w:t>dan </w:t>
            </w:r>
            <w:r>
              <w:rPr>
                <w:spacing w:val="-2"/>
                <w:sz w:val="24"/>
              </w:rPr>
              <w:t>kinerja</w:t>
            </w:r>
            <w:r>
              <w:rPr>
                <w:sz w:val="24"/>
              </w:rPr>
              <w:tab/>
              <w:tab/>
            </w:r>
            <w:r>
              <w:rPr>
                <w:spacing w:val="-2"/>
                <w:sz w:val="24"/>
              </w:rPr>
              <w:t>lingkungan berpengaruh</w:t>
            </w:r>
            <w:r>
              <w:rPr>
                <w:sz w:val="24"/>
              </w:rPr>
              <w:tab/>
              <w:tab/>
            </w:r>
            <w:r>
              <w:rPr>
                <w:spacing w:val="-2"/>
                <w:sz w:val="24"/>
              </w:rPr>
              <w:t>positif terhadap pengungkapan </w:t>
            </w:r>
            <w:r>
              <w:rPr>
                <w:sz w:val="24"/>
              </w:rPr>
              <w:t>lingkungan,</w:t>
            </w:r>
            <w:r>
              <w:rPr>
                <w:spacing w:val="-15"/>
                <w:sz w:val="24"/>
              </w:rPr>
              <w:t> </w:t>
            </w:r>
            <w:r>
              <w:rPr>
                <w:sz w:val="24"/>
              </w:rPr>
              <w:t>sementara </w:t>
            </w:r>
            <w:r>
              <w:rPr>
                <w:spacing w:val="-2"/>
                <w:sz w:val="24"/>
              </w:rPr>
              <w:t>ukuran</w:t>
            </w:r>
            <w:r>
              <w:rPr>
                <w:sz w:val="24"/>
              </w:rPr>
              <w:tab/>
            </w:r>
            <w:r>
              <w:rPr>
                <w:spacing w:val="-2"/>
                <w:sz w:val="24"/>
              </w:rPr>
              <w:t>perusahaan, </w:t>
            </w:r>
            <w:r>
              <w:rPr>
                <w:sz w:val="24"/>
              </w:rPr>
              <w:t>biaya politik, dan jenis industri</w:t>
            </w:r>
            <w:r>
              <w:rPr>
                <w:spacing w:val="40"/>
                <w:sz w:val="24"/>
              </w:rPr>
              <w:t> </w:t>
            </w:r>
            <w:r>
              <w:rPr>
                <w:sz w:val="24"/>
              </w:rPr>
              <w:t>tidak</w:t>
            </w:r>
            <w:r>
              <w:rPr>
                <w:spacing w:val="40"/>
                <w:sz w:val="24"/>
              </w:rPr>
              <w:t> </w:t>
            </w:r>
            <w:r>
              <w:rPr>
                <w:sz w:val="24"/>
              </w:rPr>
              <w:t>memiliki </w:t>
            </w:r>
            <w:r>
              <w:rPr>
                <w:spacing w:val="-2"/>
                <w:sz w:val="24"/>
              </w:rPr>
              <w:t>pengaruh</w:t>
            </w:r>
            <w:r>
              <w:rPr>
                <w:sz w:val="24"/>
              </w:rPr>
              <w:tab/>
              <w:tab/>
              <w:tab/>
            </w:r>
            <w:r>
              <w:rPr>
                <w:spacing w:val="-2"/>
                <w:sz w:val="24"/>
              </w:rPr>
              <w:t>terhadap pengungkapan</w:t>
            </w:r>
          </w:p>
          <w:p>
            <w:pPr>
              <w:pStyle w:val="TableParagraph"/>
              <w:rPr>
                <w:sz w:val="24"/>
              </w:rPr>
            </w:pPr>
            <w:r>
              <w:rPr>
                <w:spacing w:val="-2"/>
                <w:sz w:val="24"/>
              </w:rPr>
              <w:t>lingkungan.</w:t>
            </w:r>
          </w:p>
        </w:tc>
      </w:tr>
      <w:tr>
        <w:trPr>
          <w:trHeight w:val="4760" w:hRule="atLeast"/>
        </w:trPr>
        <w:tc>
          <w:tcPr>
            <w:tcW w:w="536" w:type="dxa"/>
          </w:tcPr>
          <w:p>
            <w:pPr>
              <w:pStyle w:val="TableParagraph"/>
              <w:spacing w:before="5"/>
              <w:ind w:left="9"/>
              <w:jc w:val="center"/>
              <w:rPr>
                <w:sz w:val="24"/>
              </w:rPr>
            </w:pPr>
            <w:r>
              <w:rPr>
                <w:spacing w:val="-10"/>
                <w:sz w:val="24"/>
              </w:rPr>
              <w:t>7</w:t>
            </w:r>
          </w:p>
        </w:tc>
        <w:tc>
          <w:tcPr>
            <w:tcW w:w="2634" w:type="dxa"/>
          </w:tcPr>
          <w:p>
            <w:pPr>
              <w:pStyle w:val="TableParagraph"/>
              <w:tabs>
                <w:tab w:pos="1116" w:val="left" w:leader="none"/>
                <w:tab w:pos="1164" w:val="left" w:leader="none"/>
                <w:tab w:pos="1263" w:val="left" w:leader="none"/>
                <w:tab w:pos="1405" w:val="left" w:leader="none"/>
                <w:tab w:pos="1484" w:val="left" w:leader="none"/>
                <w:tab w:pos="1832" w:val="left" w:leader="none"/>
                <w:tab w:pos="2085" w:val="left" w:leader="none"/>
              </w:tabs>
              <w:spacing w:line="276" w:lineRule="auto" w:before="5"/>
              <w:ind w:right="96"/>
              <w:rPr>
                <w:sz w:val="24"/>
              </w:rPr>
            </w:pPr>
            <w:r>
              <w:rPr>
                <w:spacing w:val="-2"/>
                <w:sz w:val="24"/>
              </w:rPr>
              <w:t>Noviani</w:t>
            </w:r>
            <w:r>
              <w:rPr>
                <w:sz w:val="24"/>
              </w:rPr>
              <w:tab/>
            </w:r>
            <w:r>
              <w:rPr>
                <w:spacing w:val="-10"/>
                <w:sz w:val="24"/>
              </w:rPr>
              <w:t>&amp;</w:t>
            </w:r>
            <w:r>
              <w:rPr>
                <w:sz w:val="24"/>
              </w:rPr>
              <w:tab/>
              <w:tab/>
            </w:r>
            <w:r>
              <w:rPr>
                <w:spacing w:val="-2"/>
                <w:sz w:val="24"/>
              </w:rPr>
              <w:t>Suardana (2019)</w:t>
            </w:r>
            <w:r>
              <w:rPr>
                <w:sz w:val="24"/>
              </w:rPr>
              <w:tab/>
              <w:tab/>
              <w:tab/>
              <w:tab/>
            </w:r>
            <w:r>
              <w:rPr>
                <w:spacing w:val="-2"/>
                <w:sz w:val="24"/>
              </w:rPr>
              <w:t>“Pengaruh Ukuran</w:t>
            </w:r>
            <w:r>
              <w:rPr>
                <w:sz w:val="24"/>
              </w:rPr>
              <w:tab/>
              <w:tab/>
            </w:r>
            <w:r>
              <w:rPr>
                <w:spacing w:val="-2"/>
                <w:sz w:val="24"/>
              </w:rPr>
              <w:t>Perusahaan, </w:t>
            </w:r>
            <w:r>
              <w:rPr>
                <w:i/>
                <w:spacing w:val="-2"/>
                <w:sz w:val="24"/>
              </w:rPr>
              <w:t>Political</w:t>
            </w:r>
            <w:r>
              <w:rPr>
                <w:i/>
                <w:sz w:val="24"/>
              </w:rPr>
              <w:tab/>
              <w:tab/>
              <w:tab/>
            </w:r>
            <w:r>
              <w:rPr>
                <w:i/>
                <w:spacing w:val="-4"/>
                <w:sz w:val="24"/>
              </w:rPr>
              <w:t>Cost</w:t>
            </w:r>
            <w:r>
              <w:rPr>
                <w:i/>
                <w:sz w:val="24"/>
              </w:rPr>
              <w:tab/>
              <w:tab/>
            </w:r>
            <w:r>
              <w:rPr>
                <w:spacing w:val="-4"/>
                <w:sz w:val="24"/>
              </w:rPr>
              <w:t>Dan </w:t>
            </w:r>
            <w:r>
              <w:rPr>
                <w:spacing w:val="-2"/>
                <w:sz w:val="24"/>
              </w:rPr>
              <w:t>Kinerja</w:t>
            </w:r>
            <w:r>
              <w:rPr>
                <w:sz w:val="24"/>
              </w:rPr>
              <w:tab/>
              <w:tab/>
              <w:tab/>
            </w:r>
            <w:r>
              <w:rPr>
                <w:spacing w:val="-48"/>
                <w:sz w:val="24"/>
              </w:rPr>
              <w:t> </w:t>
            </w:r>
            <w:r>
              <w:rPr>
                <w:spacing w:val="-2"/>
                <w:sz w:val="24"/>
              </w:rPr>
              <w:t>Lingkungan Terhadap </w:t>
            </w:r>
            <w:r>
              <w:rPr>
                <w:i/>
                <w:spacing w:val="-2"/>
                <w:sz w:val="24"/>
              </w:rPr>
              <w:t>Environmental Disclosure</w:t>
            </w:r>
            <w:r>
              <w:rPr>
                <w:i/>
                <w:sz w:val="24"/>
              </w:rPr>
              <w:tab/>
              <w:tab/>
              <w:tab/>
              <w:tab/>
            </w:r>
            <w:r>
              <w:rPr>
                <w:spacing w:val="-2"/>
                <w:sz w:val="24"/>
              </w:rPr>
              <w:t>Dalam </w:t>
            </w:r>
            <w:r>
              <w:rPr>
                <w:sz w:val="24"/>
              </w:rPr>
              <w:t>Laporan Tahunan”</w:t>
            </w:r>
          </w:p>
        </w:tc>
        <w:tc>
          <w:tcPr>
            <w:tcW w:w="2125" w:type="dxa"/>
          </w:tcPr>
          <w:p>
            <w:pPr>
              <w:pStyle w:val="TableParagraph"/>
              <w:tabs>
                <w:tab w:pos="1629" w:val="left" w:leader="none"/>
              </w:tabs>
              <w:spacing w:line="276" w:lineRule="auto" w:before="5"/>
              <w:ind w:right="96"/>
              <w:rPr>
                <w:i/>
                <w:sz w:val="24"/>
              </w:rPr>
            </w:pPr>
            <w:r>
              <w:rPr>
                <w:spacing w:val="-2"/>
                <w:sz w:val="24"/>
              </w:rPr>
              <w:t>Independen</w:t>
            </w:r>
            <w:r>
              <w:rPr>
                <w:sz w:val="24"/>
              </w:rPr>
              <w:tab/>
            </w:r>
            <w:r>
              <w:rPr>
                <w:spacing w:val="-4"/>
                <w:sz w:val="24"/>
              </w:rPr>
              <w:t>(X): </w:t>
            </w:r>
            <w:r>
              <w:rPr>
                <w:spacing w:val="-2"/>
                <w:sz w:val="24"/>
              </w:rPr>
              <w:t>Ukuran Perusahaan, </w:t>
            </w:r>
            <w:r>
              <w:rPr>
                <w:i/>
                <w:sz w:val="24"/>
              </w:rPr>
              <w:t>Political</w:t>
            </w:r>
            <w:r>
              <w:rPr>
                <w:i/>
                <w:spacing w:val="-12"/>
                <w:sz w:val="24"/>
              </w:rPr>
              <w:t> </w:t>
            </w:r>
            <w:r>
              <w:rPr>
                <w:i/>
                <w:sz w:val="24"/>
              </w:rPr>
              <w:t>Cost</w:t>
            </w:r>
            <w:r>
              <w:rPr>
                <w:i/>
                <w:spacing w:val="-11"/>
                <w:sz w:val="24"/>
              </w:rPr>
              <w:t> </w:t>
            </w:r>
            <w:r>
              <w:rPr>
                <w:sz w:val="24"/>
              </w:rPr>
              <w:t>Dan </w:t>
            </w:r>
            <w:r>
              <w:rPr>
                <w:spacing w:val="-2"/>
                <w:sz w:val="24"/>
              </w:rPr>
              <w:t>Kinerja Lingkungan Dependen</w:t>
            </w:r>
            <w:r>
              <w:rPr>
                <w:sz w:val="24"/>
              </w:rPr>
              <w:tab/>
            </w:r>
            <w:r>
              <w:rPr>
                <w:spacing w:val="-67"/>
                <w:sz w:val="24"/>
              </w:rPr>
              <w:t> </w:t>
            </w:r>
            <w:r>
              <w:rPr>
                <w:spacing w:val="-4"/>
                <w:sz w:val="24"/>
              </w:rPr>
              <w:t>(Y): </w:t>
            </w:r>
            <w:r>
              <w:rPr>
                <w:i/>
                <w:spacing w:val="-2"/>
                <w:sz w:val="24"/>
              </w:rPr>
              <w:t>Environmental Disclosure</w:t>
            </w:r>
          </w:p>
        </w:tc>
        <w:tc>
          <w:tcPr>
            <w:tcW w:w="2658" w:type="dxa"/>
          </w:tcPr>
          <w:p>
            <w:pPr>
              <w:pStyle w:val="TableParagraph"/>
              <w:tabs>
                <w:tab w:pos="1041" w:val="left" w:leader="none"/>
                <w:tab w:pos="1535" w:val="left" w:leader="none"/>
                <w:tab w:pos="1602" w:val="left" w:leader="none"/>
                <w:tab w:pos="1682" w:val="left" w:leader="none"/>
                <w:tab w:pos="1762" w:val="left" w:leader="none"/>
                <w:tab w:pos="1829" w:val="left" w:leader="none"/>
                <w:tab w:pos="1869" w:val="left" w:leader="none"/>
              </w:tabs>
              <w:spacing w:line="276" w:lineRule="auto" w:before="5"/>
              <w:ind w:right="96"/>
              <w:rPr>
                <w:sz w:val="24"/>
              </w:rPr>
            </w:pPr>
            <w:r>
              <w:rPr>
                <w:spacing w:val="-2"/>
                <w:sz w:val="24"/>
              </w:rPr>
              <w:t>Analisis</w:t>
            </w:r>
            <w:r>
              <w:rPr>
                <w:sz w:val="24"/>
              </w:rPr>
              <w:tab/>
              <w:tab/>
            </w:r>
            <w:r>
              <w:rPr>
                <w:spacing w:val="-2"/>
                <w:sz w:val="24"/>
              </w:rPr>
              <w:t>dilakukan </w:t>
            </w:r>
            <w:r>
              <w:rPr>
                <w:sz w:val="24"/>
              </w:rPr>
              <w:t>dengan</w:t>
            </w:r>
            <w:r>
              <w:rPr>
                <w:spacing w:val="40"/>
                <w:sz w:val="24"/>
              </w:rPr>
              <w:t> </w:t>
            </w:r>
            <w:r>
              <w:rPr>
                <w:sz w:val="24"/>
              </w:rPr>
              <w:t>regresi</w:t>
            </w:r>
            <w:r>
              <w:rPr>
                <w:spacing w:val="40"/>
                <w:sz w:val="24"/>
              </w:rPr>
              <w:t> </w:t>
            </w:r>
            <w:r>
              <w:rPr>
                <w:sz w:val="24"/>
              </w:rPr>
              <w:t>linear berganda</w:t>
            </w:r>
            <w:r>
              <w:rPr>
                <w:spacing w:val="40"/>
                <w:sz w:val="24"/>
              </w:rPr>
              <w:t> </w:t>
            </w:r>
            <w:r>
              <w:rPr>
                <w:sz w:val="24"/>
              </w:rPr>
              <w:t>yang</w:t>
            </w:r>
            <w:r>
              <w:rPr>
                <w:spacing w:val="40"/>
                <w:sz w:val="24"/>
              </w:rPr>
              <w:t> </w:t>
            </w:r>
            <w:r>
              <w:rPr>
                <w:sz w:val="24"/>
              </w:rPr>
              <w:t>diolah </w:t>
            </w:r>
            <w:r>
              <w:rPr>
                <w:spacing w:val="-2"/>
                <w:sz w:val="24"/>
              </w:rPr>
              <w:t>menggunakan</w:t>
            </w:r>
            <w:r>
              <w:rPr>
                <w:spacing w:val="40"/>
                <w:sz w:val="24"/>
              </w:rPr>
              <w:t> </w:t>
            </w:r>
            <w:r>
              <w:rPr>
                <w:sz w:val="24"/>
              </w:rPr>
              <w:t>software</w:t>
            </w:r>
            <w:r>
              <w:rPr>
                <w:spacing w:val="40"/>
                <w:sz w:val="24"/>
              </w:rPr>
              <w:t> </w:t>
            </w:r>
            <w:r>
              <w:rPr>
                <w:sz w:val="24"/>
              </w:rPr>
              <w:t>SPSS.</w:t>
            </w:r>
            <w:r>
              <w:rPr>
                <w:spacing w:val="40"/>
                <w:sz w:val="24"/>
              </w:rPr>
              <w:t> </w:t>
            </w:r>
            <w:r>
              <w:rPr>
                <w:sz w:val="24"/>
              </w:rPr>
              <w:t>Hasil </w:t>
            </w:r>
            <w:r>
              <w:rPr>
                <w:spacing w:val="-2"/>
                <w:sz w:val="24"/>
              </w:rPr>
              <w:t>pengujian</w:t>
            </w:r>
            <w:r>
              <w:rPr>
                <w:sz w:val="24"/>
              </w:rPr>
              <w:tab/>
              <w:tab/>
            </w:r>
            <w:r>
              <w:rPr>
                <w:spacing w:val="-2"/>
                <w:sz w:val="24"/>
              </w:rPr>
              <w:t>hipotesis menggunakan</w:t>
            </w:r>
            <w:r>
              <w:rPr>
                <w:spacing w:val="40"/>
                <w:sz w:val="24"/>
              </w:rPr>
              <w:t> </w:t>
            </w:r>
            <w:r>
              <w:rPr>
                <w:spacing w:val="-2"/>
                <w:sz w:val="24"/>
              </w:rPr>
              <w:t>software</w:t>
            </w:r>
            <w:r>
              <w:rPr>
                <w:sz w:val="24"/>
              </w:rPr>
              <w:tab/>
              <w:tab/>
              <w:tab/>
              <w:tab/>
            </w:r>
            <w:r>
              <w:rPr>
                <w:spacing w:val="-2"/>
                <w:sz w:val="24"/>
              </w:rPr>
              <w:t>tersebut menunjukkan</w:t>
            </w:r>
            <w:r>
              <w:rPr>
                <w:sz w:val="24"/>
              </w:rPr>
              <w:tab/>
              <w:tab/>
              <w:tab/>
            </w:r>
            <w:r>
              <w:rPr>
                <w:spacing w:val="-2"/>
                <w:sz w:val="24"/>
              </w:rPr>
              <w:t>adanya pengaruh</w:t>
            </w:r>
            <w:r>
              <w:rPr>
                <w:sz w:val="24"/>
              </w:rPr>
              <w:tab/>
              <w:tab/>
              <w:tab/>
              <w:tab/>
              <w:tab/>
            </w:r>
            <w:r>
              <w:rPr>
                <w:spacing w:val="-2"/>
                <w:sz w:val="24"/>
              </w:rPr>
              <w:t>negatif antara</w:t>
            </w:r>
            <w:r>
              <w:rPr>
                <w:sz w:val="24"/>
              </w:rPr>
              <w:tab/>
            </w:r>
            <w:r>
              <w:rPr>
                <w:spacing w:val="-4"/>
                <w:sz w:val="24"/>
              </w:rPr>
              <w:t>biaya</w:t>
            </w:r>
            <w:r>
              <w:rPr>
                <w:sz w:val="24"/>
              </w:rPr>
              <w:tab/>
              <w:tab/>
              <w:tab/>
              <w:tab/>
              <w:tab/>
            </w:r>
            <w:r>
              <w:rPr>
                <w:spacing w:val="-2"/>
                <w:sz w:val="24"/>
              </w:rPr>
              <w:t>politik, </w:t>
            </w:r>
            <w:r>
              <w:rPr>
                <w:sz w:val="24"/>
              </w:rPr>
              <w:t>profitabilitas,</w:t>
            </w:r>
            <w:r>
              <w:rPr>
                <w:spacing w:val="40"/>
                <w:sz w:val="24"/>
              </w:rPr>
              <w:t> </w:t>
            </w:r>
            <w:r>
              <w:rPr>
                <w:sz w:val="24"/>
              </w:rPr>
              <w:t>dan</w:t>
            </w:r>
            <w:r>
              <w:rPr>
                <w:spacing w:val="40"/>
                <w:sz w:val="24"/>
              </w:rPr>
              <w:t> </w:t>
            </w:r>
            <w:r>
              <w:rPr>
                <w:sz w:val="24"/>
              </w:rPr>
              <w:t>tipe </w:t>
            </w:r>
            <w:r>
              <w:rPr>
                <w:spacing w:val="-2"/>
                <w:sz w:val="24"/>
              </w:rPr>
              <w:t>industri</w:t>
            </w:r>
            <w:r>
              <w:rPr>
                <w:sz w:val="24"/>
              </w:rPr>
              <w:tab/>
              <w:tab/>
              <w:tab/>
            </w:r>
            <w:r>
              <w:rPr>
                <w:spacing w:val="-2"/>
                <w:sz w:val="24"/>
              </w:rPr>
              <w:t>terhadap pengungkapan</w:t>
            </w:r>
          </w:p>
          <w:p>
            <w:pPr>
              <w:pStyle w:val="TableParagraph"/>
              <w:rPr>
                <w:sz w:val="24"/>
              </w:rPr>
            </w:pPr>
            <w:r>
              <w:rPr>
                <w:spacing w:val="-2"/>
                <w:sz w:val="24"/>
              </w:rPr>
              <w:t>lingkungan.</w:t>
            </w:r>
          </w:p>
        </w:tc>
      </w:tr>
      <w:tr>
        <w:trPr>
          <w:trHeight w:val="3173" w:hRule="atLeast"/>
        </w:trPr>
        <w:tc>
          <w:tcPr>
            <w:tcW w:w="536" w:type="dxa"/>
          </w:tcPr>
          <w:p>
            <w:pPr>
              <w:pStyle w:val="TableParagraph"/>
              <w:spacing w:before="5"/>
              <w:ind w:left="9"/>
              <w:jc w:val="center"/>
              <w:rPr>
                <w:sz w:val="24"/>
              </w:rPr>
            </w:pPr>
            <w:r>
              <w:rPr>
                <w:spacing w:val="-10"/>
                <w:sz w:val="24"/>
              </w:rPr>
              <w:t>8</w:t>
            </w:r>
          </w:p>
        </w:tc>
        <w:tc>
          <w:tcPr>
            <w:tcW w:w="2634" w:type="dxa"/>
          </w:tcPr>
          <w:p>
            <w:pPr>
              <w:pStyle w:val="TableParagraph"/>
              <w:tabs>
                <w:tab w:pos="1218" w:val="left" w:leader="none"/>
              </w:tabs>
              <w:spacing w:line="276" w:lineRule="auto" w:before="5"/>
              <w:ind w:right="96" w:firstLine="66"/>
              <w:jc w:val="both"/>
              <w:rPr>
                <w:i/>
                <w:sz w:val="24"/>
              </w:rPr>
            </w:pPr>
            <w:r>
              <w:rPr>
                <w:sz w:val="24"/>
              </w:rPr>
              <w:t>Adhi &amp; Cahyonowati (2023) “Pengaruh </w:t>
            </w:r>
            <w:r>
              <w:rPr>
                <w:i/>
                <w:sz w:val="24"/>
              </w:rPr>
              <w:t>Environmental,</w:t>
            </w:r>
            <w:r>
              <w:rPr>
                <w:i/>
                <w:spacing w:val="-8"/>
                <w:sz w:val="24"/>
              </w:rPr>
              <w:t> </w:t>
            </w:r>
            <w:r>
              <w:rPr>
                <w:i/>
                <w:sz w:val="24"/>
              </w:rPr>
              <w:t>Social, </w:t>
            </w:r>
            <w:r>
              <w:rPr>
                <w:i/>
                <w:spacing w:val="-5"/>
                <w:sz w:val="24"/>
              </w:rPr>
              <w:t>and</w:t>
            </w:r>
            <w:r>
              <w:rPr>
                <w:i/>
                <w:sz w:val="24"/>
              </w:rPr>
              <w:tab/>
            </w:r>
            <w:r>
              <w:rPr>
                <w:i/>
                <w:spacing w:val="-2"/>
                <w:sz w:val="24"/>
              </w:rPr>
              <w:t>Governance</w:t>
            </w:r>
          </w:p>
          <w:p>
            <w:pPr>
              <w:pStyle w:val="TableParagraph"/>
              <w:tabs>
                <w:tab w:pos="2058" w:val="left" w:leader="none"/>
              </w:tabs>
              <w:spacing w:line="276" w:lineRule="auto"/>
              <w:ind w:right="96"/>
              <w:jc w:val="both"/>
              <w:rPr>
                <w:sz w:val="24"/>
              </w:rPr>
            </w:pPr>
            <w:r>
              <w:rPr>
                <w:sz w:val="24"/>
              </w:rPr>
              <w:t>(ESG) </w:t>
            </w:r>
            <w:r>
              <w:rPr>
                <w:i/>
                <w:sz w:val="24"/>
              </w:rPr>
              <w:t>Disclosure </w:t>
            </w:r>
            <w:r>
              <w:rPr>
                <w:spacing w:val="-2"/>
                <w:sz w:val="24"/>
              </w:rPr>
              <w:t>terhadap</w:t>
            </w:r>
            <w:r>
              <w:rPr>
                <w:sz w:val="24"/>
              </w:rPr>
              <w:tab/>
            </w:r>
            <w:r>
              <w:rPr>
                <w:spacing w:val="-2"/>
                <w:sz w:val="24"/>
              </w:rPr>
              <w:t>Nilai </w:t>
            </w:r>
            <w:r>
              <w:rPr>
                <w:sz w:val="24"/>
              </w:rPr>
              <w:t>Perusaahan dengan Ukuran Perusahaan Sebagai</w:t>
            </w:r>
            <w:r>
              <w:rPr>
                <w:spacing w:val="62"/>
                <w:w w:val="150"/>
                <w:sz w:val="24"/>
              </w:rPr>
              <w:t>    </w:t>
            </w:r>
            <w:r>
              <w:rPr>
                <w:spacing w:val="-2"/>
                <w:sz w:val="24"/>
              </w:rPr>
              <w:t>Variabel</w:t>
            </w:r>
          </w:p>
          <w:p>
            <w:pPr>
              <w:pStyle w:val="TableParagraph"/>
              <w:rPr>
                <w:sz w:val="24"/>
              </w:rPr>
            </w:pPr>
            <w:r>
              <w:rPr>
                <w:spacing w:val="-2"/>
                <w:sz w:val="24"/>
              </w:rPr>
              <w:t>Moderasi”</w:t>
            </w:r>
          </w:p>
        </w:tc>
        <w:tc>
          <w:tcPr>
            <w:tcW w:w="2125" w:type="dxa"/>
          </w:tcPr>
          <w:p>
            <w:pPr>
              <w:pStyle w:val="TableParagraph"/>
              <w:tabs>
                <w:tab w:pos="1590" w:val="left" w:leader="none"/>
                <w:tab w:pos="1629" w:val="left" w:leader="none"/>
              </w:tabs>
              <w:spacing w:line="276" w:lineRule="auto" w:before="5"/>
              <w:ind w:right="96"/>
              <w:rPr>
                <w:sz w:val="24"/>
              </w:rPr>
            </w:pPr>
            <w:r>
              <w:rPr>
                <w:spacing w:val="-2"/>
                <w:sz w:val="24"/>
              </w:rPr>
              <w:t>Independen</w:t>
            </w:r>
            <w:r>
              <w:rPr>
                <w:sz w:val="24"/>
              </w:rPr>
              <w:tab/>
              <w:tab/>
            </w:r>
            <w:r>
              <w:rPr>
                <w:spacing w:val="-4"/>
                <w:sz w:val="24"/>
              </w:rPr>
              <w:t>(X): </w:t>
            </w:r>
            <w:r>
              <w:rPr>
                <w:i/>
                <w:spacing w:val="-2"/>
                <w:sz w:val="24"/>
              </w:rPr>
              <w:t>Environmental, Social,</w:t>
            </w:r>
            <w:r>
              <w:rPr>
                <w:i/>
                <w:sz w:val="24"/>
              </w:rPr>
              <w:tab/>
            </w:r>
            <w:r>
              <w:rPr>
                <w:i/>
                <w:spacing w:val="-44"/>
                <w:sz w:val="24"/>
              </w:rPr>
              <w:t> </w:t>
            </w:r>
            <w:r>
              <w:rPr>
                <w:i/>
                <w:spacing w:val="-4"/>
                <w:sz w:val="24"/>
              </w:rPr>
              <w:t>and </w:t>
            </w:r>
            <w:r>
              <w:rPr>
                <w:i/>
                <w:spacing w:val="-2"/>
                <w:sz w:val="24"/>
              </w:rPr>
              <w:t>Governance </w:t>
            </w:r>
            <w:r>
              <w:rPr>
                <w:i/>
                <w:sz w:val="24"/>
              </w:rPr>
              <w:t>(ESG) Disclosure </w:t>
            </w:r>
            <w:r>
              <w:rPr>
                <w:spacing w:val="-2"/>
                <w:sz w:val="24"/>
              </w:rPr>
              <w:t>Dependen</w:t>
            </w:r>
            <w:r>
              <w:rPr>
                <w:sz w:val="24"/>
              </w:rPr>
              <w:tab/>
              <w:tab/>
            </w:r>
            <w:r>
              <w:rPr>
                <w:spacing w:val="-67"/>
                <w:sz w:val="24"/>
              </w:rPr>
              <w:t> </w:t>
            </w:r>
            <w:r>
              <w:rPr>
                <w:spacing w:val="-4"/>
                <w:sz w:val="24"/>
              </w:rPr>
              <w:t>(Y): </w:t>
            </w:r>
            <w:r>
              <w:rPr>
                <w:sz w:val="24"/>
              </w:rPr>
              <w:t>Nilai Perusaahan </w:t>
            </w:r>
            <w:r>
              <w:rPr>
                <w:spacing w:val="-2"/>
                <w:sz w:val="24"/>
              </w:rPr>
              <w:t>Moderasi</w:t>
            </w:r>
            <w:r>
              <w:rPr>
                <w:sz w:val="24"/>
              </w:rPr>
              <w:tab/>
            </w:r>
            <w:r>
              <w:rPr>
                <w:spacing w:val="-4"/>
                <w:sz w:val="24"/>
              </w:rPr>
              <w:t>(M): </w:t>
            </w:r>
            <w:r>
              <w:rPr>
                <w:spacing w:val="-2"/>
                <w:sz w:val="24"/>
              </w:rPr>
              <w:t>Ukuran</w:t>
            </w:r>
          </w:p>
          <w:p>
            <w:pPr>
              <w:pStyle w:val="TableParagraph"/>
              <w:rPr>
                <w:sz w:val="24"/>
              </w:rPr>
            </w:pPr>
            <w:r>
              <w:rPr>
                <w:spacing w:val="-2"/>
                <w:sz w:val="24"/>
              </w:rPr>
              <w:t>Perusahaan</w:t>
            </w:r>
          </w:p>
        </w:tc>
        <w:tc>
          <w:tcPr>
            <w:tcW w:w="2658" w:type="dxa"/>
          </w:tcPr>
          <w:p>
            <w:pPr>
              <w:pStyle w:val="TableParagraph"/>
              <w:tabs>
                <w:tab w:pos="782" w:val="left" w:leader="none"/>
                <w:tab w:pos="1135" w:val="left" w:leader="none"/>
                <w:tab w:pos="1215" w:val="left" w:leader="none"/>
                <w:tab w:pos="1322" w:val="left" w:leader="none"/>
                <w:tab w:pos="1602" w:val="left" w:leader="none"/>
                <w:tab w:pos="1682" w:val="left" w:leader="none"/>
                <w:tab w:pos="1815" w:val="left" w:leader="none"/>
                <w:tab w:pos="2095" w:val="left" w:leader="none"/>
                <w:tab w:pos="2147" w:val="left" w:leader="none"/>
              </w:tabs>
              <w:spacing w:line="276" w:lineRule="auto" w:before="5"/>
              <w:ind w:right="96" w:firstLine="6"/>
              <w:rPr>
                <w:sz w:val="24"/>
              </w:rPr>
            </w:pPr>
            <w:r>
              <w:rPr>
                <w:spacing w:val="-2"/>
                <w:sz w:val="24"/>
              </w:rPr>
              <w:t>pengungkapan </w:t>
            </w:r>
            <w:r>
              <w:rPr>
                <w:sz w:val="24"/>
              </w:rPr>
              <w:t>lingkungan,</w:t>
            </w:r>
            <w:r>
              <w:rPr>
                <w:spacing w:val="-17"/>
                <w:sz w:val="24"/>
              </w:rPr>
              <w:t> </w:t>
            </w:r>
            <w:r>
              <w:rPr>
                <w:sz w:val="24"/>
              </w:rPr>
              <w:t>sosial,</w:t>
            </w:r>
            <w:r>
              <w:rPr>
                <w:spacing w:val="-17"/>
                <w:sz w:val="24"/>
              </w:rPr>
              <w:t> </w:t>
            </w:r>
            <w:r>
              <w:rPr>
                <w:sz w:val="24"/>
              </w:rPr>
              <w:t>dan </w:t>
            </w:r>
            <w:r>
              <w:rPr>
                <w:spacing w:val="-4"/>
                <w:sz w:val="24"/>
              </w:rPr>
              <w:t>tata</w:t>
            </w:r>
            <w:r>
              <w:rPr>
                <w:sz w:val="24"/>
              </w:rPr>
              <w:tab/>
            </w:r>
            <w:r>
              <w:rPr>
                <w:spacing w:val="-2"/>
                <w:sz w:val="24"/>
              </w:rPr>
              <w:t>kelola</w:t>
            </w:r>
            <w:r>
              <w:rPr>
                <w:sz w:val="24"/>
              </w:rPr>
              <w:tab/>
              <w:tab/>
            </w:r>
            <w:r>
              <w:rPr>
                <w:spacing w:val="-2"/>
                <w:sz w:val="24"/>
              </w:rPr>
              <w:t>memiliki pengaruh</w:t>
            </w:r>
            <w:r>
              <w:rPr>
                <w:sz w:val="24"/>
              </w:rPr>
              <w:tab/>
              <w:tab/>
              <w:tab/>
            </w:r>
            <w:r>
              <w:rPr>
                <w:spacing w:val="-2"/>
                <w:sz w:val="24"/>
              </w:rPr>
              <w:t>positif</w:t>
            </w:r>
            <w:r>
              <w:rPr>
                <w:sz w:val="24"/>
              </w:rPr>
              <w:tab/>
              <w:tab/>
            </w:r>
            <w:r>
              <w:rPr>
                <w:spacing w:val="-4"/>
                <w:sz w:val="24"/>
              </w:rPr>
              <w:t>dan </w:t>
            </w:r>
            <w:r>
              <w:rPr>
                <w:spacing w:val="-2"/>
                <w:sz w:val="24"/>
              </w:rPr>
              <w:t>signifikan</w:t>
            </w:r>
            <w:r>
              <w:rPr>
                <w:sz w:val="24"/>
              </w:rPr>
              <w:tab/>
              <w:tab/>
              <w:tab/>
              <w:tab/>
            </w:r>
            <w:r>
              <w:rPr>
                <w:spacing w:val="-2"/>
                <w:sz w:val="24"/>
              </w:rPr>
              <w:t>terhadap nilai</w:t>
            </w:r>
            <w:r>
              <w:rPr>
                <w:sz w:val="24"/>
              </w:rPr>
              <w:tab/>
              <w:tab/>
              <w:tab/>
            </w:r>
            <w:r>
              <w:rPr>
                <w:spacing w:val="-2"/>
                <w:sz w:val="24"/>
              </w:rPr>
              <w:t>perusahaan. Selain</w:t>
            </w:r>
            <w:r>
              <w:rPr>
                <w:sz w:val="24"/>
              </w:rPr>
              <w:tab/>
              <w:tab/>
            </w:r>
            <w:r>
              <w:rPr>
                <w:spacing w:val="-4"/>
                <w:sz w:val="24"/>
              </w:rPr>
              <w:t>itu,</w:t>
            </w:r>
            <w:r>
              <w:rPr>
                <w:sz w:val="24"/>
              </w:rPr>
              <w:tab/>
              <w:tab/>
              <w:tab/>
            </w:r>
            <w:r>
              <w:rPr>
                <w:spacing w:val="-2"/>
                <w:sz w:val="24"/>
              </w:rPr>
              <w:t>ukuran perusahaan</w:t>
            </w:r>
            <w:r>
              <w:rPr>
                <w:sz w:val="24"/>
              </w:rPr>
              <w:tab/>
              <w:tab/>
              <w:tab/>
              <w:tab/>
            </w:r>
            <w:r>
              <w:rPr>
                <w:spacing w:val="-4"/>
                <w:sz w:val="24"/>
              </w:rPr>
              <w:t>juga </w:t>
            </w:r>
            <w:r>
              <w:rPr>
                <w:sz w:val="24"/>
              </w:rPr>
              <w:t>memberikan</w:t>
            </w:r>
            <w:r>
              <w:rPr>
                <w:spacing w:val="30"/>
                <w:sz w:val="24"/>
              </w:rPr>
              <w:t> </w:t>
            </w:r>
            <w:r>
              <w:rPr>
                <w:spacing w:val="-2"/>
                <w:sz w:val="24"/>
              </w:rPr>
              <w:t>pengaruh</w:t>
            </w:r>
          </w:p>
          <w:p>
            <w:pPr>
              <w:pStyle w:val="TableParagraph"/>
              <w:tabs>
                <w:tab w:pos="953" w:val="left" w:leader="none"/>
                <w:tab w:pos="2121" w:val="left" w:leader="none"/>
              </w:tabs>
              <w:rPr>
                <w:sz w:val="24"/>
              </w:rPr>
            </w:pPr>
            <w:r>
              <w:rPr>
                <w:spacing w:val="-2"/>
                <w:sz w:val="24"/>
              </w:rPr>
              <w:t>positif</w:t>
            </w:r>
            <w:r>
              <w:rPr>
                <w:sz w:val="24"/>
              </w:rPr>
              <w:tab/>
            </w:r>
            <w:r>
              <w:rPr>
                <w:spacing w:val="-2"/>
                <w:sz w:val="24"/>
              </w:rPr>
              <w:t>terhadap</w:t>
            </w:r>
            <w:r>
              <w:rPr>
                <w:sz w:val="24"/>
              </w:rPr>
              <w:tab/>
            </w:r>
            <w:r>
              <w:rPr>
                <w:spacing w:val="-2"/>
                <w:sz w:val="24"/>
              </w:rPr>
              <w:t>nilai</w:t>
            </w:r>
          </w:p>
        </w:tc>
      </w:tr>
    </w:tbl>
    <w:p>
      <w:pPr>
        <w:pStyle w:val="TableParagraph"/>
        <w:spacing w:after="0"/>
        <w:rPr>
          <w:sz w:val="24"/>
        </w:rPr>
        <w:sectPr>
          <w:pgSz w:w="11910" w:h="16840"/>
          <w:pgMar w:header="718" w:footer="0" w:top="980" w:bottom="280" w:left="1559" w:right="99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9"/>
        <w:rPr>
          <w:sz w:val="20"/>
        </w:rPr>
      </w:pPr>
    </w:p>
    <w:tbl>
      <w:tblPr>
        <w:tblW w:w="0" w:type="auto"/>
        <w:jc w:val="left"/>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6"/>
        <w:gridCol w:w="2634"/>
        <w:gridCol w:w="2125"/>
        <w:gridCol w:w="2658"/>
      </w:tblGrid>
      <w:tr>
        <w:trPr>
          <w:trHeight w:val="2856" w:hRule="atLeast"/>
        </w:trPr>
        <w:tc>
          <w:tcPr>
            <w:tcW w:w="536" w:type="dxa"/>
          </w:tcPr>
          <w:p>
            <w:pPr>
              <w:pStyle w:val="TableParagraph"/>
              <w:ind w:left="0"/>
              <w:rPr>
                <w:rFonts w:ascii="Times New Roman"/>
                <w:sz w:val="24"/>
              </w:rPr>
            </w:pPr>
          </w:p>
        </w:tc>
        <w:tc>
          <w:tcPr>
            <w:tcW w:w="2634" w:type="dxa"/>
          </w:tcPr>
          <w:p>
            <w:pPr>
              <w:pStyle w:val="TableParagraph"/>
              <w:ind w:left="0"/>
              <w:rPr>
                <w:rFonts w:ascii="Times New Roman"/>
                <w:sz w:val="24"/>
              </w:rPr>
            </w:pPr>
          </w:p>
        </w:tc>
        <w:tc>
          <w:tcPr>
            <w:tcW w:w="2125" w:type="dxa"/>
          </w:tcPr>
          <w:p>
            <w:pPr>
              <w:pStyle w:val="TableParagraph"/>
              <w:ind w:left="0"/>
              <w:rPr>
                <w:rFonts w:ascii="Times New Roman"/>
                <w:sz w:val="24"/>
              </w:rPr>
            </w:pPr>
          </w:p>
        </w:tc>
        <w:tc>
          <w:tcPr>
            <w:tcW w:w="2658" w:type="dxa"/>
          </w:tcPr>
          <w:p>
            <w:pPr>
              <w:pStyle w:val="TableParagraph"/>
              <w:tabs>
                <w:tab w:pos="814" w:val="left" w:leader="none"/>
                <w:tab w:pos="1255" w:val="left" w:leader="none"/>
                <w:tab w:pos="1748" w:val="left" w:leader="none"/>
                <w:tab w:pos="1815" w:val="left" w:leader="none"/>
                <w:tab w:pos="1869" w:val="left" w:leader="none"/>
                <w:tab w:pos="1948" w:val="left" w:leader="none"/>
                <w:tab w:pos="2321" w:val="left" w:leader="none"/>
              </w:tabs>
              <w:spacing w:line="276" w:lineRule="auto" w:before="5"/>
              <w:ind w:right="96"/>
              <w:rPr>
                <w:sz w:val="24"/>
              </w:rPr>
            </w:pPr>
            <w:r>
              <w:rPr>
                <w:spacing w:val="-2"/>
                <w:sz w:val="24"/>
              </w:rPr>
              <w:t>perusahaan.</w:t>
            </w:r>
            <w:r>
              <w:rPr>
                <w:sz w:val="24"/>
              </w:rPr>
              <w:tab/>
              <w:tab/>
              <w:tab/>
              <w:tab/>
              <w:tab/>
            </w:r>
            <w:r>
              <w:rPr>
                <w:spacing w:val="-6"/>
                <w:sz w:val="24"/>
              </w:rPr>
              <w:t>Di </w:t>
            </w:r>
            <w:r>
              <w:rPr>
                <w:spacing w:val="-2"/>
                <w:sz w:val="24"/>
              </w:rPr>
              <w:t>samping</w:t>
            </w:r>
            <w:r>
              <w:rPr>
                <w:sz w:val="24"/>
              </w:rPr>
              <w:tab/>
            </w:r>
            <w:r>
              <w:rPr>
                <w:spacing w:val="-4"/>
                <w:sz w:val="24"/>
              </w:rPr>
              <w:t>itu,</w:t>
            </w:r>
            <w:r>
              <w:rPr>
                <w:sz w:val="24"/>
              </w:rPr>
              <w:tab/>
              <w:tab/>
            </w:r>
            <w:r>
              <w:rPr>
                <w:spacing w:val="-2"/>
                <w:sz w:val="24"/>
              </w:rPr>
              <w:t>ukuran perusahaan</w:t>
            </w:r>
            <w:r>
              <w:rPr>
                <w:sz w:val="24"/>
              </w:rPr>
              <w:tab/>
              <w:tab/>
              <w:tab/>
              <w:tab/>
            </w:r>
            <w:r>
              <w:rPr>
                <w:spacing w:val="-2"/>
                <w:sz w:val="24"/>
              </w:rPr>
              <w:t>dapat memperkuat</w:t>
            </w:r>
            <w:r>
              <w:rPr>
                <w:spacing w:val="80"/>
                <w:sz w:val="24"/>
              </w:rPr>
              <w:t> </w:t>
            </w:r>
            <w:r>
              <w:rPr>
                <w:spacing w:val="-2"/>
                <w:sz w:val="24"/>
              </w:rPr>
              <w:t>hubungan</w:t>
            </w:r>
            <w:r>
              <w:rPr>
                <w:sz w:val="24"/>
              </w:rPr>
              <w:tab/>
              <w:tab/>
              <w:tab/>
              <w:tab/>
            </w:r>
            <w:r>
              <w:rPr>
                <w:spacing w:val="-2"/>
                <w:sz w:val="24"/>
              </w:rPr>
              <w:t>antara pengungkapan </w:t>
            </w:r>
            <w:r>
              <w:rPr>
                <w:sz w:val="24"/>
              </w:rPr>
              <w:t>lingkungan,</w:t>
            </w:r>
            <w:r>
              <w:rPr>
                <w:spacing w:val="-17"/>
                <w:sz w:val="24"/>
              </w:rPr>
              <w:t> </w:t>
            </w:r>
            <w:r>
              <w:rPr>
                <w:sz w:val="24"/>
              </w:rPr>
              <w:t>sosial,</w:t>
            </w:r>
            <w:r>
              <w:rPr>
                <w:spacing w:val="-17"/>
                <w:sz w:val="24"/>
              </w:rPr>
              <w:t> </w:t>
            </w:r>
            <w:r>
              <w:rPr>
                <w:sz w:val="24"/>
              </w:rPr>
              <w:t>dan </w:t>
            </w:r>
            <w:r>
              <w:rPr>
                <w:spacing w:val="-4"/>
                <w:sz w:val="24"/>
              </w:rPr>
              <w:t>tata</w:t>
            </w:r>
            <w:r>
              <w:rPr>
                <w:sz w:val="24"/>
              </w:rPr>
              <w:tab/>
            </w:r>
            <w:r>
              <w:rPr>
                <w:spacing w:val="-2"/>
                <w:sz w:val="24"/>
              </w:rPr>
              <w:t>kelola</w:t>
            </w:r>
            <w:r>
              <w:rPr>
                <w:sz w:val="24"/>
              </w:rPr>
              <w:tab/>
            </w:r>
            <w:r>
              <w:rPr>
                <w:spacing w:val="-2"/>
                <w:sz w:val="24"/>
              </w:rPr>
              <w:t>dengan</w:t>
            </w:r>
          </w:p>
          <w:p>
            <w:pPr>
              <w:pStyle w:val="TableParagraph"/>
              <w:rPr>
                <w:sz w:val="24"/>
              </w:rPr>
            </w:pPr>
            <w:r>
              <w:rPr>
                <w:sz w:val="24"/>
              </w:rPr>
              <w:t>nilai</w:t>
            </w:r>
            <w:r>
              <w:rPr>
                <w:spacing w:val="-4"/>
                <w:sz w:val="24"/>
              </w:rPr>
              <w:t> </w:t>
            </w:r>
            <w:r>
              <w:rPr>
                <w:spacing w:val="-2"/>
                <w:sz w:val="24"/>
              </w:rPr>
              <w:t>perusahaan.</w:t>
            </w:r>
          </w:p>
        </w:tc>
      </w:tr>
      <w:tr>
        <w:trPr>
          <w:trHeight w:val="4125" w:hRule="atLeast"/>
        </w:trPr>
        <w:tc>
          <w:tcPr>
            <w:tcW w:w="536" w:type="dxa"/>
          </w:tcPr>
          <w:p>
            <w:pPr>
              <w:pStyle w:val="TableParagraph"/>
              <w:spacing w:before="5"/>
              <w:ind w:left="9"/>
              <w:jc w:val="center"/>
              <w:rPr>
                <w:sz w:val="24"/>
              </w:rPr>
            </w:pPr>
            <w:r>
              <w:rPr>
                <w:spacing w:val="-10"/>
                <w:sz w:val="24"/>
              </w:rPr>
              <w:t>9</w:t>
            </w:r>
          </w:p>
        </w:tc>
        <w:tc>
          <w:tcPr>
            <w:tcW w:w="2634" w:type="dxa"/>
          </w:tcPr>
          <w:p>
            <w:pPr>
              <w:pStyle w:val="TableParagraph"/>
              <w:tabs>
                <w:tab w:pos="1751" w:val="left" w:leader="none"/>
                <w:tab w:pos="1937" w:val="left" w:leader="none"/>
                <w:tab w:pos="2124" w:val="left" w:leader="none"/>
              </w:tabs>
              <w:spacing w:line="276" w:lineRule="auto" w:before="5"/>
              <w:ind w:right="96"/>
              <w:rPr>
                <w:i/>
                <w:sz w:val="24"/>
              </w:rPr>
            </w:pPr>
            <w:r>
              <w:rPr>
                <w:sz w:val="24"/>
              </w:rPr>
              <w:t>Anantya,</w:t>
            </w:r>
            <w:r>
              <w:rPr>
                <w:spacing w:val="28"/>
                <w:sz w:val="24"/>
              </w:rPr>
              <w:t> </w:t>
            </w:r>
            <w:r>
              <w:rPr>
                <w:sz w:val="24"/>
              </w:rPr>
              <w:t>et</w:t>
            </w:r>
            <w:r>
              <w:rPr>
                <w:spacing w:val="28"/>
                <w:sz w:val="24"/>
              </w:rPr>
              <w:t> </w:t>
            </w:r>
            <w:r>
              <w:rPr>
                <w:sz w:val="24"/>
              </w:rPr>
              <w:t>al.</w:t>
            </w:r>
            <w:r>
              <w:rPr>
                <w:spacing w:val="28"/>
                <w:sz w:val="24"/>
              </w:rPr>
              <w:t> </w:t>
            </w:r>
            <w:r>
              <w:rPr>
                <w:sz w:val="24"/>
              </w:rPr>
              <w:t>(2022) </w:t>
            </w:r>
            <w:r>
              <w:rPr>
                <w:spacing w:val="-2"/>
                <w:sz w:val="24"/>
              </w:rPr>
              <w:t>“Pengaruh</w:t>
            </w:r>
            <w:r>
              <w:rPr>
                <w:sz w:val="24"/>
              </w:rPr>
              <w:tab/>
            </w:r>
            <w:r>
              <w:rPr>
                <w:spacing w:val="-2"/>
                <w:sz w:val="24"/>
              </w:rPr>
              <w:t>Ukuran Perusahaan,</w:t>
            </w:r>
            <w:r>
              <w:rPr>
                <w:sz w:val="24"/>
              </w:rPr>
              <w:tab/>
              <w:tab/>
            </w:r>
            <w:r>
              <w:rPr>
                <w:spacing w:val="-4"/>
                <w:sz w:val="24"/>
              </w:rPr>
              <w:t>Umur </w:t>
            </w:r>
            <w:r>
              <w:rPr>
                <w:spacing w:val="-2"/>
                <w:sz w:val="24"/>
              </w:rPr>
              <w:t>Perusahaan,</w:t>
            </w:r>
            <w:r>
              <w:rPr>
                <w:sz w:val="24"/>
              </w:rPr>
              <w:tab/>
              <w:tab/>
            </w:r>
            <w:r>
              <w:rPr>
                <w:spacing w:val="-42"/>
                <w:sz w:val="24"/>
              </w:rPr>
              <w:t> </w:t>
            </w:r>
            <w:r>
              <w:rPr>
                <w:spacing w:val="-2"/>
                <w:sz w:val="24"/>
              </w:rPr>
              <w:t>Jenis </w:t>
            </w:r>
            <w:r>
              <w:rPr>
                <w:sz w:val="24"/>
              </w:rPr>
              <w:t>Industri,</w:t>
            </w:r>
            <w:r>
              <w:rPr>
                <w:spacing w:val="40"/>
                <w:sz w:val="24"/>
              </w:rPr>
              <w:t> </w:t>
            </w:r>
            <w:r>
              <w:rPr>
                <w:sz w:val="24"/>
              </w:rPr>
              <w:t>dan</w:t>
            </w:r>
            <w:r>
              <w:rPr>
                <w:spacing w:val="40"/>
                <w:sz w:val="24"/>
              </w:rPr>
              <w:t> </w:t>
            </w:r>
            <w:r>
              <w:rPr>
                <w:sz w:val="24"/>
              </w:rPr>
              <w:t>Struktur Kepemilikan</w:t>
            </w:r>
            <w:r>
              <w:rPr>
                <w:spacing w:val="40"/>
                <w:sz w:val="24"/>
              </w:rPr>
              <w:t> </w:t>
            </w:r>
            <w:r>
              <w:rPr>
                <w:sz w:val="24"/>
              </w:rPr>
              <w:t>terhadap </w:t>
            </w:r>
            <w:r>
              <w:rPr>
                <w:i/>
                <w:spacing w:val="-2"/>
                <w:sz w:val="24"/>
              </w:rPr>
              <w:t>Environmrental,</w:t>
            </w:r>
            <w:r>
              <w:rPr>
                <w:i/>
                <w:spacing w:val="40"/>
                <w:sz w:val="24"/>
              </w:rPr>
              <w:t> </w:t>
            </w:r>
            <w:r>
              <w:rPr>
                <w:i/>
                <w:spacing w:val="-2"/>
                <w:sz w:val="24"/>
              </w:rPr>
              <w:t>Social,</w:t>
            </w:r>
            <w:r>
              <w:rPr>
                <w:i/>
                <w:sz w:val="24"/>
              </w:rPr>
              <w:tab/>
              <w:tab/>
              <w:tab/>
            </w:r>
            <w:r>
              <w:rPr>
                <w:i/>
                <w:spacing w:val="-5"/>
                <w:sz w:val="24"/>
              </w:rPr>
              <w:t>and</w:t>
            </w:r>
          </w:p>
          <w:p>
            <w:pPr>
              <w:pStyle w:val="TableParagraph"/>
              <w:tabs>
                <w:tab w:pos="1859" w:val="left" w:leader="none"/>
              </w:tabs>
              <w:rPr>
                <w:sz w:val="24"/>
              </w:rPr>
            </w:pPr>
            <w:r>
              <w:rPr>
                <w:i/>
                <w:spacing w:val="-2"/>
                <w:sz w:val="24"/>
              </w:rPr>
              <w:t>Governance</w:t>
            </w:r>
            <w:r>
              <w:rPr>
                <w:i/>
                <w:sz w:val="24"/>
              </w:rPr>
              <w:tab/>
            </w:r>
            <w:r>
              <w:rPr>
                <w:spacing w:val="-4"/>
                <w:sz w:val="24"/>
              </w:rPr>
              <w:t>(ESG)</w:t>
            </w:r>
          </w:p>
          <w:p>
            <w:pPr>
              <w:pStyle w:val="TableParagraph"/>
              <w:spacing w:before="41"/>
              <w:rPr>
                <w:sz w:val="24"/>
              </w:rPr>
            </w:pPr>
            <w:r>
              <w:rPr>
                <w:i/>
                <w:spacing w:val="-2"/>
                <w:sz w:val="24"/>
              </w:rPr>
              <w:t>Disclosure</w:t>
            </w:r>
            <w:r>
              <w:rPr>
                <w:spacing w:val="-2"/>
                <w:sz w:val="24"/>
              </w:rPr>
              <w:t>”</w:t>
            </w:r>
          </w:p>
        </w:tc>
        <w:tc>
          <w:tcPr>
            <w:tcW w:w="2125" w:type="dxa"/>
          </w:tcPr>
          <w:p>
            <w:pPr>
              <w:pStyle w:val="TableParagraph"/>
              <w:tabs>
                <w:tab w:pos="1163" w:val="left" w:leader="none"/>
                <w:tab w:pos="1629" w:val="left" w:leader="none"/>
              </w:tabs>
              <w:spacing w:line="276" w:lineRule="auto" w:before="5"/>
              <w:ind w:right="97"/>
              <w:rPr>
                <w:sz w:val="24"/>
              </w:rPr>
            </w:pPr>
            <w:r>
              <w:rPr>
                <w:spacing w:val="-2"/>
                <w:sz w:val="24"/>
              </w:rPr>
              <w:t>Independen</w:t>
            </w:r>
            <w:r>
              <w:rPr>
                <w:sz w:val="24"/>
              </w:rPr>
              <w:tab/>
            </w:r>
            <w:r>
              <w:rPr>
                <w:spacing w:val="-4"/>
                <w:sz w:val="24"/>
              </w:rPr>
              <w:t>(X): </w:t>
            </w:r>
            <w:r>
              <w:rPr>
                <w:spacing w:val="-2"/>
                <w:sz w:val="24"/>
              </w:rPr>
              <w:t>Ukuran Perusahaan, </w:t>
            </w:r>
            <w:r>
              <w:rPr>
                <w:spacing w:val="-4"/>
                <w:sz w:val="24"/>
              </w:rPr>
              <w:t>Umur </w:t>
            </w:r>
            <w:r>
              <w:rPr>
                <w:spacing w:val="-2"/>
                <w:sz w:val="24"/>
              </w:rPr>
              <w:t>Perusahaan, Jenis</w:t>
            </w:r>
            <w:r>
              <w:rPr>
                <w:sz w:val="24"/>
              </w:rPr>
              <w:tab/>
            </w:r>
            <w:r>
              <w:rPr>
                <w:spacing w:val="-2"/>
                <w:sz w:val="24"/>
              </w:rPr>
              <w:t>Industri,</w:t>
            </w:r>
          </w:p>
          <w:p>
            <w:pPr>
              <w:pStyle w:val="TableParagraph"/>
              <w:tabs>
                <w:tab w:pos="1176" w:val="left" w:leader="none"/>
                <w:tab w:pos="1615" w:val="left" w:leader="none"/>
              </w:tabs>
              <w:spacing w:line="276" w:lineRule="auto"/>
              <w:ind w:right="96"/>
              <w:rPr>
                <w:i/>
                <w:sz w:val="24"/>
              </w:rPr>
            </w:pPr>
            <w:r>
              <w:rPr>
                <w:spacing w:val="-4"/>
                <w:sz w:val="24"/>
              </w:rPr>
              <w:t>dan</w:t>
            </w:r>
            <w:r>
              <w:rPr>
                <w:sz w:val="24"/>
              </w:rPr>
              <w:tab/>
            </w:r>
            <w:r>
              <w:rPr>
                <w:spacing w:val="-2"/>
                <w:sz w:val="24"/>
              </w:rPr>
              <w:t>Struktur Kepemilikan Dependen</w:t>
            </w:r>
            <w:r>
              <w:rPr>
                <w:sz w:val="24"/>
              </w:rPr>
              <w:tab/>
            </w:r>
            <w:r>
              <w:rPr>
                <w:spacing w:val="-53"/>
                <w:sz w:val="24"/>
              </w:rPr>
              <w:t> </w:t>
            </w:r>
            <w:r>
              <w:rPr>
                <w:spacing w:val="-2"/>
                <w:sz w:val="24"/>
              </w:rPr>
              <w:t>(Y): </w:t>
            </w:r>
            <w:r>
              <w:rPr>
                <w:i/>
                <w:spacing w:val="-2"/>
                <w:sz w:val="24"/>
              </w:rPr>
              <w:t>Environmrental, Social,</w:t>
            </w:r>
            <w:r>
              <w:rPr>
                <w:i/>
                <w:sz w:val="24"/>
              </w:rPr>
              <w:tab/>
              <w:tab/>
            </w:r>
            <w:r>
              <w:rPr>
                <w:i/>
                <w:spacing w:val="-4"/>
                <w:sz w:val="24"/>
              </w:rPr>
              <w:t>and </w:t>
            </w:r>
            <w:r>
              <w:rPr>
                <w:i/>
                <w:spacing w:val="-2"/>
                <w:sz w:val="24"/>
              </w:rPr>
              <w:t>Governance</w:t>
            </w:r>
          </w:p>
          <w:p>
            <w:pPr>
              <w:pStyle w:val="TableParagraph"/>
              <w:rPr>
                <w:i/>
                <w:sz w:val="24"/>
              </w:rPr>
            </w:pPr>
            <w:r>
              <w:rPr>
                <w:sz w:val="24"/>
              </w:rPr>
              <w:t>(ESG)</w:t>
            </w:r>
            <w:r>
              <w:rPr>
                <w:spacing w:val="-1"/>
                <w:sz w:val="24"/>
              </w:rPr>
              <w:t> </w:t>
            </w:r>
            <w:r>
              <w:rPr>
                <w:i/>
                <w:spacing w:val="-2"/>
                <w:sz w:val="24"/>
              </w:rPr>
              <w:t>Disclosure</w:t>
            </w:r>
          </w:p>
        </w:tc>
        <w:tc>
          <w:tcPr>
            <w:tcW w:w="2658" w:type="dxa"/>
          </w:tcPr>
          <w:p>
            <w:pPr>
              <w:pStyle w:val="TableParagraph"/>
              <w:spacing w:line="276" w:lineRule="auto" w:before="5"/>
              <w:ind w:right="96"/>
              <w:jc w:val="both"/>
              <w:rPr>
                <w:sz w:val="24"/>
              </w:rPr>
            </w:pPr>
            <w:r>
              <w:rPr>
                <w:sz w:val="24"/>
              </w:rPr>
              <w:t>Ukuran perusahaan berpengaruh terhadap pengungkapan ESG, umur perusahaan juga berpengaruh, jenis perusahaan memiliki pengaruh terhadap pengungkapan ESG, sedangkan struktur kepemilikan tidak berpengaruh terhadap pengungkapan ESG.</w:t>
            </w:r>
          </w:p>
        </w:tc>
      </w:tr>
      <w:tr>
        <w:trPr>
          <w:trHeight w:val="5712" w:hRule="atLeast"/>
        </w:trPr>
        <w:tc>
          <w:tcPr>
            <w:tcW w:w="536" w:type="dxa"/>
          </w:tcPr>
          <w:p>
            <w:pPr>
              <w:pStyle w:val="TableParagraph"/>
              <w:spacing w:before="5"/>
              <w:ind w:left="9"/>
              <w:jc w:val="center"/>
              <w:rPr>
                <w:sz w:val="24"/>
              </w:rPr>
            </w:pPr>
            <w:r>
              <w:rPr>
                <w:spacing w:val="-5"/>
                <w:sz w:val="24"/>
              </w:rPr>
              <w:t>10</w:t>
            </w:r>
          </w:p>
        </w:tc>
        <w:tc>
          <w:tcPr>
            <w:tcW w:w="2634" w:type="dxa"/>
          </w:tcPr>
          <w:p>
            <w:pPr>
              <w:pStyle w:val="TableParagraph"/>
              <w:tabs>
                <w:tab w:pos="1618" w:val="left" w:leader="none"/>
                <w:tab w:pos="2071" w:val="left" w:leader="none"/>
              </w:tabs>
              <w:spacing w:line="276" w:lineRule="auto" w:before="5"/>
              <w:ind w:right="96"/>
              <w:jc w:val="both"/>
              <w:rPr>
                <w:sz w:val="24"/>
              </w:rPr>
            </w:pPr>
            <w:r>
              <w:rPr>
                <w:sz w:val="24"/>
              </w:rPr>
              <w:t>Hasna &amp; Haryati </w:t>
            </w:r>
            <w:r>
              <w:rPr>
                <w:spacing w:val="-2"/>
                <w:sz w:val="24"/>
              </w:rPr>
              <w:t>(2024)</w:t>
            </w:r>
            <w:r>
              <w:rPr>
                <w:sz w:val="24"/>
              </w:rPr>
              <w:tab/>
            </w:r>
            <w:r>
              <w:rPr>
                <w:spacing w:val="-2"/>
                <w:sz w:val="24"/>
              </w:rPr>
              <w:t>”Pengun </w:t>
            </w:r>
            <w:r>
              <w:rPr>
                <w:sz w:val="24"/>
              </w:rPr>
              <w:t>gkapan ESG dan Kinerja Keuangan</w:t>
            </w:r>
            <w:r>
              <w:rPr>
                <w:spacing w:val="40"/>
                <w:sz w:val="24"/>
              </w:rPr>
              <w:t> </w:t>
            </w:r>
            <w:r>
              <w:rPr>
                <w:sz w:val="24"/>
              </w:rPr>
              <w:t>bagi Nilai Perusahaan </w:t>
            </w:r>
            <w:r>
              <w:rPr>
                <w:spacing w:val="-2"/>
                <w:sz w:val="24"/>
              </w:rPr>
              <w:t>Dimoderasi</w:t>
            </w:r>
            <w:r>
              <w:rPr>
                <w:sz w:val="24"/>
              </w:rPr>
              <w:tab/>
              <w:tab/>
            </w:r>
            <w:r>
              <w:rPr>
                <w:spacing w:val="-4"/>
                <w:sz w:val="24"/>
              </w:rPr>
              <w:t>oleh </w:t>
            </w:r>
            <w:r>
              <w:rPr>
                <w:sz w:val="24"/>
              </w:rPr>
              <w:t>Ukuran Perusahaan”</w:t>
            </w:r>
          </w:p>
        </w:tc>
        <w:tc>
          <w:tcPr>
            <w:tcW w:w="2125" w:type="dxa"/>
          </w:tcPr>
          <w:p>
            <w:pPr>
              <w:pStyle w:val="TableParagraph"/>
              <w:tabs>
                <w:tab w:pos="1590" w:val="left" w:leader="none"/>
                <w:tab w:pos="1629" w:val="left" w:leader="none"/>
              </w:tabs>
              <w:spacing w:line="276" w:lineRule="auto" w:before="5"/>
              <w:ind w:right="96"/>
              <w:rPr>
                <w:sz w:val="24"/>
              </w:rPr>
            </w:pPr>
            <w:r>
              <w:rPr>
                <w:spacing w:val="-2"/>
                <w:sz w:val="24"/>
              </w:rPr>
              <w:t>Independen</w:t>
            </w:r>
            <w:r>
              <w:rPr>
                <w:sz w:val="24"/>
              </w:rPr>
              <w:tab/>
              <w:tab/>
            </w:r>
            <w:r>
              <w:rPr>
                <w:spacing w:val="-4"/>
                <w:sz w:val="24"/>
              </w:rPr>
              <w:t>(X): </w:t>
            </w:r>
            <w:r>
              <w:rPr>
                <w:sz w:val="24"/>
              </w:rPr>
              <w:t>ESG</w:t>
            </w:r>
            <w:r>
              <w:rPr>
                <w:spacing w:val="40"/>
                <w:sz w:val="24"/>
              </w:rPr>
              <w:t> </w:t>
            </w:r>
            <w:r>
              <w:rPr>
                <w:sz w:val="24"/>
              </w:rPr>
              <w:t>dan</w:t>
            </w:r>
            <w:r>
              <w:rPr>
                <w:spacing w:val="40"/>
                <w:sz w:val="24"/>
              </w:rPr>
              <w:t> </w:t>
            </w:r>
            <w:r>
              <w:rPr>
                <w:sz w:val="24"/>
              </w:rPr>
              <w:t>Kinerja </w:t>
            </w:r>
            <w:r>
              <w:rPr>
                <w:spacing w:val="-2"/>
                <w:sz w:val="24"/>
              </w:rPr>
              <w:t>Keuangan Dependen</w:t>
            </w:r>
            <w:r>
              <w:rPr>
                <w:sz w:val="24"/>
              </w:rPr>
              <w:tab/>
              <w:tab/>
            </w:r>
            <w:r>
              <w:rPr>
                <w:spacing w:val="-67"/>
                <w:sz w:val="24"/>
              </w:rPr>
              <w:t> </w:t>
            </w:r>
            <w:r>
              <w:rPr>
                <w:spacing w:val="-4"/>
                <w:sz w:val="24"/>
              </w:rPr>
              <w:t>(Y): </w:t>
            </w:r>
            <w:r>
              <w:rPr>
                <w:sz w:val="24"/>
              </w:rPr>
              <w:t>Nilai Perusahaan </w:t>
            </w:r>
            <w:r>
              <w:rPr>
                <w:spacing w:val="-2"/>
                <w:sz w:val="24"/>
              </w:rPr>
              <w:t>Moderasi</w:t>
            </w:r>
            <w:r>
              <w:rPr>
                <w:sz w:val="24"/>
              </w:rPr>
              <w:tab/>
            </w:r>
            <w:r>
              <w:rPr>
                <w:spacing w:val="-4"/>
                <w:sz w:val="24"/>
              </w:rPr>
              <w:t>(M): </w:t>
            </w:r>
            <w:r>
              <w:rPr>
                <w:spacing w:val="-2"/>
                <w:sz w:val="24"/>
              </w:rPr>
              <w:t>Ukuran Perusahaan</w:t>
            </w:r>
          </w:p>
        </w:tc>
        <w:tc>
          <w:tcPr>
            <w:tcW w:w="2658" w:type="dxa"/>
          </w:tcPr>
          <w:p>
            <w:pPr>
              <w:pStyle w:val="TableParagraph"/>
              <w:tabs>
                <w:tab w:pos="2149" w:val="left" w:leader="none"/>
              </w:tabs>
              <w:spacing w:before="5"/>
              <w:ind w:left="120"/>
              <w:rPr>
                <w:sz w:val="24"/>
              </w:rPr>
            </w:pPr>
            <w:r>
              <w:rPr>
                <w:spacing w:val="-5"/>
                <w:sz w:val="24"/>
              </w:rPr>
              <w:t>ESG</w:t>
            </w:r>
            <w:r>
              <w:rPr>
                <w:sz w:val="24"/>
              </w:rPr>
              <w:tab/>
            </w:r>
            <w:r>
              <w:rPr>
                <w:spacing w:val="-5"/>
                <w:sz w:val="24"/>
              </w:rPr>
              <w:t>dan</w:t>
            </w:r>
          </w:p>
          <w:p>
            <w:pPr>
              <w:pStyle w:val="TableParagraph"/>
              <w:tabs>
                <w:tab w:pos="765" w:val="left" w:leader="none"/>
                <w:tab w:pos="944" w:val="left" w:leader="none"/>
                <w:tab w:pos="1072" w:val="left" w:leader="none"/>
                <w:tab w:pos="1138" w:val="left" w:leader="none"/>
                <w:tab w:pos="1215" w:val="left" w:leader="none"/>
                <w:tab w:pos="1535" w:val="left" w:leader="none"/>
                <w:tab w:pos="1602" w:val="left" w:leader="none"/>
                <w:tab w:pos="1815" w:val="left" w:leader="none"/>
                <w:tab w:pos="1869" w:val="left" w:leader="none"/>
                <w:tab w:pos="2042" w:val="left" w:leader="none"/>
                <w:tab w:pos="2122" w:val="left" w:leader="none"/>
              </w:tabs>
              <w:spacing w:line="276" w:lineRule="auto" w:before="41"/>
              <w:ind w:left="114" w:right="96"/>
              <w:rPr>
                <w:sz w:val="24"/>
              </w:rPr>
            </w:pPr>
            <w:r>
              <w:rPr>
                <w:sz w:val="24"/>
              </w:rPr>
              <w:t>pengungkapan</w:t>
            </w:r>
            <w:r>
              <w:rPr>
                <w:spacing w:val="22"/>
                <w:sz w:val="24"/>
              </w:rPr>
              <w:t> </w:t>
            </w:r>
            <w:r>
              <w:rPr>
                <w:sz w:val="24"/>
              </w:rPr>
              <w:t>Return </w:t>
            </w:r>
            <w:r>
              <w:rPr>
                <w:spacing w:val="-6"/>
                <w:sz w:val="24"/>
              </w:rPr>
              <w:t>on</w:t>
            </w:r>
            <w:r>
              <w:rPr>
                <w:sz w:val="24"/>
              </w:rPr>
              <w:tab/>
            </w:r>
            <w:r>
              <w:rPr>
                <w:spacing w:val="-2"/>
                <w:sz w:val="24"/>
              </w:rPr>
              <w:t>Assets</w:t>
            </w:r>
            <w:r>
              <w:rPr>
                <w:sz w:val="24"/>
              </w:rPr>
              <w:tab/>
              <w:tab/>
              <w:tab/>
              <w:tab/>
            </w:r>
            <w:r>
              <w:rPr>
                <w:spacing w:val="-4"/>
                <w:sz w:val="24"/>
              </w:rPr>
              <w:t>(ROA) </w:t>
            </w:r>
            <w:r>
              <w:rPr>
                <w:spacing w:val="-2"/>
                <w:sz w:val="24"/>
              </w:rPr>
              <w:t>memiliki</w:t>
            </w:r>
            <w:r>
              <w:rPr>
                <w:sz w:val="24"/>
              </w:rPr>
              <w:tab/>
              <w:tab/>
              <w:tab/>
              <w:tab/>
            </w:r>
            <w:r>
              <w:rPr>
                <w:spacing w:val="-2"/>
                <w:sz w:val="24"/>
              </w:rPr>
              <w:t>pengaruh positif</w:t>
            </w:r>
            <w:r>
              <w:rPr>
                <w:sz w:val="24"/>
              </w:rPr>
              <w:tab/>
              <w:tab/>
            </w:r>
            <w:r>
              <w:rPr>
                <w:spacing w:val="-4"/>
                <w:sz w:val="24"/>
              </w:rPr>
              <w:t>dan</w:t>
            </w:r>
            <w:r>
              <w:rPr>
                <w:sz w:val="24"/>
              </w:rPr>
              <w:tab/>
            </w:r>
            <w:r>
              <w:rPr>
                <w:spacing w:val="-55"/>
                <w:sz w:val="24"/>
              </w:rPr>
              <w:t> </w:t>
            </w:r>
            <w:r>
              <w:rPr>
                <w:spacing w:val="-2"/>
                <w:sz w:val="24"/>
              </w:rPr>
              <w:t>signifikan terhadap</w:t>
            </w:r>
            <w:r>
              <w:rPr>
                <w:sz w:val="24"/>
              </w:rPr>
              <w:tab/>
              <w:tab/>
              <w:tab/>
              <w:tab/>
              <w:tab/>
              <w:tab/>
              <w:tab/>
              <w:tab/>
              <w:tab/>
            </w:r>
            <w:r>
              <w:rPr>
                <w:spacing w:val="-4"/>
                <w:sz w:val="24"/>
              </w:rPr>
              <w:t>nilai </w:t>
            </w:r>
            <w:r>
              <w:rPr>
                <w:spacing w:val="-2"/>
                <w:sz w:val="24"/>
              </w:rPr>
              <w:t>perusahaan, </w:t>
            </w:r>
            <w:r>
              <w:rPr>
                <w:sz w:val="24"/>
              </w:rPr>
              <w:t>sementara</w:t>
            </w:r>
            <w:r>
              <w:rPr>
                <w:spacing w:val="40"/>
                <w:sz w:val="24"/>
              </w:rPr>
              <w:t> </w:t>
            </w:r>
            <w:r>
              <w:rPr>
                <w:sz w:val="24"/>
              </w:rPr>
              <w:t>Return</w:t>
            </w:r>
            <w:r>
              <w:rPr>
                <w:spacing w:val="40"/>
                <w:sz w:val="24"/>
              </w:rPr>
              <w:t> </w:t>
            </w:r>
            <w:r>
              <w:rPr>
                <w:sz w:val="24"/>
              </w:rPr>
              <w:t>on </w:t>
            </w:r>
            <w:r>
              <w:rPr>
                <w:spacing w:val="-2"/>
                <w:sz w:val="24"/>
              </w:rPr>
              <w:t>Equity</w:t>
            </w:r>
            <w:r>
              <w:rPr>
                <w:sz w:val="24"/>
              </w:rPr>
              <w:tab/>
              <w:tab/>
            </w:r>
            <w:r>
              <w:rPr>
                <w:spacing w:val="-2"/>
                <w:sz w:val="24"/>
              </w:rPr>
              <w:t>(ROE)</w:t>
            </w:r>
            <w:r>
              <w:rPr>
                <w:sz w:val="24"/>
              </w:rPr>
              <w:tab/>
              <w:tab/>
              <w:tab/>
            </w:r>
            <w:r>
              <w:rPr>
                <w:spacing w:val="-4"/>
                <w:sz w:val="24"/>
              </w:rPr>
              <w:t>tidak </w:t>
            </w:r>
            <w:r>
              <w:rPr>
                <w:spacing w:val="-2"/>
                <w:sz w:val="24"/>
              </w:rPr>
              <w:t>menunjukkan</w:t>
            </w:r>
            <w:r>
              <w:rPr>
                <w:spacing w:val="40"/>
                <w:sz w:val="24"/>
              </w:rPr>
              <w:t> </w:t>
            </w:r>
            <w:r>
              <w:rPr>
                <w:spacing w:val="-2"/>
                <w:sz w:val="24"/>
              </w:rPr>
              <w:t>pengaruh</w:t>
            </w:r>
            <w:r>
              <w:rPr>
                <w:sz w:val="24"/>
              </w:rPr>
              <w:tab/>
              <w:tab/>
              <w:tab/>
              <w:tab/>
            </w:r>
            <w:r>
              <w:rPr>
                <w:spacing w:val="-2"/>
                <w:sz w:val="24"/>
              </w:rPr>
              <w:t>terhadap nilai</w:t>
            </w:r>
            <w:r>
              <w:rPr>
                <w:sz w:val="24"/>
              </w:rPr>
              <w:tab/>
              <w:tab/>
              <w:tab/>
              <w:tab/>
              <w:tab/>
            </w:r>
            <w:r>
              <w:rPr>
                <w:spacing w:val="-2"/>
                <w:sz w:val="24"/>
              </w:rPr>
              <w:t>perusahaan. Selain</w:t>
            </w:r>
            <w:r>
              <w:rPr>
                <w:sz w:val="24"/>
              </w:rPr>
              <w:tab/>
              <w:tab/>
              <w:tab/>
            </w:r>
            <w:r>
              <w:rPr>
                <w:spacing w:val="-4"/>
                <w:sz w:val="24"/>
              </w:rPr>
              <w:t>itu,</w:t>
            </w:r>
            <w:r>
              <w:rPr>
                <w:sz w:val="24"/>
              </w:rPr>
              <w:tab/>
              <w:tab/>
              <w:tab/>
            </w:r>
            <w:r>
              <w:rPr>
                <w:spacing w:val="-2"/>
                <w:sz w:val="24"/>
              </w:rPr>
              <w:t>ukuran perusahaan</w:t>
            </w:r>
            <w:r>
              <w:rPr>
                <w:sz w:val="24"/>
              </w:rPr>
              <w:tab/>
              <w:tab/>
              <w:tab/>
              <w:tab/>
              <w:tab/>
            </w:r>
            <w:r>
              <w:rPr>
                <w:spacing w:val="-4"/>
                <w:sz w:val="24"/>
              </w:rPr>
              <w:t>tidak</w:t>
            </w:r>
          </w:p>
          <w:p>
            <w:pPr>
              <w:pStyle w:val="TableParagraph"/>
              <w:tabs>
                <w:tab w:pos="2095" w:val="left" w:leader="none"/>
              </w:tabs>
              <w:ind w:left="114"/>
              <w:rPr>
                <w:sz w:val="24"/>
              </w:rPr>
            </w:pPr>
            <w:r>
              <w:rPr>
                <w:spacing w:val="-2"/>
                <w:sz w:val="24"/>
              </w:rPr>
              <w:t>memberikan</w:t>
            </w:r>
            <w:r>
              <w:rPr>
                <w:sz w:val="24"/>
              </w:rPr>
              <w:tab/>
            </w:r>
            <w:r>
              <w:rPr>
                <w:spacing w:val="-4"/>
                <w:sz w:val="24"/>
              </w:rPr>
              <w:t>efek</w:t>
            </w:r>
          </w:p>
          <w:p>
            <w:pPr>
              <w:pStyle w:val="TableParagraph"/>
              <w:tabs>
                <w:tab w:pos="2015" w:val="left" w:leader="none"/>
              </w:tabs>
              <w:spacing w:before="42"/>
              <w:ind w:left="114"/>
              <w:rPr>
                <w:sz w:val="24"/>
              </w:rPr>
            </w:pPr>
            <w:r>
              <w:rPr>
                <w:spacing w:val="-2"/>
                <w:sz w:val="24"/>
              </w:rPr>
              <w:t>moderasi</w:t>
            </w:r>
            <w:r>
              <w:rPr>
                <w:sz w:val="24"/>
              </w:rPr>
              <w:tab/>
            </w:r>
            <w:r>
              <w:rPr>
                <w:spacing w:val="-4"/>
                <w:sz w:val="24"/>
              </w:rPr>
              <w:t>pada</w:t>
            </w:r>
          </w:p>
          <w:p>
            <w:pPr>
              <w:pStyle w:val="TableParagraph"/>
              <w:tabs>
                <w:tab w:pos="1869" w:val="left" w:leader="none"/>
                <w:tab w:pos="1975" w:val="left" w:leader="none"/>
              </w:tabs>
              <w:spacing w:line="310" w:lineRule="atLeast" w:before="7"/>
              <w:ind w:left="114" w:right="96"/>
              <w:rPr>
                <w:sz w:val="24"/>
              </w:rPr>
            </w:pPr>
            <w:r>
              <w:rPr>
                <w:spacing w:val="-2"/>
                <w:sz w:val="24"/>
              </w:rPr>
              <w:t>interaksi</w:t>
            </w:r>
            <w:r>
              <w:rPr>
                <w:sz w:val="24"/>
              </w:rPr>
              <w:tab/>
            </w:r>
            <w:r>
              <w:rPr>
                <w:spacing w:val="-2"/>
                <w:sz w:val="24"/>
              </w:rPr>
              <w:t>antara pengungkapan</w:t>
            </w:r>
            <w:r>
              <w:rPr>
                <w:sz w:val="24"/>
              </w:rPr>
              <w:tab/>
              <w:tab/>
            </w:r>
            <w:r>
              <w:rPr>
                <w:spacing w:val="-4"/>
                <w:sz w:val="24"/>
              </w:rPr>
              <w:t>ESG,</w:t>
            </w:r>
          </w:p>
        </w:tc>
      </w:tr>
    </w:tbl>
    <w:p>
      <w:pPr>
        <w:pStyle w:val="TableParagraph"/>
        <w:spacing w:after="0" w:line="310" w:lineRule="atLeast"/>
        <w:rPr>
          <w:sz w:val="24"/>
        </w:rPr>
        <w:sectPr>
          <w:pgSz w:w="11910" w:h="16840"/>
          <w:pgMar w:header="718" w:footer="0" w:top="980" w:bottom="280" w:left="1559" w:right="99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9"/>
        <w:rPr>
          <w:sz w:val="20"/>
        </w:rPr>
      </w:pPr>
    </w:p>
    <w:tbl>
      <w:tblPr>
        <w:tblW w:w="0" w:type="auto"/>
        <w:jc w:val="left"/>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6"/>
        <w:gridCol w:w="2634"/>
        <w:gridCol w:w="2125"/>
        <w:gridCol w:w="2658"/>
      </w:tblGrid>
      <w:tr>
        <w:trPr>
          <w:trHeight w:val="4760" w:hRule="atLeast"/>
        </w:trPr>
        <w:tc>
          <w:tcPr>
            <w:tcW w:w="536" w:type="dxa"/>
          </w:tcPr>
          <w:p>
            <w:pPr>
              <w:pStyle w:val="TableParagraph"/>
              <w:ind w:left="0"/>
              <w:rPr>
                <w:rFonts w:ascii="Times New Roman"/>
                <w:sz w:val="24"/>
              </w:rPr>
            </w:pPr>
          </w:p>
        </w:tc>
        <w:tc>
          <w:tcPr>
            <w:tcW w:w="2634" w:type="dxa"/>
          </w:tcPr>
          <w:p>
            <w:pPr>
              <w:pStyle w:val="TableParagraph"/>
              <w:ind w:left="0"/>
              <w:rPr>
                <w:rFonts w:ascii="Times New Roman"/>
                <w:sz w:val="24"/>
              </w:rPr>
            </w:pPr>
          </w:p>
        </w:tc>
        <w:tc>
          <w:tcPr>
            <w:tcW w:w="2125" w:type="dxa"/>
          </w:tcPr>
          <w:p>
            <w:pPr>
              <w:pStyle w:val="TableParagraph"/>
              <w:ind w:left="0"/>
              <w:rPr>
                <w:rFonts w:ascii="Times New Roman"/>
                <w:sz w:val="24"/>
              </w:rPr>
            </w:pPr>
          </w:p>
        </w:tc>
        <w:tc>
          <w:tcPr>
            <w:tcW w:w="2658" w:type="dxa"/>
          </w:tcPr>
          <w:p>
            <w:pPr>
              <w:pStyle w:val="TableParagraph"/>
              <w:tabs>
                <w:tab w:pos="895" w:val="left" w:leader="none"/>
                <w:tab w:pos="1108" w:val="left" w:leader="none"/>
                <w:tab w:pos="1138" w:val="left" w:leader="none"/>
                <w:tab w:pos="1682" w:val="left" w:leader="none"/>
                <w:tab w:pos="2015" w:val="left" w:leader="none"/>
                <w:tab w:pos="2122" w:val="left" w:leader="none"/>
                <w:tab w:pos="2309" w:val="left" w:leader="none"/>
              </w:tabs>
              <w:spacing w:line="276" w:lineRule="auto" w:before="5"/>
              <w:ind w:left="114" w:right="96"/>
              <w:rPr>
                <w:sz w:val="24"/>
              </w:rPr>
            </w:pPr>
            <w:r>
              <w:rPr>
                <w:spacing w:val="-4"/>
                <w:sz w:val="24"/>
              </w:rPr>
              <w:t>ROA,</w:t>
            </w:r>
            <w:r>
              <w:rPr>
                <w:sz w:val="24"/>
              </w:rPr>
              <w:tab/>
              <w:tab/>
            </w:r>
            <w:r>
              <w:rPr>
                <w:spacing w:val="-46"/>
                <w:sz w:val="24"/>
              </w:rPr>
              <w:t> </w:t>
            </w:r>
            <w:r>
              <w:rPr>
                <w:sz w:val="24"/>
              </w:rPr>
              <w:t>atau</w:t>
              <w:tab/>
              <w:tab/>
            </w:r>
            <w:r>
              <w:rPr>
                <w:spacing w:val="-54"/>
                <w:sz w:val="24"/>
              </w:rPr>
              <w:t> </w:t>
            </w:r>
            <w:r>
              <w:rPr>
                <w:spacing w:val="-4"/>
                <w:sz w:val="24"/>
              </w:rPr>
              <w:t>ROE </w:t>
            </w:r>
            <w:r>
              <w:rPr>
                <w:spacing w:val="-2"/>
                <w:sz w:val="24"/>
              </w:rPr>
              <w:t>dengan</w:t>
            </w:r>
            <w:r>
              <w:rPr>
                <w:sz w:val="24"/>
              </w:rPr>
              <w:tab/>
              <w:tab/>
              <w:tab/>
              <w:tab/>
              <w:tab/>
            </w:r>
            <w:r>
              <w:rPr>
                <w:spacing w:val="-4"/>
                <w:sz w:val="24"/>
              </w:rPr>
              <w:t>nilai </w:t>
            </w:r>
            <w:r>
              <w:rPr>
                <w:sz w:val="24"/>
              </w:rPr>
              <w:t>perusahaan.</w:t>
            </w:r>
            <w:r>
              <w:rPr>
                <w:spacing w:val="-17"/>
                <w:sz w:val="24"/>
              </w:rPr>
              <w:t> </w:t>
            </w:r>
            <w:r>
              <w:rPr>
                <w:sz w:val="24"/>
              </w:rPr>
              <w:t>Meskipun </w:t>
            </w:r>
            <w:r>
              <w:rPr>
                <w:spacing w:val="-2"/>
                <w:sz w:val="24"/>
              </w:rPr>
              <w:t>penelitian</w:t>
            </w:r>
            <w:r>
              <w:rPr>
                <w:sz w:val="24"/>
              </w:rPr>
              <w:tab/>
              <w:tab/>
              <w:tab/>
              <w:tab/>
            </w:r>
            <w:r>
              <w:rPr>
                <w:spacing w:val="-4"/>
                <w:sz w:val="24"/>
              </w:rPr>
              <w:t>ini </w:t>
            </w:r>
            <w:r>
              <w:rPr>
                <w:spacing w:val="-2"/>
                <w:sz w:val="24"/>
              </w:rPr>
              <w:t>mengindikasikan </w:t>
            </w:r>
            <w:r>
              <w:rPr>
                <w:sz w:val="24"/>
              </w:rPr>
              <w:t>bahwa</w:t>
            </w:r>
            <w:r>
              <w:rPr>
                <w:spacing w:val="40"/>
                <w:sz w:val="24"/>
              </w:rPr>
              <w:t> </w:t>
            </w:r>
            <w:r>
              <w:rPr>
                <w:sz w:val="24"/>
              </w:rPr>
              <w:t>ada</w:t>
            </w:r>
            <w:r>
              <w:rPr>
                <w:spacing w:val="40"/>
                <w:sz w:val="24"/>
              </w:rPr>
              <w:t> </w:t>
            </w:r>
            <w:r>
              <w:rPr>
                <w:sz w:val="24"/>
              </w:rPr>
              <w:t>beberapa </w:t>
            </w:r>
            <w:r>
              <w:rPr>
                <w:spacing w:val="-2"/>
                <w:sz w:val="24"/>
              </w:rPr>
              <w:t>aspek</w:t>
            </w:r>
            <w:r>
              <w:rPr>
                <w:sz w:val="24"/>
              </w:rPr>
              <w:tab/>
              <w:tab/>
              <w:tab/>
            </w:r>
            <w:r>
              <w:rPr>
                <w:spacing w:val="-4"/>
                <w:sz w:val="24"/>
              </w:rPr>
              <w:t>yang</w:t>
            </w:r>
            <w:r>
              <w:rPr>
                <w:sz w:val="24"/>
              </w:rPr>
              <w:tab/>
              <w:tab/>
            </w:r>
            <w:r>
              <w:rPr>
                <w:spacing w:val="-42"/>
                <w:sz w:val="24"/>
              </w:rPr>
              <w:t> </w:t>
            </w:r>
            <w:r>
              <w:rPr>
                <w:spacing w:val="-2"/>
                <w:sz w:val="24"/>
              </w:rPr>
              <w:t>tidak memengaruhi</w:t>
            </w:r>
            <w:r>
              <w:rPr>
                <w:sz w:val="24"/>
              </w:rPr>
              <w:tab/>
              <w:tab/>
              <w:tab/>
            </w:r>
            <w:r>
              <w:rPr>
                <w:spacing w:val="-4"/>
                <w:sz w:val="24"/>
              </w:rPr>
              <w:t>nilai </w:t>
            </w:r>
            <w:r>
              <w:rPr>
                <w:spacing w:val="-2"/>
                <w:sz w:val="24"/>
              </w:rPr>
              <w:t>perusahaan, perusahaan</w:t>
            </w:r>
            <w:r>
              <w:rPr>
                <w:sz w:val="24"/>
              </w:rPr>
              <w:tab/>
              <w:tab/>
            </w:r>
            <w:r>
              <w:rPr>
                <w:spacing w:val="-4"/>
                <w:sz w:val="24"/>
              </w:rPr>
              <w:t>tetap </w:t>
            </w:r>
            <w:r>
              <w:rPr>
                <w:spacing w:val="-2"/>
                <w:sz w:val="24"/>
              </w:rPr>
              <w:t>perlu</w:t>
            </w:r>
            <w:r>
              <w:rPr>
                <w:sz w:val="24"/>
              </w:rPr>
              <w:tab/>
            </w:r>
            <w:r>
              <w:rPr>
                <w:spacing w:val="-2"/>
                <w:sz w:val="24"/>
              </w:rPr>
              <w:t>memperhatikan aspek-aspek</w:t>
            </w:r>
            <w:r>
              <w:rPr>
                <w:sz w:val="24"/>
              </w:rPr>
              <w:tab/>
            </w:r>
            <w:r>
              <w:rPr>
                <w:spacing w:val="-2"/>
                <w:sz w:val="24"/>
              </w:rPr>
              <w:t>tersebut untuk</w:t>
            </w:r>
            <w:r>
              <w:rPr>
                <w:sz w:val="24"/>
              </w:rPr>
              <w:tab/>
              <w:tab/>
            </w:r>
            <w:r>
              <w:rPr>
                <w:spacing w:val="-2"/>
                <w:sz w:val="24"/>
              </w:rPr>
              <w:t>keberlanjutan </w:t>
            </w:r>
            <w:r>
              <w:rPr>
                <w:sz w:val="24"/>
              </w:rPr>
              <w:t>bisnis</w:t>
            </w:r>
            <w:r>
              <w:rPr>
                <w:spacing w:val="11"/>
                <w:sz w:val="24"/>
              </w:rPr>
              <w:t> </w:t>
            </w:r>
            <w:r>
              <w:rPr>
                <w:sz w:val="24"/>
              </w:rPr>
              <w:t>mereka</w:t>
            </w:r>
            <w:r>
              <w:rPr>
                <w:spacing w:val="13"/>
                <w:sz w:val="24"/>
              </w:rPr>
              <w:t> </w:t>
            </w:r>
            <w:r>
              <w:rPr>
                <w:sz w:val="24"/>
              </w:rPr>
              <w:t>di</w:t>
            </w:r>
            <w:r>
              <w:rPr>
                <w:spacing w:val="13"/>
                <w:sz w:val="24"/>
              </w:rPr>
              <w:t> </w:t>
            </w:r>
            <w:r>
              <w:rPr>
                <w:spacing w:val="-4"/>
                <w:sz w:val="24"/>
              </w:rPr>
              <w:t>masa</w:t>
            </w:r>
          </w:p>
          <w:p>
            <w:pPr>
              <w:pStyle w:val="TableParagraph"/>
              <w:ind w:left="114"/>
              <w:rPr>
                <w:sz w:val="24"/>
              </w:rPr>
            </w:pPr>
            <w:r>
              <w:rPr>
                <w:spacing w:val="-2"/>
                <w:sz w:val="24"/>
              </w:rPr>
              <w:t>depan.</w:t>
            </w:r>
          </w:p>
        </w:tc>
      </w:tr>
    </w:tbl>
    <w:p>
      <w:pPr>
        <w:pStyle w:val="BodyText"/>
      </w:pPr>
    </w:p>
    <w:p>
      <w:pPr>
        <w:pStyle w:val="BodyText"/>
        <w:spacing w:before="5"/>
      </w:pPr>
    </w:p>
    <w:p>
      <w:pPr>
        <w:pStyle w:val="Heading2"/>
        <w:numPr>
          <w:ilvl w:val="0"/>
          <w:numId w:val="8"/>
        </w:numPr>
        <w:tabs>
          <w:tab w:pos="1132" w:val="left" w:leader="none"/>
        </w:tabs>
        <w:spacing w:line="240" w:lineRule="auto" w:before="0" w:after="0"/>
        <w:ind w:left="1132" w:right="0" w:hanging="355"/>
        <w:jc w:val="left"/>
      </w:pPr>
      <w:bookmarkStart w:name="_bookmark23" w:id="24"/>
      <w:bookmarkEnd w:id="24"/>
      <w:r>
        <w:rPr/>
        <w:t>Kera</w:t>
      </w:r>
      <w:r>
        <w:rPr/>
        <w:t>ngka</w:t>
      </w:r>
      <w:r>
        <w:rPr>
          <w:spacing w:val="-6"/>
        </w:rPr>
        <w:t> </w:t>
      </w:r>
      <w:r>
        <w:rPr/>
        <w:t>Pemikiran</w:t>
      </w:r>
      <w:r>
        <w:rPr>
          <w:spacing w:val="-6"/>
        </w:rPr>
        <w:t> </w:t>
      </w:r>
      <w:r>
        <w:rPr>
          <w:spacing w:val="-2"/>
        </w:rPr>
        <w:t>Konseptual</w:t>
      </w:r>
    </w:p>
    <w:p>
      <w:pPr>
        <w:pStyle w:val="BodyText"/>
        <w:rPr>
          <w:b/>
        </w:rPr>
      </w:pPr>
    </w:p>
    <w:p>
      <w:pPr>
        <w:pStyle w:val="BodyText"/>
        <w:spacing w:line="480" w:lineRule="auto"/>
        <w:ind w:left="1352" w:right="708" w:firstLine="361"/>
        <w:jc w:val="both"/>
      </w:pPr>
      <w:r>
        <w:rPr/>
        <w:t>Menurut Uma Sekaran (2017:86) kerangka konseptual merupakan suatu model yang ditata, diuraikan serta dikembangkan dengan terstruktur menggunakan variabel yang dianggap sesuai dengan perkara serta diketahui melalui proses diantaranya wawancara, obervasi, dan tinjauan pustaka. Kerangka berpikir penelitian lalah justifikasi untuk penelitian ini, yang didasarkan pada survei literatur, fakta, dan pengamatan. Kerangka berpikir memuat teori serta konsep-konsep yang menjadi dasar dalam penelitian. Kerangka berpikir ini menjelaskan hubungan dan keterkaitan antar variabel. Maka, peneliti dapat mendefisinikan kerangka konseptual pada penelitian ini sebagai berikut:</w:t>
      </w:r>
    </w:p>
    <w:p>
      <w:pPr>
        <w:pStyle w:val="ListParagraph"/>
        <w:numPr>
          <w:ilvl w:val="1"/>
          <w:numId w:val="8"/>
        </w:numPr>
        <w:tabs>
          <w:tab w:pos="1840" w:val="left" w:leader="none"/>
          <w:tab w:pos="1842" w:val="left" w:leader="none"/>
        </w:tabs>
        <w:spacing w:line="480" w:lineRule="auto" w:before="0" w:after="0"/>
        <w:ind w:left="1842" w:right="708" w:hanging="360"/>
        <w:jc w:val="both"/>
        <w:rPr>
          <w:b/>
          <w:i/>
          <w:sz w:val="24"/>
        </w:rPr>
      </w:pPr>
      <w:r>
        <w:rPr>
          <w:b/>
          <w:sz w:val="24"/>
        </w:rPr>
        <w:t>Pengaruh Karakteristik CEO terhadap </w:t>
      </w:r>
      <w:r>
        <w:rPr>
          <w:b/>
          <w:i/>
          <w:sz w:val="24"/>
        </w:rPr>
        <w:t>Environmental, Social, Governance </w:t>
      </w:r>
      <w:r>
        <w:rPr>
          <w:b/>
          <w:sz w:val="24"/>
        </w:rPr>
        <w:t>(ESG) </w:t>
      </w:r>
      <w:r>
        <w:rPr>
          <w:b/>
          <w:i/>
          <w:sz w:val="24"/>
        </w:rPr>
        <w:t>Disclosure</w:t>
      </w:r>
    </w:p>
    <w:p>
      <w:pPr>
        <w:pStyle w:val="ListParagraph"/>
        <w:spacing w:after="0" w:line="480" w:lineRule="auto"/>
        <w:jc w:val="both"/>
        <w:rPr>
          <w:b/>
          <w:i/>
          <w:sz w:val="24"/>
        </w:rPr>
        <w:sectPr>
          <w:pgSz w:w="11910" w:h="16840"/>
          <w:pgMar w:header="718" w:footer="0" w:top="980" w:bottom="280" w:left="1559" w:right="992"/>
        </w:sectPr>
      </w:pPr>
    </w:p>
    <w:p>
      <w:pPr>
        <w:pStyle w:val="BodyText"/>
        <w:rPr>
          <w:b/>
          <w:i/>
        </w:rPr>
      </w:pPr>
    </w:p>
    <w:p>
      <w:pPr>
        <w:pStyle w:val="BodyText"/>
        <w:rPr>
          <w:b/>
          <w:i/>
        </w:rPr>
      </w:pPr>
    </w:p>
    <w:p>
      <w:pPr>
        <w:pStyle w:val="BodyText"/>
        <w:rPr>
          <w:b/>
          <w:i/>
        </w:rPr>
      </w:pPr>
    </w:p>
    <w:p>
      <w:pPr>
        <w:pStyle w:val="BodyText"/>
        <w:spacing w:before="180"/>
        <w:rPr>
          <w:b/>
          <w:i/>
        </w:rPr>
      </w:pPr>
    </w:p>
    <w:p>
      <w:pPr>
        <w:pStyle w:val="BodyText"/>
        <w:spacing w:line="480" w:lineRule="auto"/>
        <w:ind w:left="1843" w:right="708" w:firstLine="709"/>
        <w:jc w:val="both"/>
      </w:pPr>
      <w:r>
        <w:rPr/>
        <w:t>Karakteristik CEO, termasuk pengalaman, pendidikan, dan gaya kepemimpinan, diyakini mempengaruhi kebijakan dan strategi perusahaan terkait transparansi dan tanggung jawab sosial. CEO dengan kesadaran tinggi terhadap isu lingkungan dan sosial serta latar belakang pendidikan dan pengalaman yang relevan, mungkin lebih cenderung mendorong pengungkapan ESG yang komprehensif. Penelitian ini menghipotesiskan adanya pengaruh positif antara karakteristik CEO dan pengungkapan ESG, mengingat peran strategis CEO dalam mengarahkan perusahaan menuju praktik bisnis yang </w:t>
      </w:r>
      <w:r>
        <w:rPr>
          <w:spacing w:val="-2"/>
        </w:rPr>
        <w:t>berkelanjutan.</w:t>
      </w:r>
    </w:p>
    <w:p>
      <w:pPr>
        <w:pStyle w:val="BodyText"/>
        <w:spacing w:line="480" w:lineRule="auto" w:before="160"/>
        <w:ind w:left="1843" w:right="707" w:firstLine="709"/>
        <w:jc w:val="both"/>
      </w:pPr>
      <w:r>
        <w:rPr/>
        <w:t>Penelitian yang dilakukan Triyani &amp; Setyahuni</w:t>
      </w:r>
      <w:r>
        <w:rPr>
          <w:spacing w:val="40"/>
        </w:rPr>
        <w:t> </w:t>
      </w:r>
      <w:r>
        <w:rPr/>
        <w:t>(2020) mengemukakan bahwa masa jabatan CEO dan usia CEO berdampak negatif pada pengungkapan ESG, sedangkan latar belakang pendidikan berdampak positif pada pengungkapan ESG. Karakteristik CEO secara signifikan mempengaruhi pengungkapan informasi ESG di perusahaan Indonesia. CEO yang memiliki pendidikan tinggi, pengalaman relevan, dan yang lebih tua atau perempuan cenderung berperan aktif dalam meningkatkan transparansi dalam laporan ESG. Penelitian ini memberikan wawasan berharga bagi pemangku kepentingan untuk memahami pentingnya karakteristik pemimpin dalam mendorong praktik keberlanjutan di perusahaan.</w:t>
      </w:r>
    </w:p>
    <w:p>
      <w:pPr>
        <w:pStyle w:val="BodyText"/>
        <w:spacing w:after="0" w:line="480" w:lineRule="auto"/>
        <w:jc w:val="both"/>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BodyText"/>
        <w:spacing w:line="480" w:lineRule="auto"/>
        <w:ind w:left="1843" w:right="707" w:firstLine="709"/>
        <w:jc w:val="both"/>
      </w:pPr>
      <w:r>
        <w:rPr/>
        <w:t>Sedangkan dalam penelitian Lestari, Mutmainah, &amp; Raharja (2024) mengemukakan bahwa ada hubungan positif antara karakteristik CEO dengan ESG </w:t>
      </w:r>
      <w:r>
        <w:rPr>
          <w:i/>
        </w:rPr>
        <w:t>disclosure</w:t>
      </w:r>
      <w:r>
        <w:rPr/>
        <w:t>. Latar belakang pendidikan dan jenis kelamin CEO tidak mempengaruhi konservatisme akuntansi. CEO dengan pendidikan di bidang akuntansi dan CEO perempuan</w:t>
      </w:r>
      <w:r>
        <w:rPr>
          <w:spacing w:val="40"/>
        </w:rPr>
        <w:t> </w:t>
      </w:r>
      <w:r>
        <w:rPr/>
        <w:t>cenderung memberikan dampak negatif pada investasi teknologi dan informasi, yang mempengaruhi konservatisme </w:t>
      </w:r>
      <w:r>
        <w:rPr>
          <w:spacing w:val="-2"/>
        </w:rPr>
        <w:t>akuntansi.</w:t>
      </w:r>
    </w:p>
    <w:p>
      <w:pPr>
        <w:pStyle w:val="BodyText"/>
        <w:spacing w:line="480" w:lineRule="auto"/>
        <w:ind w:left="1843" w:right="708" w:firstLine="709"/>
        <w:jc w:val="both"/>
      </w:pPr>
      <w:r>
        <w:rPr/>
        <w:t>Menurut Maulida &amp; Harap (2023) menunjukan bahwa</w:t>
      </w:r>
      <w:r>
        <w:rPr>
          <w:spacing w:val="40"/>
        </w:rPr>
        <w:t> </w:t>
      </w:r>
      <w:r>
        <w:rPr/>
        <w:t>ada hubungan positif antara karakteristik CEO dengan ESG </w:t>
      </w:r>
      <w:r>
        <w:rPr>
          <w:i/>
        </w:rPr>
        <w:t>disclosure</w:t>
      </w:r>
      <w:r>
        <w:rPr/>
        <w:t>, yang meneliti bagaimana demografi CEO, termasuk usia, jenis kelamin, dan latar belakang pendidikan, memengaruhi pengungkapan CSR di perusahaan Indonesia. Penelitian menunjukkan bahwa CEO yang lebih muda dan berpendidikan tinggi lebih cenderung untuk mengadopsi praktik CSR yang lebih baik dan mengungkapkan informasi terkait secara lebih transparan, yang menunjukkan pengaruh positif dari karakteristik demografis CEO terhadap pengungkapan </w:t>
      </w:r>
      <w:r>
        <w:rPr>
          <w:spacing w:val="-4"/>
        </w:rPr>
        <w:t>CSR.</w:t>
      </w:r>
    </w:p>
    <w:p>
      <w:pPr>
        <w:pStyle w:val="BodyText"/>
        <w:spacing w:line="480" w:lineRule="auto"/>
        <w:ind w:left="1843" w:right="708" w:firstLine="709"/>
        <w:jc w:val="both"/>
      </w:pPr>
      <w:r>
        <w:rPr/>
        <w:t>Prasetyo, Y., &amp; Sari, D (2023) menunjukan bahwa ada hubungan positif antara karakteristik CEO dengan ESG </w:t>
      </w:r>
      <w:r>
        <w:rPr>
          <w:i/>
        </w:rPr>
        <w:t>disclosure</w:t>
      </w:r>
      <w:r>
        <w:rPr/>
        <w:t>,</w:t>
      </w:r>
      <w:r>
        <w:rPr>
          <w:spacing w:val="47"/>
          <w:w w:val="150"/>
        </w:rPr>
        <w:t>  </w:t>
      </w:r>
      <w:r>
        <w:rPr/>
        <w:t>CEO</w:t>
      </w:r>
      <w:r>
        <w:rPr>
          <w:spacing w:val="47"/>
          <w:w w:val="150"/>
        </w:rPr>
        <w:t>  </w:t>
      </w:r>
      <w:r>
        <w:rPr/>
        <w:t>(CEO</w:t>
      </w:r>
      <w:r>
        <w:rPr>
          <w:spacing w:val="47"/>
          <w:w w:val="150"/>
        </w:rPr>
        <w:t>  </w:t>
      </w:r>
      <w:r>
        <w:rPr>
          <w:i/>
        </w:rPr>
        <w:t>power</w:t>
      </w:r>
      <w:r>
        <w:rPr/>
        <w:t>)</w:t>
      </w:r>
      <w:r>
        <w:rPr>
          <w:spacing w:val="47"/>
          <w:w w:val="150"/>
        </w:rPr>
        <w:t>  </w:t>
      </w:r>
      <w:r>
        <w:rPr/>
        <w:t>mempengaruhi</w:t>
      </w:r>
      <w:r>
        <w:rPr>
          <w:spacing w:val="47"/>
          <w:w w:val="150"/>
        </w:rPr>
        <w:t>  </w:t>
      </w:r>
      <w:r>
        <w:rPr>
          <w:spacing w:val="-2"/>
        </w:rPr>
        <w:t>tingkat</w:t>
      </w:r>
    </w:p>
    <w:p>
      <w:pPr>
        <w:pStyle w:val="BodyText"/>
        <w:spacing w:after="0" w:line="480" w:lineRule="auto"/>
        <w:jc w:val="both"/>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BodyText"/>
        <w:spacing w:line="480" w:lineRule="auto"/>
        <w:ind w:left="1843" w:right="708"/>
        <w:jc w:val="both"/>
      </w:pPr>
      <w:r>
        <w:rPr/>
        <w:t>pengungkapan ESG di perusahaan-perusahaan Indonesia. Hasil penelitian menunjukkan bahwa CEO yang memiliki kekuatan lebih besar dalam pengambilan keputusan cenderung mempromosikan transparansi yang lebih tinggi dalam pengungkapan ESG, berkontribusi pada pengambilan keputusan yang lebih baik dalam hal keberlanjutan.</w:t>
      </w:r>
    </w:p>
    <w:p>
      <w:pPr>
        <w:pStyle w:val="BodyText"/>
        <w:spacing w:line="480" w:lineRule="auto"/>
        <w:ind w:left="1843" w:right="707" w:firstLine="709"/>
        <w:jc w:val="both"/>
      </w:pPr>
      <w:r>
        <w:rPr/>
        <w:t>Hasil penelitian dari Putri &amp; Yuliana (2023) juga menunjukan bahwa ada hubungan positif antara karakteristik CEO dengan ESG </w:t>
      </w:r>
      <w:r>
        <w:rPr>
          <w:i/>
        </w:rPr>
        <w:t>disclosure</w:t>
      </w:r>
      <w:r>
        <w:rPr/>
        <w:t>, Penelitian ini mengeksplorasi pengaruh karakteristik CEO, seperti pendidikan, pengalaman, dan komitmen terhadap keberlanjutan, terhadap pengungkapan informasi keberlanjutan di perusahaan-perusahaan yang terdaftar di Bursa Efek Indonesia. Hasilnya menunjukkan</w:t>
      </w:r>
      <w:r>
        <w:rPr>
          <w:spacing w:val="40"/>
        </w:rPr>
        <w:t> </w:t>
      </w:r>
      <w:r>
        <w:rPr/>
        <w:t>bahwa CEO yang berpendidikan tinggi dan memiliki pengalaman di bidang keberlanjutan cenderung meningkatkan pengungkapan laporan keberlanjutan, yang menunjukkan pengaruh positif karakteristik CEO terhadap transparansi dalam praktik ESG.</w:t>
      </w:r>
    </w:p>
    <w:p>
      <w:pPr>
        <w:pStyle w:val="BodyText"/>
      </w:pPr>
    </w:p>
    <w:p>
      <w:pPr>
        <w:pStyle w:val="BodyText"/>
      </w:pPr>
    </w:p>
    <w:p>
      <w:pPr>
        <w:pStyle w:val="ListParagraph"/>
        <w:numPr>
          <w:ilvl w:val="1"/>
          <w:numId w:val="8"/>
        </w:numPr>
        <w:tabs>
          <w:tab w:pos="1841" w:val="left" w:leader="none"/>
          <w:tab w:pos="1843" w:val="left" w:leader="none"/>
          <w:tab w:pos="3192" w:val="left" w:leader="none"/>
          <w:tab w:pos="4249" w:val="left" w:leader="none"/>
          <w:tab w:pos="5652" w:val="left" w:leader="none"/>
          <w:tab w:pos="6912" w:val="left" w:leader="none"/>
        </w:tabs>
        <w:spacing w:line="480" w:lineRule="auto" w:before="0" w:after="0"/>
        <w:ind w:left="1843" w:right="708" w:hanging="360"/>
        <w:jc w:val="left"/>
        <w:rPr>
          <w:b/>
          <w:i/>
          <w:sz w:val="24"/>
        </w:rPr>
      </w:pPr>
      <w:r>
        <w:rPr>
          <w:b/>
          <w:spacing w:val="-2"/>
          <w:sz w:val="24"/>
        </w:rPr>
        <w:t>Pengaruh</w:t>
      </w:r>
      <w:r>
        <w:rPr>
          <w:b/>
          <w:sz w:val="24"/>
        </w:rPr>
        <w:tab/>
      </w:r>
      <w:r>
        <w:rPr>
          <w:b/>
          <w:spacing w:val="-2"/>
          <w:sz w:val="24"/>
        </w:rPr>
        <w:t>Kinerja</w:t>
      </w:r>
      <w:r>
        <w:rPr>
          <w:b/>
          <w:sz w:val="24"/>
        </w:rPr>
        <w:tab/>
      </w:r>
      <w:r>
        <w:rPr>
          <w:b/>
          <w:spacing w:val="-2"/>
          <w:sz w:val="24"/>
        </w:rPr>
        <w:t>Keuangan</w:t>
      </w:r>
      <w:r>
        <w:rPr>
          <w:b/>
          <w:sz w:val="24"/>
        </w:rPr>
        <w:tab/>
      </w:r>
      <w:r>
        <w:rPr>
          <w:b/>
          <w:spacing w:val="-2"/>
          <w:sz w:val="24"/>
        </w:rPr>
        <w:t>terhadap</w:t>
      </w:r>
      <w:r>
        <w:rPr>
          <w:b/>
          <w:sz w:val="24"/>
        </w:rPr>
        <w:tab/>
      </w:r>
      <w:r>
        <w:rPr>
          <w:b/>
          <w:i/>
          <w:spacing w:val="-2"/>
          <w:sz w:val="24"/>
        </w:rPr>
        <w:t>Environmental, </w:t>
      </w:r>
      <w:r>
        <w:rPr>
          <w:b/>
          <w:i/>
          <w:sz w:val="24"/>
        </w:rPr>
        <w:t>Social, Governance </w:t>
      </w:r>
      <w:r>
        <w:rPr>
          <w:b/>
          <w:sz w:val="24"/>
        </w:rPr>
        <w:t>(ESG) </w:t>
      </w:r>
      <w:r>
        <w:rPr>
          <w:b/>
          <w:i/>
          <w:sz w:val="24"/>
        </w:rPr>
        <w:t>Disclosure</w:t>
      </w:r>
    </w:p>
    <w:p>
      <w:pPr>
        <w:pStyle w:val="BodyText"/>
        <w:spacing w:line="480" w:lineRule="auto"/>
        <w:ind w:left="1842" w:right="709" w:firstLine="709"/>
        <w:jc w:val="both"/>
      </w:pPr>
      <w:r>
        <w:rPr/>
        <w:t>Kinerja keuangan, meliputi profitabilitas, likuiditas, dan leverage,</w:t>
      </w:r>
      <w:r>
        <w:rPr>
          <w:spacing w:val="40"/>
        </w:rPr>
        <w:t>  </w:t>
      </w:r>
      <w:r>
        <w:rPr/>
        <w:t>diyakini</w:t>
      </w:r>
      <w:r>
        <w:rPr>
          <w:spacing w:val="40"/>
        </w:rPr>
        <w:t>  </w:t>
      </w:r>
      <w:r>
        <w:rPr/>
        <w:t>berperan</w:t>
      </w:r>
      <w:r>
        <w:rPr>
          <w:spacing w:val="40"/>
        </w:rPr>
        <w:t>  </w:t>
      </w:r>
      <w:r>
        <w:rPr/>
        <w:t>penting</w:t>
      </w:r>
      <w:r>
        <w:rPr>
          <w:spacing w:val="40"/>
        </w:rPr>
        <w:t>  </w:t>
      </w:r>
      <w:r>
        <w:rPr/>
        <w:t>dalam</w:t>
      </w:r>
      <w:r>
        <w:rPr>
          <w:spacing w:val="40"/>
        </w:rPr>
        <w:t>  </w:t>
      </w:r>
      <w:r>
        <w:rPr/>
        <w:t>kemampuan</w:t>
      </w:r>
    </w:p>
    <w:p>
      <w:pPr>
        <w:pStyle w:val="BodyText"/>
        <w:spacing w:after="0" w:line="480" w:lineRule="auto"/>
        <w:jc w:val="both"/>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BodyText"/>
        <w:spacing w:line="480" w:lineRule="auto"/>
        <w:ind w:left="1843" w:right="708"/>
        <w:jc w:val="both"/>
      </w:pPr>
      <w:r>
        <w:rPr/>
        <w:t>perusahaan untuk melaksanakan dan melaporkan inisiatif ESG. Perusahaan dengan kinerja keuangan yang kuat cenderung memiliki sumber daya lebih untuk mengimplementasikan dan mengomunikasikan praktik-praktik berkelanjutan.</w:t>
      </w:r>
    </w:p>
    <w:p>
      <w:pPr>
        <w:pStyle w:val="BodyText"/>
        <w:spacing w:line="480" w:lineRule="auto"/>
        <w:ind w:left="1843" w:right="708" w:firstLine="709"/>
        <w:jc w:val="both"/>
      </w:pPr>
      <w:r>
        <w:rPr/>
        <w:t>Dalam penelitiannya Hamdi, Guenich &amp; Saada</w:t>
      </w:r>
      <w:r>
        <w:rPr>
          <w:spacing w:val="40"/>
        </w:rPr>
        <w:t> </w:t>
      </w:r>
      <w:r>
        <w:rPr/>
        <w:t>(2022) mengemukakan bahwa adanya hubungan positif antara kinerja keuangan dan ESG. dampak kinerja keuangan perusahaan terhadap ESG berkurang secara berbeda sesuai dengan tiga komponen ESG. Temuan ini kuat dan konsisten dengan spesifikasi ekonometrik alternatif serta ukuran alternatif dari variabel dependen dan variabel kontrol.</w:t>
      </w:r>
    </w:p>
    <w:p>
      <w:pPr>
        <w:pStyle w:val="BodyText"/>
        <w:spacing w:line="480" w:lineRule="auto" w:before="160"/>
        <w:ind w:left="1843" w:right="708" w:firstLine="709"/>
        <w:jc w:val="both"/>
      </w:pPr>
      <w:r>
        <w:rPr/>
        <w:t>Hasil penelitian Velte (2019) juga menemukan bahwa kinerja keuangan berpengaruh positif terhadap pengungkapan ESG. Dengan adanya keleluasaan manajerial dalam pelaporan keuangan, pengungkapan ESG dapat berisiko mengalami </w:t>
      </w:r>
      <w:r>
        <w:rPr>
          <w:i/>
        </w:rPr>
        <w:t>greenwashing</w:t>
      </w:r>
      <w:r>
        <w:rPr/>
        <w:t>, sehingga pengungkapan tersebut perlu dimasukkan ke dalam strategi komunikasi yang menyeluruh dengan pemangku kepentingan. Akibatnya, kualitas pelaporan keuangan, yang merupakan keputusan utama manajemen, akan saling berhubungan.</w:t>
      </w:r>
    </w:p>
    <w:p>
      <w:pPr>
        <w:pStyle w:val="BodyText"/>
        <w:spacing w:line="480" w:lineRule="auto"/>
        <w:ind w:left="1843" w:right="708" w:firstLine="709"/>
        <w:jc w:val="both"/>
      </w:pPr>
      <w:r>
        <w:rPr/>
        <w:t>Sedangkan dalam penelitian lain, Apriono, et al. (2023) mengemukakan bahwa tidak adanya pengaruh signifikan dari kinerja</w:t>
      </w:r>
      <w:r>
        <w:rPr>
          <w:spacing w:val="40"/>
        </w:rPr>
        <w:t> </w:t>
      </w:r>
      <w:r>
        <w:rPr/>
        <w:t>keuangan</w:t>
      </w:r>
      <w:r>
        <w:rPr>
          <w:spacing w:val="40"/>
        </w:rPr>
        <w:t> </w:t>
      </w:r>
      <w:r>
        <w:rPr/>
        <w:t>(ROA)</w:t>
      </w:r>
      <w:r>
        <w:rPr>
          <w:spacing w:val="40"/>
        </w:rPr>
        <w:t> </w:t>
      </w:r>
      <w:r>
        <w:rPr/>
        <w:t>terhadap</w:t>
      </w:r>
      <w:r>
        <w:rPr>
          <w:spacing w:val="40"/>
        </w:rPr>
        <w:t> </w:t>
      </w:r>
      <w:r>
        <w:rPr/>
        <w:t>ESG,</w:t>
      </w:r>
      <w:r>
        <w:rPr>
          <w:spacing w:val="40"/>
        </w:rPr>
        <w:t> </w:t>
      </w:r>
      <w:r>
        <w:rPr/>
        <w:t>sementara</w:t>
      </w:r>
      <w:r>
        <w:rPr>
          <w:spacing w:val="40"/>
        </w:rPr>
        <w:t> </w:t>
      </w:r>
      <w:r>
        <w:rPr/>
        <w:t>terdapat</w:t>
      </w:r>
    </w:p>
    <w:p>
      <w:pPr>
        <w:pStyle w:val="BodyText"/>
        <w:spacing w:after="0" w:line="480" w:lineRule="auto"/>
        <w:jc w:val="both"/>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BodyText"/>
        <w:spacing w:line="480" w:lineRule="auto"/>
        <w:ind w:left="1843" w:right="709"/>
        <w:jc w:val="both"/>
      </w:pPr>
      <w:r>
        <w:rPr/>
        <w:t>korelasi positif dan signifikan antara sensitivitas lingkungan dan penerapan ESG.</w:t>
      </w:r>
    </w:p>
    <w:p>
      <w:pPr>
        <w:pStyle w:val="BodyText"/>
        <w:spacing w:line="480" w:lineRule="auto"/>
        <w:ind w:left="1843" w:right="707" w:firstLine="709"/>
        <w:jc w:val="both"/>
      </w:pPr>
      <w:r>
        <w:rPr/>
        <w:t>Menurut Sihombing, P., &amp;Yudianto, A (2022)</w:t>
      </w:r>
      <w:r>
        <w:rPr>
          <w:spacing w:val="40"/>
        </w:rPr>
        <w:t> </w:t>
      </w:r>
      <w:r>
        <w:rPr/>
        <w:t>menemukan bahwa kinerja keuangan berpengaruh positif terhadap ESG </w:t>
      </w:r>
      <w:r>
        <w:rPr>
          <w:i/>
        </w:rPr>
        <w:t>disclosue</w:t>
      </w:r>
      <w:r>
        <w:rPr/>
        <w:t>, penelitian ini menemukan bahwa perusahaan yang memiliki kinerja keuangan yang kuat, yang diukur dengan ROA dan Return on Equity (ROE), lebih cenderung untuk mengungkapkan informasi terkait ESG. Penelitian ini juga menunjukkan bahwa pengungkapan ESG tidak hanya membantu perusahaan dalam meningkatkan reputasi mereka, tetapi juga dapat menjadi alat strategis untuk menarik investor yang semakin peduli terhadap keberlanjutan.</w:t>
      </w:r>
    </w:p>
    <w:p>
      <w:pPr>
        <w:pStyle w:val="BodyText"/>
        <w:spacing w:line="480" w:lineRule="auto"/>
        <w:ind w:left="1843" w:right="707" w:firstLine="709"/>
        <w:jc w:val="both"/>
      </w:pPr>
      <w:r>
        <w:rPr/>
        <w:t>Akan tetapi diperkuat oleh penelitian Tanjung &amp; Aulia yang menunjukan bahwa kinerja keuangan berpengaruh positif terhadap ESG </w:t>
      </w:r>
      <w:r>
        <w:rPr>
          <w:i/>
        </w:rPr>
        <w:t>disclosue</w:t>
      </w:r>
      <w:r>
        <w:rPr/>
        <w:t>, Dengan menggunakan pendekatan kuantitatif, penelitian ini menemukan bahwa perusahaan- perusahaan yang melakukan pengungkapan CSR secara terbuka dan transparan mengalami peningkatan dalam kinerja keuangan mereka. Hal ini menunjukkan bahwa investasi dalam praktik</w:t>
      </w:r>
      <w:r>
        <w:rPr>
          <w:spacing w:val="-2"/>
        </w:rPr>
        <w:t> </w:t>
      </w:r>
      <w:r>
        <w:rPr/>
        <w:t>CSR</w:t>
      </w:r>
      <w:r>
        <w:rPr>
          <w:spacing w:val="-2"/>
        </w:rPr>
        <w:t> </w:t>
      </w:r>
      <w:r>
        <w:rPr/>
        <w:t>tidak</w:t>
      </w:r>
      <w:r>
        <w:rPr>
          <w:spacing w:val="-2"/>
        </w:rPr>
        <w:t> </w:t>
      </w:r>
      <w:r>
        <w:rPr/>
        <w:t>hanya</w:t>
      </w:r>
      <w:r>
        <w:rPr>
          <w:spacing w:val="-2"/>
        </w:rPr>
        <w:t> </w:t>
      </w:r>
      <w:r>
        <w:rPr/>
        <w:t>berdampak</w:t>
      </w:r>
      <w:r>
        <w:rPr>
          <w:spacing w:val="-2"/>
        </w:rPr>
        <w:t> </w:t>
      </w:r>
      <w:r>
        <w:rPr/>
        <w:t>positif</w:t>
      </w:r>
      <w:r>
        <w:rPr>
          <w:spacing w:val="-2"/>
        </w:rPr>
        <w:t> </w:t>
      </w:r>
      <w:r>
        <w:rPr/>
        <w:t>terhadap</w:t>
      </w:r>
      <w:r>
        <w:rPr>
          <w:spacing w:val="-2"/>
        </w:rPr>
        <w:t> </w:t>
      </w:r>
      <w:r>
        <w:rPr/>
        <w:t>lingkungan dan masyarakat, tetapi juga berkontribusi pada profitabilitas jangka</w:t>
      </w:r>
      <w:r>
        <w:rPr>
          <w:spacing w:val="80"/>
        </w:rPr>
        <w:t> </w:t>
      </w:r>
      <w:r>
        <w:rPr/>
        <w:t>panjang.</w:t>
      </w:r>
      <w:r>
        <w:rPr>
          <w:spacing w:val="80"/>
        </w:rPr>
        <w:t> </w:t>
      </w:r>
      <w:r>
        <w:rPr/>
        <w:t>Penelitian</w:t>
      </w:r>
      <w:r>
        <w:rPr>
          <w:spacing w:val="80"/>
        </w:rPr>
        <w:t> </w:t>
      </w:r>
      <w:r>
        <w:rPr/>
        <w:t>ini</w:t>
      </w:r>
      <w:r>
        <w:rPr>
          <w:spacing w:val="80"/>
        </w:rPr>
        <w:t> </w:t>
      </w:r>
      <w:r>
        <w:rPr/>
        <w:t>menggarisbawahi</w:t>
      </w:r>
      <w:r>
        <w:rPr>
          <w:spacing w:val="80"/>
        </w:rPr>
        <w:t> </w:t>
      </w:r>
      <w:r>
        <w:rPr/>
        <w:t>pentingnya</w:t>
      </w:r>
    </w:p>
    <w:p>
      <w:pPr>
        <w:pStyle w:val="BodyText"/>
        <w:spacing w:after="0" w:line="480" w:lineRule="auto"/>
        <w:jc w:val="both"/>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BodyText"/>
        <w:spacing w:line="480" w:lineRule="auto"/>
        <w:ind w:left="1843" w:right="708"/>
        <w:jc w:val="both"/>
      </w:pPr>
      <w:r>
        <w:rPr/>
        <w:t>integrasi CSR dalam strategi bisnis perusahaan untuk</w:t>
      </w:r>
      <w:r>
        <w:rPr>
          <w:spacing w:val="40"/>
        </w:rPr>
        <w:t> </w:t>
      </w:r>
      <w:r>
        <w:rPr/>
        <w:t>mencapai kinerja keuangan yang lebih baik.</w:t>
      </w:r>
    </w:p>
    <w:p>
      <w:pPr>
        <w:pStyle w:val="ListParagraph"/>
        <w:numPr>
          <w:ilvl w:val="1"/>
          <w:numId w:val="8"/>
        </w:numPr>
        <w:tabs>
          <w:tab w:pos="1841" w:val="left" w:leader="none"/>
          <w:tab w:pos="1843" w:val="left" w:leader="none"/>
        </w:tabs>
        <w:spacing w:line="480" w:lineRule="auto" w:before="0" w:after="0"/>
        <w:ind w:left="1843" w:right="709" w:hanging="360"/>
        <w:jc w:val="both"/>
        <w:rPr>
          <w:b/>
          <w:i/>
          <w:sz w:val="24"/>
        </w:rPr>
      </w:pPr>
      <w:r>
        <w:rPr>
          <w:b/>
          <w:sz w:val="24"/>
        </w:rPr>
        <w:t>Pengaruh </w:t>
      </w:r>
      <w:r>
        <w:rPr>
          <w:b/>
          <w:i/>
          <w:sz w:val="24"/>
        </w:rPr>
        <w:t>Political Cost </w:t>
      </w:r>
      <w:r>
        <w:rPr>
          <w:b/>
          <w:sz w:val="24"/>
        </w:rPr>
        <w:t>terhadap </w:t>
      </w:r>
      <w:r>
        <w:rPr>
          <w:b/>
          <w:i/>
          <w:sz w:val="24"/>
        </w:rPr>
        <w:t>Environmental, Social, Governance </w:t>
      </w:r>
      <w:r>
        <w:rPr>
          <w:b/>
          <w:sz w:val="24"/>
        </w:rPr>
        <w:t>(ESG) </w:t>
      </w:r>
      <w:r>
        <w:rPr>
          <w:b/>
          <w:i/>
          <w:sz w:val="24"/>
        </w:rPr>
        <w:t>Disclosure</w:t>
      </w:r>
    </w:p>
    <w:p>
      <w:pPr>
        <w:pStyle w:val="BodyText"/>
        <w:spacing w:line="480" w:lineRule="auto" w:before="160"/>
        <w:ind w:left="1843" w:right="708" w:firstLine="709"/>
        <w:jc w:val="both"/>
      </w:pPr>
      <w:r>
        <w:rPr/>
        <w:t>Dalam era di mana keberlanjutan dan tanggung jawab sosial perusahaan semakin menjadi sorotan, pemahaman tentang bagaimana faktor politik mempengaruhi pengungkapan ESG</w:t>
      </w:r>
      <w:r>
        <w:rPr>
          <w:spacing w:val="-4"/>
        </w:rPr>
        <w:t> </w:t>
      </w:r>
      <w:r>
        <w:rPr/>
        <w:t>menjadi</w:t>
      </w:r>
      <w:r>
        <w:rPr>
          <w:spacing w:val="-4"/>
        </w:rPr>
        <w:t> </w:t>
      </w:r>
      <w:r>
        <w:rPr/>
        <w:t>krusial.</w:t>
      </w:r>
      <w:r>
        <w:rPr>
          <w:spacing w:val="-4"/>
        </w:rPr>
        <w:t> </w:t>
      </w:r>
      <w:r>
        <w:rPr/>
        <w:t>Hipotesis</w:t>
      </w:r>
      <w:r>
        <w:rPr>
          <w:spacing w:val="-4"/>
        </w:rPr>
        <w:t> </w:t>
      </w:r>
      <w:r>
        <w:rPr/>
        <w:t>ini</w:t>
      </w:r>
      <w:r>
        <w:rPr>
          <w:spacing w:val="-4"/>
        </w:rPr>
        <w:t> </w:t>
      </w:r>
      <w:r>
        <w:rPr/>
        <w:t>mengusulkan</w:t>
      </w:r>
      <w:r>
        <w:rPr>
          <w:spacing w:val="-4"/>
        </w:rPr>
        <w:t> </w:t>
      </w:r>
      <w:r>
        <w:rPr/>
        <w:t>bahwa</w:t>
      </w:r>
      <w:r>
        <w:rPr>
          <w:spacing w:val="-4"/>
        </w:rPr>
        <w:t> </w:t>
      </w:r>
      <w:r>
        <w:rPr/>
        <w:t>tekanan politik dapat mempengaruhi keputusan perusahaan dalam mengungkapkan informasi terkait ESG.</w:t>
      </w:r>
    </w:p>
    <w:p>
      <w:pPr>
        <w:pStyle w:val="BodyText"/>
        <w:spacing w:line="480" w:lineRule="auto" w:before="160"/>
        <w:ind w:left="1842" w:right="707" w:firstLine="709"/>
        <w:jc w:val="both"/>
      </w:pPr>
      <w:r>
        <w:rPr/>
        <w:t>Dalam penelitiannya, Noviani &amp; Suardana (2019) mengemukakan bahwa </w:t>
      </w:r>
      <w:r>
        <w:rPr>
          <w:i/>
        </w:rPr>
        <w:t>Political Cost </w:t>
      </w:r>
      <w:r>
        <w:rPr/>
        <w:t>berpengaruh positif terhadap </w:t>
      </w:r>
      <w:r>
        <w:rPr>
          <w:i/>
        </w:rPr>
        <w:t>Environmental Disclosure. </w:t>
      </w:r>
      <w:r>
        <w:rPr/>
        <w:t>Perusahaan yang beroperasi dalam lingkungan politik yang lebih kompleks dan memiliki tekanan politik yang lebih besar cenderung melakukan pengungkapan informasi lingkungan yang lebih baik. Hal ini mungkin terjadi karena perusahaan berusaha untuk</w:t>
      </w:r>
      <w:r>
        <w:rPr>
          <w:spacing w:val="40"/>
        </w:rPr>
        <w:t> </w:t>
      </w:r>
      <w:r>
        <w:rPr/>
        <w:t>mengurangi risiko reputasi dan memenuhi harapan pemangku kepentingan, termasuk pemerintah dan masyarakat.</w:t>
      </w:r>
    </w:p>
    <w:p>
      <w:pPr>
        <w:pStyle w:val="BodyText"/>
        <w:spacing w:line="480" w:lineRule="auto"/>
        <w:ind w:left="1842" w:right="707" w:firstLine="709"/>
        <w:jc w:val="both"/>
      </w:pPr>
      <w:r>
        <w:rPr/>
        <w:t>Hasil penelitian Andrian &amp; Siregar (2023) menunjukan bahwa </w:t>
      </w:r>
      <w:r>
        <w:rPr>
          <w:i/>
        </w:rPr>
        <w:t>Political Cost </w:t>
      </w:r>
      <w:r>
        <w:rPr/>
        <w:t>tidak berpengaruh terhadap ESG </w:t>
      </w:r>
      <w:r>
        <w:rPr>
          <w:i/>
        </w:rPr>
        <w:t>Disclosure</w:t>
      </w:r>
      <w:r>
        <w:rPr/>
        <w:t>. Di mana perusahaan yang menghadapi risiko politik yang</w:t>
      </w:r>
      <w:r>
        <w:rPr>
          <w:spacing w:val="40"/>
        </w:rPr>
        <w:t> </w:t>
      </w:r>
      <w:r>
        <w:rPr/>
        <w:t>tinggi</w:t>
      </w:r>
      <w:r>
        <w:rPr>
          <w:spacing w:val="40"/>
        </w:rPr>
        <w:t> </w:t>
      </w:r>
      <w:r>
        <w:rPr/>
        <w:t>cenderung</w:t>
      </w:r>
      <w:r>
        <w:rPr>
          <w:spacing w:val="40"/>
        </w:rPr>
        <w:t> </w:t>
      </w:r>
      <w:r>
        <w:rPr/>
        <w:t>melakukan</w:t>
      </w:r>
      <w:r>
        <w:rPr>
          <w:spacing w:val="40"/>
        </w:rPr>
        <w:t> </w:t>
      </w:r>
      <w:r>
        <w:rPr/>
        <w:t>pengungkapan</w:t>
      </w:r>
      <w:r>
        <w:rPr>
          <w:spacing w:val="40"/>
        </w:rPr>
        <w:t> </w:t>
      </w:r>
      <w:r>
        <w:rPr/>
        <w:t>yang</w:t>
      </w:r>
      <w:r>
        <w:rPr>
          <w:spacing w:val="40"/>
        </w:rPr>
        <w:t> </w:t>
      </w:r>
      <w:r>
        <w:rPr/>
        <w:t>lebih</w:t>
      </w:r>
    </w:p>
    <w:p>
      <w:pPr>
        <w:pStyle w:val="BodyText"/>
        <w:spacing w:after="0" w:line="480" w:lineRule="auto"/>
        <w:jc w:val="both"/>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BodyText"/>
        <w:spacing w:line="480" w:lineRule="auto"/>
        <w:ind w:left="1843" w:right="708"/>
        <w:jc w:val="both"/>
      </w:pPr>
      <w:r>
        <w:rPr/>
        <w:t>rendah sebagai Upaya untuk menghindari perhatian public</w:t>
      </w:r>
      <w:r>
        <w:rPr>
          <w:spacing w:val="80"/>
        </w:rPr>
        <w:t> </w:t>
      </w:r>
      <w:r>
        <w:rPr/>
        <w:t>yang dapat merugikan.</w:t>
      </w:r>
    </w:p>
    <w:p>
      <w:pPr>
        <w:pStyle w:val="BodyText"/>
        <w:spacing w:line="480" w:lineRule="auto"/>
        <w:ind w:left="1842" w:right="707" w:firstLine="709"/>
        <w:jc w:val="both"/>
      </w:pPr>
      <w:r>
        <w:rPr/>
        <w:t>Sedangkan dalam penelitian lain, Siregar dan Kusumawardhani (2023) mengemukakan bahwa </w:t>
      </w:r>
      <w:r>
        <w:rPr>
          <w:i/>
        </w:rPr>
        <w:t>Political Cost </w:t>
      </w:r>
      <w:r>
        <w:rPr/>
        <w:t>tidak berpengaruh terhadap ESG </w:t>
      </w:r>
      <w:r>
        <w:rPr>
          <w:i/>
        </w:rPr>
        <w:t>Disclosure</w:t>
      </w:r>
      <w:r>
        <w:rPr/>
        <w:t>. Sejalan dengan penelitian Kanchel &amp; Lassoued (2022) menunjukan bahwa berpengaruh negatif terhadap ESG </w:t>
      </w:r>
      <w:r>
        <w:rPr>
          <w:i/>
        </w:rPr>
        <w:t>Disclosure. </w:t>
      </w:r>
      <w:r>
        <w:rPr/>
        <w:t>Di mana pengungkapan ESG yang berlebihan dapat meningkatkan</w:t>
      </w:r>
      <w:r>
        <w:rPr>
          <w:spacing w:val="80"/>
        </w:rPr>
        <w:t> </w:t>
      </w:r>
      <w:r>
        <w:rPr/>
        <w:t>biaya modal perusahaan dalam kondisi tertentu, terutama Ketika tekanan dari pemangku kepentingan meningkat secara </w:t>
      </w:r>
      <w:r>
        <w:rPr>
          <w:spacing w:val="-2"/>
        </w:rPr>
        <w:t>dinamis.</w:t>
      </w:r>
    </w:p>
    <w:p>
      <w:pPr>
        <w:pStyle w:val="BodyText"/>
        <w:spacing w:line="480" w:lineRule="auto"/>
        <w:ind w:left="1842" w:right="707" w:firstLine="709"/>
        <w:jc w:val="both"/>
      </w:pPr>
      <w:r>
        <w:rPr/>
        <w:t>Namun demikian, hal ini tidak sejalan dengan temuan studi yang dilakukan oleh Sari &amp; Yulianto (2022) menunjukan bahwa </w:t>
      </w:r>
      <w:r>
        <w:rPr>
          <w:i/>
        </w:rPr>
        <w:t>Political Cost </w:t>
      </w:r>
      <w:r>
        <w:rPr/>
        <w:t>berpengaruh positif terhadap ESG </w:t>
      </w:r>
      <w:r>
        <w:rPr>
          <w:i/>
        </w:rPr>
        <w:t>Disclosure</w:t>
      </w:r>
      <w:r>
        <w:rPr/>
        <w:t>. </w:t>
      </w:r>
      <w:r>
        <w:rPr>
          <w:i/>
        </w:rPr>
        <w:t>Corporate governance </w:t>
      </w:r>
      <w:r>
        <w:rPr/>
        <w:t>yang baik berfungsi sebagai pelindung terhadap pengaruh negatif dari political cost pada pengungkapan ESG. Dalam hal ini, perusahaan dengan</w:t>
      </w:r>
      <w:r>
        <w:rPr>
          <w:spacing w:val="40"/>
        </w:rPr>
        <w:t> </w:t>
      </w:r>
      <w:r>
        <w:rPr/>
        <w:t>struktur</w:t>
      </w:r>
      <w:r>
        <w:rPr>
          <w:spacing w:val="-1"/>
        </w:rPr>
        <w:t> </w:t>
      </w:r>
      <w:r>
        <w:rPr/>
        <w:t>tata</w:t>
      </w:r>
      <w:r>
        <w:rPr>
          <w:spacing w:val="-1"/>
        </w:rPr>
        <w:t> </w:t>
      </w:r>
      <w:r>
        <w:rPr/>
        <w:t>kelola</w:t>
      </w:r>
      <w:r>
        <w:rPr>
          <w:spacing w:val="-1"/>
        </w:rPr>
        <w:t> </w:t>
      </w:r>
      <w:r>
        <w:rPr/>
        <w:t>yang</w:t>
      </w:r>
      <w:r>
        <w:rPr>
          <w:spacing w:val="-1"/>
        </w:rPr>
        <w:t> </w:t>
      </w:r>
      <w:r>
        <w:rPr/>
        <w:t>kuat</w:t>
      </w:r>
      <w:r>
        <w:rPr>
          <w:spacing w:val="-1"/>
        </w:rPr>
        <w:t> </w:t>
      </w:r>
      <w:r>
        <w:rPr/>
        <w:t>cenderung</w:t>
      </w:r>
      <w:r>
        <w:rPr>
          <w:spacing w:val="-1"/>
        </w:rPr>
        <w:t> </w:t>
      </w:r>
      <w:r>
        <w:rPr/>
        <w:t>lebih</w:t>
      </w:r>
      <w:r>
        <w:rPr>
          <w:spacing w:val="-1"/>
        </w:rPr>
        <w:t> </w:t>
      </w:r>
      <w:r>
        <w:rPr/>
        <w:t>transparan</w:t>
      </w:r>
      <w:r>
        <w:rPr>
          <w:spacing w:val="-1"/>
        </w:rPr>
        <w:t> </w:t>
      </w:r>
      <w:r>
        <w:rPr/>
        <w:t>dalam pengungkapan informasi terkait ESG, bahkan ketika</w:t>
      </w:r>
      <w:r>
        <w:rPr>
          <w:spacing w:val="40"/>
        </w:rPr>
        <w:t> </w:t>
      </w:r>
      <w:r>
        <w:rPr/>
        <w:t>dihadapkan pada tekanan politik yang tinggi. Penulis menemukan bahwa perusahaan yang memiliki mekanisme kontrol yang baik, seperti dewan direksi yang independen dan</w:t>
      </w:r>
    </w:p>
    <w:p>
      <w:pPr>
        <w:pStyle w:val="BodyText"/>
        <w:spacing w:after="0" w:line="480" w:lineRule="auto"/>
        <w:jc w:val="both"/>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BodyText"/>
        <w:spacing w:line="480" w:lineRule="auto"/>
        <w:ind w:left="1843" w:right="709"/>
        <w:jc w:val="both"/>
      </w:pPr>
      <w:r>
        <w:rPr/>
        <w:t>keterlibatan pemangku kepentingan yang aktif, lebih mampu menghadapi tantangan yang terkait dengan political cost</w:t>
      </w:r>
    </w:p>
    <w:p>
      <w:pPr>
        <w:pStyle w:val="BodyText"/>
        <w:spacing w:line="480" w:lineRule="auto"/>
        <w:ind w:left="1842" w:right="708" w:firstLine="709"/>
        <w:jc w:val="both"/>
      </w:pPr>
      <w:r>
        <w:rPr/>
        <w:t>Menurut Wijayanti &amp; Gunawan (2020) menunjukan bahwa </w:t>
      </w:r>
      <w:r>
        <w:rPr>
          <w:i/>
        </w:rPr>
        <w:t>Political Cost </w:t>
      </w:r>
      <w:r>
        <w:rPr/>
        <w:t>berpengaruh positif terhadap ESG </w:t>
      </w:r>
      <w:r>
        <w:rPr>
          <w:i/>
        </w:rPr>
        <w:t>Disclosure. </w:t>
      </w:r>
      <w:r>
        <w:rPr/>
        <w:t>Perusahaan yang beroperasi dalam lingkungan politik yang lebih ketat dan yang memiliki interaksi yang lebih besar dengan pemerintah cenderung melakukan</w:t>
      </w:r>
      <w:r>
        <w:rPr>
          <w:spacing w:val="40"/>
        </w:rPr>
        <w:t> </w:t>
      </w:r>
      <w:r>
        <w:rPr/>
        <w:t>pengungkapan lingkungan yang lebih baik. Penulis mencatat bahwa perusahaan-perusahaan ini berusaha untuk meningkatkan transparansi dalam laporan mereka guna mengurangi potensi risiko yang terkait dengan pengawasan pemerintah dan opini publik yang negatif</w:t>
      </w:r>
    </w:p>
    <w:p>
      <w:pPr>
        <w:pStyle w:val="ListParagraph"/>
        <w:numPr>
          <w:ilvl w:val="1"/>
          <w:numId w:val="8"/>
        </w:numPr>
        <w:tabs>
          <w:tab w:pos="1840" w:val="left" w:leader="none"/>
          <w:tab w:pos="1842" w:val="left" w:leader="none"/>
        </w:tabs>
        <w:spacing w:line="480" w:lineRule="auto" w:before="0" w:after="0"/>
        <w:ind w:left="1842" w:right="709" w:hanging="360"/>
        <w:jc w:val="both"/>
        <w:rPr>
          <w:b/>
          <w:i/>
          <w:sz w:val="24"/>
        </w:rPr>
      </w:pPr>
      <w:r>
        <w:rPr>
          <w:b/>
          <w:sz w:val="24"/>
        </w:rPr>
        <w:t>Pengaruh Ukuran Perusahaan dalam memoderasi Karakteristik CEO terhadap </w:t>
      </w:r>
      <w:r>
        <w:rPr>
          <w:b/>
          <w:i/>
          <w:sz w:val="24"/>
        </w:rPr>
        <w:t>Environmental, Social, Governance </w:t>
      </w:r>
      <w:r>
        <w:rPr>
          <w:b/>
          <w:sz w:val="24"/>
        </w:rPr>
        <w:t>(ESG) </w:t>
      </w:r>
      <w:r>
        <w:rPr>
          <w:b/>
          <w:i/>
          <w:sz w:val="24"/>
        </w:rPr>
        <w:t>Disclosure</w:t>
      </w:r>
    </w:p>
    <w:p>
      <w:pPr>
        <w:pStyle w:val="BodyText"/>
        <w:spacing w:line="480" w:lineRule="auto"/>
        <w:ind w:left="1842" w:right="707" w:firstLine="709"/>
        <w:jc w:val="both"/>
      </w:pPr>
      <w:r>
        <w:rPr/>
        <w:t>Ukuran perusahaan merupakan indikator yang menentukan besarnya suatu perusahaan, biasanya diukur dengan beberapa parameter seperti total aset, kapitalisasi pasar, jumlah saham yang beredar, total penjualan,</w:t>
      </w:r>
      <w:r>
        <w:rPr>
          <w:spacing w:val="80"/>
        </w:rPr>
        <w:t> </w:t>
      </w:r>
      <w:r>
        <w:rPr/>
        <w:t>pendapatan keseluruhan, dan total modal yang dimiliki perusahaan (Umam, 2020).</w:t>
      </w:r>
    </w:p>
    <w:p>
      <w:pPr>
        <w:pStyle w:val="BodyText"/>
        <w:spacing w:line="480" w:lineRule="auto"/>
        <w:ind w:left="1842" w:right="709" w:firstLine="709"/>
        <w:jc w:val="both"/>
      </w:pPr>
      <w:r>
        <w:rPr/>
        <w:t>Maka, penelitian Li, et al. (2021) menyatakan bahwa ukuran</w:t>
      </w:r>
      <w:r>
        <w:rPr>
          <w:spacing w:val="80"/>
        </w:rPr>
        <w:t> </w:t>
      </w:r>
      <w:r>
        <w:rPr/>
        <w:t>perusahaan</w:t>
      </w:r>
      <w:r>
        <w:rPr>
          <w:spacing w:val="80"/>
        </w:rPr>
        <w:t> </w:t>
      </w:r>
      <w:r>
        <w:rPr/>
        <w:t>berpengaruh</w:t>
      </w:r>
      <w:r>
        <w:rPr>
          <w:spacing w:val="80"/>
        </w:rPr>
        <w:t> </w:t>
      </w:r>
      <w:r>
        <w:rPr/>
        <w:t>positif</w:t>
      </w:r>
      <w:r>
        <w:rPr>
          <w:spacing w:val="80"/>
        </w:rPr>
        <w:t> </w:t>
      </w:r>
      <w:r>
        <w:rPr/>
        <w:t>signifikan</w:t>
      </w:r>
      <w:r>
        <w:rPr>
          <w:spacing w:val="80"/>
        </w:rPr>
        <w:t> </w:t>
      </w:r>
      <w:r>
        <w:rPr/>
        <w:t>terhadap</w:t>
      </w:r>
    </w:p>
    <w:p>
      <w:pPr>
        <w:pStyle w:val="BodyText"/>
        <w:spacing w:after="0" w:line="480" w:lineRule="auto"/>
        <w:jc w:val="both"/>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BodyText"/>
        <w:spacing w:line="480" w:lineRule="auto"/>
        <w:ind w:left="1843" w:right="708"/>
        <w:jc w:val="both"/>
      </w:pPr>
      <w:r>
        <w:rPr/>
        <w:t>ESG Disclosure karena perusahaan besar cenderung memiliki pemangku kepentingan yang lebih banyak dan terdiversifikasi yang mendorong transparansi. Ukuran perusahaan menjadi faktor penting yang memperkuat dampak positif CEO terhadap pengungkapan ESG, karena perusahaan besar sering kali berada di bawah pengawasan ketat oleh regulator dan </w:t>
      </w:r>
      <w:r>
        <w:rPr>
          <w:spacing w:val="-2"/>
        </w:rPr>
        <w:t>masyarakat.</w:t>
      </w:r>
    </w:p>
    <w:p>
      <w:pPr>
        <w:pStyle w:val="BodyText"/>
        <w:spacing w:line="480" w:lineRule="auto"/>
        <w:ind w:left="1843" w:right="708" w:firstLine="709"/>
        <w:jc w:val="both"/>
      </w:pPr>
      <w:r>
        <w:rPr/>
        <w:t>Setiawan &amp; Christiawan (2017) juga menyatakan bahwa tata kelola perusahaan yang baik dan ukuran perusahaan memiliki korelasi positif dengan ESG disclosure. CEO yang memiliki fokus pada keberlanjutan dalam perusahaan besar cenderung meningkatkan kualitas ESG disclosure untuk menjaga reputasi perusahaan dan meningkatkan nilai pemegang saham. Ukuran perusahaan yang besar</w:t>
      </w:r>
      <w:r>
        <w:rPr>
          <w:spacing w:val="80"/>
        </w:rPr>
        <w:t> </w:t>
      </w:r>
      <w:r>
        <w:rPr/>
        <w:t>memberikan kemampuan dan sumber daya yang lebih besar untuk meningkatkan ESG disclosure, karena perusahaan besar lebih banyak berhadapan dengan ekspektasi dari pemangku kepentingan yang beragam, yang menuntut transparansi dalam isu lingkungan dan sosial.</w:t>
      </w:r>
    </w:p>
    <w:p>
      <w:pPr>
        <w:pStyle w:val="BodyText"/>
        <w:spacing w:line="480" w:lineRule="auto"/>
        <w:ind w:left="1843" w:right="708" w:firstLine="709"/>
        <w:jc w:val="both"/>
      </w:pPr>
      <w:r>
        <w:rPr/>
        <w:t>Hasil penelitian Baldini, et al. (2018) menjelaskan bahwa perusahaan besar dengan CEO yang pro-keberlanjutan lebih cenderung memiliki ESG disclosure yang tinggi. Ukuran perusahaan</w:t>
      </w:r>
      <w:r>
        <w:rPr>
          <w:spacing w:val="35"/>
        </w:rPr>
        <w:t> </w:t>
      </w:r>
      <w:r>
        <w:rPr/>
        <w:t>berfungsi</w:t>
      </w:r>
      <w:r>
        <w:rPr>
          <w:spacing w:val="35"/>
        </w:rPr>
        <w:t> </w:t>
      </w:r>
      <w:r>
        <w:rPr/>
        <w:t>sebagai</w:t>
      </w:r>
      <w:r>
        <w:rPr>
          <w:spacing w:val="35"/>
        </w:rPr>
        <w:t> </w:t>
      </w:r>
      <w:r>
        <w:rPr/>
        <w:t>moderator,</w:t>
      </w:r>
      <w:r>
        <w:rPr>
          <w:spacing w:val="35"/>
        </w:rPr>
        <w:t> </w:t>
      </w:r>
      <w:r>
        <w:rPr/>
        <w:t>karena</w:t>
      </w:r>
      <w:r>
        <w:rPr>
          <w:spacing w:val="35"/>
        </w:rPr>
        <w:t> </w:t>
      </w:r>
      <w:r>
        <w:rPr/>
        <w:t>perusahaan</w:t>
      </w:r>
    </w:p>
    <w:p>
      <w:pPr>
        <w:pStyle w:val="BodyText"/>
        <w:spacing w:after="0" w:line="480" w:lineRule="auto"/>
        <w:jc w:val="both"/>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BodyText"/>
        <w:spacing w:line="480" w:lineRule="auto"/>
        <w:ind w:left="1843" w:right="708"/>
        <w:jc w:val="both"/>
      </w:pPr>
      <w:r>
        <w:rPr/>
        <w:t>besar mendapat tekanan lebih besar dari pemangku kepentingan</w:t>
      </w:r>
      <w:r>
        <w:rPr>
          <w:spacing w:val="-4"/>
        </w:rPr>
        <w:t> </w:t>
      </w:r>
      <w:r>
        <w:rPr/>
        <w:t>eksternal</w:t>
      </w:r>
      <w:r>
        <w:rPr>
          <w:spacing w:val="-4"/>
        </w:rPr>
        <w:t> </w:t>
      </w:r>
      <w:r>
        <w:rPr/>
        <w:t>terkait</w:t>
      </w:r>
      <w:r>
        <w:rPr>
          <w:spacing w:val="-4"/>
        </w:rPr>
        <w:t> </w:t>
      </w:r>
      <w:r>
        <w:rPr/>
        <w:t>praktik</w:t>
      </w:r>
      <w:r>
        <w:rPr>
          <w:spacing w:val="-4"/>
        </w:rPr>
        <w:t> </w:t>
      </w:r>
      <w:r>
        <w:rPr/>
        <w:t>keberlanjutan.</w:t>
      </w:r>
      <w:r>
        <w:rPr>
          <w:spacing w:val="-4"/>
        </w:rPr>
        <w:t> </w:t>
      </w:r>
      <w:r>
        <w:rPr/>
        <w:t>Oleh</w:t>
      </w:r>
      <w:r>
        <w:rPr>
          <w:spacing w:val="-4"/>
        </w:rPr>
        <w:t> </w:t>
      </w:r>
      <w:r>
        <w:rPr/>
        <w:t>karena itu, CEO di perusahaan besar lebih terdorong untuk mengungkapkan informasi ESG yang lebih transparan sebagai respons</w:t>
      </w:r>
      <w:r>
        <w:rPr>
          <w:spacing w:val="-2"/>
        </w:rPr>
        <w:t> </w:t>
      </w:r>
      <w:r>
        <w:rPr/>
        <w:t>terhadap</w:t>
      </w:r>
      <w:r>
        <w:rPr>
          <w:spacing w:val="-2"/>
        </w:rPr>
        <w:t> </w:t>
      </w:r>
      <w:r>
        <w:rPr/>
        <w:t>tuntutan</w:t>
      </w:r>
      <w:r>
        <w:rPr>
          <w:spacing w:val="-2"/>
        </w:rPr>
        <w:t> </w:t>
      </w:r>
      <w:r>
        <w:rPr/>
        <w:t>dan</w:t>
      </w:r>
      <w:r>
        <w:rPr>
          <w:spacing w:val="-2"/>
        </w:rPr>
        <w:t> </w:t>
      </w:r>
      <w:r>
        <w:rPr/>
        <w:t>harapan</w:t>
      </w:r>
      <w:r>
        <w:rPr>
          <w:spacing w:val="-2"/>
        </w:rPr>
        <w:t> </w:t>
      </w:r>
      <w:r>
        <w:rPr/>
        <w:t>masyarakat</w:t>
      </w:r>
      <w:r>
        <w:rPr>
          <w:spacing w:val="-2"/>
        </w:rPr>
        <w:t> </w:t>
      </w:r>
      <w:r>
        <w:rPr/>
        <w:t>serta</w:t>
      </w:r>
      <w:r>
        <w:rPr>
          <w:spacing w:val="-2"/>
        </w:rPr>
        <w:t> </w:t>
      </w:r>
      <w:r>
        <w:rPr/>
        <w:t>untuk mempertahankan kepercayaan publik.</w:t>
      </w:r>
    </w:p>
    <w:p>
      <w:pPr>
        <w:pStyle w:val="BodyText"/>
        <w:spacing w:line="480" w:lineRule="auto"/>
        <w:ind w:left="1843" w:right="708" w:firstLine="709"/>
        <w:jc w:val="both"/>
      </w:pPr>
      <w:r>
        <w:rPr/>
        <w:t>Dalam penelitian Hasan &amp; Habib (2017) menjelaskan bahwa siklus hidup perusahaan dan tanggung jawab sosial, menunjukkan bahwa perusahaan yang sudah mapan memiliki kecenderungan yang lebih besar untuk memenuhi tanggung jawab sosial karena adanya keunggulan kompetitif dan ketersediaan sumber daya. Penelitian ini mendukung adanya hubungan positif antara ukuran perusahaan dan pengungkapan ESG, di mana perusahaan besar lebih terdorong untuk transparan terhadap publik.</w:t>
      </w:r>
    </w:p>
    <w:p>
      <w:pPr>
        <w:pStyle w:val="BodyText"/>
        <w:spacing w:line="480" w:lineRule="auto"/>
        <w:ind w:left="1843" w:right="708" w:firstLine="709"/>
        <w:jc w:val="both"/>
      </w:pPr>
      <w:r>
        <w:rPr/>
        <w:t>Sedangkan menurut Amato &amp; Falivena (2019) menekankan</w:t>
      </w:r>
      <w:r>
        <w:rPr>
          <w:spacing w:val="-2"/>
        </w:rPr>
        <w:t> </w:t>
      </w:r>
      <w:r>
        <w:rPr/>
        <w:t>bahwa</w:t>
      </w:r>
      <w:r>
        <w:rPr>
          <w:spacing w:val="-2"/>
        </w:rPr>
        <w:t> </w:t>
      </w:r>
      <w:r>
        <w:rPr/>
        <w:t>perusahaan</w:t>
      </w:r>
      <w:r>
        <w:rPr>
          <w:spacing w:val="-2"/>
        </w:rPr>
        <w:t> </w:t>
      </w:r>
      <w:r>
        <w:rPr/>
        <w:t>besar</w:t>
      </w:r>
      <w:r>
        <w:rPr>
          <w:spacing w:val="-2"/>
        </w:rPr>
        <w:t> </w:t>
      </w:r>
      <w:r>
        <w:rPr/>
        <w:t>lebih</w:t>
      </w:r>
      <w:r>
        <w:rPr>
          <w:spacing w:val="-2"/>
        </w:rPr>
        <w:t> </w:t>
      </w:r>
      <w:r>
        <w:rPr/>
        <w:t>mampu</w:t>
      </w:r>
      <w:r>
        <w:rPr>
          <w:spacing w:val="-2"/>
        </w:rPr>
        <w:t> </w:t>
      </w:r>
      <w:r>
        <w:rPr/>
        <w:t>memenuhi harapan publik dan pemangku kepentingan terkait tanggung jawab sosial. Mereka memiliki sumber daya finansial yang memadai untuk berpartisipasi dalam praktik ESG yang lebih mendalam dan lebih siap merespons tekanan dari institusi dan masyarakat untuk mematuhi norma sosial. Ukuran perusahaan yang</w:t>
      </w:r>
      <w:r>
        <w:rPr>
          <w:spacing w:val="40"/>
        </w:rPr>
        <w:t> </w:t>
      </w:r>
      <w:r>
        <w:rPr/>
        <w:t>lebih</w:t>
      </w:r>
      <w:r>
        <w:rPr>
          <w:spacing w:val="40"/>
        </w:rPr>
        <w:t> </w:t>
      </w:r>
      <w:r>
        <w:rPr/>
        <w:t>besar</w:t>
      </w:r>
      <w:r>
        <w:rPr>
          <w:spacing w:val="40"/>
        </w:rPr>
        <w:t> </w:t>
      </w:r>
      <w:r>
        <w:rPr/>
        <w:t>juga</w:t>
      </w:r>
      <w:r>
        <w:rPr>
          <w:spacing w:val="40"/>
        </w:rPr>
        <w:t> </w:t>
      </w:r>
      <w:r>
        <w:rPr/>
        <w:t>memungkinkan</w:t>
      </w:r>
      <w:r>
        <w:rPr>
          <w:spacing w:val="40"/>
        </w:rPr>
        <w:t> </w:t>
      </w:r>
      <w:r>
        <w:rPr/>
        <w:t>mereka</w:t>
      </w:r>
      <w:r>
        <w:rPr>
          <w:spacing w:val="40"/>
        </w:rPr>
        <w:t> </w:t>
      </w:r>
      <w:r>
        <w:rPr/>
        <w:t>mendapatkan</w:t>
      </w:r>
    </w:p>
    <w:p>
      <w:pPr>
        <w:pStyle w:val="BodyText"/>
        <w:spacing w:after="0" w:line="480" w:lineRule="auto"/>
        <w:jc w:val="both"/>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BodyText"/>
        <w:spacing w:line="480" w:lineRule="auto"/>
        <w:ind w:left="1843" w:right="709"/>
        <w:jc w:val="both"/>
      </w:pPr>
      <w:r>
        <w:rPr/>
        <w:t>dukungan regulasi dan pengakuan publik, yang mendorong keterbukaan dalam pengungkapan ESG.</w:t>
      </w:r>
    </w:p>
    <w:p>
      <w:pPr>
        <w:pStyle w:val="ListParagraph"/>
        <w:numPr>
          <w:ilvl w:val="1"/>
          <w:numId w:val="8"/>
        </w:numPr>
        <w:tabs>
          <w:tab w:pos="1841" w:val="left" w:leader="none"/>
          <w:tab w:pos="1843" w:val="left" w:leader="none"/>
        </w:tabs>
        <w:spacing w:line="480" w:lineRule="auto" w:before="0" w:after="0"/>
        <w:ind w:left="1843" w:right="710" w:hanging="360"/>
        <w:jc w:val="both"/>
        <w:rPr>
          <w:b/>
          <w:i/>
          <w:sz w:val="24"/>
        </w:rPr>
      </w:pPr>
      <w:r>
        <w:rPr>
          <w:b/>
          <w:sz w:val="24"/>
        </w:rPr>
        <w:t>Pengaruh Ukuran Perusahaan dalam memoderasi Kinerja Keuangan terhadap </w:t>
      </w:r>
      <w:r>
        <w:rPr>
          <w:b/>
          <w:i/>
          <w:sz w:val="24"/>
        </w:rPr>
        <w:t>Environmental, Social, Governance </w:t>
      </w:r>
      <w:r>
        <w:rPr>
          <w:b/>
          <w:sz w:val="24"/>
        </w:rPr>
        <w:t>(ESG) </w:t>
      </w:r>
      <w:r>
        <w:rPr>
          <w:b/>
          <w:i/>
          <w:sz w:val="24"/>
        </w:rPr>
        <w:t>Disclosure</w:t>
      </w:r>
    </w:p>
    <w:p>
      <w:pPr>
        <w:pStyle w:val="BodyText"/>
        <w:spacing w:line="480" w:lineRule="auto"/>
        <w:ind w:left="1842" w:right="707" w:firstLine="709"/>
        <w:jc w:val="both"/>
      </w:pPr>
      <w:r>
        <w:rPr/>
        <w:t>Fatemi, et al. (2018) menjelaskan bahwa ukuran perusahaan yang lebih besar memberikan lebih banyak fleksibilitas dalam anggaran dan sumber daya untuk mendukung pengungkapan ESG yang mendalam. Hubungan antara pengungkapan ESG dan kinerja keuangan menjadi lebih kuat di perusahaan besar, karena mereka lebih mampu menyerap</w:t>
      </w:r>
      <w:r>
        <w:rPr>
          <w:spacing w:val="-3"/>
        </w:rPr>
        <w:t> </w:t>
      </w:r>
      <w:r>
        <w:rPr/>
        <w:t>biaya</w:t>
      </w:r>
      <w:r>
        <w:rPr>
          <w:spacing w:val="-3"/>
        </w:rPr>
        <w:t> </w:t>
      </w:r>
      <w:r>
        <w:rPr/>
        <w:t>ESG</w:t>
      </w:r>
      <w:r>
        <w:rPr>
          <w:spacing w:val="-3"/>
        </w:rPr>
        <w:t> </w:t>
      </w:r>
      <w:r>
        <w:rPr/>
        <w:t>dan</w:t>
      </w:r>
      <w:r>
        <w:rPr>
          <w:spacing w:val="-3"/>
        </w:rPr>
        <w:t> </w:t>
      </w:r>
      <w:r>
        <w:rPr/>
        <w:t>mendapat</w:t>
      </w:r>
      <w:r>
        <w:rPr>
          <w:spacing w:val="-3"/>
        </w:rPr>
        <w:t> </w:t>
      </w:r>
      <w:r>
        <w:rPr/>
        <w:t>manfaat</w:t>
      </w:r>
      <w:r>
        <w:rPr>
          <w:spacing w:val="-3"/>
        </w:rPr>
        <w:t> </w:t>
      </w:r>
      <w:r>
        <w:rPr/>
        <w:t>dari</w:t>
      </w:r>
      <w:r>
        <w:rPr>
          <w:spacing w:val="-3"/>
        </w:rPr>
        <w:t> </w:t>
      </w:r>
      <w:r>
        <w:rPr/>
        <w:t>reputasi</w:t>
      </w:r>
      <w:r>
        <w:rPr>
          <w:spacing w:val="-3"/>
        </w:rPr>
        <w:t> </w:t>
      </w:r>
      <w:r>
        <w:rPr/>
        <w:t>yang lebih baik di mata investor dan masyarakat (pengaruh positif). Temuan ini sejalan dengan penelitian oleh Amato &amp; Falivena (2019) yang menunjukkan bahwa ukuran perusahaan yang besar mendukung keterbukaan yang lebih baik dalam pengungkapan ESG, karena perusahaan besar memiliki kapasitas lebih untuk merespons ekspektasi pemangku kepentingan terkait tanggung jawab sosial dan lingkungan. Mereka</w:t>
      </w:r>
      <w:r>
        <w:rPr>
          <w:spacing w:val="-2"/>
        </w:rPr>
        <w:t> </w:t>
      </w:r>
      <w:r>
        <w:rPr/>
        <w:t>juga</w:t>
      </w:r>
      <w:r>
        <w:rPr>
          <w:spacing w:val="-2"/>
        </w:rPr>
        <w:t> </w:t>
      </w:r>
      <w:r>
        <w:rPr/>
        <w:t>mencatat</w:t>
      </w:r>
      <w:r>
        <w:rPr>
          <w:spacing w:val="-2"/>
        </w:rPr>
        <w:t> </w:t>
      </w:r>
      <w:r>
        <w:rPr/>
        <w:t>bahwa</w:t>
      </w:r>
      <w:r>
        <w:rPr>
          <w:spacing w:val="-2"/>
        </w:rPr>
        <w:t> </w:t>
      </w:r>
      <w:r>
        <w:rPr/>
        <w:t>pengungkapan</w:t>
      </w:r>
      <w:r>
        <w:rPr>
          <w:spacing w:val="-2"/>
        </w:rPr>
        <w:t> </w:t>
      </w:r>
      <w:r>
        <w:rPr/>
        <w:t>yang</w:t>
      </w:r>
      <w:r>
        <w:rPr>
          <w:spacing w:val="-2"/>
        </w:rPr>
        <w:t> </w:t>
      </w:r>
      <w:r>
        <w:rPr/>
        <w:t>lebih</w:t>
      </w:r>
      <w:r>
        <w:rPr>
          <w:spacing w:val="-2"/>
        </w:rPr>
        <w:t> </w:t>
      </w:r>
      <w:r>
        <w:rPr/>
        <w:t>baik</w:t>
      </w:r>
      <w:r>
        <w:rPr>
          <w:spacing w:val="-2"/>
        </w:rPr>
        <w:t> </w:t>
      </w:r>
      <w:r>
        <w:rPr/>
        <w:t>ini meningkatkan</w:t>
      </w:r>
      <w:r>
        <w:rPr>
          <w:spacing w:val="-2"/>
        </w:rPr>
        <w:t> </w:t>
      </w:r>
      <w:r>
        <w:rPr/>
        <w:t>kepercayaan</w:t>
      </w:r>
      <w:r>
        <w:rPr>
          <w:spacing w:val="-2"/>
        </w:rPr>
        <w:t> </w:t>
      </w:r>
      <w:r>
        <w:rPr/>
        <w:t>investor</w:t>
      </w:r>
      <w:r>
        <w:rPr>
          <w:spacing w:val="-2"/>
        </w:rPr>
        <w:t> </w:t>
      </w:r>
      <w:r>
        <w:rPr/>
        <w:t>dan</w:t>
      </w:r>
      <w:r>
        <w:rPr>
          <w:spacing w:val="-2"/>
        </w:rPr>
        <w:t> </w:t>
      </w:r>
      <w:r>
        <w:rPr/>
        <w:t>memberikan</w:t>
      </w:r>
      <w:r>
        <w:rPr>
          <w:spacing w:val="-2"/>
        </w:rPr>
        <w:t> </w:t>
      </w:r>
      <w:r>
        <w:rPr/>
        <w:t>dorongan positif pada kinerja keuangan perusahaan besar.</w:t>
      </w:r>
    </w:p>
    <w:p>
      <w:pPr>
        <w:pStyle w:val="BodyText"/>
        <w:spacing w:after="0" w:line="480" w:lineRule="auto"/>
        <w:jc w:val="both"/>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BodyText"/>
        <w:spacing w:line="480" w:lineRule="auto"/>
        <w:ind w:left="1843" w:right="708" w:firstLine="709"/>
        <w:jc w:val="both"/>
      </w:pPr>
      <w:r>
        <w:rPr/>
        <w:t>Penelitian oleh Han, et al. (2022) juga mendukung pandangan ini, terutama dalam konteks Tiongkok, di mana perusahaan besar yang berada di bawah pengawasan ketat pemerintah dan lembaga keuangan cenderung</w:t>
      </w:r>
      <w:r>
        <w:rPr>
          <w:spacing w:val="40"/>
        </w:rPr>
        <w:t> </w:t>
      </w:r>
      <w:r>
        <w:rPr/>
        <w:t>mengungkapkan informasi ESG yang lebih komprehensif. Ini tidak hanya mendukung kinerja keuangan melalui peningkatan kepercayaan investor, tetapi juga memperkuat reputasi perusahaan dalam lingkungan pasar yang kompetitif, yang mana Fatemi et al. (2018) juga anggap sebagai keuntungan</w:t>
      </w:r>
      <w:r>
        <w:rPr>
          <w:spacing w:val="40"/>
        </w:rPr>
        <w:t> </w:t>
      </w:r>
      <w:r>
        <w:rPr/>
        <w:t>dari keterbukaan ESG pada perusahaan besar.</w:t>
      </w:r>
    </w:p>
    <w:p>
      <w:pPr>
        <w:pStyle w:val="BodyText"/>
        <w:spacing w:line="480" w:lineRule="auto"/>
        <w:ind w:left="1843" w:right="708" w:firstLine="709"/>
        <w:jc w:val="both"/>
      </w:pPr>
      <w:r>
        <w:rPr/>
        <w:t>Selain itu, Albitar, et al. (2020) menjelaskan bahwa</w:t>
      </w:r>
      <w:r>
        <w:rPr>
          <w:spacing w:val="40"/>
        </w:rPr>
        <w:t> </w:t>
      </w:r>
      <w:r>
        <w:rPr/>
        <w:t>dalam konteks perusahaan yang terdaftar di FTSE 350, perusahaan yang lebih besar memiliki keunggulan dalam mencapai kinerja keuangan yang lebih baik melalui pengungkapan ESG, terutama ketika terintegrasi dengan pelaporan terpadu (IR). Mereka mencatat bahwa</w:t>
      </w:r>
      <w:r>
        <w:rPr>
          <w:spacing w:val="40"/>
        </w:rPr>
        <w:t> </w:t>
      </w:r>
      <w:r>
        <w:rPr/>
        <w:t>pengungkapan ESG pada perusahaan besar membantu dalam memitigasi risiko keuangan dan meningkatkan keuntungan jangka panjang, sehingga konsisten dengan pandangan Fatemi et al. (2018) bahwa perusahaan besar mampu menyerap biaya ESG lebih efektif karena manfaat reputasi yang dihasilkannya.</w:t>
      </w:r>
    </w:p>
    <w:p>
      <w:pPr>
        <w:pStyle w:val="BodyText"/>
        <w:spacing w:after="0" w:line="480" w:lineRule="auto"/>
        <w:jc w:val="both"/>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ListParagraph"/>
        <w:numPr>
          <w:ilvl w:val="1"/>
          <w:numId w:val="8"/>
        </w:numPr>
        <w:tabs>
          <w:tab w:pos="1840" w:val="left" w:leader="none"/>
          <w:tab w:pos="1842" w:val="left" w:leader="none"/>
        </w:tabs>
        <w:spacing w:line="480" w:lineRule="auto" w:before="0" w:after="0"/>
        <w:ind w:left="1842" w:right="707" w:hanging="360"/>
        <w:jc w:val="both"/>
        <w:rPr>
          <w:b/>
          <w:i/>
          <w:sz w:val="24"/>
        </w:rPr>
      </w:pPr>
      <w:r>
        <w:rPr>
          <w:b/>
          <w:sz w:val="24"/>
        </w:rPr>
        <w:t>Pengaruh Ukuran Perusahaan dalam memoderasi </w:t>
      </w:r>
      <w:r>
        <w:rPr>
          <w:b/>
          <w:i/>
          <w:sz w:val="24"/>
        </w:rPr>
        <w:t>Political Cost </w:t>
      </w:r>
      <w:r>
        <w:rPr>
          <w:b/>
          <w:sz w:val="24"/>
        </w:rPr>
        <w:t>terhadap </w:t>
      </w:r>
      <w:r>
        <w:rPr>
          <w:b/>
          <w:i/>
          <w:sz w:val="24"/>
        </w:rPr>
        <w:t>Environmental, Social, Governance </w:t>
      </w:r>
      <w:r>
        <w:rPr>
          <w:b/>
          <w:sz w:val="24"/>
        </w:rPr>
        <w:t>(ESG) </w:t>
      </w:r>
      <w:r>
        <w:rPr>
          <w:b/>
          <w:i/>
          <w:spacing w:val="-2"/>
          <w:sz w:val="24"/>
        </w:rPr>
        <w:t>Disclosure</w:t>
      </w:r>
    </w:p>
    <w:p>
      <w:pPr>
        <w:pStyle w:val="BodyText"/>
        <w:spacing w:line="480" w:lineRule="auto" w:before="160"/>
        <w:ind w:left="1842" w:right="707" w:firstLine="708"/>
        <w:jc w:val="both"/>
      </w:pPr>
      <w:r>
        <w:rPr/>
        <w:t>Amato &amp; Falivena (2019) - Meneliti hubungan antara ukuran perusahaan dan pengungkapan ESG di berbagai</w:t>
      </w:r>
      <w:r>
        <w:rPr>
          <w:spacing w:val="80"/>
        </w:rPr>
        <w:t> </w:t>
      </w:r>
      <w:r>
        <w:rPr/>
        <w:t>sektor, mereka menyimpulkan bahwa perusahaan besar lebih mampu menangani tekanan politik karena memiliki sumber</w:t>
      </w:r>
      <w:r>
        <w:rPr>
          <w:spacing w:val="40"/>
        </w:rPr>
        <w:t> </w:t>
      </w:r>
      <w:r>
        <w:rPr/>
        <w:t>daya yang lebih banyak untuk mendukung program ESG. Pengungkapan ESG yang lebih baik di perusahaan besar membantu memenuhi ekspektasi publik dan regulasi, sehingga mengurangi potensi biaya politik. Pandangan ini didukung oleh Abdi et al. (2022) yang menemukan bahwa perusahaan besar menghadapi tekanan politik yang lebih tinggi namun lebih siap untuk</w:t>
      </w:r>
      <w:r>
        <w:rPr>
          <w:spacing w:val="-2"/>
        </w:rPr>
        <w:t> </w:t>
      </w:r>
      <w:r>
        <w:rPr/>
        <w:t>merespons</w:t>
      </w:r>
      <w:r>
        <w:rPr>
          <w:spacing w:val="-2"/>
        </w:rPr>
        <w:t> </w:t>
      </w:r>
      <w:r>
        <w:rPr/>
        <w:t>dengan</w:t>
      </w:r>
      <w:r>
        <w:rPr>
          <w:spacing w:val="-2"/>
        </w:rPr>
        <w:t> </w:t>
      </w:r>
      <w:r>
        <w:rPr/>
        <w:t>pengungkapan</w:t>
      </w:r>
      <w:r>
        <w:rPr>
          <w:spacing w:val="-2"/>
        </w:rPr>
        <w:t> </w:t>
      </w:r>
      <w:r>
        <w:rPr/>
        <w:t>ESG</w:t>
      </w:r>
      <w:r>
        <w:rPr>
          <w:spacing w:val="-2"/>
        </w:rPr>
        <w:t> </w:t>
      </w:r>
      <w:r>
        <w:rPr/>
        <w:t>yang</w:t>
      </w:r>
      <w:r>
        <w:rPr>
          <w:spacing w:val="-2"/>
        </w:rPr>
        <w:t> </w:t>
      </w:r>
      <w:r>
        <w:rPr/>
        <w:t>mendalam, yang memperkuat legitimasi mereka di mata publik dan </w:t>
      </w:r>
      <w:r>
        <w:rPr>
          <w:spacing w:val="-2"/>
        </w:rPr>
        <w:t>regulator.</w:t>
      </w:r>
    </w:p>
    <w:p>
      <w:pPr>
        <w:pStyle w:val="BodyText"/>
        <w:spacing w:line="480" w:lineRule="auto"/>
        <w:ind w:left="1842" w:right="708" w:firstLine="708"/>
        <w:jc w:val="both"/>
      </w:pPr>
      <w:r>
        <w:rPr/>
        <w:t>Saber Moussa &amp; Elmarzouky (2024) juga memperkuat argumen ini dengan mengamati bahwa di Inggris, perusahaan besar menggunakan pengungkapan ESG sebagai strategi</w:t>
      </w:r>
      <w:r>
        <w:rPr>
          <w:spacing w:val="40"/>
        </w:rPr>
        <w:t> </w:t>
      </w:r>
      <w:r>
        <w:rPr/>
        <w:t>untuk mengurangi biaya politik dan meningkatkan tata kelola perusahaan. Mereka menunjukkan bahwa pengungkapan ESG yang</w:t>
      </w:r>
      <w:r>
        <w:rPr>
          <w:spacing w:val="63"/>
        </w:rPr>
        <w:t>  </w:t>
      </w:r>
      <w:r>
        <w:rPr/>
        <w:t>lebih</w:t>
      </w:r>
      <w:r>
        <w:rPr>
          <w:spacing w:val="63"/>
        </w:rPr>
        <w:t>  </w:t>
      </w:r>
      <w:r>
        <w:rPr/>
        <w:t>komprehensif</w:t>
      </w:r>
      <w:r>
        <w:rPr>
          <w:spacing w:val="63"/>
        </w:rPr>
        <w:t>  </w:t>
      </w:r>
      <w:r>
        <w:rPr/>
        <w:t>membantu</w:t>
      </w:r>
      <w:r>
        <w:rPr>
          <w:spacing w:val="63"/>
        </w:rPr>
        <w:t>  </w:t>
      </w:r>
      <w:r>
        <w:rPr/>
        <w:t>perusahaan</w:t>
      </w:r>
      <w:r>
        <w:rPr>
          <w:spacing w:val="63"/>
        </w:rPr>
        <w:t>  </w:t>
      </w:r>
      <w:r>
        <w:rPr/>
        <w:t>besar</w:t>
      </w:r>
    </w:p>
    <w:p>
      <w:pPr>
        <w:pStyle w:val="BodyText"/>
        <w:spacing w:after="0" w:line="480" w:lineRule="auto"/>
        <w:jc w:val="both"/>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BodyText"/>
        <w:spacing w:line="480" w:lineRule="auto"/>
        <w:ind w:left="1843" w:right="708"/>
        <w:jc w:val="both"/>
      </w:pPr>
      <w:r>
        <w:rPr/>
        <w:t>mematuhi ekspektasi pemangku kepentingan dan peraturan yang lebih ketat, terutama di sektor dengan risiko politik tinggi.</w:t>
      </w:r>
    </w:p>
    <w:p>
      <w:pPr>
        <w:pStyle w:val="BodyText"/>
        <w:spacing w:line="480" w:lineRule="auto"/>
        <w:ind w:left="1843" w:right="707" w:firstLine="708"/>
        <w:jc w:val="both"/>
      </w:pPr>
      <w:r>
        <w:rPr/>
        <w:t>Selain itu, Wang, et al. (2022) menyoroti bahwa perusahaan besar di bawah tekanan politik sering memanfaatkan pengungkapan ESG untuk mempertahankan legitimasi mereka, yang selaras dengan kesimpulan Amato &amp; Falivena tentang peran pengungkapan ESG dalam mengurangi biaya politik. Dalam konteks ini, pengungkapan ESG memungkinkan perusahaan besar untuk lebih adaptif terhadap regulasi, mengurangi risiko tekanan politik, dan meningkatkan kepercayaan publik.</w:t>
      </w:r>
    </w:p>
    <w:p>
      <w:pPr>
        <w:pStyle w:val="BodyText"/>
        <w:spacing w:line="480" w:lineRule="auto"/>
        <w:ind w:left="1843" w:right="708" w:firstLine="708"/>
        <w:jc w:val="both"/>
      </w:pPr>
      <w:r>
        <w:rPr/>
        <w:t>Selanjutnya Khandelwal, et al. (2023) juga menjelaskan pentingnya ukuran perusahaan dalam mengelola tekanan</w:t>
      </w:r>
      <w:r>
        <w:rPr>
          <w:spacing w:val="80"/>
        </w:rPr>
        <w:t> </w:t>
      </w:r>
      <w:r>
        <w:rPr/>
        <w:t>politik melalui pengungkapan ESG. Dalam penelitian mereka, yang berfokus pada perusahaan di indeks S&amp;P BSE 500, ditemukan bahwa perusahaan besar tidak hanya lebih mampu berinvestasi dalam pengungkapan ESG yang komprehensif tetapi juga dapat memanfaatkan pengungkapan tersebut untuk mengurangi biaya politik. Dengan meningkatkan transparansi, perusahaan-perusahaan</w:t>
      </w:r>
      <w:r>
        <w:rPr>
          <w:spacing w:val="-6"/>
        </w:rPr>
        <w:t> </w:t>
      </w:r>
      <w:r>
        <w:rPr/>
        <w:t>ini</w:t>
      </w:r>
      <w:r>
        <w:rPr>
          <w:spacing w:val="-6"/>
        </w:rPr>
        <w:t> </w:t>
      </w:r>
      <w:r>
        <w:rPr/>
        <w:t>berhasil</w:t>
      </w:r>
      <w:r>
        <w:rPr>
          <w:spacing w:val="-6"/>
        </w:rPr>
        <w:t> </w:t>
      </w:r>
      <w:r>
        <w:rPr/>
        <w:t>mendapatkan</w:t>
      </w:r>
      <w:r>
        <w:rPr>
          <w:spacing w:val="-6"/>
        </w:rPr>
        <w:t> </w:t>
      </w:r>
      <w:r>
        <w:rPr/>
        <w:t>kepercayaan dari pemangku kepentingan dan memperkuat posisi mereka dalam</w:t>
      </w:r>
      <w:r>
        <w:rPr>
          <w:spacing w:val="80"/>
        </w:rPr>
        <w:t> </w:t>
      </w:r>
      <w:r>
        <w:rPr/>
        <w:t>menghadapi</w:t>
      </w:r>
      <w:r>
        <w:rPr>
          <w:spacing w:val="80"/>
        </w:rPr>
        <w:t> </w:t>
      </w:r>
      <w:r>
        <w:rPr/>
        <w:t>tantangan</w:t>
      </w:r>
      <w:r>
        <w:rPr>
          <w:spacing w:val="80"/>
        </w:rPr>
        <w:t> </w:t>
      </w:r>
      <w:r>
        <w:rPr/>
        <w:t>politik,</w:t>
      </w:r>
      <w:r>
        <w:rPr>
          <w:spacing w:val="80"/>
        </w:rPr>
        <w:t> </w:t>
      </w:r>
      <w:r>
        <w:rPr/>
        <w:t>yang</w:t>
      </w:r>
      <w:r>
        <w:rPr>
          <w:spacing w:val="80"/>
        </w:rPr>
        <w:t> </w:t>
      </w:r>
      <w:r>
        <w:rPr/>
        <w:t>sejalan</w:t>
      </w:r>
      <w:r>
        <w:rPr>
          <w:spacing w:val="80"/>
        </w:rPr>
        <w:t> </w:t>
      </w:r>
      <w:r>
        <w:rPr/>
        <w:t>dengan</w:t>
      </w:r>
    </w:p>
    <w:p>
      <w:pPr>
        <w:pStyle w:val="BodyText"/>
        <w:spacing w:after="0" w:line="480" w:lineRule="auto"/>
        <w:jc w:val="both"/>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BodyText"/>
        <w:spacing w:line="480" w:lineRule="auto"/>
        <w:ind w:left="1843" w:right="708"/>
      </w:pPr>
      <w:r>
        <w:rPr/>
        <w:t>temuan</w:t>
      </w:r>
      <w:r>
        <w:rPr>
          <w:spacing w:val="40"/>
        </w:rPr>
        <w:t> </w:t>
      </w:r>
      <w:r>
        <w:rPr/>
        <w:t>sebelumnya</w:t>
      </w:r>
      <w:r>
        <w:rPr>
          <w:spacing w:val="40"/>
        </w:rPr>
        <w:t> </w:t>
      </w:r>
      <w:r>
        <w:rPr/>
        <w:t>bahwa</w:t>
      </w:r>
      <w:r>
        <w:rPr>
          <w:spacing w:val="40"/>
        </w:rPr>
        <w:t> </w:t>
      </w:r>
      <w:r>
        <w:rPr/>
        <w:t>pengungkapan</w:t>
      </w:r>
      <w:r>
        <w:rPr>
          <w:spacing w:val="40"/>
        </w:rPr>
        <w:t> </w:t>
      </w:r>
      <w:r>
        <w:rPr/>
        <w:t>ESG</w:t>
      </w:r>
      <w:r>
        <w:rPr>
          <w:spacing w:val="40"/>
        </w:rPr>
        <w:t> </w:t>
      </w:r>
      <w:r>
        <w:rPr/>
        <w:t>yang</w:t>
      </w:r>
      <w:r>
        <w:rPr>
          <w:spacing w:val="40"/>
        </w:rPr>
        <w:t> </w:t>
      </w:r>
      <w:r>
        <w:rPr/>
        <w:t>baik</w:t>
      </w:r>
      <w:r>
        <w:rPr>
          <w:spacing w:val="80"/>
        </w:rPr>
        <w:t> </w:t>
      </w:r>
      <w:r>
        <w:rPr/>
        <w:t>dapat berfungsi sebagai strategi mitigasi risiko politik.</w:t>
      </w:r>
    </w:p>
    <w:p>
      <w:pPr>
        <w:pStyle w:val="BodyText"/>
        <w:spacing w:line="480" w:lineRule="auto"/>
        <w:ind w:left="1135" w:right="733" w:firstLine="708"/>
      </w:pPr>
      <w:r>
        <w:rPr/>
        <w:t>Berdasarkan</w:t>
      </w:r>
      <w:r>
        <w:rPr>
          <w:spacing w:val="40"/>
        </w:rPr>
        <w:t> </w:t>
      </w:r>
      <w:r>
        <w:rPr/>
        <w:t>uraian</w:t>
      </w:r>
      <w:r>
        <w:rPr>
          <w:spacing w:val="40"/>
        </w:rPr>
        <w:t> </w:t>
      </w:r>
      <w:r>
        <w:rPr/>
        <w:t>di</w:t>
      </w:r>
      <w:r>
        <w:rPr>
          <w:spacing w:val="40"/>
        </w:rPr>
        <w:t> </w:t>
      </w:r>
      <w:r>
        <w:rPr/>
        <w:t>atas,</w:t>
      </w:r>
      <w:r>
        <w:rPr>
          <w:spacing w:val="40"/>
        </w:rPr>
        <w:t> </w:t>
      </w:r>
      <w:r>
        <w:rPr/>
        <w:t>kerangka</w:t>
      </w:r>
      <w:r>
        <w:rPr>
          <w:spacing w:val="40"/>
        </w:rPr>
        <w:t> </w:t>
      </w:r>
      <w:r>
        <w:rPr/>
        <w:t>pemikiran</w:t>
      </w:r>
      <w:r>
        <w:rPr>
          <w:spacing w:val="40"/>
        </w:rPr>
        <w:t> </w:t>
      </w:r>
      <w:r>
        <w:rPr/>
        <w:t>konseptual dalam penelitian ini kemudian disajikan dalam bagan sebagai berikut: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0"/>
        <w:rPr>
          <w:sz w:val="20"/>
        </w:rPr>
      </w:pPr>
      <w:r>
        <w:rPr>
          <w:sz w:val="20"/>
        </w:rPr>
        <mc:AlternateContent>
          <mc:Choice Requires="wps">
            <w:drawing>
              <wp:anchor distT="0" distB="0" distL="0" distR="0" allowOverlap="1" layoutInCell="1" locked="0" behindDoc="1" simplePos="0" relativeHeight="487592448">
                <wp:simplePos x="0" y="0"/>
                <wp:positionH relativeFrom="page">
                  <wp:posOffset>1098550</wp:posOffset>
                </wp:positionH>
                <wp:positionV relativeFrom="paragraph">
                  <wp:posOffset>180432</wp:posOffset>
                </wp:positionV>
                <wp:extent cx="5497195" cy="3013075"/>
                <wp:effectExtent l="0" t="0" r="0" b="0"/>
                <wp:wrapTopAndBottom/>
                <wp:docPr id="25" name="Group 25"/>
                <wp:cNvGraphicFramePr>
                  <a:graphicFrameLocks/>
                </wp:cNvGraphicFramePr>
                <a:graphic>
                  <a:graphicData uri="http://schemas.microsoft.com/office/word/2010/wordprocessingGroup">
                    <wpg:wgp>
                      <wpg:cNvPr id="25" name="Group 25"/>
                      <wpg:cNvGrpSpPr/>
                      <wpg:grpSpPr>
                        <a:xfrm>
                          <a:off x="0" y="0"/>
                          <a:ext cx="5497195" cy="3013075"/>
                          <a:chExt cx="5497195" cy="3013075"/>
                        </a:xfrm>
                      </wpg:grpSpPr>
                      <wps:wsp>
                        <wps:cNvPr id="26" name="Graphic 26"/>
                        <wps:cNvSpPr/>
                        <wps:spPr>
                          <a:xfrm>
                            <a:off x="144779" y="607021"/>
                            <a:ext cx="1889125" cy="396875"/>
                          </a:xfrm>
                          <a:custGeom>
                            <a:avLst/>
                            <a:gdLst/>
                            <a:ahLst/>
                            <a:cxnLst/>
                            <a:rect l="l" t="t" r="r" b="b"/>
                            <a:pathLst>
                              <a:path w="1889125" h="396875">
                                <a:moveTo>
                                  <a:pt x="0" y="0"/>
                                </a:moveTo>
                                <a:lnTo>
                                  <a:pt x="1889125" y="0"/>
                                </a:lnTo>
                                <a:lnTo>
                                  <a:pt x="1889125" y="396875"/>
                                </a:lnTo>
                                <a:lnTo>
                                  <a:pt x="0" y="396875"/>
                                </a:lnTo>
                                <a:lnTo>
                                  <a:pt x="0" y="0"/>
                                </a:lnTo>
                                <a:close/>
                              </a:path>
                            </a:pathLst>
                          </a:custGeom>
                          <a:ln w="9524">
                            <a:solidFill>
                              <a:srgbClr val="000000"/>
                            </a:solidFill>
                            <a:prstDash val="solid"/>
                          </a:ln>
                        </wps:spPr>
                        <wps:bodyPr wrap="square" lIns="0" tIns="0" rIns="0" bIns="0" rtlCol="0">
                          <a:prstTxWarp prst="textNoShape">
                            <a:avLst/>
                          </a:prstTxWarp>
                          <a:noAutofit/>
                        </wps:bodyPr>
                      </wps:wsp>
                      <wps:wsp>
                        <wps:cNvPr id="27" name="Graphic 27"/>
                        <wps:cNvSpPr/>
                        <wps:spPr>
                          <a:xfrm>
                            <a:off x="2038349" y="288264"/>
                            <a:ext cx="1771650" cy="467995"/>
                          </a:xfrm>
                          <a:custGeom>
                            <a:avLst/>
                            <a:gdLst/>
                            <a:ahLst/>
                            <a:cxnLst/>
                            <a:rect l="l" t="t" r="r" b="b"/>
                            <a:pathLst>
                              <a:path w="1771650" h="467995">
                                <a:moveTo>
                                  <a:pt x="0" y="0"/>
                                </a:moveTo>
                                <a:lnTo>
                                  <a:pt x="1771650" y="467994"/>
                                </a:lnTo>
                              </a:path>
                            </a:pathLst>
                          </a:custGeom>
                          <a:ln w="9524">
                            <a:solidFill>
                              <a:srgbClr val="000000"/>
                            </a:solidFill>
                            <a:prstDash val="solid"/>
                          </a:ln>
                        </wps:spPr>
                        <wps:bodyPr wrap="square" lIns="0" tIns="0" rIns="0" bIns="0" rtlCol="0">
                          <a:prstTxWarp prst="textNoShape">
                            <a:avLst/>
                          </a:prstTxWarp>
                          <a:noAutofit/>
                        </wps:bodyPr>
                      </wps:wsp>
                      <pic:pic>
                        <pic:nvPicPr>
                          <pic:cNvPr id="28" name="Image 28"/>
                          <pic:cNvPicPr/>
                        </pic:nvPicPr>
                        <pic:blipFill>
                          <a:blip r:embed="rId29" cstate="print"/>
                          <a:stretch>
                            <a:fillRect/>
                          </a:stretch>
                        </pic:blipFill>
                        <pic:spPr>
                          <a:xfrm>
                            <a:off x="3727043" y="698715"/>
                            <a:ext cx="87718" cy="78600"/>
                          </a:xfrm>
                          <a:prstGeom prst="rect">
                            <a:avLst/>
                          </a:prstGeom>
                        </pic:spPr>
                      </pic:pic>
                      <wps:wsp>
                        <wps:cNvPr id="29" name="Graphic 29"/>
                        <wps:cNvSpPr/>
                        <wps:spPr>
                          <a:xfrm>
                            <a:off x="2031999" y="796213"/>
                            <a:ext cx="1771650" cy="1270"/>
                          </a:xfrm>
                          <a:custGeom>
                            <a:avLst/>
                            <a:gdLst/>
                            <a:ahLst/>
                            <a:cxnLst/>
                            <a:rect l="l" t="t" r="r" b="b"/>
                            <a:pathLst>
                              <a:path w="1771650" h="0">
                                <a:moveTo>
                                  <a:pt x="0" y="0"/>
                                </a:moveTo>
                                <a:lnTo>
                                  <a:pt x="1771650" y="0"/>
                                </a:lnTo>
                              </a:path>
                            </a:pathLst>
                          </a:custGeom>
                          <a:ln w="9524">
                            <a:solidFill>
                              <a:srgbClr val="000000"/>
                            </a:solidFill>
                            <a:prstDash val="solid"/>
                          </a:ln>
                        </wps:spPr>
                        <wps:bodyPr wrap="square" lIns="0" tIns="0" rIns="0" bIns="0" rtlCol="0">
                          <a:prstTxWarp prst="textNoShape">
                            <a:avLst/>
                          </a:prstTxWarp>
                          <a:noAutofit/>
                        </wps:bodyPr>
                      </wps:wsp>
                      <pic:pic>
                        <pic:nvPicPr>
                          <pic:cNvPr id="30" name="Image 30"/>
                          <pic:cNvPicPr/>
                        </pic:nvPicPr>
                        <pic:blipFill>
                          <a:blip r:embed="rId30" cstate="print"/>
                          <a:stretch>
                            <a:fillRect/>
                          </a:stretch>
                        </pic:blipFill>
                        <pic:spPr>
                          <a:xfrm>
                            <a:off x="3727450" y="755738"/>
                            <a:ext cx="80962" cy="80962"/>
                          </a:xfrm>
                          <a:prstGeom prst="rect">
                            <a:avLst/>
                          </a:prstGeom>
                        </pic:spPr>
                      </pic:pic>
                      <wps:wsp>
                        <wps:cNvPr id="31" name="Graphic 31"/>
                        <wps:cNvSpPr/>
                        <wps:spPr>
                          <a:xfrm>
                            <a:off x="2038349" y="831748"/>
                            <a:ext cx="1771650" cy="469900"/>
                          </a:xfrm>
                          <a:custGeom>
                            <a:avLst/>
                            <a:gdLst/>
                            <a:ahLst/>
                            <a:cxnLst/>
                            <a:rect l="l" t="t" r="r" b="b"/>
                            <a:pathLst>
                              <a:path w="1771650" h="469900">
                                <a:moveTo>
                                  <a:pt x="0" y="469900"/>
                                </a:moveTo>
                                <a:lnTo>
                                  <a:pt x="1771650" y="0"/>
                                </a:lnTo>
                              </a:path>
                            </a:pathLst>
                          </a:custGeom>
                          <a:ln w="9524">
                            <a:solidFill>
                              <a:srgbClr val="000000"/>
                            </a:solidFill>
                            <a:prstDash val="solid"/>
                          </a:ln>
                        </wps:spPr>
                        <wps:bodyPr wrap="square" lIns="0" tIns="0" rIns="0" bIns="0" rtlCol="0">
                          <a:prstTxWarp prst="textNoShape">
                            <a:avLst/>
                          </a:prstTxWarp>
                          <a:noAutofit/>
                        </wps:bodyPr>
                      </wps:wsp>
                      <pic:pic>
                        <pic:nvPicPr>
                          <pic:cNvPr id="32" name="Image 32"/>
                          <pic:cNvPicPr/>
                        </pic:nvPicPr>
                        <pic:blipFill>
                          <a:blip r:embed="rId31" cstate="print"/>
                          <a:stretch>
                            <a:fillRect/>
                          </a:stretch>
                        </pic:blipFill>
                        <pic:spPr>
                          <a:xfrm>
                            <a:off x="3727030" y="810780"/>
                            <a:ext cx="87731" cy="78574"/>
                          </a:xfrm>
                          <a:prstGeom prst="rect">
                            <a:avLst/>
                          </a:prstGeom>
                        </pic:spPr>
                      </pic:pic>
                      <wps:wsp>
                        <wps:cNvPr id="33" name="Graphic 33"/>
                        <wps:cNvSpPr/>
                        <wps:spPr>
                          <a:xfrm>
                            <a:off x="1955799" y="2488374"/>
                            <a:ext cx="1889125" cy="396875"/>
                          </a:xfrm>
                          <a:custGeom>
                            <a:avLst/>
                            <a:gdLst/>
                            <a:ahLst/>
                            <a:cxnLst/>
                            <a:rect l="l" t="t" r="r" b="b"/>
                            <a:pathLst>
                              <a:path w="1889125" h="396875">
                                <a:moveTo>
                                  <a:pt x="0" y="0"/>
                                </a:moveTo>
                                <a:lnTo>
                                  <a:pt x="1889125" y="0"/>
                                </a:lnTo>
                                <a:lnTo>
                                  <a:pt x="1889125" y="396875"/>
                                </a:lnTo>
                                <a:lnTo>
                                  <a:pt x="0" y="396875"/>
                                </a:lnTo>
                                <a:lnTo>
                                  <a:pt x="0" y="0"/>
                                </a:lnTo>
                                <a:close/>
                              </a:path>
                            </a:pathLst>
                          </a:custGeom>
                          <a:ln w="9524">
                            <a:solidFill>
                              <a:srgbClr val="000000"/>
                            </a:solidFill>
                            <a:prstDash val="solid"/>
                          </a:ln>
                        </wps:spPr>
                        <wps:bodyPr wrap="square" lIns="0" tIns="0" rIns="0" bIns="0" rtlCol="0">
                          <a:prstTxWarp prst="textNoShape">
                            <a:avLst/>
                          </a:prstTxWarp>
                          <a:noAutofit/>
                        </wps:bodyPr>
                      </wps:wsp>
                      <wps:wsp>
                        <wps:cNvPr id="34" name="Graphic 34"/>
                        <wps:cNvSpPr/>
                        <wps:spPr>
                          <a:xfrm>
                            <a:off x="12699" y="12699"/>
                            <a:ext cx="5471795" cy="2987675"/>
                          </a:xfrm>
                          <a:custGeom>
                            <a:avLst/>
                            <a:gdLst/>
                            <a:ahLst/>
                            <a:cxnLst/>
                            <a:rect l="l" t="t" r="r" b="b"/>
                            <a:pathLst>
                              <a:path w="5471795" h="2987675">
                                <a:moveTo>
                                  <a:pt x="0" y="0"/>
                                </a:moveTo>
                                <a:lnTo>
                                  <a:pt x="5471795" y="0"/>
                                </a:lnTo>
                                <a:lnTo>
                                  <a:pt x="5471795" y="2987675"/>
                                </a:lnTo>
                                <a:lnTo>
                                  <a:pt x="0" y="2987675"/>
                                </a:lnTo>
                                <a:lnTo>
                                  <a:pt x="0" y="0"/>
                                </a:lnTo>
                                <a:close/>
                              </a:path>
                            </a:pathLst>
                          </a:custGeom>
                          <a:ln w="25399">
                            <a:solidFill>
                              <a:srgbClr val="000000"/>
                            </a:solidFill>
                            <a:prstDash val="solid"/>
                          </a:ln>
                        </wps:spPr>
                        <wps:bodyPr wrap="square" lIns="0" tIns="0" rIns="0" bIns="0" rtlCol="0">
                          <a:prstTxWarp prst="textNoShape">
                            <a:avLst/>
                          </a:prstTxWarp>
                          <a:noAutofit/>
                        </wps:bodyPr>
                      </wps:wsp>
                      <wps:wsp>
                        <wps:cNvPr id="35" name="Graphic 35"/>
                        <wps:cNvSpPr/>
                        <wps:spPr>
                          <a:xfrm>
                            <a:off x="2957829" y="832383"/>
                            <a:ext cx="9525" cy="1655445"/>
                          </a:xfrm>
                          <a:custGeom>
                            <a:avLst/>
                            <a:gdLst/>
                            <a:ahLst/>
                            <a:cxnLst/>
                            <a:rect l="l" t="t" r="r" b="b"/>
                            <a:pathLst>
                              <a:path w="9525" h="1655445">
                                <a:moveTo>
                                  <a:pt x="9524" y="1655445"/>
                                </a:moveTo>
                                <a:lnTo>
                                  <a:pt x="0" y="0"/>
                                </a:lnTo>
                              </a:path>
                            </a:pathLst>
                          </a:custGeom>
                          <a:ln w="9524">
                            <a:solidFill>
                              <a:srgbClr val="000000"/>
                            </a:solidFill>
                            <a:prstDash val="solid"/>
                          </a:ln>
                        </wps:spPr>
                        <wps:bodyPr wrap="square" lIns="0" tIns="0" rIns="0" bIns="0" rtlCol="0">
                          <a:prstTxWarp prst="textNoShape">
                            <a:avLst/>
                          </a:prstTxWarp>
                          <a:noAutofit/>
                        </wps:bodyPr>
                      </wps:wsp>
                      <pic:pic>
                        <pic:nvPicPr>
                          <pic:cNvPr id="36" name="Image 36"/>
                          <pic:cNvPicPr/>
                        </pic:nvPicPr>
                        <pic:blipFill>
                          <a:blip r:embed="rId32" cstate="print"/>
                          <a:stretch>
                            <a:fillRect/>
                          </a:stretch>
                        </pic:blipFill>
                        <pic:spPr>
                          <a:xfrm>
                            <a:off x="2917760" y="827620"/>
                            <a:ext cx="80960" cy="81165"/>
                          </a:xfrm>
                          <a:prstGeom prst="rect">
                            <a:avLst/>
                          </a:prstGeom>
                        </pic:spPr>
                      </pic:pic>
                      <wps:wsp>
                        <wps:cNvPr id="37" name="Graphic 37"/>
                        <wps:cNvSpPr/>
                        <wps:spPr>
                          <a:xfrm>
                            <a:off x="3542029" y="900963"/>
                            <a:ext cx="9525" cy="1583690"/>
                          </a:xfrm>
                          <a:custGeom>
                            <a:avLst/>
                            <a:gdLst/>
                            <a:ahLst/>
                            <a:cxnLst/>
                            <a:rect l="l" t="t" r="r" b="b"/>
                            <a:pathLst>
                              <a:path w="9525" h="1583690">
                                <a:moveTo>
                                  <a:pt x="9524" y="1583689"/>
                                </a:moveTo>
                                <a:lnTo>
                                  <a:pt x="0" y="0"/>
                                </a:lnTo>
                              </a:path>
                            </a:pathLst>
                          </a:custGeom>
                          <a:ln w="9524">
                            <a:solidFill>
                              <a:srgbClr val="000000"/>
                            </a:solidFill>
                            <a:prstDash val="solid"/>
                          </a:ln>
                        </wps:spPr>
                        <wps:bodyPr wrap="square" lIns="0" tIns="0" rIns="0" bIns="0" rtlCol="0">
                          <a:prstTxWarp prst="textNoShape">
                            <a:avLst/>
                          </a:prstTxWarp>
                          <a:noAutofit/>
                        </wps:bodyPr>
                      </wps:wsp>
                      <pic:pic>
                        <pic:nvPicPr>
                          <pic:cNvPr id="38" name="Image 38"/>
                          <pic:cNvPicPr/>
                        </pic:nvPicPr>
                        <pic:blipFill>
                          <a:blip r:embed="rId33" cstate="print"/>
                          <a:stretch>
                            <a:fillRect/>
                          </a:stretch>
                        </pic:blipFill>
                        <pic:spPr>
                          <a:xfrm>
                            <a:off x="3501979" y="896200"/>
                            <a:ext cx="80960" cy="81178"/>
                          </a:xfrm>
                          <a:prstGeom prst="rect">
                            <a:avLst/>
                          </a:prstGeom>
                        </pic:spPr>
                      </pic:pic>
                      <wps:wsp>
                        <wps:cNvPr id="39" name="Graphic 39"/>
                        <wps:cNvSpPr/>
                        <wps:spPr>
                          <a:xfrm>
                            <a:off x="2387600" y="389800"/>
                            <a:ext cx="9525" cy="2088514"/>
                          </a:xfrm>
                          <a:custGeom>
                            <a:avLst/>
                            <a:gdLst/>
                            <a:ahLst/>
                            <a:cxnLst/>
                            <a:rect l="l" t="t" r="r" b="b"/>
                            <a:pathLst>
                              <a:path w="9525" h="2088514">
                                <a:moveTo>
                                  <a:pt x="9524" y="2087994"/>
                                </a:moveTo>
                                <a:lnTo>
                                  <a:pt x="0" y="0"/>
                                </a:lnTo>
                              </a:path>
                            </a:pathLst>
                          </a:custGeom>
                          <a:ln w="9524">
                            <a:solidFill>
                              <a:srgbClr val="000000"/>
                            </a:solidFill>
                            <a:prstDash val="solid"/>
                          </a:ln>
                        </wps:spPr>
                        <wps:bodyPr wrap="square" lIns="0" tIns="0" rIns="0" bIns="0" rtlCol="0">
                          <a:prstTxWarp prst="textNoShape">
                            <a:avLst/>
                          </a:prstTxWarp>
                          <a:noAutofit/>
                        </wps:bodyPr>
                      </wps:wsp>
                      <pic:pic>
                        <pic:nvPicPr>
                          <pic:cNvPr id="40" name="Image 40"/>
                          <pic:cNvPicPr/>
                        </pic:nvPicPr>
                        <pic:blipFill>
                          <a:blip r:embed="rId34" cstate="print"/>
                          <a:stretch>
                            <a:fillRect/>
                          </a:stretch>
                        </pic:blipFill>
                        <pic:spPr>
                          <a:xfrm>
                            <a:off x="2347445" y="385038"/>
                            <a:ext cx="80961" cy="81114"/>
                          </a:xfrm>
                          <a:prstGeom prst="rect">
                            <a:avLst/>
                          </a:prstGeom>
                        </pic:spPr>
                      </pic:pic>
                      <wps:wsp>
                        <wps:cNvPr id="41" name="Textbox 41"/>
                        <wps:cNvSpPr txBox="1"/>
                        <wps:spPr>
                          <a:xfrm>
                            <a:off x="2571194" y="222981"/>
                            <a:ext cx="173990" cy="179705"/>
                          </a:xfrm>
                          <a:prstGeom prst="rect">
                            <a:avLst/>
                          </a:prstGeom>
                        </wps:spPr>
                        <wps:txbx>
                          <w:txbxContent>
                            <w:p>
                              <w:pPr>
                                <w:spacing w:line="266" w:lineRule="exact" w:before="0"/>
                                <w:ind w:left="0" w:right="0" w:firstLine="0"/>
                                <w:jc w:val="left"/>
                                <w:rPr>
                                  <w:rFonts w:ascii="Times New Roman"/>
                                  <w:sz w:val="24"/>
                                </w:rPr>
                              </w:pPr>
                              <w:r>
                                <w:rPr>
                                  <w:rFonts w:ascii="Times New Roman"/>
                                  <w:spacing w:val="-5"/>
                                  <w:sz w:val="24"/>
                                </w:rPr>
                                <w:t>H</w:t>
                              </w:r>
                              <w:r>
                                <w:rPr>
                                  <w:rFonts w:ascii="Times New Roman"/>
                                  <w:spacing w:val="-5"/>
                                  <w:sz w:val="24"/>
                                  <w:vertAlign w:val="subscript"/>
                                </w:rPr>
                                <w:t>1</w:t>
                              </w:r>
                            </w:p>
                          </w:txbxContent>
                        </wps:txbx>
                        <wps:bodyPr wrap="square" lIns="0" tIns="0" rIns="0" bIns="0" rtlCol="0">
                          <a:noAutofit/>
                        </wps:bodyPr>
                      </wps:wsp>
                      <wps:wsp>
                        <wps:cNvPr id="42" name="Textbox 42"/>
                        <wps:cNvSpPr txBox="1"/>
                        <wps:spPr>
                          <a:xfrm>
                            <a:off x="382874" y="702394"/>
                            <a:ext cx="1426210" cy="179705"/>
                          </a:xfrm>
                          <a:prstGeom prst="rect">
                            <a:avLst/>
                          </a:prstGeom>
                        </wps:spPr>
                        <wps:txbx>
                          <w:txbxContent>
                            <w:p>
                              <w:pPr>
                                <w:spacing w:line="266" w:lineRule="exact" w:before="0"/>
                                <w:ind w:left="0" w:right="0" w:firstLine="0"/>
                                <w:jc w:val="left"/>
                                <w:rPr>
                                  <w:rFonts w:ascii="Times New Roman"/>
                                  <w:sz w:val="24"/>
                                </w:rPr>
                              </w:pPr>
                              <w:r>
                                <w:rPr>
                                  <w:rFonts w:ascii="Times New Roman"/>
                                  <w:sz w:val="24"/>
                                </w:rPr>
                                <w:t>Kinerja</w:t>
                              </w:r>
                              <w:r>
                                <w:rPr>
                                  <w:rFonts w:ascii="Times New Roman"/>
                                  <w:spacing w:val="-5"/>
                                  <w:sz w:val="24"/>
                                </w:rPr>
                                <w:t> </w:t>
                              </w:r>
                              <w:r>
                                <w:rPr>
                                  <w:rFonts w:ascii="Times New Roman"/>
                                  <w:sz w:val="24"/>
                                </w:rPr>
                                <w:t>Keuangan</w:t>
                              </w:r>
                              <w:r>
                                <w:rPr>
                                  <w:rFonts w:ascii="Times New Roman"/>
                                  <w:spacing w:val="-4"/>
                                  <w:sz w:val="24"/>
                                </w:rPr>
                                <w:t> (X</w:t>
                              </w:r>
                              <w:r>
                                <w:rPr>
                                  <w:rFonts w:ascii="Times New Roman"/>
                                  <w:spacing w:val="-4"/>
                                  <w:sz w:val="24"/>
                                  <w:vertAlign w:val="subscript"/>
                                </w:rPr>
                                <w:t>2</w:t>
                              </w:r>
                              <w:r>
                                <w:rPr>
                                  <w:rFonts w:ascii="Times New Roman"/>
                                  <w:spacing w:val="-4"/>
                                  <w:sz w:val="24"/>
                                  <w:vertAlign w:val="baseline"/>
                                </w:rPr>
                                <w:t>)</w:t>
                              </w:r>
                            </w:p>
                          </w:txbxContent>
                        </wps:txbx>
                        <wps:bodyPr wrap="square" lIns="0" tIns="0" rIns="0" bIns="0" rtlCol="0">
                          <a:noAutofit/>
                        </wps:bodyPr>
                      </wps:wsp>
                      <wps:wsp>
                        <wps:cNvPr id="43" name="Textbox 43"/>
                        <wps:cNvSpPr txBox="1"/>
                        <wps:spPr>
                          <a:xfrm>
                            <a:off x="2572464" y="563964"/>
                            <a:ext cx="173990" cy="560705"/>
                          </a:xfrm>
                          <a:prstGeom prst="rect">
                            <a:avLst/>
                          </a:prstGeom>
                        </wps:spPr>
                        <wps:txbx>
                          <w:txbxContent>
                            <w:p>
                              <w:pPr>
                                <w:spacing w:line="266" w:lineRule="exact" w:before="0"/>
                                <w:ind w:left="0" w:right="0" w:firstLine="0"/>
                                <w:jc w:val="left"/>
                                <w:rPr>
                                  <w:rFonts w:ascii="Times New Roman"/>
                                  <w:sz w:val="24"/>
                                </w:rPr>
                              </w:pPr>
                              <w:r>
                                <w:rPr>
                                  <w:rFonts w:ascii="Times New Roman"/>
                                  <w:spacing w:val="-5"/>
                                  <w:sz w:val="24"/>
                                </w:rPr>
                                <w:t>H</w:t>
                              </w:r>
                              <w:r>
                                <w:rPr>
                                  <w:rFonts w:ascii="Times New Roman"/>
                                  <w:spacing w:val="-5"/>
                                  <w:sz w:val="24"/>
                                  <w:vertAlign w:val="subscript"/>
                                </w:rPr>
                                <w:t>2</w:t>
                              </w:r>
                            </w:p>
                            <w:p>
                              <w:pPr>
                                <w:spacing w:line="240" w:lineRule="auto" w:before="139"/>
                                <w:rPr>
                                  <w:rFonts w:ascii="Times New Roman"/>
                                  <w:sz w:val="16"/>
                                </w:rPr>
                              </w:pPr>
                            </w:p>
                            <w:p>
                              <w:pPr>
                                <w:spacing w:before="1"/>
                                <w:ind w:left="0" w:right="0" w:firstLine="0"/>
                                <w:jc w:val="left"/>
                                <w:rPr>
                                  <w:rFonts w:ascii="Times New Roman"/>
                                  <w:sz w:val="24"/>
                                </w:rPr>
                              </w:pPr>
                              <w:r>
                                <w:rPr>
                                  <w:rFonts w:ascii="Times New Roman"/>
                                  <w:spacing w:val="-5"/>
                                  <w:sz w:val="24"/>
                                </w:rPr>
                                <w:t>H</w:t>
                              </w:r>
                              <w:r>
                                <w:rPr>
                                  <w:rFonts w:ascii="Times New Roman"/>
                                  <w:spacing w:val="-5"/>
                                  <w:sz w:val="24"/>
                                  <w:vertAlign w:val="subscript"/>
                                </w:rPr>
                                <w:t>3</w:t>
                              </w:r>
                            </w:p>
                          </w:txbxContent>
                        </wps:txbx>
                        <wps:bodyPr wrap="square" lIns="0" tIns="0" rIns="0" bIns="0" rtlCol="0">
                          <a:noAutofit/>
                        </wps:bodyPr>
                      </wps:wsp>
                      <wps:wsp>
                        <wps:cNvPr id="44" name="Textbox 44"/>
                        <wps:cNvSpPr txBox="1"/>
                        <wps:spPr>
                          <a:xfrm>
                            <a:off x="2585719" y="2026659"/>
                            <a:ext cx="179705" cy="181610"/>
                          </a:xfrm>
                          <a:prstGeom prst="rect">
                            <a:avLst/>
                          </a:prstGeom>
                        </wps:spPr>
                        <wps:txbx>
                          <w:txbxContent>
                            <w:p>
                              <w:pPr>
                                <w:spacing w:line="268" w:lineRule="exact" w:before="0"/>
                                <w:ind w:left="0" w:right="0" w:firstLine="0"/>
                                <w:jc w:val="left"/>
                                <w:rPr>
                                  <w:sz w:val="24"/>
                                </w:rPr>
                              </w:pPr>
                              <w:r>
                                <w:rPr>
                                  <w:spacing w:val="-5"/>
                                  <w:sz w:val="24"/>
                                </w:rPr>
                                <w:t>H</w:t>
                              </w:r>
                              <w:r>
                                <w:rPr>
                                  <w:spacing w:val="-5"/>
                                  <w:sz w:val="24"/>
                                  <w:vertAlign w:val="subscript"/>
                                </w:rPr>
                                <w:t>4</w:t>
                              </w:r>
                            </w:p>
                          </w:txbxContent>
                        </wps:txbx>
                        <wps:bodyPr wrap="square" lIns="0" tIns="0" rIns="0" bIns="0" rtlCol="0">
                          <a:noAutofit/>
                        </wps:bodyPr>
                      </wps:wsp>
                      <wps:wsp>
                        <wps:cNvPr id="45" name="Textbox 45"/>
                        <wps:cNvSpPr txBox="1"/>
                        <wps:spPr>
                          <a:xfrm>
                            <a:off x="3232124" y="2026659"/>
                            <a:ext cx="179705" cy="181610"/>
                          </a:xfrm>
                          <a:prstGeom prst="rect">
                            <a:avLst/>
                          </a:prstGeom>
                        </wps:spPr>
                        <wps:txbx>
                          <w:txbxContent>
                            <w:p>
                              <w:pPr>
                                <w:spacing w:line="268" w:lineRule="exact" w:before="0"/>
                                <w:ind w:left="0" w:right="0" w:firstLine="0"/>
                                <w:jc w:val="left"/>
                                <w:rPr>
                                  <w:sz w:val="24"/>
                                </w:rPr>
                              </w:pPr>
                              <w:r>
                                <w:rPr>
                                  <w:spacing w:val="-5"/>
                                  <w:sz w:val="24"/>
                                </w:rPr>
                                <w:t>H</w:t>
                              </w:r>
                              <w:r>
                                <w:rPr>
                                  <w:spacing w:val="-5"/>
                                  <w:sz w:val="24"/>
                                  <w:vertAlign w:val="subscript"/>
                                </w:rPr>
                                <w:t>5</w:t>
                              </w:r>
                            </w:p>
                          </w:txbxContent>
                        </wps:txbx>
                        <wps:bodyPr wrap="square" lIns="0" tIns="0" rIns="0" bIns="0" rtlCol="0">
                          <a:noAutofit/>
                        </wps:bodyPr>
                      </wps:wsp>
                      <wps:wsp>
                        <wps:cNvPr id="46" name="Textbox 46"/>
                        <wps:cNvSpPr txBox="1"/>
                        <wps:spPr>
                          <a:xfrm>
                            <a:off x="3850302" y="2026659"/>
                            <a:ext cx="179705" cy="181610"/>
                          </a:xfrm>
                          <a:prstGeom prst="rect">
                            <a:avLst/>
                          </a:prstGeom>
                        </wps:spPr>
                        <wps:txbx>
                          <w:txbxContent>
                            <w:p>
                              <w:pPr>
                                <w:spacing w:line="268" w:lineRule="exact" w:before="0"/>
                                <w:ind w:left="0" w:right="0" w:firstLine="0"/>
                                <w:jc w:val="left"/>
                                <w:rPr>
                                  <w:sz w:val="24"/>
                                </w:rPr>
                              </w:pPr>
                              <w:r>
                                <w:rPr>
                                  <w:spacing w:val="-5"/>
                                  <w:sz w:val="24"/>
                                </w:rPr>
                                <w:t>H</w:t>
                              </w:r>
                              <w:r>
                                <w:rPr>
                                  <w:spacing w:val="-5"/>
                                  <w:sz w:val="24"/>
                                  <w:vertAlign w:val="subscript"/>
                                </w:rPr>
                                <w:t>6</w:t>
                              </w:r>
                            </w:p>
                          </w:txbxContent>
                        </wps:txbx>
                        <wps:bodyPr wrap="square" lIns="0" tIns="0" rIns="0" bIns="0" rtlCol="0">
                          <a:noAutofit/>
                        </wps:bodyPr>
                      </wps:wsp>
                      <wps:wsp>
                        <wps:cNvPr id="47" name="Textbox 47"/>
                        <wps:cNvSpPr txBox="1"/>
                        <wps:spPr>
                          <a:xfrm>
                            <a:off x="2168431" y="2583746"/>
                            <a:ext cx="1476375" cy="168910"/>
                          </a:xfrm>
                          <a:prstGeom prst="rect">
                            <a:avLst/>
                          </a:prstGeom>
                        </wps:spPr>
                        <wps:txbx>
                          <w:txbxContent>
                            <w:p>
                              <w:pPr>
                                <w:spacing w:line="266" w:lineRule="exact" w:before="0"/>
                                <w:ind w:left="0" w:right="0" w:firstLine="0"/>
                                <w:jc w:val="left"/>
                                <w:rPr>
                                  <w:rFonts w:ascii="Times New Roman"/>
                                  <w:sz w:val="24"/>
                                </w:rPr>
                              </w:pPr>
                              <w:r>
                                <w:rPr>
                                  <w:rFonts w:ascii="Times New Roman"/>
                                  <w:sz w:val="24"/>
                                </w:rPr>
                                <w:t>Ukuran</w:t>
                              </w:r>
                              <w:r>
                                <w:rPr>
                                  <w:rFonts w:ascii="Times New Roman"/>
                                  <w:spacing w:val="-5"/>
                                  <w:sz w:val="24"/>
                                </w:rPr>
                                <w:t> </w:t>
                              </w:r>
                              <w:r>
                                <w:rPr>
                                  <w:rFonts w:ascii="Times New Roman"/>
                                  <w:sz w:val="24"/>
                                </w:rPr>
                                <w:t>Perusahaan</w:t>
                              </w:r>
                              <w:r>
                                <w:rPr>
                                  <w:rFonts w:ascii="Times New Roman"/>
                                  <w:spacing w:val="-4"/>
                                  <w:sz w:val="24"/>
                                </w:rPr>
                                <w:t> </w:t>
                              </w:r>
                              <w:r>
                                <w:rPr>
                                  <w:rFonts w:ascii="Times New Roman"/>
                                  <w:spacing w:val="-5"/>
                                  <w:sz w:val="24"/>
                                </w:rPr>
                                <w:t>(M)</w:t>
                              </w:r>
                            </w:p>
                          </w:txbxContent>
                        </wps:txbx>
                        <wps:bodyPr wrap="square" lIns="0" tIns="0" rIns="0" bIns="0" rtlCol="0">
                          <a:noAutofit/>
                        </wps:bodyPr>
                      </wps:wsp>
                      <wps:wsp>
                        <wps:cNvPr id="48" name="Textbox 48"/>
                        <wps:cNvSpPr txBox="1"/>
                        <wps:spPr>
                          <a:xfrm>
                            <a:off x="151129" y="1101013"/>
                            <a:ext cx="1889125" cy="396875"/>
                          </a:xfrm>
                          <a:prstGeom prst="rect">
                            <a:avLst/>
                          </a:prstGeom>
                          <a:ln w="9524">
                            <a:solidFill>
                              <a:srgbClr val="000000"/>
                            </a:solidFill>
                            <a:prstDash val="solid"/>
                          </a:ln>
                        </wps:spPr>
                        <wps:txbx>
                          <w:txbxContent>
                            <w:p>
                              <w:pPr>
                                <w:spacing w:before="132"/>
                                <w:ind w:left="580" w:right="0" w:firstLine="0"/>
                                <w:jc w:val="left"/>
                                <w:rPr>
                                  <w:rFonts w:ascii="Times New Roman"/>
                                  <w:sz w:val="24"/>
                                </w:rPr>
                              </w:pPr>
                              <w:r>
                                <w:rPr>
                                  <w:rFonts w:ascii="Times New Roman"/>
                                  <w:i/>
                                  <w:sz w:val="24"/>
                                </w:rPr>
                                <w:t>Political</w:t>
                              </w:r>
                              <w:r>
                                <w:rPr>
                                  <w:rFonts w:ascii="Times New Roman"/>
                                  <w:i/>
                                  <w:spacing w:val="-6"/>
                                  <w:sz w:val="24"/>
                                </w:rPr>
                                <w:t> </w:t>
                              </w:r>
                              <w:r>
                                <w:rPr>
                                  <w:rFonts w:ascii="Times New Roman"/>
                                  <w:i/>
                                  <w:sz w:val="24"/>
                                </w:rPr>
                                <w:t>Cost</w:t>
                              </w:r>
                              <w:r>
                                <w:rPr>
                                  <w:rFonts w:ascii="Times New Roman"/>
                                  <w:i/>
                                  <w:spacing w:val="-3"/>
                                  <w:sz w:val="24"/>
                                </w:rPr>
                                <w:t> </w:t>
                              </w:r>
                              <w:r>
                                <w:rPr>
                                  <w:rFonts w:ascii="Times New Roman"/>
                                  <w:spacing w:val="-4"/>
                                  <w:sz w:val="24"/>
                                </w:rPr>
                                <w:t>(X</w:t>
                              </w:r>
                              <w:r>
                                <w:rPr>
                                  <w:rFonts w:ascii="Times New Roman"/>
                                  <w:spacing w:val="-4"/>
                                  <w:sz w:val="24"/>
                                  <w:vertAlign w:val="subscript"/>
                                </w:rPr>
                                <w:t>3</w:t>
                              </w:r>
                              <w:r>
                                <w:rPr>
                                  <w:rFonts w:ascii="Times New Roman"/>
                                  <w:spacing w:val="-4"/>
                                  <w:sz w:val="24"/>
                                  <w:vertAlign w:val="baseline"/>
                                </w:rPr>
                                <w:t>)</w:t>
                              </w:r>
                            </w:p>
                          </w:txbxContent>
                        </wps:txbx>
                        <wps:bodyPr wrap="square" lIns="0" tIns="0" rIns="0" bIns="0" rtlCol="0">
                          <a:noAutofit/>
                        </wps:bodyPr>
                      </wps:wsp>
                      <wps:wsp>
                        <wps:cNvPr id="49" name="Textbox 49"/>
                        <wps:cNvSpPr txBox="1"/>
                        <wps:spPr>
                          <a:xfrm>
                            <a:off x="3841750" y="374611"/>
                            <a:ext cx="1527175" cy="836930"/>
                          </a:xfrm>
                          <a:prstGeom prst="rect">
                            <a:avLst/>
                          </a:prstGeom>
                          <a:ln w="9524">
                            <a:solidFill>
                              <a:srgbClr val="000000"/>
                            </a:solidFill>
                            <a:prstDash val="solid"/>
                          </a:ln>
                        </wps:spPr>
                        <wps:txbx>
                          <w:txbxContent>
                            <w:p>
                              <w:pPr>
                                <w:spacing w:line="259" w:lineRule="auto" w:before="208"/>
                                <w:ind w:left="185" w:right="184" w:firstLine="0"/>
                                <w:jc w:val="center"/>
                                <w:rPr>
                                  <w:rFonts w:ascii="Times New Roman"/>
                                  <w:sz w:val="24"/>
                                </w:rPr>
                              </w:pPr>
                              <w:r>
                                <w:rPr>
                                  <w:rFonts w:ascii="Times New Roman"/>
                                  <w:i/>
                                  <w:sz w:val="24"/>
                                </w:rPr>
                                <w:t>Environment,</w:t>
                              </w:r>
                              <w:r>
                                <w:rPr>
                                  <w:rFonts w:ascii="Times New Roman"/>
                                  <w:i/>
                                  <w:spacing w:val="-15"/>
                                  <w:sz w:val="24"/>
                                </w:rPr>
                                <w:t> </w:t>
                              </w:r>
                              <w:r>
                                <w:rPr>
                                  <w:rFonts w:ascii="Times New Roman"/>
                                  <w:i/>
                                  <w:sz w:val="24"/>
                                </w:rPr>
                                <w:t>Social, Governance (ESG) Disclosure </w:t>
                              </w:r>
                              <w:r>
                                <w:rPr>
                                  <w:rFonts w:ascii="Times New Roman"/>
                                  <w:sz w:val="24"/>
                                </w:rPr>
                                <w:t>(Y)</w:t>
                              </w:r>
                            </w:p>
                          </w:txbxContent>
                        </wps:txbx>
                        <wps:bodyPr wrap="square" lIns="0" tIns="0" rIns="0" bIns="0" rtlCol="0">
                          <a:noAutofit/>
                        </wps:bodyPr>
                      </wps:wsp>
                      <wps:wsp>
                        <wps:cNvPr id="50" name="Textbox 50"/>
                        <wps:cNvSpPr txBox="1"/>
                        <wps:spPr>
                          <a:xfrm>
                            <a:off x="143509" y="111734"/>
                            <a:ext cx="1889125" cy="396875"/>
                          </a:xfrm>
                          <a:prstGeom prst="rect">
                            <a:avLst/>
                          </a:prstGeom>
                          <a:ln w="9524">
                            <a:solidFill>
                              <a:srgbClr val="000000"/>
                            </a:solidFill>
                            <a:prstDash val="solid"/>
                          </a:ln>
                        </wps:spPr>
                        <wps:txbx>
                          <w:txbxContent>
                            <w:p>
                              <w:pPr>
                                <w:spacing w:before="200"/>
                                <w:ind w:left="364" w:right="0" w:firstLine="0"/>
                                <w:jc w:val="left"/>
                                <w:rPr>
                                  <w:rFonts w:ascii="Times New Roman"/>
                                  <w:sz w:val="24"/>
                                </w:rPr>
                              </w:pPr>
                              <w:r>
                                <w:rPr>
                                  <w:rFonts w:ascii="Times New Roman"/>
                                  <w:sz w:val="24"/>
                                </w:rPr>
                                <w:t>Karakteristik</w:t>
                              </w:r>
                              <w:r>
                                <w:rPr>
                                  <w:rFonts w:ascii="Times New Roman"/>
                                  <w:spacing w:val="-4"/>
                                  <w:sz w:val="24"/>
                                </w:rPr>
                                <w:t> </w:t>
                              </w:r>
                              <w:r>
                                <w:rPr>
                                  <w:rFonts w:ascii="Times New Roman"/>
                                  <w:sz w:val="24"/>
                                </w:rPr>
                                <w:t>CEO</w:t>
                              </w:r>
                              <w:r>
                                <w:rPr>
                                  <w:rFonts w:ascii="Times New Roman"/>
                                  <w:spacing w:val="-2"/>
                                  <w:sz w:val="24"/>
                                </w:rPr>
                                <w:t> </w:t>
                              </w:r>
                              <w:r>
                                <w:rPr>
                                  <w:rFonts w:ascii="Times New Roman"/>
                                  <w:spacing w:val="-4"/>
                                  <w:sz w:val="24"/>
                                </w:rPr>
                                <w:t>(X</w:t>
                              </w:r>
                              <w:r>
                                <w:rPr>
                                  <w:rFonts w:ascii="Times New Roman"/>
                                  <w:spacing w:val="-4"/>
                                  <w:sz w:val="24"/>
                                  <w:vertAlign w:val="subscript"/>
                                </w:rPr>
                                <w:t>1</w:t>
                              </w:r>
                              <w:r>
                                <w:rPr>
                                  <w:rFonts w:ascii="Times New Roman"/>
                                  <w:spacing w:val="-4"/>
                                  <w:sz w:val="24"/>
                                  <w:vertAlign w:val="baseline"/>
                                </w:rPr>
                                <w:t>)</w:t>
                              </w:r>
                            </w:p>
                          </w:txbxContent>
                        </wps:txbx>
                        <wps:bodyPr wrap="square" lIns="0" tIns="0" rIns="0" bIns="0" rtlCol="0">
                          <a:noAutofit/>
                        </wps:bodyPr>
                      </wps:wsp>
                    </wpg:wgp>
                  </a:graphicData>
                </a:graphic>
              </wp:anchor>
            </w:drawing>
          </mc:Choice>
          <mc:Fallback>
            <w:pict>
              <v:group style="position:absolute;margin-left:86.500008pt;margin-top:14.207275pt;width:432.85pt;height:237.25pt;mso-position-horizontal-relative:page;mso-position-vertical-relative:paragraph;z-index:-15724032;mso-wrap-distance-left:0;mso-wrap-distance-right:0" id="docshapegroup18" coordorigin="1730,284" coordsize="8657,4745">
                <v:rect style="position:absolute;left:1958;top:1240;width:2975;height:625" id="docshape19" filled="false" stroked="true" strokeweight=".74999pt" strokecolor="#000000">
                  <v:stroke dashstyle="solid"/>
                </v:rect>
                <v:line style="position:absolute" from="4940,738" to="7730,1475" stroked="true" strokeweight=".74999pt" strokecolor="#000000">
                  <v:stroke dashstyle="solid"/>
                </v:line>
                <v:shape style="position:absolute;left:7599;top:1384;width:139;height:124" type="#_x0000_t75" id="docshape20" stroked="false">
                  <v:imagedata r:id="rId29" o:title=""/>
                </v:shape>
                <v:line style="position:absolute" from="4930,1538" to="7720,1538" stroked="true" strokeweight=".74999pt" strokecolor="#000000">
                  <v:stroke dashstyle="solid"/>
                </v:line>
                <v:shape style="position:absolute;left:7600;top:1474;width:128;height:128" type="#_x0000_t75" id="docshape21" stroked="false">
                  <v:imagedata r:id="rId30" o:title=""/>
                </v:shape>
                <v:line style="position:absolute" from="4940,2334" to="7730,1594" stroked="true" strokeweight=".74999pt" strokecolor="#000000">
                  <v:stroke dashstyle="solid"/>
                </v:line>
                <v:shape style="position:absolute;left:7599;top:1560;width:139;height:124" type="#_x0000_t75" id="docshape22" stroked="false">
                  <v:imagedata r:id="rId31" o:title=""/>
                </v:shape>
                <v:rect style="position:absolute;left:4810;top:4202;width:2975;height:625" id="docshape23" filled="false" stroked="true" strokeweight=".74999pt" strokecolor="#000000">
                  <v:stroke dashstyle="solid"/>
                </v:rect>
                <v:rect style="position:absolute;left:1750;top:304;width:8617;height:4705" id="docshape24" filled="false" stroked="true" strokeweight="1.99998pt" strokecolor="#000000">
                  <v:stroke dashstyle="solid"/>
                </v:rect>
                <v:line style="position:absolute" from="6403,4202" to="6388,1595" stroked="true" strokeweight=".74999pt" strokecolor="#000000">
                  <v:stroke dashstyle="solid"/>
                </v:line>
                <v:shape style="position:absolute;left:6324;top:1587;width:128;height:128" type="#_x0000_t75" id="docshape25" stroked="false">
                  <v:imagedata r:id="rId32" o:title=""/>
                </v:shape>
                <v:line style="position:absolute" from="7323,4197" to="7308,1703" stroked="true" strokeweight=".74999pt" strokecolor="#000000">
                  <v:stroke dashstyle="solid"/>
                </v:line>
                <v:shape style="position:absolute;left:7244;top:1695;width:128;height:128" type="#_x0000_t75" id="docshape26" stroked="false">
                  <v:imagedata r:id="rId33" o:title=""/>
                </v:shape>
                <v:line style="position:absolute" from="5505,4186" to="5490,898" stroked="true" strokeweight=".74999pt" strokecolor="#000000">
                  <v:stroke dashstyle="solid"/>
                </v:line>
                <v:shape style="position:absolute;left:5426;top:890;width:128;height:128" type="#_x0000_t75" id="docshape27" stroked="false">
                  <v:imagedata r:id="rId34" o:title=""/>
                </v:shape>
                <v:shape style="position:absolute;left:5779;top:635;width:274;height:283" type="#_x0000_t202" id="docshape28" filled="false" stroked="false">
                  <v:textbox inset="0,0,0,0">
                    <w:txbxContent>
                      <w:p>
                        <w:pPr>
                          <w:spacing w:line="266" w:lineRule="exact" w:before="0"/>
                          <w:ind w:left="0" w:right="0" w:firstLine="0"/>
                          <w:jc w:val="left"/>
                          <w:rPr>
                            <w:rFonts w:ascii="Times New Roman"/>
                            <w:sz w:val="24"/>
                          </w:rPr>
                        </w:pPr>
                        <w:r>
                          <w:rPr>
                            <w:rFonts w:ascii="Times New Roman"/>
                            <w:spacing w:val="-5"/>
                            <w:sz w:val="24"/>
                          </w:rPr>
                          <w:t>H</w:t>
                        </w:r>
                        <w:r>
                          <w:rPr>
                            <w:rFonts w:ascii="Times New Roman"/>
                            <w:spacing w:val="-5"/>
                            <w:sz w:val="24"/>
                            <w:vertAlign w:val="subscript"/>
                          </w:rPr>
                          <w:t>1</w:t>
                        </w:r>
                      </w:p>
                    </w:txbxContent>
                  </v:textbox>
                  <w10:wrap type="none"/>
                </v:shape>
                <v:shape style="position:absolute;left:2332;top:1390;width:2246;height:283" type="#_x0000_t202" id="docshape29" filled="false" stroked="false">
                  <v:textbox inset="0,0,0,0">
                    <w:txbxContent>
                      <w:p>
                        <w:pPr>
                          <w:spacing w:line="266" w:lineRule="exact" w:before="0"/>
                          <w:ind w:left="0" w:right="0" w:firstLine="0"/>
                          <w:jc w:val="left"/>
                          <w:rPr>
                            <w:rFonts w:ascii="Times New Roman"/>
                            <w:sz w:val="24"/>
                          </w:rPr>
                        </w:pPr>
                        <w:r>
                          <w:rPr>
                            <w:rFonts w:ascii="Times New Roman"/>
                            <w:sz w:val="24"/>
                          </w:rPr>
                          <w:t>Kinerja</w:t>
                        </w:r>
                        <w:r>
                          <w:rPr>
                            <w:rFonts w:ascii="Times New Roman"/>
                            <w:spacing w:val="-5"/>
                            <w:sz w:val="24"/>
                          </w:rPr>
                          <w:t> </w:t>
                        </w:r>
                        <w:r>
                          <w:rPr>
                            <w:rFonts w:ascii="Times New Roman"/>
                            <w:sz w:val="24"/>
                          </w:rPr>
                          <w:t>Keuangan</w:t>
                        </w:r>
                        <w:r>
                          <w:rPr>
                            <w:rFonts w:ascii="Times New Roman"/>
                            <w:spacing w:val="-4"/>
                            <w:sz w:val="24"/>
                          </w:rPr>
                          <w:t> (X</w:t>
                        </w:r>
                        <w:r>
                          <w:rPr>
                            <w:rFonts w:ascii="Times New Roman"/>
                            <w:spacing w:val="-4"/>
                            <w:sz w:val="24"/>
                            <w:vertAlign w:val="subscript"/>
                          </w:rPr>
                          <w:t>2</w:t>
                        </w:r>
                        <w:r>
                          <w:rPr>
                            <w:rFonts w:ascii="Times New Roman"/>
                            <w:spacing w:val="-4"/>
                            <w:sz w:val="24"/>
                            <w:vertAlign w:val="baseline"/>
                          </w:rPr>
                          <w:t>)</w:t>
                        </w:r>
                      </w:p>
                    </w:txbxContent>
                  </v:textbox>
                  <w10:wrap type="none"/>
                </v:shape>
                <v:shape style="position:absolute;left:5781;top:1172;width:274;height:883" type="#_x0000_t202" id="docshape30" filled="false" stroked="false">
                  <v:textbox inset="0,0,0,0">
                    <w:txbxContent>
                      <w:p>
                        <w:pPr>
                          <w:spacing w:line="266" w:lineRule="exact" w:before="0"/>
                          <w:ind w:left="0" w:right="0" w:firstLine="0"/>
                          <w:jc w:val="left"/>
                          <w:rPr>
                            <w:rFonts w:ascii="Times New Roman"/>
                            <w:sz w:val="24"/>
                          </w:rPr>
                        </w:pPr>
                        <w:r>
                          <w:rPr>
                            <w:rFonts w:ascii="Times New Roman"/>
                            <w:spacing w:val="-5"/>
                            <w:sz w:val="24"/>
                          </w:rPr>
                          <w:t>H</w:t>
                        </w:r>
                        <w:r>
                          <w:rPr>
                            <w:rFonts w:ascii="Times New Roman"/>
                            <w:spacing w:val="-5"/>
                            <w:sz w:val="24"/>
                            <w:vertAlign w:val="subscript"/>
                          </w:rPr>
                          <w:t>2</w:t>
                        </w:r>
                      </w:p>
                      <w:p>
                        <w:pPr>
                          <w:spacing w:line="240" w:lineRule="auto" w:before="139"/>
                          <w:rPr>
                            <w:rFonts w:ascii="Times New Roman"/>
                            <w:sz w:val="16"/>
                          </w:rPr>
                        </w:pPr>
                      </w:p>
                      <w:p>
                        <w:pPr>
                          <w:spacing w:before="1"/>
                          <w:ind w:left="0" w:right="0" w:firstLine="0"/>
                          <w:jc w:val="left"/>
                          <w:rPr>
                            <w:rFonts w:ascii="Times New Roman"/>
                            <w:sz w:val="24"/>
                          </w:rPr>
                        </w:pPr>
                        <w:r>
                          <w:rPr>
                            <w:rFonts w:ascii="Times New Roman"/>
                            <w:spacing w:val="-5"/>
                            <w:sz w:val="24"/>
                          </w:rPr>
                          <w:t>H</w:t>
                        </w:r>
                        <w:r>
                          <w:rPr>
                            <w:rFonts w:ascii="Times New Roman"/>
                            <w:spacing w:val="-5"/>
                            <w:sz w:val="24"/>
                            <w:vertAlign w:val="subscript"/>
                          </w:rPr>
                          <w:t>3</w:t>
                        </w:r>
                      </w:p>
                    </w:txbxContent>
                  </v:textbox>
                  <w10:wrap type="none"/>
                </v:shape>
                <v:shape style="position:absolute;left:5802;top:3475;width:283;height:286" type="#_x0000_t202" id="docshape31" filled="false" stroked="false">
                  <v:textbox inset="0,0,0,0">
                    <w:txbxContent>
                      <w:p>
                        <w:pPr>
                          <w:spacing w:line="268" w:lineRule="exact" w:before="0"/>
                          <w:ind w:left="0" w:right="0" w:firstLine="0"/>
                          <w:jc w:val="left"/>
                          <w:rPr>
                            <w:sz w:val="24"/>
                          </w:rPr>
                        </w:pPr>
                        <w:r>
                          <w:rPr>
                            <w:spacing w:val="-5"/>
                            <w:sz w:val="24"/>
                          </w:rPr>
                          <w:t>H</w:t>
                        </w:r>
                        <w:r>
                          <w:rPr>
                            <w:spacing w:val="-5"/>
                            <w:sz w:val="24"/>
                            <w:vertAlign w:val="subscript"/>
                          </w:rPr>
                          <w:t>4</w:t>
                        </w:r>
                      </w:p>
                    </w:txbxContent>
                  </v:textbox>
                  <w10:wrap type="none"/>
                </v:shape>
                <v:shape style="position:absolute;left:6819;top:3475;width:283;height:286" type="#_x0000_t202" id="docshape32" filled="false" stroked="false">
                  <v:textbox inset="0,0,0,0">
                    <w:txbxContent>
                      <w:p>
                        <w:pPr>
                          <w:spacing w:line="268" w:lineRule="exact" w:before="0"/>
                          <w:ind w:left="0" w:right="0" w:firstLine="0"/>
                          <w:jc w:val="left"/>
                          <w:rPr>
                            <w:sz w:val="24"/>
                          </w:rPr>
                        </w:pPr>
                        <w:r>
                          <w:rPr>
                            <w:spacing w:val="-5"/>
                            <w:sz w:val="24"/>
                          </w:rPr>
                          <w:t>H</w:t>
                        </w:r>
                        <w:r>
                          <w:rPr>
                            <w:spacing w:val="-5"/>
                            <w:sz w:val="24"/>
                            <w:vertAlign w:val="subscript"/>
                          </w:rPr>
                          <w:t>5</w:t>
                        </w:r>
                      </w:p>
                    </w:txbxContent>
                  </v:textbox>
                  <w10:wrap type="none"/>
                </v:shape>
                <v:shape style="position:absolute;left:7793;top:3475;width:283;height:286" type="#_x0000_t202" id="docshape33" filled="false" stroked="false">
                  <v:textbox inset="0,0,0,0">
                    <w:txbxContent>
                      <w:p>
                        <w:pPr>
                          <w:spacing w:line="268" w:lineRule="exact" w:before="0"/>
                          <w:ind w:left="0" w:right="0" w:firstLine="0"/>
                          <w:jc w:val="left"/>
                          <w:rPr>
                            <w:sz w:val="24"/>
                          </w:rPr>
                        </w:pPr>
                        <w:r>
                          <w:rPr>
                            <w:spacing w:val="-5"/>
                            <w:sz w:val="24"/>
                          </w:rPr>
                          <w:t>H</w:t>
                        </w:r>
                        <w:r>
                          <w:rPr>
                            <w:spacing w:val="-5"/>
                            <w:sz w:val="24"/>
                            <w:vertAlign w:val="subscript"/>
                          </w:rPr>
                          <w:t>6</w:t>
                        </w:r>
                      </w:p>
                    </w:txbxContent>
                  </v:textbox>
                  <w10:wrap type="none"/>
                </v:shape>
                <v:shape style="position:absolute;left:5144;top:4353;width:2325;height:266" type="#_x0000_t202" id="docshape34" filled="false" stroked="false">
                  <v:textbox inset="0,0,0,0">
                    <w:txbxContent>
                      <w:p>
                        <w:pPr>
                          <w:spacing w:line="266" w:lineRule="exact" w:before="0"/>
                          <w:ind w:left="0" w:right="0" w:firstLine="0"/>
                          <w:jc w:val="left"/>
                          <w:rPr>
                            <w:rFonts w:ascii="Times New Roman"/>
                            <w:sz w:val="24"/>
                          </w:rPr>
                        </w:pPr>
                        <w:r>
                          <w:rPr>
                            <w:rFonts w:ascii="Times New Roman"/>
                            <w:sz w:val="24"/>
                          </w:rPr>
                          <w:t>Ukuran</w:t>
                        </w:r>
                        <w:r>
                          <w:rPr>
                            <w:rFonts w:ascii="Times New Roman"/>
                            <w:spacing w:val="-5"/>
                            <w:sz w:val="24"/>
                          </w:rPr>
                          <w:t> </w:t>
                        </w:r>
                        <w:r>
                          <w:rPr>
                            <w:rFonts w:ascii="Times New Roman"/>
                            <w:sz w:val="24"/>
                          </w:rPr>
                          <w:t>Perusahaan</w:t>
                        </w:r>
                        <w:r>
                          <w:rPr>
                            <w:rFonts w:ascii="Times New Roman"/>
                            <w:spacing w:val="-4"/>
                            <w:sz w:val="24"/>
                          </w:rPr>
                          <w:t> </w:t>
                        </w:r>
                        <w:r>
                          <w:rPr>
                            <w:rFonts w:ascii="Times New Roman"/>
                            <w:spacing w:val="-5"/>
                            <w:sz w:val="24"/>
                          </w:rPr>
                          <w:t>(M)</w:t>
                        </w:r>
                      </w:p>
                    </w:txbxContent>
                  </v:textbox>
                  <w10:wrap type="none"/>
                </v:shape>
                <v:shape style="position:absolute;left:1968;top:2018;width:2975;height:625" type="#_x0000_t202" id="docshape35" filled="false" stroked="true" strokeweight=".74999pt" strokecolor="#000000">
                  <v:textbox inset="0,0,0,0">
                    <w:txbxContent>
                      <w:p>
                        <w:pPr>
                          <w:spacing w:before="132"/>
                          <w:ind w:left="580" w:right="0" w:firstLine="0"/>
                          <w:jc w:val="left"/>
                          <w:rPr>
                            <w:rFonts w:ascii="Times New Roman"/>
                            <w:sz w:val="24"/>
                          </w:rPr>
                        </w:pPr>
                        <w:r>
                          <w:rPr>
                            <w:rFonts w:ascii="Times New Roman"/>
                            <w:i/>
                            <w:sz w:val="24"/>
                          </w:rPr>
                          <w:t>Political</w:t>
                        </w:r>
                        <w:r>
                          <w:rPr>
                            <w:rFonts w:ascii="Times New Roman"/>
                            <w:i/>
                            <w:spacing w:val="-6"/>
                            <w:sz w:val="24"/>
                          </w:rPr>
                          <w:t> </w:t>
                        </w:r>
                        <w:r>
                          <w:rPr>
                            <w:rFonts w:ascii="Times New Roman"/>
                            <w:i/>
                            <w:sz w:val="24"/>
                          </w:rPr>
                          <w:t>Cost</w:t>
                        </w:r>
                        <w:r>
                          <w:rPr>
                            <w:rFonts w:ascii="Times New Roman"/>
                            <w:i/>
                            <w:spacing w:val="-3"/>
                            <w:sz w:val="24"/>
                          </w:rPr>
                          <w:t> </w:t>
                        </w:r>
                        <w:r>
                          <w:rPr>
                            <w:rFonts w:ascii="Times New Roman"/>
                            <w:spacing w:val="-4"/>
                            <w:sz w:val="24"/>
                          </w:rPr>
                          <w:t>(X</w:t>
                        </w:r>
                        <w:r>
                          <w:rPr>
                            <w:rFonts w:ascii="Times New Roman"/>
                            <w:spacing w:val="-4"/>
                            <w:sz w:val="24"/>
                            <w:vertAlign w:val="subscript"/>
                          </w:rPr>
                          <w:t>3</w:t>
                        </w:r>
                        <w:r>
                          <w:rPr>
                            <w:rFonts w:ascii="Times New Roman"/>
                            <w:spacing w:val="-4"/>
                            <w:sz w:val="24"/>
                            <w:vertAlign w:val="baseline"/>
                          </w:rPr>
                          <w:t>)</w:t>
                        </w:r>
                      </w:p>
                    </w:txbxContent>
                  </v:textbox>
                  <v:stroke dashstyle="solid"/>
                  <w10:wrap type="none"/>
                </v:shape>
                <v:shape style="position:absolute;left:7780;top:874;width:2405;height:1318" type="#_x0000_t202" id="docshape36" filled="false" stroked="true" strokeweight=".74999pt" strokecolor="#000000">
                  <v:textbox inset="0,0,0,0">
                    <w:txbxContent>
                      <w:p>
                        <w:pPr>
                          <w:spacing w:line="259" w:lineRule="auto" w:before="208"/>
                          <w:ind w:left="185" w:right="184" w:firstLine="0"/>
                          <w:jc w:val="center"/>
                          <w:rPr>
                            <w:rFonts w:ascii="Times New Roman"/>
                            <w:sz w:val="24"/>
                          </w:rPr>
                        </w:pPr>
                        <w:r>
                          <w:rPr>
                            <w:rFonts w:ascii="Times New Roman"/>
                            <w:i/>
                            <w:sz w:val="24"/>
                          </w:rPr>
                          <w:t>Environment,</w:t>
                        </w:r>
                        <w:r>
                          <w:rPr>
                            <w:rFonts w:ascii="Times New Roman"/>
                            <w:i/>
                            <w:spacing w:val="-15"/>
                            <w:sz w:val="24"/>
                          </w:rPr>
                          <w:t> </w:t>
                        </w:r>
                        <w:r>
                          <w:rPr>
                            <w:rFonts w:ascii="Times New Roman"/>
                            <w:i/>
                            <w:sz w:val="24"/>
                          </w:rPr>
                          <w:t>Social, Governance (ESG) Disclosure </w:t>
                        </w:r>
                        <w:r>
                          <w:rPr>
                            <w:rFonts w:ascii="Times New Roman"/>
                            <w:sz w:val="24"/>
                          </w:rPr>
                          <w:t>(Y)</w:t>
                        </w:r>
                      </w:p>
                    </w:txbxContent>
                  </v:textbox>
                  <v:stroke dashstyle="solid"/>
                  <w10:wrap type="none"/>
                </v:shape>
                <v:shape style="position:absolute;left:1956;top:460;width:2975;height:625" type="#_x0000_t202" id="docshape37" filled="false" stroked="true" strokeweight=".74999pt" strokecolor="#000000">
                  <v:textbox inset="0,0,0,0">
                    <w:txbxContent>
                      <w:p>
                        <w:pPr>
                          <w:spacing w:before="200"/>
                          <w:ind w:left="364" w:right="0" w:firstLine="0"/>
                          <w:jc w:val="left"/>
                          <w:rPr>
                            <w:rFonts w:ascii="Times New Roman"/>
                            <w:sz w:val="24"/>
                          </w:rPr>
                        </w:pPr>
                        <w:r>
                          <w:rPr>
                            <w:rFonts w:ascii="Times New Roman"/>
                            <w:sz w:val="24"/>
                          </w:rPr>
                          <w:t>Karakteristik</w:t>
                        </w:r>
                        <w:r>
                          <w:rPr>
                            <w:rFonts w:ascii="Times New Roman"/>
                            <w:spacing w:val="-4"/>
                            <w:sz w:val="24"/>
                          </w:rPr>
                          <w:t> </w:t>
                        </w:r>
                        <w:r>
                          <w:rPr>
                            <w:rFonts w:ascii="Times New Roman"/>
                            <w:sz w:val="24"/>
                          </w:rPr>
                          <w:t>CEO</w:t>
                        </w:r>
                        <w:r>
                          <w:rPr>
                            <w:rFonts w:ascii="Times New Roman"/>
                            <w:spacing w:val="-2"/>
                            <w:sz w:val="24"/>
                          </w:rPr>
                          <w:t> </w:t>
                        </w:r>
                        <w:r>
                          <w:rPr>
                            <w:rFonts w:ascii="Times New Roman"/>
                            <w:spacing w:val="-4"/>
                            <w:sz w:val="24"/>
                          </w:rPr>
                          <w:t>(X</w:t>
                        </w:r>
                        <w:r>
                          <w:rPr>
                            <w:rFonts w:ascii="Times New Roman"/>
                            <w:spacing w:val="-4"/>
                            <w:sz w:val="24"/>
                            <w:vertAlign w:val="subscript"/>
                          </w:rPr>
                          <w:t>1</w:t>
                        </w:r>
                        <w:r>
                          <w:rPr>
                            <w:rFonts w:ascii="Times New Roman"/>
                            <w:spacing w:val="-4"/>
                            <w:sz w:val="24"/>
                            <w:vertAlign w:val="baseline"/>
                          </w:rPr>
                          <w:t>)</w:t>
                        </w:r>
                      </w:p>
                    </w:txbxContent>
                  </v:textbox>
                  <v:stroke dashstyle="solid"/>
                  <w10:wrap type="none"/>
                </v:shape>
                <w10:wrap type="topAndBottom"/>
              </v:group>
            </w:pict>
          </mc:Fallback>
        </mc:AlternateContent>
      </w:r>
    </w:p>
    <w:p>
      <w:pPr>
        <w:pStyle w:val="BodyText"/>
        <w:spacing w:before="22"/>
      </w:pPr>
    </w:p>
    <w:p>
      <w:pPr>
        <w:spacing w:before="0"/>
        <w:ind w:left="734" w:right="734" w:firstLine="0"/>
        <w:jc w:val="center"/>
        <w:rPr>
          <w:sz w:val="24"/>
        </w:rPr>
      </w:pPr>
      <w:bookmarkStart w:name="_bookmark24" w:id="25"/>
      <w:bookmarkEnd w:id="25"/>
      <w:r>
        <w:rPr/>
      </w:r>
      <w:r>
        <w:rPr>
          <w:b/>
          <w:sz w:val="24"/>
        </w:rPr>
        <w:t>Gambar</w:t>
      </w:r>
      <w:r>
        <w:rPr>
          <w:b/>
          <w:spacing w:val="-7"/>
          <w:sz w:val="24"/>
        </w:rPr>
        <w:t> </w:t>
      </w:r>
      <w:r>
        <w:rPr>
          <w:b/>
          <w:sz w:val="24"/>
        </w:rPr>
        <w:t>2.1</w:t>
      </w:r>
      <w:r>
        <w:rPr>
          <w:b/>
          <w:spacing w:val="-5"/>
          <w:sz w:val="24"/>
        </w:rPr>
        <w:t> </w:t>
      </w:r>
      <w:r>
        <w:rPr>
          <w:sz w:val="24"/>
        </w:rPr>
        <w:t>Kerangka</w:t>
      </w:r>
      <w:r>
        <w:rPr>
          <w:spacing w:val="-5"/>
          <w:sz w:val="24"/>
        </w:rPr>
        <w:t> </w:t>
      </w:r>
      <w:r>
        <w:rPr>
          <w:sz w:val="24"/>
        </w:rPr>
        <w:t>Pemikiran</w:t>
      </w:r>
      <w:r>
        <w:rPr>
          <w:spacing w:val="-4"/>
          <w:sz w:val="24"/>
        </w:rPr>
        <w:t> </w:t>
      </w:r>
      <w:r>
        <w:rPr>
          <w:spacing w:val="-2"/>
          <w:sz w:val="24"/>
        </w:rPr>
        <w:t>Konseptual</w:t>
      </w:r>
    </w:p>
    <w:p>
      <w:pPr>
        <w:pStyle w:val="Heading2"/>
        <w:spacing w:before="200"/>
        <w:ind w:left="712" w:firstLine="0"/>
      </w:pPr>
      <w:r>
        <w:rPr/>
        <w:t>D.</w:t>
      </w:r>
      <w:r>
        <w:rPr>
          <w:spacing w:val="48"/>
        </w:rPr>
        <w:t> </w:t>
      </w:r>
      <w:bookmarkStart w:name="_bookmark25" w:id="26"/>
      <w:bookmarkEnd w:id="26"/>
      <w:r>
        <w:rPr>
          <w:spacing w:val="-2"/>
        </w:rPr>
        <w:t>Hi</w:t>
      </w:r>
      <w:r>
        <w:rPr>
          <w:spacing w:val="-2"/>
        </w:rPr>
        <w:t>potesis</w:t>
      </w:r>
    </w:p>
    <w:p>
      <w:pPr>
        <w:pStyle w:val="BodyText"/>
        <w:rPr>
          <w:b/>
        </w:rPr>
      </w:pPr>
    </w:p>
    <w:p>
      <w:pPr>
        <w:pStyle w:val="BodyText"/>
        <w:spacing w:line="480" w:lineRule="auto"/>
        <w:ind w:left="1135" w:right="708" w:firstLine="708"/>
        <w:jc w:val="both"/>
      </w:pPr>
      <w:r>
        <w:rPr/>
        <w:t>Hipotesis merupakan sebuah pernyataan yang diajukan untuk diuji kebenarannya melalui observasi, eksperimen, atau penelitian (Asep, 2018). Tujuan dari pengujian hipotesis adalah untuk menguji apakah data yang diperoleh konsisten dengan prediksi yang diajukan dalam hipotesis tersebut. Berdasarkan uraian kerangka konseptual di atas, maka hipotesis penelitian ini adalah sebagai berikut:</w:t>
      </w:r>
    </w:p>
    <w:p>
      <w:pPr>
        <w:pStyle w:val="BodyText"/>
        <w:spacing w:after="0" w:line="480" w:lineRule="auto"/>
        <w:jc w:val="both"/>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spacing w:line="480" w:lineRule="auto" w:before="0"/>
        <w:ind w:left="1984" w:right="707" w:hanging="567"/>
        <w:jc w:val="both"/>
        <w:rPr>
          <w:sz w:val="24"/>
        </w:rPr>
      </w:pPr>
      <w:r>
        <w:rPr>
          <w:sz w:val="24"/>
        </w:rPr>
        <w:t>H</w:t>
      </w:r>
      <w:r>
        <w:rPr>
          <w:sz w:val="24"/>
          <w:vertAlign w:val="subscript"/>
        </w:rPr>
        <w:t>1</w:t>
      </w:r>
      <w:r>
        <w:rPr>
          <w:sz w:val="24"/>
          <w:vertAlign w:val="baseline"/>
        </w:rPr>
        <w:t>: Diduga Karakteristik CEO berpengaruh positif terhadap </w:t>
      </w:r>
      <w:r>
        <w:rPr>
          <w:i/>
          <w:sz w:val="24"/>
          <w:vertAlign w:val="baseline"/>
        </w:rPr>
        <w:t>Environment</w:t>
      </w:r>
      <w:r>
        <w:rPr>
          <w:sz w:val="24"/>
          <w:vertAlign w:val="baseline"/>
        </w:rPr>
        <w:t>, </w:t>
      </w:r>
      <w:r>
        <w:rPr>
          <w:i/>
          <w:sz w:val="24"/>
          <w:vertAlign w:val="baseline"/>
        </w:rPr>
        <w:t>Social</w:t>
      </w:r>
      <w:r>
        <w:rPr>
          <w:sz w:val="24"/>
          <w:vertAlign w:val="baseline"/>
        </w:rPr>
        <w:t>, </w:t>
      </w:r>
      <w:r>
        <w:rPr>
          <w:i/>
          <w:sz w:val="24"/>
          <w:vertAlign w:val="baseline"/>
        </w:rPr>
        <w:t>Governance </w:t>
      </w:r>
      <w:r>
        <w:rPr>
          <w:sz w:val="24"/>
          <w:vertAlign w:val="baseline"/>
        </w:rPr>
        <w:t>(ESG) </w:t>
      </w:r>
      <w:r>
        <w:rPr>
          <w:i/>
          <w:sz w:val="24"/>
          <w:vertAlign w:val="baseline"/>
        </w:rPr>
        <w:t>Disclosure </w:t>
      </w:r>
      <w:r>
        <w:rPr>
          <w:sz w:val="24"/>
          <w:vertAlign w:val="baseline"/>
        </w:rPr>
        <w:t>di perusahaan</w:t>
      </w:r>
      <w:r>
        <w:rPr>
          <w:spacing w:val="-2"/>
          <w:sz w:val="24"/>
          <w:vertAlign w:val="baseline"/>
        </w:rPr>
        <w:t> </w:t>
      </w:r>
      <w:r>
        <w:rPr>
          <w:sz w:val="24"/>
          <w:vertAlign w:val="baseline"/>
        </w:rPr>
        <w:t>sektor</w:t>
      </w:r>
      <w:r>
        <w:rPr>
          <w:spacing w:val="-2"/>
          <w:sz w:val="24"/>
          <w:vertAlign w:val="baseline"/>
        </w:rPr>
        <w:t> </w:t>
      </w:r>
      <w:r>
        <w:rPr>
          <w:sz w:val="24"/>
          <w:vertAlign w:val="baseline"/>
        </w:rPr>
        <w:t>mining</w:t>
      </w:r>
      <w:r>
        <w:rPr>
          <w:spacing w:val="-3"/>
          <w:sz w:val="24"/>
          <w:vertAlign w:val="baseline"/>
        </w:rPr>
        <w:t> </w:t>
      </w:r>
      <w:r>
        <w:rPr>
          <w:sz w:val="24"/>
          <w:vertAlign w:val="baseline"/>
        </w:rPr>
        <w:t>di</w:t>
      </w:r>
      <w:r>
        <w:rPr>
          <w:spacing w:val="-2"/>
          <w:sz w:val="24"/>
          <w:vertAlign w:val="baseline"/>
        </w:rPr>
        <w:t> </w:t>
      </w:r>
      <w:r>
        <w:rPr>
          <w:sz w:val="24"/>
          <w:vertAlign w:val="baseline"/>
        </w:rPr>
        <w:t>Bursa</w:t>
      </w:r>
      <w:r>
        <w:rPr>
          <w:spacing w:val="-2"/>
          <w:sz w:val="24"/>
          <w:vertAlign w:val="baseline"/>
        </w:rPr>
        <w:t> </w:t>
      </w:r>
      <w:r>
        <w:rPr>
          <w:sz w:val="24"/>
          <w:vertAlign w:val="baseline"/>
        </w:rPr>
        <w:t>Efek</w:t>
      </w:r>
      <w:r>
        <w:rPr>
          <w:spacing w:val="-3"/>
          <w:sz w:val="24"/>
          <w:vertAlign w:val="baseline"/>
        </w:rPr>
        <w:t> </w:t>
      </w:r>
      <w:r>
        <w:rPr>
          <w:sz w:val="24"/>
          <w:vertAlign w:val="baseline"/>
        </w:rPr>
        <w:t>Indonesia</w:t>
      </w:r>
      <w:r>
        <w:rPr>
          <w:spacing w:val="-2"/>
          <w:sz w:val="24"/>
          <w:vertAlign w:val="baseline"/>
        </w:rPr>
        <w:t> </w:t>
      </w:r>
      <w:r>
        <w:rPr>
          <w:sz w:val="24"/>
          <w:vertAlign w:val="baseline"/>
        </w:rPr>
        <w:t>(BEI)</w:t>
      </w:r>
      <w:r>
        <w:rPr>
          <w:spacing w:val="-2"/>
          <w:sz w:val="24"/>
          <w:vertAlign w:val="baseline"/>
        </w:rPr>
        <w:t> </w:t>
      </w:r>
      <w:r>
        <w:rPr>
          <w:sz w:val="24"/>
          <w:vertAlign w:val="baseline"/>
        </w:rPr>
        <w:t>tahun </w:t>
      </w:r>
      <w:r>
        <w:rPr>
          <w:spacing w:val="-2"/>
          <w:sz w:val="24"/>
          <w:vertAlign w:val="baseline"/>
        </w:rPr>
        <w:t>2021-2023.</w:t>
      </w:r>
    </w:p>
    <w:p>
      <w:pPr>
        <w:spacing w:line="480" w:lineRule="auto" w:before="160"/>
        <w:ind w:left="1984" w:right="707" w:hanging="567"/>
        <w:jc w:val="both"/>
        <w:rPr>
          <w:sz w:val="24"/>
        </w:rPr>
      </w:pPr>
      <w:r>
        <w:rPr>
          <w:sz w:val="24"/>
        </w:rPr>
        <w:t>H</w:t>
      </w:r>
      <w:r>
        <w:rPr>
          <w:sz w:val="24"/>
          <w:vertAlign w:val="subscript"/>
        </w:rPr>
        <w:t>2</w:t>
      </w:r>
      <w:r>
        <w:rPr>
          <w:sz w:val="24"/>
          <w:vertAlign w:val="baseline"/>
        </w:rPr>
        <w:t>: Diduga Kinerja keuangan berpengaruh positif terhadap </w:t>
      </w:r>
      <w:r>
        <w:rPr>
          <w:i/>
          <w:sz w:val="24"/>
          <w:vertAlign w:val="baseline"/>
        </w:rPr>
        <w:t>Environment, Social, Governance </w:t>
      </w:r>
      <w:r>
        <w:rPr>
          <w:sz w:val="24"/>
          <w:vertAlign w:val="baseline"/>
        </w:rPr>
        <w:t>(ESG) </w:t>
      </w:r>
      <w:r>
        <w:rPr>
          <w:i/>
          <w:sz w:val="24"/>
          <w:vertAlign w:val="baseline"/>
        </w:rPr>
        <w:t>Disclosure </w:t>
      </w:r>
      <w:r>
        <w:rPr>
          <w:sz w:val="24"/>
          <w:vertAlign w:val="baseline"/>
        </w:rPr>
        <w:t>di perusahaan</w:t>
      </w:r>
      <w:r>
        <w:rPr>
          <w:spacing w:val="-2"/>
          <w:sz w:val="24"/>
          <w:vertAlign w:val="baseline"/>
        </w:rPr>
        <w:t> </w:t>
      </w:r>
      <w:r>
        <w:rPr>
          <w:sz w:val="24"/>
          <w:vertAlign w:val="baseline"/>
        </w:rPr>
        <w:t>sektor</w:t>
      </w:r>
      <w:r>
        <w:rPr>
          <w:spacing w:val="-2"/>
          <w:sz w:val="24"/>
          <w:vertAlign w:val="baseline"/>
        </w:rPr>
        <w:t> </w:t>
      </w:r>
      <w:r>
        <w:rPr>
          <w:sz w:val="24"/>
          <w:vertAlign w:val="baseline"/>
        </w:rPr>
        <w:t>mining</w:t>
      </w:r>
      <w:r>
        <w:rPr>
          <w:spacing w:val="-3"/>
          <w:sz w:val="24"/>
          <w:vertAlign w:val="baseline"/>
        </w:rPr>
        <w:t> </w:t>
      </w:r>
      <w:r>
        <w:rPr>
          <w:sz w:val="24"/>
          <w:vertAlign w:val="baseline"/>
        </w:rPr>
        <w:t>di</w:t>
      </w:r>
      <w:r>
        <w:rPr>
          <w:spacing w:val="-2"/>
          <w:sz w:val="24"/>
          <w:vertAlign w:val="baseline"/>
        </w:rPr>
        <w:t> </w:t>
      </w:r>
      <w:r>
        <w:rPr>
          <w:sz w:val="24"/>
          <w:vertAlign w:val="baseline"/>
        </w:rPr>
        <w:t>Bursa</w:t>
      </w:r>
      <w:r>
        <w:rPr>
          <w:spacing w:val="-2"/>
          <w:sz w:val="24"/>
          <w:vertAlign w:val="baseline"/>
        </w:rPr>
        <w:t> </w:t>
      </w:r>
      <w:r>
        <w:rPr>
          <w:sz w:val="24"/>
          <w:vertAlign w:val="baseline"/>
        </w:rPr>
        <w:t>Efek</w:t>
      </w:r>
      <w:r>
        <w:rPr>
          <w:spacing w:val="-3"/>
          <w:sz w:val="24"/>
          <w:vertAlign w:val="baseline"/>
        </w:rPr>
        <w:t> </w:t>
      </w:r>
      <w:r>
        <w:rPr>
          <w:sz w:val="24"/>
          <w:vertAlign w:val="baseline"/>
        </w:rPr>
        <w:t>Indonesia</w:t>
      </w:r>
      <w:r>
        <w:rPr>
          <w:spacing w:val="-2"/>
          <w:sz w:val="24"/>
          <w:vertAlign w:val="baseline"/>
        </w:rPr>
        <w:t> </w:t>
      </w:r>
      <w:r>
        <w:rPr>
          <w:sz w:val="24"/>
          <w:vertAlign w:val="baseline"/>
        </w:rPr>
        <w:t>(BEI)</w:t>
      </w:r>
      <w:r>
        <w:rPr>
          <w:spacing w:val="-2"/>
          <w:sz w:val="24"/>
          <w:vertAlign w:val="baseline"/>
        </w:rPr>
        <w:t> </w:t>
      </w:r>
      <w:r>
        <w:rPr>
          <w:sz w:val="24"/>
          <w:vertAlign w:val="baseline"/>
        </w:rPr>
        <w:t>tahun </w:t>
      </w:r>
      <w:r>
        <w:rPr>
          <w:spacing w:val="-2"/>
          <w:sz w:val="24"/>
          <w:vertAlign w:val="baseline"/>
        </w:rPr>
        <w:t>2021-2023.</w:t>
      </w:r>
    </w:p>
    <w:p>
      <w:pPr>
        <w:spacing w:line="480" w:lineRule="auto" w:before="160"/>
        <w:ind w:left="1984" w:right="707" w:hanging="567"/>
        <w:jc w:val="both"/>
        <w:rPr>
          <w:sz w:val="24"/>
        </w:rPr>
      </w:pPr>
      <w:r>
        <w:rPr>
          <w:sz w:val="24"/>
        </w:rPr>
        <w:t>H</w:t>
      </w:r>
      <w:r>
        <w:rPr>
          <w:sz w:val="24"/>
          <w:vertAlign w:val="subscript"/>
        </w:rPr>
        <w:t>3</w:t>
      </w:r>
      <w:r>
        <w:rPr>
          <w:sz w:val="24"/>
          <w:vertAlign w:val="baseline"/>
        </w:rPr>
        <w:t>: Diduga </w:t>
      </w:r>
      <w:r>
        <w:rPr>
          <w:i/>
          <w:sz w:val="24"/>
          <w:vertAlign w:val="baseline"/>
        </w:rPr>
        <w:t>Political Cost </w:t>
      </w:r>
      <w:r>
        <w:rPr>
          <w:sz w:val="24"/>
          <w:vertAlign w:val="baseline"/>
        </w:rPr>
        <w:t>berpengaruh negatif terhadap </w:t>
      </w:r>
      <w:r>
        <w:rPr>
          <w:i/>
          <w:sz w:val="24"/>
          <w:vertAlign w:val="baseline"/>
        </w:rPr>
        <w:t>Environment, Social, Governance </w:t>
      </w:r>
      <w:r>
        <w:rPr>
          <w:sz w:val="24"/>
          <w:vertAlign w:val="baseline"/>
        </w:rPr>
        <w:t>(ESG) </w:t>
      </w:r>
      <w:r>
        <w:rPr>
          <w:i/>
          <w:sz w:val="24"/>
          <w:vertAlign w:val="baseline"/>
        </w:rPr>
        <w:t>Disclosure </w:t>
      </w:r>
      <w:r>
        <w:rPr>
          <w:sz w:val="24"/>
          <w:vertAlign w:val="baseline"/>
        </w:rPr>
        <w:t>di perusahaan</w:t>
      </w:r>
      <w:r>
        <w:rPr>
          <w:spacing w:val="-2"/>
          <w:sz w:val="24"/>
          <w:vertAlign w:val="baseline"/>
        </w:rPr>
        <w:t> </w:t>
      </w:r>
      <w:r>
        <w:rPr>
          <w:sz w:val="24"/>
          <w:vertAlign w:val="baseline"/>
        </w:rPr>
        <w:t>sektor</w:t>
      </w:r>
      <w:r>
        <w:rPr>
          <w:spacing w:val="-2"/>
          <w:sz w:val="24"/>
          <w:vertAlign w:val="baseline"/>
        </w:rPr>
        <w:t> </w:t>
      </w:r>
      <w:r>
        <w:rPr>
          <w:sz w:val="24"/>
          <w:vertAlign w:val="baseline"/>
        </w:rPr>
        <w:t>mining</w:t>
      </w:r>
      <w:r>
        <w:rPr>
          <w:spacing w:val="-3"/>
          <w:sz w:val="24"/>
          <w:vertAlign w:val="baseline"/>
        </w:rPr>
        <w:t> </w:t>
      </w:r>
      <w:r>
        <w:rPr>
          <w:sz w:val="24"/>
          <w:vertAlign w:val="baseline"/>
        </w:rPr>
        <w:t>di</w:t>
      </w:r>
      <w:r>
        <w:rPr>
          <w:spacing w:val="-2"/>
          <w:sz w:val="24"/>
          <w:vertAlign w:val="baseline"/>
        </w:rPr>
        <w:t> </w:t>
      </w:r>
      <w:r>
        <w:rPr>
          <w:sz w:val="24"/>
          <w:vertAlign w:val="baseline"/>
        </w:rPr>
        <w:t>Bursa</w:t>
      </w:r>
      <w:r>
        <w:rPr>
          <w:spacing w:val="-2"/>
          <w:sz w:val="24"/>
          <w:vertAlign w:val="baseline"/>
        </w:rPr>
        <w:t> </w:t>
      </w:r>
      <w:r>
        <w:rPr>
          <w:sz w:val="24"/>
          <w:vertAlign w:val="baseline"/>
        </w:rPr>
        <w:t>Efek</w:t>
      </w:r>
      <w:r>
        <w:rPr>
          <w:spacing w:val="-3"/>
          <w:sz w:val="24"/>
          <w:vertAlign w:val="baseline"/>
        </w:rPr>
        <w:t> </w:t>
      </w:r>
      <w:r>
        <w:rPr>
          <w:sz w:val="24"/>
          <w:vertAlign w:val="baseline"/>
        </w:rPr>
        <w:t>Indonesia</w:t>
      </w:r>
      <w:r>
        <w:rPr>
          <w:spacing w:val="-2"/>
          <w:sz w:val="24"/>
          <w:vertAlign w:val="baseline"/>
        </w:rPr>
        <w:t> </w:t>
      </w:r>
      <w:r>
        <w:rPr>
          <w:sz w:val="24"/>
          <w:vertAlign w:val="baseline"/>
        </w:rPr>
        <w:t>(BEI)</w:t>
      </w:r>
      <w:r>
        <w:rPr>
          <w:spacing w:val="-2"/>
          <w:sz w:val="24"/>
          <w:vertAlign w:val="baseline"/>
        </w:rPr>
        <w:t> </w:t>
      </w:r>
      <w:r>
        <w:rPr>
          <w:sz w:val="24"/>
          <w:vertAlign w:val="baseline"/>
        </w:rPr>
        <w:t>tahun </w:t>
      </w:r>
      <w:r>
        <w:rPr>
          <w:spacing w:val="-2"/>
          <w:sz w:val="24"/>
          <w:vertAlign w:val="baseline"/>
        </w:rPr>
        <w:t>2021-2023.</w:t>
      </w:r>
    </w:p>
    <w:p>
      <w:pPr>
        <w:spacing w:line="480" w:lineRule="auto" w:before="160"/>
        <w:ind w:left="1984" w:right="708" w:hanging="567"/>
        <w:jc w:val="both"/>
        <w:rPr>
          <w:sz w:val="24"/>
        </w:rPr>
      </w:pPr>
      <w:r>
        <w:rPr>
          <w:sz w:val="24"/>
        </w:rPr>
        <w:t>H</w:t>
      </w:r>
      <w:r>
        <w:rPr>
          <w:sz w:val="24"/>
          <w:vertAlign w:val="subscript"/>
        </w:rPr>
        <w:t>4</w:t>
      </w:r>
      <w:r>
        <w:rPr>
          <w:sz w:val="24"/>
          <w:vertAlign w:val="baseline"/>
        </w:rPr>
        <w:t>: Diduga Ukuran perusahaan memperkuat Karakteristik CEO terhadap </w:t>
      </w:r>
      <w:r>
        <w:rPr>
          <w:i/>
          <w:sz w:val="24"/>
          <w:vertAlign w:val="baseline"/>
        </w:rPr>
        <w:t>Environment, Social, Governance (ESG) Disclosure </w:t>
      </w:r>
      <w:r>
        <w:rPr>
          <w:sz w:val="24"/>
          <w:vertAlign w:val="baseline"/>
        </w:rPr>
        <w:t>di perusahaan sektor pertambangan di Bursa Efek Indonesia (BEI) tahun 2021-2023.</w:t>
      </w:r>
    </w:p>
    <w:p>
      <w:pPr>
        <w:spacing w:line="480" w:lineRule="auto" w:before="160"/>
        <w:ind w:left="1984" w:right="708" w:hanging="567"/>
        <w:jc w:val="both"/>
        <w:rPr>
          <w:sz w:val="24"/>
        </w:rPr>
      </w:pPr>
      <w:r>
        <w:rPr>
          <w:sz w:val="24"/>
        </w:rPr>
        <w:t>H</w:t>
      </w:r>
      <w:r>
        <w:rPr>
          <w:sz w:val="24"/>
          <w:vertAlign w:val="subscript"/>
        </w:rPr>
        <w:t>5</w:t>
      </w:r>
      <w:r>
        <w:rPr>
          <w:sz w:val="24"/>
          <w:vertAlign w:val="baseline"/>
        </w:rPr>
        <w:t>: Diduga Ukuran perusahaan memperkuat Kinerja keuangan terhadap </w:t>
      </w:r>
      <w:r>
        <w:rPr>
          <w:i/>
          <w:sz w:val="24"/>
          <w:vertAlign w:val="baseline"/>
        </w:rPr>
        <w:t>Environment, Social, Governance (ESG) Disclosure </w:t>
      </w:r>
      <w:r>
        <w:rPr>
          <w:sz w:val="24"/>
          <w:vertAlign w:val="baseline"/>
        </w:rPr>
        <w:t>di perusahaan sektor pertambangan di Bursa Efek Indonesia (BEI) tahun 2021-2023.</w:t>
      </w:r>
    </w:p>
    <w:p>
      <w:pPr>
        <w:spacing w:before="160"/>
        <w:ind w:left="1417" w:right="0" w:firstLine="0"/>
        <w:jc w:val="both"/>
        <w:rPr>
          <w:sz w:val="24"/>
        </w:rPr>
      </w:pPr>
      <w:r>
        <w:rPr>
          <w:sz w:val="24"/>
        </w:rPr>
        <w:t>H</w:t>
      </w:r>
      <w:r>
        <w:rPr>
          <w:sz w:val="24"/>
          <w:vertAlign w:val="subscript"/>
        </w:rPr>
        <w:t>6</w:t>
      </w:r>
      <w:r>
        <w:rPr>
          <w:sz w:val="24"/>
          <w:vertAlign w:val="baseline"/>
        </w:rPr>
        <w:t>:</w:t>
      </w:r>
      <w:r>
        <w:rPr>
          <w:spacing w:val="-2"/>
          <w:sz w:val="24"/>
          <w:vertAlign w:val="baseline"/>
        </w:rPr>
        <w:t> </w:t>
      </w:r>
      <w:r>
        <w:rPr>
          <w:sz w:val="24"/>
          <w:vertAlign w:val="baseline"/>
        </w:rPr>
        <w:t>Diduga</w:t>
      </w:r>
      <w:r>
        <w:rPr>
          <w:spacing w:val="-1"/>
          <w:sz w:val="24"/>
          <w:vertAlign w:val="baseline"/>
        </w:rPr>
        <w:t> </w:t>
      </w:r>
      <w:r>
        <w:rPr>
          <w:sz w:val="24"/>
          <w:vertAlign w:val="baseline"/>
        </w:rPr>
        <w:t>Ukuran</w:t>
      </w:r>
      <w:r>
        <w:rPr>
          <w:spacing w:val="-2"/>
          <w:sz w:val="24"/>
          <w:vertAlign w:val="baseline"/>
        </w:rPr>
        <w:t> </w:t>
      </w:r>
      <w:r>
        <w:rPr>
          <w:sz w:val="24"/>
          <w:vertAlign w:val="baseline"/>
        </w:rPr>
        <w:t>perusahaan</w:t>
      </w:r>
      <w:r>
        <w:rPr>
          <w:spacing w:val="-1"/>
          <w:sz w:val="24"/>
          <w:vertAlign w:val="baseline"/>
        </w:rPr>
        <w:t> </w:t>
      </w:r>
      <w:r>
        <w:rPr>
          <w:sz w:val="24"/>
          <w:vertAlign w:val="baseline"/>
        </w:rPr>
        <w:t>memperkuat </w:t>
      </w:r>
      <w:r>
        <w:rPr>
          <w:i/>
          <w:sz w:val="24"/>
          <w:vertAlign w:val="baseline"/>
        </w:rPr>
        <w:t>Political</w:t>
      </w:r>
      <w:r>
        <w:rPr>
          <w:i/>
          <w:spacing w:val="-1"/>
          <w:sz w:val="24"/>
          <w:vertAlign w:val="baseline"/>
        </w:rPr>
        <w:t> </w:t>
      </w:r>
      <w:r>
        <w:rPr>
          <w:i/>
          <w:sz w:val="24"/>
          <w:vertAlign w:val="baseline"/>
        </w:rPr>
        <w:t>Cost</w:t>
      </w:r>
      <w:r>
        <w:rPr>
          <w:i/>
          <w:spacing w:val="-1"/>
          <w:sz w:val="24"/>
          <w:vertAlign w:val="baseline"/>
        </w:rPr>
        <w:t> </w:t>
      </w:r>
      <w:r>
        <w:rPr>
          <w:spacing w:val="-2"/>
          <w:sz w:val="24"/>
          <w:vertAlign w:val="baseline"/>
        </w:rPr>
        <w:t>terhadap</w:t>
      </w:r>
    </w:p>
    <w:p>
      <w:pPr>
        <w:pStyle w:val="BodyText"/>
      </w:pPr>
    </w:p>
    <w:p>
      <w:pPr>
        <w:tabs>
          <w:tab w:pos="3645" w:val="left" w:leader="none"/>
          <w:tab w:pos="4614" w:val="left" w:leader="none"/>
          <w:tab w:pos="6170" w:val="left" w:leader="none"/>
          <w:tab w:pos="7086" w:val="left" w:leader="none"/>
          <w:tab w:pos="8459" w:val="left" w:leader="none"/>
        </w:tabs>
        <w:spacing w:before="0"/>
        <w:ind w:left="1984" w:right="0" w:firstLine="0"/>
        <w:jc w:val="left"/>
        <w:rPr>
          <w:sz w:val="24"/>
        </w:rPr>
      </w:pPr>
      <w:r>
        <w:rPr>
          <w:i/>
          <w:spacing w:val="-2"/>
          <w:sz w:val="24"/>
        </w:rPr>
        <w:t>Environment,</w:t>
      </w:r>
      <w:r>
        <w:rPr>
          <w:i/>
          <w:sz w:val="24"/>
        </w:rPr>
        <w:tab/>
      </w:r>
      <w:r>
        <w:rPr>
          <w:i/>
          <w:spacing w:val="-2"/>
          <w:sz w:val="24"/>
        </w:rPr>
        <w:t>Social,</w:t>
      </w:r>
      <w:r>
        <w:rPr>
          <w:i/>
          <w:sz w:val="24"/>
        </w:rPr>
        <w:tab/>
      </w:r>
      <w:r>
        <w:rPr>
          <w:i/>
          <w:spacing w:val="-2"/>
          <w:sz w:val="24"/>
        </w:rPr>
        <w:t>Governance</w:t>
      </w:r>
      <w:r>
        <w:rPr>
          <w:i/>
          <w:sz w:val="24"/>
        </w:rPr>
        <w:tab/>
      </w:r>
      <w:r>
        <w:rPr>
          <w:i/>
          <w:spacing w:val="-2"/>
          <w:sz w:val="24"/>
        </w:rPr>
        <w:t>(ESG)</w:t>
      </w:r>
      <w:r>
        <w:rPr>
          <w:i/>
          <w:sz w:val="24"/>
        </w:rPr>
        <w:tab/>
      </w:r>
      <w:r>
        <w:rPr>
          <w:i/>
          <w:spacing w:val="-2"/>
          <w:sz w:val="24"/>
        </w:rPr>
        <w:t>Disclosure</w:t>
      </w:r>
      <w:r>
        <w:rPr>
          <w:i/>
          <w:sz w:val="24"/>
        </w:rPr>
        <w:tab/>
      </w:r>
      <w:r>
        <w:rPr>
          <w:spacing w:val="-5"/>
          <w:sz w:val="24"/>
        </w:rPr>
        <w:t>di</w:t>
      </w:r>
    </w:p>
    <w:p>
      <w:pPr>
        <w:spacing w:after="0"/>
        <w:jc w:val="left"/>
        <w:rPr>
          <w:sz w:val="24"/>
        </w:rPr>
        <w:sectPr>
          <w:pgSz w:w="11910" w:h="16840"/>
          <w:pgMar w:header="718" w:footer="0" w:top="980" w:bottom="280" w:left="1559" w:right="992"/>
        </w:sectPr>
      </w:pPr>
    </w:p>
    <w:p>
      <w:pPr>
        <w:pStyle w:val="BodyText"/>
      </w:pPr>
    </w:p>
    <w:p>
      <w:pPr>
        <w:pStyle w:val="BodyText"/>
      </w:pPr>
    </w:p>
    <w:p>
      <w:pPr>
        <w:pStyle w:val="BodyText"/>
      </w:pPr>
    </w:p>
    <w:p>
      <w:pPr>
        <w:pStyle w:val="BodyText"/>
        <w:spacing w:before="180"/>
      </w:pPr>
    </w:p>
    <w:p>
      <w:pPr>
        <w:pStyle w:val="BodyText"/>
        <w:spacing w:line="480" w:lineRule="auto"/>
        <w:ind w:left="1984" w:right="733"/>
      </w:pPr>
      <w:r>
        <w:rPr/>
        <w:t>perusahaan</w:t>
      </w:r>
      <w:r>
        <w:rPr>
          <w:spacing w:val="40"/>
        </w:rPr>
        <w:t> </w:t>
      </w:r>
      <w:r>
        <w:rPr/>
        <w:t>sektor</w:t>
      </w:r>
      <w:r>
        <w:rPr>
          <w:spacing w:val="40"/>
        </w:rPr>
        <w:t> </w:t>
      </w:r>
      <w:r>
        <w:rPr/>
        <w:t>pertambangan</w:t>
      </w:r>
      <w:r>
        <w:rPr>
          <w:spacing w:val="40"/>
        </w:rPr>
        <w:t> </w:t>
      </w:r>
      <w:r>
        <w:rPr/>
        <w:t>di</w:t>
      </w:r>
      <w:r>
        <w:rPr>
          <w:spacing w:val="40"/>
        </w:rPr>
        <w:t> </w:t>
      </w:r>
      <w:r>
        <w:rPr/>
        <w:t>Bursa</w:t>
      </w:r>
      <w:r>
        <w:rPr>
          <w:spacing w:val="40"/>
        </w:rPr>
        <w:t> </w:t>
      </w:r>
      <w:r>
        <w:rPr/>
        <w:t>Efek</w:t>
      </w:r>
      <w:r>
        <w:rPr>
          <w:spacing w:val="40"/>
        </w:rPr>
        <w:t> </w:t>
      </w:r>
      <w:r>
        <w:rPr/>
        <w:t>Indonesia (BEI) tahun 2021-2023.</w:t>
      </w:r>
    </w:p>
    <w:p>
      <w:pPr>
        <w:pStyle w:val="BodyText"/>
        <w:spacing w:after="0" w:line="480" w:lineRule="auto"/>
        <w:sectPr>
          <w:pgSz w:w="11910" w:h="16840"/>
          <w:pgMar w:header="718" w:footer="0" w:top="980" w:bottom="280" w:left="1559" w:right="992"/>
        </w:sectPr>
      </w:pPr>
    </w:p>
    <w:p>
      <w:pPr>
        <w:pStyle w:val="BodyText"/>
        <w:spacing w:before="86"/>
      </w:pPr>
    </w:p>
    <w:p>
      <w:pPr>
        <w:pStyle w:val="Heading1"/>
        <w:spacing w:line="196" w:lineRule="auto"/>
        <w:ind w:left="3417" w:right="3315" w:firstLine="833"/>
      </w:pPr>
      <w:r>
        <w:rPr/>
        <w:t>BAB III METODE</w:t>
      </w:r>
      <w:r>
        <w:rPr>
          <w:spacing w:val="-17"/>
        </w:rPr>
        <w:t> </w:t>
      </w:r>
      <w:r>
        <w:rPr/>
        <w:t>PE</w:t>
      </w:r>
      <w:bookmarkStart w:name="_bookmark26" w:id="27"/>
      <w:bookmarkEnd w:id="27"/>
      <w:r>
        <w:rPr/>
        <w:t>N</w:t>
      </w:r>
      <w:r>
        <w:rPr/>
        <w:t>ELITIAN</w:t>
      </w:r>
    </w:p>
    <w:p>
      <w:pPr>
        <w:pStyle w:val="BodyText"/>
        <w:rPr>
          <w:b/>
        </w:rPr>
      </w:pPr>
    </w:p>
    <w:p>
      <w:pPr>
        <w:pStyle w:val="BodyText"/>
        <w:rPr>
          <w:b/>
        </w:rPr>
      </w:pPr>
    </w:p>
    <w:p>
      <w:pPr>
        <w:pStyle w:val="BodyText"/>
        <w:spacing w:before="168"/>
        <w:rPr>
          <w:b/>
        </w:rPr>
      </w:pPr>
    </w:p>
    <w:p>
      <w:pPr>
        <w:pStyle w:val="Heading2"/>
        <w:numPr>
          <w:ilvl w:val="0"/>
          <w:numId w:val="14"/>
        </w:numPr>
        <w:tabs>
          <w:tab w:pos="1132" w:val="left" w:leader="none"/>
        </w:tabs>
        <w:spacing w:line="240" w:lineRule="auto" w:before="0" w:after="0"/>
        <w:ind w:left="1132" w:right="0" w:hanging="355"/>
        <w:jc w:val="left"/>
      </w:pPr>
      <w:bookmarkStart w:name="_bookmark27" w:id="28"/>
      <w:bookmarkEnd w:id="28"/>
      <w:r>
        <w:rPr/>
        <w:t>Je</w:t>
      </w:r>
      <w:r>
        <w:rPr/>
        <w:t>nis</w:t>
      </w:r>
      <w:r>
        <w:rPr>
          <w:spacing w:val="-3"/>
        </w:rPr>
        <w:t> </w:t>
      </w:r>
      <w:r>
        <w:rPr>
          <w:spacing w:val="-2"/>
        </w:rPr>
        <w:t>Penelitian</w:t>
      </w:r>
    </w:p>
    <w:p>
      <w:pPr>
        <w:pStyle w:val="BodyText"/>
        <w:rPr>
          <w:b/>
        </w:rPr>
      </w:pPr>
    </w:p>
    <w:p>
      <w:pPr>
        <w:pStyle w:val="BodyText"/>
        <w:spacing w:line="480" w:lineRule="auto"/>
        <w:ind w:left="1134" w:right="708" w:firstLine="708"/>
        <w:jc w:val="both"/>
      </w:pPr>
      <w:r>
        <w:rPr/>
        <w:t>Penelitian ini menggunakan metode empiris kuantitatif yakni Penelitian ilmiah yang sistematis membahas secara terperinci berbagai aspek, fenomena, dan kausalitas dari hubungan- hubungannya (Sugiyono, 2018). Jenis penelitian ini melibatkan tahap yang terstruktur dan metodis dalam mengumpulkan data,</w:t>
      </w:r>
      <w:r>
        <w:rPr>
          <w:spacing w:val="40"/>
        </w:rPr>
        <w:t> </w:t>
      </w:r>
      <w:r>
        <w:rPr/>
        <w:t>menganalisis temuan, dan menyusun kesimpulan yang didukung oleh bukti empiris. Penelitian ini mencakup identifikasi berbagai bagian penting dalam fenomena yang diteliti serta menguraikan hubungan kausal antara variabel-variabel yang diamati.</w:t>
      </w:r>
    </w:p>
    <w:p>
      <w:pPr>
        <w:pStyle w:val="BodyText"/>
        <w:spacing w:line="480" w:lineRule="auto" w:before="160"/>
        <w:ind w:left="1134" w:right="708" w:firstLine="708"/>
        <w:jc w:val="both"/>
      </w:pPr>
      <w:r>
        <w:rPr/>
        <w:t>Dengan pendekatan yang teliti dan terarah, penelitian ilmiah ini bertujuan untuk memahami dengan lebih baik fenomena yang dipelajari dan menyediakan kontribusi yang berarti terhadap pengetahuan dan pemahaman dalam bidang tersebut (Sugiyono, 2018). Dalam metode empiris kuantitatif, data yang dikumpulkan cenderung berupa angka atau variabel numerik yang dapat diukur secara objektif, dan teknik analisis statistik digunakan untuk mengidentifikasi pola, hubungan, dan tren dalam data tersebut (Arikunto, 2017).</w:t>
      </w:r>
    </w:p>
    <w:p>
      <w:pPr>
        <w:pStyle w:val="BodyText"/>
      </w:pPr>
    </w:p>
    <w:p>
      <w:pPr>
        <w:pStyle w:val="BodyText"/>
      </w:pPr>
    </w:p>
    <w:p>
      <w:pPr>
        <w:pStyle w:val="BodyText"/>
      </w:pPr>
    </w:p>
    <w:p>
      <w:pPr>
        <w:pStyle w:val="BodyText"/>
        <w:spacing w:before="84"/>
      </w:pPr>
    </w:p>
    <w:p>
      <w:pPr>
        <w:pStyle w:val="BodyText"/>
        <w:spacing w:before="1"/>
        <w:ind w:left="734" w:right="734"/>
        <w:jc w:val="center"/>
        <w:rPr>
          <w:rFonts w:ascii="Times New Roman"/>
        </w:rPr>
      </w:pPr>
      <w:r>
        <w:rPr>
          <w:rFonts w:ascii="Times New Roman"/>
          <w:spacing w:val="-5"/>
        </w:rPr>
        <w:t>78</w:t>
      </w:r>
    </w:p>
    <w:p>
      <w:pPr>
        <w:pStyle w:val="BodyText"/>
        <w:spacing w:after="0"/>
        <w:jc w:val="center"/>
        <w:rPr>
          <w:rFonts w:ascii="Times New Roman"/>
        </w:rPr>
        <w:sectPr>
          <w:headerReference w:type="default" r:id="rId35"/>
          <w:pgSz w:w="11910" w:h="16840"/>
          <w:pgMar w:header="0" w:footer="0" w:top="1920" w:bottom="280" w:left="1559" w:right="992"/>
        </w:sect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79"/>
        <w:rPr>
          <w:rFonts w:ascii="Times New Roman"/>
        </w:rPr>
      </w:pPr>
    </w:p>
    <w:p>
      <w:pPr>
        <w:pStyle w:val="BodyText"/>
        <w:spacing w:line="480" w:lineRule="auto"/>
        <w:ind w:left="1134" w:right="708" w:firstLine="708"/>
        <w:jc w:val="both"/>
      </w:pPr>
      <w:r>
        <w:rPr/>
        <w:t>Pendekatan ini memungkinkan peneliti untuk menguji</w:t>
      </w:r>
      <w:r>
        <w:rPr>
          <w:spacing w:val="80"/>
        </w:rPr>
        <w:t> </w:t>
      </w:r>
      <w:r>
        <w:rPr/>
        <w:t>hubungan antara variabel-variabel tertentu dengan cara yang sistematis dan terstruktur, sehingga memungkinkan untuk membuat kesimpulan yang lebih kuat tentang fenomena yang diteliti. Dalam konteks penelitian ini, metode empiris kuantitatif digunakan untuk menguji hubungan antara karakteristik CEO, kinerja keuangan,</w:t>
      </w:r>
      <w:r>
        <w:rPr>
          <w:spacing w:val="40"/>
        </w:rPr>
        <w:t> </w:t>
      </w:r>
      <w:r>
        <w:rPr>
          <w:i/>
        </w:rPr>
        <w:t>political cost</w:t>
      </w:r>
      <w:r>
        <w:rPr/>
        <w:t>, dan kinerja keseluruhan perusahaan dengan praktik pengungkapan ESG di sektor pertambangan.</w:t>
      </w:r>
    </w:p>
    <w:p>
      <w:pPr>
        <w:pStyle w:val="Heading2"/>
        <w:numPr>
          <w:ilvl w:val="0"/>
          <w:numId w:val="14"/>
        </w:numPr>
        <w:tabs>
          <w:tab w:pos="1132" w:val="left" w:leader="none"/>
        </w:tabs>
        <w:spacing w:line="240" w:lineRule="auto" w:before="160" w:after="0"/>
        <w:ind w:left="1132" w:right="0" w:hanging="355"/>
        <w:jc w:val="both"/>
      </w:pPr>
      <w:bookmarkStart w:name="_bookmark28" w:id="29"/>
      <w:bookmarkEnd w:id="29"/>
      <w:r>
        <w:rPr/>
        <w:t>Popu</w:t>
      </w:r>
      <w:r>
        <w:rPr/>
        <w:t>lasi</w:t>
      </w:r>
      <w:r>
        <w:rPr>
          <w:spacing w:val="-4"/>
        </w:rPr>
        <w:t> </w:t>
      </w:r>
      <w:r>
        <w:rPr/>
        <w:t>dan</w:t>
      </w:r>
      <w:r>
        <w:rPr>
          <w:spacing w:val="-2"/>
        </w:rPr>
        <w:t> Sampel</w:t>
      </w:r>
    </w:p>
    <w:p>
      <w:pPr>
        <w:pStyle w:val="BodyText"/>
        <w:rPr>
          <w:b/>
        </w:rPr>
      </w:pPr>
    </w:p>
    <w:p>
      <w:pPr>
        <w:pStyle w:val="ListParagraph"/>
        <w:numPr>
          <w:ilvl w:val="1"/>
          <w:numId w:val="14"/>
        </w:numPr>
        <w:tabs>
          <w:tab w:pos="1427" w:val="left" w:leader="none"/>
        </w:tabs>
        <w:spacing w:line="240" w:lineRule="auto" w:before="0" w:after="0"/>
        <w:ind w:left="1427" w:right="0" w:hanging="358"/>
        <w:jc w:val="left"/>
        <w:rPr>
          <w:b/>
          <w:sz w:val="24"/>
        </w:rPr>
      </w:pPr>
      <w:r>
        <w:rPr>
          <w:b/>
          <w:spacing w:val="-2"/>
          <w:sz w:val="24"/>
        </w:rPr>
        <w:t>Populasi</w:t>
      </w:r>
    </w:p>
    <w:p>
      <w:pPr>
        <w:pStyle w:val="BodyText"/>
        <w:spacing w:before="160"/>
        <w:rPr>
          <w:b/>
        </w:rPr>
      </w:pPr>
    </w:p>
    <w:p>
      <w:pPr>
        <w:pStyle w:val="BodyText"/>
        <w:spacing w:line="480" w:lineRule="auto"/>
        <w:ind w:left="1418" w:right="708" w:firstLine="709"/>
        <w:jc w:val="both"/>
      </w:pPr>
      <w:r>
        <w:rPr/>
        <w:t>Populasi merujuk pada total individu yang akan menjadi</w:t>
      </w:r>
      <w:r>
        <w:rPr>
          <w:spacing w:val="40"/>
        </w:rPr>
        <w:t> </w:t>
      </w:r>
      <w:r>
        <w:rPr/>
        <w:t>fokus penelitian. Populasi ini dapat terdiri dari orang, objek, perusahaan, dan entitas lainnya. Definisi ini mencakup wilayah generalisasi yang ditetapkan oleh peneliti, yang terdiri dari objek atau subjek yang memiliki karakteristik dan jumlah tertentu, seperti yang ditegaskan oleh (Sugiyono, 2018). Dalam konteks penelitian ini, populasi penelitian ini terdiri dari semua perusahaan sektor pertambangan di Bursa Efek Indonesia (BEI) selama periode 2021- 2023 yang diakses melalui</w:t>
      </w:r>
      <w:r>
        <w:rPr>
          <w:spacing w:val="40"/>
        </w:rPr>
        <w:t> </w:t>
      </w:r>
      <w:hyperlink r:id="rId37">
        <w:r>
          <w:rPr/>
          <w:t>(idx.co.id).</w:t>
        </w:r>
      </w:hyperlink>
    </w:p>
    <w:p>
      <w:pPr>
        <w:pStyle w:val="BodyText"/>
        <w:spacing w:line="480" w:lineRule="auto" w:before="160"/>
        <w:ind w:left="1429" w:right="708" w:firstLine="709"/>
        <w:jc w:val="both"/>
      </w:pPr>
      <w:r>
        <w:rPr/>
        <w:t>Berdasarkan penjelasan tersebut, maka yang menjadi populasi</w:t>
      </w:r>
      <w:r>
        <w:rPr>
          <w:spacing w:val="40"/>
        </w:rPr>
        <w:t> </w:t>
      </w:r>
      <w:r>
        <w:rPr/>
        <w:t>dalam</w:t>
      </w:r>
      <w:r>
        <w:rPr>
          <w:spacing w:val="40"/>
        </w:rPr>
        <w:t> </w:t>
      </w:r>
      <w:r>
        <w:rPr/>
        <w:t>penelitian</w:t>
      </w:r>
      <w:r>
        <w:rPr>
          <w:spacing w:val="40"/>
        </w:rPr>
        <w:t> </w:t>
      </w:r>
      <w:r>
        <w:rPr/>
        <w:t>ini</w:t>
      </w:r>
      <w:r>
        <w:rPr>
          <w:spacing w:val="40"/>
        </w:rPr>
        <w:t> </w:t>
      </w:r>
      <w:r>
        <w:rPr/>
        <w:t>adalah</w:t>
      </w:r>
      <w:r>
        <w:rPr>
          <w:spacing w:val="40"/>
        </w:rPr>
        <w:t> </w:t>
      </w:r>
      <w:r>
        <w:rPr/>
        <w:t>seluruh</w:t>
      </w:r>
      <w:r>
        <w:rPr>
          <w:spacing w:val="40"/>
        </w:rPr>
        <w:t> </w:t>
      </w:r>
      <w:r>
        <w:rPr/>
        <w:t>perusahaan</w:t>
      </w:r>
      <w:r>
        <w:rPr>
          <w:spacing w:val="40"/>
        </w:rPr>
        <w:t> </w:t>
      </w:r>
      <w:r>
        <w:rPr/>
        <w:t>Mining</w:t>
      </w:r>
    </w:p>
    <w:p>
      <w:pPr>
        <w:pStyle w:val="BodyText"/>
        <w:spacing w:after="0" w:line="480" w:lineRule="auto"/>
        <w:jc w:val="both"/>
        <w:sectPr>
          <w:headerReference w:type="default" r:id="rId36"/>
          <w:pgSz w:w="11910" w:h="16840"/>
          <w:pgMar w:header="719" w:footer="0" w:top="980" w:bottom="280" w:left="1559" w:right="992"/>
          <w:pgNumType w:start="79"/>
        </w:sectPr>
      </w:pPr>
    </w:p>
    <w:p>
      <w:pPr>
        <w:pStyle w:val="BodyText"/>
      </w:pPr>
    </w:p>
    <w:p>
      <w:pPr>
        <w:pStyle w:val="BodyText"/>
      </w:pPr>
    </w:p>
    <w:p>
      <w:pPr>
        <w:pStyle w:val="BodyText"/>
      </w:pPr>
    </w:p>
    <w:p>
      <w:pPr>
        <w:pStyle w:val="BodyText"/>
        <w:spacing w:before="179"/>
      </w:pPr>
    </w:p>
    <w:p>
      <w:pPr>
        <w:pStyle w:val="BodyText"/>
        <w:spacing w:line="480" w:lineRule="auto"/>
        <w:ind w:left="1428" w:right="708"/>
      </w:pPr>
      <w:r>
        <w:rPr/>
        <w:t>yang</w:t>
      </w:r>
      <w:r>
        <w:rPr>
          <w:spacing w:val="40"/>
        </w:rPr>
        <w:t> </w:t>
      </w:r>
      <w:r>
        <w:rPr/>
        <w:t>terdaftar</w:t>
      </w:r>
      <w:r>
        <w:rPr>
          <w:spacing w:val="40"/>
        </w:rPr>
        <w:t> </w:t>
      </w:r>
      <w:r>
        <w:rPr/>
        <w:t>di</w:t>
      </w:r>
      <w:r>
        <w:rPr>
          <w:spacing w:val="40"/>
        </w:rPr>
        <w:t> </w:t>
      </w:r>
      <w:r>
        <w:rPr/>
        <w:t>Bursa</w:t>
      </w:r>
      <w:r>
        <w:rPr>
          <w:spacing w:val="40"/>
        </w:rPr>
        <w:t> </w:t>
      </w:r>
      <w:r>
        <w:rPr/>
        <w:t>Efek</w:t>
      </w:r>
      <w:r>
        <w:rPr>
          <w:spacing w:val="40"/>
        </w:rPr>
        <w:t> </w:t>
      </w:r>
      <w:r>
        <w:rPr/>
        <w:t>Indonesia</w:t>
      </w:r>
      <w:r>
        <w:rPr>
          <w:spacing w:val="40"/>
        </w:rPr>
        <w:t> </w:t>
      </w:r>
      <w:r>
        <w:rPr/>
        <w:t>tahun</w:t>
      </w:r>
      <w:r>
        <w:rPr>
          <w:spacing w:val="40"/>
        </w:rPr>
        <w:t> </w:t>
      </w:r>
      <w:r>
        <w:rPr/>
        <w:t>2021-2023</w:t>
      </w:r>
      <w:r>
        <w:rPr>
          <w:spacing w:val="40"/>
        </w:rPr>
        <w:t> </w:t>
      </w:r>
      <w:r>
        <w:rPr/>
        <w:t>dipilih sebagai populasi yang berjumlah 46 perusahaan.</w:t>
      </w:r>
    </w:p>
    <w:p>
      <w:pPr>
        <w:pStyle w:val="BodyText"/>
      </w:pPr>
    </w:p>
    <w:p>
      <w:pPr>
        <w:pStyle w:val="BodyText"/>
      </w:pPr>
    </w:p>
    <w:p>
      <w:pPr>
        <w:pStyle w:val="BodyText"/>
      </w:pPr>
    </w:p>
    <w:p>
      <w:pPr>
        <w:pStyle w:val="BodyText"/>
      </w:pPr>
    </w:p>
    <w:p>
      <w:pPr>
        <w:pStyle w:val="BodyText"/>
      </w:pPr>
    </w:p>
    <w:p>
      <w:pPr>
        <w:pStyle w:val="BodyText"/>
      </w:pPr>
    </w:p>
    <w:p>
      <w:pPr>
        <w:pStyle w:val="BodyText"/>
        <w:tabs>
          <w:tab w:pos="2304" w:val="left" w:leader="none"/>
          <w:tab w:pos="2887" w:val="left" w:leader="none"/>
          <w:tab w:pos="3789" w:val="left" w:leader="none"/>
          <w:tab w:pos="4959" w:val="left" w:leader="none"/>
          <w:tab w:pos="6502" w:val="left" w:leader="none"/>
          <w:tab w:pos="7951" w:val="left" w:leader="none"/>
        </w:tabs>
        <w:spacing w:line="480" w:lineRule="auto"/>
        <w:ind w:left="1428" w:right="707"/>
      </w:pPr>
      <w:r>
        <w:rPr>
          <w:b/>
          <w:spacing w:val="-2"/>
        </w:rPr>
        <w:t>Tabel</w:t>
      </w:r>
      <w:r>
        <w:rPr>
          <w:b/>
        </w:rPr>
        <w:tab/>
      </w:r>
      <w:bookmarkStart w:name="_bookmark29" w:id="30"/>
      <w:bookmarkEnd w:id="30"/>
      <w:r>
        <w:rPr>
          <w:b/>
          <w:spacing w:val="-4"/>
        </w:rPr>
        <w:t>3.</w:t>
      </w:r>
      <w:r>
        <w:rPr>
          <w:b/>
          <w:spacing w:val="-4"/>
        </w:rPr>
        <w:t>1</w:t>
      </w:r>
      <w:r>
        <w:rPr>
          <w:b/>
        </w:rPr>
        <w:tab/>
      </w:r>
      <w:r>
        <w:rPr>
          <w:spacing w:val="-2"/>
        </w:rPr>
        <w:t>Daftar</w:t>
      </w:r>
      <w:r>
        <w:rPr/>
        <w:tab/>
      </w:r>
      <w:r>
        <w:rPr>
          <w:spacing w:val="-2"/>
        </w:rPr>
        <w:t>Populasi</w:t>
      </w:r>
      <w:r>
        <w:rPr/>
        <w:tab/>
      </w:r>
      <w:r>
        <w:rPr>
          <w:spacing w:val="-2"/>
        </w:rPr>
        <w:t>Perusahaan</w:t>
      </w:r>
      <w:r>
        <w:rPr/>
        <w:tab/>
      </w:r>
      <w:r>
        <w:rPr>
          <w:spacing w:val="-2"/>
        </w:rPr>
        <w:t>Manufaktur</w:t>
      </w:r>
      <w:r>
        <w:rPr/>
        <w:tab/>
      </w:r>
      <w:r>
        <w:rPr>
          <w:spacing w:val="-2"/>
        </w:rPr>
        <w:t>Sektor Pertambangan</w:t>
      </w:r>
    </w:p>
    <w:tbl>
      <w:tblPr>
        <w:tblW w:w="0" w:type="auto"/>
        <w:jc w:val="left"/>
        <w:tblInd w:w="1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
        <w:gridCol w:w="2065"/>
        <w:gridCol w:w="4472"/>
      </w:tblGrid>
      <w:tr>
        <w:trPr>
          <w:trHeight w:val="827" w:hRule="atLeast"/>
        </w:trPr>
        <w:tc>
          <w:tcPr>
            <w:tcW w:w="540" w:type="dxa"/>
          </w:tcPr>
          <w:p>
            <w:pPr>
              <w:pStyle w:val="TableParagraph"/>
              <w:spacing w:before="207"/>
              <w:ind w:left="110"/>
              <w:rPr>
                <w:b/>
                <w:sz w:val="24"/>
              </w:rPr>
            </w:pPr>
            <w:r>
              <w:rPr>
                <w:b/>
                <w:spacing w:val="-5"/>
                <w:sz w:val="24"/>
              </w:rPr>
              <w:t>No</w:t>
            </w:r>
          </w:p>
        </w:tc>
        <w:tc>
          <w:tcPr>
            <w:tcW w:w="2065" w:type="dxa"/>
          </w:tcPr>
          <w:p>
            <w:pPr>
              <w:pStyle w:val="TableParagraph"/>
              <w:ind w:left="9"/>
              <w:jc w:val="center"/>
              <w:rPr>
                <w:b/>
                <w:sz w:val="24"/>
              </w:rPr>
            </w:pPr>
            <w:r>
              <w:rPr>
                <w:b/>
                <w:spacing w:val="-4"/>
                <w:sz w:val="24"/>
              </w:rPr>
              <w:t>Kode</w:t>
            </w:r>
          </w:p>
          <w:p>
            <w:pPr>
              <w:pStyle w:val="TableParagraph"/>
              <w:spacing w:before="138"/>
              <w:ind w:left="9" w:right="1"/>
              <w:jc w:val="center"/>
              <w:rPr>
                <w:b/>
                <w:sz w:val="24"/>
              </w:rPr>
            </w:pPr>
            <w:r>
              <w:rPr>
                <w:b/>
                <w:spacing w:val="-2"/>
                <w:sz w:val="24"/>
              </w:rPr>
              <w:t>Perusahaan</w:t>
            </w:r>
          </w:p>
        </w:tc>
        <w:tc>
          <w:tcPr>
            <w:tcW w:w="4472" w:type="dxa"/>
          </w:tcPr>
          <w:p>
            <w:pPr>
              <w:pStyle w:val="TableParagraph"/>
              <w:spacing w:before="207"/>
              <w:ind w:left="1195"/>
              <w:rPr>
                <w:b/>
                <w:sz w:val="24"/>
              </w:rPr>
            </w:pPr>
            <w:r>
              <w:rPr>
                <w:b/>
                <w:sz w:val="24"/>
              </w:rPr>
              <w:t>Nama</w:t>
            </w:r>
            <w:r>
              <w:rPr>
                <w:b/>
                <w:spacing w:val="-3"/>
                <w:sz w:val="24"/>
              </w:rPr>
              <w:t> </w:t>
            </w:r>
            <w:r>
              <w:rPr>
                <w:b/>
                <w:spacing w:val="-2"/>
                <w:sz w:val="24"/>
              </w:rPr>
              <w:t>Perusahaan</w:t>
            </w:r>
          </w:p>
        </w:tc>
      </w:tr>
      <w:tr>
        <w:trPr>
          <w:trHeight w:val="317" w:hRule="atLeast"/>
        </w:trPr>
        <w:tc>
          <w:tcPr>
            <w:tcW w:w="540" w:type="dxa"/>
          </w:tcPr>
          <w:p>
            <w:pPr>
              <w:pStyle w:val="TableParagraph"/>
              <w:rPr>
                <w:sz w:val="24"/>
              </w:rPr>
            </w:pPr>
            <w:r>
              <w:rPr>
                <w:spacing w:val="-10"/>
                <w:sz w:val="24"/>
              </w:rPr>
              <w:t>1</w:t>
            </w:r>
          </w:p>
        </w:tc>
        <w:tc>
          <w:tcPr>
            <w:tcW w:w="2065" w:type="dxa"/>
          </w:tcPr>
          <w:p>
            <w:pPr>
              <w:pStyle w:val="TableParagraph"/>
              <w:rPr>
                <w:sz w:val="24"/>
              </w:rPr>
            </w:pPr>
            <w:r>
              <w:rPr>
                <w:spacing w:val="-4"/>
                <w:sz w:val="24"/>
              </w:rPr>
              <w:t>BOSS</w:t>
            </w:r>
          </w:p>
        </w:tc>
        <w:tc>
          <w:tcPr>
            <w:tcW w:w="4472" w:type="dxa"/>
          </w:tcPr>
          <w:p>
            <w:pPr>
              <w:pStyle w:val="TableParagraph"/>
              <w:rPr>
                <w:sz w:val="24"/>
              </w:rPr>
            </w:pPr>
            <w:r>
              <w:rPr>
                <w:sz w:val="24"/>
              </w:rPr>
              <w:t>PT</w:t>
            </w:r>
            <w:r>
              <w:rPr>
                <w:spacing w:val="-5"/>
                <w:sz w:val="24"/>
              </w:rPr>
              <w:t> </w:t>
            </w:r>
            <w:r>
              <w:rPr>
                <w:sz w:val="24"/>
              </w:rPr>
              <w:t>Borneo</w:t>
            </w:r>
            <w:r>
              <w:rPr>
                <w:spacing w:val="-2"/>
                <w:sz w:val="24"/>
              </w:rPr>
              <w:t> </w:t>
            </w:r>
            <w:r>
              <w:rPr>
                <w:sz w:val="24"/>
              </w:rPr>
              <w:t>Olah</w:t>
            </w:r>
            <w:r>
              <w:rPr>
                <w:spacing w:val="-2"/>
                <w:sz w:val="24"/>
              </w:rPr>
              <w:t> </w:t>
            </w:r>
            <w:r>
              <w:rPr>
                <w:sz w:val="24"/>
              </w:rPr>
              <w:t>Sarana</w:t>
            </w:r>
            <w:r>
              <w:rPr>
                <w:spacing w:val="-2"/>
                <w:sz w:val="24"/>
              </w:rPr>
              <w:t> </w:t>
            </w:r>
            <w:r>
              <w:rPr>
                <w:sz w:val="24"/>
              </w:rPr>
              <w:t>Sukses</w:t>
            </w:r>
            <w:r>
              <w:rPr>
                <w:spacing w:val="-2"/>
                <w:sz w:val="24"/>
              </w:rPr>
              <w:t> </w:t>
            </w:r>
            <w:r>
              <w:rPr>
                <w:spacing w:val="-5"/>
                <w:sz w:val="24"/>
              </w:rPr>
              <w:t>Tbk</w:t>
            </w:r>
          </w:p>
        </w:tc>
      </w:tr>
      <w:tr>
        <w:trPr>
          <w:trHeight w:val="317" w:hRule="atLeast"/>
        </w:trPr>
        <w:tc>
          <w:tcPr>
            <w:tcW w:w="540" w:type="dxa"/>
          </w:tcPr>
          <w:p>
            <w:pPr>
              <w:pStyle w:val="TableParagraph"/>
              <w:rPr>
                <w:sz w:val="24"/>
              </w:rPr>
            </w:pPr>
            <w:r>
              <w:rPr>
                <w:spacing w:val="-10"/>
                <w:sz w:val="24"/>
              </w:rPr>
              <w:t>2</w:t>
            </w:r>
          </w:p>
        </w:tc>
        <w:tc>
          <w:tcPr>
            <w:tcW w:w="2065" w:type="dxa"/>
          </w:tcPr>
          <w:p>
            <w:pPr>
              <w:pStyle w:val="TableParagraph"/>
              <w:rPr>
                <w:sz w:val="24"/>
              </w:rPr>
            </w:pPr>
            <w:r>
              <w:rPr>
                <w:spacing w:val="-4"/>
                <w:sz w:val="24"/>
              </w:rPr>
              <w:t>TRAM</w:t>
            </w:r>
          </w:p>
        </w:tc>
        <w:tc>
          <w:tcPr>
            <w:tcW w:w="4472" w:type="dxa"/>
          </w:tcPr>
          <w:p>
            <w:pPr>
              <w:pStyle w:val="TableParagraph"/>
              <w:rPr>
                <w:sz w:val="24"/>
              </w:rPr>
            </w:pPr>
            <w:r>
              <w:rPr>
                <w:sz w:val="24"/>
              </w:rPr>
              <w:t>PT</w:t>
            </w:r>
            <w:r>
              <w:rPr>
                <w:spacing w:val="-4"/>
                <w:sz w:val="24"/>
              </w:rPr>
              <w:t> </w:t>
            </w:r>
            <w:r>
              <w:rPr>
                <w:sz w:val="24"/>
              </w:rPr>
              <w:t>Trada</w:t>
            </w:r>
            <w:r>
              <w:rPr>
                <w:spacing w:val="-2"/>
                <w:sz w:val="24"/>
              </w:rPr>
              <w:t> </w:t>
            </w:r>
            <w:r>
              <w:rPr>
                <w:sz w:val="24"/>
              </w:rPr>
              <w:t>Alam</w:t>
            </w:r>
            <w:r>
              <w:rPr>
                <w:spacing w:val="-2"/>
                <w:sz w:val="24"/>
              </w:rPr>
              <w:t> </w:t>
            </w:r>
            <w:r>
              <w:rPr>
                <w:sz w:val="24"/>
              </w:rPr>
              <w:t>Minera</w:t>
            </w:r>
            <w:r>
              <w:rPr>
                <w:spacing w:val="-2"/>
                <w:sz w:val="24"/>
              </w:rPr>
              <w:t> </w:t>
            </w:r>
            <w:r>
              <w:rPr>
                <w:spacing w:val="-5"/>
                <w:sz w:val="24"/>
              </w:rPr>
              <w:t>Tbk</w:t>
            </w:r>
          </w:p>
        </w:tc>
      </w:tr>
      <w:tr>
        <w:trPr>
          <w:trHeight w:val="317" w:hRule="atLeast"/>
        </w:trPr>
        <w:tc>
          <w:tcPr>
            <w:tcW w:w="540" w:type="dxa"/>
          </w:tcPr>
          <w:p>
            <w:pPr>
              <w:pStyle w:val="TableParagraph"/>
              <w:rPr>
                <w:sz w:val="24"/>
              </w:rPr>
            </w:pPr>
            <w:r>
              <w:rPr>
                <w:spacing w:val="-10"/>
                <w:sz w:val="24"/>
              </w:rPr>
              <w:t>3</w:t>
            </w:r>
          </w:p>
        </w:tc>
        <w:tc>
          <w:tcPr>
            <w:tcW w:w="2065" w:type="dxa"/>
          </w:tcPr>
          <w:p>
            <w:pPr>
              <w:pStyle w:val="TableParagraph"/>
              <w:rPr>
                <w:sz w:val="24"/>
              </w:rPr>
            </w:pPr>
            <w:r>
              <w:rPr>
                <w:spacing w:val="-4"/>
                <w:sz w:val="24"/>
              </w:rPr>
              <w:t>ARII</w:t>
            </w:r>
          </w:p>
        </w:tc>
        <w:tc>
          <w:tcPr>
            <w:tcW w:w="4472" w:type="dxa"/>
          </w:tcPr>
          <w:p>
            <w:pPr>
              <w:pStyle w:val="TableParagraph"/>
              <w:rPr>
                <w:sz w:val="24"/>
              </w:rPr>
            </w:pPr>
            <w:r>
              <w:rPr>
                <w:sz w:val="24"/>
              </w:rPr>
              <w:t>PT Atlas Resources </w:t>
            </w:r>
            <w:r>
              <w:rPr>
                <w:spacing w:val="-5"/>
                <w:sz w:val="24"/>
              </w:rPr>
              <w:t>Tbk</w:t>
            </w:r>
          </w:p>
        </w:tc>
      </w:tr>
      <w:tr>
        <w:trPr>
          <w:trHeight w:val="317" w:hRule="atLeast"/>
        </w:trPr>
        <w:tc>
          <w:tcPr>
            <w:tcW w:w="540" w:type="dxa"/>
          </w:tcPr>
          <w:p>
            <w:pPr>
              <w:pStyle w:val="TableParagraph"/>
              <w:rPr>
                <w:sz w:val="24"/>
              </w:rPr>
            </w:pPr>
            <w:r>
              <w:rPr>
                <w:spacing w:val="-10"/>
                <w:sz w:val="24"/>
              </w:rPr>
              <w:t>4</w:t>
            </w:r>
          </w:p>
        </w:tc>
        <w:tc>
          <w:tcPr>
            <w:tcW w:w="2065" w:type="dxa"/>
          </w:tcPr>
          <w:p>
            <w:pPr>
              <w:pStyle w:val="TableParagraph"/>
              <w:rPr>
                <w:sz w:val="24"/>
              </w:rPr>
            </w:pPr>
            <w:r>
              <w:rPr>
                <w:spacing w:val="-4"/>
                <w:sz w:val="24"/>
              </w:rPr>
              <w:t>FIRE</w:t>
            </w:r>
          </w:p>
        </w:tc>
        <w:tc>
          <w:tcPr>
            <w:tcW w:w="4472" w:type="dxa"/>
          </w:tcPr>
          <w:p>
            <w:pPr>
              <w:pStyle w:val="TableParagraph"/>
              <w:rPr>
                <w:sz w:val="24"/>
              </w:rPr>
            </w:pPr>
            <w:r>
              <w:rPr>
                <w:sz w:val="24"/>
              </w:rPr>
              <w:t>PT</w:t>
            </w:r>
            <w:r>
              <w:rPr>
                <w:spacing w:val="-4"/>
                <w:sz w:val="24"/>
              </w:rPr>
              <w:t> </w:t>
            </w:r>
            <w:r>
              <w:rPr>
                <w:sz w:val="24"/>
              </w:rPr>
              <w:t>Alfa</w:t>
            </w:r>
            <w:r>
              <w:rPr>
                <w:spacing w:val="-3"/>
                <w:sz w:val="24"/>
              </w:rPr>
              <w:t> </w:t>
            </w:r>
            <w:r>
              <w:rPr>
                <w:sz w:val="24"/>
              </w:rPr>
              <w:t>Energi</w:t>
            </w:r>
            <w:r>
              <w:rPr>
                <w:spacing w:val="-4"/>
                <w:sz w:val="24"/>
              </w:rPr>
              <w:t> </w:t>
            </w:r>
            <w:r>
              <w:rPr>
                <w:sz w:val="24"/>
              </w:rPr>
              <w:t>Investama</w:t>
            </w:r>
            <w:r>
              <w:rPr>
                <w:spacing w:val="-3"/>
                <w:sz w:val="24"/>
              </w:rPr>
              <w:t> </w:t>
            </w:r>
            <w:r>
              <w:rPr>
                <w:spacing w:val="-5"/>
                <w:sz w:val="24"/>
              </w:rPr>
              <w:t>Tbk</w:t>
            </w:r>
          </w:p>
        </w:tc>
      </w:tr>
      <w:tr>
        <w:trPr>
          <w:trHeight w:val="317" w:hRule="atLeast"/>
        </w:trPr>
        <w:tc>
          <w:tcPr>
            <w:tcW w:w="540" w:type="dxa"/>
          </w:tcPr>
          <w:p>
            <w:pPr>
              <w:pStyle w:val="TableParagraph"/>
              <w:rPr>
                <w:sz w:val="24"/>
              </w:rPr>
            </w:pPr>
            <w:r>
              <w:rPr>
                <w:spacing w:val="-10"/>
                <w:sz w:val="24"/>
              </w:rPr>
              <w:t>5</w:t>
            </w:r>
          </w:p>
        </w:tc>
        <w:tc>
          <w:tcPr>
            <w:tcW w:w="2065" w:type="dxa"/>
          </w:tcPr>
          <w:p>
            <w:pPr>
              <w:pStyle w:val="TableParagraph"/>
              <w:rPr>
                <w:sz w:val="24"/>
              </w:rPr>
            </w:pPr>
            <w:r>
              <w:rPr>
                <w:spacing w:val="-4"/>
                <w:sz w:val="24"/>
              </w:rPr>
              <w:t>ADRO</w:t>
            </w:r>
          </w:p>
        </w:tc>
        <w:tc>
          <w:tcPr>
            <w:tcW w:w="4472" w:type="dxa"/>
          </w:tcPr>
          <w:p>
            <w:pPr>
              <w:pStyle w:val="TableParagraph"/>
              <w:rPr>
                <w:sz w:val="24"/>
              </w:rPr>
            </w:pPr>
            <w:r>
              <w:rPr>
                <w:sz w:val="24"/>
              </w:rPr>
              <w:t>PT</w:t>
            </w:r>
            <w:r>
              <w:rPr>
                <w:spacing w:val="-5"/>
                <w:sz w:val="24"/>
              </w:rPr>
              <w:t> </w:t>
            </w:r>
            <w:r>
              <w:rPr>
                <w:sz w:val="24"/>
              </w:rPr>
              <w:t>Adaro</w:t>
            </w:r>
            <w:r>
              <w:rPr>
                <w:spacing w:val="-3"/>
                <w:sz w:val="24"/>
              </w:rPr>
              <w:t> </w:t>
            </w:r>
            <w:r>
              <w:rPr>
                <w:sz w:val="24"/>
              </w:rPr>
              <w:t>Energy</w:t>
            </w:r>
            <w:r>
              <w:rPr>
                <w:spacing w:val="-3"/>
                <w:sz w:val="24"/>
              </w:rPr>
              <w:t> </w:t>
            </w:r>
            <w:r>
              <w:rPr>
                <w:sz w:val="24"/>
              </w:rPr>
              <w:t>Indonesia</w:t>
            </w:r>
            <w:r>
              <w:rPr>
                <w:spacing w:val="-2"/>
                <w:sz w:val="24"/>
              </w:rPr>
              <w:t> </w:t>
            </w:r>
            <w:r>
              <w:rPr>
                <w:spacing w:val="-5"/>
                <w:sz w:val="24"/>
              </w:rPr>
              <w:t>Tbk</w:t>
            </w:r>
          </w:p>
        </w:tc>
      </w:tr>
      <w:tr>
        <w:trPr>
          <w:trHeight w:val="317" w:hRule="atLeast"/>
        </w:trPr>
        <w:tc>
          <w:tcPr>
            <w:tcW w:w="540" w:type="dxa"/>
          </w:tcPr>
          <w:p>
            <w:pPr>
              <w:pStyle w:val="TableParagraph"/>
              <w:rPr>
                <w:sz w:val="24"/>
              </w:rPr>
            </w:pPr>
            <w:r>
              <w:rPr>
                <w:spacing w:val="-10"/>
                <w:sz w:val="24"/>
              </w:rPr>
              <w:t>6</w:t>
            </w:r>
          </w:p>
        </w:tc>
        <w:tc>
          <w:tcPr>
            <w:tcW w:w="2065" w:type="dxa"/>
          </w:tcPr>
          <w:p>
            <w:pPr>
              <w:pStyle w:val="TableParagraph"/>
              <w:rPr>
                <w:sz w:val="24"/>
              </w:rPr>
            </w:pPr>
            <w:r>
              <w:rPr>
                <w:spacing w:val="-4"/>
                <w:sz w:val="24"/>
              </w:rPr>
              <w:t>HRUM</w:t>
            </w:r>
          </w:p>
        </w:tc>
        <w:tc>
          <w:tcPr>
            <w:tcW w:w="4472" w:type="dxa"/>
          </w:tcPr>
          <w:p>
            <w:pPr>
              <w:pStyle w:val="TableParagraph"/>
              <w:rPr>
                <w:sz w:val="24"/>
              </w:rPr>
            </w:pPr>
            <w:r>
              <w:rPr>
                <w:sz w:val="24"/>
              </w:rPr>
              <w:t>PT Harum Energy </w:t>
            </w:r>
            <w:r>
              <w:rPr>
                <w:spacing w:val="-5"/>
                <w:sz w:val="24"/>
              </w:rPr>
              <w:t>Tbk</w:t>
            </w:r>
          </w:p>
        </w:tc>
      </w:tr>
      <w:tr>
        <w:trPr>
          <w:trHeight w:val="317" w:hRule="atLeast"/>
        </w:trPr>
        <w:tc>
          <w:tcPr>
            <w:tcW w:w="540" w:type="dxa"/>
          </w:tcPr>
          <w:p>
            <w:pPr>
              <w:pStyle w:val="TableParagraph"/>
              <w:rPr>
                <w:sz w:val="24"/>
              </w:rPr>
            </w:pPr>
            <w:r>
              <w:rPr>
                <w:spacing w:val="-10"/>
                <w:sz w:val="24"/>
              </w:rPr>
              <w:t>7</w:t>
            </w:r>
          </w:p>
        </w:tc>
        <w:tc>
          <w:tcPr>
            <w:tcW w:w="2065" w:type="dxa"/>
          </w:tcPr>
          <w:p>
            <w:pPr>
              <w:pStyle w:val="TableParagraph"/>
              <w:rPr>
                <w:sz w:val="24"/>
              </w:rPr>
            </w:pPr>
            <w:r>
              <w:rPr>
                <w:spacing w:val="-4"/>
                <w:sz w:val="24"/>
              </w:rPr>
              <w:t>INDY</w:t>
            </w:r>
          </w:p>
        </w:tc>
        <w:tc>
          <w:tcPr>
            <w:tcW w:w="4472" w:type="dxa"/>
          </w:tcPr>
          <w:p>
            <w:pPr>
              <w:pStyle w:val="TableParagraph"/>
              <w:rPr>
                <w:sz w:val="24"/>
              </w:rPr>
            </w:pPr>
            <w:r>
              <w:rPr>
                <w:sz w:val="24"/>
              </w:rPr>
              <w:t>PT</w:t>
            </w:r>
            <w:r>
              <w:rPr>
                <w:spacing w:val="-2"/>
                <w:sz w:val="24"/>
              </w:rPr>
              <w:t> </w:t>
            </w:r>
            <w:r>
              <w:rPr>
                <w:sz w:val="24"/>
              </w:rPr>
              <w:t>Indika</w:t>
            </w:r>
            <w:r>
              <w:rPr>
                <w:spacing w:val="-2"/>
                <w:sz w:val="24"/>
              </w:rPr>
              <w:t> </w:t>
            </w:r>
            <w:r>
              <w:rPr>
                <w:sz w:val="24"/>
              </w:rPr>
              <w:t>Energy</w:t>
            </w:r>
            <w:r>
              <w:rPr>
                <w:spacing w:val="-1"/>
                <w:sz w:val="24"/>
              </w:rPr>
              <w:t> </w:t>
            </w:r>
            <w:r>
              <w:rPr>
                <w:spacing w:val="-5"/>
                <w:sz w:val="24"/>
              </w:rPr>
              <w:t>Tbk</w:t>
            </w:r>
          </w:p>
        </w:tc>
      </w:tr>
      <w:tr>
        <w:trPr>
          <w:trHeight w:val="317" w:hRule="atLeast"/>
        </w:trPr>
        <w:tc>
          <w:tcPr>
            <w:tcW w:w="540" w:type="dxa"/>
          </w:tcPr>
          <w:p>
            <w:pPr>
              <w:pStyle w:val="TableParagraph"/>
              <w:rPr>
                <w:sz w:val="24"/>
              </w:rPr>
            </w:pPr>
            <w:r>
              <w:rPr>
                <w:spacing w:val="-10"/>
                <w:sz w:val="24"/>
              </w:rPr>
              <w:t>8</w:t>
            </w:r>
          </w:p>
        </w:tc>
        <w:tc>
          <w:tcPr>
            <w:tcW w:w="2065" w:type="dxa"/>
          </w:tcPr>
          <w:p>
            <w:pPr>
              <w:pStyle w:val="TableParagraph"/>
              <w:rPr>
                <w:sz w:val="24"/>
              </w:rPr>
            </w:pPr>
            <w:r>
              <w:rPr>
                <w:spacing w:val="-4"/>
                <w:sz w:val="24"/>
              </w:rPr>
              <w:t>ITMG</w:t>
            </w:r>
          </w:p>
        </w:tc>
        <w:tc>
          <w:tcPr>
            <w:tcW w:w="4472" w:type="dxa"/>
          </w:tcPr>
          <w:p>
            <w:pPr>
              <w:pStyle w:val="TableParagraph"/>
              <w:rPr>
                <w:sz w:val="24"/>
              </w:rPr>
            </w:pPr>
            <w:r>
              <w:rPr>
                <w:sz w:val="24"/>
              </w:rPr>
              <w:t>PT</w:t>
            </w:r>
            <w:r>
              <w:rPr>
                <w:spacing w:val="-4"/>
                <w:sz w:val="24"/>
              </w:rPr>
              <w:t> </w:t>
            </w:r>
            <w:r>
              <w:rPr>
                <w:sz w:val="24"/>
              </w:rPr>
              <w:t>Indo</w:t>
            </w:r>
            <w:r>
              <w:rPr>
                <w:spacing w:val="-4"/>
                <w:sz w:val="24"/>
              </w:rPr>
              <w:t> </w:t>
            </w:r>
            <w:r>
              <w:rPr>
                <w:sz w:val="24"/>
              </w:rPr>
              <w:t>Tambangraya</w:t>
            </w:r>
            <w:r>
              <w:rPr>
                <w:spacing w:val="-4"/>
                <w:sz w:val="24"/>
              </w:rPr>
              <w:t> </w:t>
            </w:r>
            <w:r>
              <w:rPr>
                <w:sz w:val="24"/>
              </w:rPr>
              <w:t>Megah</w:t>
            </w:r>
            <w:r>
              <w:rPr>
                <w:spacing w:val="-4"/>
                <w:sz w:val="24"/>
              </w:rPr>
              <w:t> </w:t>
            </w:r>
            <w:r>
              <w:rPr>
                <w:spacing w:val="-5"/>
                <w:sz w:val="24"/>
              </w:rPr>
              <w:t>Tbk</w:t>
            </w:r>
          </w:p>
        </w:tc>
      </w:tr>
      <w:tr>
        <w:trPr>
          <w:trHeight w:val="317" w:hRule="atLeast"/>
        </w:trPr>
        <w:tc>
          <w:tcPr>
            <w:tcW w:w="540" w:type="dxa"/>
          </w:tcPr>
          <w:p>
            <w:pPr>
              <w:pStyle w:val="TableParagraph"/>
              <w:rPr>
                <w:sz w:val="24"/>
              </w:rPr>
            </w:pPr>
            <w:r>
              <w:rPr>
                <w:spacing w:val="-10"/>
                <w:sz w:val="24"/>
              </w:rPr>
              <w:t>9</w:t>
            </w:r>
          </w:p>
        </w:tc>
        <w:tc>
          <w:tcPr>
            <w:tcW w:w="2065" w:type="dxa"/>
          </w:tcPr>
          <w:p>
            <w:pPr>
              <w:pStyle w:val="TableParagraph"/>
              <w:rPr>
                <w:sz w:val="24"/>
              </w:rPr>
            </w:pPr>
            <w:r>
              <w:rPr>
                <w:spacing w:val="-4"/>
                <w:sz w:val="24"/>
              </w:rPr>
              <w:t>PTBA</w:t>
            </w:r>
          </w:p>
        </w:tc>
        <w:tc>
          <w:tcPr>
            <w:tcW w:w="4472" w:type="dxa"/>
          </w:tcPr>
          <w:p>
            <w:pPr>
              <w:pStyle w:val="TableParagraph"/>
              <w:rPr>
                <w:sz w:val="24"/>
              </w:rPr>
            </w:pPr>
            <w:r>
              <w:rPr>
                <w:sz w:val="24"/>
              </w:rPr>
              <w:t>PT</w:t>
            </w:r>
            <w:r>
              <w:rPr>
                <w:spacing w:val="-3"/>
                <w:sz w:val="24"/>
              </w:rPr>
              <w:t> </w:t>
            </w:r>
            <w:r>
              <w:rPr>
                <w:sz w:val="24"/>
              </w:rPr>
              <w:t>Bukit</w:t>
            </w:r>
            <w:r>
              <w:rPr>
                <w:spacing w:val="-1"/>
                <w:sz w:val="24"/>
              </w:rPr>
              <w:t> </w:t>
            </w:r>
            <w:r>
              <w:rPr>
                <w:sz w:val="24"/>
              </w:rPr>
              <w:t>Asam</w:t>
            </w:r>
            <w:r>
              <w:rPr>
                <w:spacing w:val="-1"/>
                <w:sz w:val="24"/>
              </w:rPr>
              <w:t> </w:t>
            </w:r>
            <w:r>
              <w:rPr>
                <w:spacing w:val="-5"/>
                <w:sz w:val="24"/>
              </w:rPr>
              <w:t>Tbk</w:t>
            </w:r>
          </w:p>
        </w:tc>
      </w:tr>
      <w:tr>
        <w:trPr>
          <w:trHeight w:val="317" w:hRule="atLeast"/>
        </w:trPr>
        <w:tc>
          <w:tcPr>
            <w:tcW w:w="540" w:type="dxa"/>
          </w:tcPr>
          <w:p>
            <w:pPr>
              <w:pStyle w:val="TableParagraph"/>
              <w:rPr>
                <w:sz w:val="24"/>
              </w:rPr>
            </w:pPr>
            <w:r>
              <w:rPr>
                <w:spacing w:val="-5"/>
                <w:sz w:val="24"/>
              </w:rPr>
              <w:t>10</w:t>
            </w:r>
          </w:p>
        </w:tc>
        <w:tc>
          <w:tcPr>
            <w:tcW w:w="2065" w:type="dxa"/>
          </w:tcPr>
          <w:p>
            <w:pPr>
              <w:pStyle w:val="TableParagraph"/>
              <w:rPr>
                <w:sz w:val="24"/>
              </w:rPr>
            </w:pPr>
            <w:r>
              <w:rPr>
                <w:spacing w:val="-4"/>
                <w:sz w:val="24"/>
              </w:rPr>
              <w:t>BYAN</w:t>
            </w:r>
          </w:p>
        </w:tc>
        <w:tc>
          <w:tcPr>
            <w:tcW w:w="4472" w:type="dxa"/>
          </w:tcPr>
          <w:p>
            <w:pPr>
              <w:pStyle w:val="TableParagraph"/>
              <w:rPr>
                <w:sz w:val="24"/>
              </w:rPr>
            </w:pPr>
            <w:r>
              <w:rPr>
                <w:sz w:val="24"/>
              </w:rPr>
              <w:t>PT</w:t>
            </w:r>
            <w:r>
              <w:rPr>
                <w:spacing w:val="-3"/>
                <w:sz w:val="24"/>
              </w:rPr>
              <w:t> </w:t>
            </w:r>
            <w:r>
              <w:rPr>
                <w:sz w:val="24"/>
              </w:rPr>
              <w:t>Bayan</w:t>
            </w:r>
            <w:r>
              <w:rPr>
                <w:spacing w:val="-1"/>
                <w:sz w:val="24"/>
              </w:rPr>
              <w:t> </w:t>
            </w:r>
            <w:r>
              <w:rPr>
                <w:sz w:val="24"/>
              </w:rPr>
              <w:t>Resources</w:t>
            </w:r>
            <w:r>
              <w:rPr>
                <w:spacing w:val="-1"/>
                <w:sz w:val="24"/>
              </w:rPr>
              <w:t> </w:t>
            </w:r>
            <w:r>
              <w:rPr>
                <w:spacing w:val="-5"/>
                <w:sz w:val="24"/>
              </w:rPr>
              <w:t>Tbk</w:t>
            </w:r>
          </w:p>
        </w:tc>
      </w:tr>
      <w:tr>
        <w:trPr>
          <w:trHeight w:val="317" w:hRule="atLeast"/>
        </w:trPr>
        <w:tc>
          <w:tcPr>
            <w:tcW w:w="540" w:type="dxa"/>
          </w:tcPr>
          <w:p>
            <w:pPr>
              <w:pStyle w:val="TableParagraph"/>
              <w:rPr>
                <w:sz w:val="24"/>
              </w:rPr>
            </w:pPr>
            <w:r>
              <w:rPr>
                <w:spacing w:val="-5"/>
                <w:sz w:val="24"/>
              </w:rPr>
              <w:t>11</w:t>
            </w:r>
          </w:p>
        </w:tc>
        <w:tc>
          <w:tcPr>
            <w:tcW w:w="2065" w:type="dxa"/>
          </w:tcPr>
          <w:p>
            <w:pPr>
              <w:pStyle w:val="TableParagraph"/>
              <w:rPr>
                <w:sz w:val="24"/>
              </w:rPr>
            </w:pPr>
            <w:r>
              <w:rPr>
                <w:spacing w:val="-4"/>
                <w:sz w:val="24"/>
              </w:rPr>
              <w:t>GTBO</w:t>
            </w:r>
          </w:p>
        </w:tc>
        <w:tc>
          <w:tcPr>
            <w:tcW w:w="4472" w:type="dxa"/>
          </w:tcPr>
          <w:p>
            <w:pPr>
              <w:pStyle w:val="TableParagraph"/>
              <w:rPr>
                <w:sz w:val="24"/>
              </w:rPr>
            </w:pPr>
            <w:r>
              <w:rPr>
                <w:sz w:val="24"/>
              </w:rPr>
              <w:t>PT</w:t>
            </w:r>
            <w:r>
              <w:rPr>
                <w:spacing w:val="-3"/>
                <w:sz w:val="24"/>
              </w:rPr>
              <w:t> </w:t>
            </w:r>
            <w:r>
              <w:rPr>
                <w:sz w:val="24"/>
              </w:rPr>
              <w:t>Garda</w:t>
            </w:r>
            <w:r>
              <w:rPr>
                <w:spacing w:val="-2"/>
                <w:sz w:val="24"/>
              </w:rPr>
              <w:t> </w:t>
            </w:r>
            <w:r>
              <w:rPr>
                <w:sz w:val="24"/>
              </w:rPr>
              <w:t>Tujuh</w:t>
            </w:r>
            <w:r>
              <w:rPr>
                <w:spacing w:val="-3"/>
                <w:sz w:val="24"/>
              </w:rPr>
              <w:t> </w:t>
            </w:r>
            <w:r>
              <w:rPr>
                <w:sz w:val="24"/>
              </w:rPr>
              <w:t>Buana</w:t>
            </w:r>
            <w:r>
              <w:rPr>
                <w:spacing w:val="-2"/>
                <w:sz w:val="24"/>
              </w:rPr>
              <w:t> </w:t>
            </w:r>
            <w:r>
              <w:rPr>
                <w:spacing w:val="-5"/>
                <w:sz w:val="24"/>
              </w:rPr>
              <w:t>Tbk</w:t>
            </w:r>
          </w:p>
        </w:tc>
      </w:tr>
      <w:tr>
        <w:trPr>
          <w:trHeight w:val="317" w:hRule="atLeast"/>
        </w:trPr>
        <w:tc>
          <w:tcPr>
            <w:tcW w:w="540" w:type="dxa"/>
          </w:tcPr>
          <w:p>
            <w:pPr>
              <w:pStyle w:val="TableParagraph"/>
              <w:rPr>
                <w:sz w:val="24"/>
              </w:rPr>
            </w:pPr>
            <w:r>
              <w:rPr>
                <w:spacing w:val="-5"/>
                <w:sz w:val="24"/>
              </w:rPr>
              <w:t>12</w:t>
            </w:r>
          </w:p>
        </w:tc>
        <w:tc>
          <w:tcPr>
            <w:tcW w:w="2065" w:type="dxa"/>
          </w:tcPr>
          <w:p>
            <w:pPr>
              <w:pStyle w:val="TableParagraph"/>
              <w:rPr>
                <w:sz w:val="24"/>
              </w:rPr>
            </w:pPr>
            <w:r>
              <w:rPr>
                <w:spacing w:val="-4"/>
                <w:sz w:val="24"/>
              </w:rPr>
              <w:t>KKGI</w:t>
            </w:r>
          </w:p>
        </w:tc>
        <w:tc>
          <w:tcPr>
            <w:tcW w:w="4472" w:type="dxa"/>
          </w:tcPr>
          <w:p>
            <w:pPr>
              <w:pStyle w:val="TableParagraph"/>
              <w:rPr>
                <w:sz w:val="24"/>
              </w:rPr>
            </w:pPr>
            <w:r>
              <w:rPr>
                <w:sz w:val="24"/>
              </w:rPr>
              <w:t>PT</w:t>
            </w:r>
            <w:r>
              <w:rPr>
                <w:spacing w:val="-4"/>
                <w:sz w:val="24"/>
              </w:rPr>
              <w:t> </w:t>
            </w:r>
            <w:r>
              <w:rPr>
                <w:sz w:val="24"/>
              </w:rPr>
              <w:t>Resource</w:t>
            </w:r>
            <w:r>
              <w:rPr>
                <w:spacing w:val="-4"/>
                <w:sz w:val="24"/>
              </w:rPr>
              <w:t> </w:t>
            </w:r>
            <w:r>
              <w:rPr>
                <w:sz w:val="24"/>
              </w:rPr>
              <w:t>Alam</w:t>
            </w:r>
            <w:r>
              <w:rPr>
                <w:spacing w:val="-4"/>
                <w:sz w:val="24"/>
              </w:rPr>
              <w:t> </w:t>
            </w:r>
            <w:r>
              <w:rPr>
                <w:sz w:val="24"/>
              </w:rPr>
              <w:t>Indonesia</w:t>
            </w:r>
            <w:r>
              <w:rPr>
                <w:spacing w:val="-3"/>
                <w:sz w:val="24"/>
              </w:rPr>
              <w:t> </w:t>
            </w:r>
            <w:r>
              <w:rPr>
                <w:spacing w:val="-5"/>
                <w:sz w:val="24"/>
              </w:rPr>
              <w:t>Tbk</w:t>
            </w:r>
          </w:p>
        </w:tc>
      </w:tr>
      <w:tr>
        <w:trPr>
          <w:trHeight w:val="317" w:hRule="atLeast"/>
        </w:trPr>
        <w:tc>
          <w:tcPr>
            <w:tcW w:w="540" w:type="dxa"/>
          </w:tcPr>
          <w:p>
            <w:pPr>
              <w:pStyle w:val="TableParagraph"/>
              <w:rPr>
                <w:sz w:val="24"/>
              </w:rPr>
            </w:pPr>
            <w:r>
              <w:rPr>
                <w:spacing w:val="-5"/>
                <w:sz w:val="24"/>
              </w:rPr>
              <w:t>13</w:t>
            </w:r>
          </w:p>
        </w:tc>
        <w:tc>
          <w:tcPr>
            <w:tcW w:w="2065" w:type="dxa"/>
          </w:tcPr>
          <w:p>
            <w:pPr>
              <w:pStyle w:val="TableParagraph"/>
              <w:rPr>
                <w:sz w:val="24"/>
              </w:rPr>
            </w:pPr>
            <w:r>
              <w:rPr>
                <w:spacing w:val="-4"/>
                <w:sz w:val="24"/>
              </w:rPr>
              <w:t>SMRU</w:t>
            </w:r>
          </w:p>
        </w:tc>
        <w:tc>
          <w:tcPr>
            <w:tcW w:w="4472" w:type="dxa"/>
          </w:tcPr>
          <w:p>
            <w:pPr>
              <w:pStyle w:val="TableParagraph"/>
              <w:rPr>
                <w:sz w:val="24"/>
              </w:rPr>
            </w:pPr>
            <w:r>
              <w:rPr>
                <w:sz w:val="24"/>
              </w:rPr>
              <w:t>PT</w:t>
            </w:r>
            <w:r>
              <w:rPr>
                <w:spacing w:val="-2"/>
                <w:sz w:val="24"/>
              </w:rPr>
              <w:t> </w:t>
            </w:r>
            <w:r>
              <w:rPr>
                <w:sz w:val="24"/>
              </w:rPr>
              <w:t>SMR</w:t>
            </w:r>
            <w:r>
              <w:rPr>
                <w:spacing w:val="-2"/>
                <w:sz w:val="24"/>
              </w:rPr>
              <w:t> </w:t>
            </w:r>
            <w:r>
              <w:rPr>
                <w:sz w:val="24"/>
              </w:rPr>
              <w:t>Utama</w:t>
            </w:r>
            <w:r>
              <w:rPr>
                <w:spacing w:val="-1"/>
                <w:sz w:val="24"/>
              </w:rPr>
              <w:t> </w:t>
            </w:r>
            <w:r>
              <w:rPr>
                <w:spacing w:val="-5"/>
                <w:sz w:val="24"/>
              </w:rPr>
              <w:t>Tbk</w:t>
            </w:r>
          </w:p>
        </w:tc>
      </w:tr>
      <w:tr>
        <w:trPr>
          <w:trHeight w:val="317" w:hRule="atLeast"/>
        </w:trPr>
        <w:tc>
          <w:tcPr>
            <w:tcW w:w="540" w:type="dxa"/>
          </w:tcPr>
          <w:p>
            <w:pPr>
              <w:pStyle w:val="TableParagraph"/>
              <w:rPr>
                <w:sz w:val="24"/>
              </w:rPr>
            </w:pPr>
            <w:r>
              <w:rPr>
                <w:spacing w:val="-5"/>
                <w:sz w:val="24"/>
              </w:rPr>
              <w:t>14</w:t>
            </w:r>
          </w:p>
        </w:tc>
        <w:tc>
          <w:tcPr>
            <w:tcW w:w="2065" w:type="dxa"/>
          </w:tcPr>
          <w:p>
            <w:pPr>
              <w:pStyle w:val="TableParagraph"/>
              <w:rPr>
                <w:sz w:val="24"/>
              </w:rPr>
            </w:pPr>
            <w:r>
              <w:rPr>
                <w:spacing w:val="-4"/>
                <w:sz w:val="24"/>
              </w:rPr>
              <w:t>BSSR</w:t>
            </w:r>
          </w:p>
        </w:tc>
        <w:tc>
          <w:tcPr>
            <w:tcW w:w="4472" w:type="dxa"/>
          </w:tcPr>
          <w:p>
            <w:pPr>
              <w:pStyle w:val="TableParagraph"/>
              <w:rPr>
                <w:sz w:val="24"/>
              </w:rPr>
            </w:pPr>
            <w:r>
              <w:rPr>
                <w:sz w:val="24"/>
              </w:rPr>
              <w:t>PT</w:t>
            </w:r>
            <w:r>
              <w:rPr>
                <w:spacing w:val="-6"/>
                <w:sz w:val="24"/>
              </w:rPr>
              <w:t> </w:t>
            </w:r>
            <w:r>
              <w:rPr>
                <w:sz w:val="24"/>
              </w:rPr>
              <w:t>Baramulti</w:t>
            </w:r>
            <w:r>
              <w:rPr>
                <w:spacing w:val="-6"/>
                <w:sz w:val="24"/>
              </w:rPr>
              <w:t> </w:t>
            </w:r>
            <w:r>
              <w:rPr>
                <w:sz w:val="24"/>
              </w:rPr>
              <w:t>Suksessarana</w:t>
            </w:r>
            <w:r>
              <w:rPr>
                <w:spacing w:val="-5"/>
                <w:sz w:val="24"/>
              </w:rPr>
              <w:t> Tbk</w:t>
            </w:r>
          </w:p>
        </w:tc>
      </w:tr>
      <w:tr>
        <w:trPr>
          <w:trHeight w:val="317" w:hRule="atLeast"/>
        </w:trPr>
        <w:tc>
          <w:tcPr>
            <w:tcW w:w="540" w:type="dxa"/>
          </w:tcPr>
          <w:p>
            <w:pPr>
              <w:pStyle w:val="TableParagraph"/>
              <w:rPr>
                <w:sz w:val="24"/>
              </w:rPr>
            </w:pPr>
            <w:r>
              <w:rPr>
                <w:spacing w:val="-5"/>
                <w:sz w:val="24"/>
              </w:rPr>
              <w:t>15</w:t>
            </w:r>
          </w:p>
        </w:tc>
        <w:tc>
          <w:tcPr>
            <w:tcW w:w="2065" w:type="dxa"/>
          </w:tcPr>
          <w:p>
            <w:pPr>
              <w:pStyle w:val="TableParagraph"/>
              <w:rPr>
                <w:sz w:val="24"/>
              </w:rPr>
            </w:pPr>
            <w:r>
              <w:rPr>
                <w:spacing w:val="-4"/>
                <w:sz w:val="24"/>
              </w:rPr>
              <w:t>BUMI</w:t>
            </w:r>
          </w:p>
        </w:tc>
        <w:tc>
          <w:tcPr>
            <w:tcW w:w="4472" w:type="dxa"/>
          </w:tcPr>
          <w:p>
            <w:pPr>
              <w:pStyle w:val="TableParagraph"/>
              <w:rPr>
                <w:sz w:val="24"/>
              </w:rPr>
            </w:pPr>
            <w:r>
              <w:rPr>
                <w:sz w:val="24"/>
              </w:rPr>
              <w:t>PT</w:t>
            </w:r>
            <w:r>
              <w:rPr>
                <w:spacing w:val="-1"/>
                <w:sz w:val="24"/>
              </w:rPr>
              <w:t> </w:t>
            </w:r>
            <w:r>
              <w:rPr>
                <w:sz w:val="24"/>
              </w:rPr>
              <w:t>Bumi</w:t>
            </w:r>
            <w:r>
              <w:rPr>
                <w:spacing w:val="-1"/>
                <w:sz w:val="24"/>
              </w:rPr>
              <w:t> </w:t>
            </w:r>
            <w:r>
              <w:rPr>
                <w:sz w:val="24"/>
              </w:rPr>
              <w:t>Resources </w:t>
            </w:r>
            <w:r>
              <w:rPr>
                <w:spacing w:val="-5"/>
                <w:sz w:val="24"/>
              </w:rPr>
              <w:t>Tbk</w:t>
            </w:r>
          </w:p>
        </w:tc>
      </w:tr>
      <w:tr>
        <w:trPr>
          <w:trHeight w:val="317" w:hRule="atLeast"/>
        </w:trPr>
        <w:tc>
          <w:tcPr>
            <w:tcW w:w="540" w:type="dxa"/>
          </w:tcPr>
          <w:p>
            <w:pPr>
              <w:pStyle w:val="TableParagraph"/>
              <w:rPr>
                <w:sz w:val="24"/>
              </w:rPr>
            </w:pPr>
            <w:r>
              <w:rPr>
                <w:spacing w:val="-5"/>
                <w:sz w:val="24"/>
              </w:rPr>
              <w:t>16</w:t>
            </w:r>
          </w:p>
        </w:tc>
        <w:tc>
          <w:tcPr>
            <w:tcW w:w="2065" w:type="dxa"/>
          </w:tcPr>
          <w:p>
            <w:pPr>
              <w:pStyle w:val="TableParagraph"/>
              <w:rPr>
                <w:sz w:val="24"/>
              </w:rPr>
            </w:pPr>
            <w:r>
              <w:rPr>
                <w:spacing w:val="-4"/>
                <w:sz w:val="24"/>
              </w:rPr>
              <w:t>DEWA</w:t>
            </w:r>
          </w:p>
        </w:tc>
        <w:tc>
          <w:tcPr>
            <w:tcW w:w="4472" w:type="dxa"/>
          </w:tcPr>
          <w:p>
            <w:pPr>
              <w:pStyle w:val="TableParagraph"/>
              <w:rPr>
                <w:sz w:val="24"/>
              </w:rPr>
            </w:pPr>
            <w:r>
              <w:rPr>
                <w:sz w:val="24"/>
              </w:rPr>
              <w:t>PT</w:t>
            </w:r>
            <w:r>
              <w:rPr>
                <w:spacing w:val="-5"/>
                <w:sz w:val="24"/>
              </w:rPr>
              <w:t> </w:t>
            </w:r>
            <w:r>
              <w:rPr>
                <w:sz w:val="24"/>
              </w:rPr>
              <w:t>Darma</w:t>
            </w:r>
            <w:r>
              <w:rPr>
                <w:spacing w:val="-3"/>
                <w:sz w:val="24"/>
              </w:rPr>
              <w:t> </w:t>
            </w:r>
            <w:r>
              <w:rPr>
                <w:sz w:val="24"/>
              </w:rPr>
              <w:t>Henwa</w:t>
            </w:r>
            <w:r>
              <w:rPr>
                <w:spacing w:val="-2"/>
                <w:sz w:val="24"/>
              </w:rPr>
              <w:t> </w:t>
            </w:r>
            <w:r>
              <w:rPr>
                <w:spacing w:val="-5"/>
                <w:sz w:val="24"/>
              </w:rPr>
              <w:t>Tbk</w:t>
            </w:r>
          </w:p>
        </w:tc>
      </w:tr>
      <w:tr>
        <w:trPr>
          <w:trHeight w:val="317" w:hRule="atLeast"/>
        </w:trPr>
        <w:tc>
          <w:tcPr>
            <w:tcW w:w="540" w:type="dxa"/>
          </w:tcPr>
          <w:p>
            <w:pPr>
              <w:pStyle w:val="TableParagraph"/>
              <w:rPr>
                <w:sz w:val="24"/>
              </w:rPr>
            </w:pPr>
            <w:r>
              <w:rPr>
                <w:spacing w:val="-5"/>
                <w:sz w:val="24"/>
              </w:rPr>
              <w:t>17</w:t>
            </w:r>
          </w:p>
        </w:tc>
        <w:tc>
          <w:tcPr>
            <w:tcW w:w="2065" w:type="dxa"/>
          </w:tcPr>
          <w:p>
            <w:pPr>
              <w:pStyle w:val="TableParagraph"/>
              <w:rPr>
                <w:sz w:val="24"/>
              </w:rPr>
            </w:pPr>
            <w:r>
              <w:rPr>
                <w:spacing w:val="-4"/>
                <w:sz w:val="24"/>
              </w:rPr>
              <w:t>DOID</w:t>
            </w:r>
          </w:p>
        </w:tc>
        <w:tc>
          <w:tcPr>
            <w:tcW w:w="4472" w:type="dxa"/>
          </w:tcPr>
          <w:p>
            <w:pPr>
              <w:pStyle w:val="TableParagraph"/>
              <w:rPr>
                <w:sz w:val="24"/>
              </w:rPr>
            </w:pPr>
            <w:r>
              <w:rPr>
                <w:sz w:val="24"/>
              </w:rPr>
              <w:t>PT</w:t>
            </w:r>
            <w:r>
              <w:rPr>
                <w:spacing w:val="-2"/>
                <w:sz w:val="24"/>
              </w:rPr>
              <w:t> </w:t>
            </w:r>
            <w:r>
              <w:rPr>
                <w:sz w:val="24"/>
              </w:rPr>
              <w:t>Delta</w:t>
            </w:r>
            <w:r>
              <w:rPr>
                <w:spacing w:val="-2"/>
                <w:sz w:val="24"/>
              </w:rPr>
              <w:t> </w:t>
            </w:r>
            <w:r>
              <w:rPr>
                <w:sz w:val="24"/>
              </w:rPr>
              <w:t>Dunia</w:t>
            </w:r>
            <w:r>
              <w:rPr>
                <w:spacing w:val="-2"/>
                <w:sz w:val="24"/>
              </w:rPr>
              <w:t> </w:t>
            </w:r>
            <w:r>
              <w:rPr>
                <w:sz w:val="24"/>
              </w:rPr>
              <w:t>Makmur</w:t>
            </w:r>
            <w:r>
              <w:rPr>
                <w:spacing w:val="-2"/>
                <w:sz w:val="24"/>
              </w:rPr>
              <w:t> </w:t>
            </w:r>
            <w:r>
              <w:rPr>
                <w:spacing w:val="-5"/>
                <w:sz w:val="24"/>
              </w:rPr>
              <w:t>Tbk</w:t>
            </w:r>
          </w:p>
        </w:tc>
      </w:tr>
      <w:tr>
        <w:trPr>
          <w:trHeight w:val="317" w:hRule="atLeast"/>
        </w:trPr>
        <w:tc>
          <w:tcPr>
            <w:tcW w:w="540" w:type="dxa"/>
          </w:tcPr>
          <w:p>
            <w:pPr>
              <w:pStyle w:val="TableParagraph"/>
              <w:rPr>
                <w:sz w:val="24"/>
              </w:rPr>
            </w:pPr>
            <w:r>
              <w:rPr>
                <w:spacing w:val="-5"/>
                <w:sz w:val="24"/>
              </w:rPr>
              <w:t>18</w:t>
            </w:r>
          </w:p>
        </w:tc>
        <w:tc>
          <w:tcPr>
            <w:tcW w:w="2065" w:type="dxa"/>
          </w:tcPr>
          <w:p>
            <w:pPr>
              <w:pStyle w:val="TableParagraph"/>
              <w:rPr>
                <w:sz w:val="24"/>
              </w:rPr>
            </w:pPr>
            <w:r>
              <w:rPr>
                <w:spacing w:val="-4"/>
                <w:sz w:val="24"/>
              </w:rPr>
              <w:t>DSSA</w:t>
            </w:r>
          </w:p>
        </w:tc>
        <w:tc>
          <w:tcPr>
            <w:tcW w:w="4472" w:type="dxa"/>
          </w:tcPr>
          <w:p>
            <w:pPr>
              <w:pStyle w:val="TableParagraph"/>
              <w:rPr>
                <w:sz w:val="24"/>
              </w:rPr>
            </w:pPr>
            <w:r>
              <w:rPr>
                <w:sz w:val="24"/>
              </w:rPr>
              <w:t>PT</w:t>
            </w:r>
            <w:r>
              <w:rPr>
                <w:spacing w:val="-4"/>
                <w:sz w:val="24"/>
              </w:rPr>
              <w:t> </w:t>
            </w:r>
            <w:r>
              <w:rPr>
                <w:sz w:val="24"/>
              </w:rPr>
              <w:t>Dian</w:t>
            </w:r>
            <w:r>
              <w:rPr>
                <w:spacing w:val="-4"/>
                <w:sz w:val="24"/>
              </w:rPr>
              <w:t> </w:t>
            </w:r>
            <w:r>
              <w:rPr>
                <w:sz w:val="24"/>
              </w:rPr>
              <w:t>Swastatika</w:t>
            </w:r>
            <w:r>
              <w:rPr>
                <w:spacing w:val="-4"/>
                <w:sz w:val="24"/>
              </w:rPr>
              <w:t> </w:t>
            </w:r>
            <w:r>
              <w:rPr>
                <w:sz w:val="24"/>
              </w:rPr>
              <w:t>Sentosa</w:t>
            </w:r>
            <w:r>
              <w:rPr>
                <w:spacing w:val="-4"/>
                <w:sz w:val="24"/>
              </w:rPr>
              <w:t> </w:t>
            </w:r>
            <w:r>
              <w:rPr>
                <w:spacing w:val="-5"/>
                <w:sz w:val="24"/>
              </w:rPr>
              <w:t>Tbk</w:t>
            </w:r>
          </w:p>
        </w:tc>
      </w:tr>
      <w:tr>
        <w:trPr>
          <w:trHeight w:val="317" w:hRule="atLeast"/>
        </w:trPr>
        <w:tc>
          <w:tcPr>
            <w:tcW w:w="540" w:type="dxa"/>
          </w:tcPr>
          <w:p>
            <w:pPr>
              <w:pStyle w:val="TableParagraph"/>
              <w:rPr>
                <w:sz w:val="24"/>
              </w:rPr>
            </w:pPr>
            <w:r>
              <w:rPr>
                <w:spacing w:val="-5"/>
                <w:sz w:val="24"/>
              </w:rPr>
              <w:t>19</w:t>
            </w:r>
          </w:p>
        </w:tc>
        <w:tc>
          <w:tcPr>
            <w:tcW w:w="2065" w:type="dxa"/>
          </w:tcPr>
          <w:p>
            <w:pPr>
              <w:pStyle w:val="TableParagraph"/>
              <w:rPr>
                <w:sz w:val="24"/>
              </w:rPr>
            </w:pPr>
            <w:r>
              <w:rPr>
                <w:spacing w:val="-4"/>
                <w:sz w:val="24"/>
              </w:rPr>
              <w:t>GEMS</w:t>
            </w:r>
          </w:p>
        </w:tc>
        <w:tc>
          <w:tcPr>
            <w:tcW w:w="4472" w:type="dxa"/>
          </w:tcPr>
          <w:p>
            <w:pPr>
              <w:pStyle w:val="TableParagraph"/>
              <w:rPr>
                <w:sz w:val="24"/>
              </w:rPr>
            </w:pPr>
            <w:r>
              <w:rPr>
                <w:sz w:val="24"/>
              </w:rPr>
              <w:t>PT</w:t>
            </w:r>
            <w:r>
              <w:rPr>
                <w:spacing w:val="-2"/>
                <w:sz w:val="24"/>
              </w:rPr>
              <w:t> </w:t>
            </w:r>
            <w:r>
              <w:rPr>
                <w:sz w:val="24"/>
              </w:rPr>
              <w:t>Golden</w:t>
            </w:r>
            <w:r>
              <w:rPr>
                <w:spacing w:val="-1"/>
                <w:sz w:val="24"/>
              </w:rPr>
              <w:t> </w:t>
            </w:r>
            <w:r>
              <w:rPr>
                <w:sz w:val="24"/>
              </w:rPr>
              <w:t>Energy</w:t>
            </w:r>
            <w:r>
              <w:rPr>
                <w:spacing w:val="-1"/>
                <w:sz w:val="24"/>
              </w:rPr>
              <w:t> </w:t>
            </w:r>
            <w:r>
              <w:rPr>
                <w:sz w:val="24"/>
              </w:rPr>
              <w:t>Mines</w:t>
            </w:r>
            <w:r>
              <w:rPr>
                <w:spacing w:val="-1"/>
                <w:sz w:val="24"/>
              </w:rPr>
              <w:t> </w:t>
            </w:r>
            <w:r>
              <w:rPr>
                <w:spacing w:val="-5"/>
                <w:sz w:val="24"/>
              </w:rPr>
              <w:t>Tbk</w:t>
            </w:r>
          </w:p>
        </w:tc>
      </w:tr>
      <w:tr>
        <w:trPr>
          <w:trHeight w:val="317" w:hRule="atLeast"/>
        </w:trPr>
        <w:tc>
          <w:tcPr>
            <w:tcW w:w="540" w:type="dxa"/>
          </w:tcPr>
          <w:p>
            <w:pPr>
              <w:pStyle w:val="TableParagraph"/>
              <w:rPr>
                <w:sz w:val="24"/>
              </w:rPr>
            </w:pPr>
            <w:r>
              <w:rPr>
                <w:spacing w:val="-5"/>
                <w:sz w:val="24"/>
              </w:rPr>
              <w:t>20</w:t>
            </w:r>
          </w:p>
        </w:tc>
        <w:tc>
          <w:tcPr>
            <w:tcW w:w="2065" w:type="dxa"/>
          </w:tcPr>
          <w:p>
            <w:pPr>
              <w:pStyle w:val="TableParagraph"/>
              <w:rPr>
                <w:sz w:val="24"/>
              </w:rPr>
            </w:pPr>
            <w:r>
              <w:rPr>
                <w:spacing w:val="-4"/>
                <w:sz w:val="24"/>
              </w:rPr>
              <w:t>MBAP</w:t>
            </w:r>
          </w:p>
        </w:tc>
        <w:tc>
          <w:tcPr>
            <w:tcW w:w="4472" w:type="dxa"/>
          </w:tcPr>
          <w:p>
            <w:pPr>
              <w:pStyle w:val="TableParagraph"/>
              <w:rPr>
                <w:sz w:val="24"/>
              </w:rPr>
            </w:pPr>
            <w:r>
              <w:rPr>
                <w:sz w:val="24"/>
              </w:rPr>
              <w:t>PT</w:t>
            </w:r>
            <w:r>
              <w:rPr>
                <w:spacing w:val="-6"/>
                <w:sz w:val="24"/>
              </w:rPr>
              <w:t> </w:t>
            </w:r>
            <w:r>
              <w:rPr>
                <w:sz w:val="24"/>
              </w:rPr>
              <w:t>Mitrabara</w:t>
            </w:r>
            <w:r>
              <w:rPr>
                <w:spacing w:val="-5"/>
                <w:sz w:val="24"/>
              </w:rPr>
              <w:t> </w:t>
            </w:r>
            <w:r>
              <w:rPr>
                <w:sz w:val="24"/>
              </w:rPr>
              <w:t>Adiperdana</w:t>
            </w:r>
            <w:r>
              <w:rPr>
                <w:spacing w:val="-5"/>
                <w:sz w:val="24"/>
              </w:rPr>
              <w:t> Tbk</w:t>
            </w:r>
          </w:p>
        </w:tc>
      </w:tr>
      <w:tr>
        <w:trPr>
          <w:trHeight w:val="317" w:hRule="atLeast"/>
        </w:trPr>
        <w:tc>
          <w:tcPr>
            <w:tcW w:w="540" w:type="dxa"/>
          </w:tcPr>
          <w:p>
            <w:pPr>
              <w:pStyle w:val="TableParagraph"/>
              <w:rPr>
                <w:sz w:val="24"/>
              </w:rPr>
            </w:pPr>
            <w:r>
              <w:rPr>
                <w:spacing w:val="-5"/>
                <w:sz w:val="24"/>
              </w:rPr>
              <w:t>21</w:t>
            </w:r>
          </w:p>
        </w:tc>
        <w:tc>
          <w:tcPr>
            <w:tcW w:w="2065" w:type="dxa"/>
          </w:tcPr>
          <w:p>
            <w:pPr>
              <w:pStyle w:val="TableParagraph"/>
              <w:rPr>
                <w:sz w:val="24"/>
              </w:rPr>
            </w:pPr>
            <w:r>
              <w:rPr>
                <w:spacing w:val="-4"/>
                <w:sz w:val="24"/>
              </w:rPr>
              <w:t>MYOH</w:t>
            </w:r>
          </w:p>
        </w:tc>
        <w:tc>
          <w:tcPr>
            <w:tcW w:w="4472" w:type="dxa"/>
          </w:tcPr>
          <w:p>
            <w:pPr>
              <w:pStyle w:val="TableParagraph"/>
              <w:rPr>
                <w:sz w:val="24"/>
              </w:rPr>
            </w:pPr>
            <w:r>
              <w:rPr>
                <w:sz w:val="24"/>
              </w:rPr>
              <w:t>PT</w:t>
            </w:r>
            <w:r>
              <w:rPr>
                <w:spacing w:val="-2"/>
                <w:sz w:val="24"/>
              </w:rPr>
              <w:t> </w:t>
            </w:r>
            <w:r>
              <w:rPr>
                <w:sz w:val="24"/>
              </w:rPr>
              <w:t>Samindo</w:t>
            </w:r>
            <w:r>
              <w:rPr>
                <w:spacing w:val="-2"/>
                <w:sz w:val="24"/>
              </w:rPr>
              <w:t> </w:t>
            </w:r>
            <w:r>
              <w:rPr>
                <w:sz w:val="24"/>
              </w:rPr>
              <w:t>Resources</w:t>
            </w:r>
            <w:r>
              <w:rPr>
                <w:spacing w:val="-1"/>
                <w:sz w:val="24"/>
              </w:rPr>
              <w:t> </w:t>
            </w:r>
            <w:r>
              <w:rPr>
                <w:spacing w:val="-5"/>
                <w:sz w:val="24"/>
              </w:rPr>
              <w:t>Tbk</w:t>
            </w:r>
          </w:p>
        </w:tc>
      </w:tr>
      <w:tr>
        <w:trPr>
          <w:trHeight w:val="317" w:hRule="atLeast"/>
        </w:trPr>
        <w:tc>
          <w:tcPr>
            <w:tcW w:w="540" w:type="dxa"/>
          </w:tcPr>
          <w:p>
            <w:pPr>
              <w:pStyle w:val="TableParagraph"/>
              <w:rPr>
                <w:sz w:val="24"/>
              </w:rPr>
            </w:pPr>
            <w:r>
              <w:rPr>
                <w:spacing w:val="-5"/>
                <w:sz w:val="24"/>
              </w:rPr>
              <w:t>22</w:t>
            </w:r>
          </w:p>
        </w:tc>
        <w:tc>
          <w:tcPr>
            <w:tcW w:w="2065" w:type="dxa"/>
          </w:tcPr>
          <w:p>
            <w:pPr>
              <w:pStyle w:val="TableParagraph"/>
              <w:rPr>
                <w:sz w:val="24"/>
              </w:rPr>
            </w:pPr>
            <w:r>
              <w:rPr>
                <w:spacing w:val="-4"/>
                <w:sz w:val="24"/>
              </w:rPr>
              <w:t>PTRO</w:t>
            </w:r>
          </w:p>
        </w:tc>
        <w:tc>
          <w:tcPr>
            <w:tcW w:w="4472" w:type="dxa"/>
          </w:tcPr>
          <w:p>
            <w:pPr>
              <w:pStyle w:val="TableParagraph"/>
              <w:rPr>
                <w:sz w:val="24"/>
              </w:rPr>
            </w:pPr>
            <w:r>
              <w:rPr>
                <w:sz w:val="24"/>
              </w:rPr>
              <w:t>PT</w:t>
            </w:r>
            <w:r>
              <w:rPr>
                <w:spacing w:val="-3"/>
                <w:sz w:val="24"/>
              </w:rPr>
              <w:t> </w:t>
            </w:r>
            <w:r>
              <w:rPr>
                <w:sz w:val="24"/>
              </w:rPr>
              <w:t>Petrosea</w:t>
            </w:r>
            <w:r>
              <w:rPr>
                <w:spacing w:val="-3"/>
                <w:sz w:val="24"/>
              </w:rPr>
              <w:t> </w:t>
            </w:r>
            <w:r>
              <w:rPr>
                <w:spacing w:val="-5"/>
                <w:sz w:val="24"/>
              </w:rPr>
              <w:t>Tbk</w:t>
            </w:r>
          </w:p>
        </w:tc>
      </w:tr>
      <w:tr>
        <w:trPr>
          <w:trHeight w:val="317" w:hRule="atLeast"/>
        </w:trPr>
        <w:tc>
          <w:tcPr>
            <w:tcW w:w="540" w:type="dxa"/>
          </w:tcPr>
          <w:p>
            <w:pPr>
              <w:pStyle w:val="TableParagraph"/>
              <w:rPr>
                <w:sz w:val="24"/>
              </w:rPr>
            </w:pPr>
            <w:r>
              <w:rPr>
                <w:spacing w:val="-5"/>
                <w:sz w:val="24"/>
              </w:rPr>
              <w:t>23</w:t>
            </w:r>
          </w:p>
        </w:tc>
        <w:tc>
          <w:tcPr>
            <w:tcW w:w="2065" w:type="dxa"/>
          </w:tcPr>
          <w:p>
            <w:pPr>
              <w:pStyle w:val="TableParagraph"/>
              <w:rPr>
                <w:sz w:val="24"/>
              </w:rPr>
            </w:pPr>
            <w:r>
              <w:rPr>
                <w:spacing w:val="-4"/>
                <w:sz w:val="24"/>
              </w:rPr>
              <w:t>SMMT</w:t>
            </w:r>
          </w:p>
        </w:tc>
        <w:tc>
          <w:tcPr>
            <w:tcW w:w="4472" w:type="dxa"/>
          </w:tcPr>
          <w:p>
            <w:pPr>
              <w:pStyle w:val="TableParagraph"/>
              <w:rPr>
                <w:sz w:val="24"/>
              </w:rPr>
            </w:pPr>
            <w:r>
              <w:rPr>
                <w:sz w:val="24"/>
              </w:rPr>
              <w:t>PT</w:t>
            </w:r>
            <w:r>
              <w:rPr>
                <w:spacing w:val="-2"/>
                <w:sz w:val="24"/>
              </w:rPr>
              <w:t> </w:t>
            </w:r>
            <w:r>
              <w:rPr>
                <w:sz w:val="24"/>
              </w:rPr>
              <w:t>Golden</w:t>
            </w:r>
            <w:r>
              <w:rPr>
                <w:spacing w:val="-2"/>
                <w:sz w:val="24"/>
              </w:rPr>
              <w:t> </w:t>
            </w:r>
            <w:r>
              <w:rPr>
                <w:sz w:val="24"/>
              </w:rPr>
              <w:t>Eagle</w:t>
            </w:r>
            <w:r>
              <w:rPr>
                <w:spacing w:val="-2"/>
                <w:sz w:val="24"/>
              </w:rPr>
              <w:t> </w:t>
            </w:r>
            <w:r>
              <w:rPr>
                <w:sz w:val="24"/>
              </w:rPr>
              <w:t>Energy</w:t>
            </w:r>
            <w:r>
              <w:rPr>
                <w:spacing w:val="-2"/>
                <w:sz w:val="24"/>
              </w:rPr>
              <w:t> </w:t>
            </w:r>
            <w:r>
              <w:rPr>
                <w:spacing w:val="-5"/>
                <w:sz w:val="24"/>
              </w:rPr>
              <w:t>Tbk</w:t>
            </w:r>
          </w:p>
        </w:tc>
      </w:tr>
      <w:tr>
        <w:trPr>
          <w:trHeight w:val="317" w:hRule="atLeast"/>
        </w:trPr>
        <w:tc>
          <w:tcPr>
            <w:tcW w:w="540" w:type="dxa"/>
          </w:tcPr>
          <w:p>
            <w:pPr>
              <w:pStyle w:val="TableParagraph"/>
              <w:rPr>
                <w:sz w:val="24"/>
              </w:rPr>
            </w:pPr>
            <w:r>
              <w:rPr>
                <w:spacing w:val="-5"/>
                <w:sz w:val="24"/>
              </w:rPr>
              <w:t>24</w:t>
            </w:r>
          </w:p>
        </w:tc>
        <w:tc>
          <w:tcPr>
            <w:tcW w:w="2065" w:type="dxa"/>
          </w:tcPr>
          <w:p>
            <w:pPr>
              <w:pStyle w:val="TableParagraph"/>
              <w:rPr>
                <w:sz w:val="24"/>
              </w:rPr>
            </w:pPr>
            <w:r>
              <w:rPr>
                <w:spacing w:val="-4"/>
                <w:sz w:val="24"/>
              </w:rPr>
              <w:t>TOBA</w:t>
            </w:r>
          </w:p>
        </w:tc>
        <w:tc>
          <w:tcPr>
            <w:tcW w:w="4472" w:type="dxa"/>
          </w:tcPr>
          <w:p>
            <w:pPr>
              <w:pStyle w:val="TableParagraph"/>
              <w:rPr>
                <w:sz w:val="24"/>
              </w:rPr>
            </w:pPr>
            <w:r>
              <w:rPr>
                <w:sz w:val="24"/>
              </w:rPr>
              <w:t>PT</w:t>
            </w:r>
            <w:r>
              <w:rPr>
                <w:spacing w:val="-4"/>
                <w:sz w:val="24"/>
              </w:rPr>
              <w:t> </w:t>
            </w:r>
            <w:r>
              <w:rPr>
                <w:sz w:val="24"/>
              </w:rPr>
              <w:t>TBS</w:t>
            </w:r>
            <w:r>
              <w:rPr>
                <w:spacing w:val="-2"/>
                <w:sz w:val="24"/>
              </w:rPr>
              <w:t> </w:t>
            </w:r>
            <w:r>
              <w:rPr>
                <w:sz w:val="24"/>
              </w:rPr>
              <w:t>Energi</w:t>
            </w:r>
            <w:r>
              <w:rPr>
                <w:spacing w:val="-2"/>
                <w:sz w:val="24"/>
              </w:rPr>
              <w:t> </w:t>
            </w:r>
            <w:r>
              <w:rPr>
                <w:sz w:val="24"/>
              </w:rPr>
              <w:t>Utama</w:t>
            </w:r>
            <w:r>
              <w:rPr>
                <w:spacing w:val="-2"/>
                <w:sz w:val="24"/>
              </w:rPr>
              <w:t> </w:t>
            </w:r>
            <w:r>
              <w:rPr>
                <w:spacing w:val="-5"/>
                <w:sz w:val="24"/>
              </w:rPr>
              <w:t>Tbk</w:t>
            </w:r>
          </w:p>
        </w:tc>
      </w:tr>
    </w:tbl>
    <w:p>
      <w:pPr>
        <w:pStyle w:val="TableParagraph"/>
        <w:spacing w:after="0"/>
        <w:rPr>
          <w:sz w:val="24"/>
        </w:rPr>
        <w:sectPr>
          <w:pgSz w:w="11910" w:h="16840"/>
          <w:pgMar w:header="719" w:footer="0" w:top="980" w:bottom="280" w:left="1559" w:right="99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8"/>
        <w:rPr>
          <w:sz w:val="20"/>
        </w:rPr>
      </w:pPr>
    </w:p>
    <w:tbl>
      <w:tblPr>
        <w:tblW w:w="0" w:type="auto"/>
        <w:jc w:val="left"/>
        <w:tblInd w:w="1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
        <w:gridCol w:w="2065"/>
        <w:gridCol w:w="4472"/>
      </w:tblGrid>
      <w:tr>
        <w:trPr>
          <w:trHeight w:val="827" w:hRule="atLeast"/>
        </w:trPr>
        <w:tc>
          <w:tcPr>
            <w:tcW w:w="540" w:type="dxa"/>
          </w:tcPr>
          <w:p>
            <w:pPr>
              <w:pStyle w:val="TableParagraph"/>
              <w:spacing w:before="212"/>
              <w:ind w:left="54" w:right="45"/>
              <w:jc w:val="center"/>
              <w:rPr>
                <w:b/>
                <w:sz w:val="24"/>
              </w:rPr>
            </w:pPr>
            <w:r>
              <w:rPr>
                <w:b/>
                <w:spacing w:val="-5"/>
                <w:sz w:val="24"/>
              </w:rPr>
              <w:t>No</w:t>
            </w:r>
          </w:p>
        </w:tc>
        <w:tc>
          <w:tcPr>
            <w:tcW w:w="2065" w:type="dxa"/>
          </w:tcPr>
          <w:p>
            <w:pPr>
              <w:pStyle w:val="TableParagraph"/>
              <w:spacing w:before="5"/>
              <w:ind w:left="9"/>
              <w:jc w:val="center"/>
              <w:rPr>
                <w:b/>
                <w:sz w:val="24"/>
              </w:rPr>
            </w:pPr>
            <w:r>
              <w:rPr>
                <w:b/>
                <w:spacing w:val="-4"/>
                <w:sz w:val="24"/>
              </w:rPr>
              <w:t>Kode</w:t>
            </w:r>
          </w:p>
          <w:p>
            <w:pPr>
              <w:pStyle w:val="TableParagraph"/>
              <w:spacing w:before="138"/>
              <w:ind w:left="9" w:right="1"/>
              <w:jc w:val="center"/>
              <w:rPr>
                <w:b/>
                <w:sz w:val="24"/>
              </w:rPr>
            </w:pPr>
            <w:r>
              <w:rPr>
                <w:b/>
                <w:spacing w:val="-2"/>
                <w:sz w:val="24"/>
              </w:rPr>
              <w:t>Perusahaan</w:t>
            </w:r>
          </w:p>
        </w:tc>
        <w:tc>
          <w:tcPr>
            <w:tcW w:w="4472" w:type="dxa"/>
          </w:tcPr>
          <w:p>
            <w:pPr>
              <w:pStyle w:val="TableParagraph"/>
              <w:spacing w:before="212"/>
              <w:ind w:left="1195"/>
              <w:rPr>
                <w:b/>
                <w:sz w:val="24"/>
              </w:rPr>
            </w:pPr>
            <w:r>
              <w:rPr>
                <w:b/>
                <w:sz w:val="24"/>
              </w:rPr>
              <w:t>Nama</w:t>
            </w:r>
            <w:r>
              <w:rPr>
                <w:b/>
                <w:spacing w:val="-3"/>
                <w:sz w:val="24"/>
              </w:rPr>
              <w:t> </w:t>
            </w:r>
            <w:r>
              <w:rPr>
                <w:b/>
                <w:spacing w:val="-2"/>
                <w:sz w:val="24"/>
              </w:rPr>
              <w:t>Perusahaan</w:t>
            </w:r>
          </w:p>
        </w:tc>
      </w:tr>
      <w:tr>
        <w:trPr>
          <w:trHeight w:val="317" w:hRule="atLeast"/>
        </w:trPr>
        <w:tc>
          <w:tcPr>
            <w:tcW w:w="540" w:type="dxa"/>
          </w:tcPr>
          <w:p>
            <w:pPr>
              <w:pStyle w:val="TableParagraph"/>
              <w:spacing w:before="5"/>
              <w:ind w:left="9" w:right="54"/>
              <w:jc w:val="center"/>
              <w:rPr>
                <w:sz w:val="24"/>
              </w:rPr>
            </w:pPr>
            <w:r>
              <w:rPr>
                <w:spacing w:val="-5"/>
                <w:sz w:val="24"/>
              </w:rPr>
              <w:t>25</w:t>
            </w:r>
          </w:p>
        </w:tc>
        <w:tc>
          <w:tcPr>
            <w:tcW w:w="2065" w:type="dxa"/>
          </w:tcPr>
          <w:p>
            <w:pPr>
              <w:pStyle w:val="TableParagraph"/>
              <w:spacing w:before="5"/>
              <w:rPr>
                <w:sz w:val="24"/>
              </w:rPr>
            </w:pPr>
            <w:r>
              <w:rPr>
                <w:spacing w:val="-4"/>
                <w:sz w:val="24"/>
              </w:rPr>
              <w:t>ARTI</w:t>
            </w:r>
          </w:p>
        </w:tc>
        <w:tc>
          <w:tcPr>
            <w:tcW w:w="4472" w:type="dxa"/>
          </w:tcPr>
          <w:p>
            <w:pPr>
              <w:pStyle w:val="TableParagraph"/>
              <w:spacing w:before="5"/>
              <w:rPr>
                <w:sz w:val="24"/>
              </w:rPr>
            </w:pPr>
            <w:r>
              <w:rPr>
                <w:sz w:val="24"/>
              </w:rPr>
              <w:t>PT</w:t>
            </w:r>
            <w:r>
              <w:rPr>
                <w:spacing w:val="-3"/>
                <w:sz w:val="24"/>
              </w:rPr>
              <w:t> </w:t>
            </w:r>
            <w:r>
              <w:rPr>
                <w:sz w:val="24"/>
              </w:rPr>
              <w:t>Ratu</w:t>
            </w:r>
            <w:r>
              <w:rPr>
                <w:spacing w:val="-2"/>
                <w:sz w:val="24"/>
              </w:rPr>
              <w:t> </w:t>
            </w:r>
            <w:r>
              <w:rPr>
                <w:sz w:val="24"/>
              </w:rPr>
              <w:t>Prabu</w:t>
            </w:r>
            <w:r>
              <w:rPr>
                <w:spacing w:val="-3"/>
                <w:sz w:val="24"/>
              </w:rPr>
              <w:t> </w:t>
            </w:r>
            <w:r>
              <w:rPr>
                <w:sz w:val="24"/>
              </w:rPr>
              <w:t>Energi</w:t>
            </w:r>
            <w:r>
              <w:rPr>
                <w:spacing w:val="-2"/>
                <w:sz w:val="24"/>
              </w:rPr>
              <w:t> </w:t>
            </w:r>
            <w:r>
              <w:rPr>
                <w:spacing w:val="-5"/>
                <w:sz w:val="24"/>
              </w:rPr>
              <w:t>Tbk</w:t>
            </w:r>
          </w:p>
        </w:tc>
      </w:tr>
      <w:tr>
        <w:trPr>
          <w:trHeight w:val="317" w:hRule="atLeast"/>
        </w:trPr>
        <w:tc>
          <w:tcPr>
            <w:tcW w:w="540" w:type="dxa"/>
          </w:tcPr>
          <w:p>
            <w:pPr>
              <w:pStyle w:val="TableParagraph"/>
              <w:spacing w:before="5"/>
              <w:ind w:left="9" w:right="54"/>
              <w:jc w:val="center"/>
              <w:rPr>
                <w:sz w:val="24"/>
              </w:rPr>
            </w:pPr>
            <w:r>
              <w:rPr>
                <w:spacing w:val="-5"/>
                <w:sz w:val="24"/>
              </w:rPr>
              <w:t>26</w:t>
            </w:r>
          </w:p>
        </w:tc>
        <w:tc>
          <w:tcPr>
            <w:tcW w:w="2065" w:type="dxa"/>
          </w:tcPr>
          <w:p>
            <w:pPr>
              <w:pStyle w:val="TableParagraph"/>
              <w:spacing w:before="5"/>
              <w:rPr>
                <w:sz w:val="24"/>
              </w:rPr>
            </w:pPr>
            <w:r>
              <w:rPr>
                <w:spacing w:val="-4"/>
                <w:sz w:val="24"/>
              </w:rPr>
              <w:t>BIPI</w:t>
            </w:r>
          </w:p>
        </w:tc>
        <w:tc>
          <w:tcPr>
            <w:tcW w:w="4472" w:type="dxa"/>
          </w:tcPr>
          <w:p>
            <w:pPr>
              <w:pStyle w:val="TableParagraph"/>
              <w:spacing w:before="5"/>
              <w:rPr>
                <w:sz w:val="24"/>
              </w:rPr>
            </w:pPr>
            <w:r>
              <w:rPr>
                <w:sz w:val="24"/>
              </w:rPr>
              <w:t>PT</w:t>
            </w:r>
            <w:r>
              <w:rPr>
                <w:spacing w:val="-5"/>
                <w:sz w:val="24"/>
              </w:rPr>
              <w:t> </w:t>
            </w:r>
            <w:r>
              <w:rPr>
                <w:sz w:val="24"/>
              </w:rPr>
              <w:t>Astrindo</w:t>
            </w:r>
            <w:r>
              <w:rPr>
                <w:spacing w:val="-5"/>
                <w:sz w:val="24"/>
              </w:rPr>
              <w:t> </w:t>
            </w:r>
            <w:r>
              <w:rPr>
                <w:sz w:val="24"/>
              </w:rPr>
              <w:t>Nusantara</w:t>
            </w:r>
            <w:r>
              <w:rPr>
                <w:spacing w:val="-4"/>
                <w:sz w:val="24"/>
              </w:rPr>
              <w:t> </w:t>
            </w:r>
            <w:r>
              <w:rPr>
                <w:spacing w:val="-2"/>
                <w:sz w:val="24"/>
              </w:rPr>
              <w:t>Infrastrukt</w:t>
            </w:r>
          </w:p>
        </w:tc>
      </w:tr>
      <w:tr>
        <w:trPr>
          <w:trHeight w:val="317" w:hRule="atLeast"/>
        </w:trPr>
        <w:tc>
          <w:tcPr>
            <w:tcW w:w="540" w:type="dxa"/>
          </w:tcPr>
          <w:p>
            <w:pPr>
              <w:pStyle w:val="TableParagraph"/>
              <w:spacing w:before="5"/>
              <w:ind w:left="9" w:right="54"/>
              <w:jc w:val="center"/>
              <w:rPr>
                <w:sz w:val="24"/>
              </w:rPr>
            </w:pPr>
            <w:r>
              <w:rPr>
                <w:spacing w:val="-5"/>
                <w:sz w:val="24"/>
              </w:rPr>
              <w:t>27</w:t>
            </w:r>
          </w:p>
        </w:tc>
        <w:tc>
          <w:tcPr>
            <w:tcW w:w="2065" w:type="dxa"/>
          </w:tcPr>
          <w:p>
            <w:pPr>
              <w:pStyle w:val="TableParagraph"/>
              <w:spacing w:before="5"/>
              <w:rPr>
                <w:sz w:val="24"/>
              </w:rPr>
            </w:pPr>
            <w:r>
              <w:rPr>
                <w:spacing w:val="-4"/>
                <w:sz w:val="24"/>
              </w:rPr>
              <w:t>MTFN</w:t>
            </w:r>
          </w:p>
        </w:tc>
        <w:tc>
          <w:tcPr>
            <w:tcW w:w="4472" w:type="dxa"/>
          </w:tcPr>
          <w:p>
            <w:pPr>
              <w:pStyle w:val="TableParagraph"/>
              <w:spacing w:before="5"/>
              <w:rPr>
                <w:sz w:val="24"/>
              </w:rPr>
            </w:pPr>
            <w:r>
              <w:rPr>
                <w:sz w:val="24"/>
              </w:rPr>
              <w:t>PT</w:t>
            </w:r>
            <w:r>
              <w:rPr>
                <w:spacing w:val="-3"/>
                <w:sz w:val="24"/>
              </w:rPr>
              <w:t> </w:t>
            </w:r>
            <w:r>
              <w:rPr>
                <w:sz w:val="24"/>
              </w:rPr>
              <w:t>Capitalinc</w:t>
            </w:r>
            <w:r>
              <w:rPr>
                <w:spacing w:val="-3"/>
                <w:sz w:val="24"/>
              </w:rPr>
              <w:t> </w:t>
            </w:r>
            <w:r>
              <w:rPr>
                <w:sz w:val="24"/>
              </w:rPr>
              <w:t>Investment</w:t>
            </w:r>
            <w:r>
              <w:rPr>
                <w:spacing w:val="-3"/>
                <w:sz w:val="24"/>
              </w:rPr>
              <w:t> </w:t>
            </w:r>
            <w:r>
              <w:rPr>
                <w:spacing w:val="-5"/>
                <w:sz w:val="24"/>
              </w:rPr>
              <w:t>Tbk</w:t>
            </w:r>
          </w:p>
        </w:tc>
      </w:tr>
      <w:tr>
        <w:trPr>
          <w:trHeight w:val="317" w:hRule="atLeast"/>
        </w:trPr>
        <w:tc>
          <w:tcPr>
            <w:tcW w:w="540" w:type="dxa"/>
          </w:tcPr>
          <w:p>
            <w:pPr>
              <w:pStyle w:val="TableParagraph"/>
              <w:spacing w:before="5"/>
              <w:ind w:left="9" w:right="54"/>
              <w:jc w:val="center"/>
              <w:rPr>
                <w:sz w:val="24"/>
              </w:rPr>
            </w:pPr>
            <w:r>
              <w:rPr>
                <w:spacing w:val="-5"/>
                <w:sz w:val="24"/>
              </w:rPr>
              <w:t>28</w:t>
            </w:r>
          </w:p>
        </w:tc>
        <w:tc>
          <w:tcPr>
            <w:tcW w:w="2065" w:type="dxa"/>
          </w:tcPr>
          <w:p>
            <w:pPr>
              <w:pStyle w:val="TableParagraph"/>
              <w:spacing w:before="5"/>
              <w:rPr>
                <w:sz w:val="24"/>
              </w:rPr>
            </w:pPr>
            <w:r>
              <w:rPr>
                <w:spacing w:val="-4"/>
                <w:sz w:val="24"/>
              </w:rPr>
              <w:t>SURE</w:t>
            </w:r>
          </w:p>
        </w:tc>
        <w:tc>
          <w:tcPr>
            <w:tcW w:w="4472" w:type="dxa"/>
          </w:tcPr>
          <w:p>
            <w:pPr>
              <w:pStyle w:val="TableParagraph"/>
              <w:spacing w:before="5"/>
              <w:rPr>
                <w:sz w:val="24"/>
              </w:rPr>
            </w:pPr>
            <w:r>
              <w:rPr>
                <w:sz w:val="24"/>
              </w:rPr>
              <w:t>PT Super Energy </w:t>
            </w:r>
            <w:r>
              <w:rPr>
                <w:spacing w:val="-5"/>
                <w:sz w:val="24"/>
              </w:rPr>
              <w:t>Tbk</w:t>
            </w:r>
          </w:p>
        </w:tc>
      </w:tr>
      <w:tr>
        <w:trPr>
          <w:trHeight w:val="317" w:hRule="atLeast"/>
        </w:trPr>
        <w:tc>
          <w:tcPr>
            <w:tcW w:w="540" w:type="dxa"/>
          </w:tcPr>
          <w:p>
            <w:pPr>
              <w:pStyle w:val="TableParagraph"/>
              <w:spacing w:before="5"/>
              <w:ind w:left="9" w:right="54"/>
              <w:jc w:val="center"/>
              <w:rPr>
                <w:sz w:val="24"/>
              </w:rPr>
            </w:pPr>
            <w:r>
              <w:rPr>
                <w:spacing w:val="-5"/>
                <w:sz w:val="24"/>
              </w:rPr>
              <w:t>29</w:t>
            </w:r>
          </w:p>
        </w:tc>
        <w:tc>
          <w:tcPr>
            <w:tcW w:w="2065" w:type="dxa"/>
          </w:tcPr>
          <w:p>
            <w:pPr>
              <w:pStyle w:val="TableParagraph"/>
              <w:spacing w:before="5"/>
              <w:rPr>
                <w:sz w:val="24"/>
              </w:rPr>
            </w:pPr>
            <w:r>
              <w:rPr>
                <w:spacing w:val="-4"/>
                <w:sz w:val="24"/>
              </w:rPr>
              <w:t>WOWS</w:t>
            </w:r>
          </w:p>
        </w:tc>
        <w:tc>
          <w:tcPr>
            <w:tcW w:w="4472" w:type="dxa"/>
          </w:tcPr>
          <w:p>
            <w:pPr>
              <w:pStyle w:val="TableParagraph"/>
              <w:spacing w:before="5"/>
              <w:rPr>
                <w:sz w:val="24"/>
              </w:rPr>
            </w:pPr>
            <w:r>
              <w:rPr>
                <w:sz w:val="24"/>
              </w:rPr>
              <w:t>PT</w:t>
            </w:r>
            <w:r>
              <w:rPr>
                <w:spacing w:val="-4"/>
                <w:sz w:val="24"/>
              </w:rPr>
              <w:t> </w:t>
            </w:r>
            <w:r>
              <w:rPr>
                <w:sz w:val="24"/>
              </w:rPr>
              <w:t>Ginting</w:t>
            </w:r>
            <w:r>
              <w:rPr>
                <w:spacing w:val="-3"/>
                <w:sz w:val="24"/>
              </w:rPr>
              <w:t> </w:t>
            </w:r>
            <w:r>
              <w:rPr>
                <w:sz w:val="24"/>
              </w:rPr>
              <w:t>Jaya</w:t>
            </w:r>
            <w:r>
              <w:rPr>
                <w:spacing w:val="-3"/>
                <w:sz w:val="24"/>
              </w:rPr>
              <w:t> </w:t>
            </w:r>
            <w:r>
              <w:rPr>
                <w:sz w:val="24"/>
              </w:rPr>
              <w:t>Energi</w:t>
            </w:r>
            <w:r>
              <w:rPr>
                <w:spacing w:val="-3"/>
                <w:sz w:val="24"/>
              </w:rPr>
              <w:t> </w:t>
            </w:r>
            <w:r>
              <w:rPr>
                <w:spacing w:val="-5"/>
                <w:sz w:val="24"/>
              </w:rPr>
              <w:t>Tbk</w:t>
            </w:r>
          </w:p>
        </w:tc>
      </w:tr>
      <w:tr>
        <w:trPr>
          <w:trHeight w:val="317" w:hRule="atLeast"/>
        </w:trPr>
        <w:tc>
          <w:tcPr>
            <w:tcW w:w="540" w:type="dxa"/>
          </w:tcPr>
          <w:p>
            <w:pPr>
              <w:pStyle w:val="TableParagraph"/>
              <w:spacing w:before="5"/>
              <w:ind w:left="9" w:right="54"/>
              <w:jc w:val="center"/>
              <w:rPr>
                <w:sz w:val="24"/>
              </w:rPr>
            </w:pPr>
            <w:r>
              <w:rPr>
                <w:spacing w:val="-5"/>
                <w:sz w:val="24"/>
              </w:rPr>
              <w:t>30</w:t>
            </w:r>
          </w:p>
        </w:tc>
        <w:tc>
          <w:tcPr>
            <w:tcW w:w="2065" w:type="dxa"/>
          </w:tcPr>
          <w:p>
            <w:pPr>
              <w:pStyle w:val="TableParagraph"/>
              <w:spacing w:before="5"/>
              <w:rPr>
                <w:sz w:val="24"/>
              </w:rPr>
            </w:pPr>
            <w:r>
              <w:rPr>
                <w:spacing w:val="-4"/>
                <w:sz w:val="24"/>
              </w:rPr>
              <w:t>MEDC</w:t>
            </w:r>
          </w:p>
        </w:tc>
        <w:tc>
          <w:tcPr>
            <w:tcW w:w="4472" w:type="dxa"/>
          </w:tcPr>
          <w:p>
            <w:pPr>
              <w:pStyle w:val="TableParagraph"/>
              <w:spacing w:before="5"/>
              <w:rPr>
                <w:sz w:val="24"/>
              </w:rPr>
            </w:pPr>
            <w:r>
              <w:rPr>
                <w:sz w:val="24"/>
              </w:rPr>
              <w:t>PT</w:t>
            </w:r>
            <w:r>
              <w:rPr>
                <w:spacing w:val="-5"/>
                <w:sz w:val="24"/>
              </w:rPr>
              <w:t> </w:t>
            </w:r>
            <w:r>
              <w:rPr>
                <w:sz w:val="24"/>
              </w:rPr>
              <w:t>Medco</w:t>
            </w:r>
            <w:r>
              <w:rPr>
                <w:spacing w:val="-5"/>
                <w:sz w:val="24"/>
              </w:rPr>
              <w:t> </w:t>
            </w:r>
            <w:r>
              <w:rPr>
                <w:sz w:val="24"/>
              </w:rPr>
              <w:t>Energi</w:t>
            </w:r>
            <w:r>
              <w:rPr>
                <w:spacing w:val="-5"/>
                <w:sz w:val="24"/>
              </w:rPr>
              <w:t> </w:t>
            </w:r>
            <w:r>
              <w:rPr>
                <w:sz w:val="24"/>
              </w:rPr>
              <w:t>Internasional</w:t>
            </w:r>
            <w:r>
              <w:rPr>
                <w:spacing w:val="-5"/>
                <w:sz w:val="24"/>
              </w:rPr>
              <w:t> Tbk</w:t>
            </w:r>
          </w:p>
        </w:tc>
      </w:tr>
      <w:tr>
        <w:trPr>
          <w:trHeight w:val="317" w:hRule="atLeast"/>
        </w:trPr>
        <w:tc>
          <w:tcPr>
            <w:tcW w:w="540" w:type="dxa"/>
          </w:tcPr>
          <w:p>
            <w:pPr>
              <w:pStyle w:val="TableParagraph"/>
              <w:spacing w:before="5"/>
              <w:ind w:left="9" w:right="54"/>
              <w:jc w:val="center"/>
              <w:rPr>
                <w:sz w:val="24"/>
              </w:rPr>
            </w:pPr>
            <w:r>
              <w:rPr>
                <w:spacing w:val="-5"/>
                <w:sz w:val="24"/>
              </w:rPr>
              <w:t>31</w:t>
            </w:r>
          </w:p>
        </w:tc>
        <w:tc>
          <w:tcPr>
            <w:tcW w:w="2065" w:type="dxa"/>
          </w:tcPr>
          <w:p>
            <w:pPr>
              <w:pStyle w:val="TableParagraph"/>
              <w:spacing w:before="5"/>
              <w:rPr>
                <w:sz w:val="24"/>
              </w:rPr>
            </w:pPr>
            <w:r>
              <w:rPr>
                <w:spacing w:val="-4"/>
                <w:sz w:val="24"/>
              </w:rPr>
              <w:t>PKPK</w:t>
            </w:r>
          </w:p>
        </w:tc>
        <w:tc>
          <w:tcPr>
            <w:tcW w:w="4472" w:type="dxa"/>
          </w:tcPr>
          <w:p>
            <w:pPr>
              <w:pStyle w:val="TableParagraph"/>
              <w:spacing w:before="5"/>
              <w:rPr>
                <w:sz w:val="24"/>
              </w:rPr>
            </w:pPr>
            <w:r>
              <w:rPr>
                <w:sz w:val="24"/>
              </w:rPr>
              <w:t>PT</w:t>
            </w:r>
            <w:r>
              <w:rPr>
                <w:spacing w:val="-4"/>
                <w:sz w:val="24"/>
              </w:rPr>
              <w:t> </w:t>
            </w:r>
            <w:r>
              <w:rPr>
                <w:sz w:val="24"/>
              </w:rPr>
              <w:t>Perdana</w:t>
            </w:r>
            <w:r>
              <w:rPr>
                <w:spacing w:val="-3"/>
                <w:sz w:val="24"/>
              </w:rPr>
              <w:t> </w:t>
            </w:r>
            <w:r>
              <w:rPr>
                <w:sz w:val="24"/>
              </w:rPr>
              <w:t>Karya</w:t>
            </w:r>
            <w:r>
              <w:rPr>
                <w:spacing w:val="-3"/>
                <w:sz w:val="24"/>
              </w:rPr>
              <w:t> </w:t>
            </w:r>
            <w:r>
              <w:rPr>
                <w:sz w:val="24"/>
              </w:rPr>
              <w:t>Perkasa</w:t>
            </w:r>
            <w:r>
              <w:rPr>
                <w:spacing w:val="-3"/>
                <w:sz w:val="24"/>
              </w:rPr>
              <w:t> </w:t>
            </w:r>
            <w:r>
              <w:rPr>
                <w:spacing w:val="-5"/>
                <w:sz w:val="24"/>
              </w:rPr>
              <w:t>Tbk</w:t>
            </w:r>
          </w:p>
        </w:tc>
      </w:tr>
      <w:tr>
        <w:trPr>
          <w:trHeight w:val="317" w:hRule="atLeast"/>
        </w:trPr>
        <w:tc>
          <w:tcPr>
            <w:tcW w:w="540" w:type="dxa"/>
          </w:tcPr>
          <w:p>
            <w:pPr>
              <w:pStyle w:val="TableParagraph"/>
              <w:spacing w:before="5"/>
              <w:ind w:left="9" w:right="54"/>
              <w:jc w:val="center"/>
              <w:rPr>
                <w:sz w:val="24"/>
              </w:rPr>
            </w:pPr>
            <w:r>
              <w:rPr>
                <w:spacing w:val="-5"/>
                <w:sz w:val="24"/>
              </w:rPr>
              <w:t>32</w:t>
            </w:r>
          </w:p>
        </w:tc>
        <w:tc>
          <w:tcPr>
            <w:tcW w:w="2065" w:type="dxa"/>
          </w:tcPr>
          <w:p>
            <w:pPr>
              <w:pStyle w:val="TableParagraph"/>
              <w:spacing w:before="5"/>
              <w:rPr>
                <w:sz w:val="24"/>
              </w:rPr>
            </w:pPr>
            <w:r>
              <w:rPr>
                <w:spacing w:val="-4"/>
                <w:sz w:val="24"/>
              </w:rPr>
              <w:t>APEX</w:t>
            </w:r>
          </w:p>
        </w:tc>
        <w:tc>
          <w:tcPr>
            <w:tcW w:w="4472" w:type="dxa"/>
          </w:tcPr>
          <w:p>
            <w:pPr>
              <w:pStyle w:val="TableParagraph"/>
              <w:spacing w:before="5"/>
              <w:rPr>
                <w:sz w:val="24"/>
              </w:rPr>
            </w:pPr>
            <w:r>
              <w:rPr>
                <w:sz w:val="24"/>
              </w:rPr>
              <w:t>PT</w:t>
            </w:r>
            <w:r>
              <w:rPr>
                <w:spacing w:val="-4"/>
                <w:sz w:val="24"/>
              </w:rPr>
              <w:t> </w:t>
            </w:r>
            <w:r>
              <w:rPr>
                <w:sz w:val="24"/>
              </w:rPr>
              <w:t>Apexindo</w:t>
            </w:r>
            <w:r>
              <w:rPr>
                <w:spacing w:val="-3"/>
                <w:sz w:val="24"/>
              </w:rPr>
              <w:t> </w:t>
            </w:r>
            <w:r>
              <w:rPr>
                <w:sz w:val="24"/>
              </w:rPr>
              <w:t>Pratama</w:t>
            </w:r>
            <w:r>
              <w:rPr>
                <w:spacing w:val="-4"/>
                <w:sz w:val="24"/>
              </w:rPr>
              <w:t> </w:t>
            </w:r>
            <w:r>
              <w:rPr>
                <w:sz w:val="24"/>
              </w:rPr>
              <w:t>Duta</w:t>
            </w:r>
            <w:r>
              <w:rPr>
                <w:spacing w:val="-3"/>
                <w:sz w:val="24"/>
              </w:rPr>
              <w:t> </w:t>
            </w:r>
            <w:r>
              <w:rPr>
                <w:spacing w:val="-5"/>
                <w:sz w:val="24"/>
              </w:rPr>
              <w:t>Tbk</w:t>
            </w:r>
          </w:p>
        </w:tc>
      </w:tr>
      <w:tr>
        <w:trPr>
          <w:trHeight w:val="317" w:hRule="atLeast"/>
        </w:trPr>
        <w:tc>
          <w:tcPr>
            <w:tcW w:w="540" w:type="dxa"/>
          </w:tcPr>
          <w:p>
            <w:pPr>
              <w:pStyle w:val="TableParagraph"/>
              <w:spacing w:before="5"/>
              <w:ind w:left="9" w:right="54"/>
              <w:jc w:val="center"/>
              <w:rPr>
                <w:sz w:val="24"/>
              </w:rPr>
            </w:pPr>
            <w:r>
              <w:rPr>
                <w:spacing w:val="-5"/>
                <w:sz w:val="24"/>
              </w:rPr>
              <w:t>33</w:t>
            </w:r>
          </w:p>
        </w:tc>
        <w:tc>
          <w:tcPr>
            <w:tcW w:w="2065" w:type="dxa"/>
          </w:tcPr>
          <w:p>
            <w:pPr>
              <w:pStyle w:val="TableParagraph"/>
              <w:spacing w:before="5"/>
              <w:rPr>
                <w:sz w:val="24"/>
              </w:rPr>
            </w:pPr>
            <w:r>
              <w:rPr>
                <w:spacing w:val="-4"/>
                <w:sz w:val="24"/>
              </w:rPr>
              <w:t>ELSA</w:t>
            </w:r>
          </w:p>
        </w:tc>
        <w:tc>
          <w:tcPr>
            <w:tcW w:w="4472" w:type="dxa"/>
          </w:tcPr>
          <w:p>
            <w:pPr>
              <w:pStyle w:val="TableParagraph"/>
              <w:spacing w:before="5"/>
              <w:rPr>
                <w:sz w:val="24"/>
              </w:rPr>
            </w:pPr>
            <w:r>
              <w:rPr>
                <w:sz w:val="24"/>
              </w:rPr>
              <w:t>PT</w:t>
            </w:r>
            <w:r>
              <w:rPr>
                <w:spacing w:val="-2"/>
                <w:sz w:val="24"/>
              </w:rPr>
              <w:t> </w:t>
            </w:r>
            <w:r>
              <w:rPr>
                <w:sz w:val="24"/>
              </w:rPr>
              <w:t>Elnusa</w:t>
            </w:r>
            <w:r>
              <w:rPr>
                <w:spacing w:val="-2"/>
                <w:sz w:val="24"/>
              </w:rPr>
              <w:t> </w:t>
            </w:r>
            <w:r>
              <w:rPr>
                <w:spacing w:val="-5"/>
                <w:sz w:val="24"/>
              </w:rPr>
              <w:t>Tbk</w:t>
            </w:r>
          </w:p>
        </w:tc>
      </w:tr>
      <w:tr>
        <w:trPr>
          <w:trHeight w:val="317" w:hRule="atLeast"/>
        </w:trPr>
        <w:tc>
          <w:tcPr>
            <w:tcW w:w="540" w:type="dxa"/>
          </w:tcPr>
          <w:p>
            <w:pPr>
              <w:pStyle w:val="TableParagraph"/>
              <w:spacing w:before="5"/>
              <w:ind w:left="9" w:right="54"/>
              <w:jc w:val="center"/>
              <w:rPr>
                <w:sz w:val="24"/>
              </w:rPr>
            </w:pPr>
            <w:r>
              <w:rPr>
                <w:spacing w:val="-5"/>
                <w:sz w:val="24"/>
              </w:rPr>
              <w:t>34</w:t>
            </w:r>
          </w:p>
        </w:tc>
        <w:tc>
          <w:tcPr>
            <w:tcW w:w="2065" w:type="dxa"/>
          </w:tcPr>
          <w:p>
            <w:pPr>
              <w:pStyle w:val="TableParagraph"/>
              <w:spacing w:before="5"/>
              <w:rPr>
                <w:sz w:val="24"/>
              </w:rPr>
            </w:pPr>
            <w:r>
              <w:rPr>
                <w:spacing w:val="-4"/>
                <w:sz w:val="24"/>
              </w:rPr>
              <w:t>ENRG</w:t>
            </w:r>
          </w:p>
        </w:tc>
        <w:tc>
          <w:tcPr>
            <w:tcW w:w="4472" w:type="dxa"/>
          </w:tcPr>
          <w:p>
            <w:pPr>
              <w:pStyle w:val="TableParagraph"/>
              <w:spacing w:before="5"/>
              <w:rPr>
                <w:sz w:val="24"/>
              </w:rPr>
            </w:pPr>
            <w:r>
              <w:rPr>
                <w:sz w:val="24"/>
              </w:rPr>
              <w:t>PT</w:t>
            </w:r>
            <w:r>
              <w:rPr>
                <w:spacing w:val="-5"/>
                <w:sz w:val="24"/>
              </w:rPr>
              <w:t> </w:t>
            </w:r>
            <w:r>
              <w:rPr>
                <w:sz w:val="24"/>
              </w:rPr>
              <w:t>Energi</w:t>
            </w:r>
            <w:r>
              <w:rPr>
                <w:spacing w:val="-3"/>
                <w:sz w:val="24"/>
              </w:rPr>
              <w:t> </w:t>
            </w:r>
            <w:r>
              <w:rPr>
                <w:sz w:val="24"/>
              </w:rPr>
              <w:t>Mega</w:t>
            </w:r>
            <w:r>
              <w:rPr>
                <w:spacing w:val="-3"/>
                <w:sz w:val="24"/>
              </w:rPr>
              <w:t> </w:t>
            </w:r>
            <w:r>
              <w:rPr>
                <w:sz w:val="24"/>
              </w:rPr>
              <w:t>Persada</w:t>
            </w:r>
            <w:r>
              <w:rPr>
                <w:spacing w:val="-3"/>
                <w:sz w:val="24"/>
              </w:rPr>
              <w:t> </w:t>
            </w:r>
            <w:r>
              <w:rPr>
                <w:spacing w:val="-5"/>
                <w:sz w:val="24"/>
              </w:rPr>
              <w:t>Tbk</w:t>
            </w:r>
          </w:p>
        </w:tc>
      </w:tr>
      <w:tr>
        <w:trPr>
          <w:trHeight w:val="317" w:hRule="atLeast"/>
        </w:trPr>
        <w:tc>
          <w:tcPr>
            <w:tcW w:w="540" w:type="dxa"/>
          </w:tcPr>
          <w:p>
            <w:pPr>
              <w:pStyle w:val="TableParagraph"/>
              <w:spacing w:before="5"/>
              <w:ind w:left="9" w:right="54"/>
              <w:jc w:val="center"/>
              <w:rPr>
                <w:sz w:val="24"/>
              </w:rPr>
            </w:pPr>
            <w:r>
              <w:rPr>
                <w:spacing w:val="-5"/>
                <w:sz w:val="24"/>
              </w:rPr>
              <w:t>35</w:t>
            </w:r>
          </w:p>
        </w:tc>
        <w:tc>
          <w:tcPr>
            <w:tcW w:w="2065" w:type="dxa"/>
          </w:tcPr>
          <w:p>
            <w:pPr>
              <w:pStyle w:val="TableParagraph"/>
              <w:spacing w:before="5"/>
              <w:rPr>
                <w:sz w:val="24"/>
              </w:rPr>
            </w:pPr>
            <w:r>
              <w:rPr>
                <w:spacing w:val="-4"/>
                <w:sz w:val="24"/>
              </w:rPr>
              <w:t>RUIS</w:t>
            </w:r>
          </w:p>
        </w:tc>
        <w:tc>
          <w:tcPr>
            <w:tcW w:w="4472" w:type="dxa"/>
          </w:tcPr>
          <w:p>
            <w:pPr>
              <w:pStyle w:val="TableParagraph"/>
              <w:spacing w:before="5"/>
              <w:rPr>
                <w:sz w:val="24"/>
              </w:rPr>
            </w:pPr>
            <w:r>
              <w:rPr>
                <w:sz w:val="24"/>
              </w:rPr>
              <w:t>PT</w:t>
            </w:r>
            <w:r>
              <w:rPr>
                <w:spacing w:val="-5"/>
                <w:sz w:val="24"/>
              </w:rPr>
              <w:t> </w:t>
            </w:r>
            <w:r>
              <w:rPr>
                <w:sz w:val="24"/>
              </w:rPr>
              <w:t>Radiant</w:t>
            </w:r>
            <w:r>
              <w:rPr>
                <w:spacing w:val="-5"/>
                <w:sz w:val="24"/>
              </w:rPr>
              <w:t> </w:t>
            </w:r>
            <w:r>
              <w:rPr>
                <w:sz w:val="24"/>
              </w:rPr>
              <w:t>Utama</w:t>
            </w:r>
            <w:r>
              <w:rPr>
                <w:spacing w:val="-5"/>
                <w:sz w:val="24"/>
              </w:rPr>
              <w:t> </w:t>
            </w:r>
            <w:r>
              <w:rPr>
                <w:sz w:val="24"/>
              </w:rPr>
              <w:t>Interinsco</w:t>
            </w:r>
            <w:r>
              <w:rPr>
                <w:spacing w:val="-4"/>
                <w:sz w:val="24"/>
              </w:rPr>
              <w:t> </w:t>
            </w:r>
            <w:r>
              <w:rPr>
                <w:spacing w:val="-5"/>
                <w:sz w:val="24"/>
              </w:rPr>
              <w:t>Tbk</w:t>
            </w:r>
          </w:p>
        </w:tc>
      </w:tr>
      <w:tr>
        <w:trPr>
          <w:trHeight w:val="317" w:hRule="atLeast"/>
        </w:trPr>
        <w:tc>
          <w:tcPr>
            <w:tcW w:w="540" w:type="dxa"/>
          </w:tcPr>
          <w:p>
            <w:pPr>
              <w:pStyle w:val="TableParagraph"/>
              <w:spacing w:before="5"/>
              <w:ind w:left="9" w:right="54"/>
              <w:jc w:val="center"/>
              <w:rPr>
                <w:sz w:val="24"/>
              </w:rPr>
            </w:pPr>
            <w:r>
              <w:rPr>
                <w:spacing w:val="-5"/>
                <w:sz w:val="24"/>
              </w:rPr>
              <w:t>36</w:t>
            </w:r>
          </w:p>
        </w:tc>
        <w:tc>
          <w:tcPr>
            <w:tcW w:w="2065" w:type="dxa"/>
          </w:tcPr>
          <w:p>
            <w:pPr>
              <w:pStyle w:val="TableParagraph"/>
              <w:spacing w:before="5"/>
              <w:rPr>
                <w:sz w:val="24"/>
              </w:rPr>
            </w:pPr>
            <w:r>
              <w:rPr>
                <w:spacing w:val="-4"/>
                <w:sz w:val="24"/>
              </w:rPr>
              <w:t>MITI</w:t>
            </w:r>
          </w:p>
        </w:tc>
        <w:tc>
          <w:tcPr>
            <w:tcW w:w="4472" w:type="dxa"/>
          </w:tcPr>
          <w:p>
            <w:pPr>
              <w:pStyle w:val="TableParagraph"/>
              <w:spacing w:before="5"/>
              <w:rPr>
                <w:sz w:val="24"/>
              </w:rPr>
            </w:pPr>
            <w:r>
              <w:rPr>
                <w:sz w:val="24"/>
              </w:rPr>
              <w:t>PT</w:t>
            </w:r>
            <w:r>
              <w:rPr>
                <w:spacing w:val="-5"/>
                <w:sz w:val="24"/>
              </w:rPr>
              <w:t> </w:t>
            </w:r>
            <w:r>
              <w:rPr>
                <w:sz w:val="24"/>
              </w:rPr>
              <w:t>Mitra</w:t>
            </w:r>
            <w:r>
              <w:rPr>
                <w:spacing w:val="-4"/>
                <w:sz w:val="24"/>
              </w:rPr>
              <w:t> </w:t>
            </w:r>
            <w:r>
              <w:rPr>
                <w:sz w:val="24"/>
              </w:rPr>
              <w:t>Investindo</w:t>
            </w:r>
            <w:r>
              <w:rPr>
                <w:spacing w:val="-4"/>
                <w:sz w:val="24"/>
              </w:rPr>
              <w:t> </w:t>
            </w:r>
            <w:r>
              <w:rPr>
                <w:spacing w:val="-5"/>
                <w:sz w:val="24"/>
              </w:rPr>
              <w:t>Tbk</w:t>
            </w:r>
          </w:p>
        </w:tc>
      </w:tr>
      <w:tr>
        <w:trPr>
          <w:trHeight w:val="317" w:hRule="atLeast"/>
        </w:trPr>
        <w:tc>
          <w:tcPr>
            <w:tcW w:w="540" w:type="dxa"/>
          </w:tcPr>
          <w:p>
            <w:pPr>
              <w:pStyle w:val="TableParagraph"/>
              <w:spacing w:before="5"/>
              <w:ind w:left="9" w:right="54"/>
              <w:jc w:val="center"/>
              <w:rPr>
                <w:sz w:val="24"/>
              </w:rPr>
            </w:pPr>
            <w:r>
              <w:rPr>
                <w:spacing w:val="-5"/>
                <w:sz w:val="24"/>
              </w:rPr>
              <w:t>37</w:t>
            </w:r>
          </w:p>
        </w:tc>
        <w:tc>
          <w:tcPr>
            <w:tcW w:w="2065" w:type="dxa"/>
          </w:tcPr>
          <w:p>
            <w:pPr>
              <w:pStyle w:val="TableParagraph"/>
              <w:spacing w:before="5"/>
              <w:rPr>
                <w:sz w:val="24"/>
              </w:rPr>
            </w:pPr>
            <w:r>
              <w:rPr>
                <w:spacing w:val="-4"/>
                <w:sz w:val="24"/>
              </w:rPr>
              <w:t>CTTH</w:t>
            </w:r>
          </w:p>
        </w:tc>
        <w:tc>
          <w:tcPr>
            <w:tcW w:w="4472" w:type="dxa"/>
          </w:tcPr>
          <w:p>
            <w:pPr>
              <w:pStyle w:val="TableParagraph"/>
              <w:spacing w:before="5"/>
              <w:rPr>
                <w:sz w:val="24"/>
              </w:rPr>
            </w:pPr>
            <w:r>
              <w:rPr>
                <w:sz w:val="24"/>
              </w:rPr>
              <w:t>PT</w:t>
            </w:r>
            <w:r>
              <w:rPr>
                <w:spacing w:val="-5"/>
                <w:sz w:val="24"/>
              </w:rPr>
              <w:t> </w:t>
            </w:r>
            <w:r>
              <w:rPr>
                <w:sz w:val="24"/>
              </w:rPr>
              <w:t>Citatah</w:t>
            </w:r>
            <w:r>
              <w:rPr>
                <w:spacing w:val="-3"/>
                <w:sz w:val="24"/>
              </w:rPr>
              <w:t> </w:t>
            </w:r>
            <w:r>
              <w:rPr>
                <w:spacing w:val="-5"/>
                <w:sz w:val="24"/>
              </w:rPr>
              <w:t>Tbk</w:t>
            </w:r>
          </w:p>
        </w:tc>
      </w:tr>
      <w:tr>
        <w:trPr>
          <w:trHeight w:val="317" w:hRule="atLeast"/>
        </w:trPr>
        <w:tc>
          <w:tcPr>
            <w:tcW w:w="540" w:type="dxa"/>
          </w:tcPr>
          <w:p>
            <w:pPr>
              <w:pStyle w:val="TableParagraph"/>
              <w:spacing w:before="5"/>
              <w:ind w:left="9" w:right="54"/>
              <w:jc w:val="center"/>
              <w:rPr>
                <w:sz w:val="24"/>
              </w:rPr>
            </w:pPr>
            <w:r>
              <w:rPr>
                <w:spacing w:val="-5"/>
                <w:sz w:val="24"/>
              </w:rPr>
              <w:t>38</w:t>
            </w:r>
          </w:p>
        </w:tc>
        <w:tc>
          <w:tcPr>
            <w:tcW w:w="2065" w:type="dxa"/>
          </w:tcPr>
          <w:p>
            <w:pPr>
              <w:pStyle w:val="TableParagraph"/>
              <w:spacing w:before="5"/>
              <w:rPr>
                <w:sz w:val="24"/>
              </w:rPr>
            </w:pPr>
            <w:r>
              <w:rPr>
                <w:spacing w:val="-4"/>
                <w:sz w:val="24"/>
              </w:rPr>
              <w:t>ZINC</w:t>
            </w:r>
          </w:p>
        </w:tc>
        <w:tc>
          <w:tcPr>
            <w:tcW w:w="4472" w:type="dxa"/>
          </w:tcPr>
          <w:p>
            <w:pPr>
              <w:pStyle w:val="TableParagraph"/>
              <w:spacing w:before="5"/>
              <w:rPr>
                <w:sz w:val="24"/>
              </w:rPr>
            </w:pPr>
            <w:r>
              <w:rPr>
                <w:sz w:val="24"/>
              </w:rPr>
              <w:t>PT</w:t>
            </w:r>
            <w:r>
              <w:rPr>
                <w:spacing w:val="-2"/>
                <w:sz w:val="24"/>
              </w:rPr>
              <w:t> </w:t>
            </w:r>
            <w:r>
              <w:rPr>
                <w:sz w:val="24"/>
              </w:rPr>
              <w:t>Kapuas</w:t>
            </w:r>
            <w:r>
              <w:rPr>
                <w:spacing w:val="-1"/>
                <w:sz w:val="24"/>
              </w:rPr>
              <w:t> </w:t>
            </w:r>
            <w:r>
              <w:rPr>
                <w:sz w:val="24"/>
              </w:rPr>
              <w:t>Prima</w:t>
            </w:r>
            <w:r>
              <w:rPr>
                <w:spacing w:val="-2"/>
                <w:sz w:val="24"/>
              </w:rPr>
              <w:t> </w:t>
            </w:r>
            <w:r>
              <w:rPr>
                <w:sz w:val="24"/>
              </w:rPr>
              <w:t>Coal</w:t>
            </w:r>
            <w:r>
              <w:rPr>
                <w:spacing w:val="-1"/>
                <w:sz w:val="24"/>
              </w:rPr>
              <w:t> </w:t>
            </w:r>
            <w:r>
              <w:rPr>
                <w:spacing w:val="-5"/>
                <w:sz w:val="24"/>
              </w:rPr>
              <w:t>Tbk</w:t>
            </w:r>
          </w:p>
        </w:tc>
      </w:tr>
      <w:tr>
        <w:trPr>
          <w:trHeight w:val="317" w:hRule="atLeast"/>
        </w:trPr>
        <w:tc>
          <w:tcPr>
            <w:tcW w:w="540" w:type="dxa"/>
          </w:tcPr>
          <w:p>
            <w:pPr>
              <w:pStyle w:val="TableParagraph"/>
              <w:spacing w:before="5"/>
              <w:ind w:left="9" w:right="54"/>
              <w:jc w:val="center"/>
              <w:rPr>
                <w:sz w:val="24"/>
              </w:rPr>
            </w:pPr>
            <w:r>
              <w:rPr>
                <w:spacing w:val="-5"/>
                <w:sz w:val="24"/>
              </w:rPr>
              <w:t>39</w:t>
            </w:r>
          </w:p>
        </w:tc>
        <w:tc>
          <w:tcPr>
            <w:tcW w:w="2065" w:type="dxa"/>
          </w:tcPr>
          <w:p>
            <w:pPr>
              <w:pStyle w:val="TableParagraph"/>
              <w:spacing w:before="5"/>
              <w:rPr>
                <w:sz w:val="24"/>
              </w:rPr>
            </w:pPr>
            <w:r>
              <w:rPr>
                <w:spacing w:val="-4"/>
                <w:sz w:val="24"/>
              </w:rPr>
              <w:t>MDKA</w:t>
            </w:r>
          </w:p>
        </w:tc>
        <w:tc>
          <w:tcPr>
            <w:tcW w:w="4472" w:type="dxa"/>
          </w:tcPr>
          <w:p>
            <w:pPr>
              <w:pStyle w:val="TableParagraph"/>
              <w:spacing w:before="5"/>
              <w:rPr>
                <w:sz w:val="24"/>
              </w:rPr>
            </w:pPr>
            <w:r>
              <w:rPr>
                <w:sz w:val="24"/>
              </w:rPr>
              <w:t>PT</w:t>
            </w:r>
            <w:r>
              <w:rPr>
                <w:spacing w:val="-3"/>
                <w:sz w:val="24"/>
              </w:rPr>
              <w:t> </w:t>
            </w:r>
            <w:r>
              <w:rPr>
                <w:sz w:val="24"/>
              </w:rPr>
              <w:t>Merdeka</w:t>
            </w:r>
            <w:r>
              <w:rPr>
                <w:spacing w:val="-2"/>
                <w:sz w:val="24"/>
              </w:rPr>
              <w:t> </w:t>
            </w:r>
            <w:r>
              <w:rPr>
                <w:sz w:val="24"/>
              </w:rPr>
              <w:t>Copper</w:t>
            </w:r>
            <w:r>
              <w:rPr>
                <w:spacing w:val="-2"/>
                <w:sz w:val="24"/>
              </w:rPr>
              <w:t> </w:t>
            </w:r>
            <w:r>
              <w:rPr>
                <w:sz w:val="24"/>
              </w:rPr>
              <w:t>Gold</w:t>
            </w:r>
            <w:r>
              <w:rPr>
                <w:spacing w:val="-2"/>
                <w:sz w:val="24"/>
              </w:rPr>
              <w:t> </w:t>
            </w:r>
            <w:r>
              <w:rPr>
                <w:spacing w:val="-5"/>
                <w:sz w:val="24"/>
              </w:rPr>
              <w:t>Tbk</w:t>
            </w:r>
          </w:p>
        </w:tc>
      </w:tr>
      <w:tr>
        <w:trPr>
          <w:trHeight w:val="317" w:hRule="atLeast"/>
        </w:trPr>
        <w:tc>
          <w:tcPr>
            <w:tcW w:w="540" w:type="dxa"/>
          </w:tcPr>
          <w:p>
            <w:pPr>
              <w:pStyle w:val="TableParagraph"/>
              <w:spacing w:before="5"/>
              <w:ind w:left="9" w:right="54"/>
              <w:jc w:val="center"/>
              <w:rPr>
                <w:sz w:val="24"/>
              </w:rPr>
            </w:pPr>
            <w:r>
              <w:rPr>
                <w:spacing w:val="-5"/>
                <w:sz w:val="24"/>
              </w:rPr>
              <w:t>40</w:t>
            </w:r>
          </w:p>
        </w:tc>
        <w:tc>
          <w:tcPr>
            <w:tcW w:w="2065" w:type="dxa"/>
          </w:tcPr>
          <w:p>
            <w:pPr>
              <w:pStyle w:val="TableParagraph"/>
              <w:spacing w:before="5"/>
              <w:rPr>
                <w:sz w:val="24"/>
              </w:rPr>
            </w:pPr>
            <w:r>
              <w:rPr>
                <w:spacing w:val="-4"/>
                <w:sz w:val="24"/>
              </w:rPr>
              <w:t>ANTM</w:t>
            </w:r>
          </w:p>
        </w:tc>
        <w:tc>
          <w:tcPr>
            <w:tcW w:w="4472" w:type="dxa"/>
          </w:tcPr>
          <w:p>
            <w:pPr>
              <w:pStyle w:val="TableParagraph"/>
              <w:spacing w:before="5"/>
              <w:rPr>
                <w:sz w:val="24"/>
              </w:rPr>
            </w:pPr>
            <w:r>
              <w:rPr>
                <w:sz w:val="24"/>
              </w:rPr>
              <w:t>PT</w:t>
            </w:r>
            <w:r>
              <w:rPr>
                <w:spacing w:val="-5"/>
                <w:sz w:val="24"/>
              </w:rPr>
              <w:t> </w:t>
            </w:r>
            <w:r>
              <w:rPr>
                <w:sz w:val="24"/>
              </w:rPr>
              <w:t>Aneka</w:t>
            </w:r>
            <w:r>
              <w:rPr>
                <w:spacing w:val="-3"/>
                <w:sz w:val="24"/>
              </w:rPr>
              <w:t> </w:t>
            </w:r>
            <w:r>
              <w:rPr>
                <w:sz w:val="24"/>
              </w:rPr>
              <w:t>Tambang</w:t>
            </w:r>
            <w:r>
              <w:rPr>
                <w:spacing w:val="-2"/>
                <w:sz w:val="24"/>
              </w:rPr>
              <w:t> </w:t>
            </w:r>
            <w:r>
              <w:rPr>
                <w:spacing w:val="-5"/>
                <w:sz w:val="24"/>
              </w:rPr>
              <w:t>Tbk</w:t>
            </w:r>
          </w:p>
        </w:tc>
      </w:tr>
      <w:tr>
        <w:trPr>
          <w:trHeight w:val="317" w:hRule="atLeast"/>
        </w:trPr>
        <w:tc>
          <w:tcPr>
            <w:tcW w:w="540" w:type="dxa"/>
          </w:tcPr>
          <w:p>
            <w:pPr>
              <w:pStyle w:val="TableParagraph"/>
              <w:spacing w:before="5"/>
              <w:ind w:left="9" w:right="54"/>
              <w:jc w:val="center"/>
              <w:rPr>
                <w:sz w:val="24"/>
              </w:rPr>
            </w:pPr>
            <w:r>
              <w:rPr>
                <w:spacing w:val="-5"/>
                <w:sz w:val="24"/>
              </w:rPr>
              <w:t>41</w:t>
            </w:r>
          </w:p>
        </w:tc>
        <w:tc>
          <w:tcPr>
            <w:tcW w:w="2065" w:type="dxa"/>
          </w:tcPr>
          <w:p>
            <w:pPr>
              <w:pStyle w:val="TableParagraph"/>
              <w:spacing w:before="5"/>
              <w:rPr>
                <w:sz w:val="24"/>
              </w:rPr>
            </w:pPr>
            <w:r>
              <w:rPr>
                <w:spacing w:val="-4"/>
                <w:sz w:val="24"/>
              </w:rPr>
              <w:t>INCO</w:t>
            </w:r>
          </w:p>
        </w:tc>
        <w:tc>
          <w:tcPr>
            <w:tcW w:w="4472" w:type="dxa"/>
          </w:tcPr>
          <w:p>
            <w:pPr>
              <w:pStyle w:val="TableParagraph"/>
              <w:spacing w:before="5"/>
              <w:rPr>
                <w:sz w:val="24"/>
              </w:rPr>
            </w:pPr>
            <w:r>
              <w:rPr>
                <w:sz w:val="24"/>
              </w:rPr>
              <w:t>PT</w:t>
            </w:r>
            <w:r>
              <w:rPr>
                <w:spacing w:val="-4"/>
                <w:sz w:val="24"/>
              </w:rPr>
              <w:t> </w:t>
            </w:r>
            <w:r>
              <w:rPr>
                <w:sz w:val="24"/>
              </w:rPr>
              <w:t>Vale</w:t>
            </w:r>
            <w:r>
              <w:rPr>
                <w:spacing w:val="-3"/>
                <w:sz w:val="24"/>
              </w:rPr>
              <w:t> </w:t>
            </w:r>
            <w:r>
              <w:rPr>
                <w:sz w:val="24"/>
              </w:rPr>
              <w:t>Indonesia</w:t>
            </w:r>
            <w:r>
              <w:rPr>
                <w:spacing w:val="-3"/>
                <w:sz w:val="24"/>
              </w:rPr>
              <w:t> </w:t>
            </w:r>
            <w:r>
              <w:rPr>
                <w:spacing w:val="-5"/>
                <w:sz w:val="24"/>
              </w:rPr>
              <w:t>Tbk</w:t>
            </w:r>
          </w:p>
        </w:tc>
      </w:tr>
      <w:tr>
        <w:trPr>
          <w:trHeight w:val="317" w:hRule="atLeast"/>
        </w:trPr>
        <w:tc>
          <w:tcPr>
            <w:tcW w:w="540" w:type="dxa"/>
          </w:tcPr>
          <w:p>
            <w:pPr>
              <w:pStyle w:val="TableParagraph"/>
              <w:spacing w:before="5"/>
              <w:ind w:left="9" w:right="54"/>
              <w:jc w:val="center"/>
              <w:rPr>
                <w:sz w:val="24"/>
              </w:rPr>
            </w:pPr>
            <w:r>
              <w:rPr>
                <w:spacing w:val="-5"/>
                <w:sz w:val="24"/>
              </w:rPr>
              <w:t>42</w:t>
            </w:r>
          </w:p>
        </w:tc>
        <w:tc>
          <w:tcPr>
            <w:tcW w:w="2065" w:type="dxa"/>
          </w:tcPr>
          <w:p>
            <w:pPr>
              <w:pStyle w:val="TableParagraph"/>
              <w:spacing w:before="5"/>
              <w:rPr>
                <w:sz w:val="24"/>
              </w:rPr>
            </w:pPr>
            <w:r>
              <w:rPr>
                <w:spacing w:val="-4"/>
                <w:sz w:val="24"/>
              </w:rPr>
              <w:t>TINS</w:t>
            </w:r>
          </w:p>
        </w:tc>
        <w:tc>
          <w:tcPr>
            <w:tcW w:w="4472" w:type="dxa"/>
          </w:tcPr>
          <w:p>
            <w:pPr>
              <w:pStyle w:val="TableParagraph"/>
              <w:spacing w:before="5"/>
              <w:rPr>
                <w:sz w:val="24"/>
              </w:rPr>
            </w:pPr>
            <w:r>
              <w:rPr>
                <w:sz w:val="24"/>
              </w:rPr>
              <w:t>PT</w:t>
            </w:r>
            <w:r>
              <w:rPr>
                <w:spacing w:val="-2"/>
                <w:sz w:val="24"/>
              </w:rPr>
              <w:t> </w:t>
            </w:r>
            <w:r>
              <w:rPr>
                <w:sz w:val="24"/>
              </w:rPr>
              <w:t>Timah</w:t>
            </w:r>
            <w:r>
              <w:rPr>
                <w:spacing w:val="-1"/>
                <w:sz w:val="24"/>
              </w:rPr>
              <w:t> </w:t>
            </w:r>
            <w:r>
              <w:rPr>
                <w:spacing w:val="-5"/>
                <w:sz w:val="24"/>
              </w:rPr>
              <w:t>Tbk</w:t>
            </w:r>
          </w:p>
        </w:tc>
      </w:tr>
      <w:tr>
        <w:trPr>
          <w:trHeight w:val="317" w:hRule="atLeast"/>
        </w:trPr>
        <w:tc>
          <w:tcPr>
            <w:tcW w:w="540" w:type="dxa"/>
          </w:tcPr>
          <w:p>
            <w:pPr>
              <w:pStyle w:val="TableParagraph"/>
              <w:spacing w:before="5"/>
              <w:ind w:left="9" w:right="54"/>
              <w:jc w:val="center"/>
              <w:rPr>
                <w:sz w:val="24"/>
              </w:rPr>
            </w:pPr>
            <w:r>
              <w:rPr>
                <w:spacing w:val="-5"/>
                <w:sz w:val="24"/>
              </w:rPr>
              <w:t>43</w:t>
            </w:r>
          </w:p>
        </w:tc>
        <w:tc>
          <w:tcPr>
            <w:tcW w:w="2065" w:type="dxa"/>
          </w:tcPr>
          <w:p>
            <w:pPr>
              <w:pStyle w:val="TableParagraph"/>
              <w:spacing w:before="5"/>
              <w:rPr>
                <w:sz w:val="24"/>
              </w:rPr>
            </w:pPr>
            <w:r>
              <w:rPr>
                <w:spacing w:val="-4"/>
                <w:sz w:val="24"/>
              </w:rPr>
              <w:t>CITA</w:t>
            </w:r>
          </w:p>
        </w:tc>
        <w:tc>
          <w:tcPr>
            <w:tcW w:w="4472" w:type="dxa"/>
          </w:tcPr>
          <w:p>
            <w:pPr>
              <w:pStyle w:val="TableParagraph"/>
              <w:spacing w:before="5"/>
              <w:rPr>
                <w:sz w:val="24"/>
              </w:rPr>
            </w:pPr>
            <w:r>
              <w:rPr>
                <w:sz w:val="24"/>
              </w:rPr>
              <w:t>PT</w:t>
            </w:r>
            <w:r>
              <w:rPr>
                <w:spacing w:val="-7"/>
                <w:sz w:val="24"/>
              </w:rPr>
              <w:t> </w:t>
            </w:r>
            <w:r>
              <w:rPr>
                <w:sz w:val="24"/>
              </w:rPr>
              <w:t>Cita</w:t>
            </w:r>
            <w:r>
              <w:rPr>
                <w:spacing w:val="-4"/>
                <w:sz w:val="24"/>
              </w:rPr>
              <w:t> </w:t>
            </w:r>
            <w:r>
              <w:rPr>
                <w:sz w:val="24"/>
              </w:rPr>
              <w:t>Mineral</w:t>
            </w:r>
            <w:r>
              <w:rPr>
                <w:spacing w:val="-5"/>
                <w:sz w:val="24"/>
              </w:rPr>
              <w:t> </w:t>
            </w:r>
            <w:r>
              <w:rPr>
                <w:sz w:val="24"/>
              </w:rPr>
              <w:t>Investindo</w:t>
            </w:r>
            <w:r>
              <w:rPr>
                <w:spacing w:val="-4"/>
                <w:sz w:val="24"/>
              </w:rPr>
              <w:t> </w:t>
            </w:r>
            <w:r>
              <w:rPr>
                <w:spacing w:val="-5"/>
                <w:sz w:val="24"/>
              </w:rPr>
              <w:t>Tbk</w:t>
            </w:r>
          </w:p>
        </w:tc>
      </w:tr>
      <w:tr>
        <w:trPr>
          <w:trHeight w:val="317" w:hRule="atLeast"/>
        </w:trPr>
        <w:tc>
          <w:tcPr>
            <w:tcW w:w="540" w:type="dxa"/>
          </w:tcPr>
          <w:p>
            <w:pPr>
              <w:pStyle w:val="TableParagraph"/>
              <w:spacing w:before="5"/>
              <w:ind w:left="9" w:right="54"/>
              <w:jc w:val="center"/>
              <w:rPr>
                <w:sz w:val="24"/>
              </w:rPr>
            </w:pPr>
            <w:r>
              <w:rPr>
                <w:spacing w:val="-5"/>
                <w:sz w:val="24"/>
              </w:rPr>
              <w:t>44</w:t>
            </w:r>
          </w:p>
        </w:tc>
        <w:tc>
          <w:tcPr>
            <w:tcW w:w="2065" w:type="dxa"/>
          </w:tcPr>
          <w:p>
            <w:pPr>
              <w:pStyle w:val="TableParagraph"/>
              <w:spacing w:before="5"/>
              <w:rPr>
                <w:sz w:val="24"/>
              </w:rPr>
            </w:pPr>
            <w:r>
              <w:rPr>
                <w:spacing w:val="-4"/>
                <w:sz w:val="24"/>
              </w:rPr>
              <w:t>BRMS</w:t>
            </w:r>
          </w:p>
        </w:tc>
        <w:tc>
          <w:tcPr>
            <w:tcW w:w="4472" w:type="dxa"/>
          </w:tcPr>
          <w:p>
            <w:pPr>
              <w:pStyle w:val="TableParagraph"/>
              <w:spacing w:before="5"/>
              <w:rPr>
                <w:sz w:val="24"/>
              </w:rPr>
            </w:pPr>
            <w:r>
              <w:rPr>
                <w:sz w:val="24"/>
              </w:rPr>
              <w:t>PT</w:t>
            </w:r>
            <w:r>
              <w:rPr>
                <w:spacing w:val="-1"/>
                <w:sz w:val="24"/>
              </w:rPr>
              <w:t> </w:t>
            </w:r>
            <w:r>
              <w:rPr>
                <w:sz w:val="24"/>
              </w:rPr>
              <w:t>Bumi Resources</w:t>
            </w:r>
            <w:r>
              <w:rPr>
                <w:spacing w:val="-1"/>
                <w:sz w:val="24"/>
              </w:rPr>
              <w:t> </w:t>
            </w:r>
            <w:r>
              <w:rPr>
                <w:sz w:val="24"/>
              </w:rPr>
              <w:t>Minerals </w:t>
            </w:r>
            <w:r>
              <w:rPr>
                <w:spacing w:val="-5"/>
                <w:sz w:val="24"/>
              </w:rPr>
              <w:t>Tbk</w:t>
            </w:r>
          </w:p>
        </w:tc>
      </w:tr>
      <w:tr>
        <w:trPr>
          <w:trHeight w:val="317" w:hRule="atLeast"/>
        </w:trPr>
        <w:tc>
          <w:tcPr>
            <w:tcW w:w="540" w:type="dxa"/>
          </w:tcPr>
          <w:p>
            <w:pPr>
              <w:pStyle w:val="TableParagraph"/>
              <w:spacing w:before="5"/>
              <w:ind w:left="9" w:right="54"/>
              <w:jc w:val="center"/>
              <w:rPr>
                <w:sz w:val="24"/>
              </w:rPr>
            </w:pPr>
            <w:r>
              <w:rPr>
                <w:spacing w:val="-5"/>
                <w:sz w:val="24"/>
              </w:rPr>
              <w:t>45</w:t>
            </w:r>
          </w:p>
        </w:tc>
        <w:tc>
          <w:tcPr>
            <w:tcW w:w="2065" w:type="dxa"/>
          </w:tcPr>
          <w:p>
            <w:pPr>
              <w:pStyle w:val="TableParagraph"/>
              <w:spacing w:before="5"/>
              <w:rPr>
                <w:sz w:val="24"/>
              </w:rPr>
            </w:pPr>
            <w:r>
              <w:rPr>
                <w:spacing w:val="-4"/>
                <w:sz w:val="24"/>
              </w:rPr>
              <w:t>DKFT</w:t>
            </w:r>
          </w:p>
        </w:tc>
        <w:tc>
          <w:tcPr>
            <w:tcW w:w="4472" w:type="dxa"/>
          </w:tcPr>
          <w:p>
            <w:pPr>
              <w:pStyle w:val="TableParagraph"/>
              <w:spacing w:before="5"/>
              <w:rPr>
                <w:sz w:val="24"/>
              </w:rPr>
            </w:pPr>
            <w:r>
              <w:rPr>
                <w:sz w:val="24"/>
              </w:rPr>
              <w:t>PT</w:t>
            </w:r>
            <w:r>
              <w:rPr>
                <w:spacing w:val="-3"/>
                <w:sz w:val="24"/>
              </w:rPr>
              <w:t> </w:t>
            </w:r>
            <w:r>
              <w:rPr>
                <w:sz w:val="24"/>
              </w:rPr>
              <w:t>Central</w:t>
            </w:r>
            <w:r>
              <w:rPr>
                <w:spacing w:val="-2"/>
                <w:sz w:val="24"/>
              </w:rPr>
              <w:t> </w:t>
            </w:r>
            <w:r>
              <w:rPr>
                <w:sz w:val="24"/>
              </w:rPr>
              <w:t>Omega</w:t>
            </w:r>
            <w:r>
              <w:rPr>
                <w:spacing w:val="-3"/>
                <w:sz w:val="24"/>
              </w:rPr>
              <w:t> </w:t>
            </w:r>
            <w:r>
              <w:rPr>
                <w:sz w:val="24"/>
              </w:rPr>
              <w:t>Resources</w:t>
            </w:r>
            <w:r>
              <w:rPr>
                <w:spacing w:val="-2"/>
                <w:sz w:val="24"/>
              </w:rPr>
              <w:t> </w:t>
            </w:r>
            <w:r>
              <w:rPr>
                <w:spacing w:val="-5"/>
                <w:sz w:val="24"/>
              </w:rPr>
              <w:t>Tbk</w:t>
            </w:r>
          </w:p>
        </w:tc>
      </w:tr>
      <w:tr>
        <w:trPr>
          <w:trHeight w:val="317" w:hRule="atLeast"/>
        </w:trPr>
        <w:tc>
          <w:tcPr>
            <w:tcW w:w="540" w:type="dxa"/>
          </w:tcPr>
          <w:p>
            <w:pPr>
              <w:pStyle w:val="TableParagraph"/>
              <w:spacing w:before="5"/>
              <w:ind w:left="9" w:right="54"/>
              <w:jc w:val="center"/>
              <w:rPr>
                <w:sz w:val="24"/>
              </w:rPr>
            </w:pPr>
            <w:r>
              <w:rPr>
                <w:spacing w:val="-5"/>
                <w:sz w:val="24"/>
              </w:rPr>
              <w:t>46</w:t>
            </w:r>
          </w:p>
        </w:tc>
        <w:tc>
          <w:tcPr>
            <w:tcW w:w="2065" w:type="dxa"/>
          </w:tcPr>
          <w:p>
            <w:pPr>
              <w:pStyle w:val="TableParagraph"/>
              <w:spacing w:before="5"/>
              <w:rPr>
                <w:sz w:val="24"/>
              </w:rPr>
            </w:pPr>
            <w:r>
              <w:rPr>
                <w:spacing w:val="-4"/>
                <w:sz w:val="24"/>
              </w:rPr>
              <w:t>IFSH</w:t>
            </w:r>
          </w:p>
        </w:tc>
        <w:tc>
          <w:tcPr>
            <w:tcW w:w="4472" w:type="dxa"/>
          </w:tcPr>
          <w:p>
            <w:pPr>
              <w:pStyle w:val="TableParagraph"/>
              <w:spacing w:before="5"/>
              <w:rPr>
                <w:sz w:val="24"/>
              </w:rPr>
            </w:pPr>
            <w:r>
              <w:rPr>
                <w:sz w:val="24"/>
              </w:rPr>
              <w:t>PT</w:t>
            </w:r>
            <w:r>
              <w:rPr>
                <w:spacing w:val="-4"/>
                <w:sz w:val="24"/>
              </w:rPr>
              <w:t> </w:t>
            </w:r>
            <w:r>
              <w:rPr>
                <w:sz w:val="24"/>
              </w:rPr>
              <w:t>Ifishdeco</w:t>
            </w:r>
            <w:r>
              <w:rPr>
                <w:spacing w:val="-4"/>
                <w:sz w:val="24"/>
              </w:rPr>
              <w:t> </w:t>
            </w:r>
            <w:r>
              <w:rPr>
                <w:spacing w:val="-5"/>
                <w:sz w:val="24"/>
              </w:rPr>
              <w:t>Tbk</w:t>
            </w:r>
          </w:p>
        </w:tc>
      </w:tr>
    </w:tbl>
    <w:p>
      <w:pPr>
        <w:pStyle w:val="BodyText"/>
        <w:spacing w:before="14"/>
        <w:ind w:left="825" w:right="734"/>
        <w:jc w:val="center"/>
      </w:pPr>
      <w:r>
        <w:rPr/>
        <w:t>Sumber:</w:t>
      </w:r>
      <w:r>
        <w:rPr>
          <w:spacing w:val="-5"/>
        </w:rPr>
        <w:t> </w:t>
      </w:r>
      <w:r>
        <w:rPr/>
        <w:t>Data</w:t>
      </w:r>
      <w:r>
        <w:rPr>
          <w:spacing w:val="-4"/>
        </w:rPr>
        <w:t> </w:t>
      </w:r>
      <w:r>
        <w:rPr/>
        <w:t>Bursa</w:t>
      </w:r>
      <w:r>
        <w:rPr>
          <w:spacing w:val="-4"/>
        </w:rPr>
        <w:t> </w:t>
      </w:r>
      <w:r>
        <w:rPr/>
        <w:t>Efek</w:t>
      </w:r>
      <w:r>
        <w:rPr>
          <w:spacing w:val="-4"/>
        </w:rPr>
        <w:t> </w:t>
      </w:r>
      <w:r>
        <w:rPr/>
        <w:t>Indonesia</w:t>
      </w:r>
      <w:r>
        <w:rPr>
          <w:spacing w:val="-4"/>
        </w:rPr>
        <w:t> </w:t>
      </w:r>
      <w:r>
        <w:rPr/>
        <w:t>(BEI)</w:t>
      </w:r>
      <w:r>
        <w:rPr>
          <w:spacing w:val="-4"/>
        </w:rPr>
        <w:t> </w:t>
      </w:r>
      <w:r>
        <w:rPr/>
        <w:t>tahun</w:t>
      </w:r>
      <w:r>
        <w:rPr>
          <w:spacing w:val="-4"/>
        </w:rPr>
        <w:t> </w:t>
      </w:r>
      <w:r>
        <w:rPr/>
        <w:t>2021-</w:t>
      </w:r>
      <w:r>
        <w:rPr>
          <w:spacing w:val="-4"/>
        </w:rPr>
        <w:t>2023</w:t>
      </w:r>
    </w:p>
    <w:p>
      <w:pPr>
        <w:pStyle w:val="BodyText"/>
      </w:pPr>
    </w:p>
    <w:p>
      <w:pPr>
        <w:pStyle w:val="BodyText"/>
      </w:pPr>
    </w:p>
    <w:p>
      <w:pPr>
        <w:pStyle w:val="Heading2"/>
        <w:numPr>
          <w:ilvl w:val="1"/>
          <w:numId w:val="14"/>
        </w:numPr>
        <w:tabs>
          <w:tab w:pos="1427" w:val="left" w:leader="none"/>
        </w:tabs>
        <w:spacing w:line="240" w:lineRule="auto" w:before="0" w:after="0"/>
        <w:ind w:left="1427" w:right="0" w:hanging="358"/>
        <w:jc w:val="left"/>
      </w:pPr>
      <w:r>
        <w:rPr>
          <w:spacing w:val="-2"/>
        </w:rPr>
        <w:t>Sampel</w:t>
      </w:r>
    </w:p>
    <w:p>
      <w:pPr>
        <w:pStyle w:val="BodyText"/>
        <w:spacing w:before="160"/>
        <w:rPr>
          <w:b/>
        </w:rPr>
      </w:pPr>
    </w:p>
    <w:p>
      <w:pPr>
        <w:pStyle w:val="BodyText"/>
        <w:spacing w:line="480" w:lineRule="auto"/>
        <w:ind w:left="1418" w:right="708" w:firstLine="425"/>
        <w:jc w:val="both"/>
      </w:pPr>
      <w:r>
        <w:rPr/>
        <w:t>Sampel merupakan sebagian kecil dari populasi yang memiliki atribut dan ciri yang serupa dengan populasi secara keseluruhan, sehingga dapat mewakili karakteristik keseluruhan populasi yang diteliti. Sugiyono (2018)</w:t>
      </w:r>
      <w:r>
        <w:rPr>
          <w:spacing w:val="40"/>
        </w:rPr>
        <w:t> </w:t>
      </w:r>
      <w:r>
        <w:rPr/>
        <w:t>menjelaskan bahwa sampel merupakan bagian dari populasi yang digunakan sebagai sumber data dalam penelitian,</w:t>
      </w:r>
      <w:r>
        <w:rPr>
          <w:spacing w:val="40"/>
        </w:rPr>
        <w:t>  </w:t>
      </w:r>
      <w:r>
        <w:rPr/>
        <w:t>di</w:t>
      </w:r>
      <w:r>
        <w:rPr>
          <w:spacing w:val="40"/>
        </w:rPr>
        <w:t>  </w:t>
      </w:r>
      <w:r>
        <w:rPr/>
        <w:t>mana</w:t>
      </w:r>
      <w:r>
        <w:rPr>
          <w:spacing w:val="40"/>
        </w:rPr>
        <w:t>  </w:t>
      </w:r>
      <w:r>
        <w:rPr/>
        <w:t>populasi</w:t>
      </w:r>
      <w:r>
        <w:rPr>
          <w:spacing w:val="40"/>
        </w:rPr>
        <w:t>  </w:t>
      </w:r>
      <w:r>
        <w:rPr/>
        <w:t>ini</w:t>
      </w:r>
      <w:r>
        <w:rPr>
          <w:spacing w:val="40"/>
        </w:rPr>
        <w:t>  </w:t>
      </w:r>
      <w:r>
        <w:rPr/>
        <w:t>merupakan</w:t>
      </w:r>
      <w:r>
        <w:rPr>
          <w:spacing w:val="40"/>
        </w:rPr>
        <w:t>  </w:t>
      </w:r>
      <w:r>
        <w:rPr/>
        <w:t>kumpulan</w:t>
      </w:r>
      <w:r>
        <w:rPr>
          <w:spacing w:val="40"/>
        </w:rPr>
        <w:t>  </w:t>
      </w:r>
      <w:r>
        <w:rPr/>
        <w:t>dari</w:t>
      </w:r>
    </w:p>
    <w:p>
      <w:pPr>
        <w:pStyle w:val="BodyText"/>
        <w:spacing w:after="0" w:line="480" w:lineRule="auto"/>
        <w:jc w:val="both"/>
        <w:sectPr>
          <w:pgSz w:w="11910" w:h="16840"/>
          <w:pgMar w:header="719" w:footer="0" w:top="980" w:bottom="280" w:left="1559" w:right="992"/>
        </w:sectPr>
      </w:pPr>
    </w:p>
    <w:p>
      <w:pPr>
        <w:pStyle w:val="BodyText"/>
      </w:pPr>
    </w:p>
    <w:p>
      <w:pPr>
        <w:pStyle w:val="BodyText"/>
      </w:pPr>
    </w:p>
    <w:p>
      <w:pPr>
        <w:pStyle w:val="BodyText"/>
      </w:pPr>
    </w:p>
    <w:p>
      <w:pPr>
        <w:pStyle w:val="BodyText"/>
        <w:spacing w:before="179"/>
      </w:pPr>
    </w:p>
    <w:p>
      <w:pPr>
        <w:pStyle w:val="BodyText"/>
        <w:spacing w:line="480" w:lineRule="auto"/>
        <w:ind w:left="1418" w:right="708"/>
        <w:jc w:val="both"/>
      </w:pPr>
      <w:r>
        <w:rPr/>
        <w:t>karakteristik yang dimiliki oleh populasi secara keseluruhan. Pengambilan sampel dilakukan oleh peneliti dengan tujuan untuk mendapatkan informasi yang representatif mengenai objek </w:t>
      </w:r>
      <w:r>
        <w:rPr>
          <w:spacing w:val="-2"/>
        </w:rPr>
        <w:t>penelitian.</w:t>
      </w:r>
    </w:p>
    <w:p>
      <w:pPr>
        <w:pStyle w:val="BodyText"/>
        <w:spacing w:line="480" w:lineRule="auto" w:before="160"/>
        <w:ind w:left="1418" w:right="707" w:firstLine="709"/>
        <w:jc w:val="both"/>
      </w:pPr>
      <w:r>
        <w:rPr/>
        <w:t>Teknik pengambilan sampel dengan aspek-aspek tertentu yang disebut </w:t>
      </w:r>
      <w:r>
        <w:rPr>
          <w:i/>
        </w:rPr>
        <w:t>purposive sampling. </w:t>
      </w:r>
      <w:r>
        <w:rPr/>
        <w:t>Sampel dipilih berdasarkan karakteristik kriteria sampling untuk mendapatkan sampel, sampel yang diambil adalah 10 perusahaan </w:t>
      </w:r>
      <w:r>
        <w:rPr>
          <w:i/>
        </w:rPr>
        <w:t>mining </w:t>
      </w:r>
      <w:r>
        <w:rPr/>
        <w:t>yang terdaftar di Bursa Efek Indonesia dalam periode 2021-2023.</w:t>
      </w:r>
    </w:p>
    <w:p>
      <w:pPr>
        <w:spacing w:before="207"/>
        <w:ind w:left="3310" w:right="0" w:firstLine="0"/>
        <w:jc w:val="both"/>
        <w:rPr>
          <w:sz w:val="24"/>
        </w:rPr>
      </w:pPr>
      <w:r>
        <w:rPr>
          <w:b/>
          <w:sz w:val="24"/>
        </w:rPr>
        <w:t>Tabel</w:t>
      </w:r>
      <w:r>
        <w:rPr>
          <w:b/>
          <w:spacing w:val="-4"/>
          <w:sz w:val="24"/>
        </w:rPr>
        <w:t> </w:t>
      </w:r>
      <w:r>
        <w:rPr>
          <w:b/>
          <w:sz w:val="24"/>
        </w:rPr>
        <w:t>3.2</w:t>
      </w:r>
      <w:r>
        <w:rPr>
          <w:b/>
          <w:spacing w:val="-3"/>
          <w:sz w:val="24"/>
        </w:rPr>
        <w:t> </w:t>
      </w:r>
      <w:r>
        <w:rPr>
          <w:sz w:val="24"/>
        </w:rPr>
        <w:t>K</w:t>
      </w:r>
      <w:bookmarkStart w:name="_bookmark30" w:id="31"/>
      <w:bookmarkEnd w:id="31"/>
      <w:r>
        <w:rPr>
          <w:sz w:val="24"/>
        </w:rPr>
        <w:t>riteri</w:t>
      </w:r>
      <w:r>
        <w:rPr>
          <w:sz w:val="24"/>
        </w:rPr>
        <w:t>a</w:t>
      </w:r>
      <w:r>
        <w:rPr>
          <w:spacing w:val="-3"/>
          <w:sz w:val="24"/>
        </w:rPr>
        <w:t> </w:t>
      </w:r>
      <w:r>
        <w:rPr>
          <w:spacing w:val="-2"/>
          <w:sz w:val="24"/>
        </w:rPr>
        <w:t>Sampel</w:t>
      </w:r>
    </w:p>
    <w:p>
      <w:pPr>
        <w:pStyle w:val="BodyText"/>
        <w:spacing w:before="11"/>
        <w:rPr>
          <w:sz w:val="16"/>
        </w:rPr>
      </w:pPr>
    </w:p>
    <w:tbl>
      <w:tblPr>
        <w:tblW w:w="0" w:type="auto"/>
        <w:jc w:val="left"/>
        <w:tblInd w:w="1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9"/>
        <w:gridCol w:w="5398"/>
        <w:gridCol w:w="1116"/>
      </w:tblGrid>
      <w:tr>
        <w:trPr>
          <w:trHeight w:val="315" w:hRule="atLeast"/>
        </w:trPr>
        <w:tc>
          <w:tcPr>
            <w:tcW w:w="709" w:type="dxa"/>
          </w:tcPr>
          <w:p>
            <w:pPr>
              <w:pStyle w:val="TableParagraph"/>
              <w:spacing w:line="271" w:lineRule="exact" w:before="24"/>
              <w:ind w:left="9"/>
              <w:jc w:val="center"/>
              <w:rPr>
                <w:rFonts w:ascii="Times New Roman"/>
                <w:b/>
                <w:sz w:val="24"/>
              </w:rPr>
            </w:pPr>
            <w:r>
              <w:rPr>
                <w:rFonts w:ascii="Times New Roman"/>
                <w:b/>
                <w:spacing w:val="-5"/>
                <w:sz w:val="24"/>
              </w:rPr>
              <w:t>No</w:t>
            </w:r>
          </w:p>
        </w:tc>
        <w:tc>
          <w:tcPr>
            <w:tcW w:w="5398" w:type="dxa"/>
          </w:tcPr>
          <w:p>
            <w:pPr>
              <w:pStyle w:val="TableParagraph"/>
              <w:spacing w:line="271" w:lineRule="exact" w:before="24"/>
              <w:ind w:left="99" w:right="91"/>
              <w:jc w:val="center"/>
              <w:rPr>
                <w:rFonts w:ascii="Times New Roman"/>
                <w:b/>
                <w:sz w:val="24"/>
              </w:rPr>
            </w:pPr>
            <w:r>
              <w:rPr>
                <w:rFonts w:ascii="Times New Roman"/>
                <w:b/>
                <w:sz w:val="24"/>
              </w:rPr>
              <w:t>Kriteria</w:t>
            </w:r>
            <w:r>
              <w:rPr>
                <w:rFonts w:ascii="Times New Roman"/>
                <w:b/>
                <w:spacing w:val="-3"/>
                <w:sz w:val="24"/>
              </w:rPr>
              <w:t> </w:t>
            </w:r>
            <w:r>
              <w:rPr>
                <w:rFonts w:ascii="Times New Roman"/>
                <w:b/>
                <w:spacing w:val="-2"/>
                <w:sz w:val="24"/>
              </w:rPr>
              <w:t>Sampel</w:t>
            </w:r>
          </w:p>
        </w:tc>
        <w:tc>
          <w:tcPr>
            <w:tcW w:w="1116" w:type="dxa"/>
          </w:tcPr>
          <w:p>
            <w:pPr>
              <w:pStyle w:val="TableParagraph"/>
              <w:spacing w:line="271" w:lineRule="exact" w:before="24"/>
              <w:ind w:left="9"/>
              <w:jc w:val="center"/>
              <w:rPr>
                <w:rFonts w:ascii="Times New Roman"/>
                <w:b/>
                <w:sz w:val="24"/>
              </w:rPr>
            </w:pPr>
            <w:r>
              <w:rPr>
                <w:rFonts w:ascii="Times New Roman"/>
                <w:b/>
                <w:spacing w:val="-2"/>
                <w:sz w:val="24"/>
              </w:rPr>
              <w:t>Jumlah</w:t>
            </w:r>
          </w:p>
        </w:tc>
      </w:tr>
      <w:tr>
        <w:trPr>
          <w:trHeight w:val="315" w:hRule="atLeast"/>
        </w:trPr>
        <w:tc>
          <w:tcPr>
            <w:tcW w:w="709" w:type="dxa"/>
          </w:tcPr>
          <w:p>
            <w:pPr>
              <w:pStyle w:val="TableParagraph"/>
              <w:spacing w:line="271" w:lineRule="exact" w:before="24"/>
              <w:ind w:left="9"/>
              <w:jc w:val="center"/>
              <w:rPr>
                <w:rFonts w:ascii="Times New Roman"/>
                <w:sz w:val="24"/>
              </w:rPr>
            </w:pPr>
            <w:r>
              <w:rPr>
                <w:rFonts w:ascii="Times New Roman"/>
                <w:spacing w:val="-10"/>
                <w:sz w:val="24"/>
              </w:rPr>
              <w:t>1</w:t>
            </w:r>
          </w:p>
        </w:tc>
        <w:tc>
          <w:tcPr>
            <w:tcW w:w="5398" w:type="dxa"/>
          </w:tcPr>
          <w:p>
            <w:pPr>
              <w:pStyle w:val="TableParagraph"/>
              <w:spacing w:line="271" w:lineRule="exact" w:before="24"/>
              <w:ind w:left="8" w:right="99"/>
              <w:jc w:val="center"/>
              <w:rPr>
                <w:rFonts w:ascii="Times New Roman"/>
                <w:sz w:val="24"/>
              </w:rPr>
            </w:pPr>
            <w:r>
              <w:rPr>
                <w:rFonts w:ascii="Times New Roman"/>
                <w:sz w:val="24"/>
              </w:rPr>
              <w:t>Jumlah</w:t>
            </w:r>
            <w:r>
              <w:rPr>
                <w:rFonts w:ascii="Times New Roman"/>
                <w:spacing w:val="-4"/>
                <w:sz w:val="24"/>
              </w:rPr>
              <w:t> </w:t>
            </w:r>
            <w:r>
              <w:rPr>
                <w:rFonts w:ascii="Times New Roman"/>
                <w:sz w:val="24"/>
              </w:rPr>
              <w:t>Perusahaan</w:t>
            </w:r>
            <w:r>
              <w:rPr>
                <w:rFonts w:ascii="Times New Roman"/>
                <w:spacing w:val="-2"/>
                <w:sz w:val="24"/>
              </w:rPr>
              <w:t> </w:t>
            </w:r>
            <w:r>
              <w:rPr>
                <w:rFonts w:ascii="Times New Roman"/>
                <w:sz w:val="24"/>
              </w:rPr>
              <w:t>Sektor </w:t>
            </w:r>
            <w:r>
              <w:rPr>
                <w:rFonts w:ascii="Times New Roman"/>
                <w:i/>
                <w:sz w:val="24"/>
              </w:rPr>
              <w:t>Mining</w:t>
            </w:r>
            <w:r>
              <w:rPr>
                <w:rFonts w:ascii="Times New Roman"/>
                <w:i/>
                <w:spacing w:val="-2"/>
                <w:sz w:val="24"/>
              </w:rPr>
              <w:t> </w:t>
            </w:r>
            <w:r>
              <w:rPr>
                <w:rFonts w:ascii="Times New Roman"/>
                <w:sz w:val="24"/>
              </w:rPr>
              <w:t>di</w:t>
            </w:r>
            <w:r>
              <w:rPr>
                <w:rFonts w:ascii="Times New Roman"/>
                <w:spacing w:val="-2"/>
                <w:sz w:val="24"/>
              </w:rPr>
              <w:t> </w:t>
            </w:r>
            <w:r>
              <w:rPr>
                <w:rFonts w:ascii="Times New Roman"/>
                <w:sz w:val="24"/>
              </w:rPr>
              <w:t>BEI</w:t>
            </w:r>
            <w:r>
              <w:rPr>
                <w:rFonts w:ascii="Times New Roman"/>
                <w:spacing w:val="-1"/>
                <w:sz w:val="24"/>
              </w:rPr>
              <w:t> </w:t>
            </w:r>
            <w:r>
              <w:rPr>
                <w:rFonts w:ascii="Times New Roman"/>
                <w:sz w:val="24"/>
              </w:rPr>
              <w:t>2021-</w:t>
            </w:r>
            <w:r>
              <w:rPr>
                <w:rFonts w:ascii="Times New Roman"/>
                <w:spacing w:val="-4"/>
                <w:sz w:val="24"/>
              </w:rPr>
              <w:t>2023</w:t>
            </w:r>
          </w:p>
        </w:tc>
        <w:tc>
          <w:tcPr>
            <w:tcW w:w="1116" w:type="dxa"/>
          </w:tcPr>
          <w:p>
            <w:pPr>
              <w:pStyle w:val="TableParagraph"/>
              <w:spacing w:line="271" w:lineRule="exact" w:before="24"/>
              <w:ind w:left="9"/>
              <w:jc w:val="center"/>
              <w:rPr>
                <w:rFonts w:ascii="Times New Roman"/>
                <w:sz w:val="24"/>
              </w:rPr>
            </w:pPr>
            <w:r>
              <w:rPr>
                <w:rFonts w:ascii="Times New Roman"/>
                <w:spacing w:val="-5"/>
                <w:sz w:val="24"/>
              </w:rPr>
              <w:t>46</w:t>
            </w:r>
          </w:p>
        </w:tc>
      </w:tr>
      <w:tr>
        <w:trPr>
          <w:trHeight w:val="551" w:hRule="atLeast"/>
        </w:trPr>
        <w:tc>
          <w:tcPr>
            <w:tcW w:w="709" w:type="dxa"/>
          </w:tcPr>
          <w:p>
            <w:pPr>
              <w:pStyle w:val="TableParagraph"/>
              <w:spacing w:before="143"/>
              <w:ind w:left="9"/>
              <w:jc w:val="center"/>
              <w:rPr>
                <w:rFonts w:ascii="Times New Roman"/>
                <w:sz w:val="24"/>
              </w:rPr>
            </w:pPr>
            <w:r>
              <w:rPr>
                <w:rFonts w:ascii="Times New Roman"/>
                <w:spacing w:val="-10"/>
                <w:sz w:val="24"/>
              </w:rPr>
              <w:t>2</w:t>
            </w:r>
          </w:p>
        </w:tc>
        <w:tc>
          <w:tcPr>
            <w:tcW w:w="5398" w:type="dxa"/>
          </w:tcPr>
          <w:p>
            <w:pPr>
              <w:pStyle w:val="TableParagraph"/>
              <w:spacing w:line="270" w:lineRule="atLeast"/>
              <w:rPr>
                <w:rFonts w:ascii="Times New Roman"/>
                <w:sz w:val="24"/>
              </w:rPr>
            </w:pPr>
            <w:r>
              <w:rPr>
                <w:rFonts w:ascii="Times New Roman"/>
                <w:sz w:val="24"/>
              </w:rPr>
              <w:t>Perusahaan</w:t>
            </w:r>
            <w:r>
              <w:rPr>
                <w:rFonts w:ascii="Times New Roman"/>
                <w:spacing w:val="80"/>
                <w:sz w:val="24"/>
              </w:rPr>
              <w:t> </w:t>
            </w:r>
            <w:r>
              <w:rPr>
                <w:rFonts w:ascii="Times New Roman"/>
                <w:sz w:val="24"/>
              </w:rPr>
              <w:t>yang</w:t>
            </w:r>
            <w:r>
              <w:rPr>
                <w:rFonts w:ascii="Times New Roman"/>
                <w:spacing w:val="80"/>
                <w:sz w:val="24"/>
              </w:rPr>
              <w:t> </w:t>
            </w:r>
            <w:r>
              <w:rPr>
                <w:rFonts w:ascii="Times New Roman"/>
                <w:sz w:val="24"/>
              </w:rPr>
              <w:t>tidak</w:t>
            </w:r>
            <w:r>
              <w:rPr>
                <w:rFonts w:ascii="Times New Roman"/>
                <w:spacing w:val="80"/>
                <w:sz w:val="24"/>
              </w:rPr>
              <w:t> </w:t>
            </w:r>
            <w:r>
              <w:rPr>
                <w:rFonts w:ascii="Times New Roman"/>
                <w:sz w:val="24"/>
              </w:rPr>
              <w:t>mempublikasikan</w:t>
            </w:r>
            <w:r>
              <w:rPr>
                <w:rFonts w:ascii="Times New Roman"/>
                <w:spacing w:val="80"/>
                <w:sz w:val="24"/>
              </w:rPr>
              <w:t> </w:t>
            </w:r>
            <w:r>
              <w:rPr>
                <w:rFonts w:ascii="Times New Roman"/>
                <w:sz w:val="24"/>
              </w:rPr>
              <w:t>laporan tahunan periode 2021-2023</w:t>
            </w:r>
          </w:p>
        </w:tc>
        <w:tc>
          <w:tcPr>
            <w:tcW w:w="1116" w:type="dxa"/>
          </w:tcPr>
          <w:p>
            <w:pPr>
              <w:pStyle w:val="TableParagraph"/>
              <w:spacing w:before="143"/>
              <w:ind w:left="9"/>
              <w:jc w:val="center"/>
              <w:rPr>
                <w:rFonts w:ascii="Times New Roman"/>
                <w:sz w:val="24"/>
              </w:rPr>
            </w:pPr>
            <w:r>
              <w:rPr>
                <w:rFonts w:ascii="Times New Roman"/>
                <w:spacing w:val="-5"/>
                <w:sz w:val="24"/>
              </w:rPr>
              <w:t>(3)</w:t>
            </w:r>
          </w:p>
        </w:tc>
      </w:tr>
      <w:tr>
        <w:trPr>
          <w:trHeight w:val="551" w:hRule="atLeast"/>
        </w:trPr>
        <w:tc>
          <w:tcPr>
            <w:tcW w:w="709" w:type="dxa"/>
          </w:tcPr>
          <w:p>
            <w:pPr>
              <w:pStyle w:val="TableParagraph"/>
              <w:spacing w:before="143"/>
              <w:ind w:left="9"/>
              <w:jc w:val="center"/>
              <w:rPr>
                <w:rFonts w:ascii="Times New Roman"/>
                <w:sz w:val="24"/>
              </w:rPr>
            </w:pPr>
            <w:r>
              <w:rPr>
                <w:rFonts w:ascii="Times New Roman"/>
                <w:spacing w:val="-10"/>
                <w:sz w:val="24"/>
              </w:rPr>
              <w:t>3</w:t>
            </w:r>
          </w:p>
        </w:tc>
        <w:tc>
          <w:tcPr>
            <w:tcW w:w="5398" w:type="dxa"/>
          </w:tcPr>
          <w:p>
            <w:pPr>
              <w:pStyle w:val="TableParagraph"/>
              <w:spacing w:line="270" w:lineRule="atLeast"/>
              <w:rPr>
                <w:rFonts w:ascii="Times New Roman"/>
                <w:sz w:val="24"/>
              </w:rPr>
            </w:pPr>
            <w:r>
              <w:rPr>
                <w:rFonts w:ascii="Times New Roman"/>
                <w:sz w:val="24"/>
              </w:rPr>
              <w:t>Perusahaan yang tidak menyajikan laporan keuangan dalam mata uang Rupiah (Rp) periode 2021-2023</w:t>
            </w:r>
          </w:p>
        </w:tc>
        <w:tc>
          <w:tcPr>
            <w:tcW w:w="1116" w:type="dxa"/>
          </w:tcPr>
          <w:p>
            <w:pPr>
              <w:pStyle w:val="TableParagraph"/>
              <w:spacing w:before="143"/>
              <w:ind w:left="9"/>
              <w:jc w:val="center"/>
              <w:rPr>
                <w:rFonts w:ascii="Times New Roman"/>
                <w:sz w:val="24"/>
              </w:rPr>
            </w:pPr>
            <w:r>
              <w:rPr>
                <w:rFonts w:ascii="Times New Roman"/>
                <w:spacing w:val="-4"/>
                <w:sz w:val="24"/>
              </w:rPr>
              <w:t>(25)</w:t>
            </w:r>
          </w:p>
        </w:tc>
      </w:tr>
      <w:tr>
        <w:trPr>
          <w:trHeight w:val="551" w:hRule="atLeast"/>
        </w:trPr>
        <w:tc>
          <w:tcPr>
            <w:tcW w:w="709" w:type="dxa"/>
          </w:tcPr>
          <w:p>
            <w:pPr>
              <w:pStyle w:val="TableParagraph"/>
              <w:spacing w:before="143"/>
              <w:ind w:left="9"/>
              <w:jc w:val="center"/>
              <w:rPr>
                <w:rFonts w:ascii="Times New Roman"/>
                <w:sz w:val="24"/>
              </w:rPr>
            </w:pPr>
            <w:r>
              <w:rPr>
                <w:rFonts w:ascii="Times New Roman"/>
                <w:spacing w:val="-10"/>
                <w:sz w:val="24"/>
              </w:rPr>
              <w:t>4</w:t>
            </w:r>
          </w:p>
        </w:tc>
        <w:tc>
          <w:tcPr>
            <w:tcW w:w="5398" w:type="dxa"/>
          </w:tcPr>
          <w:p>
            <w:pPr>
              <w:pStyle w:val="TableParagraph"/>
              <w:spacing w:line="270" w:lineRule="atLeast"/>
              <w:rPr>
                <w:rFonts w:ascii="Times New Roman"/>
                <w:sz w:val="24"/>
              </w:rPr>
            </w:pPr>
            <w:r>
              <w:rPr>
                <w:rFonts w:ascii="Times New Roman"/>
                <w:sz w:val="24"/>
              </w:rPr>
              <w:t>Perusahaan</w:t>
            </w:r>
            <w:r>
              <w:rPr>
                <w:rFonts w:ascii="Times New Roman"/>
                <w:spacing w:val="80"/>
                <w:sz w:val="24"/>
              </w:rPr>
              <w:t> </w:t>
            </w:r>
            <w:r>
              <w:rPr>
                <w:rFonts w:ascii="Times New Roman"/>
                <w:sz w:val="24"/>
              </w:rPr>
              <w:t>yang</w:t>
            </w:r>
            <w:r>
              <w:rPr>
                <w:rFonts w:ascii="Times New Roman"/>
                <w:spacing w:val="80"/>
                <w:sz w:val="24"/>
              </w:rPr>
              <w:t> </w:t>
            </w:r>
            <w:r>
              <w:rPr>
                <w:rFonts w:ascii="Times New Roman"/>
                <w:sz w:val="24"/>
              </w:rPr>
              <w:t>tidak</w:t>
            </w:r>
            <w:r>
              <w:rPr>
                <w:rFonts w:ascii="Times New Roman"/>
                <w:spacing w:val="80"/>
                <w:sz w:val="24"/>
              </w:rPr>
              <w:t> </w:t>
            </w:r>
            <w:r>
              <w:rPr>
                <w:rFonts w:ascii="Times New Roman"/>
                <w:sz w:val="24"/>
              </w:rPr>
              <w:t>mempublikasikan</w:t>
            </w:r>
            <w:r>
              <w:rPr>
                <w:rFonts w:ascii="Times New Roman"/>
                <w:spacing w:val="80"/>
                <w:sz w:val="24"/>
              </w:rPr>
              <w:t> </w:t>
            </w:r>
            <w:r>
              <w:rPr>
                <w:rFonts w:ascii="Times New Roman"/>
                <w:sz w:val="24"/>
              </w:rPr>
              <w:t>laporan keberlanjutan periode 2021-2023</w:t>
            </w:r>
          </w:p>
        </w:tc>
        <w:tc>
          <w:tcPr>
            <w:tcW w:w="1116" w:type="dxa"/>
          </w:tcPr>
          <w:p>
            <w:pPr>
              <w:pStyle w:val="TableParagraph"/>
              <w:spacing w:before="143"/>
              <w:ind w:left="9"/>
              <w:jc w:val="center"/>
              <w:rPr>
                <w:rFonts w:ascii="Times New Roman"/>
                <w:sz w:val="24"/>
              </w:rPr>
            </w:pPr>
            <w:r>
              <w:rPr>
                <w:rFonts w:ascii="Times New Roman"/>
                <w:spacing w:val="-5"/>
                <w:sz w:val="24"/>
              </w:rPr>
              <w:t>(8)</w:t>
            </w:r>
          </w:p>
        </w:tc>
      </w:tr>
      <w:tr>
        <w:trPr>
          <w:trHeight w:val="315" w:hRule="atLeast"/>
        </w:trPr>
        <w:tc>
          <w:tcPr>
            <w:tcW w:w="6107" w:type="dxa"/>
            <w:gridSpan w:val="2"/>
          </w:tcPr>
          <w:p>
            <w:pPr>
              <w:pStyle w:val="TableParagraph"/>
              <w:spacing w:line="271" w:lineRule="exact" w:before="24"/>
              <w:rPr>
                <w:rFonts w:ascii="Times New Roman"/>
                <w:sz w:val="24"/>
              </w:rPr>
            </w:pPr>
            <w:r>
              <w:rPr>
                <w:rFonts w:ascii="Times New Roman"/>
                <w:sz w:val="24"/>
              </w:rPr>
              <w:t>Jumlah</w:t>
            </w:r>
            <w:r>
              <w:rPr>
                <w:rFonts w:ascii="Times New Roman"/>
                <w:spacing w:val="-5"/>
                <w:sz w:val="24"/>
              </w:rPr>
              <w:t> </w:t>
            </w:r>
            <w:r>
              <w:rPr>
                <w:rFonts w:ascii="Times New Roman"/>
                <w:sz w:val="24"/>
              </w:rPr>
              <w:t>Perusahaan</w:t>
            </w:r>
            <w:r>
              <w:rPr>
                <w:rFonts w:ascii="Times New Roman"/>
                <w:spacing w:val="-4"/>
                <w:sz w:val="24"/>
              </w:rPr>
              <w:t> </w:t>
            </w:r>
            <w:r>
              <w:rPr>
                <w:rFonts w:ascii="Times New Roman"/>
                <w:spacing w:val="-2"/>
                <w:sz w:val="24"/>
              </w:rPr>
              <w:t>Sampel</w:t>
            </w:r>
          </w:p>
        </w:tc>
        <w:tc>
          <w:tcPr>
            <w:tcW w:w="1116" w:type="dxa"/>
          </w:tcPr>
          <w:p>
            <w:pPr>
              <w:pStyle w:val="TableParagraph"/>
              <w:spacing w:line="271" w:lineRule="exact" w:before="24"/>
              <w:ind w:left="9"/>
              <w:jc w:val="center"/>
              <w:rPr>
                <w:rFonts w:ascii="Times New Roman"/>
                <w:sz w:val="24"/>
              </w:rPr>
            </w:pPr>
            <w:r>
              <w:rPr>
                <w:rFonts w:ascii="Times New Roman"/>
                <w:spacing w:val="-5"/>
                <w:sz w:val="24"/>
              </w:rPr>
              <w:t>10</w:t>
            </w:r>
          </w:p>
        </w:tc>
      </w:tr>
      <w:tr>
        <w:trPr>
          <w:trHeight w:val="315" w:hRule="atLeast"/>
        </w:trPr>
        <w:tc>
          <w:tcPr>
            <w:tcW w:w="6107" w:type="dxa"/>
            <w:gridSpan w:val="2"/>
          </w:tcPr>
          <w:p>
            <w:pPr>
              <w:pStyle w:val="TableParagraph"/>
              <w:spacing w:line="271" w:lineRule="exact" w:before="24"/>
              <w:rPr>
                <w:rFonts w:ascii="Times New Roman"/>
                <w:sz w:val="24"/>
              </w:rPr>
            </w:pPr>
            <w:r>
              <w:rPr>
                <w:rFonts w:ascii="Times New Roman"/>
                <w:sz w:val="24"/>
              </w:rPr>
              <w:t>Tahun</w:t>
            </w:r>
            <w:r>
              <w:rPr>
                <w:rFonts w:ascii="Times New Roman"/>
                <w:spacing w:val="-3"/>
                <w:sz w:val="24"/>
              </w:rPr>
              <w:t> </w:t>
            </w:r>
            <w:r>
              <w:rPr>
                <w:rFonts w:ascii="Times New Roman"/>
                <w:sz w:val="24"/>
              </w:rPr>
              <w:t>Pengamatan</w:t>
            </w:r>
            <w:r>
              <w:rPr>
                <w:rFonts w:ascii="Times New Roman"/>
                <w:spacing w:val="-2"/>
                <w:sz w:val="24"/>
              </w:rPr>
              <w:t> (Tahun)</w:t>
            </w:r>
          </w:p>
        </w:tc>
        <w:tc>
          <w:tcPr>
            <w:tcW w:w="1116" w:type="dxa"/>
          </w:tcPr>
          <w:p>
            <w:pPr>
              <w:pStyle w:val="TableParagraph"/>
              <w:spacing w:line="271" w:lineRule="exact" w:before="24"/>
              <w:ind w:left="9"/>
              <w:jc w:val="center"/>
              <w:rPr>
                <w:rFonts w:ascii="Times New Roman"/>
                <w:sz w:val="24"/>
              </w:rPr>
            </w:pPr>
            <w:r>
              <w:rPr>
                <w:rFonts w:ascii="Times New Roman"/>
                <w:spacing w:val="-10"/>
                <w:sz w:val="24"/>
              </w:rPr>
              <w:t>3</w:t>
            </w:r>
          </w:p>
        </w:tc>
      </w:tr>
      <w:tr>
        <w:trPr>
          <w:trHeight w:val="315" w:hRule="atLeast"/>
        </w:trPr>
        <w:tc>
          <w:tcPr>
            <w:tcW w:w="6107" w:type="dxa"/>
            <w:gridSpan w:val="2"/>
          </w:tcPr>
          <w:p>
            <w:pPr>
              <w:pStyle w:val="TableParagraph"/>
              <w:spacing w:line="271" w:lineRule="exact" w:before="24"/>
              <w:rPr>
                <w:rFonts w:ascii="Times New Roman"/>
                <w:sz w:val="24"/>
              </w:rPr>
            </w:pPr>
            <w:r>
              <w:rPr>
                <w:rFonts w:ascii="Times New Roman"/>
                <w:sz w:val="24"/>
              </w:rPr>
              <w:t>Total</w:t>
            </w:r>
            <w:r>
              <w:rPr>
                <w:rFonts w:ascii="Times New Roman"/>
                <w:spacing w:val="-4"/>
                <w:sz w:val="24"/>
              </w:rPr>
              <w:t> </w:t>
            </w:r>
            <w:r>
              <w:rPr>
                <w:rFonts w:ascii="Times New Roman"/>
                <w:sz w:val="24"/>
              </w:rPr>
              <w:t>Data</w:t>
            </w:r>
            <w:r>
              <w:rPr>
                <w:rFonts w:ascii="Times New Roman"/>
                <w:spacing w:val="-2"/>
                <w:sz w:val="24"/>
              </w:rPr>
              <w:t> Sampel</w:t>
            </w:r>
          </w:p>
        </w:tc>
        <w:tc>
          <w:tcPr>
            <w:tcW w:w="1116" w:type="dxa"/>
          </w:tcPr>
          <w:p>
            <w:pPr>
              <w:pStyle w:val="TableParagraph"/>
              <w:spacing w:line="271" w:lineRule="exact" w:before="24"/>
              <w:ind w:left="9"/>
              <w:jc w:val="center"/>
              <w:rPr>
                <w:rFonts w:ascii="Times New Roman"/>
                <w:sz w:val="24"/>
              </w:rPr>
            </w:pPr>
            <w:r>
              <w:rPr>
                <w:rFonts w:ascii="Times New Roman"/>
                <w:spacing w:val="-5"/>
                <w:sz w:val="24"/>
              </w:rPr>
              <w:t>30</w:t>
            </w:r>
          </w:p>
        </w:tc>
      </w:tr>
    </w:tbl>
    <w:p>
      <w:pPr>
        <w:pStyle w:val="BodyText"/>
        <w:spacing w:before="8"/>
        <w:ind w:left="1429"/>
        <w:jc w:val="both"/>
      </w:pPr>
      <w:r>
        <w:rPr/>
        <w:t>Sumber:</w:t>
      </w:r>
      <w:r>
        <w:rPr>
          <w:spacing w:val="-5"/>
        </w:rPr>
        <w:t> </w:t>
      </w:r>
      <w:r>
        <w:rPr/>
        <w:t>Data</w:t>
      </w:r>
      <w:r>
        <w:rPr>
          <w:spacing w:val="-4"/>
        </w:rPr>
        <w:t> </w:t>
      </w:r>
      <w:r>
        <w:rPr/>
        <w:t>Bursa</w:t>
      </w:r>
      <w:r>
        <w:rPr>
          <w:spacing w:val="-4"/>
        </w:rPr>
        <w:t> </w:t>
      </w:r>
      <w:r>
        <w:rPr/>
        <w:t>Efek</w:t>
      </w:r>
      <w:r>
        <w:rPr>
          <w:spacing w:val="-4"/>
        </w:rPr>
        <w:t> </w:t>
      </w:r>
      <w:r>
        <w:rPr/>
        <w:t>Indonesia</w:t>
      </w:r>
      <w:r>
        <w:rPr>
          <w:spacing w:val="-4"/>
        </w:rPr>
        <w:t> </w:t>
      </w:r>
      <w:r>
        <w:rPr/>
        <w:t>(BEI)</w:t>
      </w:r>
      <w:r>
        <w:rPr>
          <w:spacing w:val="-4"/>
        </w:rPr>
        <w:t> </w:t>
      </w:r>
      <w:r>
        <w:rPr/>
        <w:t>tahun</w:t>
      </w:r>
      <w:r>
        <w:rPr>
          <w:spacing w:val="-4"/>
        </w:rPr>
        <w:t> </w:t>
      </w:r>
      <w:r>
        <w:rPr/>
        <w:t>2021-</w:t>
      </w:r>
      <w:r>
        <w:rPr>
          <w:spacing w:val="-4"/>
        </w:rPr>
        <w:t>2023</w:t>
      </w:r>
    </w:p>
    <w:p>
      <w:pPr>
        <w:pStyle w:val="BodyText"/>
        <w:spacing w:before="206"/>
      </w:pPr>
    </w:p>
    <w:p>
      <w:pPr>
        <w:spacing w:before="1"/>
        <w:ind w:left="3523" w:right="0" w:firstLine="0"/>
        <w:jc w:val="left"/>
        <w:rPr>
          <w:sz w:val="24"/>
        </w:rPr>
      </w:pPr>
      <w:r>
        <w:rPr>
          <w:b/>
          <w:sz w:val="24"/>
        </w:rPr>
        <w:t>Tabel</w:t>
      </w:r>
      <w:r>
        <w:rPr>
          <w:b/>
          <w:spacing w:val="-3"/>
          <w:sz w:val="24"/>
        </w:rPr>
        <w:t> </w:t>
      </w:r>
      <w:r>
        <w:rPr>
          <w:b/>
          <w:sz w:val="24"/>
        </w:rPr>
        <w:t>3.3</w:t>
      </w:r>
      <w:r>
        <w:rPr>
          <w:b/>
          <w:spacing w:val="-3"/>
          <w:sz w:val="24"/>
        </w:rPr>
        <w:t> </w:t>
      </w:r>
      <w:r>
        <w:rPr>
          <w:sz w:val="24"/>
        </w:rPr>
        <w:t>S</w:t>
      </w:r>
      <w:bookmarkStart w:name="_bookmark31" w:id="32"/>
      <w:bookmarkEnd w:id="32"/>
      <w:r>
        <w:rPr>
          <w:sz w:val="24"/>
        </w:rPr>
        <w:t>ampe</w:t>
      </w:r>
      <w:r>
        <w:rPr>
          <w:sz w:val="24"/>
        </w:rPr>
        <w:t>l</w:t>
      </w:r>
      <w:r>
        <w:rPr>
          <w:spacing w:val="-2"/>
          <w:sz w:val="24"/>
        </w:rPr>
        <w:t> Penelitian</w:t>
      </w:r>
    </w:p>
    <w:p>
      <w:pPr>
        <w:pStyle w:val="BodyText"/>
        <w:spacing w:before="10" w:after="1"/>
        <w:rPr>
          <w:sz w:val="16"/>
        </w:rPr>
      </w:pPr>
    </w:p>
    <w:tbl>
      <w:tblPr>
        <w:tblW w:w="0" w:type="auto"/>
        <w:jc w:val="left"/>
        <w:tblInd w:w="1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0"/>
        <w:gridCol w:w="2500"/>
        <w:gridCol w:w="3866"/>
      </w:tblGrid>
      <w:tr>
        <w:trPr>
          <w:trHeight w:val="315" w:hRule="atLeast"/>
        </w:trPr>
        <w:tc>
          <w:tcPr>
            <w:tcW w:w="960" w:type="dxa"/>
          </w:tcPr>
          <w:p>
            <w:pPr>
              <w:pStyle w:val="TableParagraph"/>
              <w:spacing w:line="270" w:lineRule="exact" w:before="24"/>
              <w:ind w:left="9"/>
              <w:jc w:val="center"/>
              <w:rPr>
                <w:rFonts w:ascii="Times New Roman"/>
                <w:b/>
                <w:sz w:val="24"/>
              </w:rPr>
            </w:pPr>
            <w:r>
              <w:rPr>
                <w:rFonts w:ascii="Times New Roman"/>
                <w:b/>
                <w:spacing w:val="-5"/>
                <w:sz w:val="24"/>
              </w:rPr>
              <w:t>No</w:t>
            </w:r>
          </w:p>
        </w:tc>
        <w:tc>
          <w:tcPr>
            <w:tcW w:w="2500" w:type="dxa"/>
          </w:tcPr>
          <w:p>
            <w:pPr>
              <w:pStyle w:val="TableParagraph"/>
              <w:spacing w:line="270" w:lineRule="exact" w:before="24"/>
              <w:ind w:left="9"/>
              <w:jc w:val="center"/>
              <w:rPr>
                <w:rFonts w:ascii="Times New Roman"/>
                <w:b/>
                <w:sz w:val="24"/>
              </w:rPr>
            </w:pPr>
            <w:r>
              <w:rPr>
                <w:rFonts w:ascii="Times New Roman"/>
                <w:b/>
                <w:sz w:val="24"/>
              </w:rPr>
              <w:t>Kode</w:t>
            </w:r>
            <w:r>
              <w:rPr>
                <w:rFonts w:ascii="Times New Roman"/>
                <w:b/>
                <w:spacing w:val="-3"/>
                <w:sz w:val="24"/>
              </w:rPr>
              <w:t> </w:t>
            </w:r>
            <w:r>
              <w:rPr>
                <w:rFonts w:ascii="Times New Roman"/>
                <w:b/>
                <w:spacing w:val="-2"/>
                <w:sz w:val="24"/>
              </w:rPr>
              <w:t>Perusahaan</w:t>
            </w:r>
          </w:p>
        </w:tc>
        <w:tc>
          <w:tcPr>
            <w:tcW w:w="3866" w:type="dxa"/>
          </w:tcPr>
          <w:p>
            <w:pPr>
              <w:pStyle w:val="TableParagraph"/>
              <w:spacing w:line="270" w:lineRule="exact" w:before="24"/>
              <w:ind w:left="989"/>
              <w:rPr>
                <w:rFonts w:ascii="Times New Roman"/>
                <w:b/>
                <w:sz w:val="24"/>
              </w:rPr>
            </w:pPr>
            <w:r>
              <w:rPr>
                <w:rFonts w:ascii="Times New Roman"/>
                <w:b/>
                <w:sz w:val="24"/>
              </w:rPr>
              <w:t>Nama </w:t>
            </w:r>
            <w:r>
              <w:rPr>
                <w:rFonts w:ascii="Times New Roman"/>
                <w:b/>
                <w:spacing w:val="-2"/>
                <w:sz w:val="24"/>
              </w:rPr>
              <w:t>Perusahaan</w:t>
            </w:r>
          </w:p>
        </w:tc>
      </w:tr>
      <w:tr>
        <w:trPr>
          <w:trHeight w:val="315" w:hRule="atLeast"/>
        </w:trPr>
        <w:tc>
          <w:tcPr>
            <w:tcW w:w="960" w:type="dxa"/>
          </w:tcPr>
          <w:p>
            <w:pPr>
              <w:pStyle w:val="TableParagraph"/>
              <w:spacing w:line="270" w:lineRule="exact" w:before="24"/>
              <w:ind w:left="9"/>
              <w:jc w:val="center"/>
              <w:rPr>
                <w:rFonts w:ascii="Times New Roman"/>
                <w:sz w:val="24"/>
              </w:rPr>
            </w:pPr>
            <w:r>
              <w:rPr>
                <w:rFonts w:ascii="Times New Roman"/>
                <w:spacing w:val="-10"/>
                <w:sz w:val="24"/>
              </w:rPr>
              <w:t>1</w:t>
            </w:r>
          </w:p>
        </w:tc>
        <w:tc>
          <w:tcPr>
            <w:tcW w:w="2500" w:type="dxa"/>
          </w:tcPr>
          <w:p>
            <w:pPr>
              <w:pStyle w:val="TableParagraph"/>
              <w:spacing w:line="270" w:lineRule="exact" w:before="24"/>
              <w:ind w:left="9"/>
              <w:jc w:val="center"/>
              <w:rPr>
                <w:rFonts w:ascii="Times New Roman"/>
                <w:sz w:val="24"/>
              </w:rPr>
            </w:pPr>
            <w:r>
              <w:rPr>
                <w:rFonts w:ascii="Times New Roman"/>
                <w:spacing w:val="-4"/>
                <w:sz w:val="24"/>
              </w:rPr>
              <w:t>PTBA</w:t>
            </w:r>
          </w:p>
        </w:tc>
        <w:tc>
          <w:tcPr>
            <w:tcW w:w="3866" w:type="dxa"/>
          </w:tcPr>
          <w:p>
            <w:pPr>
              <w:pStyle w:val="TableParagraph"/>
              <w:spacing w:line="270" w:lineRule="exact" w:before="24"/>
              <w:rPr>
                <w:rFonts w:ascii="Times New Roman"/>
                <w:sz w:val="24"/>
              </w:rPr>
            </w:pPr>
            <w:r>
              <w:rPr>
                <w:rFonts w:ascii="Times New Roman"/>
                <w:sz w:val="24"/>
              </w:rPr>
              <w:t>PT.</w:t>
            </w:r>
            <w:r>
              <w:rPr>
                <w:rFonts w:ascii="Times New Roman"/>
                <w:spacing w:val="-4"/>
                <w:sz w:val="24"/>
              </w:rPr>
              <w:t> </w:t>
            </w:r>
            <w:r>
              <w:rPr>
                <w:rFonts w:ascii="Times New Roman"/>
                <w:sz w:val="24"/>
              </w:rPr>
              <w:t>Bukit</w:t>
            </w:r>
            <w:r>
              <w:rPr>
                <w:rFonts w:ascii="Times New Roman"/>
                <w:spacing w:val="-2"/>
                <w:sz w:val="24"/>
              </w:rPr>
              <w:t> </w:t>
            </w:r>
            <w:r>
              <w:rPr>
                <w:rFonts w:ascii="Times New Roman"/>
                <w:sz w:val="24"/>
              </w:rPr>
              <w:t>Asam</w:t>
            </w:r>
            <w:r>
              <w:rPr>
                <w:rFonts w:ascii="Times New Roman"/>
                <w:spacing w:val="-2"/>
                <w:sz w:val="24"/>
              </w:rPr>
              <w:t> </w:t>
            </w:r>
            <w:r>
              <w:rPr>
                <w:rFonts w:ascii="Times New Roman"/>
                <w:spacing w:val="-5"/>
                <w:sz w:val="24"/>
              </w:rPr>
              <w:t>Tbk</w:t>
            </w:r>
          </w:p>
        </w:tc>
      </w:tr>
      <w:tr>
        <w:trPr>
          <w:trHeight w:val="315" w:hRule="atLeast"/>
        </w:trPr>
        <w:tc>
          <w:tcPr>
            <w:tcW w:w="960" w:type="dxa"/>
          </w:tcPr>
          <w:p>
            <w:pPr>
              <w:pStyle w:val="TableParagraph"/>
              <w:spacing w:line="270" w:lineRule="exact" w:before="24"/>
              <w:ind w:left="9"/>
              <w:jc w:val="center"/>
              <w:rPr>
                <w:rFonts w:ascii="Times New Roman"/>
                <w:sz w:val="24"/>
              </w:rPr>
            </w:pPr>
            <w:r>
              <w:rPr>
                <w:rFonts w:ascii="Times New Roman"/>
                <w:spacing w:val="-10"/>
                <w:sz w:val="24"/>
              </w:rPr>
              <w:t>2</w:t>
            </w:r>
          </w:p>
        </w:tc>
        <w:tc>
          <w:tcPr>
            <w:tcW w:w="2500" w:type="dxa"/>
          </w:tcPr>
          <w:p>
            <w:pPr>
              <w:pStyle w:val="TableParagraph"/>
              <w:spacing w:line="270" w:lineRule="exact" w:before="24"/>
              <w:ind w:left="9"/>
              <w:jc w:val="center"/>
              <w:rPr>
                <w:rFonts w:ascii="Times New Roman"/>
                <w:sz w:val="24"/>
              </w:rPr>
            </w:pPr>
            <w:r>
              <w:rPr>
                <w:rFonts w:ascii="Times New Roman"/>
                <w:spacing w:val="-4"/>
                <w:sz w:val="24"/>
              </w:rPr>
              <w:t>BUMI</w:t>
            </w:r>
          </w:p>
        </w:tc>
        <w:tc>
          <w:tcPr>
            <w:tcW w:w="3866" w:type="dxa"/>
          </w:tcPr>
          <w:p>
            <w:pPr>
              <w:pStyle w:val="TableParagraph"/>
              <w:spacing w:line="270" w:lineRule="exact" w:before="24"/>
              <w:rPr>
                <w:rFonts w:ascii="Times New Roman"/>
                <w:sz w:val="24"/>
              </w:rPr>
            </w:pPr>
            <w:r>
              <w:rPr>
                <w:rFonts w:ascii="Times New Roman"/>
                <w:sz w:val="24"/>
              </w:rPr>
              <w:t>PT.</w:t>
            </w:r>
            <w:r>
              <w:rPr>
                <w:rFonts w:ascii="Times New Roman"/>
                <w:spacing w:val="-5"/>
                <w:sz w:val="24"/>
              </w:rPr>
              <w:t> </w:t>
            </w:r>
            <w:r>
              <w:rPr>
                <w:rFonts w:ascii="Times New Roman"/>
                <w:sz w:val="24"/>
              </w:rPr>
              <w:t>Bumi</w:t>
            </w:r>
            <w:r>
              <w:rPr>
                <w:rFonts w:ascii="Times New Roman"/>
                <w:spacing w:val="-2"/>
                <w:sz w:val="24"/>
              </w:rPr>
              <w:t> </w:t>
            </w:r>
            <w:r>
              <w:rPr>
                <w:rFonts w:ascii="Times New Roman"/>
                <w:sz w:val="24"/>
              </w:rPr>
              <w:t>Resources</w:t>
            </w:r>
            <w:r>
              <w:rPr>
                <w:rFonts w:ascii="Times New Roman"/>
                <w:spacing w:val="-2"/>
                <w:sz w:val="24"/>
              </w:rPr>
              <w:t> </w:t>
            </w:r>
            <w:r>
              <w:rPr>
                <w:rFonts w:ascii="Times New Roman"/>
                <w:spacing w:val="-5"/>
                <w:sz w:val="24"/>
              </w:rPr>
              <w:t>Tbk</w:t>
            </w:r>
          </w:p>
        </w:tc>
      </w:tr>
      <w:tr>
        <w:trPr>
          <w:trHeight w:val="315" w:hRule="atLeast"/>
        </w:trPr>
        <w:tc>
          <w:tcPr>
            <w:tcW w:w="960" w:type="dxa"/>
          </w:tcPr>
          <w:p>
            <w:pPr>
              <w:pStyle w:val="TableParagraph"/>
              <w:spacing w:line="270" w:lineRule="exact" w:before="24"/>
              <w:ind w:left="9"/>
              <w:jc w:val="center"/>
              <w:rPr>
                <w:rFonts w:ascii="Times New Roman"/>
                <w:sz w:val="24"/>
              </w:rPr>
            </w:pPr>
            <w:r>
              <w:rPr>
                <w:rFonts w:ascii="Times New Roman"/>
                <w:spacing w:val="-10"/>
                <w:sz w:val="24"/>
              </w:rPr>
              <w:t>3</w:t>
            </w:r>
          </w:p>
        </w:tc>
        <w:tc>
          <w:tcPr>
            <w:tcW w:w="2500" w:type="dxa"/>
          </w:tcPr>
          <w:p>
            <w:pPr>
              <w:pStyle w:val="TableParagraph"/>
              <w:spacing w:line="270" w:lineRule="exact" w:before="24"/>
              <w:ind w:left="9"/>
              <w:jc w:val="center"/>
              <w:rPr>
                <w:rFonts w:ascii="Times New Roman"/>
                <w:sz w:val="24"/>
              </w:rPr>
            </w:pPr>
            <w:r>
              <w:rPr>
                <w:rFonts w:ascii="Times New Roman"/>
                <w:spacing w:val="-4"/>
                <w:sz w:val="24"/>
              </w:rPr>
              <w:t>SMMT</w:t>
            </w:r>
          </w:p>
        </w:tc>
        <w:tc>
          <w:tcPr>
            <w:tcW w:w="3866" w:type="dxa"/>
          </w:tcPr>
          <w:p>
            <w:pPr>
              <w:pStyle w:val="TableParagraph"/>
              <w:spacing w:line="270" w:lineRule="exact" w:before="24"/>
              <w:rPr>
                <w:rFonts w:ascii="Times New Roman"/>
                <w:sz w:val="24"/>
              </w:rPr>
            </w:pPr>
            <w:r>
              <w:rPr>
                <w:rFonts w:ascii="Times New Roman"/>
                <w:sz w:val="24"/>
              </w:rPr>
              <w:t>PT.</w:t>
            </w:r>
            <w:r>
              <w:rPr>
                <w:rFonts w:ascii="Times New Roman"/>
                <w:spacing w:val="-2"/>
                <w:sz w:val="24"/>
              </w:rPr>
              <w:t> </w:t>
            </w:r>
            <w:r>
              <w:rPr>
                <w:rFonts w:ascii="Times New Roman"/>
                <w:sz w:val="24"/>
              </w:rPr>
              <w:t>Golden</w:t>
            </w:r>
            <w:r>
              <w:rPr>
                <w:rFonts w:ascii="Times New Roman"/>
                <w:spacing w:val="-2"/>
                <w:sz w:val="24"/>
              </w:rPr>
              <w:t> </w:t>
            </w:r>
            <w:r>
              <w:rPr>
                <w:rFonts w:ascii="Times New Roman"/>
                <w:sz w:val="24"/>
              </w:rPr>
              <w:t>Eagle</w:t>
            </w:r>
            <w:r>
              <w:rPr>
                <w:rFonts w:ascii="Times New Roman"/>
                <w:spacing w:val="-2"/>
                <w:sz w:val="24"/>
              </w:rPr>
              <w:t> </w:t>
            </w:r>
            <w:r>
              <w:rPr>
                <w:rFonts w:ascii="Times New Roman"/>
                <w:sz w:val="24"/>
              </w:rPr>
              <w:t>Energy</w:t>
            </w:r>
            <w:r>
              <w:rPr>
                <w:rFonts w:ascii="Times New Roman"/>
                <w:spacing w:val="-2"/>
                <w:sz w:val="24"/>
              </w:rPr>
              <w:t> </w:t>
            </w:r>
            <w:r>
              <w:rPr>
                <w:rFonts w:ascii="Times New Roman"/>
                <w:spacing w:val="-5"/>
                <w:sz w:val="24"/>
              </w:rPr>
              <w:t>Tbk</w:t>
            </w:r>
          </w:p>
        </w:tc>
      </w:tr>
      <w:tr>
        <w:trPr>
          <w:trHeight w:val="315" w:hRule="atLeast"/>
        </w:trPr>
        <w:tc>
          <w:tcPr>
            <w:tcW w:w="960" w:type="dxa"/>
          </w:tcPr>
          <w:p>
            <w:pPr>
              <w:pStyle w:val="TableParagraph"/>
              <w:spacing w:line="270" w:lineRule="exact" w:before="24"/>
              <w:ind w:left="9"/>
              <w:jc w:val="center"/>
              <w:rPr>
                <w:rFonts w:ascii="Times New Roman"/>
                <w:sz w:val="24"/>
              </w:rPr>
            </w:pPr>
            <w:r>
              <w:rPr>
                <w:rFonts w:ascii="Times New Roman"/>
                <w:spacing w:val="-10"/>
                <w:sz w:val="24"/>
              </w:rPr>
              <w:t>4</w:t>
            </w:r>
          </w:p>
        </w:tc>
        <w:tc>
          <w:tcPr>
            <w:tcW w:w="2500" w:type="dxa"/>
          </w:tcPr>
          <w:p>
            <w:pPr>
              <w:pStyle w:val="TableParagraph"/>
              <w:spacing w:line="270" w:lineRule="exact" w:before="24"/>
              <w:ind w:left="9"/>
              <w:jc w:val="center"/>
              <w:rPr>
                <w:rFonts w:ascii="Times New Roman"/>
                <w:sz w:val="24"/>
              </w:rPr>
            </w:pPr>
            <w:r>
              <w:rPr>
                <w:rFonts w:ascii="Times New Roman"/>
                <w:spacing w:val="-4"/>
                <w:sz w:val="24"/>
              </w:rPr>
              <w:t>ELSA</w:t>
            </w:r>
          </w:p>
        </w:tc>
        <w:tc>
          <w:tcPr>
            <w:tcW w:w="3866" w:type="dxa"/>
          </w:tcPr>
          <w:p>
            <w:pPr>
              <w:pStyle w:val="TableParagraph"/>
              <w:spacing w:line="270" w:lineRule="exact" w:before="24"/>
              <w:rPr>
                <w:rFonts w:ascii="Times New Roman"/>
                <w:sz w:val="24"/>
              </w:rPr>
            </w:pPr>
            <w:r>
              <w:rPr>
                <w:rFonts w:ascii="Times New Roman"/>
                <w:sz w:val="24"/>
              </w:rPr>
              <w:t>PT.</w:t>
            </w:r>
            <w:r>
              <w:rPr>
                <w:rFonts w:ascii="Times New Roman"/>
                <w:spacing w:val="-3"/>
                <w:sz w:val="24"/>
              </w:rPr>
              <w:t> </w:t>
            </w:r>
            <w:r>
              <w:rPr>
                <w:rFonts w:ascii="Times New Roman"/>
                <w:sz w:val="24"/>
              </w:rPr>
              <w:t>Elnusa</w:t>
            </w:r>
            <w:r>
              <w:rPr>
                <w:rFonts w:ascii="Times New Roman"/>
                <w:spacing w:val="-2"/>
                <w:sz w:val="24"/>
              </w:rPr>
              <w:t> </w:t>
            </w:r>
            <w:r>
              <w:rPr>
                <w:rFonts w:ascii="Times New Roman"/>
                <w:spacing w:val="-5"/>
                <w:sz w:val="24"/>
              </w:rPr>
              <w:t>Tbk</w:t>
            </w:r>
          </w:p>
        </w:tc>
      </w:tr>
      <w:tr>
        <w:trPr>
          <w:trHeight w:val="315" w:hRule="atLeast"/>
        </w:trPr>
        <w:tc>
          <w:tcPr>
            <w:tcW w:w="960" w:type="dxa"/>
          </w:tcPr>
          <w:p>
            <w:pPr>
              <w:pStyle w:val="TableParagraph"/>
              <w:spacing w:line="270" w:lineRule="exact" w:before="24"/>
              <w:ind w:left="9"/>
              <w:jc w:val="center"/>
              <w:rPr>
                <w:rFonts w:ascii="Times New Roman"/>
                <w:sz w:val="24"/>
              </w:rPr>
            </w:pPr>
            <w:r>
              <w:rPr>
                <w:rFonts w:ascii="Times New Roman"/>
                <w:spacing w:val="-10"/>
                <w:sz w:val="24"/>
              </w:rPr>
              <w:t>5</w:t>
            </w:r>
          </w:p>
        </w:tc>
        <w:tc>
          <w:tcPr>
            <w:tcW w:w="2500" w:type="dxa"/>
          </w:tcPr>
          <w:p>
            <w:pPr>
              <w:pStyle w:val="TableParagraph"/>
              <w:spacing w:line="270" w:lineRule="exact" w:before="24"/>
              <w:ind w:left="9"/>
              <w:jc w:val="center"/>
              <w:rPr>
                <w:rFonts w:ascii="Times New Roman"/>
                <w:sz w:val="24"/>
              </w:rPr>
            </w:pPr>
            <w:r>
              <w:rPr>
                <w:rFonts w:ascii="Times New Roman"/>
                <w:spacing w:val="-4"/>
                <w:sz w:val="24"/>
              </w:rPr>
              <w:t>ENRG</w:t>
            </w:r>
          </w:p>
        </w:tc>
        <w:tc>
          <w:tcPr>
            <w:tcW w:w="3866" w:type="dxa"/>
          </w:tcPr>
          <w:p>
            <w:pPr>
              <w:pStyle w:val="TableParagraph"/>
              <w:spacing w:line="270" w:lineRule="exact" w:before="24"/>
              <w:rPr>
                <w:rFonts w:ascii="Times New Roman"/>
                <w:sz w:val="24"/>
              </w:rPr>
            </w:pPr>
            <w:r>
              <w:rPr>
                <w:rFonts w:ascii="Times New Roman"/>
                <w:sz w:val="24"/>
              </w:rPr>
              <w:t>PT.</w:t>
            </w:r>
            <w:r>
              <w:rPr>
                <w:rFonts w:ascii="Times New Roman"/>
                <w:spacing w:val="-3"/>
                <w:sz w:val="24"/>
              </w:rPr>
              <w:t> </w:t>
            </w:r>
            <w:r>
              <w:rPr>
                <w:rFonts w:ascii="Times New Roman"/>
                <w:sz w:val="24"/>
              </w:rPr>
              <w:t>Energi</w:t>
            </w:r>
            <w:r>
              <w:rPr>
                <w:rFonts w:ascii="Times New Roman"/>
                <w:spacing w:val="-2"/>
                <w:sz w:val="24"/>
              </w:rPr>
              <w:t> </w:t>
            </w:r>
            <w:r>
              <w:rPr>
                <w:rFonts w:ascii="Times New Roman"/>
                <w:sz w:val="24"/>
              </w:rPr>
              <w:t>Mega</w:t>
            </w:r>
            <w:r>
              <w:rPr>
                <w:rFonts w:ascii="Times New Roman"/>
                <w:spacing w:val="-3"/>
                <w:sz w:val="24"/>
              </w:rPr>
              <w:t> </w:t>
            </w:r>
            <w:r>
              <w:rPr>
                <w:rFonts w:ascii="Times New Roman"/>
                <w:sz w:val="24"/>
              </w:rPr>
              <w:t>Persada</w:t>
            </w:r>
            <w:r>
              <w:rPr>
                <w:rFonts w:ascii="Times New Roman"/>
                <w:spacing w:val="-2"/>
                <w:sz w:val="24"/>
              </w:rPr>
              <w:t> </w:t>
            </w:r>
            <w:r>
              <w:rPr>
                <w:rFonts w:ascii="Times New Roman"/>
                <w:spacing w:val="-5"/>
                <w:sz w:val="24"/>
              </w:rPr>
              <w:t>Tbk</w:t>
            </w:r>
          </w:p>
        </w:tc>
      </w:tr>
      <w:tr>
        <w:trPr>
          <w:trHeight w:val="315" w:hRule="atLeast"/>
        </w:trPr>
        <w:tc>
          <w:tcPr>
            <w:tcW w:w="960" w:type="dxa"/>
          </w:tcPr>
          <w:p>
            <w:pPr>
              <w:pStyle w:val="TableParagraph"/>
              <w:spacing w:line="270" w:lineRule="exact" w:before="24"/>
              <w:ind w:left="9"/>
              <w:jc w:val="center"/>
              <w:rPr>
                <w:rFonts w:ascii="Times New Roman"/>
                <w:sz w:val="24"/>
              </w:rPr>
            </w:pPr>
            <w:r>
              <w:rPr>
                <w:rFonts w:ascii="Times New Roman"/>
                <w:spacing w:val="-10"/>
                <w:sz w:val="24"/>
              </w:rPr>
              <w:t>6</w:t>
            </w:r>
          </w:p>
        </w:tc>
        <w:tc>
          <w:tcPr>
            <w:tcW w:w="2500" w:type="dxa"/>
          </w:tcPr>
          <w:p>
            <w:pPr>
              <w:pStyle w:val="TableParagraph"/>
              <w:spacing w:line="270" w:lineRule="exact" w:before="24"/>
              <w:ind w:left="9"/>
              <w:jc w:val="center"/>
              <w:rPr>
                <w:rFonts w:ascii="Times New Roman"/>
                <w:sz w:val="24"/>
              </w:rPr>
            </w:pPr>
            <w:r>
              <w:rPr>
                <w:rFonts w:ascii="Times New Roman"/>
                <w:spacing w:val="-4"/>
                <w:sz w:val="24"/>
              </w:rPr>
              <w:t>ZINC</w:t>
            </w:r>
          </w:p>
        </w:tc>
        <w:tc>
          <w:tcPr>
            <w:tcW w:w="3866" w:type="dxa"/>
          </w:tcPr>
          <w:p>
            <w:pPr>
              <w:pStyle w:val="TableParagraph"/>
              <w:spacing w:line="270" w:lineRule="exact" w:before="24"/>
              <w:rPr>
                <w:rFonts w:ascii="Times New Roman"/>
                <w:sz w:val="24"/>
              </w:rPr>
            </w:pPr>
            <w:r>
              <w:rPr>
                <w:rFonts w:ascii="Times New Roman"/>
                <w:sz w:val="24"/>
              </w:rPr>
              <w:t>PT.</w:t>
            </w:r>
            <w:r>
              <w:rPr>
                <w:rFonts w:ascii="Times New Roman"/>
                <w:spacing w:val="-3"/>
                <w:sz w:val="24"/>
              </w:rPr>
              <w:t> </w:t>
            </w:r>
            <w:r>
              <w:rPr>
                <w:rFonts w:ascii="Times New Roman"/>
                <w:sz w:val="24"/>
              </w:rPr>
              <w:t>Kapuas</w:t>
            </w:r>
            <w:r>
              <w:rPr>
                <w:rFonts w:ascii="Times New Roman"/>
                <w:spacing w:val="-2"/>
                <w:sz w:val="24"/>
              </w:rPr>
              <w:t> </w:t>
            </w:r>
            <w:r>
              <w:rPr>
                <w:rFonts w:ascii="Times New Roman"/>
                <w:sz w:val="24"/>
              </w:rPr>
              <w:t>Prima</w:t>
            </w:r>
            <w:r>
              <w:rPr>
                <w:rFonts w:ascii="Times New Roman"/>
                <w:spacing w:val="-2"/>
                <w:sz w:val="24"/>
              </w:rPr>
              <w:t> </w:t>
            </w:r>
            <w:r>
              <w:rPr>
                <w:rFonts w:ascii="Times New Roman"/>
                <w:sz w:val="24"/>
              </w:rPr>
              <w:t>Coal</w:t>
            </w:r>
            <w:r>
              <w:rPr>
                <w:rFonts w:ascii="Times New Roman"/>
                <w:spacing w:val="-2"/>
                <w:sz w:val="24"/>
              </w:rPr>
              <w:t> </w:t>
            </w:r>
            <w:r>
              <w:rPr>
                <w:rFonts w:ascii="Times New Roman"/>
                <w:spacing w:val="-5"/>
                <w:sz w:val="24"/>
              </w:rPr>
              <w:t>Tbk</w:t>
            </w:r>
          </w:p>
        </w:tc>
      </w:tr>
    </w:tbl>
    <w:p>
      <w:pPr>
        <w:pStyle w:val="TableParagraph"/>
        <w:spacing w:after="0" w:line="270" w:lineRule="exact"/>
        <w:rPr>
          <w:rFonts w:ascii="Times New Roman"/>
          <w:sz w:val="24"/>
        </w:rPr>
        <w:sectPr>
          <w:pgSz w:w="11910" w:h="16840"/>
          <w:pgMar w:header="719" w:footer="0" w:top="980" w:bottom="280" w:left="1559" w:right="99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8"/>
        <w:rPr>
          <w:sz w:val="20"/>
        </w:rPr>
      </w:pPr>
    </w:p>
    <w:tbl>
      <w:tblPr>
        <w:tblW w:w="0" w:type="auto"/>
        <w:jc w:val="left"/>
        <w:tblInd w:w="1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0"/>
        <w:gridCol w:w="2500"/>
        <w:gridCol w:w="3866"/>
      </w:tblGrid>
      <w:tr>
        <w:trPr>
          <w:trHeight w:val="315" w:hRule="atLeast"/>
        </w:trPr>
        <w:tc>
          <w:tcPr>
            <w:tcW w:w="960" w:type="dxa"/>
          </w:tcPr>
          <w:p>
            <w:pPr>
              <w:pStyle w:val="TableParagraph"/>
              <w:spacing w:line="270" w:lineRule="exact" w:before="24"/>
              <w:ind w:left="9"/>
              <w:jc w:val="center"/>
              <w:rPr>
                <w:rFonts w:ascii="Times New Roman"/>
                <w:sz w:val="24"/>
              </w:rPr>
            </w:pPr>
            <w:r>
              <w:rPr>
                <w:rFonts w:ascii="Times New Roman"/>
                <w:spacing w:val="-10"/>
                <w:sz w:val="24"/>
              </w:rPr>
              <w:t>7</w:t>
            </w:r>
          </w:p>
        </w:tc>
        <w:tc>
          <w:tcPr>
            <w:tcW w:w="2500" w:type="dxa"/>
          </w:tcPr>
          <w:p>
            <w:pPr>
              <w:pStyle w:val="TableParagraph"/>
              <w:spacing w:line="270" w:lineRule="exact" w:before="24"/>
              <w:ind w:left="9"/>
              <w:jc w:val="center"/>
              <w:rPr>
                <w:rFonts w:ascii="Times New Roman"/>
                <w:sz w:val="24"/>
              </w:rPr>
            </w:pPr>
            <w:r>
              <w:rPr>
                <w:rFonts w:ascii="Times New Roman"/>
                <w:spacing w:val="-4"/>
                <w:sz w:val="24"/>
              </w:rPr>
              <w:t>ANTM</w:t>
            </w:r>
          </w:p>
        </w:tc>
        <w:tc>
          <w:tcPr>
            <w:tcW w:w="3866" w:type="dxa"/>
          </w:tcPr>
          <w:p>
            <w:pPr>
              <w:pStyle w:val="TableParagraph"/>
              <w:spacing w:line="270" w:lineRule="exact" w:before="24"/>
              <w:rPr>
                <w:rFonts w:ascii="Times New Roman"/>
                <w:sz w:val="24"/>
              </w:rPr>
            </w:pPr>
            <w:r>
              <w:rPr>
                <w:rFonts w:ascii="Times New Roman"/>
                <w:sz w:val="24"/>
              </w:rPr>
              <w:t>PT.</w:t>
            </w:r>
            <w:r>
              <w:rPr>
                <w:rFonts w:ascii="Times New Roman"/>
                <w:spacing w:val="-4"/>
                <w:sz w:val="24"/>
              </w:rPr>
              <w:t> </w:t>
            </w:r>
            <w:r>
              <w:rPr>
                <w:rFonts w:ascii="Times New Roman"/>
                <w:sz w:val="24"/>
              </w:rPr>
              <w:t>Aneka</w:t>
            </w:r>
            <w:r>
              <w:rPr>
                <w:rFonts w:ascii="Times New Roman"/>
                <w:spacing w:val="-2"/>
                <w:sz w:val="24"/>
              </w:rPr>
              <w:t> </w:t>
            </w:r>
            <w:r>
              <w:rPr>
                <w:rFonts w:ascii="Times New Roman"/>
                <w:sz w:val="24"/>
              </w:rPr>
              <w:t>Tambang</w:t>
            </w:r>
            <w:r>
              <w:rPr>
                <w:rFonts w:ascii="Times New Roman"/>
                <w:spacing w:val="-2"/>
                <w:sz w:val="24"/>
              </w:rPr>
              <w:t> </w:t>
            </w:r>
            <w:r>
              <w:rPr>
                <w:rFonts w:ascii="Times New Roman"/>
                <w:spacing w:val="-5"/>
                <w:sz w:val="24"/>
              </w:rPr>
              <w:t>Tbk</w:t>
            </w:r>
          </w:p>
        </w:tc>
      </w:tr>
      <w:tr>
        <w:trPr>
          <w:trHeight w:val="315" w:hRule="atLeast"/>
        </w:trPr>
        <w:tc>
          <w:tcPr>
            <w:tcW w:w="960" w:type="dxa"/>
          </w:tcPr>
          <w:p>
            <w:pPr>
              <w:pStyle w:val="TableParagraph"/>
              <w:spacing w:line="270" w:lineRule="exact" w:before="24"/>
              <w:ind w:left="9"/>
              <w:jc w:val="center"/>
              <w:rPr>
                <w:rFonts w:ascii="Times New Roman"/>
                <w:sz w:val="24"/>
              </w:rPr>
            </w:pPr>
            <w:r>
              <w:rPr>
                <w:rFonts w:ascii="Times New Roman"/>
                <w:spacing w:val="-10"/>
                <w:sz w:val="24"/>
              </w:rPr>
              <w:t>8</w:t>
            </w:r>
          </w:p>
        </w:tc>
        <w:tc>
          <w:tcPr>
            <w:tcW w:w="2500" w:type="dxa"/>
          </w:tcPr>
          <w:p>
            <w:pPr>
              <w:pStyle w:val="TableParagraph"/>
              <w:spacing w:line="270" w:lineRule="exact" w:before="24"/>
              <w:ind w:left="9"/>
              <w:jc w:val="center"/>
              <w:rPr>
                <w:rFonts w:ascii="Times New Roman"/>
                <w:sz w:val="24"/>
              </w:rPr>
            </w:pPr>
            <w:r>
              <w:rPr>
                <w:rFonts w:ascii="Times New Roman"/>
                <w:spacing w:val="-4"/>
                <w:sz w:val="24"/>
              </w:rPr>
              <w:t>TINS</w:t>
            </w:r>
          </w:p>
        </w:tc>
        <w:tc>
          <w:tcPr>
            <w:tcW w:w="3866" w:type="dxa"/>
          </w:tcPr>
          <w:p>
            <w:pPr>
              <w:pStyle w:val="TableParagraph"/>
              <w:spacing w:line="270" w:lineRule="exact" w:before="24"/>
              <w:rPr>
                <w:rFonts w:ascii="Times New Roman"/>
                <w:sz w:val="24"/>
              </w:rPr>
            </w:pPr>
            <w:r>
              <w:rPr>
                <w:rFonts w:ascii="Times New Roman"/>
                <w:sz w:val="24"/>
              </w:rPr>
              <w:t>PT.</w:t>
            </w:r>
            <w:r>
              <w:rPr>
                <w:rFonts w:ascii="Times New Roman"/>
                <w:spacing w:val="-2"/>
                <w:sz w:val="24"/>
              </w:rPr>
              <w:t> </w:t>
            </w:r>
            <w:r>
              <w:rPr>
                <w:rFonts w:ascii="Times New Roman"/>
                <w:sz w:val="24"/>
              </w:rPr>
              <w:t>Timah</w:t>
            </w:r>
            <w:r>
              <w:rPr>
                <w:rFonts w:ascii="Times New Roman"/>
                <w:spacing w:val="-1"/>
                <w:sz w:val="24"/>
              </w:rPr>
              <w:t> </w:t>
            </w:r>
            <w:r>
              <w:rPr>
                <w:rFonts w:ascii="Times New Roman"/>
                <w:spacing w:val="-5"/>
                <w:sz w:val="24"/>
              </w:rPr>
              <w:t>Tbk</w:t>
            </w:r>
          </w:p>
        </w:tc>
      </w:tr>
      <w:tr>
        <w:trPr>
          <w:trHeight w:val="315" w:hRule="atLeast"/>
        </w:trPr>
        <w:tc>
          <w:tcPr>
            <w:tcW w:w="960" w:type="dxa"/>
          </w:tcPr>
          <w:p>
            <w:pPr>
              <w:pStyle w:val="TableParagraph"/>
              <w:spacing w:line="270" w:lineRule="exact" w:before="24"/>
              <w:ind w:left="9"/>
              <w:jc w:val="center"/>
              <w:rPr>
                <w:rFonts w:ascii="Times New Roman"/>
                <w:sz w:val="24"/>
              </w:rPr>
            </w:pPr>
            <w:r>
              <w:rPr>
                <w:rFonts w:ascii="Times New Roman"/>
                <w:spacing w:val="-10"/>
                <w:sz w:val="24"/>
              </w:rPr>
              <w:t>9</w:t>
            </w:r>
          </w:p>
        </w:tc>
        <w:tc>
          <w:tcPr>
            <w:tcW w:w="2500" w:type="dxa"/>
          </w:tcPr>
          <w:p>
            <w:pPr>
              <w:pStyle w:val="TableParagraph"/>
              <w:spacing w:line="270" w:lineRule="exact" w:before="24"/>
              <w:ind w:left="9"/>
              <w:jc w:val="center"/>
              <w:rPr>
                <w:rFonts w:ascii="Times New Roman"/>
                <w:sz w:val="24"/>
              </w:rPr>
            </w:pPr>
            <w:r>
              <w:rPr>
                <w:rFonts w:ascii="Times New Roman"/>
                <w:spacing w:val="-4"/>
                <w:sz w:val="24"/>
              </w:rPr>
              <w:t>CITA</w:t>
            </w:r>
          </w:p>
        </w:tc>
        <w:tc>
          <w:tcPr>
            <w:tcW w:w="3866" w:type="dxa"/>
          </w:tcPr>
          <w:p>
            <w:pPr>
              <w:pStyle w:val="TableParagraph"/>
              <w:spacing w:line="270" w:lineRule="exact" w:before="24"/>
              <w:rPr>
                <w:rFonts w:ascii="Times New Roman"/>
                <w:sz w:val="24"/>
              </w:rPr>
            </w:pPr>
            <w:r>
              <w:rPr>
                <w:rFonts w:ascii="Times New Roman"/>
                <w:sz w:val="24"/>
              </w:rPr>
              <w:t>PT.</w:t>
            </w:r>
            <w:r>
              <w:rPr>
                <w:rFonts w:ascii="Times New Roman"/>
                <w:spacing w:val="-3"/>
                <w:sz w:val="24"/>
              </w:rPr>
              <w:t> </w:t>
            </w:r>
            <w:r>
              <w:rPr>
                <w:rFonts w:ascii="Times New Roman"/>
                <w:sz w:val="24"/>
              </w:rPr>
              <w:t>Cita</w:t>
            </w:r>
            <w:r>
              <w:rPr>
                <w:rFonts w:ascii="Times New Roman"/>
                <w:spacing w:val="-2"/>
                <w:sz w:val="24"/>
              </w:rPr>
              <w:t> </w:t>
            </w:r>
            <w:r>
              <w:rPr>
                <w:rFonts w:ascii="Times New Roman"/>
                <w:sz w:val="24"/>
              </w:rPr>
              <w:t>Mineral</w:t>
            </w:r>
            <w:r>
              <w:rPr>
                <w:rFonts w:ascii="Times New Roman"/>
                <w:spacing w:val="-3"/>
                <w:sz w:val="24"/>
              </w:rPr>
              <w:t> </w:t>
            </w:r>
            <w:r>
              <w:rPr>
                <w:rFonts w:ascii="Times New Roman"/>
                <w:sz w:val="24"/>
              </w:rPr>
              <w:t>Investindo</w:t>
            </w:r>
            <w:r>
              <w:rPr>
                <w:rFonts w:ascii="Times New Roman"/>
                <w:spacing w:val="-2"/>
                <w:sz w:val="24"/>
              </w:rPr>
              <w:t> </w:t>
            </w:r>
            <w:r>
              <w:rPr>
                <w:rFonts w:ascii="Times New Roman"/>
                <w:spacing w:val="-5"/>
                <w:sz w:val="24"/>
              </w:rPr>
              <w:t>Tbk</w:t>
            </w:r>
          </w:p>
        </w:tc>
      </w:tr>
      <w:tr>
        <w:trPr>
          <w:trHeight w:val="315" w:hRule="atLeast"/>
        </w:trPr>
        <w:tc>
          <w:tcPr>
            <w:tcW w:w="960" w:type="dxa"/>
          </w:tcPr>
          <w:p>
            <w:pPr>
              <w:pStyle w:val="TableParagraph"/>
              <w:spacing w:line="270" w:lineRule="exact" w:before="24"/>
              <w:ind w:left="9"/>
              <w:jc w:val="center"/>
              <w:rPr>
                <w:rFonts w:ascii="Times New Roman"/>
                <w:sz w:val="24"/>
              </w:rPr>
            </w:pPr>
            <w:r>
              <w:rPr>
                <w:rFonts w:ascii="Times New Roman"/>
                <w:spacing w:val="-5"/>
                <w:sz w:val="24"/>
              </w:rPr>
              <w:t>10</w:t>
            </w:r>
          </w:p>
        </w:tc>
        <w:tc>
          <w:tcPr>
            <w:tcW w:w="2500" w:type="dxa"/>
          </w:tcPr>
          <w:p>
            <w:pPr>
              <w:pStyle w:val="TableParagraph"/>
              <w:spacing w:line="270" w:lineRule="exact" w:before="24"/>
              <w:ind w:left="9"/>
              <w:jc w:val="center"/>
              <w:rPr>
                <w:rFonts w:ascii="Times New Roman"/>
                <w:sz w:val="24"/>
              </w:rPr>
            </w:pPr>
            <w:r>
              <w:rPr>
                <w:rFonts w:ascii="Times New Roman"/>
                <w:spacing w:val="-4"/>
                <w:sz w:val="24"/>
              </w:rPr>
              <w:t>IFSH</w:t>
            </w:r>
          </w:p>
        </w:tc>
        <w:tc>
          <w:tcPr>
            <w:tcW w:w="3866" w:type="dxa"/>
          </w:tcPr>
          <w:p>
            <w:pPr>
              <w:pStyle w:val="TableParagraph"/>
              <w:spacing w:line="270" w:lineRule="exact" w:before="24"/>
              <w:rPr>
                <w:rFonts w:ascii="Times New Roman"/>
                <w:sz w:val="24"/>
              </w:rPr>
            </w:pPr>
            <w:r>
              <w:rPr>
                <w:rFonts w:ascii="Times New Roman"/>
                <w:sz w:val="24"/>
              </w:rPr>
              <w:t>PT.</w:t>
            </w:r>
            <w:r>
              <w:rPr>
                <w:rFonts w:ascii="Times New Roman"/>
                <w:spacing w:val="-4"/>
                <w:sz w:val="24"/>
              </w:rPr>
              <w:t> </w:t>
            </w:r>
            <w:r>
              <w:rPr>
                <w:rFonts w:ascii="Times New Roman"/>
                <w:sz w:val="24"/>
              </w:rPr>
              <w:t>Ifishdeco</w:t>
            </w:r>
            <w:r>
              <w:rPr>
                <w:rFonts w:ascii="Times New Roman"/>
                <w:spacing w:val="-3"/>
                <w:sz w:val="24"/>
              </w:rPr>
              <w:t> </w:t>
            </w:r>
            <w:r>
              <w:rPr>
                <w:rFonts w:ascii="Times New Roman"/>
                <w:spacing w:val="-5"/>
                <w:sz w:val="24"/>
              </w:rPr>
              <w:t>Tbk</w:t>
            </w:r>
          </w:p>
        </w:tc>
      </w:tr>
    </w:tbl>
    <w:p>
      <w:pPr>
        <w:pStyle w:val="BodyText"/>
        <w:spacing w:before="5"/>
        <w:ind w:left="729" w:right="902"/>
        <w:jc w:val="center"/>
      </w:pPr>
      <w:r>
        <w:rPr/>
        <w:t>Sumber:</w:t>
      </w:r>
      <w:r>
        <w:rPr>
          <w:spacing w:val="-5"/>
        </w:rPr>
        <w:t> </w:t>
      </w:r>
      <w:r>
        <w:rPr/>
        <w:t>Data</w:t>
      </w:r>
      <w:r>
        <w:rPr>
          <w:spacing w:val="-4"/>
        </w:rPr>
        <w:t> </w:t>
      </w:r>
      <w:r>
        <w:rPr/>
        <w:t>Bursa</w:t>
      </w:r>
      <w:r>
        <w:rPr>
          <w:spacing w:val="-4"/>
        </w:rPr>
        <w:t> </w:t>
      </w:r>
      <w:r>
        <w:rPr/>
        <w:t>Efek</w:t>
      </w:r>
      <w:r>
        <w:rPr>
          <w:spacing w:val="-4"/>
        </w:rPr>
        <w:t> </w:t>
      </w:r>
      <w:r>
        <w:rPr/>
        <w:t>Indonesia</w:t>
      </w:r>
      <w:r>
        <w:rPr>
          <w:spacing w:val="-4"/>
        </w:rPr>
        <w:t> </w:t>
      </w:r>
      <w:r>
        <w:rPr/>
        <w:t>(BEI)</w:t>
      </w:r>
      <w:r>
        <w:rPr>
          <w:spacing w:val="-4"/>
        </w:rPr>
        <w:t> </w:t>
      </w:r>
      <w:r>
        <w:rPr/>
        <w:t>tahun</w:t>
      </w:r>
      <w:r>
        <w:rPr>
          <w:spacing w:val="-4"/>
        </w:rPr>
        <w:t> </w:t>
      </w:r>
      <w:r>
        <w:rPr/>
        <w:t>2021-</w:t>
      </w:r>
      <w:r>
        <w:rPr>
          <w:spacing w:val="-4"/>
        </w:rPr>
        <w:t>2023</w:t>
      </w:r>
    </w:p>
    <w:p>
      <w:pPr>
        <w:pStyle w:val="BodyText"/>
        <w:spacing w:before="160"/>
      </w:pPr>
    </w:p>
    <w:p>
      <w:pPr>
        <w:pStyle w:val="Heading2"/>
        <w:numPr>
          <w:ilvl w:val="0"/>
          <w:numId w:val="14"/>
        </w:numPr>
        <w:tabs>
          <w:tab w:pos="1133" w:val="left" w:leader="none"/>
        </w:tabs>
        <w:spacing w:line="240" w:lineRule="auto" w:before="0" w:after="0"/>
        <w:ind w:left="1133" w:right="0" w:hanging="355"/>
        <w:jc w:val="left"/>
      </w:pPr>
      <w:bookmarkStart w:name="_bookmark32" w:id="33"/>
      <w:bookmarkEnd w:id="33"/>
      <w:r>
        <w:rPr/>
        <w:t>Defi</w:t>
      </w:r>
      <w:r>
        <w:rPr/>
        <w:t>nisi</w:t>
      </w:r>
      <w:r>
        <w:rPr>
          <w:spacing w:val="-5"/>
        </w:rPr>
        <w:t> </w:t>
      </w:r>
      <w:r>
        <w:rPr/>
        <w:t>Konseptual</w:t>
      </w:r>
      <w:r>
        <w:rPr>
          <w:spacing w:val="-5"/>
        </w:rPr>
        <w:t> </w:t>
      </w:r>
      <w:r>
        <w:rPr/>
        <w:t>dan</w:t>
      </w:r>
      <w:r>
        <w:rPr>
          <w:spacing w:val="-5"/>
        </w:rPr>
        <w:t> </w:t>
      </w:r>
      <w:r>
        <w:rPr/>
        <w:t>Operasional</w:t>
      </w:r>
      <w:r>
        <w:rPr>
          <w:spacing w:val="-4"/>
        </w:rPr>
        <w:t> </w:t>
      </w:r>
      <w:r>
        <w:rPr>
          <w:spacing w:val="-2"/>
        </w:rPr>
        <w:t>Variabel</w:t>
      </w:r>
    </w:p>
    <w:p>
      <w:pPr>
        <w:pStyle w:val="BodyText"/>
        <w:rPr>
          <w:b/>
        </w:rPr>
      </w:pPr>
    </w:p>
    <w:p>
      <w:pPr>
        <w:pStyle w:val="BodyText"/>
        <w:spacing w:line="480" w:lineRule="auto"/>
        <w:ind w:left="1276" w:right="708" w:firstLine="709"/>
        <w:jc w:val="both"/>
      </w:pPr>
      <w:r>
        <w:rPr/>
        <w:t>Variabel pernelitian adalah segala sesuatu yang berbentuk apa saja yang diputuskan oleh peneliti untuk dipelajari guna mengumpulkan data dan membuat kesimpulannya (Sugiyono, 2020:6). Variabel adalah karakteristik objek penelitian yang nilainya bervariasi dari satu subjek ke subjek lainnya atau dari waktu yang satu kewaktu lainnya yang telah ditentukan oleh peneliti untuk dipelajari dan dicari informasinya serta ditarik kesimpulannya (Suliyanto, 2018:124) Terdapat variabel independen (X) dan variabel dependen (Y) dalam penelitian kuantitatif karena hubungan antara variabel dan subjek penelitian lebih bersifat sebab akibat. (Sugiyono, </w:t>
      </w:r>
      <w:r>
        <w:rPr>
          <w:spacing w:val="-2"/>
        </w:rPr>
        <w:t>2019:20).</w:t>
      </w:r>
    </w:p>
    <w:p>
      <w:pPr>
        <w:pStyle w:val="Heading2"/>
        <w:numPr>
          <w:ilvl w:val="1"/>
          <w:numId w:val="14"/>
        </w:numPr>
        <w:tabs>
          <w:tab w:pos="1700" w:val="left" w:leader="none"/>
        </w:tabs>
        <w:spacing w:line="240" w:lineRule="auto" w:before="160" w:after="0"/>
        <w:ind w:left="1700" w:right="0" w:hanging="358"/>
        <w:jc w:val="both"/>
      </w:pPr>
      <w:r>
        <w:rPr/>
        <w:t>Definisi</w:t>
      </w:r>
      <w:r>
        <w:rPr>
          <w:spacing w:val="-6"/>
        </w:rPr>
        <w:t> </w:t>
      </w:r>
      <w:r>
        <w:rPr>
          <w:spacing w:val="-2"/>
        </w:rPr>
        <w:t>Konseptual</w:t>
      </w:r>
    </w:p>
    <w:p>
      <w:pPr>
        <w:pStyle w:val="BodyText"/>
        <w:rPr>
          <w:b/>
        </w:rPr>
      </w:pPr>
    </w:p>
    <w:p>
      <w:pPr>
        <w:pStyle w:val="ListParagraph"/>
        <w:numPr>
          <w:ilvl w:val="2"/>
          <w:numId w:val="14"/>
        </w:numPr>
        <w:tabs>
          <w:tab w:pos="2267" w:val="left" w:leader="none"/>
        </w:tabs>
        <w:spacing w:line="240" w:lineRule="auto" w:before="0" w:after="0"/>
        <w:ind w:left="2267" w:right="0" w:hanging="358"/>
        <w:jc w:val="left"/>
        <w:rPr>
          <w:b/>
          <w:sz w:val="24"/>
        </w:rPr>
      </w:pPr>
      <w:r>
        <w:rPr>
          <w:b/>
          <w:sz w:val="24"/>
        </w:rPr>
        <w:t>Variabel</w:t>
      </w:r>
      <w:r>
        <w:rPr>
          <w:b/>
          <w:spacing w:val="-5"/>
          <w:sz w:val="24"/>
        </w:rPr>
        <w:t> </w:t>
      </w:r>
      <w:r>
        <w:rPr>
          <w:b/>
          <w:sz w:val="24"/>
        </w:rPr>
        <w:t>Dependen</w:t>
      </w:r>
      <w:r>
        <w:rPr>
          <w:b/>
          <w:spacing w:val="-5"/>
          <w:sz w:val="24"/>
        </w:rPr>
        <w:t> </w:t>
      </w:r>
      <w:r>
        <w:rPr>
          <w:b/>
          <w:sz w:val="24"/>
        </w:rPr>
        <w:t>(Variabel</w:t>
      </w:r>
      <w:r>
        <w:rPr>
          <w:b/>
          <w:spacing w:val="-5"/>
          <w:sz w:val="24"/>
        </w:rPr>
        <w:t> Y)</w:t>
      </w:r>
    </w:p>
    <w:p>
      <w:pPr>
        <w:pStyle w:val="BodyText"/>
        <w:rPr>
          <w:b/>
        </w:rPr>
      </w:pPr>
    </w:p>
    <w:p>
      <w:pPr>
        <w:pStyle w:val="ListParagraph"/>
        <w:numPr>
          <w:ilvl w:val="3"/>
          <w:numId w:val="14"/>
        </w:numPr>
        <w:tabs>
          <w:tab w:pos="2693" w:val="left" w:leader="none"/>
          <w:tab w:pos="4606" w:val="left" w:leader="none"/>
          <w:tab w:pos="5639" w:val="left" w:leader="none"/>
          <w:tab w:pos="6354" w:val="left" w:leader="none"/>
          <w:tab w:pos="7979" w:val="left" w:leader="none"/>
        </w:tabs>
        <w:spacing w:line="240" w:lineRule="auto" w:before="0" w:after="0"/>
        <w:ind w:left="2693" w:right="0" w:hanging="424"/>
        <w:jc w:val="left"/>
        <w:rPr>
          <w:sz w:val="24"/>
        </w:rPr>
      </w:pPr>
      <w:r>
        <w:rPr>
          <w:i/>
          <w:spacing w:val="-2"/>
          <w:sz w:val="24"/>
        </w:rPr>
        <w:t>Environmental,</w:t>
      </w:r>
      <w:r>
        <w:rPr>
          <w:i/>
          <w:sz w:val="24"/>
        </w:rPr>
        <w:tab/>
      </w:r>
      <w:r>
        <w:rPr>
          <w:i/>
          <w:spacing w:val="-2"/>
          <w:sz w:val="24"/>
        </w:rPr>
        <w:t>Sosial,</w:t>
      </w:r>
      <w:r>
        <w:rPr>
          <w:i/>
          <w:sz w:val="24"/>
        </w:rPr>
        <w:tab/>
      </w:r>
      <w:r>
        <w:rPr>
          <w:i/>
          <w:spacing w:val="-5"/>
          <w:sz w:val="24"/>
        </w:rPr>
        <w:t>and</w:t>
      </w:r>
      <w:r>
        <w:rPr>
          <w:i/>
          <w:sz w:val="24"/>
        </w:rPr>
        <w:tab/>
      </w:r>
      <w:r>
        <w:rPr>
          <w:i/>
          <w:spacing w:val="-2"/>
          <w:sz w:val="24"/>
        </w:rPr>
        <w:t>Governance</w:t>
      </w:r>
      <w:r>
        <w:rPr>
          <w:i/>
          <w:sz w:val="24"/>
        </w:rPr>
        <w:tab/>
      </w:r>
      <w:r>
        <w:rPr>
          <w:spacing w:val="-2"/>
          <w:sz w:val="24"/>
        </w:rPr>
        <w:t>(ESG)</w:t>
      </w:r>
    </w:p>
    <w:p>
      <w:pPr>
        <w:pStyle w:val="BodyText"/>
      </w:pPr>
    </w:p>
    <w:p>
      <w:pPr>
        <w:spacing w:before="0"/>
        <w:ind w:left="2694" w:right="0" w:firstLine="0"/>
        <w:jc w:val="left"/>
        <w:rPr>
          <w:i/>
          <w:sz w:val="24"/>
        </w:rPr>
      </w:pPr>
      <w:r>
        <w:rPr>
          <w:i/>
          <w:spacing w:val="-2"/>
          <w:sz w:val="24"/>
        </w:rPr>
        <w:t>Disclosure</w:t>
      </w:r>
    </w:p>
    <w:p>
      <w:pPr>
        <w:pStyle w:val="BodyText"/>
        <w:rPr>
          <w:i/>
        </w:rPr>
      </w:pPr>
    </w:p>
    <w:p>
      <w:pPr>
        <w:pStyle w:val="BodyText"/>
        <w:spacing w:line="480" w:lineRule="auto"/>
        <w:ind w:left="2694" w:right="708"/>
        <w:jc w:val="both"/>
      </w:pPr>
      <w:r>
        <w:rPr/>
        <w:t>ESG</w:t>
      </w:r>
      <w:r>
        <w:rPr>
          <w:spacing w:val="-4"/>
        </w:rPr>
        <w:t> </w:t>
      </w:r>
      <w:r>
        <w:rPr/>
        <w:t>adalah</w:t>
      </w:r>
      <w:r>
        <w:rPr>
          <w:spacing w:val="-4"/>
        </w:rPr>
        <w:t> </w:t>
      </w:r>
      <w:r>
        <w:rPr/>
        <w:t>kriteria</w:t>
      </w:r>
      <w:r>
        <w:rPr>
          <w:spacing w:val="-4"/>
        </w:rPr>
        <w:t> </w:t>
      </w:r>
      <w:r>
        <w:rPr/>
        <w:t>evaluasi</w:t>
      </w:r>
      <w:r>
        <w:rPr>
          <w:spacing w:val="-4"/>
        </w:rPr>
        <w:t> </w:t>
      </w:r>
      <w:r>
        <w:rPr/>
        <w:t>perusahaan</w:t>
      </w:r>
      <w:r>
        <w:rPr>
          <w:spacing w:val="-4"/>
        </w:rPr>
        <w:t> </w:t>
      </w:r>
      <w:r>
        <w:rPr/>
        <w:t>yang</w:t>
      </w:r>
      <w:r>
        <w:rPr>
          <w:spacing w:val="-4"/>
        </w:rPr>
        <w:t> </w:t>
      </w:r>
      <w:r>
        <w:rPr/>
        <w:t>berfokus pada kinerja perusahaan lingkungan, sosial dan tata kelola</w:t>
      </w:r>
      <w:r>
        <w:rPr>
          <w:spacing w:val="74"/>
          <w:w w:val="150"/>
        </w:rPr>
        <w:t> </w:t>
      </w:r>
      <w:r>
        <w:rPr/>
        <w:t>(ESG),</w:t>
      </w:r>
      <w:r>
        <w:rPr>
          <w:spacing w:val="74"/>
          <w:w w:val="150"/>
        </w:rPr>
        <w:t> </w:t>
      </w:r>
      <w:r>
        <w:rPr/>
        <w:t>yang</w:t>
      </w:r>
      <w:r>
        <w:rPr>
          <w:spacing w:val="75"/>
          <w:w w:val="150"/>
        </w:rPr>
        <w:t> </w:t>
      </w:r>
      <w:r>
        <w:rPr/>
        <w:t>berakar</w:t>
      </w:r>
      <w:r>
        <w:rPr>
          <w:spacing w:val="74"/>
          <w:w w:val="150"/>
        </w:rPr>
        <w:t> </w:t>
      </w:r>
      <w:r>
        <w:rPr/>
        <w:t>pada</w:t>
      </w:r>
      <w:r>
        <w:rPr>
          <w:spacing w:val="75"/>
          <w:w w:val="150"/>
        </w:rPr>
        <w:t> </w:t>
      </w:r>
      <w:r>
        <w:rPr/>
        <w:t>bidang</w:t>
      </w:r>
      <w:r>
        <w:rPr>
          <w:spacing w:val="74"/>
          <w:w w:val="150"/>
        </w:rPr>
        <w:t> </w:t>
      </w:r>
      <w:r>
        <w:rPr>
          <w:spacing w:val="-2"/>
        </w:rPr>
        <w:t>investasi</w:t>
      </w:r>
    </w:p>
    <w:p>
      <w:pPr>
        <w:pStyle w:val="BodyText"/>
        <w:spacing w:after="0" w:line="480" w:lineRule="auto"/>
        <w:jc w:val="both"/>
        <w:sectPr>
          <w:pgSz w:w="11910" w:h="16840"/>
          <w:pgMar w:header="719" w:footer="0" w:top="980" w:bottom="280" w:left="1559" w:right="992"/>
        </w:sectPr>
      </w:pPr>
    </w:p>
    <w:p>
      <w:pPr>
        <w:pStyle w:val="BodyText"/>
      </w:pPr>
    </w:p>
    <w:p>
      <w:pPr>
        <w:pStyle w:val="BodyText"/>
      </w:pPr>
    </w:p>
    <w:p>
      <w:pPr>
        <w:pStyle w:val="BodyText"/>
      </w:pPr>
    </w:p>
    <w:p>
      <w:pPr>
        <w:pStyle w:val="BodyText"/>
        <w:spacing w:before="179"/>
      </w:pPr>
    </w:p>
    <w:p>
      <w:pPr>
        <w:pStyle w:val="BodyText"/>
        <w:spacing w:line="480" w:lineRule="auto"/>
        <w:ind w:left="2694" w:right="707"/>
        <w:jc w:val="both"/>
      </w:pPr>
      <w:r>
        <w:rPr/>
        <w:t>bertanggung jawab secara sosial. Pada tahun 1992, United Nations Environmental Financial Institute menganjurkan sebuah program menggabungkan faktor ESG dalam proses pengambilan keputusan bisnis mereka, menandai awal ESG di pasar keuangan (Hikmah &amp; Daljono, 2023).</w:t>
      </w:r>
    </w:p>
    <w:p>
      <w:pPr>
        <w:pStyle w:val="Heading2"/>
        <w:numPr>
          <w:ilvl w:val="2"/>
          <w:numId w:val="14"/>
        </w:numPr>
        <w:tabs>
          <w:tab w:pos="2267" w:val="left" w:leader="none"/>
        </w:tabs>
        <w:spacing w:line="240" w:lineRule="auto" w:before="0" w:after="0"/>
        <w:ind w:left="2267" w:right="0" w:hanging="359"/>
        <w:jc w:val="both"/>
      </w:pPr>
      <w:r>
        <w:rPr/>
        <w:t>Variabel</w:t>
      </w:r>
      <w:r>
        <w:rPr>
          <w:spacing w:val="-5"/>
        </w:rPr>
        <w:t> </w:t>
      </w:r>
      <w:r>
        <w:rPr/>
        <w:t>Independen</w:t>
      </w:r>
      <w:r>
        <w:rPr>
          <w:spacing w:val="-5"/>
        </w:rPr>
        <w:t> </w:t>
      </w:r>
      <w:r>
        <w:rPr/>
        <w:t>(Variabel</w:t>
      </w:r>
      <w:r>
        <w:rPr>
          <w:spacing w:val="-5"/>
        </w:rPr>
        <w:t> X)</w:t>
      </w:r>
    </w:p>
    <w:p>
      <w:pPr>
        <w:pStyle w:val="BodyText"/>
        <w:rPr>
          <w:b/>
        </w:rPr>
      </w:pPr>
    </w:p>
    <w:p>
      <w:pPr>
        <w:pStyle w:val="ListParagraph"/>
        <w:numPr>
          <w:ilvl w:val="3"/>
          <w:numId w:val="14"/>
        </w:numPr>
        <w:tabs>
          <w:tab w:pos="2692" w:val="left" w:leader="none"/>
        </w:tabs>
        <w:spacing w:line="240" w:lineRule="auto" w:before="0" w:after="0"/>
        <w:ind w:left="2692" w:right="0" w:hanging="424"/>
        <w:jc w:val="both"/>
        <w:rPr>
          <w:sz w:val="24"/>
        </w:rPr>
      </w:pPr>
      <w:r>
        <w:rPr>
          <w:sz w:val="24"/>
        </w:rPr>
        <w:t>Karakteristik </w:t>
      </w:r>
      <w:r>
        <w:rPr>
          <w:spacing w:val="-5"/>
          <w:sz w:val="24"/>
        </w:rPr>
        <w:t>CEO</w:t>
      </w:r>
    </w:p>
    <w:p>
      <w:pPr>
        <w:pStyle w:val="BodyText"/>
      </w:pPr>
    </w:p>
    <w:p>
      <w:pPr>
        <w:pStyle w:val="BodyText"/>
        <w:spacing w:line="480" w:lineRule="auto"/>
        <w:ind w:left="2694" w:right="708"/>
        <w:jc w:val="both"/>
      </w:pPr>
      <w:r>
        <w:rPr/>
        <w:t>Karakteristik CEO mencakup atribut pribadi dan profesional yang dimiliki oleh seorang </w:t>
      </w:r>
      <w:r>
        <w:rPr>
          <w:i/>
        </w:rPr>
        <w:t>Chief Executive Officer, </w:t>
      </w:r>
      <w:r>
        <w:rPr/>
        <w:t>yang dapat mempengaruhi gaya</w:t>
      </w:r>
      <w:r>
        <w:rPr>
          <w:spacing w:val="40"/>
        </w:rPr>
        <w:t> </w:t>
      </w:r>
      <w:r>
        <w:rPr/>
        <w:t>kepemimpinan, pengambilan keputusan, dan kinerja organisasi.</w:t>
      </w:r>
      <w:r>
        <w:rPr>
          <w:spacing w:val="-4"/>
        </w:rPr>
        <w:t> </w:t>
      </w:r>
      <w:r>
        <w:rPr/>
        <w:t>Beberapa</w:t>
      </w:r>
      <w:r>
        <w:rPr>
          <w:spacing w:val="-4"/>
        </w:rPr>
        <w:t> </w:t>
      </w:r>
      <w:r>
        <w:rPr/>
        <w:t>karakteristik</w:t>
      </w:r>
      <w:r>
        <w:rPr>
          <w:spacing w:val="-4"/>
        </w:rPr>
        <w:t> </w:t>
      </w:r>
      <w:r>
        <w:rPr/>
        <w:t>penting</w:t>
      </w:r>
      <w:r>
        <w:rPr>
          <w:spacing w:val="-4"/>
        </w:rPr>
        <w:t> </w:t>
      </w:r>
      <w:r>
        <w:rPr/>
        <w:t>termasuk</w:t>
      </w:r>
      <w:r>
        <w:rPr>
          <w:spacing w:val="-4"/>
        </w:rPr>
        <w:t> </w:t>
      </w:r>
      <w:r>
        <w:rPr/>
        <w:t>visi strategis, kemampuan komunikasi, keterampilan interpersonal, dan integritas. Karakteristik ini dapat mempengaruhi dinamika organisasi serta pengaruh CEO terhadap karyawan dan pemangku kepentingan lainnya (Judge &amp; Piccolo, 2004).</w:t>
      </w:r>
    </w:p>
    <w:p>
      <w:pPr>
        <w:pStyle w:val="ListParagraph"/>
        <w:numPr>
          <w:ilvl w:val="3"/>
          <w:numId w:val="14"/>
        </w:numPr>
        <w:tabs>
          <w:tab w:pos="2692" w:val="left" w:leader="none"/>
        </w:tabs>
        <w:spacing w:line="240" w:lineRule="auto" w:before="0" w:after="0"/>
        <w:ind w:left="2692" w:right="0" w:hanging="424"/>
        <w:jc w:val="both"/>
        <w:rPr>
          <w:sz w:val="24"/>
        </w:rPr>
      </w:pPr>
      <w:r>
        <w:rPr>
          <w:sz w:val="24"/>
        </w:rPr>
        <w:t>Kinerja</w:t>
      </w:r>
      <w:r>
        <w:rPr>
          <w:spacing w:val="-5"/>
          <w:sz w:val="24"/>
        </w:rPr>
        <w:t> </w:t>
      </w:r>
      <w:r>
        <w:rPr>
          <w:spacing w:val="-2"/>
          <w:sz w:val="24"/>
        </w:rPr>
        <w:t>Keuangan</w:t>
      </w:r>
    </w:p>
    <w:p>
      <w:pPr>
        <w:pStyle w:val="BodyText"/>
      </w:pPr>
    </w:p>
    <w:p>
      <w:pPr>
        <w:pStyle w:val="BodyText"/>
        <w:spacing w:line="480" w:lineRule="auto"/>
        <w:ind w:left="2694" w:right="707"/>
        <w:jc w:val="both"/>
      </w:pPr>
      <w:r>
        <w:rPr/>
        <w:t>Kinerja keuangan dalam konteks dunia industri mengandung pengertian yang sangat luas. Pengertian kinerja keuangan menurut Ikatan Akuntan Indonesia (2007)</w:t>
      </w:r>
      <w:r>
        <w:rPr>
          <w:spacing w:val="58"/>
          <w:w w:val="150"/>
        </w:rPr>
        <w:t>  </w:t>
      </w:r>
      <w:r>
        <w:rPr/>
        <w:t>adalah</w:t>
      </w:r>
      <w:r>
        <w:rPr>
          <w:spacing w:val="59"/>
          <w:w w:val="150"/>
        </w:rPr>
        <w:t>  </w:t>
      </w:r>
      <w:r>
        <w:rPr/>
        <w:t>kemampuan</w:t>
      </w:r>
      <w:r>
        <w:rPr>
          <w:spacing w:val="58"/>
          <w:w w:val="150"/>
        </w:rPr>
        <w:t>  </w:t>
      </w:r>
      <w:r>
        <w:rPr/>
        <w:t>perusahaan</w:t>
      </w:r>
      <w:r>
        <w:rPr>
          <w:spacing w:val="59"/>
          <w:w w:val="150"/>
        </w:rPr>
        <w:t>  </w:t>
      </w:r>
      <w:r>
        <w:rPr>
          <w:spacing w:val="-2"/>
        </w:rPr>
        <w:t>dalam</w:t>
      </w:r>
    </w:p>
    <w:p>
      <w:pPr>
        <w:pStyle w:val="BodyText"/>
        <w:spacing w:after="0" w:line="480" w:lineRule="auto"/>
        <w:jc w:val="both"/>
        <w:sectPr>
          <w:pgSz w:w="11910" w:h="16840"/>
          <w:pgMar w:header="719" w:footer="0" w:top="980" w:bottom="280" w:left="1559" w:right="992"/>
        </w:sectPr>
      </w:pPr>
    </w:p>
    <w:p>
      <w:pPr>
        <w:pStyle w:val="BodyText"/>
      </w:pPr>
    </w:p>
    <w:p>
      <w:pPr>
        <w:pStyle w:val="BodyText"/>
      </w:pPr>
    </w:p>
    <w:p>
      <w:pPr>
        <w:pStyle w:val="BodyText"/>
      </w:pPr>
    </w:p>
    <w:p>
      <w:pPr>
        <w:pStyle w:val="BodyText"/>
        <w:spacing w:before="179"/>
      </w:pPr>
    </w:p>
    <w:p>
      <w:pPr>
        <w:pStyle w:val="BodyText"/>
        <w:spacing w:line="480" w:lineRule="auto"/>
        <w:ind w:left="2694" w:right="708"/>
        <w:jc w:val="both"/>
      </w:pPr>
      <w:r>
        <w:rPr/>
        <w:t>mengelola danmengendalikan sumber daya yang dimilikinya. Kinerja keuangan, yang biasanya dinilai dengan menggunakan metrik kecukupan modal, likuiditas, dan profitabilitas, menggambarkan kondisi keuangan perusahaan selama periode waktu tertentu yang berkaitan dengan masalah pengumpulan dan penyaluran dana. (Jumingan, 2006:239). Informasi mengenai kinerja keuangan juga dapat dianalisis melalui laporan keuangan perusahaan yang tersedia di situs web Bursa Efek Indonesia. Laporan keuangan pada dasarnya berfungsi sebagai sarana komunikasi yang menghubungkan perusahaan dengan berbagai pemangku kepentingan, menampilkan kondisi kesehatan finansial serta kinerja operasional </w:t>
      </w:r>
      <w:r>
        <w:rPr>
          <w:spacing w:val="-2"/>
        </w:rPr>
        <w:t>perusahaan.</w:t>
      </w:r>
    </w:p>
    <w:p>
      <w:pPr>
        <w:pStyle w:val="ListParagraph"/>
        <w:numPr>
          <w:ilvl w:val="3"/>
          <w:numId w:val="14"/>
        </w:numPr>
        <w:tabs>
          <w:tab w:pos="2692" w:val="left" w:leader="none"/>
        </w:tabs>
        <w:spacing w:line="240" w:lineRule="auto" w:before="0" w:after="0"/>
        <w:ind w:left="2692" w:right="0" w:hanging="424"/>
        <w:jc w:val="both"/>
        <w:rPr>
          <w:i/>
          <w:sz w:val="24"/>
        </w:rPr>
      </w:pPr>
      <w:r>
        <w:rPr>
          <w:i/>
          <w:sz w:val="24"/>
        </w:rPr>
        <w:t>Political</w:t>
      </w:r>
      <w:r>
        <w:rPr>
          <w:i/>
          <w:spacing w:val="-7"/>
          <w:sz w:val="24"/>
        </w:rPr>
        <w:t> </w:t>
      </w:r>
      <w:r>
        <w:rPr>
          <w:i/>
          <w:spacing w:val="-4"/>
          <w:sz w:val="24"/>
        </w:rPr>
        <w:t>Cost</w:t>
      </w:r>
    </w:p>
    <w:p>
      <w:pPr>
        <w:pStyle w:val="BodyText"/>
        <w:rPr>
          <w:i/>
        </w:rPr>
      </w:pPr>
    </w:p>
    <w:p>
      <w:pPr>
        <w:pStyle w:val="BodyText"/>
        <w:spacing w:line="480" w:lineRule="auto"/>
        <w:ind w:left="2694" w:right="707"/>
        <w:jc w:val="both"/>
      </w:pPr>
      <w:r>
        <w:rPr/>
        <w:t>Sebuah perusahaan didefinisikan sebagai berafiliasi secara politik jika presiden (CEO) perusahaan tersebut adalah pejabat pemerintah saat ini atau sebelumnya (Purwanto &amp; Harsono, 2022). Industri yang berafiliasi secara politik adalah perusahaan di mana setidaknya salah satu dari pemegang saham mayoritas adalah anggota</w:t>
      </w:r>
      <w:r>
        <w:rPr>
          <w:spacing w:val="72"/>
        </w:rPr>
        <w:t>  </w:t>
      </w:r>
      <w:r>
        <w:rPr/>
        <w:t>dewan</w:t>
      </w:r>
      <w:r>
        <w:rPr>
          <w:spacing w:val="72"/>
        </w:rPr>
        <w:t>  </w:t>
      </w:r>
      <w:r>
        <w:rPr/>
        <w:t>direksi,</w:t>
      </w:r>
      <w:r>
        <w:rPr>
          <w:spacing w:val="72"/>
        </w:rPr>
        <w:t>  </w:t>
      </w:r>
      <w:r>
        <w:rPr/>
        <w:t>dewan</w:t>
      </w:r>
      <w:r>
        <w:rPr>
          <w:spacing w:val="72"/>
        </w:rPr>
        <w:t>  </w:t>
      </w:r>
      <w:r>
        <w:rPr/>
        <w:t>eksekutif,</w:t>
      </w:r>
      <w:r>
        <w:rPr>
          <w:spacing w:val="72"/>
        </w:rPr>
        <w:t>  </w:t>
      </w:r>
      <w:r>
        <w:rPr/>
        <w:t>atau</w:t>
      </w:r>
    </w:p>
    <w:p>
      <w:pPr>
        <w:pStyle w:val="BodyText"/>
        <w:spacing w:after="0" w:line="480" w:lineRule="auto"/>
        <w:jc w:val="both"/>
        <w:sectPr>
          <w:pgSz w:w="11910" w:h="16840"/>
          <w:pgMar w:header="719" w:footer="0" w:top="980" w:bottom="280" w:left="1559" w:right="992"/>
        </w:sectPr>
      </w:pPr>
    </w:p>
    <w:p>
      <w:pPr>
        <w:pStyle w:val="BodyText"/>
      </w:pPr>
    </w:p>
    <w:p>
      <w:pPr>
        <w:pStyle w:val="BodyText"/>
      </w:pPr>
    </w:p>
    <w:p>
      <w:pPr>
        <w:pStyle w:val="BodyText"/>
      </w:pPr>
    </w:p>
    <w:p>
      <w:pPr>
        <w:pStyle w:val="BodyText"/>
        <w:spacing w:before="179"/>
      </w:pPr>
    </w:p>
    <w:p>
      <w:pPr>
        <w:pStyle w:val="BodyText"/>
        <w:spacing w:line="480" w:lineRule="auto"/>
        <w:ind w:left="2694" w:right="709"/>
        <w:jc w:val="both"/>
      </w:pPr>
      <w:r>
        <w:rPr/>
        <w:t>manajemen perusahaan yang memiliki hubungan dekat dengan partai politik atau memegang posisi pejabat negara atau anggota parlemen (Kristanto, 2019).</w:t>
      </w:r>
    </w:p>
    <w:p>
      <w:pPr>
        <w:pStyle w:val="Heading2"/>
        <w:numPr>
          <w:ilvl w:val="2"/>
          <w:numId w:val="14"/>
        </w:numPr>
        <w:tabs>
          <w:tab w:pos="2266" w:val="left" w:leader="none"/>
        </w:tabs>
        <w:spacing w:line="240" w:lineRule="auto" w:before="0" w:after="0"/>
        <w:ind w:left="2266" w:right="0" w:hanging="358"/>
        <w:jc w:val="both"/>
      </w:pPr>
      <w:r>
        <w:rPr/>
        <w:t>Variabel</w:t>
      </w:r>
      <w:r>
        <w:rPr>
          <w:spacing w:val="-6"/>
        </w:rPr>
        <w:t> </w:t>
      </w:r>
      <w:r>
        <w:rPr/>
        <w:t>Moderasi</w:t>
      </w:r>
      <w:r>
        <w:rPr>
          <w:spacing w:val="-5"/>
        </w:rPr>
        <w:t> </w:t>
      </w:r>
      <w:r>
        <w:rPr/>
        <w:t>(Variabel</w:t>
      </w:r>
      <w:r>
        <w:rPr>
          <w:spacing w:val="-5"/>
        </w:rPr>
        <w:t> M)</w:t>
      </w:r>
    </w:p>
    <w:p>
      <w:pPr>
        <w:pStyle w:val="BodyText"/>
        <w:rPr>
          <w:b/>
        </w:rPr>
      </w:pPr>
    </w:p>
    <w:p>
      <w:pPr>
        <w:pStyle w:val="ListParagraph"/>
        <w:numPr>
          <w:ilvl w:val="3"/>
          <w:numId w:val="14"/>
        </w:numPr>
        <w:tabs>
          <w:tab w:pos="2693" w:val="left" w:leader="none"/>
        </w:tabs>
        <w:spacing w:line="240" w:lineRule="auto" w:before="0" w:after="0"/>
        <w:ind w:left="2693" w:right="0" w:hanging="425"/>
        <w:jc w:val="left"/>
        <w:rPr>
          <w:sz w:val="24"/>
        </w:rPr>
      </w:pPr>
      <w:r>
        <w:rPr>
          <w:sz w:val="24"/>
        </w:rPr>
        <w:t>Ukuran</w:t>
      </w:r>
      <w:r>
        <w:rPr>
          <w:spacing w:val="-5"/>
          <w:sz w:val="24"/>
        </w:rPr>
        <w:t> </w:t>
      </w:r>
      <w:r>
        <w:rPr>
          <w:spacing w:val="-2"/>
          <w:sz w:val="24"/>
        </w:rPr>
        <w:t>Perusahaan</w:t>
      </w:r>
    </w:p>
    <w:p>
      <w:pPr>
        <w:pStyle w:val="BodyText"/>
      </w:pPr>
    </w:p>
    <w:p>
      <w:pPr>
        <w:pStyle w:val="BodyText"/>
        <w:spacing w:line="480" w:lineRule="auto"/>
        <w:ind w:left="2694" w:right="707"/>
        <w:jc w:val="both"/>
      </w:pPr>
      <w:r>
        <w:rPr/>
        <w:t>Ukuran perusahaan diukur melalui total pendapatan, total aset, dan kapitalisasi pasar. Perusahaan yang lebih besar cenderung lebih banyak menggunakan modal asing. Menurut Jogiyanto (2013:282), ukuran perusahaan merupakan suatu skala yang mengklasifikasikan perusahaan berdasarkan berbagai indikator, seperti total aktiva, log size, dan nilai pasar saham. Dapat disimpulkan bahwa ukuran perusahaan mencerminkan besar kecilnya perusahaan yang dapat mempengaruhi struktur modal. Jumlah total aset yang dimiliki menunjukkan ukuran bisnis; semakin besar aset keseluruhan, semakin besar bisnisnya.</w:t>
      </w:r>
    </w:p>
    <w:p>
      <w:pPr>
        <w:pStyle w:val="Heading2"/>
        <w:numPr>
          <w:ilvl w:val="1"/>
          <w:numId w:val="14"/>
        </w:numPr>
        <w:tabs>
          <w:tab w:pos="1982" w:val="left" w:leader="none"/>
        </w:tabs>
        <w:spacing w:line="240" w:lineRule="auto" w:before="0" w:after="0"/>
        <w:ind w:left="1982" w:right="0" w:hanging="358"/>
        <w:jc w:val="both"/>
      </w:pPr>
      <w:r>
        <w:rPr/>
        <w:t>Operasional</w:t>
      </w:r>
      <w:r>
        <w:rPr>
          <w:spacing w:val="-7"/>
        </w:rPr>
        <w:t> </w:t>
      </w:r>
      <w:r>
        <w:rPr>
          <w:spacing w:val="-2"/>
        </w:rPr>
        <w:t>Variabel</w:t>
      </w:r>
    </w:p>
    <w:p>
      <w:pPr>
        <w:pStyle w:val="BodyText"/>
        <w:rPr>
          <w:b/>
        </w:rPr>
      </w:pPr>
    </w:p>
    <w:p>
      <w:pPr>
        <w:pStyle w:val="BodyText"/>
        <w:spacing w:line="480" w:lineRule="auto"/>
        <w:ind w:left="1984" w:right="708" w:firstLine="709"/>
        <w:jc w:val="both"/>
      </w:pPr>
      <w:r>
        <w:rPr/>
        <w:t>Operasional variabel merupakan suatu proses penjabaran variabel penelitian ke dalam subvariabel, dimensi, indikator subvariabel, dan pengukuran. Variabel dalam penelitian ini dijabarkan dalam tabel berikut:</w:t>
      </w:r>
    </w:p>
    <w:p>
      <w:pPr>
        <w:spacing w:before="200"/>
        <w:ind w:left="2583" w:right="0" w:firstLine="0"/>
        <w:jc w:val="both"/>
        <w:rPr>
          <w:sz w:val="24"/>
        </w:rPr>
      </w:pPr>
      <w:bookmarkStart w:name="_bookmark33" w:id="34"/>
      <w:bookmarkEnd w:id="34"/>
      <w:r>
        <w:rPr/>
      </w:r>
      <w:r>
        <w:rPr>
          <w:b/>
          <w:sz w:val="24"/>
        </w:rPr>
        <w:t>Tabel</w:t>
      </w:r>
      <w:r>
        <w:rPr>
          <w:b/>
          <w:spacing w:val="-6"/>
          <w:sz w:val="24"/>
        </w:rPr>
        <w:t> </w:t>
      </w:r>
      <w:r>
        <w:rPr>
          <w:b/>
          <w:sz w:val="24"/>
        </w:rPr>
        <w:t>3.4</w:t>
      </w:r>
      <w:r>
        <w:rPr>
          <w:b/>
          <w:spacing w:val="-5"/>
          <w:sz w:val="24"/>
        </w:rPr>
        <w:t> </w:t>
      </w:r>
      <w:r>
        <w:rPr>
          <w:sz w:val="24"/>
        </w:rPr>
        <w:t>Definisi</w:t>
      </w:r>
      <w:r>
        <w:rPr>
          <w:spacing w:val="-5"/>
          <w:sz w:val="24"/>
        </w:rPr>
        <w:t> </w:t>
      </w:r>
      <w:r>
        <w:rPr>
          <w:sz w:val="24"/>
        </w:rPr>
        <w:t>Operasional</w:t>
      </w:r>
      <w:r>
        <w:rPr>
          <w:spacing w:val="-5"/>
          <w:sz w:val="24"/>
        </w:rPr>
        <w:t> </w:t>
      </w:r>
      <w:r>
        <w:rPr>
          <w:spacing w:val="-2"/>
          <w:sz w:val="24"/>
        </w:rPr>
        <w:t>Variabel</w:t>
      </w:r>
    </w:p>
    <w:p>
      <w:pPr>
        <w:spacing w:after="0"/>
        <w:jc w:val="both"/>
        <w:rPr>
          <w:sz w:val="24"/>
        </w:rPr>
        <w:sectPr>
          <w:pgSz w:w="11910" w:h="16840"/>
          <w:pgMar w:header="719" w:footer="0" w:top="980" w:bottom="280" w:left="1559" w:right="99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8"/>
        <w:rPr>
          <w:sz w:val="20"/>
        </w:rPr>
      </w:pPr>
    </w:p>
    <w:tbl>
      <w:tblPr>
        <w:tblW w:w="0" w:type="auto"/>
        <w:jc w:val="left"/>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7"/>
        <w:gridCol w:w="1817"/>
        <w:gridCol w:w="4571"/>
        <w:gridCol w:w="1097"/>
      </w:tblGrid>
      <w:tr>
        <w:trPr>
          <w:trHeight w:val="413" w:hRule="atLeast"/>
        </w:trPr>
        <w:tc>
          <w:tcPr>
            <w:tcW w:w="1817" w:type="dxa"/>
          </w:tcPr>
          <w:p>
            <w:pPr>
              <w:pStyle w:val="TableParagraph"/>
              <w:spacing w:before="5"/>
              <w:ind w:left="468"/>
              <w:rPr>
                <w:sz w:val="24"/>
              </w:rPr>
            </w:pPr>
            <w:r>
              <w:rPr>
                <w:spacing w:val="-2"/>
                <w:sz w:val="24"/>
              </w:rPr>
              <w:t>Variabel</w:t>
            </w:r>
          </w:p>
        </w:tc>
        <w:tc>
          <w:tcPr>
            <w:tcW w:w="1817" w:type="dxa"/>
          </w:tcPr>
          <w:p>
            <w:pPr>
              <w:pStyle w:val="TableParagraph"/>
              <w:spacing w:before="5"/>
              <w:ind w:left="414"/>
              <w:rPr>
                <w:sz w:val="24"/>
              </w:rPr>
            </w:pPr>
            <w:r>
              <w:rPr>
                <w:spacing w:val="-2"/>
                <w:sz w:val="24"/>
              </w:rPr>
              <w:t>Deskripsi</w:t>
            </w:r>
          </w:p>
        </w:tc>
        <w:tc>
          <w:tcPr>
            <w:tcW w:w="4571" w:type="dxa"/>
          </w:tcPr>
          <w:p>
            <w:pPr>
              <w:pStyle w:val="TableParagraph"/>
              <w:spacing w:before="5"/>
              <w:ind w:left="8"/>
              <w:jc w:val="center"/>
              <w:rPr>
                <w:sz w:val="24"/>
              </w:rPr>
            </w:pPr>
            <w:r>
              <w:rPr>
                <w:spacing w:val="-2"/>
                <w:sz w:val="24"/>
              </w:rPr>
              <w:t>Pengukuran</w:t>
            </w:r>
          </w:p>
        </w:tc>
        <w:tc>
          <w:tcPr>
            <w:tcW w:w="1097" w:type="dxa"/>
          </w:tcPr>
          <w:p>
            <w:pPr>
              <w:pStyle w:val="TableParagraph"/>
              <w:spacing w:before="5"/>
              <w:ind w:left="8"/>
              <w:jc w:val="center"/>
              <w:rPr>
                <w:sz w:val="24"/>
              </w:rPr>
            </w:pPr>
            <w:r>
              <w:rPr>
                <w:spacing w:val="-2"/>
                <w:sz w:val="24"/>
              </w:rPr>
              <w:t>Skala</w:t>
            </w:r>
          </w:p>
        </w:tc>
      </w:tr>
      <w:tr>
        <w:trPr>
          <w:trHeight w:val="3808" w:hRule="atLeast"/>
        </w:trPr>
        <w:tc>
          <w:tcPr>
            <w:tcW w:w="1817" w:type="dxa"/>
          </w:tcPr>
          <w:p>
            <w:pPr>
              <w:pStyle w:val="TableParagraph"/>
              <w:spacing w:line="276" w:lineRule="auto" w:before="5"/>
              <w:rPr>
                <w:i/>
                <w:sz w:val="24"/>
              </w:rPr>
            </w:pPr>
            <w:r>
              <w:rPr>
                <w:i/>
                <w:spacing w:val="-2"/>
                <w:sz w:val="24"/>
              </w:rPr>
              <w:t>Environmental, Social, Governance (ESG)</w:t>
            </w:r>
          </w:p>
          <w:p>
            <w:pPr>
              <w:pStyle w:val="TableParagraph"/>
              <w:rPr>
                <w:i/>
                <w:sz w:val="24"/>
              </w:rPr>
            </w:pPr>
            <w:r>
              <w:rPr>
                <w:i/>
                <w:spacing w:val="-2"/>
                <w:sz w:val="24"/>
              </w:rPr>
              <w:t>Disclosure</w:t>
            </w:r>
          </w:p>
        </w:tc>
        <w:tc>
          <w:tcPr>
            <w:tcW w:w="1817" w:type="dxa"/>
          </w:tcPr>
          <w:p>
            <w:pPr>
              <w:pStyle w:val="TableParagraph"/>
              <w:spacing w:before="5"/>
              <w:rPr>
                <w:sz w:val="24"/>
              </w:rPr>
            </w:pPr>
            <w:r>
              <w:rPr>
                <w:spacing w:val="-5"/>
                <w:sz w:val="24"/>
              </w:rPr>
              <w:t>ESG</w:t>
            </w:r>
          </w:p>
          <w:p>
            <w:pPr>
              <w:pStyle w:val="TableParagraph"/>
              <w:tabs>
                <w:tab w:pos="1001" w:val="left" w:leader="none"/>
                <w:tab w:pos="1254" w:val="left" w:leader="none"/>
              </w:tabs>
              <w:spacing w:line="276" w:lineRule="auto" w:before="41"/>
              <w:ind w:right="96"/>
              <w:rPr>
                <w:sz w:val="24"/>
              </w:rPr>
            </w:pPr>
            <w:r>
              <w:rPr>
                <w:spacing w:val="-2"/>
                <w:sz w:val="24"/>
              </w:rPr>
              <w:t>disclosure </w:t>
            </w:r>
            <w:r>
              <w:rPr>
                <w:sz w:val="24"/>
              </w:rPr>
              <w:t>diukur</w:t>
            </w:r>
            <w:r>
              <w:rPr>
                <w:spacing w:val="40"/>
                <w:sz w:val="24"/>
              </w:rPr>
              <w:t> </w:t>
            </w:r>
            <w:r>
              <w:rPr>
                <w:sz w:val="24"/>
              </w:rPr>
              <w:t>dengan </w:t>
            </w:r>
            <w:r>
              <w:rPr>
                <w:spacing w:val="-2"/>
                <w:sz w:val="24"/>
              </w:rPr>
              <w:t>perbandingan antara</w:t>
            </w:r>
            <w:r>
              <w:rPr>
                <w:sz w:val="24"/>
              </w:rPr>
              <w:tab/>
            </w:r>
            <w:r>
              <w:rPr>
                <w:spacing w:val="-2"/>
                <w:sz w:val="24"/>
              </w:rPr>
              <w:t>jumalh </w:t>
            </w:r>
            <w:r>
              <w:rPr>
                <w:sz w:val="24"/>
              </w:rPr>
              <w:t>item</w:t>
            </w:r>
            <w:r>
              <w:rPr>
                <w:spacing w:val="-17"/>
                <w:sz w:val="24"/>
              </w:rPr>
              <w:t> </w:t>
            </w:r>
            <w:r>
              <w:rPr>
                <w:sz w:val="24"/>
              </w:rPr>
              <w:t>disclosure </w:t>
            </w:r>
            <w:r>
              <w:rPr>
                <w:spacing w:val="-2"/>
                <w:sz w:val="24"/>
              </w:rPr>
              <w:t>perusahaan dengan</w:t>
            </w:r>
            <w:r>
              <w:rPr>
                <w:sz w:val="24"/>
              </w:rPr>
              <w:tab/>
              <w:tab/>
            </w:r>
            <w:r>
              <w:rPr>
                <w:spacing w:val="-4"/>
                <w:sz w:val="24"/>
              </w:rPr>
              <w:t>total </w:t>
            </w:r>
            <w:r>
              <w:rPr>
                <w:sz w:val="24"/>
              </w:rPr>
              <w:t>item</w:t>
            </w:r>
            <w:r>
              <w:rPr>
                <w:spacing w:val="-17"/>
                <w:sz w:val="24"/>
              </w:rPr>
              <w:t> </w:t>
            </w:r>
            <w:r>
              <w:rPr>
                <w:sz w:val="24"/>
              </w:rPr>
              <w:t>disclosure </w:t>
            </w:r>
            <w:r>
              <w:rPr>
                <w:spacing w:val="-2"/>
                <w:sz w:val="24"/>
              </w:rPr>
              <w:t>standar</w:t>
            </w:r>
            <w:r>
              <w:rPr>
                <w:sz w:val="24"/>
              </w:rPr>
              <w:tab/>
              <w:tab/>
            </w:r>
            <w:r>
              <w:rPr>
                <w:spacing w:val="-42"/>
                <w:sz w:val="24"/>
              </w:rPr>
              <w:t> </w:t>
            </w:r>
            <w:r>
              <w:rPr>
                <w:spacing w:val="-4"/>
                <w:sz w:val="24"/>
              </w:rPr>
              <w:t>GRI</w:t>
            </w:r>
          </w:p>
          <w:p>
            <w:pPr>
              <w:pStyle w:val="TableParagraph"/>
              <w:tabs>
                <w:tab w:pos="1548" w:val="left" w:leader="none"/>
              </w:tabs>
              <w:rPr>
                <w:sz w:val="24"/>
              </w:rPr>
            </w:pPr>
            <w:r>
              <w:rPr>
                <w:spacing w:val="-2"/>
                <w:sz w:val="24"/>
              </w:rPr>
              <w:t>(Ghazali</w:t>
            </w:r>
            <w:r>
              <w:rPr>
                <w:sz w:val="24"/>
              </w:rPr>
              <w:tab/>
            </w:r>
            <w:r>
              <w:rPr>
                <w:spacing w:val="-10"/>
                <w:sz w:val="24"/>
              </w:rPr>
              <w:t>&amp;</w:t>
            </w:r>
          </w:p>
          <w:p>
            <w:pPr>
              <w:pStyle w:val="TableParagraph"/>
              <w:spacing w:before="42"/>
              <w:rPr>
                <w:sz w:val="24"/>
              </w:rPr>
            </w:pPr>
            <w:r>
              <w:rPr>
                <w:sz w:val="24"/>
              </w:rPr>
              <w:t>Zulmaita</w:t>
            </w:r>
            <w:r>
              <w:rPr>
                <w:spacing w:val="-6"/>
                <w:sz w:val="24"/>
              </w:rPr>
              <w:t> </w:t>
            </w:r>
            <w:r>
              <w:rPr>
                <w:spacing w:val="-2"/>
                <w:sz w:val="24"/>
              </w:rPr>
              <w:t>2020)</w:t>
            </w:r>
          </w:p>
        </w:tc>
        <w:tc>
          <w:tcPr>
            <w:tcW w:w="4571" w:type="dxa"/>
          </w:tcPr>
          <w:p>
            <w:pPr>
              <w:pStyle w:val="TableParagraph"/>
              <w:ind w:left="0"/>
              <w:rPr>
                <w:sz w:val="24"/>
              </w:rPr>
            </w:pPr>
          </w:p>
          <w:p>
            <w:pPr>
              <w:pStyle w:val="TableParagraph"/>
              <w:spacing w:before="45"/>
              <w:ind w:left="0"/>
              <w:rPr>
                <w:sz w:val="24"/>
              </w:rPr>
            </w:pPr>
          </w:p>
          <w:p>
            <w:pPr>
              <w:pStyle w:val="TableParagraph"/>
              <w:ind w:left="8"/>
              <w:jc w:val="center"/>
              <w:rPr>
                <w:rFonts w:ascii="Cambria"/>
                <w:sz w:val="24"/>
              </w:rPr>
            </w:pPr>
            <w:r>
              <w:rPr>
                <w:rFonts w:ascii="Cambria"/>
                <w:spacing w:val="-5"/>
                <w:w w:val="110"/>
                <w:sz w:val="24"/>
              </w:rPr>
              <w:t>ESG</w:t>
            </w:r>
          </w:p>
          <w:p>
            <w:pPr>
              <w:pStyle w:val="TableParagraph"/>
              <w:spacing w:line="224" w:lineRule="exact" w:before="4"/>
              <w:ind w:left="419"/>
              <w:rPr>
                <w:rFonts w:ascii="Cambria"/>
                <w:sz w:val="24"/>
              </w:rPr>
            </w:pPr>
            <w:r>
              <w:rPr>
                <w:rFonts w:ascii="Cambria"/>
                <w:w w:val="105"/>
                <w:sz w:val="24"/>
                <w:u w:val="single"/>
              </w:rPr>
              <w:t>Jumlah</w:t>
            </w:r>
            <w:r>
              <w:rPr>
                <w:rFonts w:ascii="Cambria"/>
                <w:spacing w:val="-9"/>
                <w:w w:val="105"/>
                <w:sz w:val="24"/>
                <w:u w:val="single"/>
              </w:rPr>
              <w:t> </w:t>
            </w:r>
            <w:r>
              <w:rPr>
                <w:rFonts w:ascii="Cambria"/>
                <w:w w:val="105"/>
                <w:sz w:val="24"/>
                <w:u w:val="single"/>
              </w:rPr>
              <w:t>item</w:t>
            </w:r>
            <w:r>
              <w:rPr>
                <w:rFonts w:ascii="Cambria"/>
                <w:spacing w:val="-8"/>
                <w:w w:val="105"/>
                <w:sz w:val="24"/>
                <w:u w:val="single"/>
              </w:rPr>
              <w:t> </w:t>
            </w:r>
            <w:r>
              <w:rPr>
                <w:rFonts w:ascii="Cambria"/>
                <w:w w:val="105"/>
                <w:sz w:val="24"/>
                <w:u w:val="single"/>
              </w:rPr>
              <w:t>pengungkapan</w:t>
            </w:r>
            <w:r>
              <w:rPr>
                <w:rFonts w:ascii="Cambria"/>
                <w:spacing w:val="-8"/>
                <w:w w:val="105"/>
                <w:sz w:val="24"/>
                <w:u w:val="single"/>
              </w:rPr>
              <w:t> </w:t>
            </w:r>
            <w:r>
              <w:rPr>
                <w:rFonts w:ascii="Cambria"/>
                <w:spacing w:val="-2"/>
                <w:w w:val="105"/>
                <w:sz w:val="24"/>
                <w:u w:val="single"/>
              </w:rPr>
              <w:t>perusahaa</w:t>
            </w:r>
          </w:p>
          <w:p>
            <w:pPr>
              <w:pStyle w:val="TableParagraph"/>
              <w:spacing w:line="164" w:lineRule="exact"/>
              <w:rPr>
                <w:rFonts w:ascii="Cambria"/>
                <w:sz w:val="24"/>
              </w:rPr>
            </w:pPr>
            <w:r>
              <w:rPr>
                <w:rFonts w:ascii="Cambria"/>
                <w:spacing w:val="-10"/>
                <w:w w:val="120"/>
                <w:sz w:val="24"/>
              </w:rPr>
              <w:t>=</w:t>
            </w:r>
          </w:p>
          <w:p>
            <w:pPr>
              <w:pStyle w:val="TableParagraph"/>
              <w:spacing w:line="221" w:lineRule="exact"/>
              <w:ind w:left="919"/>
              <w:rPr>
                <w:rFonts w:ascii="Cambria"/>
                <w:sz w:val="24"/>
              </w:rPr>
            </w:pPr>
            <w:r>
              <w:rPr>
                <w:rFonts w:ascii="Cambria"/>
                <w:spacing w:val="-2"/>
                <w:w w:val="105"/>
                <w:sz w:val="24"/>
              </w:rPr>
              <w:t>Total</w:t>
            </w:r>
            <w:r>
              <w:rPr>
                <w:rFonts w:ascii="Cambria"/>
                <w:spacing w:val="-1"/>
                <w:w w:val="105"/>
                <w:sz w:val="24"/>
              </w:rPr>
              <w:t> </w:t>
            </w:r>
            <w:r>
              <w:rPr>
                <w:rFonts w:ascii="Cambria"/>
                <w:spacing w:val="-2"/>
                <w:w w:val="105"/>
                <w:sz w:val="24"/>
              </w:rPr>
              <w:t>item</w:t>
            </w:r>
            <w:r>
              <w:rPr>
                <w:rFonts w:ascii="Cambria"/>
                <w:spacing w:val="-1"/>
                <w:w w:val="105"/>
                <w:sz w:val="24"/>
              </w:rPr>
              <w:t> </w:t>
            </w:r>
            <w:r>
              <w:rPr>
                <w:rFonts w:ascii="Cambria"/>
                <w:spacing w:val="-2"/>
                <w:w w:val="105"/>
                <w:sz w:val="24"/>
              </w:rPr>
              <w:t>pengungkapan</w:t>
            </w:r>
            <w:r>
              <w:rPr>
                <w:rFonts w:ascii="Cambria"/>
                <w:spacing w:val="-1"/>
                <w:w w:val="105"/>
                <w:sz w:val="24"/>
              </w:rPr>
              <w:t> </w:t>
            </w:r>
            <w:r>
              <w:rPr>
                <w:rFonts w:ascii="Cambria"/>
                <w:spacing w:val="-5"/>
                <w:w w:val="105"/>
                <w:sz w:val="24"/>
              </w:rPr>
              <w:t>ESG</w:t>
            </w: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spacing w:before="37"/>
              <w:ind w:left="0"/>
              <w:rPr>
                <w:sz w:val="24"/>
              </w:rPr>
            </w:pPr>
          </w:p>
          <w:p>
            <w:pPr>
              <w:pStyle w:val="TableParagraph"/>
              <w:spacing w:before="1"/>
              <w:rPr>
                <w:sz w:val="24"/>
              </w:rPr>
            </w:pPr>
            <w:r>
              <w:rPr>
                <w:sz w:val="24"/>
              </w:rPr>
              <w:t>(Ghazali</w:t>
            </w:r>
            <w:r>
              <w:rPr>
                <w:spacing w:val="-5"/>
                <w:sz w:val="24"/>
              </w:rPr>
              <w:t> </w:t>
            </w:r>
            <w:r>
              <w:rPr>
                <w:sz w:val="24"/>
              </w:rPr>
              <w:t>&amp;</w:t>
            </w:r>
            <w:r>
              <w:rPr>
                <w:spacing w:val="-5"/>
                <w:sz w:val="24"/>
              </w:rPr>
              <w:t> </w:t>
            </w:r>
            <w:r>
              <w:rPr>
                <w:sz w:val="24"/>
              </w:rPr>
              <w:t>Zulmaita,</w:t>
            </w:r>
            <w:r>
              <w:rPr>
                <w:spacing w:val="-4"/>
                <w:sz w:val="24"/>
              </w:rPr>
              <w:t> </w:t>
            </w:r>
            <w:r>
              <w:rPr>
                <w:spacing w:val="-2"/>
                <w:sz w:val="24"/>
              </w:rPr>
              <w:t>2020)</w:t>
            </w:r>
          </w:p>
        </w:tc>
        <w:tc>
          <w:tcPr>
            <w:tcW w:w="1097" w:type="dxa"/>
          </w:tcPr>
          <w:p>
            <w:pPr>
              <w:pStyle w:val="TableParagraph"/>
              <w:spacing w:before="5"/>
              <w:ind w:left="8"/>
              <w:jc w:val="center"/>
              <w:rPr>
                <w:sz w:val="24"/>
              </w:rPr>
            </w:pPr>
            <w:r>
              <w:rPr>
                <w:spacing w:val="-2"/>
                <w:sz w:val="24"/>
              </w:rPr>
              <w:t>Rasio</w:t>
            </w:r>
          </w:p>
        </w:tc>
      </w:tr>
      <w:tr>
        <w:trPr>
          <w:trHeight w:val="6982" w:hRule="atLeast"/>
        </w:trPr>
        <w:tc>
          <w:tcPr>
            <w:tcW w:w="1817" w:type="dxa"/>
          </w:tcPr>
          <w:p>
            <w:pPr>
              <w:pStyle w:val="TableParagraph"/>
              <w:spacing w:line="276" w:lineRule="auto" w:before="5"/>
              <w:rPr>
                <w:sz w:val="24"/>
              </w:rPr>
            </w:pPr>
            <w:r>
              <w:rPr>
                <w:spacing w:val="-2"/>
                <w:sz w:val="24"/>
              </w:rPr>
              <w:t>Karakteristik </w:t>
            </w:r>
            <w:r>
              <w:rPr>
                <w:spacing w:val="-4"/>
                <w:sz w:val="24"/>
              </w:rPr>
              <w:t>CEO</w:t>
            </w:r>
          </w:p>
        </w:tc>
        <w:tc>
          <w:tcPr>
            <w:tcW w:w="1817" w:type="dxa"/>
          </w:tcPr>
          <w:p>
            <w:pPr>
              <w:pStyle w:val="TableParagraph"/>
              <w:tabs>
                <w:tab w:pos="1188" w:val="left" w:leader="none"/>
              </w:tabs>
              <w:spacing w:line="276" w:lineRule="auto" w:before="5"/>
              <w:ind w:right="96"/>
              <w:rPr>
                <w:sz w:val="24"/>
              </w:rPr>
            </w:pPr>
            <w:r>
              <w:rPr>
                <w:spacing w:val="-2"/>
                <w:sz w:val="24"/>
              </w:rPr>
              <w:t>Karakteristik seorang</w:t>
            </w:r>
            <w:r>
              <w:rPr>
                <w:sz w:val="24"/>
              </w:rPr>
              <w:tab/>
            </w:r>
            <w:r>
              <w:rPr>
                <w:spacing w:val="-4"/>
                <w:sz w:val="24"/>
              </w:rPr>
              <w:t>CEO </w:t>
            </w:r>
            <w:r>
              <w:rPr>
                <w:spacing w:val="-2"/>
                <w:sz w:val="24"/>
              </w:rPr>
              <w:t>dapat mempengaruhi dalam pengambilan keputusan investasi.</w:t>
            </w:r>
          </w:p>
          <w:p>
            <w:pPr>
              <w:pStyle w:val="TableParagraph"/>
              <w:tabs>
                <w:tab w:pos="788" w:val="left" w:leader="none"/>
                <w:tab w:pos="1548" w:val="left" w:leader="none"/>
              </w:tabs>
              <w:spacing w:line="276" w:lineRule="auto"/>
              <w:ind w:right="96"/>
              <w:rPr>
                <w:sz w:val="24"/>
              </w:rPr>
            </w:pPr>
            <w:r>
              <w:rPr>
                <w:spacing w:val="-2"/>
                <w:sz w:val="24"/>
              </w:rPr>
              <w:t>Perbedaan dalam karakteristik tersebut </w:t>
            </w:r>
            <w:r>
              <w:rPr>
                <w:sz w:val="24"/>
              </w:rPr>
              <w:t>membuat</w:t>
            </w:r>
            <w:r>
              <w:rPr>
                <w:spacing w:val="-15"/>
                <w:sz w:val="24"/>
              </w:rPr>
              <w:t> </w:t>
            </w:r>
            <w:r>
              <w:rPr>
                <w:sz w:val="24"/>
              </w:rPr>
              <w:t>CEO </w:t>
            </w:r>
            <w:r>
              <w:rPr>
                <w:spacing w:val="-2"/>
                <w:sz w:val="24"/>
              </w:rPr>
              <w:t>cenderung meremehkan </w:t>
            </w:r>
            <w:r>
              <w:rPr>
                <w:spacing w:val="-4"/>
                <w:sz w:val="24"/>
              </w:rPr>
              <w:t>atau</w:t>
            </w:r>
            <w:r>
              <w:rPr>
                <w:sz w:val="24"/>
              </w:rPr>
              <w:tab/>
            </w:r>
            <w:r>
              <w:rPr>
                <w:spacing w:val="-2"/>
                <w:sz w:val="24"/>
              </w:rPr>
              <w:t>melebih- </w:t>
            </w:r>
            <w:r>
              <w:rPr>
                <w:sz w:val="24"/>
              </w:rPr>
              <w:t>lebihkan</w:t>
            </w:r>
            <w:r>
              <w:rPr>
                <w:spacing w:val="40"/>
                <w:sz w:val="24"/>
              </w:rPr>
              <w:t> </w:t>
            </w:r>
            <w:r>
              <w:rPr>
                <w:sz w:val="24"/>
              </w:rPr>
              <w:t>risiko </w:t>
            </w:r>
            <w:r>
              <w:rPr>
                <w:spacing w:val="-2"/>
                <w:sz w:val="24"/>
              </w:rPr>
              <w:t>strategi perusahaan (Almulhim</w:t>
            </w:r>
            <w:r>
              <w:rPr>
                <w:sz w:val="24"/>
              </w:rPr>
              <w:tab/>
            </w:r>
            <w:r>
              <w:rPr>
                <w:spacing w:val="-10"/>
                <w:sz w:val="24"/>
              </w:rPr>
              <w:t>&amp; </w:t>
            </w:r>
            <w:r>
              <w:rPr>
                <w:spacing w:val="-2"/>
                <w:sz w:val="24"/>
              </w:rPr>
              <w:t>Aljughaiman</w:t>
            </w:r>
          </w:p>
          <w:p>
            <w:pPr>
              <w:pStyle w:val="TableParagraph"/>
              <w:rPr>
                <w:sz w:val="24"/>
              </w:rPr>
            </w:pPr>
            <w:r>
              <w:rPr>
                <w:spacing w:val="-2"/>
                <w:sz w:val="24"/>
              </w:rPr>
              <w:t>2023)</w:t>
            </w:r>
          </w:p>
        </w:tc>
        <w:tc>
          <w:tcPr>
            <w:tcW w:w="4571" w:type="dxa"/>
          </w:tcPr>
          <w:p>
            <w:pPr>
              <w:pStyle w:val="TableParagraph"/>
              <w:ind w:left="0"/>
              <w:rPr>
                <w:sz w:val="24"/>
              </w:rPr>
            </w:pPr>
          </w:p>
          <w:p>
            <w:pPr>
              <w:pStyle w:val="TableParagraph"/>
              <w:spacing w:before="45"/>
              <w:ind w:left="0"/>
              <w:rPr>
                <w:sz w:val="24"/>
              </w:rPr>
            </w:pPr>
          </w:p>
          <w:p>
            <w:pPr>
              <w:pStyle w:val="TableParagraph"/>
              <w:ind w:left="11" w:right="391"/>
              <w:jc w:val="center"/>
              <w:rPr>
                <w:rFonts w:ascii="Cambria" w:eastAsia="Cambria"/>
                <w:sz w:val="24"/>
              </w:rPr>
            </w:pPr>
            <w:r>
              <w:rPr>
                <w:rFonts w:ascii="Cambria" w:eastAsia="Cambria"/>
                <w:spacing w:val="6"/>
                <w:sz w:val="24"/>
              </w:rPr>
              <w:t>CEO</w:t>
            </w:r>
            <w:r>
              <w:rPr>
                <w:rFonts w:ascii="Cambria" w:eastAsia="Cambria"/>
                <w:spacing w:val="59"/>
                <w:sz w:val="24"/>
              </w:rPr>
              <w:t> </w:t>
            </w:r>
            <w:r>
              <w:rPr>
                <w:rFonts w:ascii="Cambria" w:eastAsia="Cambria"/>
                <w:spacing w:val="-2"/>
                <w:sz w:val="24"/>
              </w:rPr>
              <w:t>𝑇𝑒𝑛𝑢𝑟𝑒</w:t>
            </w:r>
          </w:p>
          <w:p>
            <w:pPr>
              <w:pStyle w:val="TableParagraph"/>
              <w:spacing w:before="10"/>
              <w:ind w:left="8" w:right="399"/>
              <w:jc w:val="center"/>
              <w:rPr>
                <w:rFonts w:ascii="Cambria"/>
                <w:sz w:val="24"/>
              </w:rPr>
            </w:pPr>
            <w:r>
              <w:rPr>
                <w:rFonts w:ascii="Cambria"/>
                <w:w w:val="105"/>
                <w:sz w:val="24"/>
              </w:rPr>
              <w:t>=</w:t>
            </w:r>
            <w:r>
              <w:rPr>
                <w:rFonts w:ascii="Cambria"/>
                <w:spacing w:val="59"/>
                <w:w w:val="105"/>
                <w:sz w:val="24"/>
              </w:rPr>
              <w:t> </w:t>
            </w:r>
            <w:r>
              <w:rPr>
                <w:rFonts w:ascii="Cambria"/>
                <w:w w:val="105"/>
                <w:sz w:val="24"/>
              </w:rPr>
              <w:t>Tahun</w:t>
            </w:r>
            <w:r>
              <w:rPr>
                <w:rFonts w:ascii="Cambria"/>
                <w:spacing w:val="7"/>
                <w:w w:val="105"/>
                <w:sz w:val="24"/>
              </w:rPr>
              <w:t> </w:t>
            </w:r>
            <w:r>
              <w:rPr>
                <w:rFonts w:ascii="Cambria"/>
                <w:spacing w:val="-2"/>
                <w:w w:val="105"/>
                <w:sz w:val="24"/>
              </w:rPr>
              <w:t>penelitian</w:t>
            </w:r>
          </w:p>
          <w:p>
            <w:pPr>
              <w:pStyle w:val="TableParagraph"/>
              <w:spacing w:before="23"/>
              <w:ind w:left="17" w:right="391"/>
              <w:jc w:val="center"/>
              <w:rPr>
                <w:rFonts w:ascii="Cambria" w:hAnsi="Cambria"/>
                <w:sz w:val="24"/>
              </w:rPr>
            </w:pPr>
            <w:r>
              <w:rPr>
                <w:rFonts w:ascii="Cambria" w:hAnsi="Cambria"/>
                <w:w w:val="105"/>
                <w:sz w:val="24"/>
              </w:rPr>
              <w:t>–</w:t>
            </w:r>
            <w:r>
              <w:rPr>
                <w:rFonts w:ascii="Cambria" w:hAnsi="Cambria"/>
                <w:spacing w:val="56"/>
                <w:w w:val="105"/>
                <w:sz w:val="24"/>
              </w:rPr>
              <w:t> </w:t>
            </w:r>
            <w:r>
              <w:rPr>
                <w:rFonts w:ascii="Cambria" w:hAnsi="Cambria"/>
                <w:w w:val="105"/>
                <w:sz w:val="24"/>
              </w:rPr>
              <w:t>Tahun</w:t>
            </w:r>
            <w:r>
              <w:rPr>
                <w:rFonts w:ascii="Cambria" w:hAnsi="Cambria"/>
                <w:spacing w:val="5"/>
                <w:w w:val="105"/>
                <w:sz w:val="24"/>
              </w:rPr>
              <w:t> </w:t>
            </w:r>
            <w:r>
              <w:rPr>
                <w:rFonts w:ascii="Cambria" w:hAnsi="Cambria"/>
                <w:w w:val="105"/>
                <w:sz w:val="24"/>
              </w:rPr>
              <w:t>pertama</w:t>
            </w:r>
            <w:r>
              <w:rPr>
                <w:rFonts w:ascii="Cambria" w:hAnsi="Cambria"/>
                <w:spacing w:val="5"/>
                <w:w w:val="105"/>
                <w:sz w:val="24"/>
              </w:rPr>
              <w:t> </w:t>
            </w:r>
            <w:r>
              <w:rPr>
                <w:rFonts w:ascii="Cambria" w:hAnsi="Cambria"/>
                <w:w w:val="105"/>
                <w:sz w:val="24"/>
              </w:rPr>
              <w:t>kali</w:t>
            </w:r>
            <w:r>
              <w:rPr>
                <w:rFonts w:ascii="Cambria" w:hAnsi="Cambria"/>
                <w:spacing w:val="6"/>
                <w:w w:val="105"/>
                <w:sz w:val="24"/>
              </w:rPr>
              <w:t> </w:t>
            </w:r>
            <w:r>
              <w:rPr>
                <w:rFonts w:ascii="Cambria" w:hAnsi="Cambria"/>
                <w:w w:val="105"/>
                <w:sz w:val="24"/>
              </w:rPr>
              <w:t>CEO</w:t>
            </w:r>
            <w:r>
              <w:rPr>
                <w:rFonts w:ascii="Cambria" w:hAnsi="Cambria"/>
                <w:spacing w:val="5"/>
                <w:w w:val="105"/>
                <w:sz w:val="24"/>
              </w:rPr>
              <w:t> </w:t>
            </w:r>
            <w:r>
              <w:rPr>
                <w:rFonts w:ascii="Cambria" w:hAnsi="Cambria"/>
                <w:spacing w:val="-2"/>
                <w:w w:val="105"/>
                <w:sz w:val="24"/>
              </w:rPr>
              <w:t>diangkat</w:t>
            </w: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spacing w:before="271"/>
              <w:ind w:left="0"/>
              <w:rPr>
                <w:sz w:val="24"/>
              </w:rPr>
            </w:pPr>
          </w:p>
          <w:p>
            <w:pPr>
              <w:pStyle w:val="TableParagraph"/>
              <w:ind w:left="251"/>
              <w:rPr>
                <w:sz w:val="24"/>
              </w:rPr>
            </w:pPr>
            <w:r>
              <w:rPr>
                <w:sz w:val="24"/>
              </w:rPr>
              <w:t>(Almulhim</w:t>
            </w:r>
            <w:r>
              <w:rPr>
                <w:spacing w:val="-4"/>
                <w:sz w:val="24"/>
              </w:rPr>
              <w:t> </w:t>
            </w:r>
            <w:r>
              <w:rPr>
                <w:sz w:val="24"/>
              </w:rPr>
              <w:t>&amp;</w:t>
            </w:r>
            <w:r>
              <w:rPr>
                <w:spacing w:val="-3"/>
                <w:sz w:val="24"/>
              </w:rPr>
              <w:t> </w:t>
            </w:r>
            <w:r>
              <w:rPr>
                <w:sz w:val="24"/>
              </w:rPr>
              <w:t>Aljughaiman</w:t>
            </w:r>
            <w:r>
              <w:rPr>
                <w:spacing w:val="-3"/>
                <w:sz w:val="24"/>
              </w:rPr>
              <w:t> </w:t>
            </w:r>
            <w:r>
              <w:rPr>
                <w:spacing w:val="-2"/>
                <w:sz w:val="24"/>
              </w:rPr>
              <w:t>2023)</w:t>
            </w:r>
          </w:p>
        </w:tc>
        <w:tc>
          <w:tcPr>
            <w:tcW w:w="1097" w:type="dxa"/>
          </w:tcPr>
          <w:p>
            <w:pPr>
              <w:pStyle w:val="TableParagraph"/>
              <w:spacing w:before="5"/>
              <w:ind w:left="8"/>
              <w:jc w:val="center"/>
              <w:rPr>
                <w:sz w:val="24"/>
              </w:rPr>
            </w:pPr>
            <w:r>
              <w:rPr>
                <w:spacing w:val="-2"/>
                <w:sz w:val="24"/>
              </w:rPr>
              <w:t>Rasio</w:t>
            </w:r>
          </w:p>
        </w:tc>
      </w:tr>
      <w:tr>
        <w:trPr>
          <w:trHeight w:val="1587" w:hRule="atLeast"/>
        </w:trPr>
        <w:tc>
          <w:tcPr>
            <w:tcW w:w="1817" w:type="dxa"/>
          </w:tcPr>
          <w:p>
            <w:pPr>
              <w:pStyle w:val="TableParagraph"/>
              <w:spacing w:line="276" w:lineRule="auto" w:before="5"/>
              <w:ind w:right="601"/>
              <w:rPr>
                <w:sz w:val="24"/>
              </w:rPr>
            </w:pPr>
            <w:r>
              <w:rPr>
                <w:spacing w:val="-2"/>
                <w:sz w:val="24"/>
              </w:rPr>
              <w:t>Kinerja Keuangan</w:t>
            </w:r>
          </w:p>
        </w:tc>
        <w:tc>
          <w:tcPr>
            <w:tcW w:w="1817" w:type="dxa"/>
          </w:tcPr>
          <w:p>
            <w:pPr>
              <w:pStyle w:val="TableParagraph"/>
              <w:tabs>
                <w:tab w:pos="1015" w:val="left" w:leader="none"/>
              </w:tabs>
              <w:spacing w:line="276" w:lineRule="auto" w:before="5"/>
              <w:ind w:right="96"/>
              <w:rPr>
                <w:rFonts w:ascii="Times New Roman"/>
                <w:sz w:val="24"/>
              </w:rPr>
            </w:pPr>
            <w:r>
              <w:rPr>
                <w:rFonts w:ascii="Times New Roman"/>
                <w:spacing w:val="-2"/>
                <w:sz w:val="24"/>
              </w:rPr>
              <w:t>Kinerja keuangan</w:t>
            </w:r>
            <w:r>
              <w:rPr>
                <w:rFonts w:ascii="Times New Roman"/>
                <w:spacing w:val="80"/>
                <w:sz w:val="24"/>
              </w:rPr>
              <w:t> </w:t>
            </w:r>
            <w:r>
              <w:rPr>
                <w:rFonts w:ascii="Times New Roman"/>
                <w:spacing w:val="-2"/>
                <w:sz w:val="24"/>
              </w:rPr>
              <w:t>diukur</w:t>
            </w:r>
            <w:r>
              <w:rPr>
                <w:rFonts w:ascii="Times New Roman"/>
                <w:sz w:val="24"/>
              </w:rPr>
              <w:tab/>
            </w:r>
            <w:r>
              <w:rPr>
                <w:rFonts w:ascii="Times New Roman"/>
                <w:spacing w:val="-2"/>
                <w:sz w:val="24"/>
              </w:rPr>
              <w:t>dengan perbandingan</w:t>
            </w:r>
          </w:p>
          <w:p>
            <w:pPr>
              <w:pStyle w:val="TableParagraph"/>
              <w:tabs>
                <w:tab w:pos="1308" w:val="left" w:leader="none"/>
              </w:tabs>
              <w:rPr>
                <w:rFonts w:ascii="Times New Roman"/>
                <w:sz w:val="24"/>
              </w:rPr>
            </w:pPr>
            <w:r>
              <w:rPr>
                <w:rFonts w:ascii="Times New Roman"/>
                <w:spacing w:val="-2"/>
                <w:sz w:val="24"/>
              </w:rPr>
              <w:t>rasio</w:t>
            </w:r>
            <w:r>
              <w:rPr>
                <w:rFonts w:ascii="Times New Roman"/>
                <w:sz w:val="24"/>
              </w:rPr>
              <w:tab/>
            </w:r>
            <w:r>
              <w:rPr>
                <w:rFonts w:ascii="Times New Roman"/>
                <w:spacing w:val="-4"/>
                <w:sz w:val="24"/>
              </w:rPr>
              <w:t>laba</w:t>
            </w:r>
          </w:p>
        </w:tc>
        <w:tc>
          <w:tcPr>
            <w:tcW w:w="4571" w:type="dxa"/>
          </w:tcPr>
          <w:p>
            <w:pPr>
              <w:pStyle w:val="TableParagraph"/>
              <w:spacing w:line="224" w:lineRule="exact" w:before="274"/>
              <w:ind w:left="1014"/>
              <w:rPr>
                <w:rFonts w:ascii="Cambria"/>
                <w:sz w:val="24"/>
              </w:rPr>
            </w:pPr>
            <w:r>
              <w:rPr>
                <w:rFonts w:ascii="Cambria"/>
                <w:spacing w:val="-26"/>
                <w:sz w:val="24"/>
                <w:u w:val="single"/>
              </w:rPr>
              <w:t> </w:t>
            </w:r>
            <w:r>
              <w:rPr>
                <w:rFonts w:ascii="Cambria"/>
                <w:sz w:val="24"/>
                <w:u w:val="single"/>
              </w:rPr>
              <w:t>Laba</w:t>
            </w:r>
            <w:r>
              <w:rPr>
                <w:rFonts w:ascii="Cambria"/>
                <w:spacing w:val="9"/>
                <w:sz w:val="24"/>
                <w:u w:val="single"/>
              </w:rPr>
              <w:t> </w:t>
            </w:r>
            <w:r>
              <w:rPr>
                <w:rFonts w:ascii="Cambria"/>
                <w:sz w:val="24"/>
                <w:u w:val="single"/>
              </w:rPr>
              <w:t>bersih</w:t>
            </w:r>
            <w:r>
              <w:rPr>
                <w:rFonts w:ascii="Cambria"/>
                <w:spacing w:val="8"/>
                <w:sz w:val="24"/>
                <w:u w:val="single"/>
              </w:rPr>
              <w:t> </w:t>
            </w:r>
            <w:r>
              <w:rPr>
                <w:rFonts w:ascii="Cambria"/>
                <w:sz w:val="24"/>
                <w:u w:val="single"/>
              </w:rPr>
              <w:t>setelah</w:t>
            </w:r>
            <w:r>
              <w:rPr>
                <w:rFonts w:ascii="Cambria"/>
                <w:spacing w:val="9"/>
                <w:sz w:val="24"/>
                <w:u w:val="single"/>
              </w:rPr>
              <w:t> </w:t>
            </w:r>
            <w:r>
              <w:rPr>
                <w:rFonts w:ascii="Cambria"/>
                <w:spacing w:val="-2"/>
                <w:sz w:val="24"/>
                <w:u w:val="single"/>
              </w:rPr>
              <w:t>pajak</w:t>
            </w:r>
          </w:p>
          <w:p>
            <w:pPr>
              <w:pStyle w:val="TableParagraph"/>
              <w:tabs>
                <w:tab w:pos="3756" w:val="left" w:leader="none"/>
              </w:tabs>
              <w:spacing w:line="164" w:lineRule="exact"/>
              <w:ind w:left="135"/>
              <w:rPr>
                <w:rFonts w:ascii="Cambria" w:eastAsia="Cambria"/>
                <w:sz w:val="22"/>
              </w:rPr>
            </w:pPr>
            <w:r>
              <w:rPr>
                <w:rFonts w:ascii="Cambria" w:eastAsia="Cambria"/>
                <w:w w:val="105"/>
                <w:sz w:val="24"/>
              </w:rPr>
              <w:t>ROE</w:t>
            </w:r>
            <w:r>
              <w:rPr>
                <w:rFonts w:ascii="Cambria" w:eastAsia="Cambria"/>
                <w:spacing w:val="41"/>
                <w:w w:val="105"/>
                <w:sz w:val="24"/>
              </w:rPr>
              <w:t> </w:t>
            </w:r>
            <w:r>
              <w:rPr>
                <w:rFonts w:ascii="Cambria" w:eastAsia="Cambria"/>
                <w:spacing w:val="-10"/>
                <w:w w:val="105"/>
                <w:sz w:val="24"/>
              </w:rPr>
              <w:t>=</w:t>
            </w:r>
            <w:r>
              <w:rPr>
                <w:rFonts w:ascii="Cambria" w:eastAsia="Cambria"/>
                <w:sz w:val="24"/>
              </w:rPr>
              <w:tab/>
            </w:r>
            <w:r>
              <w:rPr>
                <w:rFonts w:ascii="Cambria" w:eastAsia="Cambria"/>
                <w:w w:val="105"/>
                <w:sz w:val="22"/>
              </w:rPr>
              <w:t>𝑥</w:t>
            </w:r>
            <w:r>
              <w:rPr>
                <w:rFonts w:ascii="Cambria" w:eastAsia="Cambria"/>
                <w:spacing w:val="-11"/>
                <w:w w:val="105"/>
                <w:sz w:val="22"/>
              </w:rPr>
              <w:t> </w:t>
            </w:r>
            <w:r>
              <w:rPr>
                <w:rFonts w:ascii="Cambria" w:eastAsia="Cambria"/>
                <w:spacing w:val="-4"/>
                <w:w w:val="105"/>
                <w:sz w:val="22"/>
              </w:rPr>
              <w:t>100%</w:t>
            </w:r>
          </w:p>
          <w:p>
            <w:pPr>
              <w:pStyle w:val="TableParagraph"/>
              <w:spacing w:line="221" w:lineRule="exact"/>
              <w:ind w:left="1014"/>
              <w:rPr>
                <w:rFonts w:ascii="Cambria"/>
                <w:sz w:val="24"/>
              </w:rPr>
            </w:pPr>
            <w:r>
              <w:rPr>
                <w:rFonts w:ascii="Cambria"/>
                <w:w w:val="105"/>
                <w:sz w:val="24"/>
              </w:rPr>
              <w:t>Ekuitas</w:t>
            </w:r>
            <w:r>
              <w:rPr>
                <w:rFonts w:ascii="Cambria"/>
                <w:spacing w:val="-13"/>
                <w:w w:val="105"/>
                <w:sz w:val="24"/>
              </w:rPr>
              <w:t> </w:t>
            </w:r>
            <w:r>
              <w:rPr>
                <w:rFonts w:ascii="Cambria"/>
                <w:w w:val="105"/>
                <w:sz w:val="24"/>
              </w:rPr>
              <w:t>pemegang</w:t>
            </w:r>
            <w:r>
              <w:rPr>
                <w:rFonts w:ascii="Cambria"/>
                <w:spacing w:val="-13"/>
                <w:w w:val="105"/>
                <w:sz w:val="24"/>
              </w:rPr>
              <w:t> </w:t>
            </w:r>
            <w:r>
              <w:rPr>
                <w:rFonts w:ascii="Cambria"/>
                <w:spacing w:val="-2"/>
                <w:w w:val="105"/>
                <w:sz w:val="24"/>
              </w:rPr>
              <w:t>saham</w:t>
            </w:r>
          </w:p>
        </w:tc>
        <w:tc>
          <w:tcPr>
            <w:tcW w:w="1097" w:type="dxa"/>
          </w:tcPr>
          <w:p>
            <w:pPr>
              <w:pStyle w:val="TableParagraph"/>
              <w:spacing w:before="5"/>
              <w:ind w:left="8"/>
              <w:jc w:val="center"/>
              <w:rPr>
                <w:sz w:val="24"/>
              </w:rPr>
            </w:pPr>
            <w:r>
              <w:rPr>
                <w:spacing w:val="-2"/>
                <w:sz w:val="24"/>
              </w:rPr>
              <w:t>Rasio</w:t>
            </w:r>
          </w:p>
        </w:tc>
      </w:tr>
    </w:tbl>
    <w:p>
      <w:pPr>
        <w:pStyle w:val="TableParagraph"/>
        <w:spacing w:after="0"/>
        <w:jc w:val="center"/>
        <w:rPr>
          <w:sz w:val="24"/>
        </w:rPr>
        <w:sectPr>
          <w:pgSz w:w="11910" w:h="16840"/>
          <w:pgMar w:header="719" w:footer="0" w:top="980" w:bottom="280" w:left="1559" w:right="99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8"/>
        <w:rPr>
          <w:sz w:val="20"/>
        </w:rPr>
      </w:pPr>
    </w:p>
    <w:tbl>
      <w:tblPr>
        <w:tblW w:w="0" w:type="auto"/>
        <w:jc w:val="left"/>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7"/>
        <w:gridCol w:w="1817"/>
        <w:gridCol w:w="4571"/>
        <w:gridCol w:w="1097"/>
      </w:tblGrid>
      <w:tr>
        <w:trPr>
          <w:trHeight w:val="1269" w:hRule="atLeast"/>
        </w:trPr>
        <w:tc>
          <w:tcPr>
            <w:tcW w:w="1817" w:type="dxa"/>
          </w:tcPr>
          <w:p>
            <w:pPr>
              <w:pStyle w:val="TableParagraph"/>
              <w:ind w:left="0"/>
              <w:rPr>
                <w:rFonts w:ascii="Times New Roman"/>
                <w:sz w:val="24"/>
              </w:rPr>
            </w:pPr>
          </w:p>
        </w:tc>
        <w:tc>
          <w:tcPr>
            <w:tcW w:w="1817" w:type="dxa"/>
          </w:tcPr>
          <w:p>
            <w:pPr>
              <w:pStyle w:val="TableParagraph"/>
              <w:spacing w:line="276" w:lineRule="auto" w:before="5"/>
              <w:ind w:right="97"/>
              <w:jc w:val="both"/>
              <w:rPr>
                <w:rFonts w:ascii="Times New Roman"/>
                <w:sz w:val="24"/>
              </w:rPr>
            </w:pPr>
            <w:r>
              <w:rPr>
                <w:rFonts w:ascii="Times New Roman"/>
                <w:sz w:val="24"/>
              </w:rPr>
              <w:t>setelah </w:t>
            </w:r>
            <w:r>
              <w:rPr>
                <w:rFonts w:ascii="Times New Roman"/>
                <w:sz w:val="24"/>
              </w:rPr>
              <w:t>pajak terhadap</w:t>
            </w:r>
            <w:r>
              <w:rPr>
                <w:rFonts w:ascii="Times New Roman"/>
                <w:spacing w:val="-4"/>
                <w:sz w:val="24"/>
              </w:rPr>
              <w:t> </w:t>
            </w:r>
            <w:r>
              <w:rPr>
                <w:rFonts w:ascii="Times New Roman"/>
                <w:sz w:val="24"/>
              </w:rPr>
              <w:t>ekuitas </w:t>
            </w:r>
            <w:r>
              <w:rPr>
                <w:rFonts w:ascii="Times New Roman"/>
                <w:spacing w:val="-2"/>
                <w:sz w:val="24"/>
              </w:rPr>
              <w:t>pemegang</w:t>
            </w:r>
          </w:p>
          <w:p>
            <w:pPr>
              <w:pStyle w:val="TableParagraph"/>
              <w:rPr>
                <w:rFonts w:ascii="Times New Roman"/>
                <w:sz w:val="24"/>
              </w:rPr>
            </w:pPr>
            <w:r>
              <w:rPr>
                <w:rFonts w:ascii="Times New Roman"/>
                <w:spacing w:val="-2"/>
                <w:sz w:val="24"/>
              </w:rPr>
              <w:t>saham.</w:t>
            </w:r>
          </w:p>
        </w:tc>
        <w:tc>
          <w:tcPr>
            <w:tcW w:w="4571" w:type="dxa"/>
          </w:tcPr>
          <w:p>
            <w:pPr>
              <w:pStyle w:val="TableParagraph"/>
              <w:spacing w:before="5"/>
              <w:rPr>
                <w:sz w:val="24"/>
              </w:rPr>
            </w:pPr>
            <w:r>
              <w:rPr>
                <w:sz w:val="24"/>
              </w:rPr>
              <w:t>(Wardhani,</w:t>
            </w:r>
            <w:r>
              <w:rPr>
                <w:spacing w:val="-4"/>
                <w:sz w:val="24"/>
              </w:rPr>
              <w:t> </w:t>
            </w:r>
            <w:r>
              <w:rPr>
                <w:sz w:val="24"/>
              </w:rPr>
              <w:t>et</w:t>
            </w:r>
            <w:r>
              <w:rPr>
                <w:spacing w:val="-4"/>
                <w:sz w:val="24"/>
              </w:rPr>
              <w:t> </w:t>
            </w:r>
            <w:r>
              <w:rPr>
                <w:sz w:val="24"/>
              </w:rPr>
              <w:t>al.</w:t>
            </w:r>
            <w:r>
              <w:rPr>
                <w:spacing w:val="-3"/>
                <w:sz w:val="24"/>
              </w:rPr>
              <w:t> </w:t>
            </w:r>
            <w:r>
              <w:rPr>
                <w:spacing w:val="-2"/>
                <w:sz w:val="24"/>
              </w:rPr>
              <w:t>2021)</w:t>
            </w:r>
          </w:p>
        </w:tc>
        <w:tc>
          <w:tcPr>
            <w:tcW w:w="1097" w:type="dxa"/>
          </w:tcPr>
          <w:p>
            <w:pPr>
              <w:pStyle w:val="TableParagraph"/>
              <w:ind w:left="0"/>
              <w:rPr>
                <w:rFonts w:ascii="Times New Roman"/>
                <w:sz w:val="24"/>
              </w:rPr>
            </w:pPr>
          </w:p>
        </w:tc>
      </w:tr>
      <w:tr>
        <w:trPr>
          <w:trHeight w:val="4443" w:hRule="atLeast"/>
        </w:trPr>
        <w:tc>
          <w:tcPr>
            <w:tcW w:w="1817" w:type="dxa"/>
          </w:tcPr>
          <w:p>
            <w:pPr>
              <w:pStyle w:val="TableParagraph"/>
              <w:spacing w:before="5"/>
              <w:rPr>
                <w:i/>
                <w:sz w:val="24"/>
              </w:rPr>
            </w:pPr>
            <w:r>
              <w:rPr>
                <w:i/>
                <w:sz w:val="24"/>
              </w:rPr>
              <w:t>Political</w:t>
            </w:r>
            <w:r>
              <w:rPr>
                <w:i/>
                <w:spacing w:val="-7"/>
                <w:sz w:val="24"/>
              </w:rPr>
              <w:t> </w:t>
            </w:r>
            <w:r>
              <w:rPr>
                <w:i/>
                <w:spacing w:val="-4"/>
                <w:sz w:val="24"/>
              </w:rPr>
              <w:t>Cost</w:t>
            </w:r>
          </w:p>
        </w:tc>
        <w:tc>
          <w:tcPr>
            <w:tcW w:w="1817" w:type="dxa"/>
          </w:tcPr>
          <w:p>
            <w:pPr>
              <w:pStyle w:val="TableParagraph"/>
              <w:tabs>
                <w:tab w:pos="988" w:val="left" w:leader="none"/>
                <w:tab w:pos="1228" w:val="left" w:leader="none"/>
                <w:tab w:pos="1268" w:val="left" w:leader="none"/>
                <w:tab w:pos="1548" w:val="left" w:leader="none"/>
              </w:tabs>
              <w:spacing w:line="276" w:lineRule="auto" w:before="5"/>
              <w:ind w:right="96"/>
              <w:rPr>
                <w:sz w:val="24"/>
              </w:rPr>
            </w:pPr>
            <w:r>
              <w:rPr>
                <w:spacing w:val="-2"/>
                <w:sz w:val="24"/>
              </w:rPr>
              <w:t>Political</w:t>
            </w:r>
            <w:r>
              <w:rPr>
                <w:sz w:val="24"/>
              </w:rPr>
              <w:tab/>
              <w:tab/>
              <w:tab/>
            </w:r>
            <w:r>
              <w:rPr>
                <w:spacing w:val="-4"/>
                <w:sz w:val="24"/>
              </w:rPr>
              <w:t>cost </w:t>
            </w:r>
            <w:r>
              <w:rPr>
                <w:spacing w:val="-2"/>
                <w:sz w:val="24"/>
              </w:rPr>
              <w:t>mengatakan </w:t>
            </w:r>
            <w:r>
              <w:rPr>
                <w:sz w:val="24"/>
              </w:rPr>
              <w:t>semakin</w:t>
            </w:r>
            <w:r>
              <w:rPr>
                <w:spacing w:val="29"/>
                <w:sz w:val="24"/>
              </w:rPr>
              <w:t> </w:t>
            </w:r>
            <w:r>
              <w:rPr>
                <w:sz w:val="24"/>
              </w:rPr>
              <w:t>tinggi </w:t>
            </w:r>
            <w:r>
              <w:rPr>
                <w:spacing w:val="-2"/>
                <w:sz w:val="24"/>
              </w:rPr>
              <w:t>skala</w:t>
            </w:r>
            <w:r>
              <w:rPr>
                <w:sz w:val="24"/>
              </w:rPr>
              <w:tab/>
            </w:r>
            <w:r>
              <w:rPr>
                <w:spacing w:val="-2"/>
                <w:sz w:val="24"/>
              </w:rPr>
              <w:t>emiten </w:t>
            </w:r>
            <w:r>
              <w:rPr>
                <w:sz w:val="24"/>
              </w:rPr>
              <w:t>maka</w:t>
            </w:r>
            <w:r>
              <w:rPr>
                <w:spacing w:val="16"/>
                <w:sz w:val="24"/>
              </w:rPr>
              <w:t> </w:t>
            </w:r>
            <w:r>
              <w:rPr>
                <w:sz w:val="24"/>
              </w:rPr>
              <w:t>semakin </w:t>
            </w:r>
            <w:r>
              <w:rPr>
                <w:spacing w:val="-2"/>
                <w:sz w:val="24"/>
              </w:rPr>
              <w:t>tinggi menghadapi persoalan politis</w:t>
            </w:r>
            <w:r>
              <w:rPr>
                <w:spacing w:val="80"/>
                <w:sz w:val="24"/>
              </w:rPr>
              <w:t> </w:t>
            </w:r>
            <w:r>
              <w:rPr>
                <w:spacing w:val="-2"/>
                <w:sz w:val="24"/>
              </w:rPr>
              <w:t>daripada emiten</w:t>
            </w:r>
            <w:r>
              <w:rPr>
                <w:sz w:val="24"/>
              </w:rPr>
              <w:tab/>
              <w:tab/>
            </w:r>
            <w:r>
              <w:rPr>
                <w:spacing w:val="-4"/>
                <w:sz w:val="24"/>
              </w:rPr>
              <w:t>kecil </w:t>
            </w:r>
            <w:r>
              <w:rPr>
                <w:spacing w:val="-2"/>
                <w:sz w:val="24"/>
              </w:rPr>
              <w:t>(Reskino</w:t>
            </w:r>
            <w:r>
              <w:rPr>
                <w:sz w:val="24"/>
              </w:rPr>
              <w:tab/>
              <w:tab/>
              <w:tab/>
            </w:r>
            <w:r>
              <w:rPr>
                <w:spacing w:val="-10"/>
                <w:sz w:val="24"/>
              </w:rPr>
              <w:t>&amp; </w:t>
            </w:r>
            <w:r>
              <w:rPr>
                <w:spacing w:val="-2"/>
                <w:sz w:val="24"/>
              </w:rPr>
              <w:t>Vemiliyarni,</w:t>
            </w:r>
          </w:p>
          <w:p>
            <w:pPr>
              <w:pStyle w:val="TableParagraph"/>
              <w:rPr>
                <w:sz w:val="24"/>
              </w:rPr>
            </w:pPr>
            <w:r>
              <w:rPr>
                <w:spacing w:val="-2"/>
                <w:sz w:val="24"/>
              </w:rPr>
              <w:t>2014)</w:t>
            </w:r>
          </w:p>
        </w:tc>
        <w:tc>
          <w:tcPr>
            <w:tcW w:w="4571" w:type="dxa"/>
          </w:tcPr>
          <w:p>
            <w:pPr>
              <w:pStyle w:val="TableParagraph"/>
              <w:spacing w:line="276" w:lineRule="auto" w:before="5"/>
              <w:ind w:right="210"/>
              <w:rPr>
                <w:sz w:val="24"/>
              </w:rPr>
            </w:pPr>
            <w:r>
              <w:rPr>
                <w:sz w:val="24"/>
              </w:rPr>
              <w:t>Pengukuran menggunakan </w:t>
            </w:r>
            <w:r>
              <w:rPr>
                <w:i/>
                <w:sz w:val="24"/>
              </w:rPr>
              <w:t>dummy, </w:t>
            </w:r>
            <w:r>
              <w:rPr>
                <w:sz w:val="24"/>
              </w:rPr>
              <w:t>di mana perusahaan diberikan skor 1 jika CEO-nya</w:t>
            </w:r>
            <w:r>
              <w:rPr>
                <w:spacing w:val="-10"/>
                <w:sz w:val="24"/>
              </w:rPr>
              <w:t> </w:t>
            </w:r>
            <w:r>
              <w:rPr>
                <w:sz w:val="24"/>
              </w:rPr>
              <w:t>sedang</w:t>
            </w:r>
            <w:r>
              <w:rPr>
                <w:spacing w:val="-10"/>
                <w:sz w:val="24"/>
              </w:rPr>
              <w:t> </w:t>
            </w:r>
            <w:r>
              <w:rPr>
                <w:sz w:val="24"/>
              </w:rPr>
              <w:t>atau</w:t>
            </w:r>
            <w:r>
              <w:rPr>
                <w:spacing w:val="-10"/>
                <w:sz w:val="24"/>
              </w:rPr>
              <w:t> </w:t>
            </w:r>
            <w:r>
              <w:rPr>
                <w:sz w:val="24"/>
              </w:rPr>
              <w:t>pernah</w:t>
            </w:r>
            <w:r>
              <w:rPr>
                <w:spacing w:val="-10"/>
                <w:sz w:val="24"/>
              </w:rPr>
              <w:t> </w:t>
            </w:r>
            <w:r>
              <w:rPr>
                <w:sz w:val="24"/>
              </w:rPr>
              <w:t>menjabat di pemerintahan/organisasi politk dan 0 jika tidak sedang atau tidak pernah menjabat di pemerintahan/organisasi </w:t>
            </w:r>
            <w:r>
              <w:rPr>
                <w:spacing w:val="-2"/>
                <w:sz w:val="24"/>
              </w:rPr>
              <w:t>politk</w:t>
            </w:r>
          </w:p>
        </w:tc>
        <w:tc>
          <w:tcPr>
            <w:tcW w:w="1097" w:type="dxa"/>
          </w:tcPr>
          <w:p>
            <w:pPr>
              <w:pStyle w:val="TableParagraph"/>
              <w:spacing w:before="5"/>
              <w:ind w:left="8"/>
              <w:jc w:val="center"/>
              <w:rPr>
                <w:sz w:val="24"/>
              </w:rPr>
            </w:pPr>
            <w:r>
              <w:rPr>
                <w:spacing w:val="-2"/>
                <w:sz w:val="24"/>
              </w:rPr>
              <w:t>Nominal</w:t>
            </w:r>
          </w:p>
        </w:tc>
      </w:tr>
      <w:tr>
        <w:trPr>
          <w:trHeight w:val="3173" w:hRule="atLeast"/>
        </w:trPr>
        <w:tc>
          <w:tcPr>
            <w:tcW w:w="1817" w:type="dxa"/>
          </w:tcPr>
          <w:p>
            <w:pPr>
              <w:pStyle w:val="TableParagraph"/>
              <w:spacing w:line="276" w:lineRule="auto" w:before="5"/>
              <w:rPr>
                <w:sz w:val="24"/>
              </w:rPr>
            </w:pPr>
            <w:r>
              <w:rPr>
                <w:spacing w:val="-2"/>
                <w:sz w:val="24"/>
              </w:rPr>
              <w:t>Ukuran Perusahaan</w:t>
            </w:r>
          </w:p>
        </w:tc>
        <w:tc>
          <w:tcPr>
            <w:tcW w:w="1817" w:type="dxa"/>
          </w:tcPr>
          <w:p>
            <w:pPr>
              <w:pStyle w:val="TableParagraph"/>
              <w:spacing w:line="276" w:lineRule="auto" w:before="5"/>
              <w:rPr>
                <w:sz w:val="24"/>
              </w:rPr>
            </w:pPr>
            <w:r>
              <w:rPr>
                <w:spacing w:val="-2"/>
                <w:sz w:val="24"/>
              </w:rPr>
              <w:t>Ukuran perusahaan </w:t>
            </w:r>
            <w:r>
              <w:rPr>
                <w:sz w:val="24"/>
              </w:rPr>
              <w:t>diukur</w:t>
            </w:r>
            <w:r>
              <w:rPr>
                <w:spacing w:val="80"/>
                <w:sz w:val="24"/>
              </w:rPr>
              <w:t> </w:t>
            </w:r>
            <w:r>
              <w:rPr>
                <w:sz w:val="24"/>
              </w:rPr>
              <w:t>melalui </w:t>
            </w:r>
            <w:r>
              <w:rPr>
                <w:spacing w:val="-2"/>
                <w:sz w:val="24"/>
              </w:rPr>
              <w:t>total pendapatan, </w:t>
            </w:r>
            <w:r>
              <w:rPr>
                <w:sz w:val="24"/>
              </w:rPr>
              <w:t>total</w:t>
            </w:r>
            <w:r>
              <w:rPr>
                <w:spacing w:val="28"/>
                <w:sz w:val="24"/>
              </w:rPr>
              <w:t> </w:t>
            </w:r>
            <w:r>
              <w:rPr>
                <w:sz w:val="24"/>
              </w:rPr>
              <w:t>aset,</w:t>
            </w:r>
            <w:r>
              <w:rPr>
                <w:spacing w:val="28"/>
                <w:sz w:val="24"/>
              </w:rPr>
              <w:t> </w:t>
            </w:r>
            <w:r>
              <w:rPr>
                <w:sz w:val="24"/>
              </w:rPr>
              <w:t>dan </w:t>
            </w:r>
            <w:r>
              <w:rPr>
                <w:spacing w:val="-2"/>
                <w:sz w:val="24"/>
              </w:rPr>
              <w:t>kapitalisasi pasar. (Muchlisin,</w:t>
            </w:r>
          </w:p>
          <w:p>
            <w:pPr>
              <w:pStyle w:val="TableParagraph"/>
              <w:rPr>
                <w:sz w:val="24"/>
              </w:rPr>
            </w:pPr>
            <w:r>
              <w:rPr>
                <w:spacing w:val="-2"/>
                <w:sz w:val="24"/>
              </w:rPr>
              <w:t>2020)</w:t>
            </w:r>
          </w:p>
        </w:tc>
        <w:tc>
          <w:tcPr>
            <w:tcW w:w="4571" w:type="dxa"/>
          </w:tcPr>
          <w:p>
            <w:pPr>
              <w:pStyle w:val="TableParagraph"/>
              <w:spacing w:before="4"/>
              <w:ind w:left="0"/>
              <w:rPr>
                <w:sz w:val="24"/>
              </w:rPr>
            </w:pPr>
          </w:p>
          <w:p>
            <w:pPr>
              <w:pStyle w:val="TableParagraph"/>
              <w:ind w:left="1052"/>
              <w:rPr>
                <w:rFonts w:ascii="Cambria"/>
                <w:sz w:val="24"/>
              </w:rPr>
            </w:pPr>
            <w:r>
              <w:rPr>
                <w:rFonts w:ascii="Cambria"/>
                <w:w w:val="110"/>
                <w:sz w:val="24"/>
              </w:rPr>
              <w:t>UK</w:t>
            </w:r>
            <w:r>
              <w:rPr>
                <w:rFonts w:ascii="Cambria"/>
                <w:spacing w:val="10"/>
                <w:w w:val="110"/>
                <w:sz w:val="24"/>
              </w:rPr>
              <w:t> </w:t>
            </w:r>
            <w:r>
              <w:rPr>
                <w:rFonts w:ascii="Cambria"/>
                <w:w w:val="110"/>
                <w:sz w:val="24"/>
              </w:rPr>
              <w:t>=</w:t>
            </w:r>
            <w:r>
              <w:rPr>
                <w:rFonts w:ascii="Cambria"/>
                <w:spacing w:val="45"/>
                <w:w w:val="110"/>
                <w:sz w:val="24"/>
              </w:rPr>
              <w:t> </w:t>
            </w:r>
            <w:r>
              <w:rPr>
                <w:rFonts w:ascii="Cambria"/>
                <w:w w:val="110"/>
                <w:sz w:val="24"/>
              </w:rPr>
              <w:t>LN</w:t>
            </w:r>
            <w:r>
              <w:rPr>
                <w:rFonts w:ascii="Cambria"/>
                <w:spacing w:val="-2"/>
                <w:w w:val="110"/>
                <w:sz w:val="24"/>
              </w:rPr>
              <w:t> </w:t>
            </w:r>
            <w:r>
              <w:rPr>
                <w:rFonts w:ascii="Cambria"/>
                <w:w w:val="110"/>
                <w:sz w:val="24"/>
              </w:rPr>
              <w:t>(Total</w:t>
            </w:r>
            <w:r>
              <w:rPr>
                <w:rFonts w:ascii="Cambria"/>
                <w:spacing w:val="-3"/>
                <w:w w:val="110"/>
                <w:sz w:val="24"/>
              </w:rPr>
              <w:t> </w:t>
            </w:r>
            <w:r>
              <w:rPr>
                <w:rFonts w:ascii="Cambria"/>
                <w:spacing w:val="-2"/>
                <w:w w:val="110"/>
                <w:sz w:val="24"/>
              </w:rPr>
              <w:t>Asset)</w:t>
            </w:r>
          </w:p>
          <w:p>
            <w:pPr>
              <w:pStyle w:val="TableParagraph"/>
              <w:ind w:left="0"/>
              <w:rPr>
                <w:sz w:val="24"/>
              </w:rPr>
            </w:pPr>
          </w:p>
          <w:p>
            <w:pPr>
              <w:pStyle w:val="TableParagraph"/>
              <w:ind w:left="0"/>
              <w:rPr>
                <w:sz w:val="24"/>
              </w:rPr>
            </w:pPr>
          </w:p>
          <w:p>
            <w:pPr>
              <w:pStyle w:val="TableParagraph"/>
              <w:ind w:left="0"/>
              <w:rPr>
                <w:sz w:val="24"/>
              </w:rPr>
            </w:pPr>
          </w:p>
          <w:p>
            <w:pPr>
              <w:pStyle w:val="TableParagraph"/>
              <w:spacing w:before="52"/>
              <w:ind w:left="0"/>
              <w:rPr>
                <w:sz w:val="24"/>
              </w:rPr>
            </w:pPr>
          </w:p>
          <w:p>
            <w:pPr>
              <w:pStyle w:val="TableParagraph"/>
              <w:rPr>
                <w:sz w:val="24"/>
              </w:rPr>
            </w:pPr>
            <w:r>
              <w:rPr>
                <w:sz w:val="24"/>
              </w:rPr>
              <w:t>(Muchlisin,</w:t>
            </w:r>
            <w:r>
              <w:rPr>
                <w:spacing w:val="-10"/>
                <w:sz w:val="24"/>
              </w:rPr>
              <w:t> </w:t>
            </w:r>
            <w:r>
              <w:rPr>
                <w:spacing w:val="-2"/>
                <w:sz w:val="24"/>
              </w:rPr>
              <w:t>2020)</w:t>
            </w:r>
          </w:p>
        </w:tc>
        <w:tc>
          <w:tcPr>
            <w:tcW w:w="1097" w:type="dxa"/>
          </w:tcPr>
          <w:p>
            <w:pPr>
              <w:pStyle w:val="TableParagraph"/>
              <w:spacing w:before="5"/>
              <w:ind w:left="8"/>
              <w:jc w:val="center"/>
              <w:rPr>
                <w:sz w:val="24"/>
              </w:rPr>
            </w:pPr>
            <w:r>
              <w:rPr>
                <w:spacing w:val="-2"/>
                <w:sz w:val="24"/>
              </w:rPr>
              <w:t>Nominal</w:t>
            </w:r>
          </w:p>
        </w:tc>
      </w:tr>
    </w:tbl>
    <w:p>
      <w:pPr>
        <w:pStyle w:val="BodyText"/>
        <w:spacing w:before="6"/>
        <w:ind w:left="709"/>
      </w:pPr>
      <w:r>
        <w:rPr/>
        <w:t>Sumber:</w:t>
      </w:r>
      <w:r>
        <w:rPr>
          <w:spacing w:val="-7"/>
        </w:rPr>
        <w:t> </w:t>
      </w:r>
      <w:r>
        <w:rPr/>
        <w:t>Data</w:t>
      </w:r>
      <w:r>
        <w:rPr>
          <w:spacing w:val="-5"/>
        </w:rPr>
        <w:t> </w:t>
      </w:r>
      <w:r>
        <w:rPr/>
        <w:t>Diolah</w:t>
      </w:r>
      <w:r>
        <w:rPr>
          <w:spacing w:val="-5"/>
        </w:rPr>
        <w:t> </w:t>
      </w:r>
      <w:r>
        <w:rPr/>
        <w:t>Peneliti</w:t>
      </w:r>
      <w:r>
        <w:rPr>
          <w:spacing w:val="-4"/>
        </w:rPr>
        <w:t> </w:t>
      </w:r>
      <w:r>
        <w:rPr>
          <w:spacing w:val="-2"/>
        </w:rPr>
        <w:t>(2024)</w:t>
      </w:r>
    </w:p>
    <w:p>
      <w:pPr>
        <w:pStyle w:val="BodyText"/>
        <w:spacing w:before="200"/>
      </w:pPr>
    </w:p>
    <w:p>
      <w:pPr>
        <w:pStyle w:val="Heading2"/>
        <w:numPr>
          <w:ilvl w:val="0"/>
          <w:numId w:val="14"/>
        </w:numPr>
        <w:tabs>
          <w:tab w:pos="1133" w:val="left" w:leader="none"/>
        </w:tabs>
        <w:spacing w:line="240" w:lineRule="auto" w:before="0" w:after="0"/>
        <w:ind w:left="1133" w:right="0" w:hanging="355"/>
        <w:jc w:val="left"/>
      </w:pPr>
      <w:bookmarkStart w:name="_bookmark34" w:id="35"/>
      <w:bookmarkEnd w:id="35"/>
      <w:r>
        <w:rPr/>
        <w:t>Met</w:t>
      </w:r>
      <w:r>
        <w:rPr/>
        <w:t>ode</w:t>
      </w:r>
      <w:r>
        <w:rPr>
          <w:spacing w:val="-4"/>
        </w:rPr>
        <w:t> </w:t>
      </w:r>
      <w:r>
        <w:rPr/>
        <w:t>Pengumpulan</w:t>
      </w:r>
      <w:r>
        <w:rPr>
          <w:spacing w:val="-3"/>
        </w:rPr>
        <w:t> </w:t>
      </w:r>
      <w:r>
        <w:rPr>
          <w:spacing w:val="-4"/>
        </w:rPr>
        <w:t>Data</w:t>
      </w:r>
    </w:p>
    <w:p>
      <w:pPr>
        <w:pStyle w:val="BodyText"/>
        <w:rPr>
          <w:b/>
        </w:rPr>
      </w:pPr>
    </w:p>
    <w:p>
      <w:pPr>
        <w:pStyle w:val="BodyText"/>
        <w:spacing w:line="480" w:lineRule="auto"/>
        <w:ind w:left="1135" w:right="708" w:firstLine="708"/>
        <w:jc w:val="both"/>
      </w:pPr>
      <w:r>
        <w:rPr/>
        <w:t>Proses pengumpulan data akan melibatkan beberapa sumber informasi yang beragam. Pertama-tama, data akan diperoleh melalui laporan keuangan tahunan, yang merupakan dokumen resmi yang diterbitkan oleh perusahaan dan wajib disampaikan kepada otoritas pasar modal. Laporan keuangan ini akan memberikan wawasan yang</w:t>
      </w:r>
    </w:p>
    <w:p>
      <w:pPr>
        <w:pStyle w:val="BodyText"/>
        <w:spacing w:after="0" w:line="480" w:lineRule="auto"/>
        <w:jc w:val="both"/>
        <w:sectPr>
          <w:pgSz w:w="11910" w:h="16840"/>
          <w:pgMar w:header="719" w:footer="0" w:top="980" w:bottom="280" w:left="1559" w:right="992"/>
        </w:sectPr>
      </w:pPr>
    </w:p>
    <w:p>
      <w:pPr>
        <w:pStyle w:val="BodyText"/>
      </w:pPr>
    </w:p>
    <w:p>
      <w:pPr>
        <w:pStyle w:val="BodyText"/>
      </w:pPr>
    </w:p>
    <w:p>
      <w:pPr>
        <w:pStyle w:val="BodyText"/>
      </w:pPr>
    </w:p>
    <w:p>
      <w:pPr>
        <w:pStyle w:val="BodyText"/>
        <w:spacing w:before="179"/>
      </w:pPr>
    </w:p>
    <w:p>
      <w:pPr>
        <w:pStyle w:val="BodyText"/>
        <w:spacing w:line="480" w:lineRule="auto"/>
        <w:ind w:left="1134" w:right="708"/>
        <w:jc w:val="both"/>
      </w:pPr>
      <w:r>
        <w:rPr/>
        <w:t>komprehensif tentang kinerja keuangan perusahaan selama periode yang diteliti, termasuk informasi mengenai profitabilitas, likuiditas, dan </w:t>
      </w:r>
      <w:r>
        <w:rPr>
          <w:i/>
        </w:rPr>
        <w:t>leverage</w:t>
      </w:r>
      <w:r>
        <w:rPr/>
        <w:t>, yang menjadi bagian penting dari variabel kinerja keuangan dalam penelitian ini.</w:t>
      </w:r>
    </w:p>
    <w:p>
      <w:pPr>
        <w:pStyle w:val="BodyText"/>
        <w:spacing w:line="480" w:lineRule="auto"/>
        <w:ind w:left="1134" w:right="707" w:firstLine="708"/>
        <w:jc w:val="both"/>
      </w:pPr>
      <w:r>
        <w:rPr/>
        <w:t>Selanjutnya, data akan diperoleh dari laporan keberlanjutan perusahaan. Laporan keberlanjutan ini berisi informasi tentang berbagai inisiatif dan program yang dilakukan oleh perusahaan terkait dengan lingkungan, sosial, dan tata kelola perusahaan. Dalam</w:t>
      </w:r>
      <w:r>
        <w:rPr>
          <w:spacing w:val="40"/>
        </w:rPr>
        <w:t> </w:t>
      </w:r>
      <w:r>
        <w:rPr/>
        <w:t>konteks pengungkapan ESG, laporan keberlanjutan menjadi sumber utama untuk memahami sejauh mana perusahaan menerapkan praktik-praktik yang bertanggung jawab dan berkelanjutan. Selain itu, data juga akan dikumpulkan dari berbagai sumber literatur dan database yang relevan. Hal ini termasuk studi akademis, publikasi industri, dan laporan riset yang telah dilakukan sebelumnya. Sumber- sumber ini akan memberikan wawasan tambahan mengenai karakteristik CEO, </w:t>
      </w:r>
      <w:r>
        <w:rPr>
          <w:i/>
        </w:rPr>
        <w:t>political cost</w:t>
      </w:r>
      <w:r>
        <w:rPr/>
        <w:t>, dan aspek lain yang relevan dengan penelitian ini. Dengan memanfaatkan beragam sumber informasi ini, diharapkan data yang diperoleh akan menjadi representatif dan komprehensif, memungkinkan analisis yang mendalam tentang hubungan antara variabel yang diteliti dalam penelitian ini.</w:t>
      </w:r>
    </w:p>
    <w:p>
      <w:pPr>
        <w:pStyle w:val="BodyText"/>
      </w:pPr>
    </w:p>
    <w:p>
      <w:pPr>
        <w:pStyle w:val="BodyText"/>
      </w:pPr>
    </w:p>
    <w:p>
      <w:pPr>
        <w:pStyle w:val="Heading2"/>
        <w:numPr>
          <w:ilvl w:val="0"/>
          <w:numId w:val="14"/>
        </w:numPr>
        <w:tabs>
          <w:tab w:pos="1134" w:val="left" w:leader="none"/>
        </w:tabs>
        <w:spacing w:line="240" w:lineRule="auto" w:before="0" w:after="0"/>
        <w:ind w:left="1134" w:right="0" w:hanging="356"/>
        <w:jc w:val="left"/>
      </w:pPr>
      <w:bookmarkStart w:name="_bookmark35" w:id="36"/>
      <w:bookmarkEnd w:id="36"/>
      <w:r>
        <w:rPr/>
        <w:t>Met</w:t>
      </w:r>
      <w:r>
        <w:rPr/>
        <w:t>ode</w:t>
      </w:r>
      <w:r>
        <w:rPr>
          <w:spacing w:val="-5"/>
        </w:rPr>
        <w:t> </w:t>
      </w:r>
      <w:r>
        <w:rPr/>
        <w:t>Analisis</w:t>
      </w:r>
      <w:r>
        <w:rPr>
          <w:spacing w:val="-4"/>
        </w:rPr>
        <w:t> Data</w:t>
      </w:r>
    </w:p>
    <w:p>
      <w:pPr>
        <w:pStyle w:val="Heading2"/>
        <w:spacing w:after="0" w:line="240" w:lineRule="auto"/>
        <w:jc w:val="left"/>
        <w:sectPr>
          <w:pgSz w:w="11910" w:h="16840"/>
          <w:pgMar w:header="719" w:footer="0" w:top="980" w:bottom="280" w:left="1559" w:right="992"/>
        </w:sectPr>
      </w:pPr>
    </w:p>
    <w:p>
      <w:pPr>
        <w:pStyle w:val="BodyText"/>
        <w:rPr>
          <w:b/>
        </w:rPr>
      </w:pPr>
    </w:p>
    <w:p>
      <w:pPr>
        <w:pStyle w:val="BodyText"/>
        <w:rPr>
          <w:b/>
        </w:rPr>
      </w:pPr>
    </w:p>
    <w:p>
      <w:pPr>
        <w:pStyle w:val="BodyText"/>
        <w:rPr>
          <w:b/>
        </w:rPr>
      </w:pPr>
    </w:p>
    <w:p>
      <w:pPr>
        <w:pStyle w:val="BodyText"/>
        <w:spacing w:before="179"/>
        <w:rPr>
          <w:b/>
        </w:rPr>
      </w:pPr>
    </w:p>
    <w:p>
      <w:pPr>
        <w:pStyle w:val="BodyText"/>
        <w:spacing w:line="480" w:lineRule="auto"/>
        <w:ind w:left="1135" w:right="707" w:firstLine="708"/>
        <w:jc w:val="both"/>
      </w:pPr>
      <w:r>
        <w:rPr/>
        <w:t>Perhitungan statistik dilakukan dengan bantuan komputer melalui IBM </w:t>
      </w:r>
      <w:r>
        <w:rPr>
          <w:i/>
        </w:rPr>
        <w:t>Statistical Product and Service Solution </w:t>
      </w:r>
      <w:r>
        <w:rPr/>
        <w:t>(SPSS) Ver.26. Melalui IBM SPSS Ver.26 ini supaya dapat melihat apakah hubungan antara</w:t>
      </w:r>
      <w:r>
        <w:rPr>
          <w:spacing w:val="-1"/>
        </w:rPr>
        <w:t> </w:t>
      </w:r>
      <w:r>
        <w:rPr/>
        <w:t>variabel</w:t>
      </w:r>
      <w:r>
        <w:rPr>
          <w:spacing w:val="-1"/>
        </w:rPr>
        <w:t> </w:t>
      </w:r>
      <w:r>
        <w:rPr/>
        <w:t>bebas</w:t>
      </w:r>
      <w:r>
        <w:rPr>
          <w:spacing w:val="-1"/>
        </w:rPr>
        <w:t> </w:t>
      </w:r>
      <w:r>
        <w:rPr/>
        <w:t>dengan</w:t>
      </w:r>
      <w:r>
        <w:rPr>
          <w:spacing w:val="-1"/>
        </w:rPr>
        <w:t> </w:t>
      </w:r>
      <w:r>
        <w:rPr/>
        <w:t>variabel</w:t>
      </w:r>
      <w:r>
        <w:rPr>
          <w:spacing w:val="-1"/>
        </w:rPr>
        <w:t> </w:t>
      </w:r>
      <w:r>
        <w:rPr/>
        <w:t>terkait</w:t>
      </w:r>
      <w:r>
        <w:rPr>
          <w:spacing w:val="-1"/>
        </w:rPr>
        <w:t> </w:t>
      </w:r>
      <w:r>
        <w:rPr/>
        <w:t>bersifat</w:t>
      </w:r>
      <w:r>
        <w:rPr>
          <w:spacing w:val="-1"/>
        </w:rPr>
        <w:t> </w:t>
      </w:r>
      <w:r>
        <w:rPr/>
        <w:t>linear</w:t>
      </w:r>
      <w:r>
        <w:rPr>
          <w:spacing w:val="-1"/>
        </w:rPr>
        <w:t> </w:t>
      </w:r>
      <w:r>
        <w:rPr/>
        <w:t>atau</w:t>
      </w:r>
      <w:r>
        <w:rPr>
          <w:spacing w:val="-1"/>
        </w:rPr>
        <w:t> </w:t>
      </w:r>
      <w:r>
        <w:rPr/>
        <w:t>tidak. Dalam peneletitian ini, hubungan antara variabel bebas (X) dan variabel terkait (Y) dianggap linear jika nilai signifikan </w:t>
      </w:r>
      <w:r>
        <w:rPr>
          <w:i/>
        </w:rPr>
        <w:t>Devation From Linearity </w:t>
      </w:r>
      <w:r>
        <w:rPr/>
        <w:t>&gt; 0.05</w:t>
      </w:r>
    </w:p>
    <w:p>
      <w:pPr>
        <w:pStyle w:val="Heading2"/>
        <w:numPr>
          <w:ilvl w:val="1"/>
          <w:numId w:val="14"/>
        </w:numPr>
        <w:tabs>
          <w:tab w:pos="1416" w:val="left" w:leader="none"/>
        </w:tabs>
        <w:spacing w:line="240" w:lineRule="auto" w:before="0" w:after="0"/>
        <w:ind w:left="1416" w:right="0" w:hanging="358"/>
        <w:jc w:val="both"/>
      </w:pPr>
      <w:bookmarkStart w:name="_bookmark36" w:id="37"/>
      <w:bookmarkEnd w:id="37"/>
      <w:r>
        <w:rPr/>
        <w:t>A</w:t>
      </w:r>
      <w:r>
        <w:rPr/>
        <w:t>nalilis</w:t>
      </w:r>
      <w:r>
        <w:rPr>
          <w:spacing w:val="-6"/>
        </w:rPr>
        <w:t> </w:t>
      </w:r>
      <w:r>
        <w:rPr>
          <w:spacing w:val="-2"/>
        </w:rPr>
        <w:t>Deskriptif</w:t>
      </w:r>
    </w:p>
    <w:p>
      <w:pPr>
        <w:pStyle w:val="BodyText"/>
        <w:rPr>
          <w:b/>
        </w:rPr>
      </w:pPr>
    </w:p>
    <w:p>
      <w:pPr>
        <w:pStyle w:val="BodyText"/>
        <w:spacing w:line="480" w:lineRule="auto"/>
        <w:ind w:left="1429" w:right="708" w:firstLine="698"/>
        <w:jc w:val="both"/>
      </w:pPr>
      <w:r>
        <w:rPr/>
        <w:t>Statistik deskriptif merupakan statistik yang digunakan untuk menganalisis data melalui metode deskripsi atau gambaran data yang telah terkumpul, dengan tujuan mendapatkan kesimpulan secara umum. Penelitian yang menggunakan populasi pasti akan menggunakan statistik deskriptif dalam analisisnya.</w:t>
      </w:r>
    </w:p>
    <w:p>
      <w:pPr>
        <w:pStyle w:val="Heading2"/>
        <w:numPr>
          <w:ilvl w:val="1"/>
          <w:numId w:val="14"/>
        </w:numPr>
        <w:tabs>
          <w:tab w:pos="1416" w:val="left" w:leader="none"/>
        </w:tabs>
        <w:spacing w:line="240" w:lineRule="auto" w:before="0" w:after="0"/>
        <w:ind w:left="1416" w:right="0" w:hanging="358"/>
        <w:jc w:val="both"/>
      </w:pPr>
      <w:bookmarkStart w:name="_bookmark37" w:id="38"/>
      <w:bookmarkEnd w:id="38"/>
      <w:r>
        <w:rPr/>
        <w:t>Uj</w:t>
      </w:r>
      <w:r>
        <w:rPr/>
        <w:t>i</w:t>
      </w:r>
      <w:r>
        <w:rPr>
          <w:spacing w:val="-3"/>
        </w:rPr>
        <w:t> </w:t>
      </w:r>
      <w:r>
        <w:rPr/>
        <w:t>Asumsi</w:t>
      </w:r>
      <w:r>
        <w:rPr>
          <w:spacing w:val="-3"/>
        </w:rPr>
        <w:t> </w:t>
      </w:r>
      <w:r>
        <w:rPr>
          <w:spacing w:val="-2"/>
        </w:rPr>
        <w:t>Klasik</w:t>
      </w:r>
    </w:p>
    <w:p>
      <w:pPr>
        <w:pStyle w:val="BodyText"/>
        <w:rPr>
          <w:b/>
        </w:rPr>
      </w:pPr>
    </w:p>
    <w:p>
      <w:pPr>
        <w:pStyle w:val="BodyText"/>
        <w:spacing w:line="480" w:lineRule="auto"/>
        <w:ind w:left="1429" w:right="708" w:firstLine="556"/>
        <w:jc w:val="both"/>
      </w:pPr>
      <w:r>
        <w:rPr/>
        <w:t>Dalam melakukan uji asumsi klasik terhadap data ini, peneliti melakukan uji normalitas, uji autokorelasi, uji heteroskedastisitas,</w:t>
      </w:r>
      <w:r>
        <w:rPr>
          <w:spacing w:val="40"/>
        </w:rPr>
        <w:t> </w:t>
      </w:r>
      <w:r>
        <w:rPr/>
        <w:t>uji multikolinearitas, serta uji hipotesis. Berikut penjelasan dari jenis masing-masing uji asumsi klasik.</w:t>
      </w:r>
    </w:p>
    <w:p>
      <w:pPr>
        <w:pStyle w:val="ListParagraph"/>
        <w:numPr>
          <w:ilvl w:val="2"/>
          <w:numId w:val="14"/>
        </w:numPr>
        <w:tabs>
          <w:tab w:pos="1701" w:val="left" w:leader="none"/>
        </w:tabs>
        <w:spacing w:line="240" w:lineRule="auto" w:before="0" w:after="0"/>
        <w:ind w:left="1701" w:right="0" w:hanging="292"/>
        <w:jc w:val="both"/>
        <w:rPr>
          <w:sz w:val="24"/>
        </w:rPr>
      </w:pPr>
      <w:r>
        <w:rPr>
          <w:sz w:val="24"/>
        </w:rPr>
        <w:t>Uji</w:t>
      </w:r>
      <w:r>
        <w:rPr>
          <w:spacing w:val="-2"/>
          <w:sz w:val="24"/>
        </w:rPr>
        <w:t> Normalitas</w:t>
      </w:r>
    </w:p>
    <w:p>
      <w:pPr>
        <w:pStyle w:val="BodyText"/>
      </w:pPr>
    </w:p>
    <w:p>
      <w:pPr>
        <w:pStyle w:val="BodyText"/>
        <w:spacing w:line="480" w:lineRule="auto"/>
        <w:ind w:left="1703" w:right="708" w:firstLine="707"/>
        <w:jc w:val="both"/>
      </w:pPr>
      <w:r>
        <w:rPr/>
        <w:t>Uji normalitas digunakan untuk menguji data variabel bebas (X) dan variabel terikat (Y) dalam persamaan regresi yang dihasilkan. Dalam penelitian ini, uji normalitas dilakukan menggunakan uji Kolmogorov-Smirnov. Uji Kolmogorov-Smirnov</w:t>
      </w:r>
    </w:p>
    <w:p>
      <w:pPr>
        <w:pStyle w:val="BodyText"/>
        <w:spacing w:after="0" w:line="480" w:lineRule="auto"/>
        <w:jc w:val="both"/>
        <w:sectPr>
          <w:pgSz w:w="11910" w:h="16840"/>
          <w:pgMar w:header="719" w:footer="0" w:top="980" w:bottom="280" w:left="1559" w:right="992"/>
        </w:sectPr>
      </w:pPr>
    </w:p>
    <w:p>
      <w:pPr>
        <w:pStyle w:val="BodyText"/>
      </w:pPr>
    </w:p>
    <w:p>
      <w:pPr>
        <w:pStyle w:val="BodyText"/>
      </w:pPr>
    </w:p>
    <w:p>
      <w:pPr>
        <w:pStyle w:val="BodyText"/>
      </w:pPr>
    </w:p>
    <w:p>
      <w:pPr>
        <w:pStyle w:val="BodyText"/>
        <w:spacing w:before="179"/>
      </w:pPr>
    </w:p>
    <w:p>
      <w:pPr>
        <w:pStyle w:val="BodyText"/>
        <w:spacing w:line="480" w:lineRule="auto"/>
        <w:ind w:left="1703" w:right="707"/>
        <w:jc w:val="both"/>
      </w:pPr>
      <w:r>
        <w:rPr/>
        <w:t>dipilih karena memiliki beberapa keunggulan, termasuk penggunaannya dalam penelitian kuantitatif dan kemampuannya untuk menguji data dalam jumlah besar. Dasar pengambilan keputusan didasarkan pada probabilitas </w:t>
      </w:r>
      <w:r>
        <w:rPr>
          <w:i/>
        </w:rPr>
        <w:t>(Asymptotic Significance) </w:t>
      </w:r>
      <w:r>
        <w:rPr/>
        <w:t>dengan ketentuan sebagai berikut:</w:t>
      </w:r>
    </w:p>
    <w:p>
      <w:pPr>
        <w:pStyle w:val="ListParagraph"/>
        <w:numPr>
          <w:ilvl w:val="3"/>
          <w:numId w:val="14"/>
        </w:numPr>
        <w:tabs>
          <w:tab w:pos="1985" w:val="left" w:leader="none"/>
        </w:tabs>
        <w:spacing w:line="480" w:lineRule="auto" w:before="0" w:after="0"/>
        <w:ind w:left="1985" w:right="708" w:hanging="283"/>
        <w:jc w:val="both"/>
        <w:rPr>
          <w:sz w:val="24"/>
        </w:rPr>
      </w:pPr>
      <w:r>
        <w:rPr>
          <w:sz w:val="24"/>
        </w:rPr>
        <w:t>Jika nilai signifikan atau probabilitas Sig &lt; 0,05, maka</w:t>
      </w:r>
      <w:r>
        <w:rPr>
          <w:spacing w:val="40"/>
          <w:sz w:val="24"/>
        </w:rPr>
        <w:t> </w:t>
      </w:r>
      <w:r>
        <w:rPr>
          <w:sz w:val="24"/>
        </w:rPr>
        <w:t>distribusi model regresi tidak normal.</w:t>
      </w:r>
    </w:p>
    <w:p>
      <w:pPr>
        <w:pStyle w:val="ListParagraph"/>
        <w:numPr>
          <w:ilvl w:val="3"/>
          <w:numId w:val="14"/>
        </w:numPr>
        <w:tabs>
          <w:tab w:pos="1985" w:val="left" w:leader="none"/>
        </w:tabs>
        <w:spacing w:line="480" w:lineRule="auto" w:before="0" w:after="0"/>
        <w:ind w:left="1985" w:right="708" w:hanging="283"/>
        <w:jc w:val="both"/>
        <w:rPr>
          <w:sz w:val="24"/>
        </w:rPr>
      </w:pPr>
      <w:r>
        <w:rPr>
          <w:sz w:val="24"/>
        </w:rPr>
        <w:t>Jika nilai signifikan atau probabilitas Sig &gt; 0,05, maka</w:t>
      </w:r>
      <w:r>
        <w:rPr>
          <w:spacing w:val="40"/>
          <w:sz w:val="24"/>
        </w:rPr>
        <w:t> </w:t>
      </w:r>
      <w:r>
        <w:rPr>
          <w:sz w:val="24"/>
        </w:rPr>
        <w:t>distribusi model regresi normal.</w:t>
      </w:r>
    </w:p>
    <w:p>
      <w:pPr>
        <w:pStyle w:val="ListParagraph"/>
        <w:numPr>
          <w:ilvl w:val="2"/>
          <w:numId w:val="14"/>
        </w:numPr>
        <w:tabs>
          <w:tab w:pos="1701" w:val="left" w:leader="none"/>
        </w:tabs>
        <w:spacing w:line="240" w:lineRule="auto" w:before="0" w:after="0"/>
        <w:ind w:left="1701" w:right="0" w:hanging="292"/>
        <w:jc w:val="both"/>
        <w:rPr>
          <w:sz w:val="24"/>
        </w:rPr>
      </w:pPr>
      <w:r>
        <w:rPr>
          <w:sz w:val="24"/>
        </w:rPr>
        <w:t>Uji</w:t>
      </w:r>
      <w:r>
        <w:rPr>
          <w:spacing w:val="-2"/>
          <w:sz w:val="24"/>
        </w:rPr>
        <w:t> Multikolinieritas</w:t>
      </w:r>
    </w:p>
    <w:p>
      <w:pPr>
        <w:pStyle w:val="BodyText"/>
      </w:pPr>
    </w:p>
    <w:p>
      <w:pPr>
        <w:pStyle w:val="BodyText"/>
        <w:spacing w:line="480" w:lineRule="auto"/>
        <w:ind w:left="1716" w:right="792" w:firstLine="693"/>
        <w:jc w:val="both"/>
      </w:pPr>
      <w:r>
        <w:rPr/>
        <w:t>Uji multikolinearitas bertujuan untuk memeriksa apakah terdapat korelasi antara variabel bebas dalam model regresi. Secara sederhana, ini berarti variabel independen dijadikan sebagai variabel dependen yang kemudian diregresi terhadap variabel independen lainnya. Uji multikolinearitas dapat dilihat dari nilai tolerance dan </w:t>
      </w:r>
      <w:r>
        <w:rPr>
          <w:i/>
        </w:rPr>
        <w:t>variance inflation factor </w:t>
      </w:r>
      <w:r>
        <w:rPr/>
        <w:t>(VIF). Untuk menguji hipotesis, kriteria atau ukuran yang digunakan adalah sebagai berikut:</w:t>
      </w:r>
    </w:p>
    <w:p>
      <w:pPr>
        <w:pStyle w:val="ListParagraph"/>
        <w:numPr>
          <w:ilvl w:val="3"/>
          <w:numId w:val="14"/>
        </w:numPr>
        <w:tabs>
          <w:tab w:pos="1985" w:val="left" w:leader="none"/>
        </w:tabs>
        <w:spacing w:line="480" w:lineRule="auto" w:before="0" w:after="0"/>
        <w:ind w:left="1985" w:right="793" w:hanging="283"/>
        <w:jc w:val="both"/>
        <w:rPr>
          <w:sz w:val="24"/>
        </w:rPr>
      </w:pPr>
      <w:r>
        <w:rPr>
          <w:sz w:val="24"/>
        </w:rPr>
        <w:t>Apabila nilai koefisien VIF pada collinearity statistic kurang dari 10 (VIF hitung &lt; 10), maka Ho diterima dan tidak</w:t>
      </w:r>
      <w:r>
        <w:rPr>
          <w:spacing w:val="40"/>
          <w:sz w:val="24"/>
        </w:rPr>
        <w:t> </w:t>
      </w:r>
      <w:r>
        <w:rPr>
          <w:sz w:val="24"/>
        </w:rPr>
        <w:t>terdapat hubungan antara variabel independen (tidak terjadi gejala multikolinearitas).</w:t>
      </w:r>
    </w:p>
    <w:p>
      <w:pPr>
        <w:pStyle w:val="ListParagraph"/>
        <w:numPr>
          <w:ilvl w:val="3"/>
          <w:numId w:val="14"/>
        </w:numPr>
        <w:tabs>
          <w:tab w:pos="1984" w:val="left" w:leader="none"/>
        </w:tabs>
        <w:spacing w:line="240" w:lineRule="auto" w:before="0" w:after="0"/>
        <w:ind w:left="1984" w:right="0" w:hanging="282"/>
        <w:jc w:val="both"/>
        <w:rPr>
          <w:sz w:val="24"/>
        </w:rPr>
      </w:pPr>
      <w:r>
        <w:rPr>
          <w:sz w:val="24"/>
        </w:rPr>
        <w:t>Apabila</w:t>
      </w:r>
      <w:r>
        <w:rPr>
          <w:spacing w:val="8"/>
          <w:sz w:val="24"/>
        </w:rPr>
        <w:t> </w:t>
      </w:r>
      <w:r>
        <w:rPr>
          <w:sz w:val="24"/>
        </w:rPr>
        <w:t>nilai</w:t>
      </w:r>
      <w:r>
        <w:rPr>
          <w:spacing w:val="11"/>
          <w:sz w:val="24"/>
        </w:rPr>
        <w:t> </w:t>
      </w:r>
      <w:r>
        <w:rPr>
          <w:sz w:val="24"/>
        </w:rPr>
        <w:t>koefisien</w:t>
      </w:r>
      <w:r>
        <w:rPr>
          <w:spacing w:val="11"/>
          <w:sz w:val="24"/>
        </w:rPr>
        <w:t> </w:t>
      </w:r>
      <w:r>
        <w:rPr>
          <w:sz w:val="24"/>
        </w:rPr>
        <w:t>VIF</w:t>
      </w:r>
      <w:r>
        <w:rPr>
          <w:spacing w:val="11"/>
          <w:sz w:val="24"/>
        </w:rPr>
        <w:t> </w:t>
      </w:r>
      <w:r>
        <w:rPr>
          <w:sz w:val="24"/>
        </w:rPr>
        <w:t>pada</w:t>
      </w:r>
      <w:r>
        <w:rPr>
          <w:spacing w:val="11"/>
          <w:sz w:val="24"/>
        </w:rPr>
        <w:t> </w:t>
      </w:r>
      <w:r>
        <w:rPr>
          <w:sz w:val="24"/>
        </w:rPr>
        <w:t>collinearity</w:t>
      </w:r>
      <w:r>
        <w:rPr>
          <w:spacing w:val="11"/>
          <w:sz w:val="24"/>
        </w:rPr>
        <w:t> </w:t>
      </w:r>
      <w:r>
        <w:rPr>
          <w:sz w:val="24"/>
        </w:rPr>
        <w:t>statistic</w:t>
      </w:r>
      <w:r>
        <w:rPr>
          <w:spacing w:val="11"/>
          <w:sz w:val="24"/>
        </w:rPr>
        <w:t> </w:t>
      </w:r>
      <w:r>
        <w:rPr>
          <w:sz w:val="24"/>
        </w:rPr>
        <w:t>lebih</w:t>
      </w:r>
      <w:r>
        <w:rPr>
          <w:spacing w:val="11"/>
          <w:sz w:val="24"/>
        </w:rPr>
        <w:t> </w:t>
      </w:r>
      <w:r>
        <w:rPr>
          <w:spacing w:val="-4"/>
          <w:sz w:val="24"/>
        </w:rPr>
        <w:t>dari</w:t>
      </w:r>
    </w:p>
    <w:p>
      <w:pPr>
        <w:pStyle w:val="ListParagraph"/>
        <w:spacing w:after="0" w:line="240" w:lineRule="auto"/>
        <w:jc w:val="both"/>
        <w:rPr>
          <w:sz w:val="24"/>
        </w:rPr>
        <w:sectPr>
          <w:pgSz w:w="11910" w:h="16840"/>
          <w:pgMar w:header="719" w:footer="0" w:top="980" w:bottom="280" w:left="1559" w:right="992"/>
        </w:sectPr>
      </w:pPr>
    </w:p>
    <w:p>
      <w:pPr>
        <w:pStyle w:val="BodyText"/>
      </w:pPr>
    </w:p>
    <w:p>
      <w:pPr>
        <w:pStyle w:val="BodyText"/>
      </w:pPr>
    </w:p>
    <w:p>
      <w:pPr>
        <w:pStyle w:val="BodyText"/>
      </w:pPr>
    </w:p>
    <w:p>
      <w:pPr>
        <w:pStyle w:val="BodyText"/>
        <w:spacing w:before="179"/>
      </w:pPr>
    </w:p>
    <w:p>
      <w:pPr>
        <w:pStyle w:val="BodyText"/>
        <w:spacing w:line="480" w:lineRule="auto"/>
        <w:ind w:left="1984" w:right="733"/>
      </w:pPr>
      <w:r>
        <w:rPr/>
        <w:t>10 (VIF hitung &gt; 10), maka Ho ditolak dan terdapat hubungan antar variabel. independen (terjadi gejala multikolinearitas).</w:t>
      </w:r>
    </w:p>
    <w:p>
      <w:pPr>
        <w:pStyle w:val="ListParagraph"/>
        <w:numPr>
          <w:ilvl w:val="2"/>
          <w:numId w:val="14"/>
        </w:numPr>
        <w:tabs>
          <w:tab w:pos="1700" w:val="left" w:leader="none"/>
        </w:tabs>
        <w:spacing w:line="240" w:lineRule="auto" w:before="0" w:after="0"/>
        <w:ind w:left="1700" w:right="0" w:hanging="292"/>
        <w:jc w:val="both"/>
        <w:rPr>
          <w:sz w:val="24"/>
        </w:rPr>
      </w:pPr>
      <w:r>
        <w:rPr>
          <w:sz w:val="24"/>
        </w:rPr>
        <w:t>Uji</w:t>
      </w:r>
      <w:r>
        <w:rPr>
          <w:spacing w:val="-2"/>
          <w:sz w:val="24"/>
        </w:rPr>
        <w:t> Autokorelasi</w:t>
      </w:r>
    </w:p>
    <w:p>
      <w:pPr>
        <w:pStyle w:val="BodyText"/>
      </w:pPr>
    </w:p>
    <w:p>
      <w:pPr>
        <w:pStyle w:val="BodyText"/>
        <w:spacing w:line="480" w:lineRule="auto"/>
        <w:ind w:left="1716" w:right="793" w:firstLine="693"/>
        <w:jc w:val="both"/>
      </w:pPr>
      <w:r>
        <w:rPr/>
        <w:t>Uji autokorelasi bertujuan menguji apakah dalam model regresi linear terdapat korelasi antara kesalahan pengganggu pada periode t dengan periode sebelumnya (t-1). Jika ada korelasi, berarti ada masalah autokorelasi. Autokorelasi terjadi karena observasi berurutan sepanjang waktu saling berkaitan, membuat residual tidak independen antar observasi. Masalah</w:t>
      </w:r>
      <w:r>
        <w:rPr>
          <w:spacing w:val="40"/>
        </w:rPr>
        <w:t> </w:t>
      </w:r>
      <w:r>
        <w:rPr/>
        <w:t>ini sering ditemukan pada data runtut waktu (time series), karena gangguan pada satu individu atau kelompok cenderung mempengaruhi gangguan pada periode berikutnya. Model regresi yang baik adalah yang bebas dari autokorelasi (Ghozali, 2018: 110).</w:t>
      </w:r>
    </w:p>
    <w:p>
      <w:pPr>
        <w:pStyle w:val="ListParagraph"/>
        <w:numPr>
          <w:ilvl w:val="2"/>
          <w:numId w:val="14"/>
        </w:numPr>
        <w:tabs>
          <w:tab w:pos="1700" w:val="left" w:leader="none"/>
        </w:tabs>
        <w:spacing w:line="240" w:lineRule="auto" w:before="0" w:after="0"/>
        <w:ind w:left="1700" w:right="0" w:hanging="292"/>
        <w:jc w:val="both"/>
        <w:rPr>
          <w:sz w:val="24"/>
        </w:rPr>
      </w:pPr>
      <w:r>
        <w:rPr>
          <w:sz w:val="24"/>
        </w:rPr>
        <w:t>Uji</w:t>
      </w:r>
      <w:r>
        <w:rPr>
          <w:spacing w:val="-2"/>
          <w:sz w:val="24"/>
        </w:rPr>
        <w:t> Heterokedastisitas</w:t>
      </w:r>
    </w:p>
    <w:p>
      <w:pPr>
        <w:pStyle w:val="BodyText"/>
      </w:pPr>
    </w:p>
    <w:p>
      <w:pPr>
        <w:pStyle w:val="BodyText"/>
        <w:spacing w:line="480" w:lineRule="auto"/>
        <w:ind w:left="1716" w:right="792" w:firstLine="693"/>
        <w:jc w:val="both"/>
      </w:pPr>
      <w:r>
        <w:rPr/>
        <w:t>Uji heteroskedastisitas bertujuan untuk memeriksa apakah terjadi perbedaan dalam variasi residual antar pengamatan dalam model regresi. Jika variasi residual tetap antar pengamatan, disebut homoskedastisitas; jika tidak,</w:t>
      </w:r>
      <w:r>
        <w:rPr>
          <w:spacing w:val="40"/>
        </w:rPr>
        <w:t> </w:t>
      </w:r>
      <w:r>
        <w:rPr/>
        <w:t>disebut heteroskedastisitas. Model regresi yang dianggap baik adalah yang homoskedastis atau tidak mengalami heteroskedastisitas. Metode yang digunakan untuk mendeteksi heteroskedastisitas</w:t>
      </w:r>
      <w:r>
        <w:rPr>
          <w:spacing w:val="71"/>
          <w:w w:val="150"/>
        </w:rPr>
        <w:t> </w:t>
      </w:r>
      <w:r>
        <w:rPr/>
        <w:t>meliputi</w:t>
      </w:r>
      <w:r>
        <w:rPr>
          <w:spacing w:val="71"/>
          <w:w w:val="150"/>
        </w:rPr>
        <w:t> </w:t>
      </w:r>
      <w:r>
        <w:rPr/>
        <w:t>grafik</w:t>
      </w:r>
      <w:r>
        <w:rPr>
          <w:spacing w:val="72"/>
          <w:w w:val="150"/>
        </w:rPr>
        <w:t> </w:t>
      </w:r>
      <w:r>
        <w:rPr/>
        <w:t>plot</w:t>
      </w:r>
      <w:r>
        <w:rPr>
          <w:spacing w:val="71"/>
          <w:w w:val="150"/>
        </w:rPr>
        <w:t> </w:t>
      </w:r>
      <w:r>
        <w:rPr/>
        <w:t>antara</w:t>
      </w:r>
      <w:r>
        <w:rPr>
          <w:spacing w:val="72"/>
          <w:w w:val="150"/>
        </w:rPr>
        <w:t> </w:t>
      </w:r>
      <w:r>
        <w:rPr/>
        <w:t>nilai</w:t>
      </w:r>
      <w:r>
        <w:rPr>
          <w:spacing w:val="71"/>
          <w:w w:val="150"/>
        </w:rPr>
        <w:t> </w:t>
      </w:r>
      <w:r>
        <w:rPr>
          <w:spacing w:val="-2"/>
        </w:rPr>
        <w:t>prediksi</w:t>
      </w:r>
    </w:p>
    <w:p>
      <w:pPr>
        <w:pStyle w:val="BodyText"/>
        <w:spacing w:after="0" w:line="480" w:lineRule="auto"/>
        <w:jc w:val="both"/>
        <w:sectPr>
          <w:pgSz w:w="11910" w:h="16840"/>
          <w:pgMar w:header="719" w:footer="0" w:top="980" w:bottom="280" w:left="1559" w:right="992"/>
        </w:sectPr>
      </w:pPr>
    </w:p>
    <w:p>
      <w:pPr>
        <w:pStyle w:val="BodyText"/>
      </w:pPr>
    </w:p>
    <w:p>
      <w:pPr>
        <w:pStyle w:val="BodyText"/>
      </w:pPr>
    </w:p>
    <w:p>
      <w:pPr>
        <w:pStyle w:val="BodyText"/>
      </w:pPr>
    </w:p>
    <w:p>
      <w:pPr>
        <w:pStyle w:val="BodyText"/>
        <w:spacing w:before="179"/>
      </w:pPr>
    </w:p>
    <w:p>
      <w:pPr>
        <w:pStyle w:val="BodyText"/>
        <w:spacing w:line="480" w:lineRule="auto"/>
        <w:ind w:left="1717" w:right="794"/>
        <w:jc w:val="both"/>
      </w:pPr>
      <w:r>
        <w:rPr/>
        <w:t>variabel (ZPRED) dan residual (SRESID), serta diuji dengan uji </w:t>
      </w:r>
      <w:r>
        <w:rPr>
          <w:i/>
        </w:rPr>
        <w:t>glejser</w:t>
      </w:r>
      <w:r>
        <w:rPr/>
        <w:t>. Berikut adalah dasar analisis uji heteroskesdastisitas, yaitu sebagai berikut:</w:t>
      </w:r>
    </w:p>
    <w:p>
      <w:pPr>
        <w:pStyle w:val="ListParagraph"/>
        <w:numPr>
          <w:ilvl w:val="3"/>
          <w:numId w:val="14"/>
        </w:numPr>
        <w:tabs>
          <w:tab w:pos="1984" w:val="left" w:leader="none"/>
        </w:tabs>
        <w:spacing w:line="480" w:lineRule="auto" w:before="0" w:after="0"/>
        <w:ind w:left="1984" w:right="708" w:hanging="283"/>
        <w:jc w:val="both"/>
        <w:rPr>
          <w:sz w:val="24"/>
        </w:rPr>
      </w:pPr>
      <w:r>
        <w:rPr>
          <w:sz w:val="24"/>
        </w:rPr>
        <w:t>Jika pencarian data, yang berupa titik-titik yang ada membentuk pola tertentu dan beraturan (bergelombang, melebar kemudian menyempit), maka terjadi masalah </w:t>
      </w:r>
      <w:r>
        <w:rPr>
          <w:spacing w:val="-2"/>
          <w:sz w:val="24"/>
        </w:rPr>
        <w:t>heteroskesdastisitas.</w:t>
      </w:r>
    </w:p>
    <w:p>
      <w:pPr>
        <w:pStyle w:val="ListParagraph"/>
        <w:numPr>
          <w:ilvl w:val="3"/>
          <w:numId w:val="14"/>
        </w:numPr>
        <w:tabs>
          <w:tab w:pos="1984" w:val="left" w:leader="none"/>
        </w:tabs>
        <w:spacing w:line="480" w:lineRule="auto" w:before="0" w:after="0"/>
        <w:ind w:left="1984" w:right="707" w:hanging="283"/>
        <w:jc w:val="both"/>
        <w:rPr>
          <w:sz w:val="24"/>
        </w:rPr>
      </w:pPr>
      <w:r>
        <w:rPr>
          <w:sz w:val="24"/>
        </w:rPr>
        <w:t>Jika pencarian data yang berupa titik-titik tidak membentuk pola tertentu dan menyebar di atas dan di bawah sumbu Y, maka tidak terjadi heteroskesdastisitas.</w:t>
      </w:r>
    </w:p>
    <w:p>
      <w:pPr>
        <w:pStyle w:val="Heading2"/>
        <w:numPr>
          <w:ilvl w:val="1"/>
          <w:numId w:val="14"/>
        </w:numPr>
        <w:tabs>
          <w:tab w:pos="1415" w:val="left" w:leader="none"/>
        </w:tabs>
        <w:spacing w:line="240" w:lineRule="auto" w:before="240" w:after="0"/>
        <w:ind w:left="1415" w:right="0" w:hanging="358"/>
        <w:jc w:val="both"/>
      </w:pPr>
      <w:bookmarkStart w:name="_bookmark38" w:id="39"/>
      <w:bookmarkEnd w:id="39"/>
      <w:r>
        <w:rPr/>
        <w:t>A</w:t>
      </w:r>
      <w:r>
        <w:rPr/>
        <w:t>nalisis</w:t>
      </w:r>
      <w:r>
        <w:rPr>
          <w:spacing w:val="-5"/>
        </w:rPr>
        <w:t> </w:t>
      </w:r>
      <w:r>
        <w:rPr/>
        <w:t>Regresi</w:t>
      </w:r>
      <w:r>
        <w:rPr>
          <w:spacing w:val="-5"/>
        </w:rPr>
        <w:t> </w:t>
      </w:r>
      <w:r>
        <w:rPr/>
        <w:t>Linier</w:t>
      </w:r>
      <w:r>
        <w:rPr>
          <w:spacing w:val="-4"/>
        </w:rPr>
        <w:t> </w:t>
      </w:r>
      <w:r>
        <w:rPr>
          <w:spacing w:val="-2"/>
        </w:rPr>
        <w:t>Berganda</w:t>
      </w:r>
    </w:p>
    <w:p>
      <w:pPr>
        <w:pStyle w:val="BodyText"/>
        <w:rPr>
          <w:b/>
        </w:rPr>
      </w:pPr>
    </w:p>
    <w:p>
      <w:pPr>
        <w:pStyle w:val="BodyText"/>
        <w:spacing w:line="480" w:lineRule="auto"/>
        <w:ind w:left="1417" w:right="707" w:firstLine="708"/>
        <w:jc w:val="both"/>
      </w:pPr>
      <w:r>
        <w:rPr/>
        <w:t>Teknik analisis yang digunakan dalam penelitian ini adalah analisis teknik analisis regresi berganda. Lokasi penelitian yang dipilih yaitu Bursa Efek Indonesia. Proses analisis data akan dilakukan dengan menggunakan berbagai teknik analisis statistik yang tepat untuk menguji hipotesis penelitian. Regresi linier berganda memungkinkan untuk mengevaluasi pengaruh simultan dari beberapa variabel independen terhadap variabel dependen. Dalam konteks penelitian ini, regresi linier berganda akan</w:t>
      </w:r>
      <w:r>
        <w:rPr>
          <w:spacing w:val="40"/>
        </w:rPr>
        <w:t> </w:t>
      </w:r>
      <w:r>
        <w:rPr/>
        <w:t>digunakan untuk menguji hubungan antara karakteristik CEO, kinerja keuangan, dan </w:t>
      </w:r>
      <w:r>
        <w:rPr>
          <w:i/>
        </w:rPr>
        <w:t>political cost </w:t>
      </w:r>
      <w:r>
        <w:rPr/>
        <w:t>dengan pengungkapan ESG. Hasil analisis regresi akan memberikan pemahaman yang lebih dalam</w:t>
      </w:r>
      <w:r>
        <w:rPr>
          <w:spacing w:val="80"/>
        </w:rPr>
        <w:t> </w:t>
      </w:r>
      <w:r>
        <w:rPr/>
        <w:t>tentang</w:t>
      </w:r>
      <w:r>
        <w:rPr>
          <w:spacing w:val="80"/>
        </w:rPr>
        <w:t> </w:t>
      </w:r>
      <w:r>
        <w:rPr/>
        <w:t>seberapa</w:t>
      </w:r>
      <w:r>
        <w:rPr>
          <w:spacing w:val="80"/>
        </w:rPr>
        <w:t> </w:t>
      </w:r>
      <w:r>
        <w:rPr/>
        <w:t>kuat</w:t>
      </w:r>
      <w:r>
        <w:rPr>
          <w:spacing w:val="80"/>
        </w:rPr>
        <w:t> </w:t>
      </w:r>
      <w:r>
        <w:rPr/>
        <w:t>dan</w:t>
      </w:r>
      <w:r>
        <w:rPr>
          <w:spacing w:val="80"/>
        </w:rPr>
        <w:t> </w:t>
      </w:r>
      <w:r>
        <w:rPr/>
        <w:t>signifikan</w:t>
      </w:r>
      <w:r>
        <w:rPr>
          <w:spacing w:val="80"/>
        </w:rPr>
        <w:t> </w:t>
      </w:r>
      <w:r>
        <w:rPr/>
        <w:t>hubungan</w:t>
      </w:r>
      <w:r>
        <w:rPr>
          <w:spacing w:val="80"/>
        </w:rPr>
        <w:t> </w:t>
      </w:r>
      <w:r>
        <w:rPr/>
        <w:t>antara</w:t>
      </w:r>
    </w:p>
    <w:p>
      <w:pPr>
        <w:pStyle w:val="BodyText"/>
        <w:spacing w:after="0" w:line="480" w:lineRule="auto"/>
        <w:jc w:val="both"/>
        <w:sectPr>
          <w:pgSz w:w="11910" w:h="16840"/>
          <w:pgMar w:header="719" w:footer="0" w:top="980" w:bottom="280" w:left="1559" w:right="992"/>
        </w:sectPr>
      </w:pPr>
    </w:p>
    <w:p>
      <w:pPr>
        <w:pStyle w:val="BodyText"/>
      </w:pPr>
    </w:p>
    <w:p>
      <w:pPr>
        <w:pStyle w:val="BodyText"/>
      </w:pPr>
    </w:p>
    <w:p>
      <w:pPr>
        <w:pStyle w:val="BodyText"/>
      </w:pPr>
    </w:p>
    <w:p>
      <w:pPr>
        <w:pStyle w:val="BodyText"/>
        <w:spacing w:before="179"/>
      </w:pPr>
    </w:p>
    <w:p>
      <w:pPr>
        <w:pStyle w:val="BodyText"/>
        <w:spacing w:line="480" w:lineRule="auto"/>
        <w:ind w:left="1418" w:right="733"/>
      </w:pPr>
      <w:r>
        <w:rPr/>
        <w:t>variabel-variabel</w:t>
      </w:r>
      <w:r>
        <w:rPr>
          <w:spacing w:val="80"/>
        </w:rPr>
        <w:t> </w:t>
      </w:r>
      <w:r>
        <w:rPr/>
        <w:t>tersebut.</w:t>
      </w:r>
      <w:r>
        <w:rPr>
          <w:spacing w:val="80"/>
        </w:rPr>
        <w:t> </w:t>
      </w:r>
      <w:r>
        <w:rPr/>
        <w:t>Secara</w:t>
      </w:r>
      <w:r>
        <w:rPr>
          <w:spacing w:val="80"/>
        </w:rPr>
        <w:t> </w:t>
      </w:r>
      <w:r>
        <w:rPr/>
        <w:t>sistematis</w:t>
      </w:r>
      <w:r>
        <w:rPr>
          <w:spacing w:val="80"/>
        </w:rPr>
        <w:t> </w:t>
      </w:r>
      <w:r>
        <w:rPr/>
        <w:t>rumusnya</w:t>
      </w:r>
      <w:r>
        <w:rPr>
          <w:spacing w:val="80"/>
        </w:rPr>
        <w:t> </w:t>
      </w:r>
      <w:r>
        <w:rPr/>
        <w:t>adalah sebagai berikut:</w:t>
      </w:r>
    </w:p>
    <w:p>
      <w:pPr>
        <w:spacing w:before="0"/>
        <w:ind w:left="3989" w:right="0" w:firstLine="0"/>
        <w:jc w:val="left"/>
        <w:rPr>
          <w:sz w:val="22"/>
        </w:rPr>
      </w:pPr>
      <w:r>
        <w:rPr>
          <w:sz w:val="22"/>
        </w:rPr>
        <w:t>Y = α + β</w:t>
      </w:r>
      <w:r>
        <w:rPr>
          <w:sz w:val="22"/>
          <w:vertAlign w:val="subscript"/>
        </w:rPr>
        <w:t>1</w:t>
      </w:r>
      <w:r>
        <w:rPr>
          <w:sz w:val="22"/>
          <w:vertAlign w:val="baseline"/>
        </w:rPr>
        <w:t>X</w:t>
      </w:r>
      <w:r>
        <w:rPr>
          <w:sz w:val="22"/>
          <w:vertAlign w:val="subscript"/>
        </w:rPr>
        <w:t>1</w:t>
      </w:r>
      <w:r>
        <w:rPr>
          <w:sz w:val="22"/>
          <w:vertAlign w:val="baseline"/>
        </w:rPr>
        <w:t>+ β</w:t>
      </w:r>
      <w:r>
        <w:rPr>
          <w:sz w:val="22"/>
          <w:vertAlign w:val="subscript"/>
        </w:rPr>
        <w:t>2</w:t>
      </w:r>
      <w:r>
        <w:rPr>
          <w:sz w:val="22"/>
          <w:vertAlign w:val="baseline"/>
        </w:rPr>
        <w:t>X</w:t>
      </w:r>
      <w:r>
        <w:rPr>
          <w:sz w:val="22"/>
          <w:vertAlign w:val="subscript"/>
        </w:rPr>
        <w:t>2</w:t>
      </w:r>
      <w:r>
        <w:rPr>
          <w:sz w:val="22"/>
          <w:vertAlign w:val="baseline"/>
        </w:rPr>
        <w:t>+ β</w:t>
      </w:r>
      <w:r>
        <w:rPr>
          <w:sz w:val="22"/>
          <w:vertAlign w:val="subscript"/>
        </w:rPr>
        <w:t>3</w:t>
      </w:r>
      <w:r>
        <w:rPr>
          <w:sz w:val="22"/>
          <w:vertAlign w:val="baseline"/>
        </w:rPr>
        <w:t>X</w:t>
      </w:r>
      <w:r>
        <w:rPr>
          <w:sz w:val="22"/>
          <w:vertAlign w:val="subscript"/>
        </w:rPr>
        <w:t>3</w:t>
      </w:r>
      <w:r>
        <w:rPr>
          <w:spacing w:val="-23"/>
          <w:sz w:val="22"/>
          <w:vertAlign w:val="baseline"/>
        </w:rPr>
        <w:t> </w:t>
      </w:r>
      <w:r>
        <w:rPr>
          <w:sz w:val="22"/>
          <w:vertAlign w:val="baseline"/>
        </w:rPr>
        <w:t>+ </w:t>
      </w:r>
      <w:r>
        <w:rPr>
          <w:spacing w:val="-10"/>
          <w:sz w:val="22"/>
          <w:vertAlign w:val="baseline"/>
        </w:rPr>
        <w:t>e</w:t>
      </w:r>
    </w:p>
    <w:p>
      <w:pPr>
        <w:pStyle w:val="BodyText"/>
        <w:rPr>
          <w:sz w:val="22"/>
        </w:rPr>
      </w:pPr>
    </w:p>
    <w:p>
      <w:pPr>
        <w:pStyle w:val="BodyText"/>
        <w:rPr>
          <w:sz w:val="22"/>
        </w:rPr>
      </w:pPr>
    </w:p>
    <w:p>
      <w:pPr>
        <w:pStyle w:val="BodyText"/>
        <w:rPr>
          <w:sz w:val="22"/>
        </w:rPr>
      </w:pPr>
    </w:p>
    <w:p>
      <w:pPr>
        <w:pStyle w:val="BodyText"/>
        <w:spacing w:before="33"/>
        <w:rPr>
          <w:sz w:val="22"/>
        </w:rPr>
      </w:pPr>
    </w:p>
    <w:p>
      <w:pPr>
        <w:pStyle w:val="Heading2"/>
        <w:numPr>
          <w:ilvl w:val="1"/>
          <w:numId w:val="14"/>
        </w:numPr>
        <w:tabs>
          <w:tab w:pos="1416" w:val="left" w:leader="none"/>
        </w:tabs>
        <w:spacing w:line="240" w:lineRule="auto" w:before="0" w:after="0"/>
        <w:ind w:left="1416" w:right="0" w:hanging="358"/>
        <w:jc w:val="left"/>
      </w:pPr>
      <w:bookmarkStart w:name="_bookmark39" w:id="40"/>
      <w:bookmarkEnd w:id="40"/>
      <w:r>
        <w:rPr/>
        <w:t>Uj</w:t>
      </w:r>
      <w:r>
        <w:rPr/>
        <w:t>i</w:t>
      </w:r>
      <w:r>
        <w:rPr>
          <w:spacing w:val="-4"/>
        </w:rPr>
        <w:t> </w:t>
      </w:r>
      <w:r>
        <w:rPr/>
        <w:t>Uji</w:t>
      </w:r>
      <w:r>
        <w:rPr>
          <w:spacing w:val="-1"/>
        </w:rPr>
        <w:t> </w:t>
      </w:r>
      <w:r>
        <w:rPr/>
        <w:t>F</w:t>
      </w:r>
      <w:r>
        <w:rPr>
          <w:spacing w:val="-1"/>
        </w:rPr>
        <w:t> </w:t>
      </w:r>
      <w:r>
        <w:rPr>
          <w:spacing w:val="-2"/>
        </w:rPr>
        <w:t>(Simultan)</w:t>
      </w:r>
    </w:p>
    <w:p>
      <w:pPr>
        <w:pStyle w:val="BodyText"/>
        <w:rPr>
          <w:b/>
        </w:rPr>
      </w:pPr>
    </w:p>
    <w:p>
      <w:pPr>
        <w:pStyle w:val="BodyText"/>
        <w:spacing w:line="480" w:lineRule="auto"/>
        <w:ind w:left="1429" w:right="703" w:firstLine="698"/>
        <w:jc w:val="both"/>
      </w:pPr>
      <w:r>
        <w:rPr>
          <w:spacing w:val="-2"/>
        </w:rPr>
        <w:t>Menurut</w:t>
      </w:r>
      <w:r>
        <w:rPr>
          <w:spacing w:val="-14"/>
        </w:rPr>
        <w:t> </w:t>
      </w:r>
      <w:r>
        <w:rPr>
          <w:spacing w:val="-2"/>
        </w:rPr>
        <w:t>Ghozali</w:t>
      </w:r>
      <w:r>
        <w:rPr>
          <w:spacing w:val="-14"/>
        </w:rPr>
        <w:t> </w:t>
      </w:r>
      <w:r>
        <w:rPr>
          <w:spacing w:val="-2"/>
        </w:rPr>
        <w:t>(2018),</w:t>
      </w:r>
      <w:r>
        <w:rPr>
          <w:spacing w:val="-14"/>
        </w:rPr>
        <w:t> </w:t>
      </w:r>
      <w:r>
        <w:rPr>
          <w:spacing w:val="-2"/>
        </w:rPr>
        <w:t>uji</w:t>
      </w:r>
      <w:r>
        <w:rPr>
          <w:spacing w:val="-14"/>
        </w:rPr>
        <w:t> </w:t>
      </w:r>
      <w:r>
        <w:rPr>
          <w:spacing w:val="-2"/>
        </w:rPr>
        <w:t>F</w:t>
      </w:r>
      <w:r>
        <w:rPr>
          <w:spacing w:val="-14"/>
        </w:rPr>
        <w:t> </w:t>
      </w:r>
      <w:r>
        <w:rPr>
          <w:spacing w:val="-2"/>
        </w:rPr>
        <w:t>digunakan</w:t>
      </w:r>
      <w:r>
        <w:rPr>
          <w:spacing w:val="-14"/>
        </w:rPr>
        <w:t> </w:t>
      </w:r>
      <w:r>
        <w:rPr>
          <w:spacing w:val="-2"/>
        </w:rPr>
        <w:t>untuk</w:t>
      </w:r>
      <w:r>
        <w:rPr>
          <w:spacing w:val="-14"/>
        </w:rPr>
        <w:t> </w:t>
      </w:r>
      <w:r>
        <w:rPr>
          <w:spacing w:val="-2"/>
        </w:rPr>
        <w:t>menguji</w:t>
      </w:r>
      <w:r>
        <w:rPr>
          <w:spacing w:val="-14"/>
        </w:rPr>
        <w:t> </w:t>
      </w:r>
      <w:r>
        <w:rPr>
          <w:spacing w:val="-2"/>
        </w:rPr>
        <w:t>apakah </w:t>
      </w:r>
      <w:r>
        <w:rPr>
          <w:spacing w:val="-4"/>
        </w:rPr>
        <w:t>variabel dependen berhubungan linear secara bersama-sama dengan </w:t>
      </w:r>
      <w:r>
        <w:rPr/>
        <w:t>variabel independen. Dalam pengambilan keputusan uji F, nilai Fhitung</w:t>
      </w:r>
      <w:r>
        <w:rPr>
          <w:spacing w:val="-13"/>
        </w:rPr>
        <w:t> </w:t>
      </w:r>
      <w:r>
        <w:rPr/>
        <w:t>dibandingkan</w:t>
      </w:r>
      <w:r>
        <w:rPr>
          <w:spacing w:val="-13"/>
        </w:rPr>
        <w:t> </w:t>
      </w:r>
      <w:r>
        <w:rPr/>
        <w:t>dengan</w:t>
      </w:r>
      <w:r>
        <w:rPr>
          <w:spacing w:val="-13"/>
        </w:rPr>
        <w:t> </w:t>
      </w:r>
      <w:r>
        <w:rPr/>
        <w:t>nilai</w:t>
      </w:r>
      <w:r>
        <w:rPr>
          <w:spacing w:val="-13"/>
        </w:rPr>
        <w:t> </w:t>
      </w:r>
      <w:r>
        <w:rPr/>
        <w:t>Ftabel.</w:t>
      </w:r>
      <w:r>
        <w:rPr>
          <w:spacing w:val="-13"/>
        </w:rPr>
        <w:t> </w:t>
      </w:r>
      <w:r>
        <w:rPr/>
        <w:t>Pengujian</w:t>
      </w:r>
      <w:r>
        <w:rPr>
          <w:spacing w:val="-13"/>
        </w:rPr>
        <w:t> </w:t>
      </w:r>
      <w:r>
        <w:rPr/>
        <w:t>dilakukan</w:t>
      </w:r>
      <w:r>
        <w:rPr>
          <w:spacing w:val="-13"/>
        </w:rPr>
        <w:t> </w:t>
      </w:r>
      <w:r>
        <w:rPr/>
        <w:t>pada tingkat</w:t>
      </w:r>
      <w:r>
        <w:rPr>
          <w:spacing w:val="-6"/>
        </w:rPr>
        <w:t> </w:t>
      </w:r>
      <w:r>
        <w:rPr/>
        <w:t>kepercayaan</w:t>
      </w:r>
      <w:r>
        <w:rPr>
          <w:spacing w:val="-6"/>
        </w:rPr>
        <w:t> </w:t>
      </w:r>
      <w:r>
        <w:rPr/>
        <w:t>0,05</w:t>
      </w:r>
      <w:r>
        <w:rPr>
          <w:spacing w:val="-6"/>
        </w:rPr>
        <w:t> </w:t>
      </w:r>
      <w:r>
        <w:rPr/>
        <w:t>(α</w:t>
      </w:r>
      <w:r>
        <w:rPr>
          <w:spacing w:val="-6"/>
        </w:rPr>
        <w:t> </w:t>
      </w:r>
      <w:r>
        <w:rPr/>
        <w:t>=</w:t>
      </w:r>
      <w:r>
        <w:rPr>
          <w:spacing w:val="-6"/>
        </w:rPr>
        <w:t> </w:t>
      </w:r>
      <w:r>
        <w:rPr/>
        <w:t>5%).</w:t>
      </w:r>
      <w:r>
        <w:rPr>
          <w:spacing w:val="-6"/>
        </w:rPr>
        <w:t> </w:t>
      </w:r>
      <w:r>
        <w:rPr/>
        <w:t>Jika</w:t>
      </w:r>
      <w:r>
        <w:rPr>
          <w:spacing w:val="-6"/>
        </w:rPr>
        <w:t> </w:t>
      </w:r>
      <w:r>
        <w:rPr/>
        <w:t>F</w:t>
      </w:r>
      <w:r>
        <w:rPr>
          <w:spacing w:val="-6"/>
        </w:rPr>
        <w:t> </w:t>
      </w:r>
      <w:r>
        <w:rPr/>
        <w:t>hitung</w:t>
      </w:r>
      <w:r>
        <w:rPr>
          <w:spacing w:val="-6"/>
        </w:rPr>
        <w:t> </w:t>
      </w:r>
      <w:r>
        <w:rPr/>
        <w:t>&gt;</w:t>
      </w:r>
      <w:r>
        <w:rPr>
          <w:spacing w:val="-6"/>
        </w:rPr>
        <w:t> </w:t>
      </w:r>
      <w:r>
        <w:rPr/>
        <w:t>F</w:t>
      </w:r>
      <w:r>
        <w:rPr>
          <w:spacing w:val="-6"/>
        </w:rPr>
        <w:t> </w:t>
      </w:r>
      <w:r>
        <w:rPr/>
        <w:t>tabel,</w:t>
      </w:r>
      <w:r>
        <w:rPr>
          <w:spacing w:val="-6"/>
        </w:rPr>
        <w:t> </w:t>
      </w:r>
      <w:r>
        <w:rPr/>
        <w:t>maka</w:t>
      </w:r>
      <w:r>
        <w:rPr>
          <w:spacing w:val="-6"/>
        </w:rPr>
        <w:t> </w:t>
      </w:r>
      <w:r>
        <w:rPr/>
        <w:t>Ha diterima</w:t>
      </w:r>
      <w:r>
        <w:rPr>
          <w:spacing w:val="-9"/>
        </w:rPr>
        <w:t> </w:t>
      </w:r>
      <w:r>
        <w:rPr/>
        <w:t>dan</w:t>
      </w:r>
      <w:r>
        <w:rPr>
          <w:spacing w:val="-9"/>
        </w:rPr>
        <w:t> </w:t>
      </w:r>
      <w:r>
        <w:rPr/>
        <w:t>Ho</w:t>
      </w:r>
      <w:r>
        <w:rPr>
          <w:spacing w:val="-9"/>
        </w:rPr>
        <w:t> </w:t>
      </w:r>
      <w:r>
        <w:rPr/>
        <w:t>ditolak.</w:t>
      </w:r>
      <w:r>
        <w:rPr>
          <w:spacing w:val="-9"/>
        </w:rPr>
        <w:t> </w:t>
      </w:r>
      <w:r>
        <w:rPr/>
        <w:t>Sebaliknya,</w:t>
      </w:r>
      <w:r>
        <w:rPr>
          <w:spacing w:val="-9"/>
        </w:rPr>
        <w:t> </w:t>
      </w:r>
      <w:r>
        <w:rPr/>
        <w:t>jika</w:t>
      </w:r>
      <w:r>
        <w:rPr>
          <w:spacing w:val="-9"/>
        </w:rPr>
        <w:t> </w:t>
      </w:r>
      <w:r>
        <w:rPr/>
        <w:t>F</w:t>
      </w:r>
      <w:r>
        <w:rPr>
          <w:spacing w:val="-9"/>
        </w:rPr>
        <w:t> </w:t>
      </w:r>
      <w:r>
        <w:rPr/>
        <w:t>hitung</w:t>
      </w:r>
      <w:r>
        <w:rPr>
          <w:spacing w:val="-9"/>
        </w:rPr>
        <w:t> </w:t>
      </w:r>
      <w:r>
        <w:rPr/>
        <w:t>&lt;</w:t>
      </w:r>
      <w:r>
        <w:rPr>
          <w:spacing w:val="-9"/>
        </w:rPr>
        <w:t> </w:t>
      </w:r>
      <w:r>
        <w:rPr/>
        <w:t>F</w:t>
      </w:r>
      <w:r>
        <w:rPr>
          <w:spacing w:val="-9"/>
        </w:rPr>
        <w:t> </w:t>
      </w:r>
      <w:r>
        <w:rPr/>
        <w:t>tabel,</w:t>
      </w:r>
      <w:r>
        <w:rPr>
          <w:spacing w:val="-9"/>
        </w:rPr>
        <w:t> </w:t>
      </w:r>
      <w:r>
        <w:rPr/>
        <w:t>maka</w:t>
      </w:r>
      <w:r>
        <w:rPr>
          <w:spacing w:val="-9"/>
        </w:rPr>
        <w:t> </w:t>
      </w:r>
      <w:r>
        <w:rPr/>
        <w:t>Ha ditolak dan Ho diterima. Kriteria pengambilan keputusan adalah sebagai berikut:</w:t>
      </w:r>
    </w:p>
    <w:p>
      <w:pPr>
        <w:pStyle w:val="ListParagraph"/>
        <w:numPr>
          <w:ilvl w:val="2"/>
          <w:numId w:val="14"/>
        </w:numPr>
        <w:tabs>
          <w:tab w:pos="1841" w:val="left" w:leader="none"/>
        </w:tabs>
        <w:spacing w:line="240" w:lineRule="auto" w:before="0" w:after="0"/>
        <w:ind w:left="1841" w:right="0" w:hanging="358"/>
        <w:jc w:val="both"/>
        <w:rPr>
          <w:sz w:val="24"/>
        </w:rPr>
      </w:pPr>
      <w:r>
        <w:rPr>
          <w:spacing w:val="-2"/>
          <w:sz w:val="24"/>
        </w:rPr>
        <w:t>Jika</w:t>
      </w:r>
      <w:r>
        <w:rPr>
          <w:spacing w:val="-13"/>
          <w:sz w:val="24"/>
        </w:rPr>
        <w:t> </w:t>
      </w:r>
      <w:r>
        <w:rPr>
          <w:spacing w:val="-2"/>
          <w:sz w:val="24"/>
        </w:rPr>
        <w:t>nilai</w:t>
      </w:r>
      <w:r>
        <w:rPr>
          <w:spacing w:val="-11"/>
          <w:sz w:val="24"/>
        </w:rPr>
        <w:t> </w:t>
      </w:r>
      <w:r>
        <w:rPr>
          <w:spacing w:val="-2"/>
          <w:sz w:val="24"/>
        </w:rPr>
        <w:t>sig.</w:t>
      </w:r>
      <w:r>
        <w:rPr>
          <w:spacing w:val="-11"/>
          <w:sz w:val="24"/>
        </w:rPr>
        <w:t> </w:t>
      </w:r>
      <w:r>
        <w:rPr>
          <w:spacing w:val="-2"/>
          <w:sz w:val="24"/>
        </w:rPr>
        <w:t>F</w:t>
      </w:r>
      <w:r>
        <w:rPr>
          <w:spacing w:val="-10"/>
          <w:sz w:val="24"/>
        </w:rPr>
        <w:t> </w:t>
      </w:r>
      <w:r>
        <w:rPr>
          <w:spacing w:val="-2"/>
          <w:sz w:val="24"/>
        </w:rPr>
        <w:t>&lt;</w:t>
      </w:r>
      <w:r>
        <w:rPr>
          <w:spacing w:val="-11"/>
          <w:sz w:val="24"/>
        </w:rPr>
        <w:t> </w:t>
      </w:r>
      <w:r>
        <w:rPr>
          <w:spacing w:val="-2"/>
          <w:sz w:val="24"/>
        </w:rPr>
        <w:t>0,05</w:t>
      </w:r>
      <w:r>
        <w:rPr>
          <w:spacing w:val="-11"/>
          <w:sz w:val="24"/>
        </w:rPr>
        <w:t> </w:t>
      </w:r>
      <w:r>
        <w:rPr>
          <w:spacing w:val="-2"/>
          <w:sz w:val="24"/>
        </w:rPr>
        <w:t>maka</w:t>
      </w:r>
      <w:r>
        <w:rPr>
          <w:spacing w:val="-11"/>
          <w:sz w:val="24"/>
        </w:rPr>
        <w:t> </w:t>
      </w:r>
      <w:r>
        <w:rPr>
          <w:spacing w:val="-2"/>
          <w:sz w:val="24"/>
        </w:rPr>
        <w:t>Ho</w:t>
      </w:r>
      <w:r>
        <w:rPr>
          <w:spacing w:val="-10"/>
          <w:sz w:val="24"/>
        </w:rPr>
        <w:t> </w:t>
      </w:r>
      <w:r>
        <w:rPr>
          <w:spacing w:val="-2"/>
          <w:sz w:val="24"/>
        </w:rPr>
        <w:t>ditolak</w:t>
      </w:r>
      <w:r>
        <w:rPr>
          <w:spacing w:val="-11"/>
          <w:sz w:val="24"/>
        </w:rPr>
        <w:t> </w:t>
      </w:r>
      <w:r>
        <w:rPr>
          <w:spacing w:val="-2"/>
          <w:sz w:val="24"/>
        </w:rPr>
        <w:t>dan</w:t>
      </w:r>
      <w:r>
        <w:rPr>
          <w:spacing w:val="-11"/>
          <w:sz w:val="24"/>
        </w:rPr>
        <w:t> </w:t>
      </w:r>
      <w:r>
        <w:rPr>
          <w:spacing w:val="-2"/>
          <w:sz w:val="24"/>
        </w:rPr>
        <w:t>Ha</w:t>
      </w:r>
      <w:r>
        <w:rPr>
          <w:spacing w:val="-10"/>
          <w:sz w:val="24"/>
        </w:rPr>
        <w:t> </w:t>
      </w:r>
      <w:r>
        <w:rPr>
          <w:spacing w:val="-2"/>
          <w:sz w:val="24"/>
        </w:rPr>
        <w:t>diterima.</w:t>
      </w:r>
    </w:p>
    <w:p>
      <w:pPr>
        <w:pStyle w:val="BodyText"/>
      </w:pPr>
    </w:p>
    <w:p>
      <w:pPr>
        <w:pStyle w:val="ListParagraph"/>
        <w:numPr>
          <w:ilvl w:val="2"/>
          <w:numId w:val="14"/>
        </w:numPr>
        <w:tabs>
          <w:tab w:pos="1841" w:val="left" w:leader="none"/>
          <w:tab w:pos="1843" w:val="left" w:leader="none"/>
        </w:tabs>
        <w:spacing w:line="480" w:lineRule="auto" w:before="0" w:after="0"/>
        <w:ind w:left="1843" w:right="703" w:hanging="360"/>
        <w:jc w:val="both"/>
        <w:rPr>
          <w:sz w:val="24"/>
        </w:rPr>
      </w:pPr>
      <w:r>
        <w:rPr>
          <w:sz w:val="24"/>
        </w:rPr>
        <w:t>Jika nilai sig. F &gt; 0,05 maka Ho diterima dan Ha ditolak. Uji kesesuaian model (uji</w:t>
      </w:r>
      <w:r>
        <w:rPr>
          <w:spacing w:val="40"/>
          <w:sz w:val="24"/>
        </w:rPr>
        <w:t> </w:t>
      </w:r>
      <w:r>
        <w:rPr>
          <w:sz w:val="24"/>
        </w:rPr>
        <w:t>F) pada dasarnya menunjukkan </w:t>
      </w:r>
      <w:r>
        <w:rPr>
          <w:sz w:val="24"/>
        </w:rPr>
        <w:t>apakah semua variabel</w:t>
      </w:r>
    </w:p>
    <w:p>
      <w:pPr>
        <w:pStyle w:val="ListParagraph"/>
        <w:numPr>
          <w:ilvl w:val="0"/>
          <w:numId w:val="15"/>
        </w:numPr>
        <w:tabs>
          <w:tab w:pos="1786" w:val="left" w:leader="none"/>
        </w:tabs>
        <w:spacing w:line="240" w:lineRule="auto" w:before="0" w:after="0"/>
        <w:ind w:left="1786" w:right="0" w:hanging="335"/>
        <w:jc w:val="both"/>
        <w:rPr>
          <w:sz w:val="24"/>
        </w:rPr>
      </w:pPr>
      <w:r>
        <w:rPr>
          <w:spacing w:val="-4"/>
          <w:sz w:val="24"/>
        </w:rPr>
        <w:t>penilitian</w:t>
      </w:r>
      <w:r>
        <w:rPr>
          <w:spacing w:val="-6"/>
          <w:sz w:val="24"/>
        </w:rPr>
        <w:t> </w:t>
      </w:r>
      <w:r>
        <w:rPr>
          <w:spacing w:val="-4"/>
          <w:sz w:val="24"/>
        </w:rPr>
        <w:t>ini dikatakan tidak layak atau tidak </w:t>
      </w:r>
      <w:r>
        <w:rPr>
          <w:spacing w:val="-5"/>
          <w:sz w:val="24"/>
        </w:rPr>
        <w:t>fit</w:t>
      </w:r>
    </w:p>
    <w:p>
      <w:pPr>
        <w:pStyle w:val="Heading2"/>
        <w:numPr>
          <w:ilvl w:val="1"/>
          <w:numId w:val="14"/>
        </w:numPr>
        <w:tabs>
          <w:tab w:pos="1416" w:val="left" w:leader="none"/>
        </w:tabs>
        <w:spacing w:line="240" w:lineRule="auto" w:before="275" w:after="0"/>
        <w:ind w:left="1416" w:right="0" w:hanging="358"/>
        <w:jc w:val="left"/>
      </w:pPr>
      <w:bookmarkStart w:name="_bookmark40" w:id="41"/>
      <w:bookmarkEnd w:id="41"/>
      <w:r>
        <w:rPr/>
        <w:t>Uj</w:t>
      </w:r>
      <w:r>
        <w:rPr/>
        <w:t>i</w:t>
      </w:r>
      <w:r>
        <w:rPr>
          <w:spacing w:val="-1"/>
        </w:rPr>
        <w:t> </w:t>
      </w:r>
      <w:r>
        <w:rPr/>
        <w:t>t</w:t>
      </w:r>
      <w:r>
        <w:rPr>
          <w:spacing w:val="-1"/>
        </w:rPr>
        <w:t> </w:t>
      </w:r>
      <w:r>
        <w:rPr>
          <w:spacing w:val="-2"/>
        </w:rPr>
        <w:t>(Parsial)</w:t>
      </w:r>
    </w:p>
    <w:p>
      <w:pPr>
        <w:pStyle w:val="BodyText"/>
        <w:rPr>
          <w:b/>
        </w:rPr>
      </w:pPr>
    </w:p>
    <w:p>
      <w:pPr>
        <w:pStyle w:val="BodyText"/>
        <w:spacing w:line="480" w:lineRule="auto"/>
        <w:ind w:left="1418" w:right="703" w:firstLine="709"/>
        <w:jc w:val="both"/>
      </w:pPr>
      <w:r>
        <w:rPr/>
        <w:t>Menurut Ghozali (2018), uji t digunakan untuk </w:t>
      </w:r>
      <w:r>
        <w:rPr/>
        <w:t>menguji signifikansi pengaruh antara variabel independen dan variabel dependen. Kriteria pengujian didasarkan pada probabilitas dengan tingkat</w:t>
      </w:r>
      <w:r>
        <w:rPr>
          <w:spacing w:val="4"/>
        </w:rPr>
        <w:t> </w:t>
      </w:r>
      <w:r>
        <w:rPr/>
        <w:t>signifikansi</w:t>
      </w:r>
      <w:r>
        <w:rPr>
          <w:spacing w:val="6"/>
        </w:rPr>
        <w:t> </w:t>
      </w:r>
      <w:r>
        <w:rPr/>
        <w:t>5%.</w:t>
      </w:r>
      <w:r>
        <w:rPr>
          <w:spacing w:val="6"/>
        </w:rPr>
        <w:t> </w:t>
      </w:r>
      <w:r>
        <w:rPr/>
        <w:t>Jika</w:t>
      </w:r>
      <w:r>
        <w:rPr>
          <w:spacing w:val="6"/>
        </w:rPr>
        <w:t> </w:t>
      </w:r>
      <w:r>
        <w:rPr/>
        <w:t>probabilitas</w:t>
      </w:r>
      <w:r>
        <w:rPr>
          <w:spacing w:val="7"/>
        </w:rPr>
        <w:t> </w:t>
      </w:r>
      <w:r>
        <w:rPr/>
        <w:t>Ha</w:t>
      </w:r>
      <w:r>
        <w:rPr>
          <w:spacing w:val="6"/>
        </w:rPr>
        <w:t> </w:t>
      </w:r>
      <w:r>
        <w:rPr/>
        <w:t>&lt;</w:t>
      </w:r>
      <w:r>
        <w:rPr>
          <w:spacing w:val="6"/>
        </w:rPr>
        <w:t> </w:t>
      </w:r>
      <w:r>
        <w:rPr/>
        <w:t>0,05</w:t>
      </w:r>
      <w:r>
        <w:rPr>
          <w:spacing w:val="6"/>
        </w:rPr>
        <w:t> </w:t>
      </w:r>
      <w:r>
        <w:rPr/>
        <w:t>maka</w:t>
      </w:r>
      <w:r>
        <w:rPr>
          <w:spacing w:val="7"/>
        </w:rPr>
        <w:t> </w:t>
      </w:r>
      <w:r>
        <w:rPr>
          <w:spacing w:val="-5"/>
        </w:rPr>
        <w:t>dinyatakan</w:t>
      </w:r>
    </w:p>
    <w:p>
      <w:pPr>
        <w:pStyle w:val="BodyText"/>
        <w:spacing w:after="0" w:line="480" w:lineRule="auto"/>
        <w:jc w:val="both"/>
        <w:sectPr>
          <w:pgSz w:w="11910" w:h="16840"/>
          <w:pgMar w:header="719" w:footer="0" w:top="980" w:bottom="280" w:left="1559" w:right="992"/>
        </w:sectPr>
      </w:pPr>
    </w:p>
    <w:p>
      <w:pPr>
        <w:pStyle w:val="BodyText"/>
      </w:pPr>
    </w:p>
    <w:p>
      <w:pPr>
        <w:pStyle w:val="BodyText"/>
      </w:pPr>
    </w:p>
    <w:p>
      <w:pPr>
        <w:pStyle w:val="BodyText"/>
      </w:pPr>
    </w:p>
    <w:p>
      <w:pPr>
        <w:pStyle w:val="BodyText"/>
        <w:spacing w:before="179"/>
      </w:pPr>
    </w:p>
    <w:p>
      <w:pPr>
        <w:pStyle w:val="BodyText"/>
        <w:spacing w:line="480" w:lineRule="auto"/>
        <w:ind w:left="1418"/>
      </w:pPr>
      <w:r>
        <w:rPr/>
        <w:t>signifikan,</w:t>
      </w:r>
      <w:r>
        <w:rPr>
          <w:spacing w:val="40"/>
        </w:rPr>
        <w:t> </w:t>
      </w:r>
      <w:r>
        <w:rPr/>
        <w:t>dan</w:t>
      </w:r>
      <w:r>
        <w:rPr>
          <w:spacing w:val="40"/>
        </w:rPr>
        <w:t> </w:t>
      </w:r>
      <w:r>
        <w:rPr/>
        <w:t>jika</w:t>
      </w:r>
      <w:r>
        <w:rPr>
          <w:spacing w:val="40"/>
        </w:rPr>
        <w:t> </w:t>
      </w:r>
      <w:r>
        <w:rPr/>
        <w:t>probabilitas</w:t>
      </w:r>
      <w:r>
        <w:rPr>
          <w:spacing w:val="40"/>
        </w:rPr>
        <w:t> </w:t>
      </w:r>
      <w:r>
        <w:rPr/>
        <w:t>Ha</w:t>
      </w:r>
      <w:r>
        <w:rPr>
          <w:spacing w:val="40"/>
        </w:rPr>
        <w:t> </w:t>
      </w:r>
      <w:r>
        <w:rPr/>
        <w:t>&gt;</w:t>
      </w:r>
      <w:r>
        <w:rPr>
          <w:spacing w:val="40"/>
        </w:rPr>
        <w:t> </w:t>
      </w:r>
      <w:r>
        <w:rPr/>
        <w:t>0,05</w:t>
      </w:r>
      <w:r>
        <w:rPr>
          <w:spacing w:val="40"/>
        </w:rPr>
        <w:t> </w:t>
      </w:r>
      <w:r>
        <w:rPr/>
        <w:t>maka</w:t>
      </w:r>
      <w:r>
        <w:rPr>
          <w:spacing w:val="40"/>
        </w:rPr>
        <w:t> </w:t>
      </w:r>
      <w:r>
        <w:rPr/>
        <w:t>dinyatakan</w:t>
      </w:r>
      <w:r>
        <w:rPr>
          <w:spacing w:val="40"/>
        </w:rPr>
        <w:t> </w:t>
      </w:r>
      <w:r>
        <w:rPr/>
        <w:t>tidak signifikan.</w:t>
      </w:r>
      <w:r>
        <w:rPr>
          <w:spacing w:val="-17"/>
        </w:rPr>
        <w:t> </w:t>
      </w:r>
      <w:r>
        <w:rPr/>
        <w:t>Kriteria</w:t>
      </w:r>
      <w:r>
        <w:rPr>
          <w:spacing w:val="-17"/>
        </w:rPr>
        <w:t> </w:t>
      </w:r>
      <w:r>
        <w:rPr/>
        <w:t>pengambilan</w:t>
      </w:r>
      <w:r>
        <w:rPr>
          <w:spacing w:val="-16"/>
        </w:rPr>
        <w:t> </w:t>
      </w:r>
      <w:r>
        <w:rPr/>
        <w:t>keputusan</w:t>
      </w:r>
      <w:r>
        <w:rPr>
          <w:spacing w:val="-17"/>
        </w:rPr>
        <w:t> </w:t>
      </w:r>
      <w:r>
        <w:rPr/>
        <w:t>adalah</w:t>
      </w:r>
      <w:r>
        <w:rPr>
          <w:spacing w:val="-17"/>
        </w:rPr>
        <w:t> </w:t>
      </w:r>
      <w:r>
        <w:rPr/>
        <w:t>sebagai</w:t>
      </w:r>
      <w:r>
        <w:rPr>
          <w:spacing w:val="-17"/>
        </w:rPr>
        <w:t> </w:t>
      </w:r>
      <w:r>
        <w:rPr/>
        <w:t>berikut:</w:t>
      </w:r>
    </w:p>
    <w:p>
      <w:pPr>
        <w:pStyle w:val="ListParagraph"/>
        <w:numPr>
          <w:ilvl w:val="2"/>
          <w:numId w:val="14"/>
        </w:numPr>
        <w:tabs>
          <w:tab w:pos="1700" w:val="left" w:leader="none"/>
        </w:tabs>
        <w:spacing w:line="240" w:lineRule="auto" w:before="0" w:after="0"/>
        <w:ind w:left="1700" w:right="0" w:hanging="282"/>
        <w:jc w:val="left"/>
        <w:rPr>
          <w:sz w:val="24"/>
        </w:rPr>
      </w:pPr>
      <w:r>
        <w:rPr>
          <w:spacing w:val="-2"/>
          <w:sz w:val="24"/>
        </w:rPr>
        <w:t>Jika</w:t>
      </w:r>
      <w:r>
        <w:rPr>
          <w:spacing w:val="-13"/>
          <w:sz w:val="24"/>
        </w:rPr>
        <w:t> </w:t>
      </w:r>
      <w:r>
        <w:rPr>
          <w:spacing w:val="-2"/>
          <w:sz w:val="24"/>
        </w:rPr>
        <w:t>nilai</w:t>
      </w:r>
      <w:r>
        <w:rPr>
          <w:spacing w:val="-11"/>
          <w:sz w:val="24"/>
        </w:rPr>
        <w:t> </w:t>
      </w:r>
      <w:r>
        <w:rPr>
          <w:spacing w:val="-2"/>
          <w:sz w:val="24"/>
        </w:rPr>
        <w:t>sig</w:t>
      </w:r>
      <w:r>
        <w:rPr>
          <w:spacing w:val="-10"/>
          <w:sz w:val="24"/>
        </w:rPr>
        <w:t> </w:t>
      </w:r>
      <w:r>
        <w:rPr>
          <w:spacing w:val="-2"/>
          <w:sz w:val="24"/>
        </w:rPr>
        <w:t>t</w:t>
      </w:r>
      <w:r>
        <w:rPr>
          <w:spacing w:val="-11"/>
          <w:sz w:val="24"/>
        </w:rPr>
        <w:t> </w:t>
      </w:r>
      <w:r>
        <w:rPr>
          <w:spacing w:val="-2"/>
          <w:sz w:val="24"/>
        </w:rPr>
        <w:t>&lt;</w:t>
      </w:r>
      <w:r>
        <w:rPr>
          <w:spacing w:val="-10"/>
          <w:sz w:val="24"/>
        </w:rPr>
        <w:t> </w:t>
      </w:r>
      <w:r>
        <w:rPr>
          <w:spacing w:val="-2"/>
          <w:sz w:val="24"/>
        </w:rPr>
        <w:t>0,05</w:t>
      </w:r>
      <w:r>
        <w:rPr>
          <w:spacing w:val="-11"/>
          <w:sz w:val="24"/>
        </w:rPr>
        <w:t> </w:t>
      </w:r>
      <w:r>
        <w:rPr>
          <w:spacing w:val="-2"/>
          <w:sz w:val="24"/>
        </w:rPr>
        <w:t>maka</w:t>
      </w:r>
      <w:r>
        <w:rPr>
          <w:spacing w:val="-10"/>
          <w:sz w:val="24"/>
        </w:rPr>
        <w:t> </w:t>
      </w:r>
      <w:r>
        <w:rPr>
          <w:spacing w:val="-2"/>
          <w:sz w:val="24"/>
        </w:rPr>
        <w:t>Ho</w:t>
      </w:r>
      <w:r>
        <w:rPr>
          <w:spacing w:val="-11"/>
          <w:sz w:val="24"/>
        </w:rPr>
        <w:t> </w:t>
      </w:r>
      <w:r>
        <w:rPr>
          <w:spacing w:val="-2"/>
          <w:sz w:val="24"/>
        </w:rPr>
        <w:t>ditolak</w:t>
      </w:r>
      <w:r>
        <w:rPr>
          <w:spacing w:val="-10"/>
          <w:sz w:val="24"/>
        </w:rPr>
        <w:t> </w:t>
      </w:r>
      <w:r>
        <w:rPr>
          <w:spacing w:val="-2"/>
          <w:sz w:val="24"/>
        </w:rPr>
        <w:t>dan</w:t>
      </w:r>
      <w:r>
        <w:rPr>
          <w:spacing w:val="-11"/>
          <w:sz w:val="24"/>
        </w:rPr>
        <w:t> </w:t>
      </w:r>
      <w:r>
        <w:rPr>
          <w:spacing w:val="-2"/>
          <w:sz w:val="24"/>
        </w:rPr>
        <w:t>Ha</w:t>
      </w:r>
      <w:r>
        <w:rPr>
          <w:spacing w:val="-10"/>
          <w:sz w:val="24"/>
        </w:rPr>
        <w:t> </w:t>
      </w:r>
      <w:r>
        <w:rPr>
          <w:spacing w:val="-2"/>
          <w:sz w:val="24"/>
        </w:rPr>
        <w:t>diterima.</w:t>
      </w:r>
    </w:p>
    <w:p>
      <w:pPr>
        <w:pStyle w:val="BodyText"/>
      </w:pPr>
    </w:p>
    <w:p>
      <w:pPr>
        <w:pStyle w:val="ListParagraph"/>
        <w:numPr>
          <w:ilvl w:val="2"/>
          <w:numId w:val="14"/>
        </w:numPr>
        <w:tabs>
          <w:tab w:pos="1700" w:val="left" w:leader="none"/>
        </w:tabs>
        <w:spacing w:line="240" w:lineRule="auto" w:before="0" w:after="0"/>
        <w:ind w:left="1700" w:right="0" w:hanging="282"/>
        <w:jc w:val="left"/>
        <w:rPr>
          <w:sz w:val="24"/>
        </w:rPr>
      </w:pPr>
      <w:r>
        <w:rPr>
          <w:spacing w:val="-2"/>
          <w:sz w:val="24"/>
        </w:rPr>
        <w:t>Jika</w:t>
      </w:r>
      <w:r>
        <w:rPr>
          <w:spacing w:val="-13"/>
          <w:sz w:val="24"/>
        </w:rPr>
        <w:t> </w:t>
      </w:r>
      <w:r>
        <w:rPr>
          <w:spacing w:val="-2"/>
          <w:sz w:val="24"/>
        </w:rPr>
        <w:t>nilai</w:t>
      </w:r>
      <w:r>
        <w:rPr>
          <w:spacing w:val="-11"/>
          <w:sz w:val="24"/>
        </w:rPr>
        <w:t> </w:t>
      </w:r>
      <w:r>
        <w:rPr>
          <w:spacing w:val="-2"/>
          <w:sz w:val="24"/>
        </w:rPr>
        <w:t>sig</w:t>
      </w:r>
      <w:r>
        <w:rPr>
          <w:spacing w:val="-11"/>
          <w:sz w:val="24"/>
        </w:rPr>
        <w:t> </w:t>
      </w:r>
      <w:r>
        <w:rPr>
          <w:spacing w:val="-2"/>
          <w:sz w:val="24"/>
        </w:rPr>
        <w:t>t</w:t>
      </w:r>
      <w:r>
        <w:rPr>
          <w:spacing w:val="-10"/>
          <w:sz w:val="24"/>
        </w:rPr>
        <w:t> </w:t>
      </w:r>
      <w:r>
        <w:rPr>
          <w:spacing w:val="-2"/>
          <w:sz w:val="24"/>
        </w:rPr>
        <w:t>&gt;</w:t>
      </w:r>
      <w:r>
        <w:rPr>
          <w:spacing w:val="-11"/>
          <w:sz w:val="24"/>
        </w:rPr>
        <w:t> </w:t>
      </w:r>
      <w:r>
        <w:rPr>
          <w:spacing w:val="-2"/>
          <w:sz w:val="24"/>
        </w:rPr>
        <w:t>0,05</w:t>
      </w:r>
      <w:r>
        <w:rPr>
          <w:spacing w:val="-11"/>
          <w:sz w:val="24"/>
        </w:rPr>
        <w:t> </w:t>
      </w:r>
      <w:r>
        <w:rPr>
          <w:spacing w:val="-2"/>
          <w:sz w:val="24"/>
        </w:rPr>
        <w:t>maka</w:t>
      </w:r>
      <w:r>
        <w:rPr>
          <w:spacing w:val="-11"/>
          <w:sz w:val="24"/>
        </w:rPr>
        <w:t> </w:t>
      </w:r>
      <w:r>
        <w:rPr>
          <w:spacing w:val="-2"/>
          <w:sz w:val="24"/>
        </w:rPr>
        <w:t>Ho</w:t>
      </w:r>
      <w:r>
        <w:rPr>
          <w:spacing w:val="-10"/>
          <w:sz w:val="24"/>
        </w:rPr>
        <w:t> </w:t>
      </w:r>
      <w:r>
        <w:rPr>
          <w:spacing w:val="-2"/>
          <w:sz w:val="24"/>
        </w:rPr>
        <w:t>diterima</w:t>
      </w:r>
      <w:r>
        <w:rPr>
          <w:spacing w:val="-11"/>
          <w:sz w:val="24"/>
        </w:rPr>
        <w:t> </w:t>
      </w:r>
      <w:r>
        <w:rPr>
          <w:spacing w:val="-2"/>
          <w:sz w:val="24"/>
        </w:rPr>
        <w:t>dan</w:t>
      </w:r>
      <w:r>
        <w:rPr>
          <w:spacing w:val="-11"/>
          <w:sz w:val="24"/>
        </w:rPr>
        <w:t> </w:t>
      </w:r>
      <w:r>
        <w:rPr>
          <w:spacing w:val="-2"/>
          <w:sz w:val="24"/>
        </w:rPr>
        <w:t>Ha</w:t>
      </w:r>
      <w:r>
        <w:rPr>
          <w:spacing w:val="-10"/>
          <w:sz w:val="24"/>
        </w:rPr>
        <w:t> </w:t>
      </w:r>
      <w:r>
        <w:rPr>
          <w:spacing w:val="-2"/>
          <w:sz w:val="24"/>
        </w:rPr>
        <w:t>ditolak</w:t>
      </w:r>
    </w:p>
    <w:p>
      <w:pPr>
        <w:pStyle w:val="BodyText"/>
      </w:pPr>
    </w:p>
    <w:p>
      <w:pPr>
        <w:pStyle w:val="Heading2"/>
        <w:numPr>
          <w:ilvl w:val="1"/>
          <w:numId w:val="14"/>
        </w:numPr>
        <w:tabs>
          <w:tab w:pos="1416" w:val="left" w:leader="none"/>
        </w:tabs>
        <w:spacing w:line="240" w:lineRule="auto" w:before="0" w:after="0"/>
        <w:ind w:left="1416" w:right="0" w:hanging="358"/>
        <w:jc w:val="left"/>
      </w:pPr>
      <w:bookmarkStart w:name="_bookmark41" w:id="42"/>
      <w:bookmarkEnd w:id="42"/>
      <w:r>
        <w:rPr/>
        <w:t>Uj</w:t>
      </w:r>
      <w:r>
        <w:rPr/>
        <w:t>i</w:t>
      </w:r>
      <w:r>
        <w:rPr>
          <w:spacing w:val="-7"/>
        </w:rPr>
        <w:t> </w:t>
      </w:r>
      <w:r>
        <w:rPr/>
        <w:t>R</w:t>
      </w:r>
      <w:r>
        <w:rPr>
          <w:vertAlign w:val="superscript"/>
        </w:rPr>
        <w:t>2</w:t>
      </w:r>
      <w:r>
        <w:rPr>
          <w:spacing w:val="-23"/>
          <w:vertAlign w:val="baseline"/>
        </w:rPr>
        <w:t> </w:t>
      </w:r>
      <w:r>
        <w:rPr>
          <w:vertAlign w:val="baseline"/>
        </w:rPr>
        <w:t>(Koefisien</w:t>
      </w:r>
      <w:r>
        <w:rPr>
          <w:spacing w:val="-3"/>
          <w:vertAlign w:val="baseline"/>
        </w:rPr>
        <w:t> </w:t>
      </w:r>
      <w:r>
        <w:rPr>
          <w:spacing w:val="-2"/>
          <w:vertAlign w:val="baseline"/>
        </w:rPr>
        <w:t>Determinasi)</w:t>
      </w:r>
    </w:p>
    <w:p>
      <w:pPr>
        <w:pStyle w:val="BodyText"/>
        <w:rPr>
          <w:b/>
        </w:rPr>
      </w:pPr>
    </w:p>
    <w:p>
      <w:pPr>
        <w:pStyle w:val="BodyText"/>
        <w:spacing w:line="480" w:lineRule="auto"/>
        <w:ind w:left="1417" w:right="708" w:firstLine="709"/>
        <w:jc w:val="both"/>
      </w:pPr>
      <w:r>
        <w:rPr/>
        <w:t>Pada intinya, koefisien determinasi (R^2) mengukur sejauh mana perubahan dalam variabel dependen dapat dijelaskan oleh model. Kisaran koefisien determinasi adalah 0 hingga 1. Nilai R^2 yang rendah mengindikasikan bahwa kemampuan variabel-variabel independen dalam menjelaskan variasi variabel dependen sangat terbatas. Jika R^2 mendekati 1, variabel independen memiliki pengaruh yang sempurna terhadap variabel dependen; jika sama dengan 0, variabel independen tidak memiliki pengaruh sama</w:t>
      </w:r>
      <w:r>
        <w:rPr>
          <w:spacing w:val="40"/>
        </w:rPr>
        <w:t> </w:t>
      </w:r>
      <w:r>
        <w:rPr>
          <w:spacing w:val="-2"/>
        </w:rPr>
        <w:t>sekali.</w:t>
      </w:r>
    </w:p>
    <w:sectPr>
      <w:pgSz w:w="11910" w:h="16840"/>
      <w:pgMar w:header="719" w:footer="0" w:top="980" w:bottom="280" w:left="1559" w:right="992"/>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Cambria">
    <w:altName w:val="Cambria"/>
    <w:charset w:val="1"/>
    <w:family w:val="roman"/>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081536">
          <wp:simplePos x="0" y="0"/>
          <wp:positionH relativeFrom="page">
            <wp:posOffset>3262210</wp:posOffset>
          </wp:positionH>
          <wp:positionV relativeFrom="page">
            <wp:posOffset>1440180</wp:posOffset>
          </wp:positionV>
          <wp:extent cx="1438275" cy="1447584"/>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1" cstate="print"/>
                  <a:stretch>
                    <a:fillRect/>
                  </a:stretch>
                </pic:blipFill>
                <pic:spPr>
                  <a:xfrm>
                    <a:off x="0" y="0"/>
                    <a:ext cx="1438275" cy="1447584"/>
                  </a:xfrm>
                  <a:prstGeom prst="rect">
                    <a:avLst/>
                  </a:prstGeom>
                </pic:spPr>
              </pic:pic>
            </a:graphicData>
          </a:graphic>
        </wp:anchor>
      </w:drawing>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083072">
              <wp:simplePos x="0" y="0"/>
              <wp:positionH relativeFrom="page">
                <wp:posOffset>6315075</wp:posOffset>
              </wp:positionH>
              <wp:positionV relativeFrom="page">
                <wp:posOffset>443352</wp:posOffset>
              </wp:positionV>
              <wp:extent cx="215900" cy="19431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215900" cy="194310"/>
                      </a:xfrm>
                      <a:prstGeom prst="rect">
                        <a:avLst/>
                      </a:prstGeom>
                    </wps:spPr>
                    <wps:txbx>
                      <w:txbxContent>
                        <w:p>
                          <w:pPr>
                            <w:pStyle w:val="BodyText"/>
                            <w:spacing w:before="10"/>
                            <w:ind w:left="20"/>
                            <w:rPr>
                              <w:rFonts w:ascii="Times New Roman"/>
                            </w:rPr>
                          </w:pPr>
                          <w:r>
                            <w:rPr>
                              <w:rFonts w:ascii="Times New Roman"/>
                              <w:spacing w:val="-5"/>
                            </w:rPr>
                            <w:fldChar w:fldCharType="begin"/>
                          </w:r>
                          <w:r>
                            <w:rPr>
                              <w:rFonts w:ascii="Times New Roman"/>
                              <w:spacing w:val="-5"/>
                            </w:rPr>
                            <w:instrText> PAGE </w:instrText>
                          </w:r>
                          <w:r>
                            <w:rPr>
                              <w:rFonts w:ascii="Times New Roman"/>
                              <w:spacing w:val="-5"/>
                            </w:rPr>
                            <w:fldChar w:fldCharType="separate"/>
                          </w:r>
                          <w:r>
                            <w:rPr>
                              <w:rFonts w:ascii="Times New Roman"/>
                              <w:spacing w:val="-5"/>
                            </w:rPr>
                            <w:t>10</w:t>
                          </w:r>
                          <w:r>
                            <w:rPr>
                              <w:rFonts w:ascii="Times New Roman"/>
                              <w:spacing w:val="-5"/>
                            </w:rPr>
                            <w:fldChar w:fldCharType="end"/>
                          </w:r>
                        </w:p>
                      </w:txbxContent>
                    </wps:txbx>
                    <wps:bodyPr wrap="square" lIns="0" tIns="0" rIns="0" bIns="0" rtlCol="0">
                      <a:noAutofit/>
                    </wps:bodyPr>
                  </wps:wsp>
                </a:graphicData>
              </a:graphic>
            </wp:anchor>
          </w:drawing>
        </mc:Choice>
        <mc:Fallback>
          <w:pict>
            <v:shape style="position:absolute;margin-left:497.25pt;margin-top:34.909664pt;width:17pt;height:15.3pt;mso-position-horizontal-relative:page;mso-position-vertical-relative:page;z-index:-17233408" type="#_x0000_t202" id="docshape3" filled="false" stroked="false">
              <v:textbox inset="0,0,0,0">
                <w:txbxContent>
                  <w:p>
                    <w:pPr>
                      <w:pStyle w:val="BodyText"/>
                      <w:spacing w:before="10"/>
                      <w:ind w:left="20"/>
                      <w:rPr>
                        <w:rFonts w:ascii="Times New Roman"/>
                      </w:rPr>
                    </w:pPr>
                    <w:r>
                      <w:rPr>
                        <w:rFonts w:ascii="Times New Roman"/>
                        <w:spacing w:val="-5"/>
                      </w:rPr>
                      <w:fldChar w:fldCharType="begin"/>
                    </w:r>
                    <w:r>
                      <w:rPr>
                        <w:rFonts w:ascii="Times New Roman"/>
                        <w:spacing w:val="-5"/>
                      </w:rPr>
                      <w:instrText> PAGE </w:instrText>
                    </w:r>
                    <w:r>
                      <w:rPr>
                        <w:rFonts w:ascii="Times New Roman"/>
                        <w:spacing w:val="-5"/>
                      </w:rPr>
                      <w:fldChar w:fldCharType="separate"/>
                    </w:r>
                    <w:r>
                      <w:rPr>
                        <w:rFonts w:ascii="Times New Roman"/>
                        <w:spacing w:val="-5"/>
                      </w:rPr>
                      <w:t>10</w:t>
                    </w:r>
                    <w:r>
                      <w:rPr>
                        <w:rFonts w:ascii="Times New Roman"/>
                        <w:spacing w:val="-5"/>
                      </w:rPr>
                      <w:fldChar w:fldCharType="end"/>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083584">
              <wp:simplePos x="0" y="0"/>
              <wp:positionH relativeFrom="page">
                <wp:posOffset>6289675</wp:posOffset>
              </wp:positionH>
              <wp:positionV relativeFrom="page">
                <wp:posOffset>443352</wp:posOffset>
              </wp:positionV>
              <wp:extent cx="241300" cy="194310"/>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241300" cy="194310"/>
                      </a:xfrm>
                      <a:prstGeom prst="rect">
                        <a:avLst/>
                      </a:prstGeom>
                    </wps:spPr>
                    <wps:txbx>
                      <w:txbxContent>
                        <w:p>
                          <w:pPr>
                            <w:pStyle w:val="BodyText"/>
                            <w:spacing w:before="10"/>
                            <w:ind w:left="60"/>
                            <w:rPr>
                              <w:rFonts w:ascii="Times New Roman"/>
                            </w:rPr>
                          </w:pPr>
                          <w:r>
                            <w:rPr>
                              <w:rFonts w:ascii="Times New Roman"/>
                              <w:spacing w:val="-5"/>
                            </w:rPr>
                            <w:fldChar w:fldCharType="begin"/>
                          </w:r>
                          <w:r>
                            <w:rPr>
                              <w:rFonts w:ascii="Times New Roman"/>
                              <w:spacing w:val="-5"/>
                            </w:rPr>
                            <w:instrText> PAGE </w:instrText>
                          </w:r>
                          <w:r>
                            <w:rPr>
                              <w:rFonts w:ascii="Times New Roman"/>
                              <w:spacing w:val="-5"/>
                            </w:rPr>
                            <w:fldChar w:fldCharType="separate"/>
                          </w:r>
                          <w:r>
                            <w:rPr>
                              <w:rFonts w:ascii="Times New Roman"/>
                              <w:spacing w:val="-5"/>
                            </w:rPr>
                            <w:t>21</w:t>
                          </w:r>
                          <w:r>
                            <w:rPr>
                              <w:rFonts w:ascii="Times New Roman"/>
                              <w:spacing w:val="-5"/>
                            </w:rPr>
                            <w:fldChar w:fldCharType="end"/>
                          </w:r>
                        </w:p>
                      </w:txbxContent>
                    </wps:txbx>
                    <wps:bodyPr wrap="square" lIns="0" tIns="0" rIns="0" bIns="0" rtlCol="0">
                      <a:noAutofit/>
                    </wps:bodyPr>
                  </wps:wsp>
                </a:graphicData>
              </a:graphic>
            </wp:anchor>
          </w:drawing>
        </mc:Choice>
        <mc:Fallback>
          <w:pict>
            <v:shape style="position:absolute;margin-left:495.25pt;margin-top:34.909664pt;width:19pt;height:15.3pt;mso-position-horizontal-relative:page;mso-position-vertical-relative:page;z-index:-17232896" type="#_x0000_t202" id="docshape4" filled="false" stroked="false">
              <v:textbox inset="0,0,0,0">
                <w:txbxContent>
                  <w:p>
                    <w:pPr>
                      <w:pStyle w:val="BodyText"/>
                      <w:spacing w:before="10"/>
                      <w:ind w:left="60"/>
                      <w:rPr>
                        <w:rFonts w:ascii="Times New Roman"/>
                      </w:rPr>
                    </w:pPr>
                    <w:r>
                      <w:rPr>
                        <w:rFonts w:ascii="Times New Roman"/>
                        <w:spacing w:val="-5"/>
                      </w:rPr>
                      <w:fldChar w:fldCharType="begin"/>
                    </w:r>
                    <w:r>
                      <w:rPr>
                        <w:rFonts w:ascii="Times New Roman"/>
                        <w:spacing w:val="-5"/>
                      </w:rPr>
                      <w:instrText> PAGE </w:instrText>
                    </w:r>
                    <w:r>
                      <w:rPr>
                        <w:rFonts w:ascii="Times New Roman"/>
                        <w:spacing w:val="-5"/>
                      </w:rPr>
                      <w:fldChar w:fldCharType="separate"/>
                    </w:r>
                    <w:r>
                      <w:rPr>
                        <w:rFonts w:ascii="Times New Roman"/>
                        <w:spacing w:val="-5"/>
                      </w:rPr>
                      <w:t>21</w:t>
                    </w:r>
                    <w:r>
                      <w:rPr>
                        <w:rFonts w:ascii="Times New Roman"/>
                        <w:spacing w:val="-5"/>
                      </w:rPr>
                      <w:fldChar w:fldCharType="end"/>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084096">
              <wp:simplePos x="0" y="0"/>
              <wp:positionH relativeFrom="page">
                <wp:posOffset>6289675</wp:posOffset>
              </wp:positionH>
              <wp:positionV relativeFrom="page">
                <wp:posOffset>443987</wp:posOffset>
              </wp:positionV>
              <wp:extent cx="241300" cy="194310"/>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241300" cy="194310"/>
                      </a:xfrm>
                      <a:prstGeom prst="rect">
                        <a:avLst/>
                      </a:prstGeom>
                    </wps:spPr>
                    <wps:txbx>
                      <w:txbxContent>
                        <w:p>
                          <w:pPr>
                            <w:pStyle w:val="BodyText"/>
                            <w:spacing w:before="10"/>
                            <w:ind w:left="60"/>
                            <w:rPr>
                              <w:rFonts w:ascii="Times New Roman"/>
                            </w:rPr>
                          </w:pPr>
                          <w:r>
                            <w:rPr>
                              <w:rFonts w:ascii="Times New Roman"/>
                              <w:spacing w:val="-5"/>
                            </w:rPr>
                            <w:fldChar w:fldCharType="begin"/>
                          </w:r>
                          <w:r>
                            <w:rPr>
                              <w:rFonts w:ascii="Times New Roman"/>
                              <w:spacing w:val="-5"/>
                            </w:rPr>
                            <w:instrText> PAGE </w:instrText>
                          </w:r>
                          <w:r>
                            <w:rPr>
                              <w:rFonts w:ascii="Times New Roman"/>
                              <w:spacing w:val="-5"/>
                            </w:rPr>
                            <w:fldChar w:fldCharType="separate"/>
                          </w:r>
                          <w:r>
                            <w:rPr>
                              <w:rFonts w:ascii="Times New Roman"/>
                              <w:spacing w:val="-5"/>
                            </w:rPr>
                            <w:t>79</w:t>
                          </w:r>
                          <w:r>
                            <w:rPr>
                              <w:rFonts w:ascii="Times New Roman"/>
                              <w:spacing w:val="-5"/>
                            </w:rPr>
                            <w:fldChar w:fldCharType="end"/>
                          </w:r>
                        </w:p>
                      </w:txbxContent>
                    </wps:txbx>
                    <wps:bodyPr wrap="square" lIns="0" tIns="0" rIns="0" bIns="0" rtlCol="0">
                      <a:noAutofit/>
                    </wps:bodyPr>
                  </wps:wsp>
                </a:graphicData>
              </a:graphic>
            </wp:anchor>
          </w:drawing>
        </mc:Choice>
        <mc:Fallback>
          <w:pict>
            <v:shape style="position:absolute;margin-left:495.25pt;margin-top:34.959663pt;width:19pt;height:15.3pt;mso-position-horizontal-relative:page;mso-position-vertical-relative:page;z-index:-17232384" type="#_x0000_t202" id="docshape38" filled="false" stroked="false">
              <v:textbox inset="0,0,0,0">
                <w:txbxContent>
                  <w:p>
                    <w:pPr>
                      <w:pStyle w:val="BodyText"/>
                      <w:spacing w:before="10"/>
                      <w:ind w:left="60"/>
                      <w:rPr>
                        <w:rFonts w:ascii="Times New Roman"/>
                      </w:rPr>
                    </w:pPr>
                    <w:r>
                      <w:rPr>
                        <w:rFonts w:ascii="Times New Roman"/>
                        <w:spacing w:val="-5"/>
                      </w:rPr>
                      <w:fldChar w:fldCharType="begin"/>
                    </w:r>
                    <w:r>
                      <w:rPr>
                        <w:rFonts w:ascii="Times New Roman"/>
                        <w:spacing w:val="-5"/>
                      </w:rPr>
                      <w:instrText> PAGE </w:instrText>
                    </w:r>
                    <w:r>
                      <w:rPr>
                        <w:rFonts w:ascii="Times New Roman"/>
                        <w:spacing w:val="-5"/>
                      </w:rPr>
                      <w:fldChar w:fldCharType="separate"/>
                    </w:r>
                    <w:r>
                      <w:rPr>
                        <w:rFonts w:ascii="Times New Roman"/>
                        <w:spacing w:val="-5"/>
                      </w:rPr>
                      <w:t>79</w:t>
                    </w:r>
                    <w:r>
                      <w:rPr>
                        <w:rFonts w:ascii="Times New Roman"/>
                        <w:spacing w:val="-5"/>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082048">
              <wp:simplePos x="0" y="0"/>
              <wp:positionH relativeFrom="page">
                <wp:posOffset>3579095</wp:posOffset>
              </wp:positionH>
              <wp:positionV relativeFrom="page">
                <wp:posOffset>1433959</wp:posOffset>
              </wp:positionV>
              <wp:extent cx="762000" cy="194310"/>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762000" cy="194310"/>
                      </a:xfrm>
                      <a:prstGeom prst="rect">
                        <a:avLst/>
                      </a:prstGeom>
                    </wps:spPr>
                    <wps:txbx>
                      <w:txbxContent>
                        <w:p>
                          <w:pPr>
                            <w:spacing w:before="10"/>
                            <w:ind w:left="20" w:right="0" w:firstLine="0"/>
                            <w:jc w:val="left"/>
                            <w:rPr>
                              <w:rFonts w:ascii="Times New Roman"/>
                              <w:b/>
                              <w:sz w:val="24"/>
                            </w:rPr>
                          </w:pPr>
                          <w:r>
                            <w:rPr>
                              <w:rFonts w:ascii="Times New Roman"/>
                              <w:b/>
                              <w:spacing w:val="-2"/>
                              <w:sz w:val="24"/>
                            </w:rPr>
                            <w:t>ABSTRAK</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81.818512pt;margin-top:112.910164pt;width:60pt;height:15.3pt;mso-position-horizontal-relative:page;mso-position-vertical-relative:page;z-index:-17234432" type="#_x0000_t202" id="docshape1" filled="false" stroked="false">
              <v:textbox inset="0,0,0,0">
                <w:txbxContent>
                  <w:p>
                    <w:pPr>
                      <w:spacing w:before="10"/>
                      <w:ind w:left="20" w:right="0" w:firstLine="0"/>
                      <w:jc w:val="left"/>
                      <w:rPr>
                        <w:rFonts w:ascii="Times New Roman"/>
                        <w:b/>
                        <w:sz w:val="24"/>
                      </w:rPr>
                    </w:pPr>
                    <w:r>
                      <w:rPr>
                        <w:rFonts w:ascii="Times New Roman"/>
                        <w:b/>
                        <w:spacing w:val="-2"/>
                        <w:sz w:val="24"/>
                      </w:rPr>
                      <w:t>ABSTRAK</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082560">
              <wp:simplePos x="0" y="0"/>
              <wp:positionH relativeFrom="page">
                <wp:posOffset>3532512</wp:posOffset>
              </wp:positionH>
              <wp:positionV relativeFrom="page">
                <wp:posOffset>1433959</wp:posOffset>
              </wp:positionV>
              <wp:extent cx="854710" cy="19431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854710" cy="194310"/>
                      </a:xfrm>
                      <a:prstGeom prst="rect">
                        <a:avLst/>
                      </a:prstGeom>
                    </wps:spPr>
                    <wps:txbx>
                      <w:txbxContent>
                        <w:p>
                          <w:pPr>
                            <w:spacing w:before="10"/>
                            <w:ind w:left="20" w:right="0" w:firstLine="0"/>
                            <w:jc w:val="left"/>
                            <w:rPr>
                              <w:rFonts w:ascii="Times New Roman"/>
                              <w:b/>
                              <w:sz w:val="24"/>
                            </w:rPr>
                          </w:pPr>
                          <w:r>
                            <w:rPr>
                              <w:rFonts w:ascii="Times New Roman"/>
                              <w:b/>
                              <w:spacing w:val="-2"/>
                              <w:sz w:val="24"/>
                            </w:rPr>
                            <w:t>ABSTRACT</w:t>
                          </w:r>
                        </w:p>
                      </w:txbxContent>
                    </wps:txbx>
                    <wps:bodyPr wrap="square" lIns="0" tIns="0" rIns="0" bIns="0" rtlCol="0">
                      <a:noAutofit/>
                    </wps:bodyPr>
                  </wps:wsp>
                </a:graphicData>
              </a:graphic>
            </wp:anchor>
          </w:drawing>
        </mc:Choice>
        <mc:Fallback>
          <w:pict>
            <v:shape style="position:absolute;margin-left:278.150604pt;margin-top:112.910164pt;width:67.3pt;height:15.3pt;mso-position-horizontal-relative:page;mso-position-vertical-relative:page;z-index:-17233920" type="#_x0000_t202" id="docshape2" filled="false" stroked="false">
              <v:textbox inset="0,0,0,0">
                <w:txbxContent>
                  <w:p>
                    <w:pPr>
                      <w:spacing w:before="10"/>
                      <w:ind w:left="20" w:right="0" w:firstLine="0"/>
                      <w:jc w:val="left"/>
                      <w:rPr>
                        <w:rFonts w:ascii="Times New Roman"/>
                        <w:b/>
                        <w:sz w:val="24"/>
                      </w:rPr>
                    </w:pPr>
                    <w:r>
                      <w:rPr>
                        <w:rFonts w:ascii="Times New Roman"/>
                        <w:b/>
                        <w:spacing w:val="-2"/>
                        <w:sz w:val="24"/>
                      </w:rPr>
                      <w:t>ABSTRACT</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4">
    <w:multiLevelType w:val="hybridMultilevel"/>
    <w:lvl w:ilvl="0">
      <w:start w:val="1"/>
      <w:numFmt w:val="lowerLetter"/>
      <w:lvlText w:val="%1."/>
      <w:lvlJc w:val="left"/>
      <w:pPr>
        <w:ind w:left="1787" w:hanging="336"/>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537" w:hanging="336"/>
      </w:pPr>
      <w:rPr>
        <w:rFonts w:hint="default"/>
        <w:lang w:val="id" w:eastAsia="en-US" w:bidi="ar-SA"/>
      </w:rPr>
    </w:lvl>
    <w:lvl w:ilvl="2">
      <w:start w:val="0"/>
      <w:numFmt w:val="bullet"/>
      <w:lvlText w:val="•"/>
      <w:lvlJc w:val="left"/>
      <w:pPr>
        <w:ind w:left="3295" w:hanging="336"/>
      </w:pPr>
      <w:rPr>
        <w:rFonts w:hint="default"/>
        <w:lang w:val="id" w:eastAsia="en-US" w:bidi="ar-SA"/>
      </w:rPr>
    </w:lvl>
    <w:lvl w:ilvl="3">
      <w:start w:val="0"/>
      <w:numFmt w:val="bullet"/>
      <w:lvlText w:val="•"/>
      <w:lvlJc w:val="left"/>
      <w:pPr>
        <w:ind w:left="4052" w:hanging="336"/>
      </w:pPr>
      <w:rPr>
        <w:rFonts w:hint="default"/>
        <w:lang w:val="id" w:eastAsia="en-US" w:bidi="ar-SA"/>
      </w:rPr>
    </w:lvl>
    <w:lvl w:ilvl="4">
      <w:start w:val="0"/>
      <w:numFmt w:val="bullet"/>
      <w:lvlText w:val="•"/>
      <w:lvlJc w:val="left"/>
      <w:pPr>
        <w:ind w:left="4810" w:hanging="336"/>
      </w:pPr>
      <w:rPr>
        <w:rFonts w:hint="default"/>
        <w:lang w:val="id" w:eastAsia="en-US" w:bidi="ar-SA"/>
      </w:rPr>
    </w:lvl>
    <w:lvl w:ilvl="5">
      <w:start w:val="0"/>
      <w:numFmt w:val="bullet"/>
      <w:lvlText w:val="•"/>
      <w:lvlJc w:val="left"/>
      <w:pPr>
        <w:ind w:left="5567" w:hanging="336"/>
      </w:pPr>
      <w:rPr>
        <w:rFonts w:hint="default"/>
        <w:lang w:val="id" w:eastAsia="en-US" w:bidi="ar-SA"/>
      </w:rPr>
    </w:lvl>
    <w:lvl w:ilvl="6">
      <w:start w:val="0"/>
      <w:numFmt w:val="bullet"/>
      <w:lvlText w:val="•"/>
      <w:lvlJc w:val="left"/>
      <w:pPr>
        <w:ind w:left="6325" w:hanging="336"/>
      </w:pPr>
      <w:rPr>
        <w:rFonts w:hint="default"/>
        <w:lang w:val="id" w:eastAsia="en-US" w:bidi="ar-SA"/>
      </w:rPr>
    </w:lvl>
    <w:lvl w:ilvl="7">
      <w:start w:val="0"/>
      <w:numFmt w:val="bullet"/>
      <w:lvlText w:val="•"/>
      <w:lvlJc w:val="left"/>
      <w:pPr>
        <w:ind w:left="7082" w:hanging="336"/>
      </w:pPr>
      <w:rPr>
        <w:rFonts w:hint="default"/>
        <w:lang w:val="id" w:eastAsia="en-US" w:bidi="ar-SA"/>
      </w:rPr>
    </w:lvl>
    <w:lvl w:ilvl="8">
      <w:start w:val="0"/>
      <w:numFmt w:val="bullet"/>
      <w:lvlText w:val="•"/>
      <w:lvlJc w:val="left"/>
      <w:pPr>
        <w:ind w:left="7840" w:hanging="336"/>
      </w:pPr>
      <w:rPr>
        <w:rFonts w:hint="default"/>
        <w:lang w:val="id" w:eastAsia="en-US" w:bidi="ar-SA"/>
      </w:rPr>
    </w:lvl>
  </w:abstractNum>
  <w:abstractNum w:abstractNumId="13">
    <w:multiLevelType w:val="hybridMultilevel"/>
    <w:lvl w:ilvl="0">
      <w:start w:val="1"/>
      <w:numFmt w:val="upperLetter"/>
      <w:lvlText w:val="%1."/>
      <w:lvlJc w:val="left"/>
      <w:pPr>
        <w:ind w:left="1134" w:hanging="357"/>
        <w:jc w:val="left"/>
      </w:pPr>
      <w:rPr>
        <w:rFonts w:hint="default" w:ascii="Arial" w:hAnsi="Arial" w:eastAsia="Arial" w:cs="Arial"/>
        <w:b/>
        <w:bCs/>
        <w:i w:val="0"/>
        <w:iCs w:val="0"/>
        <w:spacing w:val="-1"/>
        <w:w w:val="100"/>
        <w:sz w:val="24"/>
        <w:szCs w:val="24"/>
        <w:lang w:val="id" w:eastAsia="en-US" w:bidi="ar-SA"/>
      </w:rPr>
    </w:lvl>
    <w:lvl w:ilvl="1">
      <w:start w:val="1"/>
      <w:numFmt w:val="decimal"/>
      <w:lvlText w:val="%2."/>
      <w:lvlJc w:val="left"/>
      <w:pPr>
        <w:ind w:left="1428" w:hanging="360"/>
        <w:jc w:val="left"/>
      </w:pPr>
      <w:rPr>
        <w:rFonts w:hint="default" w:ascii="Arial" w:hAnsi="Arial" w:eastAsia="Arial" w:cs="Arial"/>
        <w:b/>
        <w:bCs/>
        <w:i w:val="0"/>
        <w:iCs w:val="0"/>
        <w:spacing w:val="-1"/>
        <w:w w:val="100"/>
        <w:sz w:val="24"/>
        <w:szCs w:val="24"/>
        <w:lang w:val="id" w:eastAsia="en-US" w:bidi="ar-SA"/>
      </w:rPr>
    </w:lvl>
    <w:lvl w:ilvl="2">
      <w:start w:val="1"/>
      <w:numFmt w:val="lowerLetter"/>
      <w:lvlText w:val="%3."/>
      <w:lvlJc w:val="left"/>
      <w:pPr>
        <w:ind w:left="1701" w:hanging="284"/>
        <w:jc w:val="left"/>
      </w:pPr>
      <w:rPr>
        <w:rFonts w:hint="default"/>
        <w:spacing w:val="-1"/>
        <w:w w:val="100"/>
        <w:lang w:val="id" w:eastAsia="en-US" w:bidi="ar-SA"/>
      </w:rPr>
    </w:lvl>
    <w:lvl w:ilvl="3">
      <w:start w:val="1"/>
      <w:numFmt w:val="decimal"/>
      <w:lvlText w:val="%4)"/>
      <w:lvlJc w:val="left"/>
      <w:pPr>
        <w:ind w:left="1985" w:hanging="284"/>
        <w:jc w:val="left"/>
      </w:pPr>
      <w:rPr>
        <w:rFonts w:hint="default"/>
        <w:spacing w:val="0"/>
        <w:w w:val="100"/>
        <w:lang w:val="id" w:eastAsia="en-US" w:bidi="ar-SA"/>
      </w:rPr>
    </w:lvl>
    <w:lvl w:ilvl="4">
      <w:start w:val="0"/>
      <w:numFmt w:val="bullet"/>
      <w:lvlText w:val="•"/>
      <w:lvlJc w:val="left"/>
      <w:pPr>
        <w:ind w:left="1980" w:hanging="284"/>
      </w:pPr>
      <w:rPr>
        <w:rFonts w:hint="default"/>
        <w:lang w:val="id" w:eastAsia="en-US" w:bidi="ar-SA"/>
      </w:rPr>
    </w:lvl>
    <w:lvl w:ilvl="5">
      <w:start w:val="0"/>
      <w:numFmt w:val="bullet"/>
      <w:lvlText w:val="•"/>
      <w:lvlJc w:val="left"/>
      <w:pPr>
        <w:ind w:left="2260" w:hanging="284"/>
      </w:pPr>
      <w:rPr>
        <w:rFonts w:hint="default"/>
        <w:lang w:val="id" w:eastAsia="en-US" w:bidi="ar-SA"/>
      </w:rPr>
    </w:lvl>
    <w:lvl w:ilvl="6">
      <w:start w:val="0"/>
      <w:numFmt w:val="bullet"/>
      <w:lvlText w:val="•"/>
      <w:lvlJc w:val="left"/>
      <w:pPr>
        <w:ind w:left="2700" w:hanging="284"/>
      </w:pPr>
      <w:rPr>
        <w:rFonts w:hint="default"/>
        <w:lang w:val="id" w:eastAsia="en-US" w:bidi="ar-SA"/>
      </w:rPr>
    </w:lvl>
    <w:lvl w:ilvl="7">
      <w:start w:val="0"/>
      <w:numFmt w:val="bullet"/>
      <w:lvlText w:val="•"/>
      <w:lvlJc w:val="left"/>
      <w:pPr>
        <w:ind w:left="4363" w:hanging="284"/>
      </w:pPr>
      <w:rPr>
        <w:rFonts w:hint="default"/>
        <w:lang w:val="id" w:eastAsia="en-US" w:bidi="ar-SA"/>
      </w:rPr>
    </w:lvl>
    <w:lvl w:ilvl="8">
      <w:start w:val="0"/>
      <w:numFmt w:val="bullet"/>
      <w:lvlText w:val="•"/>
      <w:lvlJc w:val="left"/>
      <w:pPr>
        <w:ind w:left="6027" w:hanging="284"/>
      </w:pPr>
      <w:rPr>
        <w:rFonts w:hint="default"/>
        <w:lang w:val="id" w:eastAsia="en-US" w:bidi="ar-SA"/>
      </w:rPr>
    </w:lvl>
  </w:abstractNum>
  <w:abstractNum w:abstractNumId="12">
    <w:multiLevelType w:val="hybridMultilevel"/>
    <w:lvl w:ilvl="0">
      <w:start w:val="1"/>
      <w:numFmt w:val="decimal"/>
      <w:lvlText w:val="%1)"/>
      <w:lvlJc w:val="left"/>
      <w:pPr>
        <w:ind w:left="1969" w:hanging="450"/>
        <w:jc w:val="right"/>
      </w:pPr>
      <w:rPr>
        <w:rFonts w:hint="default" w:ascii="Arial" w:hAnsi="Arial" w:eastAsia="Arial" w:cs="Arial"/>
        <w:b w:val="0"/>
        <w:bCs w:val="0"/>
        <w:i w:val="0"/>
        <w:iCs w:val="0"/>
        <w:spacing w:val="0"/>
        <w:w w:val="100"/>
        <w:sz w:val="24"/>
        <w:szCs w:val="24"/>
        <w:lang w:val="id" w:eastAsia="en-US" w:bidi="ar-SA"/>
      </w:rPr>
    </w:lvl>
    <w:lvl w:ilvl="1">
      <w:start w:val="0"/>
      <w:numFmt w:val="bullet"/>
      <w:lvlText w:val="•"/>
      <w:lvlJc w:val="left"/>
      <w:pPr>
        <w:ind w:left="2699" w:hanging="450"/>
      </w:pPr>
      <w:rPr>
        <w:rFonts w:hint="default"/>
        <w:lang w:val="id" w:eastAsia="en-US" w:bidi="ar-SA"/>
      </w:rPr>
    </w:lvl>
    <w:lvl w:ilvl="2">
      <w:start w:val="0"/>
      <w:numFmt w:val="bullet"/>
      <w:lvlText w:val="•"/>
      <w:lvlJc w:val="left"/>
      <w:pPr>
        <w:ind w:left="3439" w:hanging="450"/>
      </w:pPr>
      <w:rPr>
        <w:rFonts w:hint="default"/>
        <w:lang w:val="id" w:eastAsia="en-US" w:bidi="ar-SA"/>
      </w:rPr>
    </w:lvl>
    <w:lvl w:ilvl="3">
      <w:start w:val="0"/>
      <w:numFmt w:val="bullet"/>
      <w:lvlText w:val="•"/>
      <w:lvlJc w:val="left"/>
      <w:pPr>
        <w:ind w:left="4178" w:hanging="450"/>
      </w:pPr>
      <w:rPr>
        <w:rFonts w:hint="default"/>
        <w:lang w:val="id" w:eastAsia="en-US" w:bidi="ar-SA"/>
      </w:rPr>
    </w:lvl>
    <w:lvl w:ilvl="4">
      <w:start w:val="0"/>
      <w:numFmt w:val="bullet"/>
      <w:lvlText w:val="•"/>
      <w:lvlJc w:val="left"/>
      <w:pPr>
        <w:ind w:left="4918" w:hanging="450"/>
      </w:pPr>
      <w:rPr>
        <w:rFonts w:hint="default"/>
        <w:lang w:val="id" w:eastAsia="en-US" w:bidi="ar-SA"/>
      </w:rPr>
    </w:lvl>
    <w:lvl w:ilvl="5">
      <w:start w:val="0"/>
      <w:numFmt w:val="bullet"/>
      <w:lvlText w:val="•"/>
      <w:lvlJc w:val="left"/>
      <w:pPr>
        <w:ind w:left="5657" w:hanging="450"/>
      </w:pPr>
      <w:rPr>
        <w:rFonts w:hint="default"/>
        <w:lang w:val="id" w:eastAsia="en-US" w:bidi="ar-SA"/>
      </w:rPr>
    </w:lvl>
    <w:lvl w:ilvl="6">
      <w:start w:val="0"/>
      <w:numFmt w:val="bullet"/>
      <w:lvlText w:val="•"/>
      <w:lvlJc w:val="left"/>
      <w:pPr>
        <w:ind w:left="6397" w:hanging="450"/>
      </w:pPr>
      <w:rPr>
        <w:rFonts w:hint="default"/>
        <w:lang w:val="id" w:eastAsia="en-US" w:bidi="ar-SA"/>
      </w:rPr>
    </w:lvl>
    <w:lvl w:ilvl="7">
      <w:start w:val="0"/>
      <w:numFmt w:val="bullet"/>
      <w:lvlText w:val="•"/>
      <w:lvlJc w:val="left"/>
      <w:pPr>
        <w:ind w:left="7136" w:hanging="450"/>
      </w:pPr>
      <w:rPr>
        <w:rFonts w:hint="default"/>
        <w:lang w:val="id" w:eastAsia="en-US" w:bidi="ar-SA"/>
      </w:rPr>
    </w:lvl>
    <w:lvl w:ilvl="8">
      <w:start w:val="0"/>
      <w:numFmt w:val="bullet"/>
      <w:lvlText w:val="•"/>
      <w:lvlJc w:val="left"/>
      <w:pPr>
        <w:ind w:left="7876" w:hanging="450"/>
      </w:pPr>
      <w:rPr>
        <w:rFonts w:hint="default"/>
        <w:lang w:val="id" w:eastAsia="en-US" w:bidi="ar-SA"/>
      </w:rPr>
    </w:lvl>
  </w:abstractNum>
  <w:abstractNum w:abstractNumId="11">
    <w:multiLevelType w:val="hybridMultilevel"/>
    <w:lvl w:ilvl="0">
      <w:start w:val="1"/>
      <w:numFmt w:val="decimal"/>
      <w:lvlText w:val="%1)"/>
      <w:lvlJc w:val="left"/>
      <w:pPr>
        <w:ind w:left="1985" w:hanging="396"/>
        <w:jc w:val="left"/>
      </w:pPr>
      <w:rPr>
        <w:rFonts w:hint="default" w:ascii="Arial" w:hAnsi="Arial" w:eastAsia="Arial" w:cs="Arial"/>
        <w:b w:val="0"/>
        <w:bCs w:val="0"/>
        <w:i w:val="0"/>
        <w:iCs w:val="0"/>
        <w:spacing w:val="0"/>
        <w:w w:val="100"/>
        <w:sz w:val="24"/>
        <w:szCs w:val="24"/>
        <w:lang w:val="id" w:eastAsia="en-US" w:bidi="ar-SA"/>
      </w:rPr>
    </w:lvl>
    <w:lvl w:ilvl="1">
      <w:start w:val="0"/>
      <w:numFmt w:val="bullet"/>
      <w:lvlText w:val="•"/>
      <w:lvlJc w:val="left"/>
      <w:pPr>
        <w:ind w:left="2717" w:hanging="396"/>
      </w:pPr>
      <w:rPr>
        <w:rFonts w:hint="default"/>
        <w:lang w:val="id" w:eastAsia="en-US" w:bidi="ar-SA"/>
      </w:rPr>
    </w:lvl>
    <w:lvl w:ilvl="2">
      <w:start w:val="0"/>
      <w:numFmt w:val="bullet"/>
      <w:lvlText w:val="•"/>
      <w:lvlJc w:val="left"/>
      <w:pPr>
        <w:ind w:left="3455" w:hanging="396"/>
      </w:pPr>
      <w:rPr>
        <w:rFonts w:hint="default"/>
        <w:lang w:val="id" w:eastAsia="en-US" w:bidi="ar-SA"/>
      </w:rPr>
    </w:lvl>
    <w:lvl w:ilvl="3">
      <w:start w:val="0"/>
      <w:numFmt w:val="bullet"/>
      <w:lvlText w:val="•"/>
      <w:lvlJc w:val="left"/>
      <w:pPr>
        <w:ind w:left="4192" w:hanging="396"/>
      </w:pPr>
      <w:rPr>
        <w:rFonts w:hint="default"/>
        <w:lang w:val="id" w:eastAsia="en-US" w:bidi="ar-SA"/>
      </w:rPr>
    </w:lvl>
    <w:lvl w:ilvl="4">
      <w:start w:val="0"/>
      <w:numFmt w:val="bullet"/>
      <w:lvlText w:val="•"/>
      <w:lvlJc w:val="left"/>
      <w:pPr>
        <w:ind w:left="4930" w:hanging="396"/>
      </w:pPr>
      <w:rPr>
        <w:rFonts w:hint="default"/>
        <w:lang w:val="id" w:eastAsia="en-US" w:bidi="ar-SA"/>
      </w:rPr>
    </w:lvl>
    <w:lvl w:ilvl="5">
      <w:start w:val="0"/>
      <w:numFmt w:val="bullet"/>
      <w:lvlText w:val="•"/>
      <w:lvlJc w:val="left"/>
      <w:pPr>
        <w:ind w:left="5667" w:hanging="396"/>
      </w:pPr>
      <w:rPr>
        <w:rFonts w:hint="default"/>
        <w:lang w:val="id" w:eastAsia="en-US" w:bidi="ar-SA"/>
      </w:rPr>
    </w:lvl>
    <w:lvl w:ilvl="6">
      <w:start w:val="0"/>
      <w:numFmt w:val="bullet"/>
      <w:lvlText w:val="•"/>
      <w:lvlJc w:val="left"/>
      <w:pPr>
        <w:ind w:left="6405" w:hanging="396"/>
      </w:pPr>
      <w:rPr>
        <w:rFonts w:hint="default"/>
        <w:lang w:val="id" w:eastAsia="en-US" w:bidi="ar-SA"/>
      </w:rPr>
    </w:lvl>
    <w:lvl w:ilvl="7">
      <w:start w:val="0"/>
      <w:numFmt w:val="bullet"/>
      <w:lvlText w:val="•"/>
      <w:lvlJc w:val="left"/>
      <w:pPr>
        <w:ind w:left="7142" w:hanging="396"/>
      </w:pPr>
      <w:rPr>
        <w:rFonts w:hint="default"/>
        <w:lang w:val="id" w:eastAsia="en-US" w:bidi="ar-SA"/>
      </w:rPr>
    </w:lvl>
    <w:lvl w:ilvl="8">
      <w:start w:val="0"/>
      <w:numFmt w:val="bullet"/>
      <w:lvlText w:val="•"/>
      <w:lvlJc w:val="left"/>
      <w:pPr>
        <w:ind w:left="7880" w:hanging="396"/>
      </w:pPr>
      <w:rPr>
        <w:rFonts w:hint="default"/>
        <w:lang w:val="id" w:eastAsia="en-US" w:bidi="ar-SA"/>
      </w:rPr>
    </w:lvl>
  </w:abstractNum>
  <w:abstractNum w:abstractNumId="10">
    <w:multiLevelType w:val="hybridMultilevel"/>
    <w:lvl w:ilvl="0">
      <w:start w:val="1"/>
      <w:numFmt w:val="decimal"/>
      <w:lvlText w:val="%1)"/>
      <w:lvlJc w:val="left"/>
      <w:pPr>
        <w:ind w:left="1985" w:hanging="390"/>
        <w:jc w:val="left"/>
      </w:pPr>
      <w:rPr>
        <w:rFonts w:hint="default" w:ascii="Arial" w:hAnsi="Arial" w:eastAsia="Arial" w:cs="Arial"/>
        <w:b w:val="0"/>
        <w:bCs w:val="0"/>
        <w:i w:val="0"/>
        <w:iCs w:val="0"/>
        <w:spacing w:val="0"/>
        <w:w w:val="100"/>
        <w:sz w:val="24"/>
        <w:szCs w:val="24"/>
        <w:lang w:val="id" w:eastAsia="en-US" w:bidi="ar-SA"/>
      </w:rPr>
    </w:lvl>
    <w:lvl w:ilvl="1">
      <w:start w:val="0"/>
      <w:numFmt w:val="bullet"/>
      <w:lvlText w:val="•"/>
      <w:lvlJc w:val="left"/>
      <w:pPr>
        <w:ind w:left="2717" w:hanging="390"/>
      </w:pPr>
      <w:rPr>
        <w:rFonts w:hint="default"/>
        <w:lang w:val="id" w:eastAsia="en-US" w:bidi="ar-SA"/>
      </w:rPr>
    </w:lvl>
    <w:lvl w:ilvl="2">
      <w:start w:val="0"/>
      <w:numFmt w:val="bullet"/>
      <w:lvlText w:val="•"/>
      <w:lvlJc w:val="left"/>
      <w:pPr>
        <w:ind w:left="3455" w:hanging="390"/>
      </w:pPr>
      <w:rPr>
        <w:rFonts w:hint="default"/>
        <w:lang w:val="id" w:eastAsia="en-US" w:bidi="ar-SA"/>
      </w:rPr>
    </w:lvl>
    <w:lvl w:ilvl="3">
      <w:start w:val="0"/>
      <w:numFmt w:val="bullet"/>
      <w:lvlText w:val="•"/>
      <w:lvlJc w:val="left"/>
      <w:pPr>
        <w:ind w:left="4192" w:hanging="390"/>
      </w:pPr>
      <w:rPr>
        <w:rFonts w:hint="default"/>
        <w:lang w:val="id" w:eastAsia="en-US" w:bidi="ar-SA"/>
      </w:rPr>
    </w:lvl>
    <w:lvl w:ilvl="4">
      <w:start w:val="0"/>
      <w:numFmt w:val="bullet"/>
      <w:lvlText w:val="•"/>
      <w:lvlJc w:val="left"/>
      <w:pPr>
        <w:ind w:left="4930" w:hanging="390"/>
      </w:pPr>
      <w:rPr>
        <w:rFonts w:hint="default"/>
        <w:lang w:val="id" w:eastAsia="en-US" w:bidi="ar-SA"/>
      </w:rPr>
    </w:lvl>
    <w:lvl w:ilvl="5">
      <w:start w:val="0"/>
      <w:numFmt w:val="bullet"/>
      <w:lvlText w:val="•"/>
      <w:lvlJc w:val="left"/>
      <w:pPr>
        <w:ind w:left="5667" w:hanging="390"/>
      </w:pPr>
      <w:rPr>
        <w:rFonts w:hint="default"/>
        <w:lang w:val="id" w:eastAsia="en-US" w:bidi="ar-SA"/>
      </w:rPr>
    </w:lvl>
    <w:lvl w:ilvl="6">
      <w:start w:val="0"/>
      <w:numFmt w:val="bullet"/>
      <w:lvlText w:val="•"/>
      <w:lvlJc w:val="left"/>
      <w:pPr>
        <w:ind w:left="6405" w:hanging="390"/>
      </w:pPr>
      <w:rPr>
        <w:rFonts w:hint="default"/>
        <w:lang w:val="id" w:eastAsia="en-US" w:bidi="ar-SA"/>
      </w:rPr>
    </w:lvl>
    <w:lvl w:ilvl="7">
      <w:start w:val="0"/>
      <w:numFmt w:val="bullet"/>
      <w:lvlText w:val="•"/>
      <w:lvlJc w:val="left"/>
      <w:pPr>
        <w:ind w:left="7142" w:hanging="390"/>
      </w:pPr>
      <w:rPr>
        <w:rFonts w:hint="default"/>
        <w:lang w:val="id" w:eastAsia="en-US" w:bidi="ar-SA"/>
      </w:rPr>
    </w:lvl>
    <w:lvl w:ilvl="8">
      <w:start w:val="0"/>
      <w:numFmt w:val="bullet"/>
      <w:lvlText w:val="•"/>
      <w:lvlJc w:val="left"/>
      <w:pPr>
        <w:ind w:left="7880" w:hanging="390"/>
      </w:pPr>
      <w:rPr>
        <w:rFonts w:hint="default"/>
        <w:lang w:val="id" w:eastAsia="en-US" w:bidi="ar-SA"/>
      </w:rPr>
    </w:lvl>
  </w:abstractNum>
  <w:abstractNum w:abstractNumId="9">
    <w:multiLevelType w:val="hybridMultilevel"/>
    <w:lvl w:ilvl="0">
      <w:start w:val="1"/>
      <w:numFmt w:val="decimal"/>
      <w:lvlText w:val="%1)"/>
      <w:lvlJc w:val="left"/>
      <w:pPr>
        <w:ind w:left="1985" w:hanging="426"/>
        <w:jc w:val="left"/>
      </w:pPr>
      <w:rPr>
        <w:rFonts w:hint="default" w:ascii="Arial" w:hAnsi="Arial" w:eastAsia="Arial" w:cs="Arial"/>
        <w:b w:val="0"/>
        <w:bCs w:val="0"/>
        <w:i w:val="0"/>
        <w:iCs w:val="0"/>
        <w:spacing w:val="0"/>
        <w:w w:val="100"/>
        <w:sz w:val="24"/>
        <w:szCs w:val="24"/>
        <w:lang w:val="id" w:eastAsia="en-US" w:bidi="ar-SA"/>
      </w:rPr>
    </w:lvl>
    <w:lvl w:ilvl="1">
      <w:start w:val="0"/>
      <w:numFmt w:val="bullet"/>
      <w:lvlText w:val="•"/>
      <w:lvlJc w:val="left"/>
      <w:pPr>
        <w:ind w:left="2717" w:hanging="426"/>
      </w:pPr>
      <w:rPr>
        <w:rFonts w:hint="default"/>
        <w:lang w:val="id" w:eastAsia="en-US" w:bidi="ar-SA"/>
      </w:rPr>
    </w:lvl>
    <w:lvl w:ilvl="2">
      <w:start w:val="0"/>
      <w:numFmt w:val="bullet"/>
      <w:lvlText w:val="•"/>
      <w:lvlJc w:val="left"/>
      <w:pPr>
        <w:ind w:left="3455" w:hanging="426"/>
      </w:pPr>
      <w:rPr>
        <w:rFonts w:hint="default"/>
        <w:lang w:val="id" w:eastAsia="en-US" w:bidi="ar-SA"/>
      </w:rPr>
    </w:lvl>
    <w:lvl w:ilvl="3">
      <w:start w:val="0"/>
      <w:numFmt w:val="bullet"/>
      <w:lvlText w:val="•"/>
      <w:lvlJc w:val="left"/>
      <w:pPr>
        <w:ind w:left="4192" w:hanging="426"/>
      </w:pPr>
      <w:rPr>
        <w:rFonts w:hint="default"/>
        <w:lang w:val="id" w:eastAsia="en-US" w:bidi="ar-SA"/>
      </w:rPr>
    </w:lvl>
    <w:lvl w:ilvl="4">
      <w:start w:val="0"/>
      <w:numFmt w:val="bullet"/>
      <w:lvlText w:val="•"/>
      <w:lvlJc w:val="left"/>
      <w:pPr>
        <w:ind w:left="4930" w:hanging="426"/>
      </w:pPr>
      <w:rPr>
        <w:rFonts w:hint="default"/>
        <w:lang w:val="id" w:eastAsia="en-US" w:bidi="ar-SA"/>
      </w:rPr>
    </w:lvl>
    <w:lvl w:ilvl="5">
      <w:start w:val="0"/>
      <w:numFmt w:val="bullet"/>
      <w:lvlText w:val="•"/>
      <w:lvlJc w:val="left"/>
      <w:pPr>
        <w:ind w:left="5667" w:hanging="426"/>
      </w:pPr>
      <w:rPr>
        <w:rFonts w:hint="default"/>
        <w:lang w:val="id" w:eastAsia="en-US" w:bidi="ar-SA"/>
      </w:rPr>
    </w:lvl>
    <w:lvl w:ilvl="6">
      <w:start w:val="0"/>
      <w:numFmt w:val="bullet"/>
      <w:lvlText w:val="•"/>
      <w:lvlJc w:val="left"/>
      <w:pPr>
        <w:ind w:left="6405" w:hanging="426"/>
      </w:pPr>
      <w:rPr>
        <w:rFonts w:hint="default"/>
        <w:lang w:val="id" w:eastAsia="en-US" w:bidi="ar-SA"/>
      </w:rPr>
    </w:lvl>
    <w:lvl w:ilvl="7">
      <w:start w:val="0"/>
      <w:numFmt w:val="bullet"/>
      <w:lvlText w:val="•"/>
      <w:lvlJc w:val="left"/>
      <w:pPr>
        <w:ind w:left="7142" w:hanging="426"/>
      </w:pPr>
      <w:rPr>
        <w:rFonts w:hint="default"/>
        <w:lang w:val="id" w:eastAsia="en-US" w:bidi="ar-SA"/>
      </w:rPr>
    </w:lvl>
    <w:lvl w:ilvl="8">
      <w:start w:val="0"/>
      <w:numFmt w:val="bullet"/>
      <w:lvlText w:val="•"/>
      <w:lvlJc w:val="left"/>
      <w:pPr>
        <w:ind w:left="7880" w:hanging="426"/>
      </w:pPr>
      <w:rPr>
        <w:rFonts w:hint="default"/>
        <w:lang w:val="id" w:eastAsia="en-US" w:bidi="ar-SA"/>
      </w:rPr>
    </w:lvl>
  </w:abstractNum>
  <w:abstractNum w:abstractNumId="8">
    <w:multiLevelType w:val="hybridMultilevel"/>
    <w:lvl w:ilvl="0">
      <w:start w:val="1"/>
      <w:numFmt w:val="decimal"/>
      <w:lvlText w:val="%1)"/>
      <w:lvlJc w:val="left"/>
      <w:pPr>
        <w:ind w:left="1969" w:hanging="450"/>
        <w:jc w:val="left"/>
      </w:pPr>
      <w:rPr>
        <w:rFonts w:hint="default" w:ascii="Arial" w:hAnsi="Arial" w:eastAsia="Arial" w:cs="Arial"/>
        <w:b w:val="0"/>
        <w:bCs w:val="0"/>
        <w:i w:val="0"/>
        <w:iCs w:val="0"/>
        <w:spacing w:val="0"/>
        <w:w w:val="100"/>
        <w:sz w:val="24"/>
        <w:szCs w:val="24"/>
        <w:lang w:val="id" w:eastAsia="en-US" w:bidi="ar-SA"/>
      </w:rPr>
    </w:lvl>
    <w:lvl w:ilvl="1">
      <w:start w:val="0"/>
      <w:numFmt w:val="bullet"/>
      <w:lvlText w:val="•"/>
      <w:lvlJc w:val="left"/>
      <w:pPr>
        <w:ind w:left="2699" w:hanging="450"/>
      </w:pPr>
      <w:rPr>
        <w:rFonts w:hint="default"/>
        <w:lang w:val="id" w:eastAsia="en-US" w:bidi="ar-SA"/>
      </w:rPr>
    </w:lvl>
    <w:lvl w:ilvl="2">
      <w:start w:val="0"/>
      <w:numFmt w:val="bullet"/>
      <w:lvlText w:val="•"/>
      <w:lvlJc w:val="left"/>
      <w:pPr>
        <w:ind w:left="3439" w:hanging="450"/>
      </w:pPr>
      <w:rPr>
        <w:rFonts w:hint="default"/>
        <w:lang w:val="id" w:eastAsia="en-US" w:bidi="ar-SA"/>
      </w:rPr>
    </w:lvl>
    <w:lvl w:ilvl="3">
      <w:start w:val="0"/>
      <w:numFmt w:val="bullet"/>
      <w:lvlText w:val="•"/>
      <w:lvlJc w:val="left"/>
      <w:pPr>
        <w:ind w:left="4178" w:hanging="450"/>
      </w:pPr>
      <w:rPr>
        <w:rFonts w:hint="default"/>
        <w:lang w:val="id" w:eastAsia="en-US" w:bidi="ar-SA"/>
      </w:rPr>
    </w:lvl>
    <w:lvl w:ilvl="4">
      <w:start w:val="0"/>
      <w:numFmt w:val="bullet"/>
      <w:lvlText w:val="•"/>
      <w:lvlJc w:val="left"/>
      <w:pPr>
        <w:ind w:left="4918" w:hanging="450"/>
      </w:pPr>
      <w:rPr>
        <w:rFonts w:hint="default"/>
        <w:lang w:val="id" w:eastAsia="en-US" w:bidi="ar-SA"/>
      </w:rPr>
    </w:lvl>
    <w:lvl w:ilvl="5">
      <w:start w:val="0"/>
      <w:numFmt w:val="bullet"/>
      <w:lvlText w:val="•"/>
      <w:lvlJc w:val="left"/>
      <w:pPr>
        <w:ind w:left="5657" w:hanging="450"/>
      </w:pPr>
      <w:rPr>
        <w:rFonts w:hint="default"/>
        <w:lang w:val="id" w:eastAsia="en-US" w:bidi="ar-SA"/>
      </w:rPr>
    </w:lvl>
    <w:lvl w:ilvl="6">
      <w:start w:val="0"/>
      <w:numFmt w:val="bullet"/>
      <w:lvlText w:val="•"/>
      <w:lvlJc w:val="left"/>
      <w:pPr>
        <w:ind w:left="6397" w:hanging="450"/>
      </w:pPr>
      <w:rPr>
        <w:rFonts w:hint="default"/>
        <w:lang w:val="id" w:eastAsia="en-US" w:bidi="ar-SA"/>
      </w:rPr>
    </w:lvl>
    <w:lvl w:ilvl="7">
      <w:start w:val="0"/>
      <w:numFmt w:val="bullet"/>
      <w:lvlText w:val="•"/>
      <w:lvlJc w:val="left"/>
      <w:pPr>
        <w:ind w:left="7136" w:hanging="450"/>
      </w:pPr>
      <w:rPr>
        <w:rFonts w:hint="default"/>
        <w:lang w:val="id" w:eastAsia="en-US" w:bidi="ar-SA"/>
      </w:rPr>
    </w:lvl>
    <w:lvl w:ilvl="8">
      <w:start w:val="0"/>
      <w:numFmt w:val="bullet"/>
      <w:lvlText w:val="•"/>
      <w:lvlJc w:val="left"/>
      <w:pPr>
        <w:ind w:left="7876" w:hanging="450"/>
      </w:pPr>
      <w:rPr>
        <w:rFonts w:hint="default"/>
        <w:lang w:val="id" w:eastAsia="en-US" w:bidi="ar-SA"/>
      </w:rPr>
    </w:lvl>
  </w:abstractNum>
  <w:abstractNum w:abstractNumId="7">
    <w:multiLevelType w:val="hybridMultilevel"/>
    <w:lvl w:ilvl="0">
      <w:start w:val="1"/>
      <w:numFmt w:val="upperLetter"/>
      <w:lvlText w:val="%1."/>
      <w:lvlJc w:val="left"/>
      <w:pPr>
        <w:ind w:left="1134" w:hanging="357"/>
        <w:jc w:val="left"/>
      </w:pPr>
      <w:rPr>
        <w:rFonts w:hint="default" w:ascii="Arial" w:hAnsi="Arial" w:eastAsia="Arial" w:cs="Arial"/>
        <w:b/>
        <w:bCs/>
        <w:i w:val="0"/>
        <w:iCs w:val="0"/>
        <w:spacing w:val="-1"/>
        <w:w w:val="100"/>
        <w:sz w:val="24"/>
        <w:szCs w:val="24"/>
        <w:lang w:val="id" w:eastAsia="en-US" w:bidi="ar-SA"/>
      </w:rPr>
    </w:lvl>
    <w:lvl w:ilvl="1">
      <w:start w:val="1"/>
      <w:numFmt w:val="decimal"/>
      <w:lvlText w:val="%2."/>
      <w:lvlJc w:val="left"/>
      <w:pPr>
        <w:ind w:left="1490" w:hanging="357"/>
        <w:jc w:val="right"/>
      </w:pPr>
      <w:rPr>
        <w:rFonts w:hint="default" w:ascii="Arial" w:hAnsi="Arial" w:eastAsia="Arial" w:cs="Arial"/>
        <w:b/>
        <w:bCs/>
        <w:i w:val="0"/>
        <w:iCs w:val="0"/>
        <w:spacing w:val="-1"/>
        <w:w w:val="100"/>
        <w:sz w:val="24"/>
        <w:szCs w:val="24"/>
        <w:lang w:val="id" w:eastAsia="en-US" w:bidi="ar-SA"/>
      </w:rPr>
    </w:lvl>
    <w:lvl w:ilvl="2">
      <w:start w:val="1"/>
      <w:numFmt w:val="lowerLetter"/>
      <w:lvlText w:val="%3."/>
      <w:lvlJc w:val="left"/>
      <w:pPr>
        <w:ind w:left="2410" w:hanging="360"/>
        <w:jc w:val="left"/>
      </w:pPr>
      <w:rPr>
        <w:rFonts w:hint="default" w:ascii="Arial" w:hAnsi="Arial" w:eastAsia="Arial" w:cs="Arial"/>
        <w:b w:val="0"/>
        <w:bCs w:val="0"/>
        <w:i w:val="0"/>
        <w:iCs w:val="0"/>
        <w:spacing w:val="-1"/>
        <w:w w:val="100"/>
        <w:sz w:val="24"/>
        <w:szCs w:val="24"/>
        <w:lang w:val="id" w:eastAsia="en-US" w:bidi="ar-SA"/>
      </w:rPr>
    </w:lvl>
    <w:lvl w:ilvl="3">
      <w:start w:val="0"/>
      <w:numFmt w:val="bullet"/>
      <w:lvlText w:val="•"/>
      <w:lvlJc w:val="left"/>
      <w:pPr>
        <w:ind w:left="2400" w:hanging="360"/>
      </w:pPr>
      <w:rPr>
        <w:rFonts w:hint="default"/>
        <w:lang w:val="id" w:eastAsia="en-US" w:bidi="ar-SA"/>
      </w:rPr>
    </w:lvl>
    <w:lvl w:ilvl="4">
      <w:start w:val="0"/>
      <w:numFmt w:val="bullet"/>
      <w:lvlText w:val="•"/>
      <w:lvlJc w:val="left"/>
      <w:pPr>
        <w:ind w:left="3393" w:hanging="360"/>
      </w:pPr>
      <w:rPr>
        <w:rFonts w:hint="default"/>
        <w:lang w:val="id" w:eastAsia="en-US" w:bidi="ar-SA"/>
      </w:rPr>
    </w:lvl>
    <w:lvl w:ilvl="5">
      <w:start w:val="0"/>
      <w:numFmt w:val="bullet"/>
      <w:lvlText w:val="•"/>
      <w:lvlJc w:val="left"/>
      <w:pPr>
        <w:ind w:left="4387" w:hanging="360"/>
      </w:pPr>
      <w:rPr>
        <w:rFonts w:hint="default"/>
        <w:lang w:val="id" w:eastAsia="en-US" w:bidi="ar-SA"/>
      </w:rPr>
    </w:lvl>
    <w:lvl w:ilvl="6">
      <w:start w:val="0"/>
      <w:numFmt w:val="bullet"/>
      <w:lvlText w:val="•"/>
      <w:lvlJc w:val="left"/>
      <w:pPr>
        <w:ind w:left="5380" w:hanging="360"/>
      </w:pPr>
      <w:rPr>
        <w:rFonts w:hint="default"/>
        <w:lang w:val="id" w:eastAsia="en-US" w:bidi="ar-SA"/>
      </w:rPr>
    </w:lvl>
    <w:lvl w:ilvl="7">
      <w:start w:val="0"/>
      <w:numFmt w:val="bullet"/>
      <w:lvlText w:val="•"/>
      <w:lvlJc w:val="left"/>
      <w:pPr>
        <w:ind w:left="6374" w:hanging="360"/>
      </w:pPr>
      <w:rPr>
        <w:rFonts w:hint="default"/>
        <w:lang w:val="id" w:eastAsia="en-US" w:bidi="ar-SA"/>
      </w:rPr>
    </w:lvl>
    <w:lvl w:ilvl="8">
      <w:start w:val="0"/>
      <w:numFmt w:val="bullet"/>
      <w:lvlText w:val="•"/>
      <w:lvlJc w:val="left"/>
      <w:pPr>
        <w:ind w:left="7367" w:hanging="360"/>
      </w:pPr>
      <w:rPr>
        <w:rFonts w:hint="default"/>
        <w:lang w:val="id" w:eastAsia="en-US" w:bidi="ar-SA"/>
      </w:rPr>
    </w:lvl>
  </w:abstractNum>
  <w:abstractNum w:abstractNumId="6">
    <w:multiLevelType w:val="hybridMultilevel"/>
    <w:lvl w:ilvl="0">
      <w:start w:val="1"/>
      <w:numFmt w:val="upperLetter"/>
      <w:lvlText w:val="%1."/>
      <w:lvlJc w:val="left"/>
      <w:pPr>
        <w:ind w:left="1134" w:hanging="357"/>
        <w:jc w:val="left"/>
      </w:pPr>
      <w:rPr>
        <w:rFonts w:hint="default" w:ascii="Arial" w:hAnsi="Arial" w:eastAsia="Arial" w:cs="Arial"/>
        <w:b/>
        <w:bCs/>
        <w:i w:val="0"/>
        <w:iCs w:val="0"/>
        <w:spacing w:val="-1"/>
        <w:w w:val="100"/>
        <w:sz w:val="24"/>
        <w:szCs w:val="24"/>
        <w:lang w:val="id" w:eastAsia="en-US" w:bidi="ar-SA"/>
      </w:rPr>
    </w:lvl>
    <w:lvl w:ilvl="1">
      <w:start w:val="1"/>
      <w:numFmt w:val="decimal"/>
      <w:lvlText w:val="%2."/>
      <w:lvlJc w:val="left"/>
      <w:pPr>
        <w:ind w:left="1428" w:hanging="360"/>
        <w:jc w:val="left"/>
      </w:pPr>
      <w:rPr>
        <w:rFonts w:hint="default"/>
        <w:spacing w:val="-1"/>
        <w:w w:val="100"/>
        <w:lang w:val="id" w:eastAsia="en-US" w:bidi="ar-SA"/>
      </w:rPr>
    </w:lvl>
    <w:lvl w:ilvl="2">
      <w:start w:val="1"/>
      <w:numFmt w:val="lowerLetter"/>
      <w:lvlText w:val="%3."/>
      <w:lvlJc w:val="left"/>
      <w:pPr>
        <w:ind w:left="1701" w:hanging="360"/>
        <w:jc w:val="left"/>
      </w:pPr>
      <w:rPr>
        <w:rFonts w:hint="default" w:ascii="Arial" w:hAnsi="Arial" w:eastAsia="Arial" w:cs="Arial"/>
        <w:b w:val="0"/>
        <w:bCs w:val="0"/>
        <w:i w:val="0"/>
        <w:iCs w:val="0"/>
        <w:spacing w:val="-1"/>
        <w:w w:val="100"/>
        <w:sz w:val="24"/>
        <w:szCs w:val="24"/>
        <w:lang w:val="id" w:eastAsia="en-US" w:bidi="ar-SA"/>
      </w:rPr>
    </w:lvl>
    <w:lvl w:ilvl="3">
      <w:start w:val="0"/>
      <w:numFmt w:val="bullet"/>
      <w:lvlText w:val="•"/>
      <w:lvlJc w:val="left"/>
      <w:pPr>
        <w:ind w:left="1840" w:hanging="360"/>
      </w:pPr>
      <w:rPr>
        <w:rFonts w:hint="default"/>
        <w:lang w:val="id" w:eastAsia="en-US" w:bidi="ar-SA"/>
      </w:rPr>
    </w:lvl>
    <w:lvl w:ilvl="4">
      <w:start w:val="0"/>
      <w:numFmt w:val="bullet"/>
      <w:lvlText w:val="•"/>
      <w:lvlJc w:val="left"/>
      <w:pPr>
        <w:ind w:left="2913" w:hanging="360"/>
      </w:pPr>
      <w:rPr>
        <w:rFonts w:hint="default"/>
        <w:lang w:val="id" w:eastAsia="en-US" w:bidi="ar-SA"/>
      </w:rPr>
    </w:lvl>
    <w:lvl w:ilvl="5">
      <w:start w:val="0"/>
      <w:numFmt w:val="bullet"/>
      <w:lvlText w:val="•"/>
      <w:lvlJc w:val="left"/>
      <w:pPr>
        <w:ind w:left="3987" w:hanging="360"/>
      </w:pPr>
      <w:rPr>
        <w:rFonts w:hint="default"/>
        <w:lang w:val="id" w:eastAsia="en-US" w:bidi="ar-SA"/>
      </w:rPr>
    </w:lvl>
    <w:lvl w:ilvl="6">
      <w:start w:val="0"/>
      <w:numFmt w:val="bullet"/>
      <w:lvlText w:val="•"/>
      <w:lvlJc w:val="left"/>
      <w:pPr>
        <w:ind w:left="5060" w:hanging="360"/>
      </w:pPr>
      <w:rPr>
        <w:rFonts w:hint="default"/>
        <w:lang w:val="id" w:eastAsia="en-US" w:bidi="ar-SA"/>
      </w:rPr>
    </w:lvl>
    <w:lvl w:ilvl="7">
      <w:start w:val="0"/>
      <w:numFmt w:val="bullet"/>
      <w:lvlText w:val="•"/>
      <w:lvlJc w:val="left"/>
      <w:pPr>
        <w:ind w:left="6134" w:hanging="360"/>
      </w:pPr>
      <w:rPr>
        <w:rFonts w:hint="default"/>
        <w:lang w:val="id" w:eastAsia="en-US" w:bidi="ar-SA"/>
      </w:rPr>
    </w:lvl>
    <w:lvl w:ilvl="8">
      <w:start w:val="0"/>
      <w:numFmt w:val="bullet"/>
      <w:lvlText w:val="•"/>
      <w:lvlJc w:val="left"/>
      <w:pPr>
        <w:ind w:left="7207" w:hanging="360"/>
      </w:pPr>
      <w:rPr>
        <w:rFonts w:hint="default"/>
        <w:lang w:val="id" w:eastAsia="en-US" w:bidi="ar-SA"/>
      </w:rPr>
    </w:lvl>
  </w:abstractNum>
  <w:abstractNum w:abstractNumId="5">
    <w:multiLevelType w:val="hybridMultilevel"/>
    <w:lvl w:ilvl="0">
      <w:start w:val="1"/>
      <w:numFmt w:val="upperLetter"/>
      <w:lvlText w:val="%1."/>
      <w:lvlJc w:val="left"/>
      <w:pPr>
        <w:ind w:left="1702" w:hanging="426"/>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465" w:hanging="426"/>
      </w:pPr>
      <w:rPr>
        <w:rFonts w:hint="default"/>
        <w:lang w:val="id" w:eastAsia="en-US" w:bidi="ar-SA"/>
      </w:rPr>
    </w:lvl>
    <w:lvl w:ilvl="2">
      <w:start w:val="0"/>
      <w:numFmt w:val="bullet"/>
      <w:lvlText w:val="•"/>
      <w:lvlJc w:val="left"/>
      <w:pPr>
        <w:ind w:left="3231" w:hanging="426"/>
      </w:pPr>
      <w:rPr>
        <w:rFonts w:hint="default"/>
        <w:lang w:val="id" w:eastAsia="en-US" w:bidi="ar-SA"/>
      </w:rPr>
    </w:lvl>
    <w:lvl w:ilvl="3">
      <w:start w:val="0"/>
      <w:numFmt w:val="bullet"/>
      <w:lvlText w:val="•"/>
      <w:lvlJc w:val="left"/>
      <w:pPr>
        <w:ind w:left="3996" w:hanging="426"/>
      </w:pPr>
      <w:rPr>
        <w:rFonts w:hint="default"/>
        <w:lang w:val="id" w:eastAsia="en-US" w:bidi="ar-SA"/>
      </w:rPr>
    </w:lvl>
    <w:lvl w:ilvl="4">
      <w:start w:val="0"/>
      <w:numFmt w:val="bullet"/>
      <w:lvlText w:val="•"/>
      <w:lvlJc w:val="left"/>
      <w:pPr>
        <w:ind w:left="4762" w:hanging="426"/>
      </w:pPr>
      <w:rPr>
        <w:rFonts w:hint="default"/>
        <w:lang w:val="id" w:eastAsia="en-US" w:bidi="ar-SA"/>
      </w:rPr>
    </w:lvl>
    <w:lvl w:ilvl="5">
      <w:start w:val="0"/>
      <w:numFmt w:val="bullet"/>
      <w:lvlText w:val="•"/>
      <w:lvlJc w:val="left"/>
      <w:pPr>
        <w:ind w:left="5527" w:hanging="426"/>
      </w:pPr>
      <w:rPr>
        <w:rFonts w:hint="default"/>
        <w:lang w:val="id" w:eastAsia="en-US" w:bidi="ar-SA"/>
      </w:rPr>
    </w:lvl>
    <w:lvl w:ilvl="6">
      <w:start w:val="0"/>
      <w:numFmt w:val="bullet"/>
      <w:lvlText w:val="•"/>
      <w:lvlJc w:val="left"/>
      <w:pPr>
        <w:ind w:left="6293" w:hanging="426"/>
      </w:pPr>
      <w:rPr>
        <w:rFonts w:hint="default"/>
        <w:lang w:val="id" w:eastAsia="en-US" w:bidi="ar-SA"/>
      </w:rPr>
    </w:lvl>
    <w:lvl w:ilvl="7">
      <w:start w:val="0"/>
      <w:numFmt w:val="bullet"/>
      <w:lvlText w:val="•"/>
      <w:lvlJc w:val="left"/>
      <w:pPr>
        <w:ind w:left="7058" w:hanging="426"/>
      </w:pPr>
      <w:rPr>
        <w:rFonts w:hint="default"/>
        <w:lang w:val="id" w:eastAsia="en-US" w:bidi="ar-SA"/>
      </w:rPr>
    </w:lvl>
    <w:lvl w:ilvl="8">
      <w:start w:val="0"/>
      <w:numFmt w:val="bullet"/>
      <w:lvlText w:val="•"/>
      <w:lvlJc w:val="left"/>
      <w:pPr>
        <w:ind w:left="7824" w:hanging="426"/>
      </w:pPr>
      <w:rPr>
        <w:rFonts w:hint="default"/>
        <w:lang w:val="id" w:eastAsia="en-US" w:bidi="ar-SA"/>
      </w:rPr>
    </w:lvl>
  </w:abstractNum>
  <w:abstractNum w:abstractNumId="4">
    <w:multiLevelType w:val="hybridMultilevel"/>
    <w:lvl w:ilvl="0">
      <w:start w:val="1"/>
      <w:numFmt w:val="upperLetter"/>
      <w:lvlText w:val="%1."/>
      <w:lvlJc w:val="left"/>
      <w:pPr>
        <w:ind w:left="1702" w:hanging="426"/>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decimal"/>
      <w:lvlText w:val="%2."/>
      <w:lvlJc w:val="left"/>
      <w:pPr>
        <w:ind w:left="2127" w:hanging="425"/>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2923" w:hanging="425"/>
      </w:pPr>
      <w:rPr>
        <w:rFonts w:hint="default"/>
        <w:lang w:val="id" w:eastAsia="en-US" w:bidi="ar-SA"/>
      </w:rPr>
    </w:lvl>
    <w:lvl w:ilvl="3">
      <w:start w:val="0"/>
      <w:numFmt w:val="bullet"/>
      <w:lvlText w:val="•"/>
      <w:lvlJc w:val="left"/>
      <w:pPr>
        <w:ind w:left="3727" w:hanging="425"/>
      </w:pPr>
      <w:rPr>
        <w:rFonts w:hint="default"/>
        <w:lang w:val="id" w:eastAsia="en-US" w:bidi="ar-SA"/>
      </w:rPr>
    </w:lvl>
    <w:lvl w:ilvl="4">
      <w:start w:val="0"/>
      <w:numFmt w:val="bullet"/>
      <w:lvlText w:val="•"/>
      <w:lvlJc w:val="left"/>
      <w:pPr>
        <w:ind w:left="4531" w:hanging="425"/>
      </w:pPr>
      <w:rPr>
        <w:rFonts w:hint="default"/>
        <w:lang w:val="id" w:eastAsia="en-US" w:bidi="ar-SA"/>
      </w:rPr>
    </w:lvl>
    <w:lvl w:ilvl="5">
      <w:start w:val="0"/>
      <w:numFmt w:val="bullet"/>
      <w:lvlText w:val="•"/>
      <w:lvlJc w:val="left"/>
      <w:pPr>
        <w:ind w:left="5335" w:hanging="425"/>
      </w:pPr>
      <w:rPr>
        <w:rFonts w:hint="default"/>
        <w:lang w:val="id" w:eastAsia="en-US" w:bidi="ar-SA"/>
      </w:rPr>
    </w:lvl>
    <w:lvl w:ilvl="6">
      <w:start w:val="0"/>
      <w:numFmt w:val="bullet"/>
      <w:lvlText w:val="•"/>
      <w:lvlJc w:val="left"/>
      <w:pPr>
        <w:ind w:left="6139" w:hanging="425"/>
      </w:pPr>
      <w:rPr>
        <w:rFonts w:hint="default"/>
        <w:lang w:val="id" w:eastAsia="en-US" w:bidi="ar-SA"/>
      </w:rPr>
    </w:lvl>
    <w:lvl w:ilvl="7">
      <w:start w:val="0"/>
      <w:numFmt w:val="bullet"/>
      <w:lvlText w:val="•"/>
      <w:lvlJc w:val="left"/>
      <w:pPr>
        <w:ind w:left="6943" w:hanging="425"/>
      </w:pPr>
      <w:rPr>
        <w:rFonts w:hint="default"/>
        <w:lang w:val="id" w:eastAsia="en-US" w:bidi="ar-SA"/>
      </w:rPr>
    </w:lvl>
    <w:lvl w:ilvl="8">
      <w:start w:val="0"/>
      <w:numFmt w:val="bullet"/>
      <w:lvlText w:val="•"/>
      <w:lvlJc w:val="left"/>
      <w:pPr>
        <w:ind w:left="7747" w:hanging="425"/>
      </w:pPr>
      <w:rPr>
        <w:rFonts w:hint="default"/>
        <w:lang w:val="id" w:eastAsia="en-US" w:bidi="ar-SA"/>
      </w:rPr>
    </w:lvl>
  </w:abstractNum>
  <w:abstractNum w:abstractNumId="3">
    <w:multiLevelType w:val="hybridMultilevel"/>
    <w:lvl w:ilvl="0">
      <w:start w:val="1"/>
      <w:numFmt w:val="upperLetter"/>
      <w:lvlText w:val="%1."/>
      <w:lvlJc w:val="left"/>
      <w:pPr>
        <w:ind w:left="1702" w:hanging="426"/>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decimal"/>
      <w:lvlText w:val="%2."/>
      <w:lvlJc w:val="left"/>
      <w:pPr>
        <w:ind w:left="2127" w:hanging="425"/>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2923" w:hanging="425"/>
      </w:pPr>
      <w:rPr>
        <w:rFonts w:hint="default"/>
        <w:lang w:val="id" w:eastAsia="en-US" w:bidi="ar-SA"/>
      </w:rPr>
    </w:lvl>
    <w:lvl w:ilvl="3">
      <w:start w:val="0"/>
      <w:numFmt w:val="bullet"/>
      <w:lvlText w:val="•"/>
      <w:lvlJc w:val="left"/>
      <w:pPr>
        <w:ind w:left="3727" w:hanging="425"/>
      </w:pPr>
      <w:rPr>
        <w:rFonts w:hint="default"/>
        <w:lang w:val="id" w:eastAsia="en-US" w:bidi="ar-SA"/>
      </w:rPr>
    </w:lvl>
    <w:lvl w:ilvl="4">
      <w:start w:val="0"/>
      <w:numFmt w:val="bullet"/>
      <w:lvlText w:val="•"/>
      <w:lvlJc w:val="left"/>
      <w:pPr>
        <w:ind w:left="4531" w:hanging="425"/>
      </w:pPr>
      <w:rPr>
        <w:rFonts w:hint="default"/>
        <w:lang w:val="id" w:eastAsia="en-US" w:bidi="ar-SA"/>
      </w:rPr>
    </w:lvl>
    <w:lvl w:ilvl="5">
      <w:start w:val="0"/>
      <w:numFmt w:val="bullet"/>
      <w:lvlText w:val="•"/>
      <w:lvlJc w:val="left"/>
      <w:pPr>
        <w:ind w:left="5335" w:hanging="425"/>
      </w:pPr>
      <w:rPr>
        <w:rFonts w:hint="default"/>
        <w:lang w:val="id" w:eastAsia="en-US" w:bidi="ar-SA"/>
      </w:rPr>
    </w:lvl>
    <w:lvl w:ilvl="6">
      <w:start w:val="0"/>
      <w:numFmt w:val="bullet"/>
      <w:lvlText w:val="•"/>
      <w:lvlJc w:val="left"/>
      <w:pPr>
        <w:ind w:left="6139" w:hanging="425"/>
      </w:pPr>
      <w:rPr>
        <w:rFonts w:hint="default"/>
        <w:lang w:val="id" w:eastAsia="en-US" w:bidi="ar-SA"/>
      </w:rPr>
    </w:lvl>
    <w:lvl w:ilvl="7">
      <w:start w:val="0"/>
      <w:numFmt w:val="bullet"/>
      <w:lvlText w:val="•"/>
      <w:lvlJc w:val="left"/>
      <w:pPr>
        <w:ind w:left="6943" w:hanging="425"/>
      </w:pPr>
      <w:rPr>
        <w:rFonts w:hint="default"/>
        <w:lang w:val="id" w:eastAsia="en-US" w:bidi="ar-SA"/>
      </w:rPr>
    </w:lvl>
    <w:lvl w:ilvl="8">
      <w:start w:val="0"/>
      <w:numFmt w:val="bullet"/>
      <w:lvlText w:val="•"/>
      <w:lvlJc w:val="left"/>
      <w:pPr>
        <w:ind w:left="7747" w:hanging="425"/>
      </w:pPr>
      <w:rPr>
        <w:rFonts w:hint="default"/>
        <w:lang w:val="id" w:eastAsia="en-US" w:bidi="ar-SA"/>
      </w:rPr>
    </w:lvl>
  </w:abstractNum>
  <w:abstractNum w:abstractNumId="2">
    <w:multiLevelType w:val="hybridMultilevel"/>
    <w:lvl w:ilvl="0">
      <w:start w:val="1"/>
      <w:numFmt w:val="upperLetter"/>
      <w:lvlText w:val="%1."/>
      <w:lvlJc w:val="left"/>
      <w:pPr>
        <w:ind w:left="1702" w:hanging="426"/>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decimal"/>
      <w:lvlText w:val="%2."/>
      <w:lvlJc w:val="left"/>
      <w:pPr>
        <w:ind w:left="2127" w:hanging="425"/>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2923" w:hanging="425"/>
      </w:pPr>
      <w:rPr>
        <w:rFonts w:hint="default"/>
        <w:lang w:val="id" w:eastAsia="en-US" w:bidi="ar-SA"/>
      </w:rPr>
    </w:lvl>
    <w:lvl w:ilvl="3">
      <w:start w:val="0"/>
      <w:numFmt w:val="bullet"/>
      <w:lvlText w:val="•"/>
      <w:lvlJc w:val="left"/>
      <w:pPr>
        <w:ind w:left="3727" w:hanging="425"/>
      </w:pPr>
      <w:rPr>
        <w:rFonts w:hint="default"/>
        <w:lang w:val="id" w:eastAsia="en-US" w:bidi="ar-SA"/>
      </w:rPr>
    </w:lvl>
    <w:lvl w:ilvl="4">
      <w:start w:val="0"/>
      <w:numFmt w:val="bullet"/>
      <w:lvlText w:val="•"/>
      <w:lvlJc w:val="left"/>
      <w:pPr>
        <w:ind w:left="4531" w:hanging="425"/>
      </w:pPr>
      <w:rPr>
        <w:rFonts w:hint="default"/>
        <w:lang w:val="id" w:eastAsia="en-US" w:bidi="ar-SA"/>
      </w:rPr>
    </w:lvl>
    <w:lvl w:ilvl="5">
      <w:start w:val="0"/>
      <w:numFmt w:val="bullet"/>
      <w:lvlText w:val="•"/>
      <w:lvlJc w:val="left"/>
      <w:pPr>
        <w:ind w:left="5335" w:hanging="425"/>
      </w:pPr>
      <w:rPr>
        <w:rFonts w:hint="default"/>
        <w:lang w:val="id" w:eastAsia="en-US" w:bidi="ar-SA"/>
      </w:rPr>
    </w:lvl>
    <w:lvl w:ilvl="6">
      <w:start w:val="0"/>
      <w:numFmt w:val="bullet"/>
      <w:lvlText w:val="•"/>
      <w:lvlJc w:val="left"/>
      <w:pPr>
        <w:ind w:left="6139" w:hanging="425"/>
      </w:pPr>
      <w:rPr>
        <w:rFonts w:hint="default"/>
        <w:lang w:val="id" w:eastAsia="en-US" w:bidi="ar-SA"/>
      </w:rPr>
    </w:lvl>
    <w:lvl w:ilvl="7">
      <w:start w:val="0"/>
      <w:numFmt w:val="bullet"/>
      <w:lvlText w:val="•"/>
      <w:lvlJc w:val="left"/>
      <w:pPr>
        <w:ind w:left="6943" w:hanging="425"/>
      </w:pPr>
      <w:rPr>
        <w:rFonts w:hint="default"/>
        <w:lang w:val="id" w:eastAsia="en-US" w:bidi="ar-SA"/>
      </w:rPr>
    </w:lvl>
    <w:lvl w:ilvl="8">
      <w:start w:val="0"/>
      <w:numFmt w:val="bullet"/>
      <w:lvlText w:val="•"/>
      <w:lvlJc w:val="left"/>
      <w:pPr>
        <w:ind w:left="7747" w:hanging="425"/>
      </w:pPr>
      <w:rPr>
        <w:rFonts w:hint="default"/>
        <w:lang w:val="id" w:eastAsia="en-US" w:bidi="ar-SA"/>
      </w:rPr>
    </w:lvl>
  </w:abstractNum>
  <w:abstractNum w:abstractNumId="1">
    <w:multiLevelType w:val="hybridMultilevel"/>
    <w:lvl w:ilvl="0">
      <w:start w:val="1"/>
      <w:numFmt w:val="upperLetter"/>
      <w:lvlText w:val="%1."/>
      <w:lvlJc w:val="left"/>
      <w:pPr>
        <w:ind w:left="1702" w:hanging="426"/>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465" w:hanging="426"/>
      </w:pPr>
      <w:rPr>
        <w:rFonts w:hint="default"/>
        <w:lang w:val="id" w:eastAsia="en-US" w:bidi="ar-SA"/>
      </w:rPr>
    </w:lvl>
    <w:lvl w:ilvl="2">
      <w:start w:val="0"/>
      <w:numFmt w:val="bullet"/>
      <w:lvlText w:val="•"/>
      <w:lvlJc w:val="left"/>
      <w:pPr>
        <w:ind w:left="3231" w:hanging="426"/>
      </w:pPr>
      <w:rPr>
        <w:rFonts w:hint="default"/>
        <w:lang w:val="id" w:eastAsia="en-US" w:bidi="ar-SA"/>
      </w:rPr>
    </w:lvl>
    <w:lvl w:ilvl="3">
      <w:start w:val="0"/>
      <w:numFmt w:val="bullet"/>
      <w:lvlText w:val="•"/>
      <w:lvlJc w:val="left"/>
      <w:pPr>
        <w:ind w:left="3996" w:hanging="426"/>
      </w:pPr>
      <w:rPr>
        <w:rFonts w:hint="default"/>
        <w:lang w:val="id" w:eastAsia="en-US" w:bidi="ar-SA"/>
      </w:rPr>
    </w:lvl>
    <w:lvl w:ilvl="4">
      <w:start w:val="0"/>
      <w:numFmt w:val="bullet"/>
      <w:lvlText w:val="•"/>
      <w:lvlJc w:val="left"/>
      <w:pPr>
        <w:ind w:left="4762" w:hanging="426"/>
      </w:pPr>
      <w:rPr>
        <w:rFonts w:hint="default"/>
        <w:lang w:val="id" w:eastAsia="en-US" w:bidi="ar-SA"/>
      </w:rPr>
    </w:lvl>
    <w:lvl w:ilvl="5">
      <w:start w:val="0"/>
      <w:numFmt w:val="bullet"/>
      <w:lvlText w:val="•"/>
      <w:lvlJc w:val="left"/>
      <w:pPr>
        <w:ind w:left="5527" w:hanging="426"/>
      </w:pPr>
      <w:rPr>
        <w:rFonts w:hint="default"/>
        <w:lang w:val="id" w:eastAsia="en-US" w:bidi="ar-SA"/>
      </w:rPr>
    </w:lvl>
    <w:lvl w:ilvl="6">
      <w:start w:val="0"/>
      <w:numFmt w:val="bullet"/>
      <w:lvlText w:val="•"/>
      <w:lvlJc w:val="left"/>
      <w:pPr>
        <w:ind w:left="6293" w:hanging="426"/>
      </w:pPr>
      <w:rPr>
        <w:rFonts w:hint="default"/>
        <w:lang w:val="id" w:eastAsia="en-US" w:bidi="ar-SA"/>
      </w:rPr>
    </w:lvl>
    <w:lvl w:ilvl="7">
      <w:start w:val="0"/>
      <w:numFmt w:val="bullet"/>
      <w:lvlText w:val="•"/>
      <w:lvlJc w:val="left"/>
      <w:pPr>
        <w:ind w:left="7058" w:hanging="426"/>
      </w:pPr>
      <w:rPr>
        <w:rFonts w:hint="default"/>
        <w:lang w:val="id" w:eastAsia="en-US" w:bidi="ar-SA"/>
      </w:rPr>
    </w:lvl>
    <w:lvl w:ilvl="8">
      <w:start w:val="0"/>
      <w:numFmt w:val="bullet"/>
      <w:lvlText w:val="•"/>
      <w:lvlJc w:val="left"/>
      <w:pPr>
        <w:ind w:left="7824" w:hanging="426"/>
      </w:pPr>
      <w:rPr>
        <w:rFonts w:hint="default"/>
        <w:lang w:val="id" w:eastAsia="en-US" w:bidi="ar-SA"/>
      </w:rPr>
    </w:lvl>
  </w:abstractNum>
  <w:abstractNum w:abstractNumId="0">
    <w:multiLevelType w:val="hybridMultilevel"/>
    <w:lvl w:ilvl="0">
      <w:start w:val="1"/>
      <w:numFmt w:val="decimal"/>
      <w:lvlText w:val="%1."/>
      <w:lvlJc w:val="left"/>
      <w:pPr>
        <w:ind w:left="993" w:hanging="360"/>
        <w:jc w:val="righ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835" w:hanging="360"/>
      </w:pPr>
      <w:rPr>
        <w:rFonts w:hint="default"/>
        <w:lang w:val="id" w:eastAsia="en-US" w:bidi="ar-SA"/>
      </w:rPr>
    </w:lvl>
    <w:lvl w:ilvl="2">
      <w:start w:val="0"/>
      <w:numFmt w:val="bullet"/>
      <w:lvlText w:val="•"/>
      <w:lvlJc w:val="left"/>
      <w:pPr>
        <w:ind w:left="2671" w:hanging="360"/>
      </w:pPr>
      <w:rPr>
        <w:rFonts w:hint="default"/>
        <w:lang w:val="id" w:eastAsia="en-US" w:bidi="ar-SA"/>
      </w:rPr>
    </w:lvl>
    <w:lvl w:ilvl="3">
      <w:start w:val="0"/>
      <w:numFmt w:val="bullet"/>
      <w:lvlText w:val="•"/>
      <w:lvlJc w:val="left"/>
      <w:pPr>
        <w:ind w:left="3506" w:hanging="360"/>
      </w:pPr>
      <w:rPr>
        <w:rFonts w:hint="default"/>
        <w:lang w:val="id" w:eastAsia="en-US" w:bidi="ar-SA"/>
      </w:rPr>
    </w:lvl>
    <w:lvl w:ilvl="4">
      <w:start w:val="0"/>
      <w:numFmt w:val="bullet"/>
      <w:lvlText w:val="•"/>
      <w:lvlJc w:val="left"/>
      <w:pPr>
        <w:ind w:left="4342" w:hanging="360"/>
      </w:pPr>
      <w:rPr>
        <w:rFonts w:hint="default"/>
        <w:lang w:val="id" w:eastAsia="en-US" w:bidi="ar-SA"/>
      </w:rPr>
    </w:lvl>
    <w:lvl w:ilvl="5">
      <w:start w:val="0"/>
      <w:numFmt w:val="bullet"/>
      <w:lvlText w:val="•"/>
      <w:lvlJc w:val="left"/>
      <w:pPr>
        <w:ind w:left="5177" w:hanging="360"/>
      </w:pPr>
      <w:rPr>
        <w:rFonts w:hint="default"/>
        <w:lang w:val="id" w:eastAsia="en-US" w:bidi="ar-SA"/>
      </w:rPr>
    </w:lvl>
    <w:lvl w:ilvl="6">
      <w:start w:val="0"/>
      <w:numFmt w:val="bullet"/>
      <w:lvlText w:val="•"/>
      <w:lvlJc w:val="left"/>
      <w:pPr>
        <w:ind w:left="6013" w:hanging="360"/>
      </w:pPr>
      <w:rPr>
        <w:rFonts w:hint="default"/>
        <w:lang w:val="id" w:eastAsia="en-US" w:bidi="ar-SA"/>
      </w:rPr>
    </w:lvl>
    <w:lvl w:ilvl="7">
      <w:start w:val="0"/>
      <w:numFmt w:val="bullet"/>
      <w:lvlText w:val="•"/>
      <w:lvlJc w:val="left"/>
      <w:pPr>
        <w:ind w:left="6848" w:hanging="360"/>
      </w:pPr>
      <w:rPr>
        <w:rFonts w:hint="default"/>
        <w:lang w:val="id" w:eastAsia="en-US" w:bidi="ar-SA"/>
      </w:rPr>
    </w:lvl>
    <w:lvl w:ilvl="8">
      <w:start w:val="0"/>
      <w:numFmt w:val="bullet"/>
      <w:lvlText w:val="•"/>
      <w:lvlJc w:val="left"/>
      <w:pPr>
        <w:ind w:left="7684" w:hanging="360"/>
      </w:pPr>
      <w:rPr>
        <w:rFonts w:hint="default"/>
        <w:lang w:val="id" w:eastAsia="en-US" w:bidi="ar-SA"/>
      </w:rPr>
    </w:lvl>
  </w:abstract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id" w:eastAsia="en-US" w:bidi="ar-SA"/>
    </w:rPr>
  </w:style>
  <w:style w:styleId="TOC1" w:type="paragraph">
    <w:name w:val="TOC 1"/>
    <w:basedOn w:val="Normal"/>
    <w:uiPriority w:val="1"/>
    <w:qFormat/>
    <w:pPr>
      <w:spacing w:before="138"/>
      <w:ind w:right="20"/>
      <w:jc w:val="center"/>
    </w:pPr>
    <w:rPr>
      <w:rFonts w:ascii="Arial" w:hAnsi="Arial" w:eastAsia="Arial" w:cs="Arial"/>
      <w:sz w:val="24"/>
      <w:szCs w:val="24"/>
      <w:lang w:val="id" w:eastAsia="en-US" w:bidi="ar-SA"/>
    </w:rPr>
  </w:style>
  <w:style w:styleId="TOC2" w:type="paragraph">
    <w:name w:val="TOC 2"/>
    <w:basedOn w:val="Normal"/>
    <w:uiPriority w:val="1"/>
    <w:qFormat/>
    <w:pPr>
      <w:spacing w:before="138"/>
      <w:ind w:left="709"/>
    </w:pPr>
    <w:rPr>
      <w:rFonts w:ascii="Times New Roman" w:hAnsi="Times New Roman" w:eastAsia="Times New Roman" w:cs="Times New Roman"/>
      <w:sz w:val="24"/>
      <w:szCs w:val="24"/>
      <w:lang w:val="id" w:eastAsia="en-US" w:bidi="ar-SA"/>
    </w:rPr>
  </w:style>
  <w:style w:styleId="TOC3" w:type="paragraph">
    <w:name w:val="TOC 3"/>
    <w:basedOn w:val="Normal"/>
    <w:uiPriority w:val="1"/>
    <w:qFormat/>
    <w:pPr>
      <w:spacing w:before="138"/>
      <w:ind w:left="709"/>
    </w:pPr>
    <w:rPr>
      <w:rFonts w:ascii="Times New Roman" w:hAnsi="Times New Roman" w:eastAsia="Times New Roman" w:cs="Times New Roman"/>
      <w:sz w:val="24"/>
      <w:szCs w:val="24"/>
      <w:lang w:val="id" w:eastAsia="en-US" w:bidi="ar-SA"/>
    </w:rPr>
  </w:style>
  <w:style w:styleId="TOC4" w:type="paragraph">
    <w:name w:val="TOC 4"/>
    <w:basedOn w:val="Normal"/>
    <w:uiPriority w:val="1"/>
    <w:qFormat/>
    <w:pPr>
      <w:spacing w:before="138"/>
      <w:ind w:left="1701" w:hanging="425"/>
    </w:pPr>
    <w:rPr>
      <w:rFonts w:ascii="Times New Roman" w:hAnsi="Times New Roman" w:eastAsia="Times New Roman" w:cs="Times New Roman"/>
      <w:sz w:val="24"/>
      <w:szCs w:val="24"/>
      <w:lang w:val="id" w:eastAsia="en-US" w:bidi="ar-SA"/>
    </w:rPr>
  </w:style>
  <w:style w:styleId="TOC5" w:type="paragraph">
    <w:name w:val="TOC 5"/>
    <w:basedOn w:val="Normal"/>
    <w:uiPriority w:val="1"/>
    <w:qFormat/>
    <w:pPr>
      <w:spacing w:before="138"/>
      <w:ind w:left="2126" w:hanging="424"/>
    </w:pPr>
    <w:rPr>
      <w:rFonts w:ascii="Times New Roman" w:hAnsi="Times New Roman" w:eastAsia="Times New Roman" w:cs="Times New Roman"/>
      <w:sz w:val="24"/>
      <w:szCs w:val="24"/>
      <w:lang w:val="id" w:eastAsia="en-US" w:bidi="ar-SA"/>
    </w:rPr>
  </w:style>
  <w:style w:styleId="TOC6" w:type="paragraph">
    <w:name w:val="TOC 6"/>
    <w:basedOn w:val="Normal"/>
    <w:uiPriority w:val="1"/>
    <w:qFormat/>
    <w:pPr>
      <w:spacing w:before="138"/>
      <w:ind w:left="2126" w:hanging="424"/>
    </w:pPr>
    <w:rPr>
      <w:rFonts w:ascii="Times New Roman" w:hAnsi="Times New Roman" w:eastAsia="Times New Roman" w:cs="Times New Roman"/>
      <w:i/>
      <w:iCs/>
      <w:sz w:val="24"/>
      <w:szCs w:val="24"/>
      <w:lang w:val="id" w:eastAsia="en-US" w:bidi="ar-SA"/>
    </w:rPr>
  </w:style>
  <w:style w:styleId="TOC7" w:type="paragraph">
    <w:name w:val="TOC 7"/>
    <w:basedOn w:val="Normal"/>
    <w:uiPriority w:val="1"/>
    <w:qFormat/>
    <w:pPr>
      <w:spacing w:before="138"/>
      <w:ind w:left="2126" w:hanging="424"/>
    </w:pPr>
    <w:rPr>
      <w:rFonts w:ascii="Times New Roman" w:hAnsi="Times New Roman" w:eastAsia="Times New Roman" w:cs="Times New Roman"/>
      <w:b/>
      <w:bCs/>
      <w:i/>
      <w:iCs/>
      <w:lang w:val="id" w:eastAsia="en-US" w:bidi="ar-SA"/>
    </w:rPr>
  </w:style>
  <w:style w:styleId="BodyText" w:type="paragraph">
    <w:name w:val="Body Text"/>
    <w:basedOn w:val="Normal"/>
    <w:uiPriority w:val="1"/>
    <w:qFormat/>
    <w:pPr/>
    <w:rPr>
      <w:rFonts w:ascii="Arial" w:hAnsi="Arial" w:eastAsia="Arial" w:cs="Arial"/>
      <w:sz w:val="24"/>
      <w:szCs w:val="24"/>
      <w:lang w:val="id" w:eastAsia="en-US" w:bidi="ar-SA"/>
    </w:rPr>
  </w:style>
  <w:style w:styleId="Heading1" w:type="paragraph">
    <w:name w:val="Heading 1"/>
    <w:basedOn w:val="Normal"/>
    <w:uiPriority w:val="1"/>
    <w:qFormat/>
    <w:pPr>
      <w:ind w:left="733" w:right="734"/>
      <w:outlineLvl w:val="1"/>
    </w:pPr>
    <w:rPr>
      <w:rFonts w:ascii="Arial" w:hAnsi="Arial" w:eastAsia="Arial" w:cs="Arial"/>
      <w:b/>
      <w:bCs/>
      <w:sz w:val="24"/>
      <w:szCs w:val="24"/>
      <w:lang w:val="id" w:eastAsia="en-US" w:bidi="ar-SA"/>
    </w:rPr>
  </w:style>
  <w:style w:styleId="Heading2" w:type="paragraph">
    <w:name w:val="Heading 2"/>
    <w:basedOn w:val="Normal"/>
    <w:uiPriority w:val="1"/>
    <w:qFormat/>
    <w:pPr>
      <w:ind w:left="1132" w:hanging="355"/>
      <w:outlineLvl w:val="2"/>
    </w:pPr>
    <w:rPr>
      <w:rFonts w:ascii="Arial" w:hAnsi="Arial" w:eastAsia="Arial" w:cs="Arial"/>
      <w:b/>
      <w:bCs/>
      <w:sz w:val="24"/>
      <w:szCs w:val="24"/>
      <w:lang w:val="id" w:eastAsia="en-US" w:bidi="ar-SA"/>
    </w:rPr>
  </w:style>
  <w:style w:styleId="Heading3" w:type="paragraph">
    <w:name w:val="Heading 3"/>
    <w:basedOn w:val="Normal"/>
    <w:uiPriority w:val="1"/>
    <w:qFormat/>
    <w:pPr>
      <w:ind w:left="1488" w:hanging="355"/>
      <w:outlineLvl w:val="3"/>
    </w:pPr>
    <w:rPr>
      <w:rFonts w:ascii="Arial" w:hAnsi="Arial" w:eastAsia="Arial" w:cs="Arial"/>
      <w:b/>
      <w:bCs/>
      <w:i/>
      <w:iCs/>
      <w:sz w:val="24"/>
      <w:szCs w:val="24"/>
      <w:lang w:val="id" w:eastAsia="en-US" w:bidi="ar-SA"/>
    </w:rPr>
  </w:style>
  <w:style w:styleId="ListParagraph" w:type="paragraph">
    <w:name w:val="List Paragraph"/>
    <w:basedOn w:val="Normal"/>
    <w:uiPriority w:val="1"/>
    <w:qFormat/>
    <w:pPr>
      <w:ind w:left="1701" w:hanging="360"/>
      <w:jc w:val="both"/>
    </w:pPr>
    <w:rPr>
      <w:rFonts w:ascii="Arial" w:hAnsi="Arial" w:eastAsia="Arial" w:cs="Arial"/>
      <w:lang w:val="id" w:eastAsia="en-US" w:bidi="ar-SA"/>
    </w:rPr>
  </w:style>
  <w:style w:styleId="TableParagraph" w:type="paragraph">
    <w:name w:val="Table Paragraph"/>
    <w:basedOn w:val="Normal"/>
    <w:uiPriority w:val="1"/>
    <w:qFormat/>
    <w:pPr>
      <w:ind w:left="107"/>
    </w:pPr>
    <w:rPr>
      <w:rFonts w:ascii="Arial" w:hAnsi="Arial" w:eastAsia="Arial" w:cs="Arial"/>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image" Target="media/image2.jpeg"/><Relationship Id="rId8" Type="http://schemas.openxmlformats.org/officeDocument/2006/relationships/header" Target="header3.xml"/><Relationship Id="rId9" Type="http://schemas.openxmlformats.org/officeDocument/2006/relationships/image" Target="media/image3.jpeg"/><Relationship Id="rId10" Type="http://schemas.openxmlformats.org/officeDocument/2006/relationships/header" Target="header4.xml"/><Relationship Id="rId11" Type="http://schemas.openxmlformats.org/officeDocument/2006/relationships/header" Target="header5.xml"/><Relationship Id="rId12" Type="http://schemas.openxmlformats.org/officeDocument/2006/relationships/header" Target="header6.xml"/><Relationship Id="rId13" Type="http://schemas.openxmlformats.org/officeDocument/2006/relationships/image" Target="media/image4.jpeg"/><Relationship Id="rId14" Type="http://schemas.openxmlformats.org/officeDocument/2006/relationships/header" Target="header7.xml"/><Relationship Id="rId15" Type="http://schemas.openxmlformats.org/officeDocument/2006/relationships/header" Target="header8.xml"/><Relationship Id="rId16" Type="http://schemas.openxmlformats.org/officeDocument/2006/relationships/header" Target="header9.xml"/><Relationship Id="rId17" Type="http://schemas.openxmlformats.org/officeDocument/2006/relationships/image" Target="media/image5.jpeg"/><Relationship Id="rId18" Type="http://schemas.openxmlformats.org/officeDocument/2006/relationships/header" Target="header10.xml"/><Relationship Id="rId19" Type="http://schemas.openxmlformats.org/officeDocument/2006/relationships/header" Target="header11.xml"/><Relationship Id="rId20" Type="http://schemas.openxmlformats.org/officeDocument/2006/relationships/header" Target="header12.xml"/><Relationship Id="rId21" Type="http://schemas.openxmlformats.org/officeDocument/2006/relationships/header" Target="header13.xml"/><Relationship Id="rId22" Type="http://schemas.openxmlformats.org/officeDocument/2006/relationships/header" Target="header14.xml"/><Relationship Id="rId23" Type="http://schemas.openxmlformats.org/officeDocument/2006/relationships/header" Target="header15.xml"/><Relationship Id="rId24" Type="http://schemas.openxmlformats.org/officeDocument/2006/relationships/hyperlink" Target="http://www.kontan.co.id/" TargetMode="External"/><Relationship Id="rId25" Type="http://schemas.openxmlformats.org/officeDocument/2006/relationships/hyperlink" Target="https://www.kompasiana.com/trianfe/6626b48dc57afb13be770442/asesmen-esg-sebagai-early-warning-kerusakan-lingkungan-akibat-pertambangan-timah-ilegal" TargetMode="External"/><Relationship Id="rId26" Type="http://schemas.openxmlformats.org/officeDocument/2006/relationships/header" Target="header16.xml"/><Relationship Id="rId27" Type="http://schemas.openxmlformats.org/officeDocument/2006/relationships/header" Target="header17.xml"/><Relationship Id="rId28" Type="http://schemas.openxmlformats.org/officeDocument/2006/relationships/hyperlink" Target="http://www.idx.co.id/" TargetMode="External"/><Relationship Id="rId29" Type="http://schemas.openxmlformats.org/officeDocument/2006/relationships/image" Target="media/image6.png"/><Relationship Id="rId30" Type="http://schemas.openxmlformats.org/officeDocument/2006/relationships/image" Target="media/image7.png"/><Relationship Id="rId31" Type="http://schemas.openxmlformats.org/officeDocument/2006/relationships/image" Target="media/image8.png"/><Relationship Id="rId32" Type="http://schemas.openxmlformats.org/officeDocument/2006/relationships/image" Target="media/image9.png"/><Relationship Id="rId33" Type="http://schemas.openxmlformats.org/officeDocument/2006/relationships/image" Target="media/image10.png"/><Relationship Id="rId34" Type="http://schemas.openxmlformats.org/officeDocument/2006/relationships/image" Target="media/image11.png"/><Relationship Id="rId35" Type="http://schemas.openxmlformats.org/officeDocument/2006/relationships/header" Target="header18.xml"/><Relationship Id="rId36" Type="http://schemas.openxmlformats.org/officeDocument/2006/relationships/header" Target="header19.xml"/><Relationship Id="rId37" Type="http://schemas.openxmlformats.org/officeDocument/2006/relationships/hyperlink" Target="https://www.idx.co.id/id" TargetMode="External"/><Relationship Id="rId38"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2025-02-20T23:57:52Z</dcterms:created>
  <dcterms:modified xsi:type="dcterms:W3CDTF">2025-02-20T23:57:52Z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2025-02-20T00:00:00Z</vt:filetime>
  </property>
  <property fmtid="{D5CDD505-2E9C-101B-9397-08002B2CF9AE}" pid="3" name="LastSaved">
    <vt:filetime>2025-02-20T00:00:00Z</vt:filetime>
  </property>
  <property fmtid="{D5CDD505-2E9C-101B-9397-08002B2CF9AE}" pid="4" name="Producer">
    <vt:lpwstr>3-Heights(TM) PDF Security Shell 4.8.25.2 (http://www.pdf-tools.com)</vt:lpwstr>
  </property>
</Properties>
</file>