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F3" w:rsidRDefault="00F54DF3" w:rsidP="00F54D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54DF3" w:rsidRDefault="00F54DF3" w:rsidP="00F54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Buku-buku</w:t>
      </w:r>
      <w:proofErr w:type="spellEnd"/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Pancasila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2002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Muthali’in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Bias Gender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Press, Surakarta, 2001</w:t>
      </w:r>
    </w:p>
    <w:p w:rsidR="00F54DF3" w:rsidRDefault="00F54DF3" w:rsidP="00F54DF3">
      <w:pPr>
        <w:tabs>
          <w:tab w:val="left" w:pos="-270"/>
        </w:tabs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Abdulkarim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Penuntun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Exact, Bandung, 1995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Urbaningrum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Reformasi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Jakarta, 1999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Affandie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Malik,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(PKSK),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Pluralisme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Agama</w:t>
      </w:r>
      <w:r>
        <w:rPr>
          <w:rFonts w:ascii="Times New Roman" w:hAnsi="Times New Roman" w:cs="Times New Roman"/>
          <w:sz w:val="24"/>
          <w:szCs w:val="24"/>
        </w:rPr>
        <w:t>, Surabaya, 1997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Arumanadi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UUD 1945</w:t>
      </w:r>
      <w:r>
        <w:rPr>
          <w:rFonts w:ascii="Times New Roman" w:hAnsi="Times New Roman" w:cs="Times New Roman"/>
          <w:sz w:val="24"/>
          <w:szCs w:val="24"/>
        </w:rPr>
        <w:t>, IKIP Semarang Press, 1990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Kebijaksanaan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1994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2002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Kebijaksanaan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, Surabaya, 1991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Bersfektif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2003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2006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Pranata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Johnny Ibrahim,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Publishing, Malang, 2010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Khudzaifah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UMS, Surakarta, 2004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Amir, </w:t>
      </w:r>
      <w:r>
        <w:rPr>
          <w:rFonts w:ascii="Times New Roman" w:hAnsi="Times New Roman" w:cs="Times New Roman"/>
          <w:i/>
          <w:sz w:val="24"/>
          <w:szCs w:val="24"/>
        </w:rPr>
        <w:t xml:space="preserve">Pembangunan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2007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Maggie Humm, 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 xml:space="preserve">Ensiklopedia Feminisme, </w:t>
      </w:r>
      <w:r>
        <w:rPr>
          <w:rFonts w:ascii="Times New Roman" w:hAnsi="Times New Roman" w:cs="Times New Roman"/>
          <w:sz w:val="24"/>
          <w:szCs w:val="24"/>
          <w:lang w:val="sv-SE"/>
        </w:rPr>
        <w:t>Fajar Pustaka Baru, Yogyakarta, 2002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1989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2010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Roeslan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Pertanggungan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Jakarta 1982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Mamuji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PT.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2006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Krangka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Pembangunan di Indonesia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UI, 2010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Tata Negara,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Liberty, 1985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Soemantri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UUD 1945</w:t>
      </w:r>
      <w:r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1993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Sulistyowati Irianto, dan L.I. Nurtjahyo, 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 xml:space="preserve">Perempuan Di Persidangan Pemantauan Peradilan Berperspektif Perempuan, </w:t>
      </w:r>
      <w:r>
        <w:rPr>
          <w:rFonts w:ascii="Times New Roman" w:hAnsi="Times New Roman" w:cs="Times New Roman"/>
          <w:sz w:val="24"/>
          <w:szCs w:val="24"/>
          <w:lang w:val="sv-SE"/>
        </w:rPr>
        <w:t>Yayasan Obor Indonesia, Jakarta, 2006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Noor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Sepatu Lars di Rahim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Indah, Jakarta, 2004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Tata Negara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Indonesia :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Dasar-Dasarnya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Jakarta, 1983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Yusril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Tata Negara Indonesia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Kompilasi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Aktual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Kepartaian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Jakarta, 1996</w:t>
      </w:r>
    </w:p>
    <w:p w:rsidR="00F54DF3" w:rsidRDefault="00F54DF3" w:rsidP="00F54DF3">
      <w:pPr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F54DF3" w:rsidRDefault="00F54DF3" w:rsidP="00F54DF3">
      <w:pPr>
        <w:pStyle w:val="ListParagraph"/>
        <w:numPr>
          <w:ilvl w:val="0"/>
          <w:numId w:val="1"/>
        </w:numPr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Website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Gender, </w:t>
      </w:r>
      <w:proofErr w:type="spellStart"/>
      <w:r>
        <w:rPr>
          <w:rFonts w:ascii="Times New Roman" w:hAnsi="Times New Roman" w:cs="Times New Roman"/>
          <w:bCs/>
          <w:color w:val="231F2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MUWÂZÂH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Vol. 3, No. 2, </w:t>
      </w:r>
      <w:proofErr w:type="spellStart"/>
      <w:r>
        <w:rPr>
          <w:rFonts w:ascii="Times New Roman" w:hAnsi="Times New Roman" w:cs="Times New Roman"/>
          <w:bCs/>
          <w:color w:val="231F20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2011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F. Nadia, </w:t>
      </w:r>
      <w:proofErr w:type="spellStart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Adilan</w:t>
      </w:r>
      <w:proofErr w:type="spellEnd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Gender </w:t>
      </w:r>
      <w:proofErr w:type="spellStart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Akar</w:t>
      </w:r>
      <w:proofErr w:type="spellEnd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Lustrum VI/Dies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Natalis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XXX AKS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Tarakanita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Yogyakarta, 8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1997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Ulfa</w:t>
      </w:r>
      <w:proofErr w:type="spellEnd"/>
      <w:r>
        <w:rPr>
          <w:rFonts w:ascii="Times New Roman" w:hAnsi="Times New Roman" w:cs="Times New Roman"/>
          <w:sz w:val="24"/>
          <w:szCs w:val="24"/>
        </w:rPr>
        <w:t>, 2009,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2009”. [Online]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http://mediabersama.com/index.php?option=com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Jimly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Ketatanegaraan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UUD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1945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SEMINAR PEMBANGUNAN HUKUM NASIONAL VIII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BADAN PEMBINAAN HUKUM NASIONAL DEPARTEMEN KEHAKIMAN DAN HAK ASASI MANUSIA RI Denpasar, 14-18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2003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Jimly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Asshidiqie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Konstitusional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Penegakannya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Komnas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Era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Otonomi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Daerah: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Penyikapan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”. Jakarta, 27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Nopember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2007</w:t>
      </w:r>
    </w:p>
    <w:p w:rsidR="00F54DF3" w:rsidRDefault="00F54DF3" w:rsidP="00F54DF3">
      <w:pPr>
        <w:pStyle w:val="FootnoteText"/>
        <w:spacing w:after="240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Maskulin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Indonesia;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Keterwakilannya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Parlemen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2004</w:t>
      </w:r>
    </w:p>
    <w:p w:rsidR="00F54DF3" w:rsidRDefault="00F54DF3" w:rsidP="00F54DF3">
      <w:pPr>
        <w:autoSpaceDE w:val="0"/>
        <w:autoSpaceDN w:val="0"/>
        <w:adjustRightInd w:val="0"/>
        <w:spacing w:after="240" w:line="240" w:lineRule="auto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Kursi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Terpilih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www.kpu.go.id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</w:p>
    <w:p w:rsidR="00F54DF3" w:rsidRDefault="00F54DF3" w:rsidP="00F54DF3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F54DF3" w:rsidRDefault="00F54DF3" w:rsidP="00F54DF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Undang-Undang</w:t>
      </w:r>
    </w:p>
    <w:p w:rsidR="00F54DF3" w:rsidRDefault="00F54DF3" w:rsidP="00F54DF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54DF3" w:rsidRDefault="00F54DF3" w:rsidP="00F54DF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 Dasar Negara Republik Indonesia 1945</w:t>
      </w:r>
    </w:p>
    <w:p w:rsidR="00F54DF3" w:rsidRDefault="00F54DF3" w:rsidP="00F54DF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54DF3" w:rsidRDefault="00F54DF3" w:rsidP="00F54DF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 Nomor 7 Tahun 2023 Tentang Pemilihan Umum</w:t>
      </w:r>
    </w:p>
    <w:p w:rsidR="009F1C3A" w:rsidRDefault="009F1C3A">
      <w:bookmarkStart w:id="0" w:name="_GoBack"/>
      <w:bookmarkEnd w:id="0"/>
    </w:p>
    <w:sectPr w:rsidR="009F1C3A" w:rsidSect="00E17B5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69566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F3"/>
    <w:rsid w:val="009F1C3A"/>
    <w:rsid w:val="00E17B5A"/>
    <w:rsid w:val="00F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F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54D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4DF3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F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54D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4DF3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2025-02-23T12:29:00Z</dcterms:created>
  <dcterms:modified xsi:type="dcterms:W3CDTF">2025-02-23T12:30:00Z</dcterms:modified>
</cp:coreProperties>
</file>