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BC" w:rsidRPr="009B3FB7" w:rsidRDefault="006769BC" w:rsidP="006769BC">
      <w:pPr>
        <w:spacing w:line="360" w:lineRule="auto"/>
        <w:jc w:val="center"/>
        <w:rPr>
          <w:b/>
          <w:szCs w:val="24"/>
          <w:lang w:val="id-ID"/>
        </w:rPr>
      </w:pPr>
      <w:r w:rsidRPr="009B3FB7">
        <w:rPr>
          <w:b/>
          <w:szCs w:val="24"/>
          <w:lang w:val="id-ID"/>
        </w:rPr>
        <w:t>DAFTAR PUSTAKA</w:t>
      </w:r>
    </w:p>
    <w:p w:rsidR="006769BC" w:rsidRPr="009B3FB7" w:rsidRDefault="006769BC" w:rsidP="006769BC">
      <w:pPr>
        <w:spacing w:line="480" w:lineRule="auto"/>
        <w:jc w:val="center"/>
        <w:rPr>
          <w:b/>
          <w:szCs w:val="24"/>
          <w:lang w:val="id-ID"/>
        </w:rPr>
      </w:pPr>
    </w:p>
    <w:p w:rsidR="006769BC" w:rsidRPr="006D0C0D" w:rsidRDefault="006769BC" w:rsidP="006769BC">
      <w:pPr>
        <w:autoSpaceDE w:val="0"/>
        <w:autoSpaceDN w:val="0"/>
        <w:spacing w:line="480" w:lineRule="auto"/>
        <w:ind w:left="720" w:hanging="630"/>
        <w:jc w:val="both"/>
        <w:rPr>
          <w:b/>
          <w:bCs/>
          <w:szCs w:val="24"/>
          <w:lang w:val="id-ID"/>
        </w:rPr>
      </w:pPr>
      <w:r w:rsidRPr="006D0C0D">
        <w:rPr>
          <w:b/>
          <w:bCs/>
          <w:szCs w:val="24"/>
          <w:lang w:val="id-ID"/>
        </w:rPr>
        <w:t>Buku</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Bodenhausen, G. H. C. (1968). </w:t>
      </w:r>
      <w:r w:rsidRPr="006D0C0D">
        <w:rPr>
          <w:i/>
          <w:iCs/>
          <w:szCs w:val="24"/>
          <w:lang w:val="id-ID"/>
        </w:rPr>
        <w:t>Guide to the Application of the Paris Convention for the Protection of Industrial Property</w:t>
      </w:r>
      <w:r w:rsidRPr="006D0C0D">
        <w:rPr>
          <w:szCs w:val="24"/>
          <w:lang w:val="id-ID"/>
        </w:rPr>
        <w:t>. Geneva: WIPO.</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Cornish, W. R., &amp; Llewelyn, D. (2013). </w:t>
      </w:r>
      <w:r w:rsidRPr="006D0C0D">
        <w:rPr>
          <w:i/>
          <w:iCs/>
          <w:szCs w:val="24"/>
          <w:lang w:val="id-ID"/>
        </w:rPr>
        <w:t>Intellectual Property: Patents, Copyright, Trade Marks and Allied Rights</w:t>
      </w:r>
      <w:r w:rsidRPr="006D0C0D">
        <w:rPr>
          <w:szCs w:val="24"/>
          <w:lang w:val="id-ID"/>
        </w:rPr>
        <w:t xml:space="preserve"> (8th ed.). London: Sweet &amp; Maxwell.</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Dam, K. W. (1994). </w:t>
      </w:r>
      <w:r w:rsidRPr="006D0C0D">
        <w:rPr>
          <w:i/>
          <w:iCs/>
          <w:szCs w:val="24"/>
          <w:lang w:val="id-ID"/>
        </w:rPr>
        <w:t>The Economic Underpinnings of Patent Law</w:t>
      </w:r>
      <w:r w:rsidRPr="006D0C0D">
        <w:rPr>
          <w:szCs w:val="24"/>
          <w:lang w:val="id-ID"/>
        </w:rPr>
        <w:t>. Chicago: University of Chicago Press.</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Fauzan, A. (2018). </w:t>
      </w:r>
      <w:r w:rsidRPr="006D0C0D">
        <w:rPr>
          <w:i/>
          <w:iCs/>
          <w:szCs w:val="24"/>
          <w:lang w:val="id-ID"/>
        </w:rPr>
        <w:t>Hak Kekayaan Intelektual dan Tantangan Globalisasi</w:t>
      </w:r>
      <w:r w:rsidRPr="006D0C0D">
        <w:rPr>
          <w:szCs w:val="24"/>
          <w:lang w:val="id-ID"/>
        </w:rPr>
        <w:t>. Jakarta: RajaGrafindo Persada.</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Gervais, D. (2021). </w:t>
      </w:r>
      <w:r w:rsidRPr="006D0C0D">
        <w:rPr>
          <w:i/>
          <w:iCs/>
          <w:szCs w:val="24"/>
          <w:lang w:val="id-ID"/>
        </w:rPr>
        <w:t>The TRIPS Agreement: Drafting History and Analysis</w:t>
      </w:r>
      <w:r w:rsidRPr="006D0C0D">
        <w:rPr>
          <w:szCs w:val="24"/>
          <w:lang w:val="id-ID"/>
        </w:rPr>
        <w:t xml:space="preserve"> (5th ed.). London: Sweet &amp; Maxwell.</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Harahap, M. Y. (2002). </w:t>
      </w:r>
      <w:r w:rsidRPr="006D0C0D">
        <w:rPr>
          <w:i/>
          <w:iCs/>
          <w:szCs w:val="24"/>
          <w:lang w:val="id-ID"/>
        </w:rPr>
        <w:t>Pembahasan Permasalahan dan Penerapan KUHPerdata: Buku 1</w:t>
      </w:r>
      <w:r w:rsidRPr="006D0C0D">
        <w:rPr>
          <w:szCs w:val="24"/>
          <w:lang w:val="id-ID"/>
        </w:rPr>
        <w:t>. Jakarta: Sinar Grafika.</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Rimmer, M. (2008). </w:t>
      </w:r>
      <w:r w:rsidRPr="006D0C0D">
        <w:rPr>
          <w:i/>
          <w:iCs/>
          <w:szCs w:val="24"/>
          <w:lang w:val="id-ID"/>
        </w:rPr>
        <w:t>Intellectual Property and Biotechnology: Biological Inventions</w:t>
      </w:r>
      <w:r w:rsidRPr="006D0C0D">
        <w:rPr>
          <w:szCs w:val="24"/>
          <w:lang w:val="id-ID"/>
        </w:rPr>
        <w:t>. Cheltenham: Edward Elgar Publishing.</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Samuelson, P., &amp; Scotchmer, S. (2002). </w:t>
      </w:r>
      <w:r w:rsidRPr="006D0C0D">
        <w:rPr>
          <w:i/>
          <w:iCs/>
          <w:szCs w:val="24"/>
          <w:lang w:val="id-ID"/>
        </w:rPr>
        <w:t>The Law and Economics of Reverse Engineering</w:t>
      </w:r>
      <w:r w:rsidRPr="006D0C0D">
        <w:rPr>
          <w:szCs w:val="24"/>
          <w:lang w:val="id-ID"/>
        </w:rPr>
        <w:t>. California: Berkeley Law.</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Sudjana, I. (2017). </w:t>
      </w:r>
      <w:r w:rsidRPr="006D0C0D">
        <w:rPr>
          <w:i/>
          <w:iCs/>
          <w:szCs w:val="24"/>
          <w:lang w:val="id-ID"/>
        </w:rPr>
        <w:t>Hukum Paten di Indonesia: Teori dan Implementasi</w:t>
      </w:r>
      <w:r w:rsidRPr="006D0C0D">
        <w:rPr>
          <w:szCs w:val="24"/>
          <w:lang w:val="id-ID"/>
        </w:rPr>
        <w:t>. Yogyakarta: Pustaka Pelajar.</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Watal, J. (2001). </w:t>
      </w:r>
      <w:r w:rsidRPr="006D0C0D">
        <w:rPr>
          <w:i/>
          <w:iCs/>
          <w:szCs w:val="24"/>
          <w:lang w:val="id-ID"/>
        </w:rPr>
        <w:t>Intellectual Property Rights in the WTO and Developing Countries</w:t>
      </w:r>
      <w:r w:rsidRPr="006D0C0D">
        <w:rPr>
          <w:szCs w:val="24"/>
          <w:lang w:val="id-ID"/>
        </w:rPr>
        <w:t>. Oxford: Oxford University Press.</w:t>
      </w:r>
    </w:p>
    <w:p w:rsidR="006769BC" w:rsidRPr="006D0C0D" w:rsidRDefault="006769BC" w:rsidP="006769BC">
      <w:pPr>
        <w:autoSpaceDE w:val="0"/>
        <w:autoSpaceDN w:val="0"/>
        <w:spacing w:line="480" w:lineRule="auto"/>
        <w:ind w:left="720" w:hanging="630"/>
        <w:jc w:val="both"/>
        <w:rPr>
          <w:b/>
          <w:bCs/>
          <w:szCs w:val="24"/>
          <w:lang w:val="id-ID"/>
        </w:rPr>
      </w:pPr>
      <w:r w:rsidRPr="006D0C0D">
        <w:rPr>
          <w:b/>
          <w:bCs/>
          <w:szCs w:val="24"/>
          <w:lang w:val="id-ID"/>
        </w:rPr>
        <w:t>Artikel Jurnal</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lastRenderedPageBreak/>
        <w:t xml:space="preserve">Alikhan, S. (2020). "Patent Law Reform in Emerging Economies: A Comparative Analysis." </w:t>
      </w:r>
      <w:r w:rsidRPr="006D0C0D">
        <w:rPr>
          <w:i/>
          <w:iCs/>
          <w:szCs w:val="24"/>
          <w:lang w:val="id-ID"/>
        </w:rPr>
        <w:t>Journal of Intellectual Property Law &amp; Practice, 15</w:t>
      </w:r>
      <w:r w:rsidRPr="006D0C0D">
        <w:rPr>
          <w:szCs w:val="24"/>
          <w:lang w:val="id-ID"/>
        </w:rPr>
        <w:t>(2), 110-125.</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Basheer, S., &amp; Reddy, P. (2021). "The Intersection of AI and Patent Law: Emerging Challenges." </w:t>
      </w:r>
      <w:r w:rsidRPr="006D0C0D">
        <w:rPr>
          <w:i/>
          <w:iCs/>
          <w:szCs w:val="24"/>
          <w:lang w:val="id-ID"/>
        </w:rPr>
        <w:t>Harvard Journal of Law &amp; Technology, 34</w:t>
      </w:r>
      <w:r w:rsidRPr="006D0C0D">
        <w:rPr>
          <w:szCs w:val="24"/>
          <w:lang w:val="id-ID"/>
        </w:rPr>
        <w:t>(1), 55-78.</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Chon, M. (2019). "Global Patent Governance and the Role of WIPO." </w:t>
      </w:r>
      <w:r w:rsidRPr="006D0C0D">
        <w:rPr>
          <w:i/>
          <w:iCs/>
          <w:szCs w:val="24"/>
          <w:lang w:val="id-ID"/>
        </w:rPr>
        <w:t>Columbia Journal of Law &amp; Policy, 28</w:t>
      </w:r>
      <w:r w:rsidRPr="006D0C0D">
        <w:rPr>
          <w:szCs w:val="24"/>
          <w:lang w:val="id-ID"/>
        </w:rPr>
        <w:t>(3), 315-340.</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Davies, C. (2022). "Patentability of High-Tech Innovations: Legal and Economic Perspectives." </w:t>
      </w:r>
      <w:r w:rsidRPr="006D0C0D">
        <w:rPr>
          <w:i/>
          <w:iCs/>
          <w:szCs w:val="24"/>
          <w:lang w:val="id-ID"/>
        </w:rPr>
        <w:t>Stanford Technology Law Review, 25</w:t>
      </w:r>
      <w:r w:rsidRPr="006D0C0D">
        <w:rPr>
          <w:szCs w:val="24"/>
          <w:lang w:val="id-ID"/>
        </w:rPr>
        <w:t>(2), 189-220.</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Fitri, M. (2018). "Perlindungan Hukum bagi Pencipta dalam Sistem Paten Indonesia." </w:t>
      </w:r>
      <w:r w:rsidRPr="006D0C0D">
        <w:rPr>
          <w:i/>
          <w:iCs/>
          <w:szCs w:val="24"/>
          <w:lang w:val="id-ID"/>
        </w:rPr>
        <w:t>Jurnal Hukum dan Hak Asasi Manusia, 10</w:t>
      </w:r>
      <w:r w:rsidRPr="006D0C0D">
        <w:rPr>
          <w:szCs w:val="24"/>
          <w:lang w:val="id-ID"/>
        </w:rPr>
        <w:t>(1), 87-102.</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Ghosh, S. (2019). "Patent Rights and Innovation Incentives: A Critical Analysis." </w:t>
      </w:r>
      <w:r w:rsidRPr="006D0C0D">
        <w:rPr>
          <w:i/>
          <w:iCs/>
          <w:szCs w:val="24"/>
          <w:lang w:val="id-ID"/>
        </w:rPr>
        <w:t>Berkeley Technology Law Journal, 33</w:t>
      </w:r>
      <w:r w:rsidRPr="006D0C0D">
        <w:rPr>
          <w:szCs w:val="24"/>
          <w:lang w:val="id-ID"/>
        </w:rPr>
        <w:t>(4), 512-535.</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Halewood, M. (2017). "Biotechnology Patents and Public Interest Considerations." </w:t>
      </w:r>
      <w:r w:rsidRPr="006D0C0D">
        <w:rPr>
          <w:i/>
          <w:iCs/>
          <w:szCs w:val="24"/>
          <w:lang w:val="id-ID"/>
        </w:rPr>
        <w:t>European Intellectual Property Review, 39</w:t>
      </w:r>
      <w:r w:rsidRPr="006D0C0D">
        <w:rPr>
          <w:szCs w:val="24"/>
          <w:lang w:val="id-ID"/>
        </w:rPr>
        <w:t>(2), 105-118.</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Hidayat, S. (2020). "Aspek Hukum dalam Pendaftaran Paten di Indonesia." </w:t>
      </w:r>
      <w:r w:rsidRPr="006D0C0D">
        <w:rPr>
          <w:i/>
          <w:iCs/>
          <w:szCs w:val="24"/>
          <w:lang w:val="id-ID"/>
        </w:rPr>
        <w:t>Jurnal Hukum dan Pembangunan, 50</w:t>
      </w:r>
      <w:r w:rsidRPr="006D0C0D">
        <w:rPr>
          <w:szCs w:val="24"/>
          <w:lang w:val="id-ID"/>
        </w:rPr>
        <w:t>(1), 55-72.</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Kim, J. (2021). "Patent Law and Artificial Intelligence: Emerging Legal Frameworks." </w:t>
      </w:r>
      <w:r w:rsidRPr="006D0C0D">
        <w:rPr>
          <w:i/>
          <w:iCs/>
          <w:szCs w:val="24"/>
          <w:lang w:val="id-ID"/>
        </w:rPr>
        <w:t>Yale Journal of Law &amp; Technology, 23</w:t>
      </w:r>
      <w:r w:rsidRPr="006D0C0D">
        <w:rPr>
          <w:szCs w:val="24"/>
          <w:lang w:val="id-ID"/>
        </w:rPr>
        <w:t>(3), 211-234.</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Kumar, R. (2018). "The Role of Patent Law in the Development of Digital Technology." </w:t>
      </w:r>
      <w:r w:rsidRPr="006D0C0D">
        <w:rPr>
          <w:i/>
          <w:iCs/>
          <w:szCs w:val="24"/>
          <w:lang w:val="id-ID"/>
        </w:rPr>
        <w:t>Journal of Law and Innovation, 5</w:t>
      </w:r>
      <w:r w:rsidRPr="006D0C0D">
        <w:rPr>
          <w:szCs w:val="24"/>
          <w:lang w:val="id-ID"/>
        </w:rPr>
        <w:t>(2), 97-115.</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Lee, T. (2020). "Compulsory Licensing and Patent Protection: A Comparative Study." </w:t>
      </w:r>
      <w:r w:rsidRPr="006D0C0D">
        <w:rPr>
          <w:i/>
          <w:iCs/>
          <w:szCs w:val="24"/>
          <w:lang w:val="id-ID"/>
        </w:rPr>
        <w:t>Harvard Law Review, 133</w:t>
      </w:r>
      <w:r w:rsidRPr="006D0C0D">
        <w:rPr>
          <w:szCs w:val="24"/>
          <w:lang w:val="id-ID"/>
        </w:rPr>
        <w:t>(6), 1450-1478.</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lastRenderedPageBreak/>
        <w:t xml:space="preserve">Lim, S. (2019). "Patent Protection in the Era of Globalization." </w:t>
      </w:r>
      <w:r w:rsidRPr="006D0C0D">
        <w:rPr>
          <w:i/>
          <w:iCs/>
          <w:szCs w:val="24"/>
          <w:lang w:val="id-ID"/>
        </w:rPr>
        <w:t>Journal of Intellectual Property Studies, 12</w:t>
      </w:r>
      <w:r w:rsidRPr="006D0C0D">
        <w:rPr>
          <w:szCs w:val="24"/>
          <w:lang w:val="id-ID"/>
        </w:rPr>
        <w:t>(4), 299-322.</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Mochtar, F. (2021). "Implikasi Perubahan Undang-Undang Paten terhadap Hak Inventor." </w:t>
      </w:r>
      <w:r w:rsidRPr="006D0C0D">
        <w:rPr>
          <w:i/>
          <w:iCs/>
          <w:szCs w:val="24"/>
          <w:lang w:val="id-ID"/>
        </w:rPr>
        <w:t>Jurnal Ilmu Hukum, 17</w:t>
      </w:r>
      <w:r w:rsidRPr="006D0C0D">
        <w:rPr>
          <w:szCs w:val="24"/>
          <w:lang w:val="id-ID"/>
        </w:rPr>
        <w:t>(2), 175-190.</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Nakamura, H. (2017). "Intellectual Property Law and High-Tech Startups: A Case Study." </w:t>
      </w:r>
      <w:r w:rsidRPr="006D0C0D">
        <w:rPr>
          <w:i/>
          <w:iCs/>
          <w:szCs w:val="24"/>
          <w:lang w:val="id-ID"/>
        </w:rPr>
        <w:t>Asia Pacific Law Review, 25</w:t>
      </w:r>
      <w:r w:rsidRPr="006D0C0D">
        <w:rPr>
          <w:szCs w:val="24"/>
          <w:lang w:val="id-ID"/>
        </w:rPr>
        <w:t>(3), 267-289.</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Prasetyo, H. (2019). "Analisis Hukum terhadap Sengketa Paten di Indonesia." </w:t>
      </w:r>
      <w:r w:rsidRPr="006D0C0D">
        <w:rPr>
          <w:i/>
          <w:iCs/>
          <w:szCs w:val="24"/>
          <w:lang w:val="id-ID"/>
        </w:rPr>
        <w:t>Jurnal Penelitian Hukum, 14</w:t>
      </w:r>
      <w:r w:rsidRPr="006D0C0D">
        <w:rPr>
          <w:szCs w:val="24"/>
          <w:lang w:val="id-ID"/>
        </w:rPr>
        <w:t>(1), 45-65.</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Rachman, B. (2021). "Paten dan Inovasi: Regulasi dan Tantangan di Indonesia." </w:t>
      </w:r>
      <w:r w:rsidRPr="006D0C0D">
        <w:rPr>
          <w:i/>
          <w:iCs/>
          <w:szCs w:val="24"/>
          <w:lang w:val="id-ID"/>
        </w:rPr>
        <w:t>Jurnal Hukum Bisnis, 9</w:t>
      </w:r>
      <w:r w:rsidRPr="006D0C0D">
        <w:rPr>
          <w:szCs w:val="24"/>
          <w:lang w:val="id-ID"/>
        </w:rPr>
        <w:t>(2), 101-120.</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Smith, A. (2018). "Patent Law and Emerging Technologies: A Comparative Study." </w:t>
      </w:r>
      <w:r w:rsidRPr="006D0C0D">
        <w:rPr>
          <w:i/>
          <w:iCs/>
          <w:szCs w:val="24"/>
          <w:lang w:val="id-ID"/>
        </w:rPr>
        <w:t>Chicago-Kent Journal of Intellectual Property, 17</w:t>
      </w:r>
      <w:r w:rsidRPr="006D0C0D">
        <w:rPr>
          <w:szCs w:val="24"/>
          <w:lang w:val="id-ID"/>
        </w:rPr>
        <w:t>(1), 71-89.</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Wang, H. (2019). "Patent Law and Innovation Policy in Developing Countries." </w:t>
      </w:r>
      <w:r w:rsidRPr="006D0C0D">
        <w:rPr>
          <w:i/>
          <w:iCs/>
          <w:szCs w:val="24"/>
          <w:lang w:val="id-ID"/>
        </w:rPr>
        <w:t>International Review of Intellectual Property and Competition Law, 50</w:t>
      </w:r>
      <w:r w:rsidRPr="006D0C0D">
        <w:rPr>
          <w:szCs w:val="24"/>
          <w:lang w:val="id-ID"/>
        </w:rPr>
        <w:t>(2), 232-256.</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Yulianto, A. (2020). "Hak Paten dan Perkembangan Inovasi Teknologi di Indonesia." </w:t>
      </w:r>
      <w:r w:rsidRPr="006D0C0D">
        <w:rPr>
          <w:i/>
          <w:iCs/>
          <w:szCs w:val="24"/>
          <w:lang w:val="id-ID"/>
        </w:rPr>
        <w:t>Jurnal Kebijakan Publik dan Hukum, 6</w:t>
      </w:r>
      <w:r w:rsidRPr="006D0C0D">
        <w:rPr>
          <w:szCs w:val="24"/>
          <w:lang w:val="id-ID"/>
        </w:rPr>
        <w:t>(1), 43-60.</w:t>
      </w:r>
    </w:p>
    <w:p w:rsidR="006769BC" w:rsidRDefault="006769BC" w:rsidP="006769BC">
      <w:pPr>
        <w:autoSpaceDE w:val="0"/>
        <w:autoSpaceDN w:val="0"/>
        <w:spacing w:line="480" w:lineRule="auto"/>
        <w:ind w:left="720" w:hanging="630"/>
        <w:jc w:val="both"/>
        <w:rPr>
          <w:szCs w:val="24"/>
          <w:lang w:val="id-ID"/>
        </w:rPr>
      </w:pPr>
      <w:r w:rsidRPr="006D0C0D">
        <w:rPr>
          <w:szCs w:val="24"/>
          <w:lang w:val="id-ID"/>
        </w:rPr>
        <w:t xml:space="preserve">Zhang, W. (2021). "Legal Barriers to High-Tech Patent Applications." </w:t>
      </w:r>
      <w:r w:rsidRPr="006D0C0D">
        <w:rPr>
          <w:i/>
          <w:iCs/>
          <w:szCs w:val="24"/>
          <w:lang w:val="id-ID"/>
        </w:rPr>
        <w:t>Technology and Law Journal, 11</w:t>
      </w:r>
      <w:r w:rsidRPr="006D0C0D">
        <w:rPr>
          <w:szCs w:val="24"/>
          <w:lang w:val="id-ID"/>
        </w:rPr>
        <w:t>(3), 278-305.</w:t>
      </w:r>
    </w:p>
    <w:p w:rsidR="006769BC" w:rsidRDefault="006769BC" w:rsidP="006769BC">
      <w:pPr>
        <w:autoSpaceDE w:val="0"/>
        <w:autoSpaceDN w:val="0"/>
        <w:spacing w:line="480" w:lineRule="auto"/>
        <w:ind w:left="720" w:hanging="630"/>
        <w:jc w:val="both"/>
        <w:rPr>
          <w:szCs w:val="24"/>
          <w:lang w:val="id-ID"/>
        </w:rPr>
      </w:pPr>
    </w:p>
    <w:p w:rsidR="006769BC" w:rsidRPr="006D0C0D" w:rsidRDefault="006769BC" w:rsidP="006769BC">
      <w:pPr>
        <w:autoSpaceDE w:val="0"/>
        <w:autoSpaceDN w:val="0"/>
        <w:spacing w:line="480" w:lineRule="auto"/>
        <w:ind w:left="720" w:hanging="630"/>
        <w:jc w:val="both"/>
        <w:rPr>
          <w:szCs w:val="24"/>
          <w:lang w:val="id-ID"/>
        </w:rPr>
      </w:pPr>
    </w:p>
    <w:p w:rsidR="006769BC" w:rsidRPr="006D0C0D" w:rsidRDefault="006769BC" w:rsidP="006769BC">
      <w:pPr>
        <w:autoSpaceDE w:val="0"/>
        <w:autoSpaceDN w:val="0"/>
        <w:spacing w:line="480" w:lineRule="auto"/>
        <w:ind w:left="720" w:hanging="630"/>
        <w:jc w:val="both"/>
        <w:rPr>
          <w:b/>
          <w:bCs/>
          <w:szCs w:val="24"/>
          <w:lang w:val="id-ID"/>
        </w:rPr>
      </w:pPr>
      <w:r w:rsidRPr="006D0C0D">
        <w:rPr>
          <w:b/>
          <w:bCs/>
          <w:szCs w:val="24"/>
          <w:lang w:val="id-ID"/>
        </w:rPr>
        <w:t>Sumber Website</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lastRenderedPageBreak/>
        <w:t xml:space="preserve">World Intellectual Property Organization (WIPO). (2023). </w:t>
      </w:r>
      <w:r w:rsidRPr="006D0C0D">
        <w:rPr>
          <w:i/>
          <w:iCs/>
          <w:szCs w:val="24"/>
          <w:lang w:val="id-ID"/>
        </w:rPr>
        <w:t>Understanding Patents and Innovation Protection</w:t>
      </w:r>
      <w:r w:rsidRPr="006D0C0D">
        <w:rPr>
          <w:szCs w:val="24"/>
          <w:lang w:val="id-ID"/>
        </w:rPr>
        <w:t xml:space="preserve">. Retrieved from </w:t>
      </w:r>
      <w:hyperlink r:id="rId4" w:history="1">
        <w:r w:rsidRPr="006D0C0D">
          <w:rPr>
            <w:rStyle w:val="Hyperlink"/>
            <w:szCs w:val="24"/>
            <w:lang w:val="id-ID"/>
          </w:rPr>
          <w:t>https://www.wipo.int</w:t>
        </w:r>
      </w:hyperlink>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World Trade Organization (WTO). (2023). </w:t>
      </w:r>
      <w:r w:rsidRPr="006D0C0D">
        <w:rPr>
          <w:i/>
          <w:iCs/>
          <w:szCs w:val="24"/>
          <w:lang w:val="id-ID"/>
        </w:rPr>
        <w:t>TRIPS and Intellectual Property Rights</w:t>
      </w:r>
      <w:r w:rsidRPr="006D0C0D">
        <w:rPr>
          <w:szCs w:val="24"/>
          <w:lang w:val="id-ID"/>
        </w:rPr>
        <w:t xml:space="preserve">. Retrieved from </w:t>
      </w:r>
      <w:hyperlink r:id="rId5" w:history="1">
        <w:r w:rsidRPr="006D0C0D">
          <w:rPr>
            <w:rStyle w:val="Hyperlink"/>
            <w:szCs w:val="24"/>
            <w:lang w:val="id-ID"/>
          </w:rPr>
          <w:t>https://www.wto.org</w:t>
        </w:r>
      </w:hyperlink>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Kementerian Hukum dan Hak Asasi Manusia RI. (2023). </w:t>
      </w:r>
      <w:r w:rsidRPr="006D0C0D">
        <w:rPr>
          <w:i/>
          <w:iCs/>
          <w:szCs w:val="24"/>
          <w:lang w:val="id-ID"/>
        </w:rPr>
        <w:t>Sistem Paten di Indonesia</w:t>
      </w:r>
      <w:r w:rsidRPr="006D0C0D">
        <w:rPr>
          <w:szCs w:val="24"/>
          <w:lang w:val="id-ID"/>
        </w:rPr>
        <w:t xml:space="preserve">. Retrieved from </w:t>
      </w:r>
      <w:hyperlink r:id="rId6" w:history="1">
        <w:r w:rsidRPr="006D0C0D">
          <w:rPr>
            <w:rStyle w:val="Hyperlink"/>
            <w:szCs w:val="24"/>
            <w:lang w:val="id-ID"/>
          </w:rPr>
          <w:t>https://www.dgip.go.id</w:t>
        </w:r>
      </w:hyperlink>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European Patent Office (EPO). (2023). </w:t>
      </w:r>
      <w:r w:rsidRPr="006D0C0D">
        <w:rPr>
          <w:i/>
          <w:iCs/>
          <w:szCs w:val="24"/>
          <w:lang w:val="id-ID"/>
        </w:rPr>
        <w:t>Patent Protection in High-Tech Industries</w:t>
      </w:r>
      <w:r w:rsidRPr="006D0C0D">
        <w:rPr>
          <w:szCs w:val="24"/>
          <w:lang w:val="id-ID"/>
        </w:rPr>
        <w:t xml:space="preserve">. Retrieved from </w:t>
      </w:r>
      <w:hyperlink r:id="rId7" w:history="1">
        <w:r w:rsidRPr="006D0C0D">
          <w:rPr>
            <w:rStyle w:val="Hyperlink"/>
            <w:szCs w:val="24"/>
            <w:lang w:val="id-ID"/>
          </w:rPr>
          <w:t>https://www.epo.org</w:t>
        </w:r>
      </w:hyperlink>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 xml:space="preserve">United Nations Development Programme (UNDP). (2023). </w:t>
      </w:r>
      <w:r w:rsidRPr="006D0C0D">
        <w:rPr>
          <w:i/>
          <w:iCs/>
          <w:szCs w:val="24"/>
          <w:lang w:val="id-ID"/>
        </w:rPr>
        <w:t>Innovation and Intellectual Property in Developing Countries</w:t>
      </w:r>
      <w:r w:rsidRPr="006D0C0D">
        <w:rPr>
          <w:szCs w:val="24"/>
          <w:lang w:val="id-ID"/>
        </w:rPr>
        <w:t xml:space="preserve">. Retrieved from </w:t>
      </w:r>
      <w:hyperlink r:id="rId8" w:history="1">
        <w:r w:rsidRPr="006D0C0D">
          <w:rPr>
            <w:rStyle w:val="Hyperlink"/>
            <w:szCs w:val="24"/>
            <w:lang w:val="id-ID"/>
          </w:rPr>
          <w:t>https://www.undp.org</w:t>
        </w:r>
      </w:hyperlink>
    </w:p>
    <w:p w:rsidR="006769BC" w:rsidRPr="006D0C0D" w:rsidRDefault="006769BC" w:rsidP="006769BC">
      <w:pPr>
        <w:autoSpaceDE w:val="0"/>
        <w:autoSpaceDN w:val="0"/>
        <w:spacing w:line="480" w:lineRule="auto"/>
        <w:ind w:left="720" w:hanging="630"/>
        <w:jc w:val="both"/>
        <w:rPr>
          <w:b/>
          <w:bCs/>
          <w:szCs w:val="24"/>
          <w:lang w:val="id-ID"/>
        </w:rPr>
      </w:pPr>
      <w:r w:rsidRPr="006D0C0D">
        <w:rPr>
          <w:b/>
          <w:bCs/>
          <w:szCs w:val="24"/>
          <w:lang w:val="id-ID"/>
        </w:rPr>
        <w:t>Peraturan Perundang-undangan</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Undang-Undang Republik Indonesia Nomor 13 Tahun 2016 tentang Paten.</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Peraturan Pemerintah Republik Indonesia Nomor 56 Tahun 2022 tentang Tata Cara Pendaftaran Paten.</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Peraturan Menteri Hukum dan HAM Republik Indonesia Nomor 38 Tahun 2018 tentang Prosedur Pengajuan dan Pemeriksaan Paten.</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Agreement on Trade-Related Aspects of Intellectual Property Rights (TRIPS Agreement), 1994.</w:t>
      </w:r>
    </w:p>
    <w:p w:rsidR="006769BC" w:rsidRPr="006D0C0D" w:rsidRDefault="006769BC" w:rsidP="006769BC">
      <w:pPr>
        <w:autoSpaceDE w:val="0"/>
        <w:autoSpaceDN w:val="0"/>
        <w:spacing w:line="480" w:lineRule="auto"/>
        <w:ind w:left="720" w:hanging="630"/>
        <w:jc w:val="both"/>
        <w:rPr>
          <w:szCs w:val="24"/>
          <w:lang w:val="id-ID"/>
        </w:rPr>
      </w:pPr>
      <w:r w:rsidRPr="006D0C0D">
        <w:rPr>
          <w:szCs w:val="24"/>
          <w:lang w:val="id-ID"/>
        </w:rPr>
        <w:t>Konvensi Paris untuk Perlindungan Kekayaan Industri, 1883.</w:t>
      </w:r>
      <w:r w:rsidRPr="00023975">
        <w:rPr>
          <w:szCs w:val="24"/>
          <w:lang w:val="id-ID"/>
        </w:rPr>
        <w:br/>
      </w:r>
    </w:p>
    <w:p w:rsidR="006769BC" w:rsidRPr="009B3FB7" w:rsidRDefault="006769BC" w:rsidP="006769BC">
      <w:pPr>
        <w:rPr>
          <w:rStyle w:val="markedcontent"/>
          <w:szCs w:val="24"/>
        </w:rPr>
      </w:pPr>
    </w:p>
    <w:p w:rsidR="006769BC" w:rsidRPr="009B3FB7" w:rsidRDefault="006769BC" w:rsidP="006769BC">
      <w:pPr>
        <w:pStyle w:val="FootnoteText"/>
        <w:tabs>
          <w:tab w:val="left" w:pos="990"/>
        </w:tabs>
        <w:ind w:left="720" w:hanging="720"/>
        <w:jc w:val="both"/>
        <w:rPr>
          <w:sz w:val="24"/>
          <w:szCs w:val="24"/>
        </w:rPr>
      </w:pPr>
    </w:p>
    <w:p w:rsidR="00A71049" w:rsidRDefault="00A71049">
      <w:bookmarkStart w:id="0" w:name="_GoBack"/>
      <w:bookmarkEnd w:id="0"/>
    </w:p>
    <w:sectPr w:rsidR="00A71049" w:rsidSect="006C57BF">
      <w:pgSz w:w="11909" w:h="16834" w:code="9"/>
      <w:pgMar w:top="2275" w:right="1699" w:bottom="1699" w:left="2275" w:header="1440" w:footer="113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BC"/>
    <w:rsid w:val="006769BC"/>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990A2-E868-47EF-87EB-5FE3401F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9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6769BC"/>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6769BC"/>
    <w:rPr>
      <w:rFonts w:ascii="Times New Roman" w:eastAsia="Times New Roman" w:hAnsi="Times New Roman" w:cs="Times New Roman"/>
      <w:sz w:val="20"/>
      <w:szCs w:val="20"/>
    </w:rPr>
  </w:style>
  <w:style w:type="character" w:styleId="Hyperlink">
    <w:name w:val="Hyperlink"/>
    <w:basedOn w:val="DefaultParagraphFont"/>
    <w:uiPriority w:val="99"/>
    <w:rsid w:val="006769BC"/>
    <w:rPr>
      <w:color w:val="0000FF"/>
      <w:u w:val="single"/>
    </w:rPr>
  </w:style>
  <w:style w:type="character" w:customStyle="1" w:styleId="markedcontent">
    <w:name w:val="markedcontent"/>
    <w:basedOn w:val="DefaultParagraphFont"/>
    <w:rsid w:val="0067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 TargetMode="External"/><Relationship Id="rId3" Type="http://schemas.openxmlformats.org/officeDocument/2006/relationships/webSettings" Target="webSettings.xml"/><Relationship Id="rId7" Type="http://schemas.openxmlformats.org/officeDocument/2006/relationships/hyperlink" Target="https://www.ep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gip.go.id/" TargetMode="External"/><Relationship Id="rId5" Type="http://schemas.openxmlformats.org/officeDocument/2006/relationships/hyperlink" Target="https://www.wto.org/" TargetMode="External"/><Relationship Id="rId10" Type="http://schemas.openxmlformats.org/officeDocument/2006/relationships/theme" Target="theme/theme1.xml"/><Relationship Id="rId4" Type="http://schemas.openxmlformats.org/officeDocument/2006/relationships/hyperlink" Target="https://www.wipo.i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4340</Characters>
  <Application>Microsoft Office Word</Application>
  <DocSecurity>0</DocSecurity>
  <Lines>36</Lines>
  <Paragraphs>10</Paragraphs>
  <ScaleCrop>false</ScaleCrop>
  <Company>by adguard</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2025-02-26T04:49:00Z</dcterms:created>
  <dcterms:modified xsi:type="dcterms:W3CDTF">2025-02-26T04:50:00Z</dcterms:modified>
</cp:coreProperties>
</file>