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522" w:rsidRPr="009B3FB7" w:rsidRDefault="001E6522" w:rsidP="001E6522">
      <w:pPr>
        <w:spacing w:line="360" w:lineRule="auto"/>
        <w:jc w:val="center"/>
        <w:rPr>
          <w:b/>
          <w:szCs w:val="24"/>
          <w:lang w:val="id-ID"/>
        </w:rPr>
      </w:pPr>
      <w:r w:rsidRPr="009B3FB7">
        <w:rPr>
          <w:b/>
          <w:szCs w:val="24"/>
          <w:lang w:val="id-ID"/>
        </w:rPr>
        <w:t>DAFTAR PUSTAKA</w:t>
      </w:r>
    </w:p>
    <w:p w:rsidR="001E6522" w:rsidRPr="009B3FB7" w:rsidRDefault="001E6522" w:rsidP="001E6522">
      <w:pPr>
        <w:spacing w:line="480" w:lineRule="auto"/>
        <w:jc w:val="center"/>
        <w:rPr>
          <w:b/>
          <w:szCs w:val="24"/>
          <w:lang w:val="id-ID"/>
        </w:rPr>
      </w:pPr>
    </w:p>
    <w:p w:rsidR="001E6522" w:rsidRPr="00023975" w:rsidRDefault="001E6522" w:rsidP="001E6522">
      <w:pPr>
        <w:autoSpaceDE w:val="0"/>
        <w:autoSpaceDN w:val="0"/>
        <w:spacing w:line="480" w:lineRule="auto"/>
        <w:jc w:val="both"/>
        <w:rPr>
          <w:b/>
          <w:bCs/>
          <w:szCs w:val="24"/>
          <w:lang w:val="id-ID"/>
        </w:rPr>
      </w:pPr>
      <w:r w:rsidRPr="00023975">
        <w:rPr>
          <w:b/>
          <w:bCs/>
          <w:szCs w:val="24"/>
          <w:lang w:val="id-ID"/>
        </w:rPr>
        <w:t>Buku</w:t>
      </w:r>
    </w:p>
    <w:p w:rsidR="001E6522" w:rsidRPr="00023975" w:rsidRDefault="001E6522" w:rsidP="001E6522">
      <w:pPr>
        <w:autoSpaceDE w:val="0"/>
        <w:autoSpaceDN w:val="0"/>
        <w:spacing w:line="480" w:lineRule="auto"/>
        <w:ind w:left="720" w:hanging="720"/>
        <w:jc w:val="both"/>
        <w:rPr>
          <w:szCs w:val="24"/>
          <w:lang w:val="id-ID"/>
        </w:rPr>
      </w:pPr>
      <w:r w:rsidRPr="00023975">
        <w:rPr>
          <w:szCs w:val="24"/>
          <w:lang w:val="id-ID"/>
        </w:rPr>
        <w:t xml:space="preserve">Black, Henry Campbell. </w:t>
      </w:r>
      <w:r w:rsidRPr="00023975">
        <w:rPr>
          <w:i/>
          <w:iCs/>
          <w:szCs w:val="24"/>
          <w:lang w:val="id-ID"/>
        </w:rPr>
        <w:t>Black’s Law Dictionary</w:t>
      </w:r>
      <w:r w:rsidRPr="00023975">
        <w:rPr>
          <w:szCs w:val="24"/>
          <w:lang w:val="id-ID"/>
        </w:rPr>
        <w:t>. St. Paul: West Publishing, 2019.</w:t>
      </w:r>
    </w:p>
    <w:p w:rsidR="001E6522" w:rsidRPr="00023975" w:rsidRDefault="001E6522" w:rsidP="001E6522">
      <w:pPr>
        <w:autoSpaceDE w:val="0"/>
        <w:autoSpaceDN w:val="0"/>
        <w:spacing w:line="480" w:lineRule="auto"/>
        <w:ind w:left="720" w:hanging="720"/>
        <w:jc w:val="both"/>
        <w:rPr>
          <w:szCs w:val="24"/>
          <w:lang w:val="id-ID"/>
        </w:rPr>
      </w:pPr>
      <w:r w:rsidRPr="00023975">
        <w:rPr>
          <w:szCs w:val="24"/>
          <w:lang w:val="id-ID"/>
        </w:rPr>
        <w:t xml:space="preserve">Cornish, William R., David Llewelyn, dan Tanya Aplin. </w:t>
      </w:r>
      <w:r w:rsidRPr="00023975">
        <w:rPr>
          <w:i/>
          <w:iCs/>
          <w:szCs w:val="24"/>
          <w:lang w:val="id-ID"/>
        </w:rPr>
        <w:t>Intellectual Property: Patents, Copyright, Trade Marks and Allied Rights</w:t>
      </w:r>
      <w:r w:rsidRPr="00023975">
        <w:rPr>
          <w:szCs w:val="24"/>
          <w:lang w:val="id-ID"/>
        </w:rPr>
        <w:t>. 9th ed. London: Sweet &amp; Maxwell, 2019.</w:t>
      </w:r>
    </w:p>
    <w:p w:rsidR="001E6522" w:rsidRPr="00023975" w:rsidRDefault="001E6522" w:rsidP="001E6522">
      <w:pPr>
        <w:autoSpaceDE w:val="0"/>
        <w:autoSpaceDN w:val="0"/>
        <w:spacing w:line="480" w:lineRule="auto"/>
        <w:ind w:left="720" w:hanging="720"/>
        <w:jc w:val="both"/>
        <w:rPr>
          <w:szCs w:val="24"/>
          <w:lang w:val="id-ID"/>
        </w:rPr>
      </w:pPr>
      <w:r w:rsidRPr="00023975">
        <w:rPr>
          <w:szCs w:val="24"/>
          <w:lang w:val="id-ID"/>
        </w:rPr>
        <w:t xml:space="preserve">David, Rene, dan John E.C. Brierley. </w:t>
      </w:r>
      <w:r w:rsidRPr="00023975">
        <w:rPr>
          <w:i/>
          <w:iCs/>
          <w:szCs w:val="24"/>
          <w:lang w:val="id-ID"/>
        </w:rPr>
        <w:t>Major Legal Systems in the World Today</w:t>
      </w:r>
      <w:r w:rsidRPr="00023975">
        <w:rPr>
          <w:szCs w:val="24"/>
          <w:lang w:val="id-ID"/>
        </w:rPr>
        <w:t>. London: Stevens &amp; Sons, 2007.</w:t>
      </w:r>
    </w:p>
    <w:p w:rsidR="001E6522" w:rsidRPr="00023975" w:rsidRDefault="001E6522" w:rsidP="001E6522">
      <w:pPr>
        <w:autoSpaceDE w:val="0"/>
        <w:autoSpaceDN w:val="0"/>
        <w:spacing w:line="480" w:lineRule="auto"/>
        <w:ind w:left="720" w:hanging="720"/>
        <w:jc w:val="both"/>
        <w:rPr>
          <w:szCs w:val="24"/>
          <w:lang w:val="id-ID"/>
        </w:rPr>
      </w:pPr>
      <w:r w:rsidRPr="00023975">
        <w:rPr>
          <w:szCs w:val="24"/>
          <w:lang w:val="id-ID"/>
        </w:rPr>
        <w:t xml:space="preserve">Gervais, Daniel. </w:t>
      </w:r>
      <w:r w:rsidRPr="00023975">
        <w:rPr>
          <w:i/>
          <w:iCs/>
          <w:szCs w:val="24"/>
          <w:lang w:val="id-ID"/>
        </w:rPr>
        <w:t>The TRIPS Agreement: Drafting History and Analysis</w:t>
      </w:r>
      <w:r w:rsidRPr="00023975">
        <w:rPr>
          <w:szCs w:val="24"/>
          <w:lang w:val="id-ID"/>
        </w:rPr>
        <w:t>. 4th ed. London: Sweet &amp; Maxwell, 2012.</w:t>
      </w:r>
    </w:p>
    <w:p w:rsidR="001E6522" w:rsidRPr="00023975" w:rsidRDefault="001E6522" w:rsidP="001E6522">
      <w:pPr>
        <w:autoSpaceDE w:val="0"/>
        <w:autoSpaceDN w:val="0"/>
        <w:spacing w:line="480" w:lineRule="auto"/>
        <w:ind w:left="720" w:hanging="720"/>
        <w:jc w:val="both"/>
        <w:rPr>
          <w:szCs w:val="24"/>
          <w:lang w:val="id-ID"/>
        </w:rPr>
      </w:pPr>
      <w:r w:rsidRPr="00023975">
        <w:rPr>
          <w:szCs w:val="24"/>
          <w:lang w:val="id-ID"/>
        </w:rPr>
        <w:t xml:space="preserve">Harahap, M. Yahya. </w:t>
      </w:r>
      <w:r w:rsidRPr="00023975">
        <w:rPr>
          <w:i/>
          <w:iCs/>
          <w:szCs w:val="24"/>
          <w:lang w:val="id-ID"/>
        </w:rPr>
        <w:t>Tinjauan Merek Dagang dan Sengketa dalam Praktik</w:t>
      </w:r>
      <w:r w:rsidRPr="00023975">
        <w:rPr>
          <w:szCs w:val="24"/>
          <w:lang w:val="id-ID"/>
        </w:rPr>
        <w:t>. Jakarta: Sinar Grafika, 2016.</w:t>
      </w:r>
    </w:p>
    <w:p w:rsidR="001E6522" w:rsidRPr="00023975" w:rsidRDefault="001E6522" w:rsidP="001E6522">
      <w:pPr>
        <w:autoSpaceDE w:val="0"/>
        <w:autoSpaceDN w:val="0"/>
        <w:spacing w:line="480" w:lineRule="auto"/>
        <w:ind w:left="720" w:hanging="720"/>
        <w:jc w:val="both"/>
        <w:rPr>
          <w:szCs w:val="24"/>
          <w:lang w:val="id-ID"/>
        </w:rPr>
      </w:pPr>
      <w:r w:rsidRPr="00023975">
        <w:rPr>
          <w:szCs w:val="24"/>
          <w:lang w:val="id-ID"/>
        </w:rPr>
        <w:t xml:space="preserve">Huala, Adolf. </w:t>
      </w:r>
      <w:r w:rsidRPr="00023975">
        <w:rPr>
          <w:i/>
          <w:iCs/>
          <w:szCs w:val="24"/>
          <w:lang w:val="id-ID"/>
        </w:rPr>
        <w:t>Aspek Hukum Perdagangan Internasional</w:t>
      </w:r>
      <w:r w:rsidRPr="00023975">
        <w:rPr>
          <w:szCs w:val="24"/>
          <w:lang w:val="id-ID"/>
        </w:rPr>
        <w:t>. Jakarta: Rajawali Pers, 2019.</w:t>
      </w:r>
    </w:p>
    <w:p w:rsidR="001E6522" w:rsidRPr="00023975" w:rsidRDefault="001E6522" w:rsidP="001E6522">
      <w:pPr>
        <w:autoSpaceDE w:val="0"/>
        <w:autoSpaceDN w:val="0"/>
        <w:spacing w:line="480" w:lineRule="auto"/>
        <w:ind w:left="720" w:hanging="720"/>
        <w:jc w:val="both"/>
        <w:rPr>
          <w:szCs w:val="24"/>
          <w:lang w:val="id-ID"/>
        </w:rPr>
      </w:pPr>
      <w:r w:rsidRPr="00023975">
        <w:rPr>
          <w:szCs w:val="24"/>
          <w:lang w:val="id-ID"/>
        </w:rPr>
        <w:t xml:space="preserve">Kerly, Duncan M. </w:t>
      </w:r>
      <w:r w:rsidRPr="00023975">
        <w:rPr>
          <w:i/>
          <w:iCs/>
          <w:szCs w:val="24"/>
          <w:lang w:val="id-ID"/>
        </w:rPr>
        <w:t>Law of Trade Marks and Trade Names</w:t>
      </w:r>
      <w:r w:rsidRPr="00023975">
        <w:rPr>
          <w:szCs w:val="24"/>
          <w:lang w:val="id-ID"/>
        </w:rPr>
        <w:t>. London: Sweet &amp; Maxwell, 2016.</w:t>
      </w:r>
    </w:p>
    <w:p w:rsidR="001E6522" w:rsidRPr="00023975" w:rsidRDefault="001E6522" w:rsidP="001E6522">
      <w:pPr>
        <w:autoSpaceDE w:val="0"/>
        <w:autoSpaceDN w:val="0"/>
        <w:spacing w:line="480" w:lineRule="auto"/>
        <w:ind w:left="720" w:hanging="720"/>
        <w:jc w:val="both"/>
        <w:rPr>
          <w:szCs w:val="24"/>
          <w:lang w:val="id-ID"/>
        </w:rPr>
      </w:pPr>
      <w:r w:rsidRPr="00023975">
        <w:rPr>
          <w:szCs w:val="24"/>
          <w:lang w:val="id-ID"/>
        </w:rPr>
        <w:t xml:space="preserve">Lindsey, Timothy. </w:t>
      </w:r>
      <w:r w:rsidRPr="00023975">
        <w:rPr>
          <w:i/>
          <w:iCs/>
          <w:szCs w:val="24"/>
          <w:lang w:val="id-ID"/>
        </w:rPr>
        <w:t>Indonesian Law and Society</w:t>
      </w:r>
      <w:r w:rsidRPr="00023975">
        <w:rPr>
          <w:szCs w:val="24"/>
          <w:lang w:val="id-ID"/>
        </w:rPr>
        <w:t>. Sydney: Federation Press, 2018.</w:t>
      </w:r>
    </w:p>
    <w:p w:rsidR="001E6522" w:rsidRPr="00023975" w:rsidRDefault="001E6522" w:rsidP="001E6522">
      <w:pPr>
        <w:autoSpaceDE w:val="0"/>
        <w:autoSpaceDN w:val="0"/>
        <w:spacing w:line="480" w:lineRule="auto"/>
        <w:ind w:left="720" w:hanging="720"/>
        <w:jc w:val="both"/>
        <w:rPr>
          <w:szCs w:val="24"/>
          <w:lang w:val="id-ID"/>
        </w:rPr>
      </w:pPr>
      <w:r w:rsidRPr="00023975">
        <w:rPr>
          <w:szCs w:val="24"/>
          <w:lang w:val="id-ID"/>
        </w:rPr>
        <w:t xml:space="preserve">Marzuki, Peter Mahmud. </w:t>
      </w:r>
      <w:r w:rsidRPr="00023975">
        <w:rPr>
          <w:i/>
          <w:iCs/>
          <w:szCs w:val="24"/>
          <w:lang w:val="id-ID"/>
        </w:rPr>
        <w:t>Penelitian Hukum</w:t>
      </w:r>
      <w:r w:rsidRPr="00023975">
        <w:rPr>
          <w:szCs w:val="24"/>
          <w:lang w:val="id-ID"/>
        </w:rPr>
        <w:t>. Jakarta: Kencana, 2019.</w:t>
      </w:r>
    </w:p>
    <w:p w:rsidR="001E6522" w:rsidRPr="00023975" w:rsidRDefault="001E6522" w:rsidP="001E6522">
      <w:pPr>
        <w:autoSpaceDE w:val="0"/>
        <w:autoSpaceDN w:val="0"/>
        <w:spacing w:line="480" w:lineRule="auto"/>
        <w:ind w:left="720" w:hanging="720"/>
        <w:jc w:val="both"/>
        <w:rPr>
          <w:szCs w:val="24"/>
          <w:lang w:val="id-ID"/>
        </w:rPr>
      </w:pPr>
      <w:r w:rsidRPr="00023975">
        <w:rPr>
          <w:szCs w:val="24"/>
          <w:lang w:val="id-ID"/>
        </w:rPr>
        <w:t xml:space="preserve">Oppenheim, Lassa. </w:t>
      </w:r>
      <w:r w:rsidRPr="00023975">
        <w:rPr>
          <w:i/>
          <w:iCs/>
          <w:szCs w:val="24"/>
          <w:lang w:val="id-ID"/>
        </w:rPr>
        <w:t>International Law: A Treatise</w:t>
      </w:r>
      <w:r w:rsidRPr="00023975">
        <w:rPr>
          <w:szCs w:val="24"/>
          <w:lang w:val="id-ID"/>
        </w:rPr>
        <w:t>. London: Longmans, Green &amp; Co., 2020.</w:t>
      </w:r>
    </w:p>
    <w:p w:rsidR="001E6522" w:rsidRPr="00023975" w:rsidRDefault="001E6522" w:rsidP="001E6522">
      <w:pPr>
        <w:autoSpaceDE w:val="0"/>
        <w:autoSpaceDN w:val="0"/>
        <w:spacing w:line="480" w:lineRule="auto"/>
        <w:ind w:left="720" w:hanging="720"/>
        <w:jc w:val="both"/>
        <w:rPr>
          <w:szCs w:val="24"/>
          <w:lang w:val="id-ID"/>
        </w:rPr>
      </w:pPr>
      <w:r w:rsidRPr="00023975">
        <w:rPr>
          <w:szCs w:val="24"/>
          <w:lang w:val="id-ID"/>
        </w:rPr>
        <w:t xml:space="preserve">Rahmadi, Takdir. </w:t>
      </w:r>
      <w:r w:rsidRPr="00023975">
        <w:rPr>
          <w:i/>
          <w:iCs/>
          <w:szCs w:val="24"/>
          <w:lang w:val="id-ID"/>
        </w:rPr>
        <w:t>Perlindungan Hukum terhadap Merek di Indonesia</w:t>
      </w:r>
      <w:r w:rsidRPr="00023975">
        <w:rPr>
          <w:szCs w:val="24"/>
          <w:lang w:val="id-ID"/>
        </w:rPr>
        <w:t>. Jakarta: Sinar Grafika, 2017.</w:t>
      </w:r>
    </w:p>
    <w:p w:rsidR="001E6522" w:rsidRPr="00023975" w:rsidRDefault="001E6522" w:rsidP="001E6522">
      <w:pPr>
        <w:autoSpaceDE w:val="0"/>
        <w:autoSpaceDN w:val="0"/>
        <w:spacing w:line="480" w:lineRule="auto"/>
        <w:ind w:left="720" w:hanging="720"/>
        <w:jc w:val="both"/>
        <w:rPr>
          <w:szCs w:val="24"/>
          <w:lang w:val="id-ID"/>
        </w:rPr>
      </w:pPr>
      <w:r w:rsidRPr="00023975">
        <w:rPr>
          <w:szCs w:val="24"/>
          <w:lang w:val="id-ID"/>
        </w:rPr>
        <w:lastRenderedPageBreak/>
        <w:t xml:space="preserve">Ramli, H. </w:t>
      </w:r>
      <w:r w:rsidRPr="00023975">
        <w:rPr>
          <w:i/>
          <w:iCs/>
          <w:szCs w:val="24"/>
          <w:lang w:val="id-ID"/>
        </w:rPr>
        <w:t>Hukum Kekayaan Intelektual: Prinsip dan Implementasi</w:t>
      </w:r>
      <w:r w:rsidRPr="00023975">
        <w:rPr>
          <w:szCs w:val="24"/>
          <w:lang w:val="id-ID"/>
        </w:rPr>
        <w:t>. Bandung: Alumni, 2020.</w:t>
      </w:r>
    </w:p>
    <w:p w:rsidR="001E6522" w:rsidRPr="00023975" w:rsidRDefault="001E6522" w:rsidP="001E6522">
      <w:pPr>
        <w:autoSpaceDE w:val="0"/>
        <w:autoSpaceDN w:val="0"/>
        <w:spacing w:line="480" w:lineRule="auto"/>
        <w:ind w:left="720" w:hanging="720"/>
        <w:jc w:val="both"/>
        <w:rPr>
          <w:szCs w:val="24"/>
          <w:lang w:val="id-ID"/>
        </w:rPr>
      </w:pPr>
      <w:r w:rsidRPr="00023975">
        <w:rPr>
          <w:szCs w:val="24"/>
          <w:lang w:val="id-ID"/>
        </w:rPr>
        <w:t xml:space="preserve">Reichman, Jerome. </w:t>
      </w:r>
      <w:r w:rsidRPr="00023975">
        <w:rPr>
          <w:i/>
          <w:iCs/>
          <w:szCs w:val="24"/>
          <w:lang w:val="id-ID"/>
        </w:rPr>
        <w:t>Intellectual Property in the Global Economy</w:t>
      </w:r>
      <w:r w:rsidRPr="00023975">
        <w:rPr>
          <w:szCs w:val="24"/>
          <w:lang w:val="id-ID"/>
        </w:rPr>
        <w:t>. Cambridge: Harvard University Press, 2013.</w:t>
      </w:r>
    </w:p>
    <w:p w:rsidR="001E6522" w:rsidRPr="00023975" w:rsidRDefault="001E6522" w:rsidP="001E6522">
      <w:pPr>
        <w:autoSpaceDE w:val="0"/>
        <w:autoSpaceDN w:val="0"/>
        <w:spacing w:line="480" w:lineRule="auto"/>
        <w:ind w:left="720" w:hanging="720"/>
        <w:jc w:val="both"/>
        <w:rPr>
          <w:szCs w:val="24"/>
          <w:lang w:val="id-ID"/>
        </w:rPr>
      </w:pPr>
      <w:r w:rsidRPr="00023975">
        <w:rPr>
          <w:szCs w:val="24"/>
          <w:lang w:val="id-ID"/>
        </w:rPr>
        <w:t xml:space="preserve">Safa’at, Rachmat. </w:t>
      </w:r>
      <w:r w:rsidRPr="00023975">
        <w:rPr>
          <w:i/>
          <w:iCs/>
          <w:szCs w:val="24"/>
          <w:lang w:val="id-ID"/>
        </w:rPr>
        <w:t>Hukum Merek di Indonesia: Perspektif Perlindungan Konsumen dan Persaingan Usaha</w:t>
      </w:r>
      <w:r w:rsidRPr="00023975">
        <w:rPr>
          <w:szCs w:val="24"/>
          <w:lang w:val="id-ID"/>
        </w:rPr>
        <w:t>. Jakarta: Gramedia, 2020.</w:t>
      </w:r>
    </w:p>
    <w:p w:rsidR="001E6522" w:rsidRPr="00023975" w:rsidRDefault="001E6522" w:rsidP="001E6522">
      <w:pPr>
        <w:autoSpaceDE w:val="0"/>
        <w:autoSpaceDN w:val="0"/>
        <w:spacing w:line="480" w:lineRule="auto"/>
        <w:ind w:left="720" w:hanging="720"/>
        <w:jc w:val="both"/>
        <w:rPr>
          <w:szCs w:val="24"/>
          <w:lang w:val="id-ID"/>
        </w:rPr>
      </w:pPr>
      <w:r w:rsidRPr="00023975">
        <w:rPr>
          <w:szCs w:val="24"/>
          <w:lang w:val="id-ID"/>
        </w:rPr>
        <w:t xml:space="preserve">Samuelson, Pamela. </w:t>
      </w:r>
      <w:r w:rsidRPr="00023975">
        <w:rPr>
          <w:i/>
          <w:iCs/>
          <w:szCs w:val="24"/>
          <w:lang w:val="id-ID"/>
        </w:rPr>
        <w:t>Intellectual Property and Innovation</w:t>
      </w:r>
      <w:r w:rsidRPr="00023975">
        <w:rPr>
          <w:szCs w:val="24"/>
          <w:lang w:val="id-ID"/>
        </w:rPr>
        <w:t>. Oxford: Oxford University Press, 2018.</w:t>
      </w:r>
    </w:p>
    <w:p w:rsidR="001E6522" w:rsidRPr="00023975" w:rsidRDefault="001E6522" w:rsidP="001E6522">
      <w:pPr>
        <w:autoSpaceDE w:val="0"/>
        <w:autoSpaceDN w:val="0"/>
        <w:spacing w:line="480" w:lineRule="auto"/>
        <w:ind w:left="720" w:hanging="720"/>
        <w:jc w:val="both"/>
        <w:rPr>
          <w:szCs w:val="24"/>
          <w:lang w:val="id-ID"/>
        </w:rPr>
      </w:pPr>
      <w:r w:rsidRPr="00023975">
        <w:rPr>
          <w:szCs w:val="24"/>
          <w:lang w:val="id-ID"/>
        </w:rPr>
        <w:t xml:space="preserve">Sudikno, Mertokusumo. </w:t>
      </w:r>
      <w:r w:rsidRPr="00023975">
        <w:rPr>
          <w:i/>
          <w:iCs/>
          <w:szCs w:val="24"/>
          <w:lang w:val="id-ID"/>
        </w:rPr>
        <w:t>Penemuan Hukum: Sebuah Pengantar</w:t>
      </w:r>
      <w:r w:rsidRPr="00023975">
        <w:rPr>
          <w:szCs w:val="24"/>
          <w:lang w:val="id-ID"/>
        </w:rPr>
        <w:t>. Yogyakarta: Liberty, 2018.</w:t>
      </w:r>
    </w:p>
    <w:p w:rsidR="001E6522" w:rsidRPr="00023975" w:rsidRDefault="001E6522" w:rsidP="001E6522">
      <w:pPr>
        <w:autoSpaceDE w:val="0"/>
        <w:autoSpaceDN w:val="0"/>
        <w:spacing w:line="480" w:lineRule="auto"/>
        <w:ind w:left="720" w:hanging="720"/>
        <w:jc w:val="both"/>
        <w:rPr>
          <w:szCs w:val="24"/>
          <w:lang w:val="id-ID"/>
        </w:rPr>
      </w:pPr>
      <w:r w:rsidRPr="00023975">
        <w:rPr>
          <w:szCs w:val="24"/>
          <w:lang w:val="id-ID"/>
        </w:rPr>
        <w:t xml:space="preserve">Subekti, R. </w:t>
      </w:r>
      <w:r w:rsidRPr="00023975">
        <w:rPr>
          <w:i/>
          <w:iCs/>
          <w:szCs w:val="24"/>
          <w:lang w:val="id-ID"/>
        </w:rPr>
        <w:t>Pokok-Pokok Hukum Perdata</w:t>
      </w:r>
      <w:r w:rsidRPr="00023975">
        <w:rPr>
          <w:szCs w:val="24"/>
          <w:lang w:val="id-ID"/>
        </w:rPr>
        <w:t>. Jakarta: Balai Pustaka, 2019.</w:t>
      </w:r>
    </w:p>
    <w:p w:rsidR="001E6522" w:rsidRPr="00023975" w:rsidRDefault="001E6522" w:rsidP="001E6522">
      <w:pPr>
        <w:autoSpaceDE w:val="0"/>
        <w:autoSpaceDN w:val="0"/>
        <w:spacing w:line="480" w:lineRule="auto"/>
        <w:ind w:left="720" w:hanging="720"/>
        <w:jc w:val="both"/>
        <w:rPr>
          <w:szCs w:val="24"/>
          <w:lang w:val="id-ID"/>
        </w:rPr>
      </w:pPr>
      <w:r w:rsidRPr="00023975">
        <w:rPr>
          <w:szCs w:val="24"/>
          <w:lang w:val="id-ID"/>
        </w:rPr>
        <w:t xml:space="preserve">Sunaryati, Hartono. </w:t>
      </w:r>
      <w:r w:rsidRPr="00023975">
        <w:rPr>
          <w:i/>
          <w:iCs/>
          <w:szCs w:val="24"/>
          <w:lang w:val="id-ID"/>
        </w:rPr>
        <w:t>Politik Hukum Menuju Satu Sistem Hukum Nasional</w:t>
      </w:r>
      <w:r w:rsidRPr="00023975">
        <w:rPr>
          <w:szCs w:val="24"/>
          <w:lang w:val="id-ID"/>
        </w:rPr>
        <w:t>. Bandung: Alumni, 2019.</w:t>
      </w:r>
    </w:p>
    <w:p w:rsidR="001E6522" w:rsidRPr="00023975" w:rsidRDefault="001E6522" w:rsidP="001E6522">
      <w:pPr>
        <w:autoSpaceDE w:val="0"/>
        <w:autoSpaceDN w:val="0"/>
        <w:spacing w:line="480" w:lineRule="auto"/>
        <w:ind w:left="720" w:hanging="720"/>
        <w:jc w:val="both"/>
        <w:rPr>
          <w:szCs w:val="24"/>
          <w:lang w:val="id-ID"/>
        </w:rPr>
      </w:pPr>
      <w:r w:rsidRPr="00023975">
        <w:rPr>
          <w:szCs w:val="24"/>
          <w:lang w:val="id-ID"/>
        </w:rPr>
        <w:t xml:space="preserve">Susanti, Budi. </w:t>
      </w:r>
      <w:r w:rsidRPr="00023975">
        <w:rPr>
          <w:i/>
          <w:iCs/>
          <w:szCs w:val="24"/>
          <w:lang w:val="id-ID"/>
        </w:rPr>
        <w:t>Sengketa Hak Kekayaan Intelektual: Studi Kasus dan Analisis Hukum</w:t>
      </w:r>
      <w:r w:rsidRPr="00023975">
        <w:rPr>
          <w:szCs w:val="24"/>
          <w:lang w:val="id-ID"/>
        </w:rPr>
        <w:t>. Jakarta: Sinar Grafika, 2021.</w:t>
      </w:r>
    </w:p>
    <w:p w:rsidR="001E6522" w:rsidRPr="00023975" w:rsidRDefault="001E6522" w:rsidP="001E6522">
      <w:pPr>
        <w:autoSpaceDE w:val="0"/>
        <w:autoSpaceDN w:val="0"/>
        <w:spacing w:line="480" w:lineRule="auto"/>
        <w:ind w:left="720" w:hanging="720"/>
        <w:jc w:val="both"/>
        <w:rPr>
          <w:szCs w:val="24"/>
          <w:lang w:val="id-ID"/>
        </w:rPr>
      </w:pPr>
      <w:r w:rsidRPr="00023975">
        <w:rPr>
          <w:szCs w:val="24"/>
          <w:lang w:val="id-ID"/>
        </w:rPr>
        <w:t xml:space="preserve">WIPO. </w:t>
      </w:r>
      <w:r w:rsidRPr="00023975">
        <w:rPr>
          <w:i/>
          <w:iCs/>
          <w:szCs w:val="24"/>
          <w:lang w:val="id-ID"/>
        </w:rPr>
        <w:t>WIPO Intellectual Property Handbook: Policy, Law, and Use</w:t>
      </w:r>
      <w:r w:rsidRPr="00023975">
        <w:rPr>
          <w:szCs w:val="24"/>
          <w:lang w:val="id-ID"/>
        </w:rPr>
        <w:t>. Geneva: World Intellectual Property Organization, 2017.</w:t>
      </w:r>
    </w:p>
    <w:p w:rsidR="001E6522" w:rsidRPr="00023975" w:rsidRDefault="001E6522" w:rsidP="001E6522">
      <w:pPr>
        <w:autoSpaceDE w:val="0"/>
        <w:autoSpaceDN w:val="0"/>
        <w:spacing w:line="480" w:lineRule="auto"/>
        <w:jc w:val="both"/>
        <w:rPr>
          <w:b/>
          <w:bCs/>
          <w:szCs w:val="24"/>
          <w:lang w:val="id-ID"/>
        </w:rPr>
      </w:pPr>
      <w:r w:rsidRPr="00023975">
        <w:rPr>
          <w:b/>
          <w:bCs/>
          <w:szCs w:val="24"/>
          <w:lang w:val="id-ID"/>
        </w:rPr>
        <w:t>Artikel Jurnal</w:t>
      </w:r>
    </w:p>
    <w:p w:rsidR="001E6522" w:rsidRPr="00023975" w:rsidRDefault="001E6522" w:rsidP="001E6522">
      <w:pPr>
        <w:autoSpaceDE w:val="0"/>
        <w:autoSpaceDN w:val="0"/>
        <w:spacing w:line="480" w:lineRule="auto"/>
        <w:ind w:left="720" w:hanging="630"/>
        <w:jc w:val="both"/>
        <w:rPr>
          <w:szCs w:val="24"/>
          <w:lang w:val="id-ID"/>
        </w:rPr>
      </w:pPr>
      <w:r w:rsidRPr="00023975">
        <w:rPr>
          <w:szCs w:val="24"/>
          <w:lang w:val="id-ID"/>
        </w:rPr>
        <w:t xml:space="preserve">Adebambo, Adewopo. "The Global Intellectual Property System and Sub-Saharan Africa: A Prognostic Analysis." </w:t>
      </w:r>
      <w:r w:rsidRPr="00023975">
        <w:rPr>
          <w:i/>
          <w:iCs/>
          <w:szCs w:val="24"/>
          <w:lang w:val="id-ID"/>
        </w:rPr>
        <w:t>Journal of World Intellectual Property</w:t>
      </w:r>
      <w:r w:rsidRPr="00023975">
        <w:rPr>
          <w:szCs w:val="24"/>
          <w:lang w:val="id-ID"/>
        </w:rPr>
        <w:t xml:space="preserve"> 11, no. 3 (2015): 176–196.</w:t>
      </w:r>
    </w:p>
    <w:p w:rsidR="001E6522" w:rsidRPr="00023975" w:rsidRDefault="001E6522" w:rsidP="001E6522">
      <w:pPr>
        <w:autoSpaceDE w:val="0"/>
        <w:autoSpaceDN w:val="0"/>
        <w:spacing w:line="480" w:lineRule="auto"/>
        <w:ind w:left="720" w:hanging="630"/>
        <w:jc w:val="both"/>
        <w:rPr>
          <w:szCs w:val="24"/>
          <w:lang w:val="id-ID"/>
        </w:rPr>
      </w:pPr>
      <w:r w:rsidRPr="00023975">
        <w:rPr>
          <w:szCs w:val="24"/>
          <w:lang w:val="id-ID"/>
        </w:rPr>
        <w:t xml:space="preserve">Arifin, Ridwan. "Analisis Implementasi Hukum Merek di Indonesia." </w:t>
      </w:r>
      <w:r w:rsidRPr="00023975">
        <w:rPr>
          <w:i/>
          <w:iCs/>
          <w:szCs w:val="24"/>
          <w:lang w:val="id-ID"/>
        </w:rPr>
        <w:t>Jurnal Hukum dan Pembangunan</w:t>
      </w:r>
      <w:r w:rsidRPr="00023975">
        <w:rPr>
          <w:szCs w:val="24"/>
          <w:lang w:val="id-ID"/>
        </w:rPr>
        <w:t xml:space="preserve"> 45, no. 2 (2019): 178–198.</w:t>
      </w:r>
    </w:p>
    <w:p w:rsidR="001E6522" w:rsidRPr="00023975" w:rsidRDefault="001E6522" w:rsidP="001E6522">
      <w:pPr>
        <w:autoSpaceDE w:val="0"/>
        <w:autoSpaceDN w:val="0"/>
        <w:spacing w:line="480" w:lineRule="auto"/>
        <w:ind w:left="720" w:hanging="630"/>
        <w:jc w:val="both"/>
        <w:rPr>
          <w:szCs w:val="24"/>
          <w:lang w:val="id-ID"/>
        </w:rPr>
      </w:pPr>
      <w:r w:rsidRPr="00023975">
        <w:rPr>
          <w:szCs w:val="24"/>
          <w:lang w:val="id-ID"/>
        </w:rPr>
        <w:lastRenderedPageBreak/>
        <w:t xml:space="preserve">Ayu, Rahmawati. "Merek Dagang dalam Hukum Internasional." </w:t>
      </w:r>
      <w:r w:rsidRPr="00023975">
        <w:rPr>
          <w:i/>
          <w:iCs/>
          <w:szCs w:val="24"/>
          <w:lang w:val="id-ID"/>
        </w:rPr>
        <w:t>Jurnal Hukum Internasional</w:t>
      </w:r>
      <w:r w:rsidRPr="00023975">
        <w:rPr>
          <w:szCs w:val="24"/>
          <w:lang w:val="id-ID"/>
        </w:rPr>
        <w:t xml:space="preserve"> 12, no. 1 (2018): 102–119.</w:t>
      </w:r>
    </w:p>
    <w:p w:rsidR="001E6522" w:rsidRPr="00023975" w:rsidRDefault="001E6522" w:rsidP="001E6522">
      <w:pPr>
        <w:autoSpaceDE w:val="0"/>
        <w:autoSpaceDN w:val="0"/>
        <w:spacing w:line="480" w:lineRule="auto"/>
        <w:ind w:left="720" w:hanging="630"/>
        <w:jc w:val="both"/>
        <w:rPr>
          <w:szCs w:val="24"/>
          <w:lang w:val="id-ID"/>
        </w:rPr>
      </w:pPr>
      <w:r w:rsidRPr="00023975">
        <w:rPr>
          <w:szCs w:val="24"/>
          <w:lang w:val="id-ID"/>
        </w:rPr>
        <w:t xml:space="preserve">Basri, Muhammad. "Perspektif Hukum terhadap Pelanggaran Merek Dagang di Indonesia." </w:t>
      </w:r>
      <w:r w:rsidRPr="00023975">
        <w:rPr>
          <w:i/>
          <w:iCs/>
          <w:szCs w:val="24"/>
          <w:lang w:val="id-ID"/>
        </w:rPr>
        <w:t>Jurnal Yuridika</w:t>
      </w:r>
      <w:r w:rsidRPr="00023975">
        <w:rPr>
          <w:szCs w:val="24"/>
          <w:lang w:val="id-ID"/>
        </w:rPr>
        <w:t xml:space="preserve"> 34, no. 1 (2020): 45–67.</w:t>
      </w:r>
    </w:p>
    <w:p w:rsidR="001E6522" w:rsidRPr="00023975" w:rsidRDefault="001E6522" w:rsidP="001E6522">
      <w:pPr>
        <w:autoSpaceDE w:val="0"/>
        <w:autoSpaceDN w:val="0"/>
        <w:spacing w:line="480" w:lineRule="auto"/>
        <w:ind w:left="720" w:hanging="630"/>
        <w:jc w:val="both"/>
        <w:rPr>
          <w:szCs w:val="24"/>
          <w:lang w:val="id-ID"/>
        </w:rPr>
      </w:pPr>
      <w:r w:rsidRPr="00023975">
        <w:rPr>
          <w:szCs w:val="24"/>
          <w:lang w:val="id-ID"/>
        </w:rPr>
        <w:t xml:space="preserve">Chen, Richard. "Trademark Law and Consumer Behavior." </w:t>
      </w:r>
      <w:r w:rsidRPr="00023975">
        <w:rPr>
          <w:i/>
          <w:iCs/>
          <w:szCs w:val="24"/>
          <w:lang w:val="id-ID"/>
        </w:rPr>
        <w:t>Harvard Law Review</w:t>
      </w:r>
      <w:r w:rsidRPr="00023975">
        <w:rPr>
          <w:szCs w:val="24"/>
          <w:lang w:val="id-ID"/>
        </w:rPr>
        <w:t xml:space="preserve"> 131, no. 4 (2018): 878–915.</w:t>
      </w:r>
    </w:p>
    <w:p w:rsidR="001E6522" w:rsidRPr="00023975" w:rsidRDefault="001E6522" w:rsidP="001E6522">
      <w:pPr>
        <w:autoSpaceDE w:val="0"/>
        <w:autoSpaceDN w:val="0"/>
        <w:spacing w:line="480" w:lineRule="auto"/>
        <w:ind w:left="720" w:hanging="630"/>
        <w:jc w:val="both"/>
        <w:rPr>
          <w:szCs w:val="24"/>
          <w:lang w:val="id-ID"/>
        </w:rPr>
      </w:pPr>
      <w:r w:rsidRPr="00023975">
        <w:rPr>
          <w:szCs w:val="24"/>
          <w:lang w:val="id-ID"/>
        </w:rPr>
        <w:t xml:space="preserve">Djafar, Hasan. "Harmonisasi Hukum Merek dalam Perdagangan Global." </w:t>
      </w:r>
      <w:r w:rsidRPr="00023975">
        <w:rPr>
          <w:i/>
          <w:iCs/>
          <w:szCs w:val="24"/>
          <w:lang w:val="id-ID"/>
        </w:rPr>
        <w:t>Jurnal Hukum Ekonomi</w:t>
      </w:r>
      <w:r w:rsidRPr="00023975">
        <w:rPr>
          <w:szCs w:val="24"/>
          <w:lang w:val="id-ID"/>
        </w:rPr>
        <w:t xml:space="preserve"> 15, no. 2 (2020): 130–150.</w:t>
      </w:r>
    </w:p>
    <w:p w:rsidR="001E6522" w:rsidRPr="00023975" w:rsidRDefault="001E6522" w:rsidP="001E6522">
      <w:pPr>
        <w:autoSpaceDE w:val="0"/>
        <w:autoSpaceDN w:val="0"/>
        <w:spacing w:line="480" w:lineRule="auto"/>
        <w:ind w:left="720" w:hanging="630"/>
        <w:jc w:val="both"/>
        <w:rPr>
          <w:szCs w:val="24"/>
          <w:lang w:val="id-ID"/>
        </w:rPr>
      </w:pPr>
      <w:r w:rsidRPr="00023975">
        <w:rPr>
          <w:szCs w:val="24"/>
          <w:lang w:val="id-ID"/>
        </w:rPr>
        <w:t xml:space="preserve">Fauzan, Rinaldi. "Analisis Perbandingan Sistem Perlindungan Merek di Indonesia dan Uni Eropa." </w:t>
      </w:r>
      <w:r w:rsidRPr="00023975">
        <w:rPr>
          <w:i/>
          <w:iCs/>
          <w:szCs w:val="24"/>
          <w:lang w:val="id-ID"/>
        </w:rPr>
        <w:t>Jurnal Ilmu Hukum</w:t>
      </w:r>
      <w:r w:rsidRPr="00023975">
        <w:rPr>
          <w:szCs w:val="24"/>
          <w:lang w:val="id-ID"/>
        </w:rPr>
        <w:t xml:space="preserve"> 21, no. 3 (2019): 289–310.</w:t>
      </w:r>
    </w:p>
    <w:p w:rsidR="001E6522" w:rsidRPr="00023975" w:rsidRDefault="001E6522" w:rsidP="001E6522">
      <w:pPr>
        <w:autoSpaceDE w:val="0"/>
        <w:autoSpaceDN w:val="0"/>
        <w:spacing w:line="480" w:lineRule="auto"/>
        <w:ind w:left="720" w:hanging="630"/>
        <w:jc w:val="both"/>
        <w:rPr>
          <w:szCs w:val="24"/>
          <w:lang w:val="id-ID"/>
        </w:rPr>
      </w:pPr>
      <w:r w:rsidRPr="00023975">
        <w:rPr>
          <w:szCs w:val="24"/>
          <w:lang w:val="id-ID"/>
        </w:rPr>
        <w:t xml:space="preserve">Ginting, Rudi. "Peran Hakim dalam Penyelesaian Sengketa Merek." </w:t>
      </w:r>
      <w:r w:rsidRPr="00023975">
        <w:rPr>
          <w:i/>
          <w:iCs/>
          <w:szCs w:val="24"/>
          <w:lang w:val="id-ID"/>
        </w:rPr>
        <w:t>Jurnal Litigasi</w:t>
      </w:r>
      <w:r w:rsidRPr="00023975">
        <w:rPr>
          <w:szCs w:val="24"/>
          <w:lang w:val="id-ID"/>
        </w:rPr>
        <w:t xml:space="preserve"> 10, no. 2 (2021): 55–77.</w:t>
      </w:r>
    </w:p>
    <w:p w:rsidR="001E6522" w:rsidRPr="00023975" w:rsidRDefault="001E6522" w:rsidP="001E6522">
      <w:pPr>
        <w:autoSpaceDE w:val="0"/>
        <w:autoSpaceDN w:val="0"/>
        <w:spacing w:line="480" w:lineRule="auto"/>
        <w:ind w:left="720" w:hanging="630"/>
        <w:jc w:val="both"/>
        <w:rPr>
          <w:szCs w:val="24"/>
          <w:lang w:val="id-ID"/>
        </w:rPr>
      </w:pPr>
      <w:r w:rsidRPr="00023975">
        <w:rPr>
          <w:szCs w:val="24"/>
          <w:lang w:val="id-ID"/>
        </w:rPr>
        <w:t xml:space="preserve">Heryanto, Agus. "Implikasi Hukum atas Pendaftaran Merek Dagang." </w:t>
      </w:r>
      <w:r w:rsidRPr="00023975">
        <w:rPr>
          <w:i/>
          <w:iCs/>
          <w:szCs w:val="24"/>
          <w:lang w:val="id-ID"/>
        </w:rPr>
        <w:t>Jurnal Legalitas</w:t>
      </w:r>
      <w:r w:rsidRPr="00023975">
        <w:rPr>
          <w:szCs w:val="24"/>
          <w:lang w:val="id-ID"/>
        </w:rPr>
        <w:t xml:space="preserve"> 7, no. 1 (2018): 78–95.</w:t>
      </w:r>
    </w:p>
    <w:p w:rsidR="001E6522" w:rsidRPr="00023975" w:rsidRDefault="001E6522" w:rsidP="001E6522">
      <w:pPr>
        <w:autoSpaceDE w:val="0"/>
        <w:autoSpaceDN w:val="0"/>
        <w:spacing w:line="480" w:lineRule="auto"/>
        <w:ind w:left="720" w:hanging="630"/>
        <w:jc w:val="both"/>
        <w:rPr>
          <w:szCs w:val="24"/>
          <w:lang w:val="id-ID"/>
        </w:rPr>
      </w:pPr>
      <w:r w:rsidRPr="00023975">
        <w:rPr>
          <w:szCs w:val="24"/>
          <w:lang w:val="id-ID"/>
        </w:rPr>
        <w:t xml:space="preserve">Johnson, Sarah. "The Madrid Protocol and Trademark Law Harmonization." </w:t>
      </w:r>
      <w:r w:rsidRPr="00023975">
        <w:rPr>
          <w:i/>
          <w:iCs/>
          <w:szCs w:val="24"/>
          <w:lang w:val="id-ID"/>
        </w:rPr>
        <w:t>European Intellectual Property Review</w:t>
      </w:r>
      <w:r w:rsidRPr="00023975">
        <w:rPr>
          <w:szCs w:val="24"/>
          <w:lang w:val="id-ID"/>
        </w:rPr>
        <w:t xml:space="preserve"> 25, no. 1 (2017): 12–30.</w:t>
      </w:r>
    </w:p>
    <w:p w:rsidR="001E6522" w:rsidRPr="00023975" w:rsidRDefault="001E6522" w:rsidP="001E6522">
      <w:pPr>
        <w:autoSpaceDE w:val="0"/>
        <w:autoSpaceDN w:val="0"/>
        <w:spacing w:line="480" w:lineRule="auto"/>
        <w:jc w:val="both"/>
        <w:rPr>
          <w:b/>
          <w:bCs/>
          <w:szCs w:val="24"/>
          <w:lang w:val="id-ID"/>
        </w:rPr>
      </w:pPr>
      <w:r w:rsidRPr="00023975">
        <w:rPr>
          <w:b/>
          <w:bCs/>
          <w:szCs w:val="24"/>
          <w:lang w:val="id-ID"/>
        </w:rPr>
        <w:t>Website</w:t>
      </w:r>
    </w:p>
    <w:p w:rsidR="001E6522" w:rsidRPr="00023975" w:rsidRDefault="001E6522" w:rsidP="001E6522">
      <w:pPr>
        <w:autoSpaceDE w:val="0"/>
        <w:autoSpaceDN w:val="0"/>
        <w:spacing w:line="480" w:lineRule="auto"/>
        <w:ind w:left="720" w:hanging="630"/>
        <w:jc w:val="both"/>
        <w:rPr>
          <w:szCs w:val="24"/>
          <w:lang w:val="id-ID"/>
        </w:rPr>
      </w:pPr>
      <w:r w:rsidRPr="00023975">
        <w:rPr>
          <w:szCs w:val="24"/>
          <w:lang w:val="id-ID"/>
        </w:rPr>
        <w:t xml:space="preserve">World Intellectual Property Organization. "Madrid System for the International Registration of Marks." WIPO. Diakses 5 Februari 2025. </w:t>
      </w:r>
      <w:hyperlink r:id="rId4" w:history="1">
        <w:r w:rsidRPr="00023975">
          <w:rPr>
            <w:rStyle w:val="Hyperlink"/>
            <w:szCs w:val="24"/>
            <w:lang w:val="id-ID"/>
          </w:rPr>
          <w:t>https://www.wipo.int/madrid/en/</w:t>
        </w:r>
      </w:hyperlink>
    </w:p>
    <w:p w:rsidR="001E6522" w:rsidRPr="00023975" w:rsidRDefault="001E6522" w:rsidP="001E6522">
      <w:pPr>
        <w:autoSpaceDE w:val="0"/>
        <w:autoSpaceDN w:val="0"/>
        <w:spacing w:line="480" w:lineRule="auto"/>
        <w:ind w:left="720" w:hanging="630"/>
        <w:jc w:val="both"/>
        <w:rPr>
          <w:szCs w:val="24"/>
          <w:lang w:val="id-ID"/>
        </w:rPr>
      </w:pPr>
      <w:r w:rsidRPr="00023975">
        <w:rPr>
          <w:szCs w:val="24"/>
          <w:lang w:val="id-ID"/>
        </w:rPr>
        <w:t xml:space="preserve">Direktorat Jenderal Kekayaan Intelektual (DJKI). "Sistem Pendaftaran Merek di Indonesia." Kementerian Hukum dan HAM RI. Diakses 5 Februari 2025. </w:t>
      </w:r>
      <w:hyperlink r:id="rId5" w:history="1">
        <w:r w:rsidRPr="00023975">
          <w:rPr>
            <w:rStyle w:val="Hyperlink"/>
            <w:szCs w:val="24"/>
            <w:lang w:val="id-ID"/>
          </w:rPr>
          <w:t>https://www.dgip.go.id/</w:t>
        </w:r>
      </w:hyperlink>
    </w:p>
    <w:p w:rsidR="001E6522" w:rsidRPr="00023975" w:rsidRDefault="001E6522" w:rsidP="001E6522">
      <w:pPr>
        <w:autoSpaceDE w:val="0"/>
        <w:autoSpaceDN w:val="0"/>
        <w:spacing w:line="480" w:lineRule="auto"/>
        <w:jc w:val="both"/>
        <w:rPr>
          <w:b/>
          <w:bCs/>
          <w:szCs w:val="24"/>
          <w:lang w:val="id-ID"/>
        </w:rPr>
      </w:pPr>
      <w:r w:rsidRPr="00023975">
        <w:rPr>
          <w:b/>
          <w:bCs/>
          <w:szCs w:val="24"/>
          <w:lang w:val="id-ID"/>
        </w:rPr>
        <w:lastRenderedPageBreak/>
        <w:t>Peraturan Perundang-Undangan</w:t>
      </w:r>
    </w:p>
    <w:p w:rsidR="001E6522" w:rsidRPr="00023975" w:rsidRDefault="001E6522" w:rsidP="001E6522">
      <w:pPr>
        <w:autoSpaceDE w:val="0"/>
        <w:autoSpaceDN w:val="0"/>
        <w:spacing w:line="480" w:lineRule="auto"/>
        <w:ind w:left="720" w:hanging="630"/>
        <w:jc w:val="both"/>
        <w:rPr>
          <w:szCs w:val="24"/>
          <w:lang w:val="id-ID"/>
        </w:rPr>
      </w:pPr>
      <w:r w:rsidRPr="00023975">
        <w:rPr>
          <w:szCs w:val="24"/>
          <w:lang w:val="id-ID"/>
        </w:rPr>
        <w:t>Undang-Undang Nomor 20 Tahun 2016 tentang Merek dan Indikasi Geografis.</w:t>
      </w:r>
    </w:p>
    <w:p w:rsidR="001E6522" w:rsidRPr="00023975" w:rsidRDefault="001E6522" w:rsidP="001E6522">
      <w:pPr>
        <w:autoSpaceDE w:val="0"/>
        <w:autoSpaceDN w:val="0"/>
        <w:spacing w:line="480" w:lineRule="auto"/>
        <w:ind w:left="720" w:hanging="630"/>
        <w:jc w:val="both"/>
        <w:rPr>
          <w:szCs w:val="24"/>
          <w:lang w:val="id-ID"/>
        </w:rPr>
      </w:pPr>
      <w:r w:rsidRPr="00023975">
        <w:rPr>
          <w:szCs w:val="24"/>
          <w:lang w:val="id-ID"/>
        </w:rPr>
        <w:t>Peraturan Pemerintah Nomor 22 Tahun 2018 tentang Pendaftaran Merek Internasional.</w:t>
      </w:r>
    </w:p>
    <w:p w:rsidR="001E6522" w:rsidRPr="00023975" w:rsidRDefault="001E6522" w:rsidP="001E6522">
      <w:pPr>
        <w:autoSpaceDE w:val="0"/>
        <w:autoSpaceDN w:val="0"/>
        <w:spacing w:line="480" w:lineRule="auto"/>
        <w:ind w:left="720" w:hanging="630"/>
        <w:jc w:val="both"/>
        <w:rPr>
          <w:szCs w:val="24"/>
          <w:lang w:val="id-ID"/>
        </w:rPr>
      </w:pPr>
      <w:r w:rsidRPr="00023975">
        <w:rPr>
          <w:szCs w:val="24"/>
          <w:lang w:val="id-ID"/>
        </w:rPr>
        <w:t>Agreement on Trade-Related Aspects of Intellectual Property Rights (TRIPS), 1994.</w:t>
      </w:r>
    </w:p>
    <w:p w:rsidR="001E6522" w:rsidRPr="00023975" w:rsidRDefault="001E6522" w:rsidP="001E6522">
      <w:pPr>
        <w:autoSpaceDE w:val="0"/>
        <w:autoSpaceDN w:val="0"/>
        <w:spacing w:line="480" w:lineRule="auto"/>
        <w:ind w:left="720" w:hanging="630"/>
        <w:jc w:val="both"/>
        <w:rPr>
          <w:szCs w:val="24"/>
          <w:lang w:val="id-ID"/>
        </w:rPr>
      </w:pPr>
      <w:r w:rsidRPr="00023975">
        <w:rPr>
          <w:szCs w:val="24"/>
          <w:lang w:val="id-ID"/>
        </w:rPr>
        <w:t>Madrid Protocol Concerning the International Registration of Marks, 1989.</w:t>
      </w:r>
    </w:p>
    <w:p w:rsidR="001E6522" w:rsidRDefault="001E6522" w:rsidP="001E6522">
      <w:pPr>
        <w:autoSpaceDE w:val="0"/>
        <w:autoSpaceDN w:val="0"/>
        <w:spacing w:line="480" w:lineRule="auto"/>
        <w:ind w:left="720" w:hanging="630"/>
        <w:jc w:val="both"/>
        <w:rPr>
          <w:szCs w:val="24"/>
          <w:lang w:val="id-ID"/>
        </w:rPr>
      </w:pPr>
      <w:r w:rsidRPr="00023975">
        <w:rPr>
          <w:szCs w:val="24"/>
          <w:lang w:val="id-ID"/>
        </w:rPr>
        <w:t>Peraturan Menteri Hukum dan HAM RI Nomor 67 Tahun 2016 tentang Pendaftaran Merek.</w:t>
      </w:r>
    </w:p>
    <w:p w:rsidR="001E6522" w:rsidRPr="00661804" w:rsidRDefault="001E6522" w:rsidP="001E6522">
      <w:pPr>
        <w:autoSpaceDE w:val="0"/>
        <w:autoSpaceDN w:val="0"/>
        <w:spacing w:line="480" w:lineRule="auto"/>
        <w:ind w:left="720" w:hanging="630"/>
        <w:jc w:val="both"/>
        <w:rPr>
          <w:szCs w:val="24"/>
        </w:rPr>
      </w:pPr>
      <w:r w:rsidRPr="00023975">
        <w:rPr>
          <w:szCs w:val="24"/>
          <w:lang w:val="id-ID"/>
        </w:rPr>
        <w:br/>
      </w:r>
    </w:p>
    <w:p w:rsidR="001E6522" w:rsidRPr="009B3FB7" w:rsidRDefault="001E6522" w:rsidP="001E6522">
      <w:pPr>
        <w:rPr>
          <w:rStyle w:val="markedcontent"/>
          <w:szCs w:val="24"/>
        </w:rPr>
      </w:pPr>
    </w:p>
    <w:p w:rsidR="001E6522" w:rsidRPr="009B3FB7" w:rsidRDefault="001E6522" w:rsidP="001E6522">
      <w:pPr>
        <w:pStyle w:val="FootnoteText"/>
        <w:tabs>
          <w:tab w:val="left" w:pos="990"/>
        </w:tabs>
        <w:ind w:left="720" w:hanging="720"/>
        <w:jc w:val="both"/>
        <w:rPr>
          <w:sz w:val="24"/>
          <w:szCs w:val="24"/>
        </w:rPr>
      </w:pPr>
    </w:p>
    <w:p w:rsidR="00A71049" w:rsidRDefault="00A71049">
      <w:bookmarkStart w:id="0" w:name="_GoBack"/>
      <w:bookmarkEnd w:id="0"/>
    </w:p>
    <w:sectPr w:rsidR="00A71049" w:rsidSect="00B6035B">
      <w:pgSz w:w="11909" w:h="16834" w:code="9"/>
      <w:pgMar w:top="2275" w:right="1699" w:bottom="1699" w:left="2275" w:header="1440" w:footer="113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22"/>
    <w:rsid w:val="001E6522"/>
    <w:rsid w:val="00A7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47471-313D-47A1-BBBF-F134B104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52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Char Char Char,Char Char2,Footnote Text Char Char,Footnote Text Char1 Char Char,Footnote Text Char Char Char Char,Footnote Text Char1 Char Char Char Char,Footnote Text Char Char Char Char Char Char"/>
    <w:basedOn w:val="Normal"/>
    <w:link w:val="FootnoteTextChar"/>
    <w:uiPriority w:val="99"/>
    <w:semiHidden/>
    <w:rsid w:val="001E6522"/>
    <w:rPr>
      <w:sz w:val="20"/>
    </w:rPr>
  </w:style>
  <w:style w:type="character" w:customStyle="1" w:styleId="FootnoteTextChar">
    <w:name w:val="Footnote Text Char"/>
    <w:aliases w:val="Char Char Char2,Char Char Char Char Char1,Char Char Char Char2,Char Char2 Char,Footnote Text Char Char Char,Footnote Text Char1 Char Char Char,Footnote Text Char Char Char Char Char,Footnote Text Char1 Char Char Char Char Char"/>
    <w:basedOn w:val="DefaultParagraphFont"/>
    <w:link w:val="FootnoteText"/>
    <w:uiPriority w:val="99"/>
    <w:semiHidden/>
    <w:rsid w:val="001E6522"/>
    <w:rPr>
      <w:rFonts w:ascii="Times New Roman" w:eastAsia="Times New Roman" w:hAnsi="Times New Roman" w:cs="Times New Roman"/>
      <w:sz w:val="20"/>
      <w:szCs w:val="20"/>
    </w:rPr>
  </w:style>
  <w:style w:type="character" w:styleId="Hyperlink">
    <w:name w:val="Hyperlink"/>
    <w:basedOn w:val="DefaultParagraphFont"/>
    <w:uiPriority w:val="99"/>
    <w:rsid w:val="001E6522"/>
    <w:rPr>
      <w:color w:val="0000FF"/>
      <w:u w:val="single"/>
    </w:rPr>
  </w:style>
  <w:style w:type="character" w:customStyle="1" w:styleId="markedcontent">
    <w:name w:val="markedcontent"/>
    <w:basedOn w:val="DefaultParagraphFont"/>
    <w:rsid w:val="001E6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gip.go.id/" TargetMode="External"/><Relationship Id="rId4" Type="http://schemas.openxmlformats.org/officeDocument/2006/relationships/hyperlink" Target="https://www.wipo.int/madri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607</Words>
  <Characters>3462</Characters>
  <Application>Microsoft Office Word</Application>
  <DocSecurity>0</DocSecurity>
  <Lines>28</Lines>
  <Paragraphs>8</Paragraphs>
  <ScaleCrop>false</ScaleCrop>
  <Company>by adguard</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dc:creator>
  <cp:keywords/>
  <dc:description/>
  <cp:lastModifiedBy>ups</cp:lastModifiedBy>
  <cp:revision>1</cp:revision>
  <dcterms:created xsi:type="dcterms:W3CDTF">2025-02-26T03:57:00Z</dcterms:created>
  <dcterms:modified xsi:type="dcterms:W3CDTF">2025-02-26T03:57:00Z</dcterms:modified>
</cp:coreProperties>
</file>