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40E" w:rsidRPr="009B3FB7" w:rsidRDefault="0046040E" w:rsidP="0046040E">
      <w:pPr>
        <w:spacing w:line="360" w:lineRule="auto"/>
        <w:jc w:val="center"/>
        <w:rPr>
          <w:b/>
          <w:szCs w:val="24"/>
          <w:lang w:val="id-ID"/>
        </w:rPr>
      </w:pPr>
      <w:r w:rsidRPr="009B3FB7">
        <w:rPr>
          <w:b/>
          <w:szCs w:val="24"/>
          <w:lang w:val="id-ID"/>
        </w:rPr>
        <w:t>DAFTAR PUSTAKA</w:t>
      </w:r>
    </w:p>
    <w:p w:rsidR="0046040E" w:rsidRPr="009B3FB7" w:rsidRDefault="0046040E" w:rsidP="0046040E">
      <w:pPr>
        <w:spacing w:line="480" w:lineRule="auto"/>
        <w:jc w:val="center"/>
        <w:rPr>
          <w:b/>
          <w:szCs w:val="24"/>
          <w:lang w:val="id-ID"/>
        </w:rPr>
      </w:pPr>
    </w:p>
    <w:p w:rsidR="0046040E" w:rsidRPr="007A32DB" w:rsidRDefault="0046040E" w:rsidP="0046040E">
      <w:pPr>
        <w:autoSpaceDE w:val="0"/>
        <w:autoSpaceDN w:val="0"/>
        <w:spacing w:line="480" w:lineRule="auto"/>
        <w:jc w:val="both"/>
        <w:rPr>
          <w:b/>
          <w:bCs/>
          <w:szCs w:val="24"/>
          <w:lang w:val="id-ID"/>
        </w:rPr>
      </w:pPr>
      <w:r w:rsidRPr="007A32DB">
        <w:rPr>
          <w:b/>
          <w:bCs/>
          <w:szCs w:val="24"/>
          <w:lang w:val="id-ID"/>
        </w:rPr>
        <w:t>Buku</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Abdulkadir Muhammad. (2010). </w:t>
      </w:r>
      <w:r w:rsidRPr="007A32DB">
        <w:rPr>
          <w:i/>
          <w:iCs/>
          <w:szCs w:val="24"/>
          <w:lang w:val="id-ID"/>
        </w:rPr>
        <w:t>Hukum Perdata Indonesia</w:t>
      </w:r>
      <w:r w:rsidRPr="007A32DB">
        <w:rPr>
          <w:szCs w:val="24"/>
          <w:lang w:val="id-ID"/>
        </w:rPr>
        <w:t>. Bandung: Citra Aditya Bakti.</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Adami Chazawi. (2005). </w:t>
      </w:r>
      <w:r w:rsidRPr="007A32DB">
        <w:rPr>
          <w:i/>
          <w:iCs/>
          <w:szCs w:val="24"/>
          <w:lang w:val="id-ID"/>
        </w:rPr>
        <w:t>Pelajaran Hukum Pidana Bagian II: Kejahatan terhadap Harta Kekayaan</w:t>
      </w:r>
      <w:r w:rsidRPr="007A32DB">
        <w:rPr>
          <w:szCs w:val="24"/>
          <w:lang w:val="id-ID"/>
        </w:rPr>
        <w:t>. Jakarta: RajaGrafindo Persada.</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Bahsan, M. (2007). </w:t>
      </w:r>
      <w:r w:rsidRPr="007A32DB">
        <w:rPr>
          <w:i/>
          <w:iCs/>
          <w:szCs w:val="24"/>
          <w:lang w:val="id-ID"/>
        </w:rPr>
        <w:t>Hukum Jaminan dan Jaminan Kredit Perbankan Indonesia</w:t>
      </w:r>
      <w:r w:rsidRPr="007A32DB">
        <w:rPr>
          <w:szCs w:val="24"/>
          <w:lang w:val="id-ID"/>
        </w:rPr>
        <w:t>. Jakarta: RajaGrafindo Persada.</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Effendi, A. (2007). </w:t>
      </w:r>
      <w:r w:rsidRPr="007A32DB">
        <w:rPr>
          <w:i/>
          <w:iCs/>
          <w:szCs w:val="24"/>
          <w:lang w:val="id-ID"/>
        </w:rPr>
        <w:t>Hukum Fidusia: Dalam Praktek dan Permasalahan</w:t>
      </w:r>
      <w:r w:rsidRPr="007A32DB">
        <w:rPr>
          <w:szCs w:val="24"/>
          <w:lang w:val="id-ID"/>
        </w:rPr>
        <w:t>. Yogyakarta: Andi.</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Harefa, D. (2020). </w:t>
      </w:r>
      <w:r w:rsidRPr="007A32DB">
        <w:rPr>
          <w:i/>
          <w:iCs/>
          <w:szCs w:val="24"/>
          <w:lang w:val="id-ID"/>
        </w:rPr>
        <w:t>Jaminan Fidusia di Indonesia: Teori dan Implementasi</w:t>
      </w:r>
      <w:r w:rsidRPr="007A32DB">
        <w:rPr>
          <w:szCs w:val="24"/>
          <w:lang w:val="id-ID"/>
        </w:rPr>
        <w:t>. Medan: USU Press.</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Harsono, B. (2008). </w:t>
      </w:r>
      <w:r w:rsidRPr="007A32DB">
        <w:rPr>
          <w:i/>
          <w:iCs/>
          <w:szCs w:val="24"/>
          <w:lang w:val="id-ID"/>
        </w:rPr>
        <w:t>Hukum Agraria Indonesia</w:t>
      </w:r>
      <w:r w:rsidRPr="007A32DB">
        <w:rPr>
          <w:szCs w:val="24"/>
          <w:lang w:val="id-ID"/>
        </w:rPr>
        <w:t>. Jakarta: Djambatan.</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J. Satrio. (1999). </w:t>
      </w:r>
      <w:r w:rsidRPr="007A32DB">
        <w:rPr>
          <w:i/>
          <w:iCs/>
          <w:szCs w:val="24"/>
          <w:lang w:val="id-ID"/>
        </w:rPr>
        <w:t>Hukum Jaminan Hak Kebendaan</w:t>
      </w:r>
      <w:r w:rsidRPr="007A32DB">
        <w:rPr>
          <w:szCs w:val="24"/>
          <w:lang w:val="id-ID"/>
        </w:rPr>
        <w:t>. Bandung: Citra Aditya Bakti.</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Lilik Mulyadi. (2007). </w:t>
      </w:r>
      <w:r w:rsidRPr="007A32DB">
        <w:rPr>
          <w:i/>
          <w:iCs/>
          <w:szCs w:val="24"/>
          <w:lang w:val="id-ID"/>
        </w:rPr>
        <w:t>Kompilasi Hukum Pidana dalam Putusan Pengadilan</w:t>
      </w:r>
      <w:r w:rsidRPr="007A32DB">
        <w:rPr>
          <w:szCs w:val="24"/>
          <w:lang w:val="id-ID"/>
        </w:rPr>
        <w:t>. Bandung: PT Alumni.</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Marzuki, P.M. (2010). </w:t>
      </w:r>
      <w:r w:rsidRPr="007A32DB">
        <w:rPr>
          <w:i/>
          <w:iCs/>
          <w:szCs w:val="24"/>
          <w:lang w:val="id-ID"/>
        </w:rPr>
        <w:t>Penelitian Hukum</w:t>
      </w:r>
      <w:r w:rsidRPr="007A32DB">
        <w:rPr>
          <w:szCs w:val="24"/>
          <w:lang w:val="id-ID"/>
        </w:rPr>
        <w:t>. Jakarta: Kencana.</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Munir Fuady. (2003). </w:t>
      </w:r>
      <w:r w:rsidRPr="007A32DB">
        <w:rPr>
          <w:i/>
          <w:iCs/>
          <w:szCs w:val="24"/>
          <w:lang w:val="id-ID"/>
        </w:rPr>
        <w:t>Hukum Bisnis dalam Teori dan Praktek</w:t>
      </w:r>
      <w:r w:rsidRPr="007A32DB">
        <w:rPr>
          <w:szCs w:val="24"/>
          <w:lang w:val="id-ID"/>
        </w:rPr>
        <w:t>. Bandung: Citra Aditya Bakti.</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Munir Fuady. (2007). </w:t>
      </w:r>
      <w:r w:rsidRPr="007A32DB">
        <w:rPr>
          <w:i/>
          <w:iCs/>
          <w:szCs w:val="24"/>
          <w:lang w:val="id-ID"/>
        </w:rPr>
        <w:t>Jaminan Fidusia</w:t>
      </w:r>
      <w:r w:rsidRPr="007A32DB">
        <w:rPr>
          <w:szCs w:val="24"/>
          <w:lang w:val="id-ID"/>
        </w:rPr>
        <w:t>. Bandung: Citra Aditya Bakti.</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Nur Rohman. (2019). </w:t>
      </w:r>
      <w:r w:rsidRPr="007A32DB">
        <w:rPr>
          <w:i/>
          <w:iCs/>
          <w:szCs w:val="24"/>
          <w:lang w:val="id-ID"/>
        </w:rPr>
        <w:t>Hukum Jaminan di Indonesia</w:t>
      </w:r>
      <w:r w:rsidRPr="007A32DB">
        <w:rPr>
          <w:szCs w:val="24"/>
          <w:lang w:val="id-ID"/>
        </w:rPr>
        <w:t>. Malang: UB Press.</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Rahmat, A. (2016). </w:t>
      </w:r>
      <w:r w:rsidRPr="007A32DB">
        <w:rPr>
          <w:i/>
          <w:iCs/>
          <w:szCs w:val="24"/>
          <w:lang w:val="id-ID"/>
        </w:rPr>
        <w:t>Hukum Jaminan Fidusia</w:t>
      </w:r>
      <w:r w:rsidRPr="007A32DB">
        <w:rPr>
          <w:szCs w:val="24"/>
          <w:lang w:val="id-ID"/>
        </w:rPr>
        <w:t>. Jakarta: RajaGrafindo Persada.</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lastRenderedPageBreak/>
        <w:t xml:space="preserve">Salim, H.S. (2008). </w:t>
      </w:r>
      <w:r w:rsidRPr="007A32DB">
        <w:rPr>
          <w:i/>
          <w:iCs/>
          <w:szCs w:val="24"/>
          <w:lang w:val="id-ID"/>
        </w:rPr>
        <w:t>Perkembangan Hukum Jaminan di Indonesia</w:t>
      </w:r>
      <w:r w:rsidRPr="007A32DB">
        <w:rPr>
          <w:szCs w:val="24"/>
          <w:lang w:val="id-ID"/>
        </w:rPr>
        <w:t>. Jakarta: RajaGrafindo Persada.</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Soeroso, R. (2006). </w:t>
      </w:r>
      <w:r w:rsidRPr="007A32DB">
        <w:rPr>
          <w:i/>
          <w:iCs/>
          <w:szCs w:val="24"/>
          <w:lang w:val="id-ID"/>
        </w:rPr>
        <w:t>Hukum Perjanjian di Indonesia</w:t>
      </w:r>
      <w:r w:rsidRPr="007A32DB">
        <w:rPr>
          <w:szCs w:val="24"/>
          <w:lang w:val="id-ID"/>
        </w:rPr>
        <w:t>. Jakarta: Sinar Grafika.</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Sudikno Mertokusumo. (2010). </w:t>
      </w:r>
      <w:r w:rsidRPr="007A32DB">
        <w:rPr>
          <w:i/>
          <w:iCs/>
          <w:szCs w:val="24"/>
          <w:lang w:val="id-ID"/>
        </w:rPr>
        <w:t>Penemuan Hukum: Sebuah Pengantar</w:t>
      </w:r>
      <w:r w:rsidRPr="007A32DB">
        <w:rPr>
          <w:szCs w:val="24"/>
          <w:lang w:val="id-ID"/>
        </w:rPr>
        <w:t>. Yogyakarta: Liberty.</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Sudikno Mertokusumo. (2011). </w:t>
      </w:r>
      <w:r w:rsidRPr="007A32DB">
        <w:rPr>
          <w:i/>
          <w:iCs/>
          <w:szCs w:val="24"/>
          <w:lang w:val="id-ID"/>
        </w:rPr>
        <w:t>Hukum Acara Perdata Indonesia</w:t>
      </w:r>
      <w:r w:rsidRPr="007A32DB">
        <w:rPr>
          <w:szCs w:val="24"/>
          <w:lang w:val="id-ID"/>
        </w:rPr>
        <w:t>. Yogyakarta: Liberty.</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Subekti, R. (2008). </w:t>
      </w:r>
      <w:r w:rsidRPr="007A32DB">
        <w:rPr>
          <w:i/>
          <w:iCs/>
          <w:szCs w:val="24"/>
          <w:lang w:val="id-ID"/>
        </w:rPr>
        <w:t>Hukum Perjanjian</w:t>
      </w:r>
      <w:r w:rsidRPr="007A32DB">
        <w:rPr>
          <w:szCs w:val="24"/>
          <w:lang w:val="id-ID"/>
        </w:rPr>
        <w:t>. Jakarta: Intermasa.</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Suhartono. (2009). </w:t>
      </w:r>
      <w:r w:rsidRPr="007A32DB">
        <w:rPr>
          <w:i/>
          <w:iCs/>
          <w:szCs w:val="24"/>
          <w:lang w:val="id-ID"/>
        </w:rPr>
        <w:t>Sosiologi Hukum: Perspektif Sistem Sosial</w:t>
      </w:r>
      <w:r w:rsidRPr="007A32DB">
        <w:rPr>
          <w:szCs w:val="24"/>
          <w:lang w:val="id-ID"/>
        </w:rPr>
        <w:t>. Jakarta: RajaGrafindo Persada.</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Suteki &amp; Galang Taufani. (2018). </w:t>
      </w:r>
      <w:r w:rsidRPr="007A32DB">
        <w:rPr>
          <w:i/>
          <w:iCs/>
          <w:szCs w:val="24"/>
          <w:lang w:val="id-ID"/>
        </w:rPr>
        <w:t>Desain Hukum di Era Globalisasi</w:t>
      </w:r>
      <w:r w:rsidRPr="007A32DB">
        <w:rPr>
          <w:szCs w:val="24"/>
          <w:lang w:val="id-ID"/>
        </w:rPr>
        <w:t>. Malang: UB Press.</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Tjiptono, F. (2016). </w:t>
      </w:r>
      <w:r w:rsidRPr="007A32DB">
        <w:rPr>
          <w:i/>
          <w:iCs/>
          <w:szCs w:val="24"/>
          <w:lang w:val="id-ID"/>
        </w:rPr>
        <w:t>Hukum Jaminan dalam Praktik Perbankan</w:t>
      </w:r>
      <w:r w:rsidRPr="007A32DB">
        <w:rPr>
          <w:szCs w:val="24"/>
          <w:lang w:val="id-ID"/>
        </w:rPr>
        <w:t>. Jakarta: Gramedia.</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Wirjono Prodjodikoro. (1981). </w:t>
      </w:r>
      <w:r w:rsidRPr="007A32DB">
        <w:rPr>
          <w:i/>
          <w:iCs/>
          <w:szCs w:val="24"/>
          <w:lang w:val="id-ID"/>
        </w:rPr>
        <w:t>Perbuatan Melawan Hukum</w:t>
      </w:r>
      <w:r w:rsidRPr="007A32DB">
        <w:rPr>
          <w:szCs w:val="24"/>
          <w:lang w:val="id-ID"/>
        </w:rPr>
        <w:t>. Bandung: Sumur Bandung.</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Zainuddin, A. (2019). </w:t>
      </w:r>
      <w:r w:rsidRPr="007A32DB">
        <w:rPr>
          <w:i/>
          <w:iCs/>
          <w:szCs w:val="24"/>
          <w:lang w:val="id-ID"/>
        </w:rPr>
        <w:t>Teori dan Praktik Hukum Jaminan Fidusia</w:t>
      </w:r>
      <w:r w:rsidRPr="007A32DB">
        <w:rPr>
          <w:szCs w:val="24"/>
          <w:lang w:val="id-ID"/>
        </w:rPr>
        <w:t>. Malang: UB Press.</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Yahya Harahap. (2009). </w:t>
      </w:r>
      <w:r w:rsidRPr="007A32DB">
        <w:rPr>
          <w:i/>
          <w:iCs/>
          <w:szCs w:val="24"/>
          <w:lang w:val="id-ID"/>
        </w:rPr>
        <w:t>Hukum Acara Perdata</w:t>
      </w:r>
      <w:r w:rsidRPr="007A32DB">
        <w:rPr>
          <w:szCs w:val="24"/>
          <w:lang w:val="id-ID"/>
        </w:rPr>
        <w:t>. Jakarta: Sinar Grafika.</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 xml:space="preserve">Yudha Bhakti. (2012). </w:t>
      </w:r>
      <w:r w:rsidRPr="007A32DB">
        <w:rPr>
          <w:i/>
          <w:iCs/>
          <w:szCs w:val="24"/>
          <w:lang w:val="id-ID"/>
        </w:rPr>
        <w:t>Hukum Jaminan Kebendaan</w:t>
      </w:r>
      <w:r w:rsidRPr="007A32DB">
        <w:rPr>
          <w:szCs w:val="24"/>
          <w:lang w:val="id-ID"/>
        </w:rPr>
        <w:t>. Jakarta: Erlangga.</w:t>
      </w:r>
    </w:p>
    <w:p w:rsidR="0046040E" w:rsidRPr="007A32DB" w:rsidRDefault="0046040E" w:rsidP="0046040E">
      <w:pPr>
        <w:autoSpaceDE w:val="0"/>
        <w:autoSpaceDN w:val="0"/>
        <w:spacing w:line="480" w:lineRule="auto"/>
        <w:jc w:val="both"/>
        <w:rPr>
          <w:b/>
          <w:bCs/>
          <w:szCs w:val="24"/>
          <w:lang w:val="id-ID"/>
        </w:rPr>
      </w:pPr>
      <w:r w:rsidRPr="007A32DB">
        <w:rPr>
          <w:b/>
          <w:bCs/>
          <w:szCs w:val="24"/>
          <w:lang w:val="id-ID"/>
        </w:rPr>
        <w:t>Jurnal</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Andriani, L. (2020). "Perlindungan Hukum Kreditor terhadap Pengalihan Objek Fidusia." </w:t>
      </w:r>
      <w:r w:rsidRPr="00191AAB">
        <w:rPr>
          <w:i/>
          <w:iCs/>
          <w:szCs w:val="24"/>
          <w:lang w:val="id-ID"/>
        </w:rPr>
        <w:t>Jurnal Hukum Ius Quia Iustum</w:t>
      </w:r>
      <w:r w:rsidRPr="00191AAB">
        <w:rPr>
          <w:szCs w:val="24"/>
          <w:lang w:val="id-ID"/>
        </w:rPr>
        <w:t>, 27(1), 89-104.</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lastRenderedPageBreak/>
        <w:t xml:space="preserve">Ariyanto, R. (2019). "Analisis Penegakan Hukum terhadap Kasus Fidusia." </w:t>
      </w:r>
      <w:r w:rsidRPr="00191AAB">
        <w:rPr>
          <w:i/>
          <w:iCs/>
          <w:szCs w:val="24"/>
          <w:lang w:val="id-ID"/>
        </w:rPr>
        <w:t>Jurnal Yuridika</w:t>
      </w:r>
      <w:r w:rsidRPr="00191AAB">
        <w:rPr>
          <w:szCs w:val="24"/>
          <w:lang w:val="id-ID"/>
        </w:rPr>
        <w:t>, 34(3), 331-350.</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Citra, D. (2022). "Aspek Perdata dan Pidana dalam Kasus Jaminan Fidusia." </w:t>
      </w:r>
      <w:r w:rsidRPr="00191AAB">
        <w:rPr>
          <w:i/>
          <w:iCs/>
          <w:szCs w:val="24"/>
          <w:lang w:val="id-ID"/>
        </w:rPr>
        <w:t>Jurnal Ilmu Hukum</w:t>
      </w:r>
      <w:r w:rsidRPr="00191AAB">
        <w:rPr>
          <w:szCs w:val="24"/>
          <w:lang w:val="id-ID"/>
        </w:rPr>
        <w:t>, 18(1), 105-118.</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Darmawan, M. (2020). "Penegakan Hukum dalam Sistem Jaminan Fidusia." </w:t>
      </w:r>
      <w:r w:rsidRPr="00191AAB">
        <w:rPr>
          <w:i/>
          <w:iCs/>
          <w:szCs w:val="24"/>
          <w:lang w:val="id-ID"/>
        </w:rPr>
        <w:t>Jurnal Hukum Acara Perdata</w:t>
      </w:r>
      <w:r w:rsidRPr="00191AAB">
        <w:rPr>
          <w:szCs w:val="24"/>
          <w:lang w:val="id-ID"/>
        </w:rPr>
        <w:t>, 10(4), 22-35.</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Eryanto, T. (2019). "Efektivitas Hukum terhadap Penggelapan Objek Jaminan." </w:t>
      </w:r>
      <w:r w:rsidRPr="00191AAB">
        <w:rPr>
          <w:i/>
          <w:iCs/>
          <w:szCs w:val="24"/>
          <w:lang w:val="id-ID"/>
        </w:rPr>
        <w:t>Jurnal Legislasi Indonesia</w:t>
      </w:r>
      <w:r w:rsidRPr="00191AAB">
        <w:rPr>
          <w:szCs w:val="24"/>
          <w:lang w:val="id-ID"/>
        </w:rPr>
        <w:t>, 13(1), 34-47.</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Febrianto, W. (2020). "Fidusia dalam Perspektif Ekonomi Syariah." </w:t>
      </w:r>
      <w:r w:rsidRPr="00191AAB">
        <w:rPr>
          <w:i/>
          <w:iCs/>
          <w:szCs w:val="24"/>
          <w:lang w:val="id-ID"/>
        </w:rPr>
        <w:t>Jurnal Al-Ahkam</w:t>
      </w:r>
      <w:r w:rsidRPr="00191AAB">
        <w:rPr>
          <w:szCs w:val="24"/>
          <w:lang w:val="id-ID"/>
        </w:rPr>
        <w:t>, 15(2), 56-70.</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Fitria, A. (2021). "Tinjauan Yuridis Penggelapan Jaminan Fidusia." </w:t>
      </w:r>
      <w:r w:rsidRPr="00191AAB">
        <w:rPr>
          <w:i/>
          <w:iCs/>
          <w:szCs w:val="24"/>
          <w:lang w:val="id-ID"/>
        </w:rPr>
        <w:t>Jurnal Hukum Lex Privatum</w:t>
      </w:r>
      <w:r w:rsidRPr="00191AAB">
        <w:rPr>
          <w:szCs w:val="24"/>
          <w:lang w:val="id-ID"/>
        </w:rPr>
        <w:t>, 25(3), 211-228.</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Ghozali, S. (2021). "Penggelapan Jaminan Fidusia dalam Praktik." </w:t>
      </w:r>
      <w:r w:rsidRPr="00191AAB">
        <w:rPr>
          <w:i/>
          <w:iCs/>
          <w:szCs w:val="24"/>
          <w:lang w:val="id-ID"/>
        </w:rPr>
        <w:t>Jurnal Supremasi Hukum</w:t>
      </w:r>
      <w:r w:rsidRPr="00191AAB">
        <w:rPr>
          <w:szCs w:val="24"/>
          <w:lang w:val="id-ID"/>
        </w:rPr>
        <w:t>, 10(3), 45-60.</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Hidayati, L. (2022). "Peran Notaris dalam Perjanjian Fidusia." </w:t>
      </w:r>
      <w:r w:rsidRPr="00191AAB">
        <w:rPr>
          <w:i/>
          <w:iCs/>
          <w:szCs w:val="24"/>
          <w:lang w:val="id-ID"/>
        </w:rPr>
        <w:t>Jurnal Ilmu Sosial dan Hukum</w:t>
      </w:r>
      <w:r w:rsidRPr="00191AAB">
        <w:rPr>
          <w:szCs w:val="24"/>
          <w:lang w:val="id-ID"/>
        </w:rPr>
        <w:t>, 5(1), 33-45.</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Isnaini, M. (2019). "Kedudukan Hukum Objek Jaminan Fidusia yang Tidak Didaftarkan." </w:t>
      </w:r>
      <w:r w:rsidRPr="00191AAB">
        <w:rPr>
          <w:i/>
          <w:iCs/>
          <w:szCs w:val="24"/>
          <w:lang w:val="id-ID"/>
        </w:rPr>
        <w:t>Jurnal Penelitian Hukum De Jure</w:t>
      </w:r>
      <w:r w:rsidRPr="00191AAB">
        <w:rPr>
          <w:szCs w:val="24"/>
          <w:lang w:val="id-ID"/>
        </w:rPr>
        <w:t>, 19(2), 175-185.</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Junaidi, F. (2021). "Aspek Pidana dalam Penggelapan Jaminan Fidusia." </w:t>
      </w:r>
      <w:r w:rsidRPr="00191AAB">
        <w:rPr>
          <w:i/>
          <w:iCs/>
          <w:szCs w:val="24"/>
          <w:lang w:val="id-ID"/>
        </w:rPr>
        <w:t>Jurnal Cita Hukum</w:t>
      </w:r>
      <w:r w:rsidRPr="00191AAB">
        <w:rPr>
          <w:szCs w:val="24"/>
          <w:lang w:val="id-ID"/>
        </w:rPr>
        <w:t>, 8(1), 63-78.</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Kurniawati, N. (2020). "Efektivitas Undang-Undang Fidusia dalam Perlindungan Hukum Kreditor." </w:t>
      </w:r>
      <w:r w:rsidRPr="00191AAB">
        <w:rPr>
          <w:i/>
          <w:iCs/>
          <w:szCs w:val="24"/>
          <w:lang w:val="id-ID"/>
        </w:rPr>
        <w:t>Jurnal Hukum dan Pembangunan</w:t>
      </w:r>
      <w:r w:rsidRPr="00191AAB">
        <w:rPr>
          <w:szCs w:val="24"/>
          <w:lang w:val="id-ID"/>
        </w:rPr>
        <w:t>, 50(3), 279-298.</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lastRenderedPageBreak/>
        <w:t xml:space="preserve">Lestari, E. (2022). "Pengaruh Ketidakpatuhan terhadap Pendaftaran Jaminan Fidusia." </w:t>
      </w:r>
      <w:r w:rsidRPr="00191AAB">
        <w:rPr>
          <w:i/>
          <w:iCs/>
          <w:szCs w:val="24"/>
          <w:lang w:val="id-ID"/>
        </w:rPr>
        <w:t>Jurnal Hukum Ekonomi dan Bisnis</w:t>
      </w:r>
      <w:r w:rsidRPr="00191AAB">
        <w:rPr>
          <w:szCs w:val="24"/>
          <w:lang w:val="id-ID"/>
        </w:rPr>
        <w:t>, 7(2), 44-58.</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Marpaung, J. (2019). "Analisis Hukum terhadap Penggelapan dalam Perjanjian Fidusia." </w:t>
      </w:r>
      <w:r w:rsidRPr="00191AAB">
        <w:rPr>
          <w:i/>
          <w:iCs/>
          <w:szCs w:val="24"/>
          <w:lang w:val="id-ID"/>
        </w:rPr>
        <w:t>Jurnal Hukum Progresif</w:t>
      </w:r>
      <w:r w:rsidRPr="00191AAB">
        <w:rPr>
          <w:szCs w:val="24"/>
          <w:lang w:val="id-ID"/>
        </w:rPr>
        <w:t>, 11(1), 123-138.</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Maulana, I. (2021). "Perspektif Hukum terhadap Penyelesaian Kasus Penggelapan Fidusia." </w:t>
      </w:r>
      <w:r w:rsidRPr="00191AAB">
        <w:rPr>
          <w:i/>
          <w:iCs/>
          <w:szCs w:val="24"/>
          <w:lang w:val="id-ID"/>
        </w:rPr>
        <w:t>Jurnal Yuridis Indonesia</w:t>
      </w:r>
      <w:r w:rsidRPr="00191AAB">
        <w:rPr>
          <w:szCs w:val="24"/>
          <w:lang w:val="id-ID"/>
        </w:rPr>
        <w:t>, 16(2), 177-192.</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Meilani, A. (2022). "Tinjauan Hukum Jaminan Fidusia dalam Kasus Kredit Bermasalah." </w:t>
      </w:r>
      <w:r w:rsidRPr="00191AAB">
        <w:rPr>
          <w:i/>
          <w:iCs/>
          <w:szCs w:val="24"/>
          <w:lang w:val="id-ID"/>
        </w:rPr>
        <w:t>Jurnal Lex Renaissance</w:t>
      </w:r>
      <w:r w:rsidRPr="00191AAB">
        <w:rPr>
          <w:szCs w:val="24"/>
          <w:lang w:val="id-ID"/>
        </w:rPr>
        <w:t>, 10(1), 23-35.</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Muliawan, R. (2020). "Implikasi Hukum Penjualan Objek Jaminan Fidusia secara Sepihak." </w:t>
      </w:r>
      <w:r w:rsidRPr="00191AAB">
        <w:rPr>
          <w:i/>
          <w:iCs/>
          <w:szCs w:val="24"/>
          <w:lang w:val="id-ID"/>
        </w:rPr>
        <w:t>Jurnal Cahaya Hukum</w:t>
      </w:r>
      <w:r w:rsidRPr="00191AAB">
        <w:rPr>
          <w:szCs w:val="24"/>
          <w:lang w:val="id-ID"/>
        </w:rPr>
        <w:t>, 8(3), 97-110.</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Nasution, F. (2021). "Kendala dalam Penegakan Hukum terhadap Penggelapan Objek Fidusia." </w:t>
      </w:r>
      <w:r w:rsidRPr="00191AAB">
        <w:rPr>
          <w:i/>
          <w:iCs/>
          <w:szCs w:val="24"/>
          <w:lang w:val="id-ID"/>
        </w:rPr>
        <w:t>Jurnal Sosial dan Humaniora</w:t>
      </w:r>
      <w:r w:rsidRPr="00191AAB">
        <w:rPr>
          <w:szCs w:val="24"/>
          <w:lang w:val="id-ID"/>
        </w:rPr>
        <w:t>, 12(1), 59-73.</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Prasetyo, A. (2020). "Tinjauan Normatif terhadap Pasal 36 UU Fidusia." </w:t>
      </w:r>
      <w:r w:rsidRPr="00191AAB">
        <w:rPr>
          <w:i/>
          <w:iCs/>
          <w:szCs w:val="24"/>
          <w:lang w:val="id-ID"/>
        </w:rPr>
        <w:t>Jurnal Lex Jurnalica</w:t>
      </w:r>
      <w:r w:rsidRPr="00191AAB">
        <w:rPr>
          <w:szCs w:val="24"/>
          <w:lang w:val="id-ID"/>
        </w:rPr>
        <w:t>, 17(3), 198-210.</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Rahmat, D. (2019). "Problematika Perlindungan Hukum Kreditor dalam Perjanjian Fidusia." </w:t>
      </w:r>
      <w:r w:rsidRPr="00191AAB">
        <w:rPr>
          <w:i/>
          <w:iCs/>
          <w:szCs w:val="24"/>
          <w:lang w:val="id-ID"/>
        </w:rPr>
        <w:t>Jurnal Hukum Hermeneutika</w:t>
      </w:r>
      <w:r w:rsidRPr="00191AAB">
        <w:rPr>
          <w:szCs w:val="24"/>
          <w:lang w:val="id-ID"/>
        </w:rPr>
        <w:t>, 6(2), 83-97.</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Rahayu, P. (2021). "Tinjauan Hukum terhadap Penanganan Kasus Fidusia oleh Kepolisian." </w:t>
      </w:r>
      <w:r w:rsidRPr="00191AAB">
        <w:rPr>
          <w:i/>
          <w:iCs/>
          <w:szCs w:val="24"/>
          <w:lang w:val="id-ID"/>
        </w:rPr>
        <w:t>Jurnal Kriminologi Indonesia</w:t>
      </w:r>
      <w:r w:rsidRPr="00191AAB">
        <w:rPr>
          <w:szCs w:val="24"/>
          <w:lang w:val="id-ID"/>
        </w:rPr>
        <w:t>, 9(4), 122-137.</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Ramadhani, S. (2022). "Efektivitas Penegakan Hukum terhadap Tindakan Penggelapan Objek Fidusia." </w:t>
      </w:r>
      <w:r w:rsidRPr="00191AAB">
        <w:rPr>
          <w:i/>
          <w:iCs/>
          <w:szCs w:val="24"/>
          <w:lang w:val="id-ID"/>
        </w:rPr>
        <w:t>Jurnal Penelitian Hukum Gema</w:t>
      </w:r>
      <w:r w:rsidRPr="00191AAB">
        <w:rPr>
          <w:szCs w:val="24"/>
          <w:lang w:val="id-ID"/>
        </w:rPr>
        <w:t>, 14(1), 67-84.</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Rifai, M. (2020). "Aspek Hukum Pidana dalam Jaminan Fidusia." </w:t>
      </w:r>
      <w:r w:rsidRPr="00191AAB">
        <w:rPr>
          <w:i/>
          <w:iCs/>
          <w:szCs w:val="24"/>
          <w:lang w:val="id-ID"/>
        </w:rPr>
        <w:t>Jurnal Litigasi Hukum</w:t>
      </w:r>
      <w:r w:rsidRPr="00191AAB">
        <w:rPr>
          <w:szCs w:val="24"/>
          <w:lang w:val="id-ID"/>
        </w:rPr>
        <w:t>, 15(2), 89-102.</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lastRenderedPageBreak/>
        <w:t xml:space="preserve">Rinaldi, A. (2019). "Perlindungan Hukum terhadap Pihak Ketiga dalam Penggelapan Objek Fidusia." </w:t>
      </w:r>
      <w:r w:rsidRPr="00191AAB">
        <w:rPr>
          <w:i/>
          <w:iCs/>
          <w:szCs w:val="24"/>
          <w:lang w:val="id-ID"/>
        </w:rPr>
        <w:t>Jurnal Hukum dan Masyarakat</w:t>
      </w:r>
      <w:r w:rsidRPr="00191AAB">
        <w:rPr>
          <w:szCs w:val="24"/>
          <w:lang w:val="id-ID"/>
        </w:rPr>
        <w:t>, 11(2), 99-113.</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Rizki, F. (2021). "Kritik terhadap Implementasi UU Fidusia di Indonesia." </w:t>
      </w:r>
      <w:r w:rsidRPr="00191AAB">
        <w:rPr>
          <w:i/>
          <w:iCs/>
          <w:szCs w:val="24"/>
          <w:lang w:val="id-ID"/>
        </w:rPr>
        <w:t>Jurnal Kajian Hukum Nasional</w:t>
      </w:r>
      <w:r w:rsidRPr="00191AAB">
        <w:rPr>
          <w:szCs w:val="24"/>
          <w:lang w:val="id-ID"/>
        </w:rPr>
        <w:t>, 18(1), 78-91.</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Saraswati, A. (2020). "Perlindungan Hukum Terhadap Kreditor dalam Penegakan Fidusia." </w:t>
      </w:r>
      <w:r w:rsidRPr="00191AAB">
        <w:rPr>
          <w:i/>
          <w:iCs/>
          <w:szCs w:val="24"/>
          <w:lang w:val="id-ID"/>
        </w:rPr>
        <w:t>Jurnal Keadilan Hukum</w:t>
      </w:r>
      <w:r w:rsidRPr="00191AAB">
        <w:rPr>
          <w:szCs w:val="24"/>
          <w:lang w:val="id-ID"/>
        </w:rPr>
        <w:t>, 9(3), 45-59.</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Setiawan, D. (2022). "Masalah Hukum dalam Pendaftaran Jaminan Fidusia." </w:t>
      </w:r>
      <w:r w:rsidRPr="00191AAB">
        <w:rPr>
          <w:i/>
          <w:iCs/>
          <w:szCs w:val="24"/>
          <w:lang w:val="id-ID"/>
        </w:rPr>
        <w:t>Jurnal Yustisia Indonesia</w:t>
      </w:r>
      <w:r w:rsidRPr="00191AAB">
        <w:rPr>
          <w:szCs w:val="24"/>
          <w:lang w:val="id-ID"/>
        </w:rPr>
        <w:t>, 8(4), 127-142.</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Wahyuni, A. (2021). "Penerapan Pasal 372 KUHP dalam Kasus Fidusia." </w:t>
      </w:r>
      <w:r w:rsidRPr="00191AAB">
        <w:rPr>
          <w:i/>
          <w:iCs/>
          <w:szCs w:val="24"/>
          <w:lang w:val="id-ID"/>
        </w:rPr>
        <w:t>Jurnal Hukum Responsif</w:t>
      </w:r>
      <w:r w:rsidRPr="00191AAB">
        <w:rPr>
          <w:szCs w:val="24"/>
          <w:lang w:val="id-ID"/>
        </w:rPr>
        <w:t>, 13(2), 34-49.</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Wibowo, S. (2020). "Rekonstruksi Kebijakan Hukum Jaminan Fidusia." </w:t>
      </w:r>
      <w:r w:rsidRPr="00191AAB">
        <w:rPr>
          <w:i/>
          <w:iCs/>
          <w:szCs w:val="24"/>
          <w:lang w:val="id-ID"/>
        </w:rPr>
        <w:t>Jurnal Legislasi Indonesia</w:t>
      </w:r>
      <w:r w:rsidRPr="00191AAB">
        <w:rPr>
          <w:szCs w:val="24"/>
          <w:lang w:val="id-ID"/>
        </w:rPr>
        <w:t>, 17(1), 77-89.</w:t>
      </w:r>
    </w:p>
    <w:p w:rsidR="0046040E" w:rsidRPr="00191AAB" w:rsidRDefault="0046040E" w:rsidP="0046040E">
      <w:pPr>
        <w:autoSpaceDE w:val="0"/>
        <w:autoSpaceDN w:val="0"/>
        <w:spacing w:line="480" w:lineRule="auto"/>
        <w:ind w:left="720" w:hanging="720"/>
        <w:jc w:val="both"/>
        <w:rPr>
          <w:szCs w:val="24"/>
          <w:lang w:val="id-ID"/>
        </w:rPr>
      </w:pPr>
      <w:r w:rsidRPr="00191AAB">
        <w:rPr>
          <w:szCs w:val="24"/>
          <w:lang w:val="id-ID"/>
        </w:rPr>
        <w:t xml:space="preserve">Yuliana, R. (2021). "Harmonisasi Hukum Perdata dan Pidana dalam Kasus Fidusia." </w:t>
      </w:r>
      <w:r w:rsidRPr="00191AAB">
        <w:rPr>
          <w:i/>
          <w:iCs/>
          <w:szCs w:val="24"/>
          <w:lang w:val="id-ID"/>
        </w:rPr>
        <w:t>Jurnal Hukum Integrasi</w:t>
      </w:r>
      <w:r w:rsidRPr="00191AAB">
        <w:rPr>
          <w:szCs w:val="24"/>
          <w:lang w:val="id-ID"/>
        </w:rPr>
        <w:t>, 14(1), 94-108.</w:t>
      </w:r>
    </w:p>
    <w:p w:rsidR="0046040E" w:rsidRPr="007A32DB" w:rsidRDefault="0046040E" w:rsidP="0046040E">
      <w:pPr>
        <w:autoSpaceDE w:val="0"/>
        <w:autoSpaceDN w:val="0"/>
        <w:spacing w:line="480" w:lineRule="auto"/>
        <w:jc w:val="both"/>
        <w:rPr>
          <w:b/>
          <w:bCs/>
          <w:szCs w:val="24"/>
          <w:lang w:val="id-ID"/>
        </w:rPr>
      </w:pPr>
      <w:r w:rsidRPr="007A32DB">
        <w:rPr>
          <w:b/>
          <w:bCs/>
          <w:szCs w:val="24"/>
          <w:lang w:val="id-ID"/>
        </w:rPr>
        <w:t>Peraturan Perundang-Undangan</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Undang-Undang Nomor 42 Tahun 1999 tentang Jaminan Fidusia.</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Kitab Undang-Undang Hukum Pidana (KUHP).</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Undang-Undang Nomor 8 Tahun 1981 tentang Hukum Acara Pidana (KUHAP).</w:t>
      </w:r>
    </w:p>
    <w:p w:rsidR="0046040E" w:rsidRDefault="0046040E" w:rsidP="0046040E">
      <w:pPr>
        <w:autoSpaceDE w:val="0"/>
        <w:autoSpaceDN w:val="0"/>
        <w:spacing w:line="480" w:lineRule="auto"/>
        <w:ind w:left="720" w:hanging="630"/>
        <w:jc w:val="both"/>
        <w:rPr>
          <w:szCs w:val="24"/>
          <w:lang w:val="id-ID"/>
        </w:rPr>
      </w:pPr>
      <w:r w:rsidRPr="007A32DB">
        <w:rPr>
          <w:szCs w:val="24"/>
          <w:lang w:val="id-ID"/>
        </w:rPr>
        <w:t>Peraturan Menteri Hukum dan HAM RI Nomor 9 Tahun 2013 tentang Pendaftaran Jaminan Fidusia.</w:t>
      </w:r>
    </w:p>
    <w:p w:rsidR="0046040E" w:rsidRPr="007A32DB" w:rsidRDefault="0046040E" w:rsidP="0046040E">
      <w:pPr>
        <w:autoSpaceDE w:val="0"/>
        <w:autoSpaceDN w:val="0"/>
        <w:spacing w:line="480" w:lineRule="auto"/>
        <w:ind w:left="720" w:hanging="630"/>
        <w:jc w:val="both"/>
        <w:rPr>
          <w:szCs w:val="24"/>
          <w:lang w:val="id-ID"/>
        </w:rPr>
      </w:pPr>
      <w:r w:rsidRPr="007A32DB">
        <w:rPr>
          <w:szCs w:val="24"/>
          <w:lang w:val="id-ID"/>
        </w:rPr>
        <w:t>Undang-Undang Nomor 37 Tahun 2004 tentang Kepailitan dan Penundaan Kewajiban Pembayaran Utang.</w:t>
      </w:r>
    </w:p>
    <w:p w:rsidR="0046040E" w:rsidRPr="007A32DB" w:rsidRDefault="0046040E" w:rsidP="0046040E">
      <w:pPr>
        <w:autoSpaceDE w:val="0"/>
        <w:autoSpaceDN w:val="0"/>
        <w:spacing w:line="480" w:lineRule="auto"/>
        <w:jc w:val="both"/>
        <w:rPr>
          <w:b/>
          <w:bCs/>
          <w:szCs w:val="24"/>
          <w:lang w:val="id-ID"/>
        </w:rPr>
      </w:pPr>
      <w:r w:rsidRPr="007A32DB">
        <w:rPr>
          <w:b/>
          <w:bCs/>
          <w:szCs w:val="24"/>
          <w:lang w:val="id-ID"/>
        </w:rPr>
        <w:lastRenderedPageBreak/>
        <w:t>Website</w:t>
      </w:r>
    </w:p>
    <w:p w:rsidR="0046040E" w:rsidRPr="007A32DB" w:rsidRDefault="0046040E" w:rsidP="0046040E">
      <w:pPr>
        <w:autoSpaceDE w:val="0"/>
        <w:autoSpaceDN w:val="0"/>
        <w:spacing w:line="480" w:lineRule="auto"/>
        <w:ind w:left="90"/>
        <w:jc w:val="both"/>
        <w:rPr>
          <w:szCs w:val="24"/>
          <w:lang w:val="id-ID"/>
        </w:rPr>
      </w:pPr>
      <w:r w:rsidRPr="007A32DB">
        <w:rPr>
          <w:szCs w:val="24"/>
          <w:lang w:val="id-ID"/>
        </w:rPr>
        <w:t xml:space="preserve">Kementerian Hukum dan Hak Asasi Manusia RI: </w:t>
      </w:r>
      <w:hyperlink r:id="rId4" w:history="1">
        <w:r w:rsidRPr="007A32DB">
          <w:rPr>
            <w:rStyle w:val="Hyperlink"/>
            <w:szCs w:val="24"/>
            <w:lang w:val="id-ID"/>
          </w:rPr>
          <w:t>https://www.kemenkumham.go.id</w:t>
        </w:r>
      </w:hyperlink>
    </w:p>
    <w:p w:rsidR="0046040E" w:rsidRPr="007A32DB" w:rsidRDefault="0046040E" w:rsidP="0046040E">
      <w:pPr>
        <w:autoSpaceDE w:val="0"/>
        <w:autoSpaceDN w:val="0"/>
        <w:spacing w:line="480" w:lineRule="auto"/>
        <w:ind w:left="90"/>
        <w:jc w:val="both"/>
        <w:rPr>
          <w:szCs w:val="24"/>
          <w:lang w:val="id-ID"/>
        </w:rPr>
      </w:pPr>
      <w:r w:rsidRPr="007A32DB">
        <w:rPr>
          <w:szCs w:val="24"/>
          <w:lang w:val="id-ID"/>
        </w:rPr>
        <w:t xml:space="preserve">Badan Pembinaan Hukum Nasional (BPHN): </w:t>
      </w:r>
      <w:hyperlink r:id="rId5" w:history="1">
        <w:r w:rsidRPr="007A32DB">
          <w:rPr>
            <w:rStyle w:val="Hyperlink"/>
            <w:szCs w:val="24"/>
            <w:lang w:val="id-ID"/>
          </w:rPr>
          <w:t>https://www.bphn.go.id</w:t>
        </w:r>
      </w:hyperlink>
    </w:p>
    <w:p w:rsidR="0046040E" w:rsidRPr="007A32DB" w:rsidRDefault="0046040E" w:rsidP="0046040E">
      <w:pPr>
        <w:autoSpaceDE w:val="0"/>
        <w:autoSpaceDN w:val="0"/>
        <w:spacing w:line="480" w:lineRule="auto"/>
        <w:ind w:left="90"/>
        <w:jc w:val="both"/>
        <w:rPr>
          <w:szCs w:val="24"/>
          <w:lang w:val="id-ID"/>
        </w:rPr>
      </w:pPr>
      <w:r w:rsidRPr="007A32DB">
        <w:rPr>
          <w:szCs w:val="24"/>
          <w:lang w:val="id-ID"/>
        </w:rPr>
        <w:t xml:space="preserve">Mahkamah Agung Republik Indonesia: </w:t>
      </w:r>
      <w:hyperlink r:id="rId6" w:history="1">
        <w:r w:rsidRPr="007A32DB">
          <w:rPr>
            <w:rStyle w:val="Hyperlink"/>
            <w:szCs w:val="24"/>
            <w:lang w:val="id-ID"/>
          </w:rPr>
          <w:t>https://www.mahkamahagung.go.id</w:t>
        </w:r>
      </w:hyperlink>
    </w:p>
    <w:p w:rsidR="0046040E" w:rsidRPr="007A32DB" w:rsidRDefault="0046040E" w:rsidP="0046040E">
      <w:pPr>
        <w:autoSpaceDE w:val="0"/>
        <w:autoSpaceDN w:val="0"/>
        <w:spacing w:line="480" w:lineRule="auto"/>
        <w:ind w:left="90"/>
        <w:jc w:val="both"/>
        <w:rPr>
          <w:szCs w:val="24"/>
          <w:lang w:val="id-ID"/>
        </w:rPr>
      </w:pPr>
      <w:r w:rsidRPr="007A32DB">
        <w:rPr>
          <w:szCs w:val="24"/>
          <w:lang w:val="id-ID"/>
        </w:rPr>
        <w:t xml:space="preserve">Hukum Online: </w:t>
      </w:r>
      <w:hyperlink r:id="rId7" w:history="1">
        <w:r w:rsidRPr="007A32DB">
          <w:rPr>
            <w:rStyle w:val="Hyperlink"/>
            <w:szCs w:val="24"/>
            <w:lang w:val="id-ID"/>
          </w:rPr>
          <w:t>https://www.hukumonline.com</w:t>
        </w:r>
      </w:hyperlink>
    </w:p>
    <w:p w:rsidR="0046040E" w:rsidRPr="00661804" w:rsidRDefault="0046040E" w:rsidP="0046040E">
      <w:pPr>
        <w:autoSpaceDE w:val="0"/>
        <w:autoSpaceDN w:val="0"/>
        <w:spacing w:line="480" w:lineRule="auto"/>
        <w:ind w:hanging="480"/>
        <w:jc w:val="both"/>
        <w:rPr>
          <w:szCs w:val="24"/>
        </w:rPr>
      </w:pPr>
    </w:p>
    <w:p w:rsidR="0046040E" w:rsidRPr="009B3FB7" w:rsidRDefault="0046040E" w:rsidP="0046040E">
      <w:pPr>
        <w:rPr>
          <w:rStyle w:val="markedcontent"/>
          <w:szCs w:val="24"/>
        </w:rPr>
      </w:pPr>
    </w:p>
    <w:p w:rsidR="0046040E" w:rsidRPr="009B3FB7" w:rsidRDefault="0046040E" w:rsidP="0046040E">
      <w:pPr>
        <w:pStyle w:val="FootnoteText"/>
        <w:tabs>
          <w:tab w:val="left" w:pos="990"/>
        </w:tabs>
        <w:ind w:left="720" w:hanging="720"/>
        <w:jc w:val="both"/>
        <w:rPr>
          <w:sz w:val="24"/>
          <w:szCs w:val="24"/>
        </w:rPr>
      </w:pPr>
    </w:p>
    <w:p w:rsidR="00A71049" w:rsidRDefault="00A71049">
      <w:bookmarkStart w:id="0" w:name="_GoBack"/>
      <w:bookmarkEnd w:id="0"/>
    </w:p>
    <w:sectPr w:rsidR="00A71049" w:rsidSect="00B6035B">
      <w:pgSz w:w="11909" w:h="16834" w:code="9"/>
      <w:pgMar w:top="2275" w:right="1699" w:bottom="1699" w:left="2275" w:header="1440" w:footer="113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0E"/>
    <w:rsid w:val="0046040E"/>
    <w:rsid w:val="00A7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0D5B7-BF91-4F99-9C37-D94D46D6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0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Char Char Char,Char Char2,Footnote Text Char Char,Footnote Text Char1 Char Char,Footnote Text Char Char Char Char,Footnote Text Char1 Char Char Char Char,Footnote Text Char Char Char Char Char Char"/>
    <w:basedOn w:val="Normal"/>
    <w:link w:val="FootnoteTextChar"/>
    <w:uiPriority w:val="99"/>
    <w:semiHidden/>
    <w:rsid w:val="0046040E"/>
    <w:rPr>
      <w:sz w:val="20"/>
    </w:rPr>
  </w:style>
  <w:style w:type="character" w:customStyle="1" w:styleId="FootnoteTextChar">
    <w:name w:val="Footnote Text Char"/>
    <w:aliases w:val="Char Char Char2,Char Char Char Char Char1,Char Char Char Char2,Char Char2 Char,Footnote Text Char Char Char,Footnote Text Char1 Char Char Char,Footnote Text Char Char Char Char Char,Footnote Text Char1 Char Char Char Char Char"/>
    <w:basedOn w:val="DefaultParagraphFont"/>
    <w:link w:val="FootnoteText"/>
    <w:uiPriority w:val="99"/>
    <w:semiHidden/>
    <w:rsid w:val="0046040E"/>
    <w:rPr>
      <w:rFonts w:ascii="Times New Roman" w:eastAsia="Times New Roman" w:hAnsi="Times New Roman" w:cs="Times New Roman"/>
      <w:sz w:val="20"/>
      <w:szCs w:val="20"/>
    </w:rPr>
  </w:style>
  <w:style w:type="character" w:styleId="Hyperlink">
    <w:name w:val="Hyperlink"/>
    <w:basedOn w:val="DefaultParagraphFont"/>
    <w:uiPriority w:val="99"/>
    <w:rsid w:val="0046040E"/>
    <w:rPr>
      <w:color w:val="0000FF"/>
      <w:u w:val="single"/>
    </w:rPr>
  </w:style>
  <w:style w:type="character" w:customStyle="1" w:styleId="markedcontent">
    <w:name w:val="markedcontent"/>
    <w:basedOn w:val="DefaultParagraphFont"/>
    <w:rsid w:val="00460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ukumonli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hkamahagung.go.id/" TargetMode="External"/><Relationship Id="rId5" Type="http://schemas.openxmlformats.org/officeDocument/2006/relationships/hyperlink" Target="https://www.bphn.go.id/" TargetMode="External"/><Relationship Id="rId4" Type="http://schemas.openxmlformats.org/officeDocument/2006/relationships/hyperlink" Target="https://www.kemenkumham.go.i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959</Words>
  <Characters>5467</Characters>
  <Application>Microsoft Office Word</Application>
  <DocSecurity>0</DocSecurity>
  <Lines>45</Lines>
  <Paragraphs>12</Paragraphs>
  <ScaleCrop>false</ScaleCrop>
  <Company>by adguard</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1</cp:revision>
  <dcterms:created xsi:type="dcterms:W3CDTF">2025-02-26T04:21:00Z</dcterms:created>
  <dcterms:modified xsi:type="dcterms:W3CDTF">2025-02-26T04:22:00Z</dcterms:modified>
</cp:coreProperties>
</file>