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2F5A" w14:textId="77777777" w:rsidR="00686B4E" w:rsidRDefault="00686B4E" w:rsidP="00686B4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14:paraId="3D095348" w14:textId="77777777" w:rsidR="00686B4E" w:rsidRPr="001E572A" w:rsidRDefault="00686B4E" w:rsidP="00686B4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LANDASAN KONSEPTUAL</w:t>
      </w:r>
    </w:p>
    <w:p w14:paraId="29CCC4DA" w14:textId="77777777" w:rsidR="00686B4E" w:rsidRPr="001E572A" w:rsidRDefault="00686B4E" w:rsidP="00686B4E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Umum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2FA8B4EA" w14:textId="77777777" w:rsidR="00686B4E" w:rsidRPr="001E572A" w:rsidRDefault="00686B4E" w:rsidP="00686B4E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7631470D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Sudikno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kenkuatan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(in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kracht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B7FB9F4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Belanda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“executive”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J.C.T.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Simorangkir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Wulan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Sutantio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6F7DC4CB" w14:textId="77777777" w:rsidR="00686B4E" w:rsidRDefault="00686B4E">
      <w:pPr>
        <w:sectPr w:rsidR="00686B4E" w:rsidSect="00686B4E">
          <w:footerReference w:type="default" r:id="rId8"/>
          <w:footnotePr>
            <w:numStart w:val="7"/>
          </w:footnotePr>
          <w:pgSz w:w="11906" w:h="16838" w:code="9"/>
          <w:pgMar w:top="2268" w:right="1701" w:bottom="1701" w:left="2268" w:header="720" w:footer="720" w:gutter="0"/>
          <w:pgNumType w:start="10"/>
          <w:cols w:space="720"/>
          <w:docGrid w:linePitch="360"/>
        </w:sectPr>
      </w:pPr>
    </w:p>
    <w:p w14:paraId="3C127F5B" w14:textId="77777777" w:rsidR="00686B4E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comdemnatoir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penghukuman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declaratoir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konstitutif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sarana-sarana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2CAC878C" w14:textId="77777777" w:rsidR="00686B4E" w:rsidRPr="00CB2AE4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berperkara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Pengadilan.Tapi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perkaranya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71D8D641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Dr.H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Wildan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Suyuthi,S.H.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>,M.H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melelahkan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mendapatkannya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kekalahan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cederung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‟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26A077FF" w14:textId="77777777" w:rsidR="00686B4E" w:rsidRPr="001E572A" w:rsidRDefault="00686B4E" w:rsidP="00686B4E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Dasar Hukum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75283931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HIR/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HIR/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195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224 HIR/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258 RBg.5 Istilah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hakim/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”. Dalam HIR/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tenuitvoer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legging van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vonnissen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1E572A">
        <w:rPr>
          <w:rFonts w:ascii="Times New Roman" w:hAnsi="Times New Roman" w:cs="Times New Roman"/>
          <w:sz w:val="24"/>
          <w:szCs w:val="24"/>
        </w:rPr>
        <w:t xml:space="preserve"> Istilah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”.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1E572A">
        <w:rPr>
          <w:rFonts w:ascii="Times New Roman" w:hAnsi="Times New Roman" w:cs="Times New Roman"/>
          <w:sz w:val="24"/>
          <w:szCs w:val="24"/>
        </w:rPr>
        <w:t xml:space="preserve"> Selain HIR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:</w:t>
      </w:r>
    </w:p>
    <w:p w14:paraId="2326F88D" w14:textId="77777777" w:rsidR="00686B4E" w:rsidRPr="001E572A" w:rsidRDefault="00686B4E" w:rsidP="00686B4E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9F47E" w14:textId="77777777" w:rsidR="00686B4E" w:rsidRPr="001E572A" w:rsidRDefault="00686B4E" w:rsidP="00686B4E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juncto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1986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49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Umum,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60,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panitera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jurusita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63C5533F" w14:textId="77777777" w:rsidR="00686B4E" w:rsidRPr="001E572A" w:rsidRDefault="00686B4E" w:rsidP="00686B4E">
      <w:pPr>
        <w:pStyle w:val="ListParagraph"/>
        <w:numPr>
          <w:ilvl w:val="0"/>
          <w:numId w:val="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No. 1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1980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menangguhkan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417910C" w14:textId="77777777" w:rsidR="00686B4E" w:rsidRPr="001E572A" w:rsidRDefault="00686B4E" w:rsidP="00686B4E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Asas-Asas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3724482F" w14:textId="77777777" w:rsidR="00686B4E" w:rsidRPr="001E572A" w:rsidRDefault="00686B4E" w:rsidP="00686B4E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Hakim Yang Akan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Haruslah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Telah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Hukum Yang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(In Kracht Van </w:t>
      </w:r>
      <w:proofErr w:type="spellStart"/>
      <w:r w:rsidRPr="001E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Gewjisde</w:t>
      </w:r>
      <w:proofErr w:type="spellEnd"/>
      <w:r w:rsidRPr="001E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21037" w14:textId="77777777" w:rsidR="00686B4E" w:rsidRPr="001E572A" w:rsidRDefault="00686B4E" w:rsidP="00686B4E">
      <w:pPr>
        <w:pStyle w:val="ListParagraph"/>
        <w:numPr>
          <w:ilvl w:val="0"/>
          <w:numId w:val="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Asas Atau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Umum</w:t>
      </w:r>
    </w:p>
    <w:p w14:paraId="3264B8FE" w14:textId="77777777" w:rsidR="00686B4E" w:rsidRPr="001E572A" w:rsidRDefault="00686B4E" w:rsidP="00686B4E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Maksud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D19A5CA" w14:textId="77777777" w:rsidR="00686B4E" w:rsidRPr="001E572A" w:rsidRDefault="00686B4E" w:rsidP="00686B4E">
      <w:pPr>
        <w:pStyle w:val="ListParagraph"/>
        <w:numPr>
          <w:ilvl w:val="0"/>
          <w:numId w:val="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Asas Umum</w:t>
      </w:r>
    </w:p>
    <w:p w14:paraId="3BFA1518" w14:textId="77777777" w:rsidR="00686B4E" w:rsidRPr="001E572A" w:rsidRDefault="00686B4E" w:rsidP="00686B4E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803FA" w14:textId="77777777" w:rsidR="00686B4E" w:rsidRPr="001E572A" w:rsidRDefault="00686B4E" w:rsidP="00686B4E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banding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SEMA No. 3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2000 (yang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SEMA No. 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2001),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imperatif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Agama, para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dan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Serta Merta,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D4185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auntentik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handschrift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771E5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utang-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92B37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sewa-menyewa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dan lain-lain, yang mana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sewa-menyewa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melalaikan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beritikad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697BD2B1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gono-gini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cerai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4E4EB7DA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Dikabulkannya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provisionil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00115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kracht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E572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E666921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bezitsrecht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19DC036A" w14:textId="77777777" w:rsidR="00686B4E" w:rsidRPr="001E572A" w:rsidRDefault="00686B4E" w:rsidP="00686B4E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Provisionil</w:t>
      </w:r>
      <w:proofErr w:type="spellEnd"/>
    </w:p>
    <w:p w14:paraId="287BA69E" w14:textId="77777777" w:rsidR="00686B4E" w:rsidRPr="001E572A" w:rsidRDefault="00686B4E" w:rsidP="00686B4E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provisionil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SEMA No. 3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2000 (yang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SEMA No. 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2001),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Provisionil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provisionil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AB3BC37" w14:textId="77777777" w:rsidR="00686B4E" w:rsidRPr="001E572A" w:rsidRDefault="00686B4E" w:rsidP="00686B4E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Perdamaian</w:t>
      </w:r>
      <w:proofErr w:type="spellEnd"/>
    </w:p>
    <w:p w14:paraId="4C484207" w14:textId="77777777" w:rsidR="00686B4E" w:rsidRPr="001E572A" w:rsidRDefault="00686B4E" w:rsidP="00686B4E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130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executoriale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kracht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). Maka,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pulalah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0B19DB4A" w14:textId="77777777" w:rsidR="00686B4E" w:rsidRPr="001E572A" w:rsidRDefault="00686B4E" w:rsidP="00686B4E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Grosse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</w:p>
    <w:p w14:paraId="79FE6A10" w14:textId="77777777" w:rsidR="00686B4E" w:rsidRPr="001E572A" w:rsidRDefault="00686B4E" w:rsidP="00686B4E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224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grosse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grosse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dilekati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3037F341" w14:textId="77777777" w:rsidR="00686B4E" w:rsidRPr="001E572A" w:rsidRDefault="00686B4E" w:rsidP="00686B4E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Sukarela</w:t>
      </w:r>
      <w:proofErr w:type="spellEnd"/>
    </w:p>
    <w:p w14:paraId="6D7BDFCC" w14:textId="77777777" w:rsidR="00686B4E" w:rsidRPr="001E572A" w:rsidRDefault="00686B4E" w:rsidP="00686B4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mucul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disinggung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:</w:t>
      </w:r>
    </w:p>
    <w:p w14:paraId="4445977C" w14:textId="77777777" w:rsidR="00686B4E" w:rsidRPr="001E572A" w:rsidRDefault="00686B4E" w:rsidP="00686B4E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</w:p>
    <w:p w14:paraId="3CD14BFC" w14:textId="77777777" w:rsidR="00686B4E" w:rsidRPr="001E572A" w:rsidRDefault="00686B4E" w:rsidP="00686B4E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Berita acara mana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jurusita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445CD784" w14:textId="77777777" w:rsidR="00686B4E" w:rsidRPr="001E572A" w:rsidRDefault="00686B4E" w:rsidP="00686B4E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4BC0B" w14:textId="77777777" w:rsidR="00686B4E" w:rsidRPr="001E572A" w:rsidRDefault="00686B4E" w:rsidP="00686B4E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keutungan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moral.</w:t>
      </w:r>
    </w:p>
    <w:p w14:paraId="6E6ECAB5" w14:textId="77777777" w:rsidR="00686B4E" w:rsidRPr="001E572A" w:rsidRDefault="00686B4E" w:rsidP="00686B4E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63845B" w14:textId="77777777" w:rsidR="00686B4E" w:rsidRPr="001E572A" w:rsidRDefault="00686B4E" w:rsidP="00686B4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Dimana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yurisdictio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contentioso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72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bukan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yuridictio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voluntaria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bercirikan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contradictio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23D9619D" w14:textId="77777777" w:rsidR="00686B4E" w:rsidRPr="001E572A" w:rsidRDefault="00686B4E" w:rsidP="00686B4E">
      <w:pPr>
        <w:pStyle w:val="ListParagraph"/>
        <w:numPr>
          <w:ilvl w:val="0"/>
          <w:numId w:val="9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Menghukum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memerintahakan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menyerahkan”sesuatu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2939B" w14:textId="77777777" w:rsidR="00686B4E" w:rsidRPr="001E572A" w:rsidRDefault="00686B4E" w:rsidP="00686B4E">
      <w:pPr>
        <w:pStyle w:val="ListParagraph"/>
        <w:numPr>
          <w:ilvl w:val="0"/>
          <w:numId w:val="9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memerintahakan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uang</w:t>
      </w:r>
    </w:p>
    <w:p w14:paraId="5D659DC3" w14:textId="77777777" w:rsidR="00686B4E" w:rsidRPr="001E572A" w:rsidRDefault="00686B4E" w:rsidP="00686B4E">
      <w:pPr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”. Hanya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diktumnya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penghukuman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diktumnya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penghukuman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noneksekutabel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236BB" w14:textId="77777777" w:rsidR="00686B4E" w:rsidRPr="001E572A" w:rsidRDefault="00686B4E" w:rsidP="00686B4E">
      <w:pPr>
        <w:pStyle w:val="ListParagraph"/>
        <w:numPr>
          <w:ilvl w:val="0"/>
          <w:numId w:val="1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A6532" w14:textId="77777777" w:rsidR="00686B4E" w:rsidRPr="001E572A" w:rsidRDefault="00686B4E" w:rsidP="00686B4E">
      <w:pPr>
        <w:pStyle w:val="ListParagraph"/>
        <w:spacing w:line="48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kontentiosa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kontentiosa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D691106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BECF33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, dan</w:t>
      </w:r>
    </w:p>
    <w:p w14:paraId="5D1F9DF5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kontradiktor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sanggah-menyanggah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audi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lastRenderedPageBreak/>
        <w:t>alteram partem</w:t>
      </w:r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Asas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audi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alteram partem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0FBB651" w14:textId="77777777" w:rsidR="00686B4E" w:rsidRPr="001E572A" w:rsidRDefault="00686B4E" w:rsidP="00686B4E">
      <w:pPr>
        <w:pStyle w:val="ListParagraph"/>
        <w:numPr>
          <w:ilvl w:val="0"/>
          <w:numId w:val="1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Deklarator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13FE" w14:textId="77777777" w:rsidR="00686B4E" w:rsidRPr="001E572A" w:rsidRDefault="00686B4E" w:rsidP="00686B4E">
      <w:pPr>
        <w:pStyle w:val="ListParagraph"/>
        <w:spacing w:line="48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deklarator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kebalikan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kondemnator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deklarator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penghukuman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deklarator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volunter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deklarator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CA1FDEC" w14:textId="77777777" w:rsidR="00686B4E" w:rsidRPr="001E572A" w:rsidRDefault="00686B4E" w:rsidP="00686B4E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Atas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dan di Bawah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Pimpinan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Negeri </w:t>
      </w:r>
    </w:p>
    <w:p w14:paraId="5D9709F2" w14:textId="77777777" w:rsidR="00686B4E" w:rsidRPr="006A5566" w:rsidRDefault="00686B4E" w:rsidP="00686B4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195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azas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‟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(Op last on Leiding Van den Van Voor Zitter Van den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Lardrard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formal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(ex officio)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208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Negeri: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ex officio</w:t>
      </w:r>
      <w:r w:rsidRPr="001E57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beschikking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Decree (order)</w:t>
      </w:r>
      <w:r w:rsidRPr="001E57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Panitera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Juru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06656022" w14:textId="77777777" w:rsidR="00686B4E" w:rsidRPr="001E572A" w:rsidRDefault="00686B4E" w:rsidP="00686B4E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Umum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Sita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7A25BC4F" w14:textId="77777777" w:rsidR="00686B4E" w:rsidRPr="001E572A" w:rsidRDefault="00686B4E" w:rsidP="00686B4E">
      <w:pPr>
        <w:pStyle w:val="ListParagraph"/>
        <w:numPr>
          <w:ilvl w:val="0"/>
          <w:numId w:val="1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Sita/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Penyitaan</w:t>
      </w:r>
      <w:proofErr w:type="spellEnd"/>
    </w:p>
    <w:p w14:paraId="14B6193D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Harapan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dibayangkan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kala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payah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28F2FA6D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kehati-</w:t>
      </w:r>
      <w:r w:rsidRPr="001E572A">
        <w:rPr>
          <w:rFonts w:ascii="Times New Roman" w:hAnsi="Times New Roman" w:cs="Times New Roman"/>
          <w:sz w:val="24"/>
          <w:szCs w:val="24"/>
        </w:rPr>
        <w:lastRenderedPageBreak/>
        <w:t>hatian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buktibukti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hampa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0C7DE318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Wulan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Sutantio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Iskandar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Oeripkartowinata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diperjualbelikan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dipindahtangankan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547DCBBC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M. Yahya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terminology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(Belanda)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bakunya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DD817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(to take into custody the property of a defendant);</w:t>
      </w:r>
    </w:p>
    <w:p w14:paraId="3D57E0AB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(Custody)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(official)</w:t>
      </w:r>
    </w:p>
    <w:p w14:paraId="6F52D2C4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Barang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Exetorial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Verkoop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6C9074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AEE97AA" w14:textId="77777777" w:rsidR="00686B4E" w:rsidRPr="001E572A" w:rsidRDefault="00686B4E" w:rsidP="00686B4E">
      <w:pPr>
        <w:spacing w:line="48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2E3D59AF" w14:textId="77777777" w:rsidR="00686B4E" w:rsidRPr="001E572A" w:rsidRDefault="00686B4E" w:rsidP="00686B4E">
      <w:pPr>
        <w:pStyle w:val="ListParagraph"/>
        <w:numPr>
          <w:ilvl w:val="0"/>
          <w:numId w:val="1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B0C" w14:textId="77777777" w:rsidR="00686B4E" w:rsidRPr="001E572A" w:rsidRDefault="00686B4E" w:rsidP="00686B4E">
      <w:pPr>
        <w:pStyle w:val="ListParagraph"/>
        <w:spacing w:line="48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jo.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HIR.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720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membenarkannya.Misalnya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1131 KUH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tanggungangan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utangnya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kreditor.Namun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eksepsional.HIR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226,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Istimewa.</w:t>
      </w:r>
    </w:p>
    <w:p w14:paraId="4099AEE0" w14:textId="77777777" w:rsidR="00686B4E" w:rsidRPr="001E572A" w:rsidRDefault="00686B4E" w:rsidP="00686B4E">
      <w:pPr>
        <w:pStyle w:val="ListParagraph"/>
        <w:numPr>
          <w:ilvl w:val="0"/>
          <w:numId w:val="1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A4F6" w14:textId="77777777" w:rsidR="00686B4E" w:rsidRPr="001E572A" w:rsidRDefault="00686B4E" w:rsidP="00686B4E">
      <w:pPr>
        <w:pStyle w:val="ListParagraph"/>
        <w:spacing w:line="480" w:lineRule="auto"/>
        <w:ind w:left="1778" w:firstLine="3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HAM,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28 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1945 jo.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39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dirampas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dijustifikasi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28 J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1945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835D30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;</w:t>
      </w:r>
    </w:p>
    <w:p w14:paraId="4D9AE2E3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ditonton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;</w:t>
      </w:r>
    </w:p>
    <w:p w14:paraId="49FF003F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yustisial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register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publisitas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6B94C4C" w14:textId="77777777" w:rsidR="00686B4E" w:rsidRPr="001E572A" w:rsidRDefault="00686B4E" w:rsidP="00686B4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0F087" w14:textId="77777777" w:rsidR="00686B4E" w:rsidRPr="001E572A" w:rsidRDefault="00686B4E" w:rsidP="00686B4E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83A9E" w14:textId="77777777" w:rsidR="00686B4E" w:rsidRPr="001E572A" w:rsidRDefault="00686B4E" w:rsidP="00686B4E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>Barang-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diperjualbelikan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dipindahtangankan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5EBD957D" w14:textId="77777777" w:rsidR="00686B4E" w:rsidRPr="001E572A" w:rsidRDefault="00686B4E" w:rsidP="00686B4E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CD14D" w14:textId="77777777" w:rsidR="00686B4E" w:rsidRPr="001E572A" w:rsidRDefault="00686B4E" w:rsidP="00686B4E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dirusak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hampa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illusoir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E96383D" w14:textId="77777777" w:rsidR="00686B4E" w:rsidRPr="001E572A" w:rsidRDefault="00686B4E" w:rsidP="00686B4E">
      <w:pPr>
        <w:pStyle w:val="ListParagraph"/>
        <w:numPr>
          <w:ilvl w:val="0"/>
          <w:numId w:val="1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Penyitaan</w:t>
      </w:r>
      <w:proofErr w:type="spellEnd"/>
    </w:p>
    <w:p w14:paraId="53F837A7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diperjualbelikan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disewakan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dipindahtangankan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beritikad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(bad faith).</w:t>
      </w:r>
      <w:r w:rsidRPr="001E572A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3"/>
      </w:r>
    </w:p>
    <w:p w14:paraId="747BE40C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arti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4FE88D28" w14:textId="77777777" w:rsidR="00686B4E" w:rsidRPr="001E572A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Mengingat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eksepsional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7C077B" w14:textId="77777777" w:rsidR="00686B4E" w:rsidRPr="001E572A" w:rsidRDefault="00686B4E" w:rsidP="00686B4E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Barang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CC41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penghibahan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dan juga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dibebani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sewamenyewa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diagunkan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63A3B9E5" w14:textId="77777777" w:rsidR="00686B4E" w:rsidRPr="001E572A" w:rsidRDefault="00686B4E" w:rsidP="00686B4E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Illusoir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F6FB1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illusoir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hampa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200CA98D" w14:textId="77777777" w:rsidR="00686B4E" w:rsidRPr="001E572A" w:rsidRDefault="00686B4E" w:rsidP="00686B4E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Pasti </w:t>
      </w:r>
    </w:p>
    <w:p w14:paraId="20D14E4E" w14:textId="77777777" w:rsidR="00686B4E" w:rsidRPr="001E572A" w:rsidRDefault="00686B4E" w:rsidP="00686B4E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batas-batasnya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Bertitik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demi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18B5D623" w14:textId="77777777" w:rsidR="00686B4E" w:rsidRPr="001E572A" w:rsidRDefault="00686B4E" w:rsidP="00686B4E">
      <w:pPr>
        <w:pStyle w:val="ListParagraph"/>
        <w:numPr>
          <w:ilvl w:val="0"/>
          <w:numId w:val="1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Prinsip-Prinsip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Penyitaan</w:t>
      </w:r>
      <w:proofErr w:type="spellEnd"/>
    </w:p>
    <w:p w14:paraId="12E4C15A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Adanya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5BDB" w14:textId="77777777" w:rsidR="00686B4E" w:rsidRPr="001E572A" w:rsidRDefault="00686B4E" w:rsidP="00686B4E">
      <w:pPr>
        <w:pStyle w:val="ListParagraph"/>
        <w:numPr>
          <w:ilvl w:val="0"/>
          <w:numId w:val="16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Dalam Surat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</w:p>
    <w:p w14:paraId="1002C950" w14:textId="77777777" w:rsidR="00686B4E" w:rsidRPr="001E572A" w:rsidRDefault="00686B4E" w:rsidP="00686B4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advokat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dikhawatirkan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mabuk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boros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95 Ayat (1)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Hukum Islam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24 Ayat (2) Huruf c PP.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1975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136 Ayat (2)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cerai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mabuk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boros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5F1B324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244F2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BBBA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08ED90D0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Sita </w:t>
      </w:r>
    </w:p>
    <w:p w14:paraId="1CD91E8E" w14:textId="77777777" w:rsidR="00686B4E" w:rsidRPr="001E572A" w:rsidRDefault="00686B4E" w:rsidP="00686B4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HIR / 261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07600C1" w14:textId="77777777" w:rsidR="00686B4E" w:rsidRPr="001E572A" w:rsidRDefault="00686B4E" w:rsidP="00686B4E">
      <w:pPr>
        <w:pStyle w:val="ListParagraph"/>
        <w:numPr>
          <w:ilvl w:val="0"/>
          <w:numId w:val="1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7DDC7" w14:textId="77777777" w:rsidR="00686B4E" w:rsidRPr="001E572A" w:rsidRDefault="00686B4E" w:rsidP="00686B4E">
      <w:pPr>
        <w:pStyle w:val="ListParagraph"/>
        <w:numPr>
          <w:ilvl w:val="0"/>
          <w:numId w:val="1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(1) HIR / 261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R.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“Selama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AD40A2F" w14:textId="77777777" w:rsidR="00686B4E" w:rsidRPr="001E572A" w:rsidRDefault="00686B4E" w:rsidP="00686B4E">
      <w:pPr>
        <w:pStyle w:val="ListParagraph"/>
        <w:numPr>
          <w:ilvl w:val="0"/>
          <w:numId w:val="1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Selama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(1) HIR / 261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R.Bg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“Selama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3397A6AF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259EB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membebankan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disita.Permintaan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mana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dibarengin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15A07E1D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2EE09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No. 371 K/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/1984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petitum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6429E64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petitum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digariskan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178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HIR.Memperhatikan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4C35B56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D992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bercorak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Bertitik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E7C1A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M. Yahya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diutarakan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insidentil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insidentil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situ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alteram partem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B9E8E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insidentil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5ABE6E66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E1D77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(party contract)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digariskan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1340 KUH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Hanya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Tidak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ketiga.Kewajiban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0ADD32FA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</w:p>
    <w:p w14:paraId="62F96501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ekstrim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undue process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4BC72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belebihan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:</w:t>
      </w:r>
    </w:p>
    <w:p w14:paraId="0EDE162B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9051E4C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85008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40D317A7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pelampauan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D3F25D9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Mendahulukan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C0145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(PMH).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1131 KUH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720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pertama-tama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Barang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14:paraId="4DE9B59E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Mendahulukan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</w:p>
    <w:p w14:paraId="19E94A7D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 dan 720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pengabulan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DB59F4" w14:textId="77777777" w:rsidR="00686B4E" w:rsidRPr="001E572A" w:rsidRDefault="00686B4E" w:rsidP="00686B4E">
      <w:pPr>
        <w:pStyle w:val="ListParagraph"/>
        <w:numPr>
          <w:ilvl w:val="0"/>
          <w:numId w:val="1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Pertama-tama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roerende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goederen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, movable goods).</w:t>
      </w:r>
      <w:r w:rsidRPr="001E572A">
        <w:rPr>
          <w:rFonts w:ascii="Times New Roman" w:hAnsi="Times New Roman" w:cs="Times New Roman"/>
          <w:sz w:val="24"/>
          <w:szCs w:val="24"/>
        </w:rPr>
        <w:t xml:space="preserve"> Kalau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6B67C" w14:textId="77777777" w:rsidR="00686B4E" w:rsidRPr="001E572A" w:rsidRDefault="00686B4E" w:rsidP="00686B4E">
      <w:pPr>
        <w:pStyle w:val="ListParagraph"/>
        <w:numPr>
          <w:ilvl w:val="0"/>
          <w:numId w:val="1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onroerende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goederen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, unmovable goods).</w:t>
      </w:r>
    </w:p>
    <w:p w14:paraId="6163B2DF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210B8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(8) HIR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211 RBG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1131 KUH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utangnya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E572A">
        <w:rPr>
          <w:rFonts w:ascii="Times New Roman" w:hAnsi="Times New Roman" w:cs="Times New Roman"/>
          <w:sz w:val="24"/>
          <w:szCs w:val="24"/>
        </w:rPr>
        <w:t>8)HIR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dikemukakan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Pr="001E572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(8)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211 RBG,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perkakas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3DD8386A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Sita Tidak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8FE9F" w14:textId="77777777" w:rsidR="00686B4E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(9) HIR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212 RBG. Dalam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(SEMA) No. 5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1975,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(g) SEMA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dimenangkan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uitvoerbaar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voorraad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SEMA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para hakim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2D4CD183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70E4775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84E88" w14:textId="77777777" w:rsidR="00686B4E" w:rsidRPr="001E572A" w:rsidRDefault="00686B4E" w:rsidP="00686B4E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1E572A">
        <w:rPr>
          <w:rFonts w:ascii="Times New Roman" w:hAnsi="Times New Roman" w:cs="Times New Roman"/>
          <w:sz w:val="24"/>
          <w:szCs w:val="24"/>
        </w:rPr>
        <w:t>HIR .</w:t>
      </w:r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formil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ketiga.Selama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formilnya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ketiga.Berarti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beritikad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9C17F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11C58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F95BDF" w14:textId="77777777" w:rsidR="00686B4E" w:rsidRPr="001E572A" w:rsidRDefault="00686B4E" w:rsidP="00686B4E">
      <w:pPr>
        <w:pStyle w:val="ListParagraph"/>
        <w:numPr>
          <w:ilvl w:val="0"/>
          <w:numId w:val="19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menghibahkan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menukarkan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menitipkan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lain;</w:t>
      </w:r>
    </w:p>
    <w:p w14:paraId="18465640" w14:textId="77777777" w:rsidR="00686B4E" w:rsidRPr="001E572A" w:rsidRDefault="00686B4E" w:rsidP="00686B4E">
      <w:pPr>
        <w:pStyle w:val="ListParagraph"/>
        <w:numPr>
          <w:ilvl w:val="0"/>
          <w:numId w:val="19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lain. Ini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mengagunkan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gadai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pand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14:paraId="5D679FBA" w14:textId="77777777" w:rsidR="00686B4E" w:rsidRPr="001E572A" w:rsidRDefault="00686B4E" w:rsidP="00686B4E">
      <w:pPr>
        <w:pStyle w:val="ListParagraph"/>
        <w:numPr>
          <w:ilvl w:val="0"/>
          <w:numId w:val="19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Menyewakan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198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HIR.</w:t>
      </w:r>
    </w:p>
    <w:p w14:paraId="6B679189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Milik Negara</w:t>
      </w:r>
    </w:p>
    <w:p w14:paraId="7F473558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Dalam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69D6657B" w14:textId="77777777" w:rsidR="00686B4E" w:rsidRPr="001E572A" w:rsidRDefault="00686B4E" w:rsidP="00686B4E">
      <w:pPr>
        <w:pStyle w:val="ListParagraph"/>
        <w:numPr>
          <w:ilvl w:val="0"/>
          <w:numId w:val="2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kenegaraan,Namun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66 ICW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Agung;</w:t>
      </w:r>
    </w:p>
    <w:p w14:paraId="61000AE7" w14:textId="77777777" w:rsidR="00686B4E" w:rsidRPr="001E572A" w:rsidRDefault="00686B4E" w:rsidP="00686B4E">
      <w:pPr>
        <w:pStyle w:val="ListParagraph"/>
        <w:numPr>
          <w:ilvl w:val="0"/>
          <w:numId w:val="2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66 ICW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AF3D59" w14:textId="77777777" w:rsidR="00686B4E" w:rsidRPr="001E572A" w:rsidRDefault="00686B4E" w:rsidP="00686B4E">
      <w:pPr>
        <w:pStyle w:val="ListParagraph"/>
        <w:numPr>
          <w:ilvl w:val="0"/>
          <w:numId w:val="2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66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Tugas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dilarang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Jaksa Agung.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65 dan 66 ICW.</w:t>
      </w:r>
    </w:p>
    <w:p w14:paraId="32D15BB8" w14:textId="77777777" w:rsidR="00686B4E" w:rsidRPr="001E572A" w:rsidRDefault="00686B4E" w:rsidP="00686B4E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24B87A43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“Benda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pailit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(1).”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revindikasi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kepailitan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dikesampingkan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KUHAP.</w:t>
      </w:r>
    </w:p>
    <w:p w14:paraId="54371CB4" w14:textId="77777777" w:rsidR="00686B4E" w:rsidRPr="001E572A" w:rsidRDefault="00686B4E" w:rsidP="00686B4E">
      <w:pPr>
        <w:pStyle w:val="ListParagraph"/>
        <w:numPr>
          <w:ilvl w:val="0"/>
          <w:numId w:val="1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Jenis-Jenis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Penyitaan</w:t>
      </w:r>
      <w:proofErr w:type="spellEnd"/>
    </w:p>
    <w:p w14:paraId="6155005A" w14:textId="77777777" w:rsidR="00686B4E" w:rsidRPr="001E572A" w:rsidRDefault="00686B4E" w:rsidP="00686B4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FB6A2B" w14:textId="77777777" w:rsidR="00686B4E" w:rsidRPr="001E572A" w:rsidRDefault="00686B4E" w:rsidP="00686B4E">
      <w:pPr>
        <w:pStyle w:val="ListParagraph"/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0C24B590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kata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conserveren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meyimpan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disengeketakan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disengketakan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illusoir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hampa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”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).</w:t>
      </w:r>
    </w:p>
    <w:p w14:paraId="775602CA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Hukum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Lembaga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261 RBG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Herzien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Inlandsch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Reglement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(HIR).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261 RBG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Jika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persangkaan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berhutang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mengalahkannya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penagih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diberitahukan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akanditentukan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seboleh-bolehnya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meneguhkan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39B60967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261 Ayat 1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Rechtreglement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Buitengewesten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(RBG),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720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Reglement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op de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Rechtvordering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digelapkan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diasingkan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yang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17937E60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Bertitik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penggarisan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277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utang-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memenihi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63E712" w14:textId="77777777" w:rsidR="00686B4E" w:rsidRPr="001E572A" w:rsidRDefault="00686B4E" w:rsidP="00686B4E">
      <w:pPr>
        <w:pStyle w:val="ListParagraph"/>
        <w:numPr>
          <w:ilvl w:val="0"/>
          <w:numId w:val="2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A447DF" w14:textId="77777777" w:rsidR="00686B4E" w:rsidRPr="001E572A" w:rsidRDefault="00686B4E" w:rsidP="00686B4E">
      <w:pPr>
        <w:pStyle w:val="ListParagraph"/>
        <w:numPr>
          <w:ilvl w:val="0"/>
          <w:numId w:val="22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peruntukkan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utang-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6627E7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1243 jo.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1247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;</w:t>
      </w:r>
    </w:p>
    <w:p w14:paraId="5A15A65A" w14:textId="77777777" w:rsidR="00686B4E" w:rsidRPr="001E572A" w:rsidRDefault="00686B4E" w:rsidP="00686B4E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(PMH)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1365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materill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imaterill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0B9BB7F2" w14:textId="77777777" w:rsidR="00686B4E" w:rsidRPr="001E572A" w:rsidRDefault="00686B4E" w:rsidP="00686B4E">
      <w:pPr>
        <w:pStyle w:val="ListParagraph"/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Milik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Revindicatoir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6BF2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Revindicatoir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kata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revindeceren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Benda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226 HIR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260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R.Bg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bunyinya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F6031F" w14:textId="77777777" w:rsidR="00686B4E" w:rsidRPr="001E572A" w:rsidRDefault="00686B4E" w:rsidP="00686B4E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kehadapan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berdiam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.”</w:t>
      </w:r>
    </w:p>
    <w:p w14:paraId="07E29ECC" w14:textId="77777777" w:rsidR="00686B4E" w:rsidRPr="001E572A" w:rsidRDefault="00686B4E" w:rsidP="00686B4E">
      <w:pPr>
        <w:spacing w:line="48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revindicatoir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oleh orang lain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1751 dan 1977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revindicatoir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1145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232 KUHD). 73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revindicatoir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oleh orang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</w:p>
    <w:p w14:paraId="1BF2A61E" w14:textId="77777777" w:rsidR="00686B4E" w:rsidRPr="001E572A" w:rsidRDefault="00686B4E" w:rsidP="00686B4E">
      <w:pPr>
        <w:pStyle w:val="ListParagraph"/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Bersama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(Marital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B949B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Marital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sebagian-bagiannya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Sita Marital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lawannya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membekukan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823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bunyinya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E0D1A0" w14:textId="77777777" w:rsidR="00686B4E" w:rsidRPr="001E572A" w:rsidRDefault="00686B4E" w:rsidP="00686B4E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190 BW,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penyegelan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Conservatoir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(BW. 251 RV.241, 652 V, 672 V, 675-3,720 V, 763 h V, 824, 840).”</w:t>
      </w:r>
    </w:p>
    <w:p w14:paraId="7BD6E6B9" w14:textId="77777777" w:rsidR="00686B4E" w:rsidRPr="001E572A" w:rsidRDefault="00686B4E" w:rsidP="00686B4E">
      <w:pPr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No. 9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1975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E544B" w14:textId="77777777" w:rsidR="00686B4E" w:rsidRPr="001E572A" w:rsidRDefault="00686B4E" w:rsidP="00686B4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“Selama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perm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ohonan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.”</w:t>
      </w:r>
    </w:p>
    <w:p w14:paraId="03D4C2A7" w14:textId="77777777" w:rsidR="00686B4E" w:rsidRPr="001E572A" w:rsidRDefault="00686B4E" w:rsidP="00686B4E">
      <w:pPr>
        <w:pStyle w:val="ListParagraph"/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Vergelijkende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C2875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vergelijkende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HIR dan RBG,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436 Rv.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saisie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sur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saisie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ne vault</w:t>
      </w:r>
      <w:r w:rsidRPr="001E57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E8D549" w14:textId="77777777" w:rsidR="00686B4E" w:rsidRPr="001E572A" w:rsidRDefault="00686B4E" w:rsidP="00686B4E">
      <w:pPr>
        <w:pStyle w:val="ListParagraph"/>
        <w:numPr>
          <w:ilvl w:val="0"/>
          <w:numId w:val="2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bersamaan</w:t>
      </w:r>
      <w:proofErr w:type="spellEnd"/>
    </w:p>
    <w:p w14:paraId="194B47FC" w14:textId="77777777" w:rsidR="00686B4E" w:rsidRPr="001E572A" w:rsidRDefault="00686B4E" w:rsidP="00686B4E">
      <w:pPr>
        <w:pStyle w:val="ListParagraph"/>
        <w:numPr>
          <w:ilvl w:val="0"/>
          <w:numId w:val="23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)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gantinya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781548B0" w14:textId="77777777" w:rsidR="00686B4E" w:rsidRPr="001E572A" w:rsidRDefault="00686B4E" w:rsidP="00686B4E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HIR dan RBG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vergelijkende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diakomodasi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process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doelmatigheid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Demi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436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63928657" w14:textId="77777777" w:rsidR="00686B4E" w:rsidRPr="001E572A" w:rsidRDefault="00686B4E" w:rsidP="00686B4E">
      <w:pPr>
        <w:pStyle w:val="ListParagraph"/>
        <w:numPr>
          <w:ilvl w:val="0"/>
          <w:numId w:val="2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Executoir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i/>
          <w:iCs/>
          <w:sz w:val="24"/>
          <w:szCs w:val="24"/>
        </w:rPr>
        <w:t>Beslag</w:t>
      </w:r>
      <w:proofErr w:type="spellEnd"/>
      <w:r w:rsidRPr="001E572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38A1EF" w14:textId="77777777" w:rsidR="00686B4E" w:rsidRPr="001E572A" w:rsidRDefault="00686B4E" w:rsidP="00686B4E">
      <w:pPr>
        <w:pStyle w:val="ListParagraph"/>
        <w:spacing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208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R.Bg</w:t>
      </w:r>
      <w:proofErr w:type="spellEnd"/>
      <w:proofErr w:type="gram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bunyinya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:</w:t>
      </w:r>
    </w:p>
    <w:p w14:paraId="22A8F7A3" w14:textId="77777777" w:rsidR="00686B4E" w:rsidRPr="001E572A" w:rsidRDefault="00686B4E" w:rsidP="00686B4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Pamongpraja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magistraat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dikuasakan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dianggapnya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ongkos-ongkos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keresidenan-keresidenan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Bengkulu, Sumatera Barat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Tapanuli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pusaka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melunaskan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jumlah-jumlah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HIR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444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).”</w:t>
      </w:r>
    </w:p>
    <w:p w14:paraId="4730E954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72A">
        <w:rPr>
          <w:rFonts w:ascii="Times New Roman" w:hAnsi="Times New Roman" w:cs="Times New Roman"/>
          <w:sz w:val="24"/>
          <w:szCs w:val="24"/>
        </w:rPr>
        <w:t xml:space="preserve">Sita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 HIR,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dilampaui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/Bank). 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lelang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3A740F70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unsurunsur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14:paraId="1180FFF3" w14:textId="77777777" w:rsidR="00686B4E" w:rsidRPr="001E572A" w:rsidRDefault="00686B4E" w:rsidP="00686B4E">
      <w:pPr>
        <w:pStyle w:val="ListParagraph"/>
        <w:numPr>
          <w:ilvl w:val="0"/>
          <w:numId w:val="2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diperingatkan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ex officio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Surat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panitera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1CE7D2F7" w14:textId="77777777" w:rsidR="00686B4E" w:rsidRPr="001E572A" w:rsidRDefault="00686B4E" w:rsidP="00686B4E">
      <w:pPr>
        <w:pStyle w:val="ListParagraph"/>
        <w:numPr>
          <w:ilvl w:val="0"/>
          <w:numId w:val="2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lastRenderedPageBreak/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196 HIR paling lama 8 (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Bila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dihukumkan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sz w:val="24"/>
          <w:szCs w:val="24"/>
        </w:rPr>
        <w:t>ex officio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0494FE5D" w14:textId="77777777" w:rsidR="00686B4E" w:rsidRPr="001E572A" w:rsidRDefault="00686B4E" w:rsidP="00686B4E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dikalahkan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>.</w:t>
      </w:r>
    </w:p>
    <w:p w14:paraId="62EEE4D7" w14:textId="77777777" w:rsidR="00686B4E" w:rsidRDefault="00686B4E" w:rsidP="00686B4E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b/>
          <w:bCs/>
          <w:sz w:val="24"/>
          <w:szCs w:val="24"/>
        </w:rPr>
        <w:t xml:space="preserve"> Sita </w:t>
      </w:r>
      <w:proofErr w:type="spellStart"/>
      <w:r w:rsidRPr="001E572A">
        <w:rPr>
          <w:rFonts w:ascii="Times New Roman" w:hAnsi="Times New Roman" w:cs="Times New Roman"/>
          <w:b/>
          <w:bCs/>
          <w:sz w:val="24"/>
          <w:szCs w:val="24"/>
        </w:rPr>
        <w:t>Eksekusi</w:t>
      </w:r>
      <w:proofErr w:type="spellEnd"/>
    </w:p>
    <w:p w14:paraId="01CDE8A5" w14:textId="77777777" w:rsidR="00686B4E" w:rsidRPr="000A581E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memeriksa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perkara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berwenang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wewenangnya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melimpahkan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delegasi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 yang lain,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terletak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hukumnya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192)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(2) HIR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206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. Manfaat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kepastian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menghindari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rebutan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negeri. Masing-masing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tahu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batas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jangkau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sehinngga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terbina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tertib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tiba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saatnya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lastRenderedPageBreak/>
        <w:t>Sekiranya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tertib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kewenagan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pasti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kekacauan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timbul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merasa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paling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berhak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1"/>
      </w:r>
    </w:p>
    <w:p w14:paraId="5362C1EE" w14:textId="77777777" w:rsidR="00686B4E" w:rsidRPr="000A581E" w:rsidRDefault="00686B4E" w:rsidP="00686B4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siapa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berwenang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195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(1) HIR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206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mutlak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Negeri.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Tinggi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Agung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soal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henda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Agung,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eksekusinya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tetap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dibawah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negeri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memutusan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perkarapada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Berdasakan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undan-gundang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mensentralisir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81E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0A58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B6A5F4" w14:textId="77777777" w:rsidR="00686B4E" w:rsidRPr="0094353B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Tinggi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Agung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mencampuri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banding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kasasi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bertindak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mengawasi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meluruskan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penyimpangan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penyimpangan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Sepanjang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penyimpagan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banding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kasasi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proofErr w:type="gram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berwenang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mencampurinya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Tinggi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Agung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petunjuk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Tinggi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Agung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member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petunjuk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pengarahan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diminta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wajar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Tinggi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Mahkamah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Agung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mencampuri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menyimpang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structural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menempatkan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mengawasi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mengoreksi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keliru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Sekiranya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mengawasi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meluruskan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keliru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menyimpang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wewenang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Negeri.</w:t>
      </w:r>
    </w:p>
    <w:p w14:paraId="100927A2" w14:textId="77777777" w:rsidR="00686B4E" w:rsidRPr="001E572A" w:rsidRDefault="00686B4E" w:rsidP="00686B4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Negeri 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memerintahkan</w:t>
      </w:r>
      <w:proofErr w:type="spellEnd"/>
      <w:proofErr w:type="gram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memimpin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formal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secario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 officio</w:t>
      </w: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dibaca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197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 HIR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208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. Maka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pembicaraan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195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1)HIR</w:t>
      </w:r>
      <w:proofErr w:type="gram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206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juga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lepas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kaitnnya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 HIR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208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mengkaitkan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pasal-pasal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konstruksi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singkat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4228D9" w14:textId="77777777" w:rsidR="00686B4E" w:rsidRPr="001E572A" w:rsidRDefault="00686B4E" w:rsidP="00686B4E">
      <w:pPr>
        <w:pStyle w:val="ListParagraph"/>
        <w:numPr>
          <w:ilvl w:val="0"/>
          <w:numId w:val="25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lastRenderedPageBreak/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memerintahkan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memimpin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25F31B" w14:textId="77777777" w:rsidR="00686B4E" w:rsidRPr="001E572A" w:rsidRDefault="00686B4E" w:rsidP="00686B4E">
      <w:pPr>
        <w:pStyle w:val="ListParagraph"/>
        <w:numPr>
          <w:ilvl w:val="0"/>
          <w:numId w:val="25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Kewenangan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memerintahkan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memimpin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 officio</w:t>
      </w: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5EC50B0" w14:textId="77777777" w:rsidR="00686B4E" w:rsidRPr="001E572A" w:rsidRDefault="00686B4E" w:rsidP="00686B4E">
      <w:pPr>
        <w:pStyle w:val="ListParagraph"/>
        <w:numPr>
          <w:ilvl w:val="0"/>
          <w:numId w:val="25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dikeluarkan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beschikking</w:t>
      </w:r>
      <w:proofErr w:type="spellEnd"/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14:paraId="45E04FC5" w14:textId="77777777" w:rsidR="00686B4E" w:rsidRPr="001E572A" w:rsidRDefault="00686B4E" w:rsidP="00686B4E">
      <w:pPr>
        <w:pStyle w:val="ListParagraph"/>
        <w:numPr>
          <w:ilvl w:val="0"/>
          <w:numId w:val="25"/>
        </w:numPr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diperintahkan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Panitera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Juru Sita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Negeri.</w:t>
      </w:r>
    </w:p>
    <w:p w14:paraId="49611E9E" w14:textId="77777777" w:rsidR="00686B4E" w:rsidRPr="006A5566" w:rsidRDefault="00686B4E" w:rsidP="00686B4E">
      <w:pPr>
        <w:spacing w:line="480" w:lineRule="auto"/>
        <w:ind w:left="10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196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(1)/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208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ditujukan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panitera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juru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sita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Surat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Negeri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berbentuk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penetapan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imperatif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lisan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(1)/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208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 officio</w:t>
      </w: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PN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perintah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surat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r w:rsidRPr="001E572A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yang</w:t>
      </w:r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formal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keabsahan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197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(4) HIR/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Pasal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209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(4)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RBg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tegas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memerintahkan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pejabat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</w:t>
      </w:r>
      <w:proofErr w:type="spellEnd"/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lastRenderedPageBreak/>
        <w:t>membuat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acara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berita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acara</w:t>
      </w:r>
      <w:r w:rsidRPr="001E5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eksekusi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dianggap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72A">
        <w:rPr>
          <w:rFonts w:ascii="Times New Roman" w:hAnsi="Times New Roman" w:cs="Times New Roman"/>
          <w:color w:val="000000"/>
          <w:sz w:val="24"/>
          <w:szCs w:val="24"/>
        </w:rPr>
        <w:t>sah</w:t>
      </w:r>
      <w:proofErr w:type="spellEnd"/>
      <w:r w:rsidRPr="001E57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572A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3"/>
      </w:r>
    </w:p>
    <w:p w14:paraId="2DE07C60" w14:textId="77777777" w:rsidR="00686B4E" w:rsidRPr="00617BAA" w:rsidRDefault="00686B4E" w:rsidP="00686B4E"/>
    <w:p w14:paraId="27FEF0CA" w14:textId="55E5E48C" w:rsidR="0037375F" w:rsidRDefault="0037375F"/>
    <w:sectPr w:rsidR="0037375F" w:rsidSect="005A5149">
      <w:headerReference w:type="default" r:id="rId9"/>
      <w:footerReference w:type="default" r:id="rId10"/>
      <w:footnotePr>
        <w:numStart w:val="7"/>
      </w:footnotePr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0D3C" w14:textId="77777777" w:rsidR="00E24337" w:rsidRDefault="00E24337" w:rsidP="00686B4E">
      <w:pPr>
        <w:spacing w:after="0" w:line="240" w:lineRule="auto"/>
      </w:pPr>
      <w:r>
        <w:separator/>
      </w:r>
    </w:p>
  </w:endnote>
  <w:endnote w:type="continuationSeparator" w:id="0">
    <w:p w14:paraId="3503A29A" w14:textId="77777777" w:rsidR="00E24337" w:rsidRDefault="00E24337" w:rsidP="0068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14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A5C0C" w14:textId="197A9AC6" w:rsidR="00686B4E" w:rsidRDefault="00686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D8B20" w14:textId="77777777" w:rsidR="00686B4E" w:rsidRDefault="0068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33C" w14:textId="77777777" w:rsidR="00686B4E" w:rsidRDefault="0068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A19F" w14:textId="77777777" w:rsidR="00E24337" w:rsidRDefault="00E24337" w:rsidP="00686B4E">
      <w:pPr>
        <w:spacing w:after="0" w:line="240" w:lineRule="auto"/>
      </w:pPr>
      <w:r>
        <w:separator/>
      </w:r>
    </w:p>
  </w:footnote>
  <w:footnote w:type="continuationSeparator" w:id="0">
    <w:p w14:paraId="2EF5A0F3" w14:textId="77777777" w:rsidR="00E24337" w:rsidRDefault="00E24337" w:rsidP="00686B4E">
      <w:pPr>
        <w:spacing w:after="0" w:line="240" w:lineRule="auto"/>
      </w:pPr>
      <w:r>
        <w:continuationSeparator/>
      </w:r>
    </w:p>
  </w:footnote>
  <w:footnote w:id="1">
    <w:p w14:paraId="4E0DA5C6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Sudikno</w:t>
      </w:r>
      <w:proofErr w:type="spellEnd"/>
      <w:r w:rsidRPr="00425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209.</w:t>
      </w:r>
    </w:p>
  </w:footnote>
  <w:footnote w:id="2">
    <w:p w14:paraId="181034B6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Djamanat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Samosir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C17FC">
        <w:rPr>
          <w:rFonts w:ascii="Times New Roman" w:hAnsi="Times New Roman" w:cs="Times New Roman"/>
          <w:i/>
          <w:iCs/>
        </w:rPr>
        <w:t xml:space="preserve">Hukum Acara </w:t>
      </w:r>
      <w:proofErr w:type="spellStart"/>
      <w:r w:rsidRPr="00BC17FC">
        <w:rPr>
          <w:rFonts w:ascii="Times New Roman" w:hAnsi="Times New Roman" w:cs="Times New Roman"/>
          <w:i/>
          <w:iCs/>
        </w:rPr>
        <w:t>Perdata</w:t>
      </w:r>
      <w:proofErr w:type="spellEnd"/>
      <w:r w:rsidRPr="00BC17FC">
        <w:rPr>
          <w:rFonts w:ascii="Times New Roman" w:hAnsi="Times New Roman" w:cs="Times New Roman"/>
          <w:i/>
          <w:iCs/>
        </w:rPr>
        <w:t xml:space="preserve"> Tahap-Tahap </w:t>
      </w:r>
      <w:proofErr w:type="spellStart"/>
      <w:r w:rsidRPr="00BC17FC">
        <w:rPr>
          <w:rFonts w:ascii="Times New Roman" w:hAnsi="Times New Roman" w:cs="Times New Roman"/>
          <w:i/>
          <w:iCs/>
        </w:rPr>
        <w:t>Penyelesaian</w:t>
      </w:r>
      <w:proofErr w:type="spellEnd"/>
      <w:r w:rsidRPr="00BC17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C17FC">
        <w:rPr>
          <w:rFonts w:ascii="Times New Roman" w:hAnsi="Times New Roman" w:cs="Times New Roman"/>
          <w:i/>
          <w:iCs/>
        </w:rPr>
        <w:t>Perkara</w:t>
      </w:r>
      <w:proofErr w:type="spellEnd"/>
      <w:r w:rsidRPr="00BC17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C17FC">
        <w:rPr>
          <w:rFonts w:ascii="Times New Roman" w:hAnsi="Times New Roman" w:cs="Times New Roman"/>
          <w:i/>
          <w:iCs/>
        </w:rPr>
        <w:t>Perdata</w:t>
      </w:r>
      <w:proofErr w:type="spellEnd"/>
      <w:r w:rsidRPr="00425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Nuansa</w:t>
      </w:r>
      <w:proofErr w:type="spellEnd"/>
      <w:r w:rsidRPr="0042562D">
        <w:rPr>
          <w:rFonts w:ascii="Times New Roman" w:hAnsi="Times New Roman" w:cs="Times New Roman"/>
        </w:rPr>
        <w:t xml:space="preserve"> Aulia, </w:t>
      </w:r>
      <w:r>
        <w:rPr>
          <w:rFonts w:ascii="Times New Roman" w:hAnsi="Times New Roman" w:cs="Times New Roman"/>
        </w:rPr>
        <w:t xml:space="preserve">Bandung, </w:t>
      </w:r>
      <w:r w:rsidRPr="0042562D">
        <w:rPr>
          <w:rFonts w:ascii="Times New Roman" w:hAnsi="Times New Roman" w:cs="Times New Roman"/>
        </w:rPr>
        <w:t xml:space="preserve">2011,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327</w:t>
      </w:r>
    </w:p>
  </w:footnote>
  <w:footnote w:id="3">
    <w:p w14:paraId="40C2E8AF" w14:textId="77777777" w:rsidR="00686B4E" w:rsidRPr="00CB2AE4" w:rsidRDefault="00686B4E" w:rsidP="00686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B2AE4">
        <w:rPr>
          <w:rFonts w:ascii="Times New Roman" w:hAnsi="Times New Roman" w:cs="Times New Roman"/>
          <w:color w:val="000000"/>
          <w:sz w:val="20"/>
          <w:szCs w:val="20"/>
        </w:rPr>
        <w:t xml:space="preserve">Muhamad Revy </w:t>
      </w:r>
      <w:proofErr w:type="spellStart"/>
      <w:r w:rsidRPr="00CB2AE4">
        <w:rPr>
          <w:rFonts w:ascii="Times New Roman" w:hAnsi="Times New Roman" w:cs="Times New Roman"/>
          <w:color w:val="000000"/>
          <w:sz w:val="20"/>
          <w:szCs w:val="20"/>
        </w:rPr>
        <w:t>Shadieva</w:t>
      </w:r>
      <w:proofErr w:type="spellEnd"/>
      <w:r w:rsidRPr="00CB2AE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Pelaksanaan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Sita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Eksekusi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Terhadap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Obyek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Sita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Eksekusi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(Lahan) Yang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Berada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Di Wilayah </w:t>
      </w:r>
      <w:proofErr w:type="spell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Pengadilan</w:t>
      </w:r>
      <w:proofErr w:type="spellEnd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Negeri </w:t>
      </w:r>
      <w:proofErr w:type="spellStart"/>
      <w:proofErr w:type="gramStart"/>
      <w:r w:rsidRPr="00CB2A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Samarinda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Hukum, Volume 7,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2021,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hlm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8</w:t>
      </w:r>
    </w:p>
  </w:footnote>
  <w:footnote w:id="4">
    <w:p w14:paraId="10654EC1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Wildan </w:t>
      </w:r>
      <w:proofErr w:type="spellStart"/>
      <w:r w:rsidRPr="0042562D">
        <w:rPr>
          <w:rFonts w:ascii="Times New Roman" w:hAnsi="Times New Roman" w:cs="Times New Roman"/>
        </w:rPr>
        <w:t>Suyuthi</w:t>
      </w:r>
      <w:proofErr w:type="spellEnd"/>
      <w:r w:rsidRPr="0042562D">
        <w:rPr>
          <w:rFonts w:ascii="Times New Roman" w:hAnsi="Times New Roman" w:cs="Times New Roman"/>
        </w:rPr>
        <w:t xml:space="preserve">, Sita </w:t>
      </w:r>
      <w:proofErr w:type="spellStart"/>
      <w:r w:rsidRPr="0042562D">
        <w:rPr>
          <w:rFonts w:ascii="Times New Roman" w:hAnsi="Times New Roman" w:cs="Times New Roman"/>
        </w:rPr>
        <w:t>Eksekusi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Praktek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Kejurusitaan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Pengadilan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2562D">
        <w:rPr>
          <w:rFonts w:ascii="Times New Roman" w:hAnsi="Times New Roman" w:cs="Times New Roman"/>
        </w:rPr>
        <w:t>PT.Tatanusa</w:t>
      </w:r>
      <w:proofErr w:type="spellEnd"/>
      <w:proofErr w:type="gramEnd"/>
      <w:r w:rsidRPr="00425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Jakarta,</w:t>
      </w:r>
      <w:r w:rsidRPr="0042562D">
        <w:rPr>
          <w:rFonts w:ascii="Times New Roman" w:hAnsi="Times New Roman" w:cs="Times New Roman"/>
        </w:rPr>
        <w:t xml:space="preserve"> 2004</w:t>
      </w:r>
      <w:r>
        <w:rPr>
          <w:rFonts w:ascii="Times New Roman" w:hAnsi="Times New Roman" w:cs="Times New Roman"/>
        </w:rPr>
        <w:t xml:space="preserve">, </w:t>
      </w:r>
      <w:r w:rsidRPr="0042562D">
        <w:rPr>
          <w:rFonts w:ascii="Times New Roman" w:hAnsi="Times New Roman" w:cs="Times New Roman"/>
        </w:rPr>
        <w:t>,hlm.60</w:t>
      </w:r>
    </w:p>
  </w:footnote>
  <w:footnote w:id="5">
    <w:p w14:paraId="198AF90A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Samosir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, </w:t>
      </w:r>
      <w:r w:rsidRPr="0042562D">
        <w:rPr>
          <w:rFonts w:ascii="Times New Roman" w:hAnsi="Times New Roman" w:cs="Times New Roman"/>
        </w:rPr>
        <w:t>hlm.328.</w:t>
      </w:r>
    </w:p>
  </w:footnote>
  <w:footnote w:id="6">
    <w:p w14:paraId="0380AD95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3052BD">
        <w:rPr>
          <w:rStyle w:val="FootnoteReference"/>
          <w:rFonts w:ascii="Times New Roman" w:hAnsi="Times New Roman" w:cs="Times New Roman"/>
        </w:rPr>
        <w:footnoteRef/>
      </w:r>
      <w:r w:rsidRPr="003052BD">
        <w:rPr>
          <w:rFonts w:ascii="Times New Roman" w:hAnsi="Times New Roman" w:cs="Times New Roman"/>
        </w:rPr>
        <w:t xml:space="preserve"> </w:t>
      </w:r>
      <w:r w:rsidRPr="003052BD">
        <w:rPr>
          <w:rFonts w:ascii="Times New Roman" w:hAnsi="Times New Roman" w:cs="Times New Roman"/>
          <w:shd w:val="clear" w:color="auto" w:fill="FFFFFF"/>
        </w:rPr>
        <w:t xml:space="preserve"> Abdul Manan, </w:t>
      </w:r>
      <w:proofErr w:type="spellStart"/>
      <w:r w:rsidRPr="003052BD">
        <w:rPr>
          <w:rFonts w:ascii="Times New Roman" w:hAnsi="Times New Roman" w:cs="Times New Roman"/>
          <w:i/>
          <w:iCs/>
          <w:shd w:val="clear" w:color="auto" w:fill="FFFFFF"/>
        </w:rPr>
        <w:t>Penerapan</w:t>
      </w:r>
      <w:proofErr w:type="spellEnd"/>
      <w:r w:rsidRPr="003052BD">
        <w:rPr>
          <w:rFonts w:ascii="Times New Roman" w:hAnsi="Times New Roman" w:cs="Times New Roman"/>
          <w:i/>
          <w:iCs/>
          <w:shd w:val="clear" w:color="auto" w:fill="FFFFFF"/>
        </w:rPr>
        <w:t xml:space="preserve"> Hukum Acara </w:t>
      </w:r>
      <w:proofErr w:type="spellStart"/>
      <w:r w:rsidRPr="003052BD">
        <w:rPr>
          <w:rFonts w:ascii="Times New Roman" w:hAnsi="Times New Roman" w:cs="Times New Roman"/>
          <w:i/>
          <w:iCs/>
          <w:shd w:val="clear" w:color="auto" w:fill="FFFFFF"/>
        </w:rPr>
        <w:t>Perdata</w:t>
      </w:r>
      <w:proofErr w:type="spellEnd"/>
      <w:r w:rsidRPr="003052BD">
        <w:rPr>
          <w:rFonts w:ascii="Times New Roman" w:hAnsi="Times New Roman" w:cs="Times New Roman"/>
          <w:i/>
          <w:iCs/>
          <w:shd w:val="clear" w:color="auto" w:fill="FFFFFF"/>
        </w:rPr>
        <w:t xml:space="preserve"> Di </w:t>
      </w:r>
      <w:proofErr w:type="spellStart"/>
      <w:r w:rsidRPr="003052BD">
        <w:rPr>
          <w:rFonts w:ascii="Times New Roman" w:hAnsi="Times New Roman" w:cs="Times New Roman"/>
          <w:i/>
          <w:iCs/>
          <w:shd w:val="clear" w:color="auto" w:fill="FFFFFF"/>
        </w:rPr>
        <w:t>Lingkungan</w:t>
      </w:r>
      <w:proofErr w:type="spellEnd"/>
      <w:r w:rsidRPr="003052B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3052BD">
        <w:rPr>
          <w:rFonts w:ascii="Times New Roman" w:hAnsi="Times New Roman" w:cs="Times New Roman"/>
          <w:i/>
          <w:iCs/>
          <w:shd w:val="clear" w:color="auto" w:fill="FFFFFF"/>
        </w:rPr>
        <w:t>peradilan</w:t>
      </w:r>
      <w:proofErr w:type="spellEnd"/>
      <w:r w:rsidRPr="003052BD">
        <w:rPr>
          <w:rFonts w:ascii="Times New Roman" w:hAnsi="Times New Roman" w:cs="Times New Roman"/>
          <w:i/>
          <w:iCs/>
          <w:shd w:val="clear" w:color="auto" w:fill="FFFFFF"/>
        </w:rPr>
        <w:t xml:space="preserve"> Agama</w:t>
      </w:r>
      <w:r w:rsidRPr="003052BD">
        <w:rPr>
          <w:rFonts w:ascii="Times New Roman" w:hAnsi="Times New Roman" w:cs="Times New Roman"/>
          <w:shd w:val="clear" w:color="auto" w:fill="FFFFFF"/>
        </w:rPr>
        <w:t xml:space="preserve">, Putra </w:t>
      </w:r>
      <w:proofErr w:type="spellStart"/>
      <w:r w:rsidRPr="003052BD">
        <w:rPr>
          <w:rFonts w:ascii="Times New Roman" w:hAnsi="Times New Roman" w:cs="Times New Roman"/>
          <w:shd w:val="clear" w:color="auto" w:fill="FFFFFF"/>
        </w:rPr>
        <w:t>Grafika</w:t>
      </w:r>
      <w:proofErr w:type="spellEnd"/>
      <w:r w:rsidRPr="003052BD">
        <w:rPr>
          <w:rFonts w:ascii="Times New Roman" w:hAnsi="Times New Roman" w:cs="Times New Roman"/>
          <w:shd w:val="clear" w:color="auto" w:fill="FFFFFF"/>
        </w:rPr>
        <w:t xml:space="preserve">, Jakarta, 2005, </w:t>
      </w:r>
      <w:proofErr w:type="spellStart"/>
      <w:r w:rsidRPr="003052BD">
        <w:rPr>
          <w:rFonts w:ascii="Times New Roman" w:hAnsi="Times New Roman" w:cs="Times New Roman"/>
          <w:shd w:val="clear" w:color="auto" w:fill="FFFFFF"/>
        </w:rPr>
        <w:t>hlm</w:t>
      </w:r>
      <w:proofErr w:type="spellEnd"/>
      <w:r w:rsidRPr="003052BD">
        <w:rPr>
          <w:rFonts w:ascii="Times New Roman" w:hAnsi="Times New Roman" w:cs="Times New Roman"/>
          <w:shd w:val="clear" w:color="auto" w:fill="FFFFFF"/>
        </w:rPr>
        <w:t>. 13</w:t>
      </w:r>
    </w:p>
  </w:footnote>
  <w:footnote w:id="7">
    <w:p w14:paraId="7A8FE266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Johanes </w:t>
      </w:r>
      <w:proofErr w:type="spellStart"/>
      <w:r w:rsidRPr="0042562D">
        <w:rPr>
          <w:rFonts w:ascii="Times New Roman" w:hAnsi="Times New Roman" w:cs="Times New Roman"/>
        </w:rPr>
        <w:t>Bratawijaya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8233F3">
        <w:rPr>
          <w:rFonts w:ascii="Times New Roman" w:hAnsi="Times New Roman" w:cs="Times New Roman"/>
          <w:i/>
          <w:iCs/>
        </w:rPr>
        <w:t>Eksekutabilitas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Putusan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Peradilan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Perdata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(Penelitian Asas, Norma, Dan </w:t>
      </w:r>
      <w:proofErr w:type="spellStart"/>
      <w:r w:rsidRPr="008233F3">
        <w:rPr>
          <w:rFonts w:ascii="Times New Roman" w:hAnsi="Times New Roman" w:cs="Times New Roman"/>
          <w:i/>
          <w:iCs/>
        </w:rPr>
        <w:t>Praktek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Penerapannya</w:t>
      </w:r>
      <w:proofErr w:type="spellEnd"/>
      <w:r w:rsidRPr="008233F3">
        <w:rPr>
          <w:rFonts w:ascii="Times New Roman" w:hAnsi="Times New Roman" w:cs="Times New Roman"/>
          <w:i/>
          <w:iCs/>
        </w:rPr>
        <w:t>)</w:t>
      </w:r>
      <w:r w:rsidRPr="00425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Puslitbang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hukum</w:t>
      </w:r>
      <w:proofErr w:type="spellEnd"/>
      <w:r w:rsidRPr="0042562D">
        <w:rPr>
          <w:rFonts w:ascii="Times New Roman" w:hAnsi="Times New Roman" w:cs="Times New Roman"/>
        </w:rPr>
        <w:t xml:space="preserve"> dan </w:t>
      </w:r>
      <w:proofErr w:type="spellStart"/>
      <w:r w:rsidRPr="0042562D">
        <w:rPr>
          <w:rFonts w:ascii="Times New Roman" w:hAnsi="Times New Roman" w:cs="Times New Roman"/>
        </w:rPr>
        <w:t>peradilan</w:t>
      </w:r>
      <w:proofErr w:type="spellEnd"/>
      <w:r w:rsidRPr="0042562D">
        <w:rPr>
          <w:rFonts w:ascii="Times New Roman" w:hAnsi="Times New Roman" w:cs="Times New Roman"/>
        </w:rPr>
        <w:t xml:space="preserve"> Badan </w:t>
      </w:r>
      <w:proofErr w:type="spellStart"/>
      <w:r w:rsidRPr="0042562D">
        <w:rPr>
          <w:rFonts w:ascii="Times New Roman" w:hAnsi="Times New Roman" w:cs="Times New Roman"/>
        </w:rPr>
        <w:t>Litbang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Diklat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Kumdil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Mahkamah</w:t>
      </w:r>
      <w:proofErr w:type="spellEnd"/>
      <w:r w:rsidRPr="0042562D">
        <w:rPr>
          <w:rFonts w:ascii="Times New Roman" w:hAnsi="Times New Roman" w:cs="Times New Roman"/>
        </w:rPr>
        <w:t xml:space="preserve"> Agung RI, </w:t>
      </w:r>
      <w:r>
        <w:rPr>
          <w:rFonts w:ascii="Times New Roman" w:hAnsi="Times New Roman" w:cs="Times New Roman"/>
        </w:rPr>
        <w:t xml:space="preserve">Jakarta, </w:t>
      </w:r>
      <w:r w:rsidRPr="0042562D"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>,</w:t>
      </w:r>
      <w:r w:rsidRPr="0042562D">
        <w:rPr>
          <w:rFonts w:ascii="Times New Roman" w:hAnsi="Times New Roman" w:cs="Times New Roman"/>
        </w:rPr>
        <w:t xml:space="preserve"> hlm.39</w:t>
      </w:r>
    </w:p>
  </w:footnote>
  <w:footnote w:id="8">
    <w:p w14:paraId="7CED68E0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Badriyah Harun</w:t>
      </w:r>
      <w:r w:rsidRPr="008233F3">
        <w:rPr>
          <w:rFonts w:ascii="Times New Roman" w:hAnsi="Times New Roman" w:cs="Times New Roman"/>
          <w:i/>
          <w:iCs/>
        </w:rPr>
        <w:t xml:space="preserve">, Tata Cara </w:t>
      </w:r>
      <w:proofErr w:type="spellStart"/>
      <w:r w:rsidRPr="008233F3">
        <w:rPr>
          <w:rFonts w:ascii="Times New Roman" w:hAnsi="Times New Roman" w:cs="Times New Roman"/>
          <w:i/>
          <w:iCs/>
        </w:rPr>
        <w:t>Menghadapi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Gugatan</w:t>
      </w:r>
      <w:proofErr w:type="spellEnd"/>
      <w:r w:rsidRPr="008233F3">
        <w:rPr>
          <w:rFonts w:ascii="Times New Roman" w:hAnsi="Times New Roman" w:cs="Times New Roman"/>
          <w:i/>
          <w:iCs/>
        </w:rPr>
        <w:t>,</w:t>
      </w:r>
      <w:r w:rsidRPr="0042562D">
        <w:rPr>
          <w:rFonts w:ascii="Times New Roman" w:hAnsi="Times New Roman" w:cs="Times New Roman"/>
        </w:rPr>
        <w:t xml:space="preserve"> Pustaka </w:t>
      </w:r>
      <w:proofErr w:type="spellStart"/>
      <w:proofErr w:type="gramStart"/>
      <w:r w:rsidRPr="0042562D">
        <w:rPr>
          <w:rFonts w:ascii="Times New Roman" w:hAnsi="Times New Roman" w:cs="Times New Roman"/>
        </w:rPr>
        <w:t>Yustisia,Yogyakarta</w:t>
      </w:r>
      <w:proofErr w:type="spellEnd"/>
      <w:proofErr w:type="gramEnd"/>
      <w:r w:rsidRPr="0042562D">
        <w:rPr>
          <w:rFonts w:ascii="Times New Roman" w:hAnsi="Times New Roman" w:cs="Times New Roman"/>
        </w:rPr>
        <w:t xml:space="preserve">, 2009,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67</w:t>
      </w:r>
    </w:p>
  </w:footnote>
  <w:footnote w:id="9">
    <w:p w14:paraId="3ADD4319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Rika </w:t>
      </w:r>
      <w:proofErr w:type="spellStart"/>
      <w:r w:rsidRPr="0042562D">
        <w:rPr>
          <w:rFonts w:ascii="Times New Roman" w:hAnsi="Times New Roman" w:cs="Times New Roman"/>
        </w:rPr>
        <w:t>Yulita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8233F3">
        <w:rPr>
          <w:rFonts w:ascii="Times New Roman" w:hAnsi="Times New Roman" w:cs="Times New Roman"/>
          <w:i/>
          <w:iCs/>
        </w:rPr>
        <w:t>Tinjauan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Yuridis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Pelaksanaan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Sita </w:t>
      </w:r>
      <w:proofErr w:type="spellStart"/>
      <w:r w:rsidRPr="008233F3">
        <w:rPr>
          <w:rFonts w:ascii="Times New Roman" w:hAnsi="Times New Roman" w:cs="Times New Roman"/>
          <w:i/>
          <w:iCs/>
        </w:rPr>
        <w:t>Jaminan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Terhadap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Barang Milik </w:t>
      </w:r>
      <w:proofErr w:type="spellStart"/>
      <w:r w:rsidRPr="008233F3">
        <w:rPr>
          <w:rFonts w:ascii="Times New Roman" w:hAnsi="Times New Roman" w:cs="Times New Roman"/>
          <w:i/>
          <w:iCs/>
        </w:rPr>
        <w:t>Tergugat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r w:rsidRPr="008233F3">
        <w:rPr>
          <w:rFonts w:ascii="Times New Roman" w:hAnsi="Times New Roman" w:cs="Times New Roman"/>
          <w:i/>
          <w:iCs/>
        </w:rPr>
        <w:t xml:space="preserve">Dalam </w:t>
      </w:r>
      <w:proofErr w:type="spellStart"/>
      <w:r w:rsidRPr="008233F3">
        <w:rPr>
          <w:rFonts w:ascii="Times New Roman" w:hAnsi="Times New Roman" w:cs="Times New Roman"/>
          <w:i/>
          <w:iCs/>
        </w:rPr>
        <w:t>Suatu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Perkara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Perdata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dalam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562D">
        <w:rPr>
          <w:rFonts w:ascii="Times New Roman" w:hAnsi="Times New Roman" w:cs="Times New Roman"/>
        </w:rPr>
        <w:t>Jurnal</w:t>
      </w:r>
      <w:proofErr w:type="spellEnd"/>
      <w:r w:rsidRPr="0042562D">
        <w:rPr>
          <w:rFonts w:ascii="Times New Roman" w:hAnsi="Times New Roman" w:cs="Times New Roman"/>
        </w:rPr>
        <w:t xml:space="preserve">  </w:t>
      </w:r>
      <w:proofErr w:type="spellStart"/>
      <w:r w:rsidRPr="0042562D">
        <w:rPr>
          <w:rFonts w:ascii="Times New Roman" w:hAnsi="Times New Roman" w:cs="Times New Roman"/>
        </w:rPr>
        <w:t>Ilmiah</w:t>
      </w:r>
      <w:proofErr w:type="spellEnd"/>
      <w:proofErr w:type="gramEnd"/>
      <w:r w:rsidRPr="0042562D">
        <w:rPr>
          <w:rFonts w:ascii="Times New Roman" w:hAnsi="Times New Roman" w:cs="Times New Roman"/>
        </w:rPr>
        <w:t xml:space="preserve"> Nasional </w:t>
      </w:r>
      <w:proofErr w:type="spellStart"/>
      <w:r w:rsidRPr="0042562D">
        <w:rPr>
          <w:rFonts w:ascii="Times New Roman" w:hAnsi="Times New Roman" w:cs="Times New Roman"/>
        </w:rPr>
        <w:t>Mahasiswa</w:t>
      </w:r>
      <w:proofErr w:type="spellEnd"/>
      <w:r w:rsidRPr="0042562D">
        <w:rPr>
          <w:rFonts w:ascii="Times New Roman" w:hAnsi="Times New Roman" w:cs="Times New Roman"/>
        </w:rPr>
        <w:t xml:space="preserve"> Hukum, Volume 2, </w:t>
      </w:r>
      <w:proofErr w:type="spellStart"/>
      <w:r w:rsidRPr="0042562D">
        <w:rPr>
          <w:rFonts w:ascii="Times New Roman" w:hAnsi="Times New Roman" w:cs="Times New Roman"/>
        </w:rPr>
        <w:t>Nomor</w:t>
      </w:r>
      <w:proofErr w:type="spellEnd"/>
      <w:r w:rsidRPr="0042562D">
        <w:rPr>
          <w:rFonts w:ascii="Times New Roman" w:hAnsi="Times New Roman" w:cs="Times New Roman"/>
        </w:rPr>
        <w:t xml:space="preserve"> 1, Januari 2019,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82</w:t>
      </w:r>
    </w:p>
  </w:footnote>
  <w:footnote w:id="10">
    <w:p w14:paraId="5563FB4F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Wildan </w:t>
      </w:r>
      <w:proofErr w:type="spellStart"/>
      <w:r w:rsidRPr="0042562D">
        <w:rPr>
          <w:rFonts w:ascii="Times New Roman" w:hAnsi="Times New Roman" w:cs="Times New Roman"/>
        </w:rPr>
        <w:t>Suyuthi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2562D"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 w:rsidRPr="0042562D">
        <w:rPr>
          <w:rFonts w:ascii="Times New Roman" w:hAnsi="Times New Roman" w:cs="Times New Roman"/>
          <w:i/>
          <w:iCs/>
        </w:rPr>
        <w:t xml:space="preserve"> </w:t>
      </w:r>
      <w:r w:rsidRPr="0042562D">
        <w:rPr>
          <w:rFonts w:ascii="Times New Roman" w:hAnsi="Times New Roman" w:cs="Times New Roman"/>
        </w:rPr>
        <w:t>, hlm.20</w:t>
      </w:r>
    </w:p>
  </w:footnote>
  <w:footnote w:id="11">
    <w:p w14:paraId="77ACEEBF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Retno</w:t>
      </w:r>
      <w:proofErr w:type="spellEnd"/>
      <w:r w:rsidRPr="0042562D">
        <w:rPr>
          <w:rFonts w:ascii="Times New Roman" w:hAnsi="Times New Roman" w:cs="Times New Roman"/>
        </w:rPr>
        <w:t xml:space="preserve"> Wulan S dan Iskandar O, </w:t>
      </w:r>
      <w:r w:rsidRPr="008233F3">
        <w:rPr>
          <w:rFonts w:ascii="Times New Roman" w:hAnsi="Times New Roman" w:cs="Times New Roman"/>
          <w:i/>
          <w:iCs/>
        </w:rPr>
        <w:t xml:space="preserve">Hukum Acara </w:t>
      </w:r>
      <w:proofErr w:type="spellStart"/>
      <w:r w:rsidRPr="008233F3">
        <w:rPr>
          <w:rFonts w:ascii="Times New Roman" w:hAnsi="Times New Roman" w:cs="Times New Roman"/>
          <w:i/>
          <w:iCs/>
        </w:rPr>
        <w:t>Perdata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8233F3">
        <w:rPr>
          <w:rFonts w:ascii="Times New Roman" w:hAnsi="Times New Roman" w:cs="Times New Roman"/>
          <w:i/>
          <w:iCs/>
        </w:rPr>
        <w:t>Praksely</w:t>
      </w:r>
      <w:proofErr w:type="spellEnd"/>
      <w:r w:rsidRPr="0042562D">
        <w:rPr>
          <w:rFonts w:ascii="Times New Roman" w:hAnsi="Times New Roman" w:cs="Times New Roman"/>
        </w:rPr>
        <w:t xml:space="preserve">, CV Mandar Maju, Bandung, 2002, </w:t>
      </w:r>
      <w:proofErr w:type="spellStart"/>
      <w:r w:rsidRPr="0042562D">
        <w:rPr>
          <w:rFonts w:ascii="Times New Roman" w:hAnsi="Times New Roman" w:cs="Times New Roman"/>
        </w:rPr>
        <w:t>hal</w:t>
      </w:r>
      <w:proofErr w:type="spellEnd"/>
      <w:r w:rsidRPr="0042562D">
        <w:rPr>
          <w:rFonts w:ascii="Times New Roman" w:hAnsi="Times New Roman" w:cs="Times New Roman"/>
        </w:rPr>
        <w:t>. 98</w:t>
      </w:r>
    </w:p>
  </w:footnote>
  <w:footnote w:id="12">
    <w:p w14:paraId="4050088D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M. Yahya </w:t>
      </w:r>
      <w:proofErr w:type="spellStart"/>
      <w:r w:rsidRPr="0042562D">
        <w:rPr>
          <w:rFonts w:ascii="Times New Roman" w:hAnsi="Times New Roman" w:cs="Times New Roman"/>
        </w:rPr>
        <w:t>Harahap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r w:rsidRPr="008233F3">
        <w:rPr>
          <w:rFonts w:ascii="Times New Roman" w:hAnsi="Times New Roman" w:cs="Times New Roman"/>
          <w:i/>
          <w:iCs/>
        </w:rPr>
        <w:t xml:space="preserve">Hukum Acara </w:t>
      </w:r>
      <w:proofErr w:type="spellStart"/>
      <w:r w:rsidRPr="008233F3">
        <w:rPr>
          <w:rFonts w:ascii="Times New Roman" w:hAnsi="Times New Roman" w:cs="Times New Roman"/>
          <w:i/>
          <w:iCs/>
        </w:rPr>
        <w:t>Perdata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tentang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Gugatan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233F3">
        <w:rPr>
          <w:rFonts w:ascii="Times New Roman" w:hAnsi="Times New Roman" w:cs="Times New Roman"/>
          <w:i/>
          <w:iCs/>
        </w:rPr>
        <w:t>Persidangan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233F3">
        <w:rPr>
          <w:rFonts w:ascii="Times New Roman" w:hAnsi="Times New Roman" w:cs="Times New Roman"/>
          <w:i/>
          <w:iCs/>
        </w:rPr>
        <w:t>Penyitaan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233F3">
        <w:rPr>
          <w:rFonts w:ascii="Times New Roman" w:hAnsi="Times New Roman" w:cs="Times New Roman"/>
          <w:i/>
          <w:iCs/>
        </w:rPr>
        <w:t>Pembuktian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, dan </w:t>
      </w:r>
      <w:proofErr w:type="spellStart"/>
      <w:r w:rsidRPr="008233F3">
        <w:rPr>
          <w:rFonts w:ascii="Times New Roman" w:hAnsi="Times New Roman" w:cs="Times New Roman"/>
          <w:i/>
          <w:iCs/>
        </w:rPr>
        <w:t>Putusan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Pengadilan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Sinar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Grafika</w:t>
      </w:r>
      <w:proofErr w:type="spellEnd"/>
      <w:r w:rsidRPr="0042562D">
        <w:rPr>
          <w:rFonts w:ascii="Times New Roman" w:hAnsi="Times New Roman" w:cs="Times New Roman"/>
        </w:rPr>
        <w:t xml:space="preserve">, Jakarta, 2009,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282</w:t>
      </w:r>
    </w:p>
  </w:footnote>
  <w:footnote w:id="13">
    <w:p w14:paraId="5964EA1B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Muhammad Nasir, </w:t>
      </w:r>
      <w:r w:rsidRPr="008233F3">
        <w:rPr>
          <w:rFonts w:ascii="Times New Roman" w:hAnsi="Times New Roman" w:cs="Times New Roman"/>
          <w:i/>
          <w:iCs/>
        </w:rPr>
        <w:t xml:space="preserve">Hukum Acara </w:t>
      </w:r>
      <w:proofErr w:type="spellStart"/>
      <w:r w:rsidRPr="008233F3">
        <w:rPr>
          <w:rFonts w:ascii="Times New Roman" w:hAnsi="Times New Roman" w:cs="Times New Roman"/>
          <w:i/>
          <w:iCs/>
        </w:rPr>
        <w:t>Perdata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Djambatan</w:t>
      </w:r>
      <w:proofErr w:type="spellEnd"/>
      <w:r w:rsidRPr="0042562D">
        <w:rPr>
          <w:rFonts w:ascii="Times New Roman" w:hAnsi="Times New Roman" w:cs="Times New Roman"/>
        </w:rPr>
        <w:t xml:space="preserve">, Jakarta, 2005, </w:t>
      </w:r>
      <w:proofErr w:type="spellStart"/>
      <w:r w:rsidRPr="0042562D">
        <w:rPr>
          <w:rFonts w:ascii="Times New Roman" w:hAnsi="Times New Roman" w:cs="Times New Roman"/>
        </w:rPr>
        <w:t>hal</w:t>
      </w:r>
      <w:proofErr w:type="spellEnd"/>
      <w:r w:rsidRPr="0042562D">
        <w:rPr>
          <w:rFonts w:ascii="Times New Roman" w:hAnsi="Times New Roman" w:cs="Times New Roman"/>
        </w:rPr>
        <w:t>. 89.</w:t>
      </w:r>
    </w:p>
  </w:footnote>
  <w:footnote w:id="14">
    <w:p w14:paraId="0F75E255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Yahya </w:t>
      </w:r>
      <w:proofErr w:type="spellStart"/>
      <w:r w:rsidRPr="0042562D">
        <w:rPr>
          <w:rFonts w:ascii="Times New Roman" w:hAnsi="Times New Roman" w:cs="Times New Roman"/>
        </w:rPr>
        <w:t>Harahap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2562D"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285</w:t>
      </w:r>
    </w:p>
  </w:footnote>
  <w:footnote w:id="15">
    <w:p w14:paraId="38788629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r w:rsidRPr="0042562D">
        <w:rPr>
          <w:rFonts w:ascii="Times New Roman" w:hAnsi="Times New Roman" w:cs="Times New Roman"/>
          <w:i/>
          <w:iCs/>
        </w:rPr>
        <w:t xml:space="preserve">Ibid,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286</w:t>
      </w:r>
    </w:p>
  </w:footnote>
  <w:footnote w:id="16">
    <w:p w14:paraId="02BF9DFA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r w:rsidRPr="0042562D">
        <w:rPr>
          <w:rFonts w:ascii="Times New Roman" w:hAnsi="Times New Roman" w:cs="Times New Roman"/>
          <w:i/>
          <w:iCs/>
        </w:rPr>
        <w:t xml:space="preserve">Ibid,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303-304</w:t>
      </w:r>
    </w:p>
  </w:footnote>
  <w:footnote w:id="17">
    <w:p w14:paraId="0C1C3373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Putusan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Mahkamah</w:t>
      </w:r>
      <w:proofErr w:type="spellEnd"/>
      <w:r w:rsidRPr="0042562D">
        <w:rPr>
          <w:rFonts w:ascii="Times New Roman" w:hAnsi="Times New Roman" w:cs="Times New Roman"/>
        </w:rPr>
        <w:t xml:space="preserve"> Agung No. 1076 K/</w:t>
      </w:r>
      <w:proofErr w:type="spellStart"/>
      <w:r w:rsidRPr="0042562D">
        <w:rPr>
          <w:rFonts w:ascii="Times New Roman" w:hAnsi="Times New Roman" w:cs="Times New Roman"/>
        </w:rPr>
        <w:t>Pdt</w:t>
      </w:r>
      <w:proofErr w:type="spellEnd"/>
      <w:r w:rsidRPr="0042562D">
        <w:rPr>
          <w:rFonts w:ascii="Times New Roman" w:hAnsi="Times New Roman" w:cs="Times New Roman"/>
        </w:rPr>
        <w:t xml:space="preserve">/1984 </w:t>
      </w:r>
      <w:proofErr w:type="spellStart"/>
      <w:r w:rsidRPr="0042562D">
        <w:rPr>
          <w:rFonts w:ascii="Times New Roman" w:hAnsi="Times New Roman" w:cs="Times New Roman"/>
        </w:rPr>
        <w:t>tanggal</w:t>
      </w:r>
      <w:proofErr w:type="spellEnd"/>
      <w:r w:rsidRPr="0042562D">
        <w:rPr>
          <w:rFonts w:ascii="Times New Roman" w:hAnsi="Times New Roman" w:cs="Times New Roman"/>
        </w:rPr>
        <w:t xml:space="preserve"> 10 </w:t>
      </w:r>
      <w:proofErr w:type="spellStart"/>
      <w:r w:rsidRPr="0042562D">
        <w:rPr>
          <w:rFonts w:ascii="Times New Roman" w:hAnsi="Times New Roman" w:cs="Times New Roman"/>
        </w:rPr>
        <w:t>Juli</w:t>
      </w:r>
      <w:proofErr w:type="spellEnd"/>
      <w:r w:rsidRPr="0042562D">
        <w:rPr>
          <w:rFonts w:ascii="Times New Roman" w:hAnsi="Times New Roman" w:cs="Times New Roman"/>
        </w:rPr>
        <w:t xml:space="preserve"> 1984 jo. </w:t>
      </w:r>
      <w:proofErr w:type="spellStart"/>
      <w:r w:rsidRPr="0042562D">
        <w:rPr>
          <w:rFonts w:ascii="Times New Roman" w:hAnsi="Times New Roman" w:cs="Times New Roman"/>
        </w:rPr>
        <w:t>Pengadilan</w:t>
      </w:r>
      <w:proofErr w:type="spellEnd"/>
      <w:r w:rsidRPr="0042562D">
        <w:rPr>
          <w:rFonts w:ascii="Times New Roman" w:hAnsi="Times New Roman" w:cs="Times New Roman"/>
        </w:rPr>
        <w:t xml:space="preserve"> Tinggi No. 6431 </w:t>
      </w:r>
      <w:proofErr w:type="spellStart"/>
      <w:r w:rsidRPr="0042562D">
        <w:rPr>
          <w:rFonts w:ascii="Times New Roman" w:hAnsi="Times New Roman" w:cs="Times New Roman"/>
        </w:rPr>
        <w:t>tanggal</w:t>
      </w:r>
      <w:proofErr w:type="spellEnd"/>
      <w:r w:rsidRPr="0042562D">
        <w:rPr>
          <w:rFonts w:ascii="Times New Roman" w:hAnsi="Times New Roman" w:cs="Times New Roman"/>
        </w:rPr>
        <w:t xml:space="preserve"> 27 </w:t>
      </w:r>
      <w:proofErr w:type="spellStart"/>
      <w:r w:rsidRPr="0042562D">
        <w:rPr>
          <w:rFonts w:ascii="Times New Roman" w:hAnsi="Times New Roman" w:cs="Times New Roman"/>
        </w:rPr>
        <w:t>Desember</w:t>
      </w:r>
      <w:proofErr w:type="spellEnd"/>
      <w:r w:rsidRPr="0042562D">
        <w:rPr>
          <w:rFonts w:ascii="Times New Roman" w:hAnsi="Times New Roman" w:cs="Times New Roman"/>
        </w:rPr>
        <w:t xml:space="preserve"> 1983 jo. </w:t>
      </w:r>
      <w:proofErr w:type="spellStart"/>
      <w:r w:rsidRPr="0042562D">
        <w:rPr>
          <w:rFonts w:ascii="Times New Roman" w:hAnsi="Times New Roman" w:cs="Times New Roman"/>
        </w:rPr>
        <w:t>Pengadilan</w:t>
      </w:r>
      <w:proofErr w:type="spellEnd"/>
      <w:r w:rsidRPr="0042562D">
        <w:rPr>
          <w:rFonts w:ascii="Times New Roman" w:hAnsi="Times New Roman" w:cs="Times New Roman"/>
        </w:rPr>
        <w:t xml:space="preserve"> Negeri Medan No. 157/ 1983 </w:t>
      </w:r>
      <w:proofErr w:type="spellStart"/>
      <w:r w:rsidRPr="0042562D">
        <w:rPr>
          <w:rFonts w:ascii="Times New Roman" w:hAnsi="Times New Roman" w:cs="Times New Roman"/>
        </w:rPr>
        <w:t>tanggal</w:t>
      </w:r>
      <w:proofErr w:type="spellEnd"/>
      <w:r w:rsidRPr="0042562D">
        <w:rPr>
          <w:rFonts w:ascii="Times New Roman" w:hAnsi="Times New Roman" w:cs="Times New Roman"/>
        </w:rPr>
        <w:t xml:space="preserve"> 1 September 1983</w:t>
      </w:r>
    </w:p>
  </w:footnote>
  <w:footnote w:id="18">
    <w:p w14:paraId="30EE7C07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Retno</w:t>
      </w:r>
      <w:proofErr w:type="spellEnd"/>
      <w:r w:rsidRPr="0042562D">
        <w:rPr>
          <w:rFonts w:ascii="Times New Roman" w:hAnsi="Times New Roman" w:cs="Times New Roman"/>
        </w:rPr>
        <w:t xml:space="preserve"> Wulan, </w:t>
      </w:r>
      <w:proofErr w:type="spellStart"/>
      <w:proofErr w:type="gramStart"/>
      <w:r w:rsidRPr="0042562D"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 w:rsidRPr="0042562D">
        <w:rPr>
          <w:rFonts w:ascii="Times New Roman" w:hAnsi="Times New Roman" w:cs="Times New Roman"/>
          <w:i/>
          <w:iCs/>
        </w:rPr>
        <w:t xml:space="preserve">, </w:t>
      </w:r>
      <w:r w:rsidRPr="0042562D">
        <w:rPr>
          <w:rFonts w:ascii="Times New Roman" w:hAnsi="Times New Roman" w:cs="Times New Roman"/>
        </w:rPr>
        <w:t>hlm.472</w:t>
      </w:r>
    </w:p>
  </w:footnote>
  <w:footnote w:id="19">
    <w:p w14:paraId="4818DA52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Mhd. </w:t>
      </w:r>
      <w:proofErr w:type="spellStart"/>
      <w:r w:rsidRPr="0042562D">
        <w:rPr>
          <w:rFonts w:ascii="Times New Roman" w:hAnsi="Times New Roman" w:cs="Times New Roman"/>
        </w:rPr>
        <w:t>Teguh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Syuhada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gramStart"/>
      <w:r w:rsidRPr="0042562D">
        <w:rPr>
          <w:rFonts w:ascii="Times New Roman" w:hAnsi="Times New Roman" w:cs="Times New Roman"/>
        </w:rPr>
        <w:t>Lubis ,</w:t>
      </w:r>
      <w:proofErr w:type="gram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Pelaksanaan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Sita </w:t>
      </w:r>
      <w:proofErr w:type="spellStart"/>
      <w:r w:rsidRPr="008233F3">
        <w:rPr>
          <w:rFonts w:ascii="Times New Roman" w:hAnsi="Times New Roman" w:cs="Times New Roman"/>
          <w:i/>
          <w:iCs/>
        </w:rPr>
        <w:t>Jaminan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Terhadap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Objek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Sengketa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Pr="008233F3">
        <w:rPr>
          <w:rFonts w:ascii="Times New Roman" w:hAnsi="Times New Roman" w:cs="Times New Roman"/>
          <w:i/>
          <w:iCs/>
        </w:rPr>
        <w:t>Berada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Di Tangan </w:t>
      </w:r>
      <w:proofErr w:type="spellStart"/>
      <w:r w:rsidRPr="008233F3">
        <w:rPr>
          <w:rFonts w:ascii="Times New Roman" w:hAnsi="Times New Roman" w:cs="Times New Roman"/>
          <w:i/>
          <w:iCs/>
        </w:rPr>
        <w:t>Pihak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Ketiga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Dalam </w:t>
      </w:r>
      <w:proofErr w:type="spellStart"/>
      <w:r w:rsidRPr="008233F3">
        <w:rPr>
          <w:rFonts w:ascii="Times New Roman" w:hAnsi="Times New Roman" w:cs="Times New Roman"/>
          <w:i/>
          <w:iCs/>
        </w:rPr>
        <w:t>Penanganan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Perkara</w:t>
      </w:r>
      <w:proofErr w:type="spellEnd"/>
      <w:r w:rsidRPr="008233F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</w:rPr>
        <w:t>Perdata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dalam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Jurnal</w:t>
      </w:r>
      <w:proofErr w:type="spellEnd"/>
      <w:r w:rsidRPr="0042562D">
        <w:rPr>
          <w:rFonts w:ascii="Times New Roman" w:hAnsi="Times New Roman" w:cs="Times New Roman"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Ilmu</w:t>
      </w:r>
      <w:proofErr w:type="spellEnd"/>
      <w:r w:rsidRPr="0042562D">
        <w:rPr>
          <w:rFonts w:ascii="Times New Roman" w:hAnsi="Times New Roman" w:cs="Times New Roman"/>
        </w:rPr>
        <w:t xml:space="preserve"> Hukum </w:t>
      </w:r>
      <w:proofErr w:type="spellStart"/>
      <w:r w:rsidRPr="0042562D">
        <w:rPr>
          <w:rFonts w:ascii="Times New Roman" w:hAnsi="Times New Roman" w:cs="Times New Roman"/>
        </w:rPr>
        <w:t>Fakultas</w:t>
      </w:r>
      <w:proofErr w:type="spellEnd"/>
      <w:r w:rsidRPr="0042562D">
        <w:rPr>
          <w:rFonts w:ascii="Times New Roman" w:hAnsi="Times New Roman" w:cs="Times New Roman"/>
        </w:rPr>
        <w:t xml:space="preserve"> Hukum </w:t>
      </w:r>
      <w:proofErr w:type="spellStart"/>
      <w:r w:rsidRPr="0042562D">
        <w:rPr>
          <w:rFonts w:ascii="Times New Roman" w:hAnsi="Times New Roman" w:cs="Times New Roman"/>
        </w:rPr>
        <w:t>Umsu</w:t>
      </w:r>
      <w:proofErr w:type="spellEnd"/>
      <w:r w:rsidRPr="0042562D">
        <w:rPr>
          <w:rFonts w:ascii="Times New Roman" w:hAnsi="Times New Roman" w:cs="Times New Roman"/>
        </w:rPr>
        <w:t xml:space="preserve">, Volume 4 </w:t>
      </w:r>
      <w:proofErr w:type="spellStart"/>
      <w:r w:rsidRPr="0042562D">
        <w:rPr>
          <w:rFonts w:ascii="Times New Roman" w:hAnsi="Times New Roman" w:cs="Times New Roman"/>
        </w:rPr>
        <w:t>Nomor</w:t>
      </w:r>
      <w:proofErr w:type="spellEnd"/>
      <w:r w:rsidRPr="0042562D">
        <w:rPr>
          <w:rFonts w:ascii="Times New Roman" w:hAnsi="Times New Roman" w:cs="Times New Roman"/>
        </w:rPr>
        <w:t xml:space="preserve"> 1, Januari-Juni 2019,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45</w:t>
      </w:r>
    </w:p>
  </w:footnote>
  <w:footnote w:id="20">
    <w:p w14:paraId="7C7C58CF" w14:textId="77777777" w:rsidR="00686B4E" w:rsidRPr="0042562D" w:rsidRDefault="00686B4E" w:rsidP="00686B4E">
      <w:pPr>
        <w:jc w:val="both"/>
        <w:rPr>
          <w:rFonts w:ascii="Times New Roman" w:hAnsi="Times New Roman" w:cs="Times New Roman"/>
          <w:sz w:val="20"/>
          <w:szCs w:val="20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  <w:sz w:val="20"/>
          <w:szCs w:val="20"/>
        </w:rPr>
        <w:t xml:space="preserve"> Diana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Gusma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562D">
        <w:rPr>
          <w:rFonts w:ascii="Times New Roman" w:hAnsi="Times New Roman" w:cs="Times New Roman"/>
          <w:sz w:val="20"/>
          <w:szCs w:val="20"/>
        </w:rPr>
        <w:t>Ivo ,</w:t>
      </w:r>
      <w:proofErr w:type="gramEnd"/>
      <w:r w:rsidRPr="0042562D">
        <w:rPr>
          <w:rFonts w:ascii="Times New Roman" w:hAnsi="Times New Roman" w:cs="Times New Roman"/>
          <w:sz w:val="20"/>
          <w:szCs w:val="20"/>
        </w:rPr>
        <w:t xml:space="preserve"> Jemmy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Rumengan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, dan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Idham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Analisis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Yuridis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Terhadap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Pelaksanaan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Sita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Eksekusi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Benda Tidak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Bergerak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(Studi Penelitian Di </w:t>
      </w:r>
      <w:proofErr w:type="spellStart"/>
      <w:r w:rsidRPr="008233F3">
        <w:rPr>
          <w:rFonts w:ascii="Times New Roman" w:hAnsi="Times New Roman" w:cs="Times New Roman"/>
          <w:i/>
          <w:iCs/>
          <w:sz w:val="20"/>
          <w:szCs w:val="20"/>
        </w:rPr>
        <w:t>Pengadilan</w:t>
      </w:r>
      <w:proofErr w:type="spellEnd"/>
      <w:r w:rsidRPr="008233F3">
        <w:rPr>
          <w:rFonts w:ascii="Times New Roman" w:hAnsi="Times New Roman" w:cs="Times New Roman"/>
          <w:i/>
          <w:iCs/>
          <w:sz w:val="20"/>
          <w:szCs w:val="20"/>
        </w:rPr>
        <w:t xml:space="preserve"> Negeri Batam)</w:t>
      </w:r>
      <w:r w:rsidRPr="0042562D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Zona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Keadilan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 xml:space="preserve"> Vol. 10 No. 02, Agustus 2020, </w:t>
      </w:r>
      <w:proofErr w:type="spellStart"/>
      <w:r w:rsidRPr="0042562D">
        <w:rPr>
          <w:rFonts w:ascii="Times New Roman" w:hAnsi="Times New Roman" w:cs="Times New Roman"/>
          <w:sz w:val="20"/>
          <w:szCs w:val="20"/>
        </w:rPr>
        <w:t>hlm</w:t>
      </w:r>
      <w:proofErr w:type="spellEnd"/>
      <w:r w:rsidRPr="0042562D">
        <w:rPr>
          <w:rFonts w:ascii="Times New Roman" w:hAnsi="Times New Roman" w:cs="Times New Roman"/>
          <w:sz w:val="20"/>
          <w:szCs w:val="20"/>
        </w:rPr>
        <w:t>. 40</w:t>
      </w:r>
    </w:p>
    <w:p w14:paraId="4967FDA0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</w:p>
  </w:footnote>
  <w:footnote w:id="21">
    <w:p w14:paraId="3579C9DA" w14:textId="77777777" w:rsidR="00686B4E" w:rsidRPr="000A581E" w:rsidRDefault="00686B4E" w:rsidP="00686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A581E">
        <w:rPr>
          <w:rFonts w:ascii="Times New Roman" w:hAnsi="Times New Roman" w:cs="Times New Roman"/>
          <w:sz w:val="20"/>
          <w:szCs w:val="20"/>
        </w:rPr>
        <w:t>Asdian</w:t>
      </w:r>
      <w:proofErr w:type="spellEnd"/>
      <w:r w:rsidRPr="000A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sz w:val="20"/>
          <w:szCs w:val="20"/>
        </w:rPr>
        <w:t>Taluke</w:t>
      </w:r>
      <w:proofErr w:type="spellEnd"/>
      <w:r w:rsidRPr="000A58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Eksekusi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Terhadap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Perkara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Perdatayang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Telah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Mempunyai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Kekuatan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Hukum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Tetap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Ingkraah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Atas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Perintah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Hakim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Dibawah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Pimpinan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Ketua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Pengadilan</w:t>
      </w:r>
      <w:proofErr w:type="spellEnd"/>
      <w:r w:rsidRPr="000A58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Negeri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Lex Privatum, Volume 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4,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2013,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hlm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24-25</w:t>
      </w:r>
    </w:p>
    <w:p w14:paraId="1C418B29" w14:textId="77777777" w:rsidR="00686B4E" w:rsidRPr="000A581E" w:rsidRDefault="00686B4E" w:rsidP="00686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846B01" w14:textId="77777777" w:rsidR="00686B4E" w:rsidRPr="000A581E" w:rsidRDefault="00686B4E" w:rsidP="00686B4E">
      <w:pPr>
        <w:pStyle w:val="FootnoteText"/>
      </w:pPr>
    </w:p>
  </w:footnote>
  <w:footnote w:id="22">
    <w:p w14:paraId="0809C74E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Wildan </w:t>
      </w:r>
      <w:proofErr w:type="spellStart"/>
      <w:r w:rsidRPr="0042562D">
        <w:rPr>
          <w:rFonts w:ascii="Times New Roman" w:hAnsi="Times New Roman" w:cs="Times New Roman"/>
        </w:rPr>
        <w:t>Suyuthi</w:t>
      </w:r>
      <w:proofErr w:type="spellEnd"/>
      <w:r w:rsidRPr="0042562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2562D">
        <w:rPr>
          <w:rFonts w:ascii="Times New Roman" w:hAnsi="Times New Roman" w:cs="Times New Roman"/>
          <w:i/>
          <w:iCs/>
        </w:rPr>
        <w:t>Op.Cit</w:t>
      </w:r>
      <w:proofErr w:type="spellEnd"/>
      <w:proofErr w:type="gramEnd"/>
      <w:r w:rsidRPr="0042562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337</w:t>
      </w:r>
    </w:p>
  </w:footnote>
  <w:footnote w:id="23">
    <w:p w14:paraId="7A2FA8D0" w14:textId="77777777" w:rsidR="00686B4E" w:rsidRPr="0042562D" w:rsidRDefault="00686B4E" w:rsidP="00686B4E">
      <w:pPr>
        <w:pStyle w:val="FootnoteText"/>
        <w:jc w:val="both"/>
        <w:rPr>
          <w:rFonts w:ascii="Times New Roman" w:hAnsi="Times New Roman" w:cs="Times New Roman"/>
        </w:rPr>
      </w:pPr>
      <w:r w:rsidRPr="0042562D">
        <w:rPr>
          <w:rStyle w:val="FootnoteReference"/>
          <w:rFonts w:ascii="Times New Roman" w:hAnsi="Times New Roman" w:cs="Times New Roman"/>
        </w:rPr>
        <w:footnoteRef/>
      </w:r>
      <w:r w:rsidRPr="0042562D">
        <w:rPr>
          <w:rFonts w:ascii="Times New Roman" w:hAnsi="Times New Roman" w:cs="Times New Roman"/>
        </w:rPr>
        <w:t xml:space="preserve"> </w:t>
      </w:r>
      <w:proofErr w:type="gramStart"/>
      <w:r w:rsidRPr="0042562D">
        <w:rPr>
          <w:rFonts w:ascii="Times New Roman" w:hAnsi="Times New Roman" w:cs="Times New Roman"/>
          <w:i/>
          <w:iCs/>
        </w:rPr>
        <w:t>Ibid ,</w:t>
      </w:r>
      <w:proofErr w:type="gramEnd"/>
      <w:r w:rsidRPr="0042562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562D">
        <w:rPr>
          <w:rFonts w:ascii="Times New Roman" w:hAnsi="Times New Roman" w:cs="Times New Roman"/>
        </w:rPr>
        <w:t>hlm</w:t>
      </w:r>
      <w:proofErr w:type="spellEnd"/>
      <w:r w:rsidRPr="0042562D">
        <w:rPr>
          <w:rFonts w:ascii="Times New Roman" w:hAnsi="Times New Roman" w:cs="Times New Roman"/>
        </w:rPr>
        <w:t>. 338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4716" w14:textId="77777777" w:rsidR="00617BAA" w:rsidRDefault="00E2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09"/>
    <w:multiLevelType w:val="hybridMultilevel"/>
    <w:tmpl w:val="FA66D360"/>
    <w:lvl w:ilvl="0" w:tplc="9708BD2C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D132C"/>
    <w:multiLevelType w:val="hybridMultilevel"/>
    <w:tmpl w:val="F70E5E0A"/>
    <w:lvl w:ilvl="0" w:tplc="1F5ED81A">
      <w:start w:val="1"/>
      <w:numFmt w:val="lowerLetter"/>
      <w:lvlText w:val="%1)"/>
      <w:lvlJc w:val="left"/>
      <w:pPr>
        <w:ind w:left="1778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0B28F9"/>
    <w:multiLevelType w:val="hybridMultilevel"/>
    <w:tmpl w:val="E7E009C8"/>
    <w:lvl w:ilvl="0" w:tplc="8E9A3956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E013F"/>
    <w:multiLevelType w:val="hybridMultilevel"/>
    <w:tmpl w:val="2668A64C"/>
    <w:lvl w:ilvl="0" w:tplc="958EECC0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722B3"/>
    <w:multiLevelType w:val="hybridMultilevel"/>
    <w:tmpl w:val="8870B1A8"/>
    <w:lvl w:ilvl="0" w:tplc="3B76ACE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A7504EE"/>
    <w:multiLevelType w:val="hybridMultilevel"/>
    <w:tmpl w:val="147075FE"/>
    <w:lvl w:ilvl="0" w:tplc="E4C2A51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sz w:val="22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AB21C3F"/>
    <w:multiLevelType w:val="hybridMultilevel"/>
    <w:tmpl w:val="3544FEA6"/>
    <w:lvl w:ilvl="0" w:tplc="3C32C7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2B4C"/>
    <w:multiLevelType w:val="hybridMultilevel"/>
    <w:tmpl w:val="6FF69CCA"/>
    <w:lvl w:ilvl="0" w:tplc="765AB878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14295"/>
    <w:multiLevelType w:val="hybridMultilevel"/>
    <w:tmpl w:val="75442E8E"/>
    <w:lvl w:ilvl="0" w:tplc="4834789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B3EC8"/>
    <w:multiLevelType w:val="hybridMultilevel"/>
    <w:tmpl w:val="B616D996"/>
    <w:lvl w:ilvl="0" w:tplc="5A62F932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85" w:hanging="360"/>
      </w:pPr>
    </w:lvl>
    <w:lvl w:ilvl="2" w:tplc="3809001B" w:tentative="1">
      <w:start w:val="1"/>
      <w:numFmt w:val="lowerRoman"/>
      <w:lvlText w:val="%3."/>
      <w:lvlJc w:val="right"/>
      <w:pPr>
        <w:ind w:left="4005" w:hanging="180"/>
      </w:pPr>
    </w:lvl>
    <w:lvl w:ilvl="3" w:tplc="3809000F" w:tentative="1">
      <w:start w:val="1"/>
      <w:numFmt w:val="decimal"/>
      <w:lvlText w:val="%4."/>
      <w:lvlJc w:val="left"/>
      <w:pPr>
        <w:ind w:left="4725" w:hanging="360"/>
      </w:pPr>
    </w:lvl>
    <w:lvl w:ilvl="4" w:tplc="38090019" w:tentative="1">
      <w:start w:val="1"/>
      <w:numFmt w:val="lowerLetter"/>
      <w:lvlText w:val="%5."/>
      <w:lvlJc w:val="left"/>
      <w:pPr>
        <w:ind w:left="5445" w:hanging="360"/>
      </w:pPr>
    </w:lvl>
    <w:lvl w:ilvl="5" w:tplc="3809001B" w:tentative="1">
      <w:start w:val="1"/>
      <w:numFmt w:val="lowerRoman"/>
      <w:lvlText w:val="%6."/>
      <w:lvlJc w:val="right"/>
      <w:pPr>
        <w:ind w:left="6165" w:hanging="180"/>
      </w:pPr>
    </w:lvl>
    <w:lvl w:ilvl="6" w:tplc="3809000F" w:tentative="1">
      <w:start w:val="1"/>
      <w:numFmt w:val="decimal"/>
      <w:lvlText w:val="%7."/>
      <w:lvlJc w:val="left"/>
      <w:pPr>
        <w:ind w:left="6885" w:hanging="360"/>
      </w:pPr>
    </w:lvl>
    <w:lvl w:ilvl="7" w:tplc="38090019" w:tentative="1">
      <w:start w:val="1"/>
      <w:numFmt w:val="lowerLetter"/>
      <w:lvlText w:val="%8."/>
      <w:lvlJc w:val="left"/>
      <w:pPr>
        <w:ind w:left="7605" w:hanging="360"/>
      </w:pPr>
    </w:lvl>
    <w:lvl w:ilvl="8" w:tplc="38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360C244B"/>
    <w:multiLevelType w:val="hybridMultilevel"/>
    <w:tmpl w:val="397234D2"/>
    <w:lvl w:ilvl="0" w:tplc="4A36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954B3"/>
    <w:multiLevelType w:val="hybridMultilevel"/>
    <w:tmpl w:val="5756E1C0"/>
    <w:lvl w:ilvl="0" w:tplc="8800EF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D2366"/>
    <w:multiLevelType w:val="hybridMultilevel"/>
    <w:tmpl w:val="3ACE7D10"/>
    <w:lvl w:ilvl="0" w:tplc="46A830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E05C9D"/>
    <w:multiLevelType w:val="hybridMultilevel"/>
    <w:tmpl w:val="DA2A2B26"/>
    <w:lvl w:ilvl="0" w:tplc="7354F66A">
      <w:start w:val="1"/>
      <w:numFmt w:val="lowerLetter"/>
      <w:lvlText w:val="(%1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6E51DA"/>
    <w:multiLevelType w:val="hybridMultilevel"/>
    <w:tmpl w:val="BC8E2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C55A31"/>
    <w:multiLevelType w:val="hybridMultilevel"/>
    <w:tmpl w:val="EE283B1E"/>
    <w:lvl w:ilvl="0" w:tplc="3E98B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876C73"/>
    <w:multiLevelType w:val="hybridMultilevel"/>
    <w:tmpl w:val="B7C80020"/>
    <w:lvl w:ilvl="0" w:tplc="BB646E58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8A3CCF"/>
    <w:multiLevelType w:val="hybridMultilevel"/>
    <w:tmpl w:val="B4B06208"/>
    <w:lvl w:ilvl="0" w:tplc="BCD26F34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95DFB"/>
    <w:multiLevelType w:val="hybridMultilevel"/>
    <w:tmpl w:val="52B2119E"/>
    <w:lvl w:ilvl="0" w:tplc="61289F28">
      <w:start w:val="1"/>
      <w:numFmt w:val="decimal"/>
      <w:lvlText w:val="(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C372F4"/>
    <w:multiLevelType w:val="hybridMultilevel"/>
    <w:tmpl w:val="BD40BDE8"/>
    <w:lvl w:ilvl="0" w:tplc="D0EEC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131D"/>
    <w:multiLevelType w:val="hybridMultilevel"/>
    <w:tmpl w:val="45984020"/>
    <w:lvl w:ilvl="0" w:tplc="84D44FA4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7D65A5"/>
    <w:multiLevelType w:val="hybridMultilevel"/>
    <w:tmpl w:val="26D0634C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7821EB"/>
    <w:multiLevelType w:val="hybridMultilevel"/>
    <w:tmpl w:val="DAB04CC0"/>
    <w:lvl w:ilvl="0" w:tplc="273ED96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056866"/>
    <w:multiLevelType w:val="hybridMultilevel"/>
    <w:tmpl w:val="8E4EC6D0"/>
    <w:lvl w:ilvl="0" w:tplc="52EEEA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13061B"/>
    <w:multiLevelType w:val="hybridMultilevel"/>
    <w:tmpl w:val="40D0D786"/>
    <w:lvl w:ilvl="0" w:tplc="87426F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A94C5B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5"/>
  </w:num>
  <w:num w:numId="5">
    <w:abstractNumId w:val="20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4"/>
  </w:num>
  <w:num w:numId="11">
    <w:abstractNumId w:val="19"/>
  </w:num>
  <w:num w:numId="12">
    <w:abstractNumId w:val="1"/>
  </w:num>
  <w:num w:numId="13">
    <w:abstractNumId w:val="16"/>
  </w:num>
  <w:num w:numId="14">
    <w:abstractNumId w:val="11"/>
  </w:num>
  <w:num w:numId="15">
    <w:abstractNumId w:val="24"/>
  </w:num>
  <w:num w:numId="16">
    <w:abstractNumId w:val="3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8"/>
  </w:num>
  <w:num w:numId="22">
    <w:abstractNumId w:val="7"/>
  </w:num>
  <w:num w:numId="23">
    <w:abstractNumId w:val="23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4E"/>
    <w:rsid w:val="0037375F"/>
    <w:rsid w:val="00686B4E"/>
    <w:rsid w:val="006A180E"/>
    <w:rsid w:val="00BE2E85"/>
    <w:rsid w:val="00E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9C51"/>
  <w15:chartTrackingRefBased/>
  <w15:docId w15:val="{1CAFF70A-477A-44D0-95F5-E6E4C3E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4E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6B4E"/>
    <w:pPr>
      <w:spacing w:after="200" w:line="27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86B4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6B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B4E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86B4E"/>
  </w:style>
  <w:style w:type="paragraph" w:styleId="Header">
    <w:name w:val="header"/>
    <w:basedOn w:val="Normal"/>
    <w:link w:val="HeaderChar"/>
    <w:uiPriority w:val="99"/>
    <w:unhideWhenUsed/>
    <w:rsid w:val="0068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4E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8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4E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984F-12C0-469D-9462-63DB7C4A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7640</Words>
  <Characters>43548</Characters>
  <Application>Microsoft Office Word</Application>
  <DocSecurity>0</DocSecurity>
  <Lines>362</Lines>
  <Paragraphs>102</Paragraphs>
  <ScaleCrop>false</ScaleCrop>
  <Company/>
  <LinksUpToDate>false</LinksUpToDate>
  <CharactersWithSpaces>51086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2022-08-10T13:15:00Z</cp:lastPrinted>
  <dcterms:created xsi:type="dcterms:W3CDTF">2022-08-10T13:11:00Z</dcterms:created>
  <dcterms:modified xsi:type="dcterms:W3CDTF">2022-08-10T13:23:00Z</dcterms:modified>
</cp:coreProperties>
</file>