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5DB" w14:textId="77777777" w:rsidR="003E6726" w:rsidRPr="00F669D0" w:rsidRDefault="003E6726" w:rsidP="003E6726">
      <w:pPr>
        <w:pStyle w:val="Heading1"/>
        <w:numPr>
          <w:ilvl w:val="0"/>
          <w:numId w:val="0"/>
        </w:numPr>
      </w:pPr>
      <w:bookmarkStart w:id="0" w:name="_Toc123972061"/>
      <w:bookmarkStart w:id="1" w:name="_Toc126410420"/>
      <w:r w:rsidRPr="00F669D0">
        <w:t>DAFTAR PUSTAKA</w:t>
      </w:r>
      <w:bookmarkEnd w:id="0"/>
      <w:bookmarkEnd w:id="1"/>
    </w:p>
    <w:p w14:paraId="52D01F2B" w14:textId="77777777" w:rsidR="003E6726" w:rsidRPr="00305D92" w:rsidRDefault="003E6726" w:rsidP="003E6726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48A1F2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14:paraId="1E7974EB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Daerah”</w:t>
      </w:r>
      <w:r w:rsidRPr="008F59A3">
        <w:rPr>
          <w:rFonts w:ascii="Times New Roman" w:hAnsi="Times New Roman" w:cs="Times New Roman"/>
          <w:sz w:val="24"/>
          <w:szCs w:val="24"/>
        </w:rPr>
        <w:t>. Jakarta: PT. Media Sarana Press. (1987).</w:t>
      </w:r>
    </w:p>
    <w:p w14:paraId="34871119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Zainudin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Hukum”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Jakarta:Sinar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(2017).</w:t>
      </w:r>
    </w:p>
    <w:p w14:paraId="3CA7A8A0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Anggito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Albi dan Johan Setiawan.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Barat; CV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(2018).</w:t>
      </w:r>
    </w:p>
    <w:p w14:paraId="06FCD2FA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Attahiyyat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Candrian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Bangunan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Cagar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Propinsi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DKI Jakarta”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Jakarta:Dinas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Museum. (2000). </w:t>
      </w:r>
    </w:p>
    <w:p w14:paraId="2C3673EC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Berd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L.W.C Van Den. (1989).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“Orang Arab di Nusantara”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9A3">
        <w:rPr>
          <w:rFonts w:ascii="Times New Roman" w:hAnsi="Times New Roman" w:cs="Times New Roman"/>
          <w:sz w:val="24"/>
          <w:szCs w:val="24"/>
        </w:rPr>
        <w:t>Barat: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Bambu. (2010).</w:t>
      </w:r>
    </w:p>
    <w:p w14:paraId="4009F9EE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Eli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Wuria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“Hukum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Yogyakarta:Graha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(2015).</w:t>
      </w:r>
    </w:p>
    <w:p w14:paraId="59C5E717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Fitrah, Muhammad dan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Luthfiyah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(2017). </w:t>
      </w:r>
    </w:p>
    <w:p w14:paraId="183F5013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Hadjon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Philipus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cagar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Surabaya: Bina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(2002).</w:t>
      </w:r>
    </w:p>
    <w:p w14:paraId="4FEF9FE6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Hamzani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Panduan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>. Yogyakarta: Tanah Air Beta. (2020).</w:t>
      </w:r>
    </w:p>
    <w:p w14:paraId="36D620D5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86A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 w:rsidRPr="00B7586A">
        <w:rPr>
          <w:rFonts w:ascii="Times New Roman" w:hAnsi="Times New Roman" w:cs="Times New Roman"/>
          <w:sz w:val="24"/>
          <w:szCs w:val="24"/>
        </w:rPr>
        <w:t xml:space="preserve">, Sri.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Bangunan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Cagar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Tegal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B75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586A">
        <w:rPr>
          <w:rFonts w:ascii="Times New Roman" w:hAnsi="Times New Roman" w:cs="Times New Roman"/>
          <w:sz w:val="24"/>
          <w:szCs w:val="24"/>
        </w:rPr>
        <w:t>Tegal:Dinas</w:t>
      </w:r>
      <w:proofErr w:type="spellEnd"/>
      <w:proofErr w:type="gramEnd"/>
      <w:r w:rsidRPr="00B7586A">
        <w:rPr>
          <w:rFonts w:ascii="Times New Roman" w:hAnsi="Times New Roman" w:cs="Times New Roman"/>
          <w:sz w:val="24"/>
          <w:szCs w:val="24"/>
        </w:rPr>
        <w:t xml:space="preserve"> Pemuda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(2013).</w:t>
      </w:r>
    </w:p>
    <w:p w14:paraId="4FB662E5" w14:textId="77777777" w:rsidR="003E6726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lastRenderedPageBreak/>
        <w:t>Haryono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Perawatan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Pemugaran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Benda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Cagar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Batu”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Deputi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Sejarah dan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Purbakala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(2005).</w:t>
      </w:r>
    </w:p>
    <w:p w14:paraId="22FCCB07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86A">
        <w:rPr>
          <w:rFonts w:ascii="Times New Roman" w:hAnsi="Times New Roman" w:cs="Times New Roman"/>
          <w:sz w:val="24"/>
          <w:szCs w:val="24"/>
        </w:rPr>
        <w:t>Herimanto</w:t>
      </w:r>
      <w:proofErr w:type="spellEnd"/>
      <w:r w:rsidRPr="00B7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86A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B7586A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Dasar”</w:t>
      </w:r>
      <w:r w:rsidRPr="00B7586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7586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75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586A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058B3B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HS, Salim.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Hukum pada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Disertasi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Jakarta:Rajawali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Pers. (2016).</w:t>
      </w:r>
    </w:p>
    <w:p w14:paraId="0ABB3F69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C.S.T.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dan tata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Indonesia”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Jakarta:Balai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Pustaka. (1989). </w:t>
      </w:r>
    </w:p>
    <w:p w14:paraId="4C7C64FA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Kansil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C.S.T.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Pokok-pokok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Pemerintah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daerah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Jakarta:Aksara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, (1985).</w:t>
      </w:r>
    </w:p>
    <w:p w14:paraId="5B3AAFBF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Koentjoroningrat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Persepsi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Kebudayaan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cagar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8F59A3">
        <w:rPr>
          <w:rFonts w:ascii="Times New Roman" w:hAnsi="Times New Roman" w:cs="Times New Roman"/>
          <w:sz w:val="24"/>
          <w:szCs w:val="24"/>
        </w:rPr>
        <w:t xml:space="preserve"> Jakarta: PT Gramedia. (1996).</w:t>
      </w:r>
    </w:p>
    <w:p w14:paraId="757525EC" w14:textId="77777777" w:rsidR="003E6726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Kartodirdjo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“Pembangunan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Bangsa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Yogyakarta:Aditya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Media. (1994).</w:t>
      </w:r>
    </w:p>
    <w:p w14:paraId="2A3CD263" w14:textId="77777777" w:rsidR="003E6726" w:rsidRPr="003315AD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5AD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3315AD">
        <w:rPr>
          <w:rFonts w:ascii="Times New Roman" w:hAnsi="Times New Roman" w:cs="Times New Roman"/>
          <w:sz w:val="24"/>
          <w:szCs w:val="24"/>
        </w:rPr>
        <w:t>, Peter Mahmud. “</w:t>
      </w:r>
      <w:proofErr w:type="spellStart"/>
      <w:r w:rsidRPr="003315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15AD">
        <w:rPr>
          <w:rFonts w:ascii="Times New Roman" w:hAnsi="Times New Roman" w:cs="Times New Roman"/>
          <w:sz w:val="24"/>
          <w:szCs w:val="24"/>
        </w:rPr>
        <w:t xml:space="preserve"> Hukum”. </w:t>
      </w:r>
      <w:proofErr w:type="spellStart"/>
      <w:proofErr w:type="gramStart"/>
      <w:r w:rsidRPr="003315AD">
        <w:rPr>
          <w:rFonts w:ascii="Times New Roman" w:hAnsi="Times New Roman" w:cs="Times New Roman"/>
          <w:sz w:val="24"/>
          <w:szCs w:val="24"/>
        </w:rPr>
        <w:t>Jakarta:Kencana</w:t>
      </w:r>
      <w:proofErr w:type="spellEnd"/>
      <w:proofErr w:type="gramEnd"/>
      <w:r w:rsidRPr="0033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5AD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Pr="003315AD">
        <w:rPr>
          <w:rFonts w:ascii="Times New Roman" w:hAnsi="Times New Roman" w:cs="Times New Roman"/>
          <w:sz w:val="24"/>
          <w:szCs w:val="24"/>
        </w:rPr>
        <w:t xml:space="preserve"> Media Group. (2008).</w:t>
      </w:r>
    </w:p>
    <w:p w14:paraId="7A5FD8FB" w14:textId="77777777" w:rsidR="003E6726" w:rsidRPr="0001754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3">
        <w:rPr>
          <w:rFonts w:ascii="Times New Roman" w:hAnsi="Times New Roman" w:cs="Times New Roman"/>
          <w:sz w:val="24"/>
          <w:szCs w:val="24"/>
        </w:rPr>
        <w:t>Praptono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3">
        <w:rPr>
          <w:rFonts w:ascii="Times New Roman" w:hAnsi="Times New Roman" w:cs="Times New Roman"/>
          <w:sz w:val="24"/>
          <w:szCs w:val="24"/>
        </w:rPr>
        <w:t>Eddhie</w:t>
      </w:r>
      <w:proofErr w:type="spellEnd"/>
      <w:r w:rsidRPr="00017543">
        <w:rPr>
          <w:rFonts w:ascii="Times New Roman" w:hAnsi="Times New Roman" w:cs="Times New Roman"/>
          <w:sz w:val="24"/>
          <w:szCs w:val="24"/>
        </w:rPr>
        <w:t xml:space="preserve">. </w:t>
      </w:r>
      <w:r w:rsidRPr="0001754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017543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175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7543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17543">
        <w:rPr>
          <w:rFonts w:ascii="Times New Roman" w:hAnsi="Times New Roman" w:cs="Times New Roman"/>
          <w:i/>
          <w:iCs/>
          <w:sz w:val="24"/>
          <w:szCs w:val="24"/>
        </w:rPr>
        <w:t xml:space="preserve"> Hukum”</w:t>
      </w:r>
      <w:r w:rsidRPr="00017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7543">
        <w:rPr>
          <w:rFonts w:ascii="Times New Roman" w:hAnsi="Times New Roman" w:cs="Times New Roman"/>
          <w:sz w:val="24"/>
          <w:szCs w:val="24"/>
        </w:rPr>
        <w:t>Yogyakarta:Tanah</w:t>
      </w:r>
      <w:proofErr w:type="spellEnd"/>
      <w:proofErr w:type="gramEnd"/>
      <w:r w:rsidRPr="00017543">
        <w:rPr>
          <w:rFonts w:ascii="Times New Roman" w:hAnsi="Times New Roman" w:cs="Times New Roman"/>
          <w:sz w:val="24"/>
          <w:szCs w:val="24"/>
        </w:rPr>
        <w:t xml:space="preserve"> Air Beta. (2019). </w:t>
      </w:r>
      <w:proofErr w:type="spellStart"/>
      <w:r w:rsidRPr="0001754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17543">
        <w:rPr>
          <w:rFonts w:ascii="Times New Roman" w:hAnsi="Times New Roman" w:cs="Times New Roman"/>
          <w:sz w:val="24"/>
          <w:szCs w:val="24"/>
        </w:rPr>
        <w:t xml:space="preserve">. 28 </w:t>
      </w:r>
    </w:p>
    <w:p w14:paraId="4A141E27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Sumalyo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Arsitektur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Kolonial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Belanda Di Indonesia”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Yogyakarta: Gadjah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University Press. (1993). </w:t>
      </w:r>
    </w:p>
    <w:p w14:paraId="00D59982" w14:textId="77777777" w:rsidR="003E6726" w:rsidRPr="00DE4042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Syarifudin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Ateng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Titik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Berat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Daerah Tingkat II Dan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Perkembangannya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59A3">
        <w:rPr>
          <w:rFonts w:ascii="Times New Roman" w:hAnsi="Times New Roman" w:cs="Times New Roman"/>
          <w:sz w:val="24"/>
          <w:szCs w:val="24"/>
        </w:rPr>
        <w:t>Bandung:Maju</w:t>
      </w:r>
      <w:proofErr w:type="spellEnd"/>
      <w:proofErr w:type="gram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Mundur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(1991).</w:t>
      </w:r>
    </w:p>
    <w:p w14:paraId="1D6ED3D0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b/>
          <w:bCs/>
          <w:sz w:val="24"/>
          <w:szCs w:val="24"/>
        </w:rPr>
        <w:lastRenderedPageBreak/>
        <w:t>Jurnal</w:t>
      </w:r>
      <w:proofErr w:type="spellEnd"/>
    </w:p>
    <w:p w14:paraId="3FC0A642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Afnani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Wahyu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Nurvit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et all.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9A3">
        <w:rPr>
          <w:rFonts w:ascii="Times New Roman" w:hAnsi="Times New Roman" w:cs="Times New Roman"/>
          <w:sz w:val="24"/>
          <w:szCs w:val="24"/>
        </w:rPr>
        <w:t>Sekaran(</w:t>
      </w:r>
      <w:proofErr w:type="spellStart"/>
      <w:proofErr w:type="gramEnd"/>
      <w:r w:rsidRPr="008F59A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Situs Sekaran di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Sekarpuro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Malang).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Humaniora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, Volume 10,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3, (2021).</w:t>
      </w:r>
    </w:p>
    <w:p w14:paraId="5CB71332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Andry, Setiawan, et all.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Harmonisasi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No. 11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Benda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Semarang.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Abdimas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Volume 17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2. (2013).</w:t>
      </w:r>
    </w:p>
    <w:p w14:paraId="766845D2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I Made Dandi.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Hukum oleh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Kertha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Negara”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Volume 10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3 (2022).</w:t>
      </w:r>
    </w:p>
    <w:p w14:paraId="194B6F45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Kwasua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Obet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et all.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Aru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Dobo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pulau-pulau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B758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Bacarita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 xml:space="preserve"> Law </w:t>
      </w:r>
      <w:proofErr w:type="spellStart"/>
      <w:r w:rsidRPr="00B7586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B758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Volume 2,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2, (2022).</w:t>
      </w:r>
    </w:p>
    <w:p w14:paraId="7DF865C8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Nurbaiti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Siti.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AF596B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Teras Law Review: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Humaniter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dan HAM”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Volume 2,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1, (2020).</w:t>
      </w:r>
    </w:p>
    <w:p w14:paraId="3D65A0F1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Paramiswari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A., dan S.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Purwani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Bingkai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Rezim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AF596B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Kertha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Semaya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: Journal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Hukum”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 Volume 7,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1. (2019).</w:t>
      </w:r>
    </w:p>
    <w:p w14:paraId="7EDC1DFB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Priatmodjo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Danang.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r w:rsidRPr="00AF596B">
        <w:rPr>
          <w:rFonts w:ascii="Times New Roman" w:hAnsi="Times New Roman" w:cs="Times New Roman"/>
          <w:i/>
          <w:iCs/>
          <w:sz w:val="24"/>
          <w:szCs w:val="24"/>
        </w:rPr>
        <w:t>“Repository UNTAR”</w:t>
      </w:r>
      <w:r w:rsidRPr="008F59A3">
        <w:rPr>
          <w:rFonts w:ascii="Times New Roman" w:hAnsi="Times New Roman" w:cs="Times New Roman"/>
          <w:sz w:val="24"/>
          <w:szCs w:val="24"/>
        </w:rPr>
        <w:t>. (2019).</w:t>
      </w:r>
    </w:p>
    <w:p w14:paraId="5D771D9E" w14:textId="77777777" w:rsidR="003E6726" w:rsidRPr="009F16A6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16A6">
        <w:rPr>
          <w:rFonts w:ascii="Times New Roman" w:hAnsi="Times New Roman" w:cs="Times New Roman"/>
          <w:sz w:val="24"/>
          <w:szCs w:val="24"/>
        </w:rPr>
        <w:lastRenderedPageBreak/>
        <w:t xml:space="preserve">Sari,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Athina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Kartika. et all. Model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Benda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Ekonomi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(Blue Economy)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Ekonomi </w:t>
      </w:r>
      <w:proofErr w:type="spellStart"/>
      <w:r w:rsidRPr="009F16A6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9F16A6">
        <w:rPr>
          <w:rFonts w:ascii="Times New Roman" w:hAnsi="Times New Roman" w:cs="Times New Roman"/>
          <w:sz w:val="24"/>
          <w:szCs w:val="24"/>
        </w:rPr>
        <w:t xml:space="preserve"> Indonesia.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6A6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9F16A6">
        <w:rPr>
          <w:rFonts w:ascii="Times New Roman" w:hAnsi="Times New Roman" w:cs="Times New Roman"/>
          <w:i/>
          <w:iCs/>
          <w:sz w:val="24"/>
          <w:szCs w:val="24"/>
        </w:rPr>
        <w:t>Jurnalica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F16A6">
        <w:rPr>
          <w:rFonts w:ascii="Times New Roman" w:hAnsi="Times New Roman" w:cs="Times New Roman"/>
          <w:i/>
          <w:iCs/>
          <w:sz w:val="24"/>
          <w:szCs w:val="24"/>
        </w:rPr>
        <w:t xml:space="preserve"> Volume 18 </w:t>
      </w:r>
      <w:proofErr w:type="spellStart"/>
      <w:r w:rsidRPr="009F16A6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9F16A6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9F16A6">
        <w:rPr>
          <w:rFonts w:ascii="Times New Roman" w:hAnsi="Times New Roman" w:cs="Times New Roman"/>
          <w:sz w:val="24"/>
          <w:szCs w:val="24"/>
        </w:rPr>
        <w:t xml:space="preserve">. (2021). </w:t>
      </w:r>
    </w:p>
    <w:p w14:paraId="3DB824EB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Hendrik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Fasco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et all,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Geopark Nasional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Celetuh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Geowisata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Barat, </w:t>
      </w:r>
      <w:r w:rsidRPr="00AF596B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Surya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Kencana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Satu: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Dinamika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 xml:space="preserve"> Hukum dan </w:t>
      </w:r>
      <w:proofErr w:type="spellStart"/>
      <w:r w:rsidRPr="00AF596B">
        <w:rPr>
          <w:rFonts w:ascii="Times New Roman" w:hAnsi="Times New Roman" w:cs="Times New Roman"/>
          <w:i/>
          <w:iCs/>
          <w:sz w:val="24"/>
          <w:szCs w:val="24"/>
        </w:rPr>
        <w:t>Keadilan</w:t>
      </w:r>
      <w:proofErr w:type="spellEnd"/>
      <w:r w:rsidRPr="00AF596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F59A3">
        <w:rPr>
          <w:rFonts w:ascii="Times New Roman" w:hAnsi="Times New Roman" w:cs="Times New Roman"/>
          <w:sz w:val="24"/>
          <w:szCs w:val="24"/>
        </w:rPr>
        <w:t xml:space="preserve">. Volume 10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 (2019).</w:t>
      </w:r>
    </w:p>
    <w:p w14:paraId="5C6D2223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Susanto, Ilham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Liya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Togo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Wakatobi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UIN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Makassar. (2016). </w:t>
      </w:r>
    </w:p>
    <w:p w14:paraId="61C37F97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  <w:proofErr w:type="spellEnd"/>
    </w:p>
    <w:p w14:paraId="2402ACC2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1945.</w:t>
      </w:r>
    </w:p>
    <w:p w14:paraId="15AA4D58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4165EBA8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</w:t>
      </w:r>
    </w:p>
    <w:p w14:paraId="7E0E58D4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0772C431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Daerah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</w:t>
      </w:r>
    </w:p>
    <w:p w14:paraId="58DD32FD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43.2/177.D/2018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Gedung DPRD dan Menara Air Perusahaan Daerah Air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</w:t>
      </w:r>
    </w:p>
    <w:p w14:paraId="38F9EDAD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432/024/2020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SMP 10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dan SMP 1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.</w:t>
      </w:r>
    </w:p>
    <w:p w14:paraId="671FD08D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14:paraId="4A908EBC" w14:textId="77777777" w:rsidR="003E6726" w:rsidRPr="00581CBB" w:rsidRDefault="003E6726" w:rsidP="003E6726">
      <w:pPr>
        <w:pStyle w:val="FootnoteText"/>
        <w:spacing w:line="48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1CBB">
        <w:rPr>
          <w:rFonts w:ascii="Times New Roman" w:hAnsi="Times New Roman" w:cs="Times New Roman"/>
          <w:sz w:val="24"/>
          <w:szCs w:val="24"/>
        </w:rPr>
        <w:lastRenderedPageBreak/>
        <w:t>Syafi’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CBB">
        <w:rPr>
          <w:rFonts w:ascii="Times New Roman" w:hAnsi="Times New Roman" w:cs="Times New Roman"/>
          <w:sz w:val="24"/>
          <w:szCs w:val="24"/>
        </w:rPr>
        <w:t xml:space="preserve">Ahmad.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LANAL Kota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. 30 November 2022 </w:t>
      </w:r>
      <w:proofErr w:type="spellStart"/>
      <w:r w:rsidRPr="00581CB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581CBB">
        <w:rPr>
          <w:rFonts w:ascii="Times New Roman" w:hAnsi="Times New Roman" w:cs="Times New Roman"/>
          <w:sz w:val="24"/>
          <w:szCs w:val="24"/>
        </w:rPr>
        <w:t xml:space="preserve"> 10:00-13:00 WIB.</w:t>
      </w:r>
    </w:p>
    <w:p w14:paraId="26C09026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Budisetyadi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di Dinas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di Dinas Pendidikan dan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1 November 2022 jam 13:00-13:30 WIB.</w:t>
      </w:r>
    </w:p>
    <w:p w14:paraId="4466D114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9A3"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di Dinas Pendidikan dan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1 November 2022 jam 13:00-13:30 WIB.</w:t>
      </w:r>
    </w:p>
    <w:p w14:paraId="376FCCD9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Khasbi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Makam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Mbah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11 November 2022 jam 19:00-21:00.</w:t>
      </w:r>
    </w:p>
    <w:p w14:paraId="57127FD7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59A3">
        <w:rPr>
          <w:rFonts w:ascii="Times New Roman" w:hAnsi="Times New Roman" w:cs="Times New Roman"/>
          <w:sz w:val="24"/>
          <w:szCs w:val="24"/>
        </w:rPr>
        <w:t>Hartono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9A3">
        <w:rPr>
          <w:rFonts w:ascii="Times New Roman" w:hAnsi="Times New Roman" w:cs="Times New Roman"/>
          <w:sz w:val="24"/>
          <w:szCs w:val="24"/>
        </w:rPr>
        <w:t xml:space="preserve"> Tri, Tim Ahli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Tengah, di Acara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30 November 2022 jam 09:30-13:00 WIB.</w:t>
      </w:r>
    </w:p>
    <w:p w14:paraId="7BBF413B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Arosyid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F59A3">
        <w:rPr>
          <w:rFonts w:ascii="Times New Roman" w:hAnsi="Times New Roman" w:cs="Times New Roman"/>
          <w:sz w:val="24"/>
          <w:szCs w:val="24"/>
        </w:rPr>
        <w:t xml:space="preserve"> Harun, BPK Wilayah X, di Acara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30 November 2022 jam 09:30-13:00 WIB.</w:t>
      </w:r>
    </w:p>
    <w:p w14:paraId="73366460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9A3"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14:paraId="08B59F1B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5FBF">
        <w:rPr>
          <w:rFonts w:ascii="Times New Roman" w:hAnsi="Times New Roman" w:cs="Times New Roman"/>
          <w:sz w:val="24"/>
          <w:szCs w:val="24"/>
        </w:rPr>
        <w:t xml:space="preserve">Admin. “Mbah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Islam di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”. https://kelpanggung.tegalkota.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pada 19 November 2022. Jam 21:00 WIB.</w:t>
      </w:r>
    </w:p>
    <w:p w14:paraId="3AA57566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5FBF">
        <w:rPr>
          <w:rFonts w:ascii="Times New Roman" w:hAnsi="Times New Roman" w:cs="Times New Roman"/>
          <w:sz w:val="24"/>
          <w:szCs w:val="24"/>
        </w:rPr>
        <w:t xml:space="preserve">Admin. “Sejarah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Stoork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, Gudang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Pendudukan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>”. https://www.ayobandung.com/nasional/pr-79649653/sejarah-</w:t>
      </w:r>
      <w:r w:rsidRPr="00BD5FBF">
        <w:rPr>
          <w:rFonts w:ascii="Times New Roman" w:hAnsi="Times New Roman" w:cs="Times New Roman"/>
          <w:sz w:val="24"/>
          <w:szCs w:val="24"/>
        </w:rPr>
        <w:lastRenderedPageBreak/>
        <w:t xml:space="preserve">bangunan-hotel-stoork-gudang-senjata-pendudukan-jepang-di-tegal.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pada 20 November 2022 jam 23:45 WIB.</w:t>
      </w:r>
    </w:p>
    <w:p w14:paraId="7895926F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Desliana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Maulipaksi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, “Cara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”. https://www.kemdikbud.go.id/main/blog/2015/08/ini-cara-pendaftaran-dan-penetapan-cagar-budaya. di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20 November 2022 jam 03:45 WIB.</w:t>
      </w:r>
    </w:p>
    <w:p w14:paraId="1D1F9800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”. https://kebudayaan.kemdikbud.go.id/dpk/permasalahan-dan-tantangan-pelestarian-cagar-budaya/,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22 November 2022 jam 14:25 </w:t>
      </w:r>
      <w:proofErr w:type="gramStart"/>
      <w:r w:rsidRPr="00BD5FBF">
        <w:rPr>
          <w:rFonts w:ascii="Times New Roman" w:hAnsi="Times New Roman" w:cs="Times New Roman"/>
          <w:sz w:val="24"/>
          <w:szCs w:val="24"/>
        </w:rPr>
        <w:t>WIB .</w:t>
      </w:r>
      <w:proofErr w:type="gramEnd"/>
    </w:p>
    <w:p w14:paraId="6016EC39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BF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proofErr w:type="gramStart"/>
      <w:r w:rsidRPr="00BD5FB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proofErr w:type="gram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”. http://fitrihidayatub.blogspot.com/2013/07/perlindungan-hukum-unsur-esensial-dalam.html.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pada 23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2021 jam 16:00 WIB.</w:t>
      </w:r>
    </w:p>
    <w:p w14:paraId="6A7137B2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BF">
        <w:rPr>
          <w:rFonts w:ascii="Times New Roman" w:hAnsi="Times New Roman" w:cs="Times New Roman"/>
          <w:sz w:val="24"/>
          <w:szCs w:val="24"/>
        </w:rPr>
        <w:t>Hary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Widyanto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, “Cara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”, https://www.kemdikbud.go.id/main/blog/2015/08/ini-cara-pendaftaran-dan-penetapan-cagar-budaya. di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20 November 2022 12:30 WIB.</w:t>
      </w:r>
    </w:p>
    <w:p w14:paraId="1472A493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5FBF">
        <w:rPr>
          <w:rFonts w:ascii="Times New Roman" w:hAnsi="Times New Roman" w:cs="Times New Roman"/>
          <w:sz w:val="24"/>
          <w:szCs w:val="24"/>
        </w:rPr>
        <w:t xml:space="preserve">Henry Cooper (1991),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Harry Iskandar Wijaya. “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Cagar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”. https://kebudayaan.kemdikbud.go.id/bpcbsumbar/cagar-budaya-dan-pariwisata/.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pada 20 November 2022.</w:t>
      </w:r>
    </w:p>
    <w:p w14:paraId="0D204704" w14:textId="77777777" w:rsidR="003E6726" w:rsidRPr="00BD5FBF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5FBF">
        <w:rPr>
          <w:rFonts w:ascii="Times New Roman" w:hAnsi="Times New Roman" w:cs="Times New Roman"/>
          <w:sz w:val="24"/>
          <w:szCs w:val="24"/>
        </w:rPr>
        <w:t xml:space="preserve">Kamus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Indoesia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(KBBI) Online. https://kbbi.web.id/perlindungan.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15 November 2022 </w:t>
      </w:r>
      <w:proofErr w:type="spellStart"/>
      <w:r w:rsidRPr="00BD5FB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D5FBF">
        <w:rPr>
          <w:rFonts w:ascii="Times New Roman" w:hAnsi="Times New Roman" w:cs="Times New Roman"/>
          <w:sz w:val="24"/>
          <w:szCs w:val="24"/>
        </w:rPr>
        <w:t xml:space="preserve"> 22:32 WIB.</w:t>
      </w:r>
    </w:p>
    <w:p w14:paraId="2A510CFE" w14:textId="77777777" w:rsidR="003E6726" w:rsidRPr="008F59A3" w:rsidRDefault="003E6726" w:rsidP="003E6726">
      <w:pPr>
        <w:spacing w:after="0"/>
        <w:ind w:left="81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9A3">
        <w:rPr>
          <w:rFonts w:ascii="Times New Roman" w:hAnsi="Times New Roman" w:cs="Times New Roman"/>
          <w:sz w:val="24"/>
          <w:szCs w:val="24"/>
        </w:rPr>
        <w:t>Marbun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, 2012: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Kajian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>, https://joemarbun.wordpress.com/2012/03/05/pelestarian-warisan-</w:t>
      </w:r>
      <w:r w:rsidRPr="008F59A3">
        <w:rPr>
          <w:rFonts w:ascii="Times New Roman" w:hAnsi="Times New Roman" w:cs="Times New Roman"/>
          <w:sz w:val="24"/>
          <w:szCs w:val="24"/>
        </w:rPr>
        <w:lastRenderedPageBreak/>
        <w:t xml:space="preserve">budaya-dalam-era-otonomi-daerah/, </w:t>
      </w:r>
      <w:proofErr w:type="spellStart"/>
      <w:r w:rsidRPr="008F59A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F59A3">
        <w:rPr>
          <w:rFonts w:ascii="Times New Roman" w:hAnsi="Times New Roman" w:cs="Times New Roman"/>
          <w:sz w:val="24"/>
          <w:szCs w:val="24"/>
        </w:rPr>
        <w:t xml:space="preserve"> 9 November 2022 jam 19:00 WIB.</w:t>
      </w:r>
    </w:p>
    <w:p w14:paraId="026C2A05" w14:textId="77777777" w:rsidR="003E6726" w:rsidRPr="008F59A3" w:rsidRDefault="003E6726" w:rsidP="003E672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94A8B5" w14:textId="77777777" w:rsidR="003E6726" w:rsidRDefault="003E6726" w:rsidP="003E672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18E5A7" w14:textId="77777777" w:rsidR="003E6726" w:rsidRPr="008F59A3" w:rsidRDefault="003E6726" w:rsidP="003E672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2EDD1F" w14:textId="77777777" w:rsidR="003E6726" w:rsidRPr="00F669D0" w:rsidRDefault="003E6726" w:rsidP="003E6726">
      <w:pPr>
        <w:pStyle w:val="Heading1"/>
        <w:numPr>
          <w:ilvl w:val="0"/>
          <w:numId w:val="0"/>
        </w:numPr>
      </w:pPr>
      <w:r>
        <w:rPr>
          <w:szCs w:val="24"/>
        </w:rPr>
        <w:br w:type="page"/>
      </w:r>
      <w:bookmarkStart w:id="2" w:name="_Toc123972062"/>
      <w:bookmarkStart w:id="3" w:name="_Toc126410421"/>
      <w:r w:rsidRPr="00F669D0">
        <w:lastRenderedPageBreak/>
        <w:t>DAFTAR RIWAYAT HIDUP</w:t>
      </w:r>
      <w:bookmarkEnd w:id="2"/>
      <w:bookmarkEnd w:id="3"/>
    </w:p>
    <w:p w14:paraId="02E5D851" w14:textId="77777777" w:rsidR="003E6726" w:rsidRPr="00E263B2" w:rsidRDefault="003E6726" w:rsidP="003E6726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6A85725" w14:textId="77777777" w:rsidR="003E6726" w:rsidRPr="00E263B2" w:rsidRDefault="003E6726" w:rsidP="003E6726">
      <w:pPr>
        <w:tabs>
          <w:tab w:val="left" w:pos="255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Indriani</w:t>
      </w:r>
      <w:proofErr w:type="spellEnd"/>
    </w:p>
    <w:p w14:paraId="4323F75E" w14:textId="77777777" w:rsidR="003E6726" w:rsidRPr="00E263B2" w:rsidRDefault="003E6726" w:rsidP="003E6726">
      <w:pPr>
        <w:tabs>
          <w:tab w:val="left" w:pos="255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5119500036</w:t>
      </w:r>
    </w:p>
    <w:p w14:paraId="55D5A238" w14:textId="77777777" w:rsidR="003E6726" w:rsidRPr="00E263B2" w:rsidRDefault="003E6726" w:rsidP="003E6726">
      <w:pPr>
        <w:tabs>
          <w:tab w:val="left" w:pos="255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263B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263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263B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263B2">
        <w:rPr>
          <w:rFonts w:ascii="Times New Roman" w:hAnsi="Times New Roman" w:cs="Times New Roman"/>
          <w:sz w:val="24"/>
          <w:szCs w:val="24"/>
        </w:rPr>
        <w:t xml:space="preserve">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, 30 Mei 2001</w:t>
      </w:r>
    </w:p>
    <w:p w14:paraId="7FBD2CB6" w14:textId="77777777" w:rsidR="003E6726" w:rsidRPr="00E263B2" w:rsidRDefault="003E6726" w:rsidP="003E6726">
      <w:pPr>
        <w:tabs>
          <w:tab w:val="left" w:pos="255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263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2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17693150" w14:textId="77777777" w:rsidR="003E6726" w:rsidRDefault="003E6726" w:rsidP="003E6726">
      <w:pPr>
        <w:tabs>
          <w:tab w:val="left" w:pos="255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04, RT.01/02,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592D2" w14:textId="77777777" w:rsidR="003E6726" w:rsidRPr="00E263B2" w:rsidRDefault="003E6726" w:rsidP="003E6726">
      <w:pPr>
        <w:tabs>
          <w:tab w:val="left" w:pos="2552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Gudang,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</w:p>
    <w:p w14:paraId="3A2E4414" w14:textId="77777777" w:rsidR="003E6726" w:rsidRDefault="003E6726" w:rsidP="003E6726">
      <w:pPr>
        <w:tabs>
          <w:tab w:val="left" w:pos="255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63B2"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E263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285"/>
        <w:gridCol w:w="1931"/>
        <w:gridCol w:w="1921"/>
      </w:tblGrid>
      <w:tr w:rsidR="003E6726" w14:paraId="7D239696" w14:textId="77777777" w:rsidTr="00F45F68">
        <w:tc>
          <w:tcPr>
            <w:tcW w:w="625" w:type="dxa"/>
            <w:shd w:val="clear" w:color="auto" w:fill="auto"/>
          </w:tcPr>
          <w:p w14:paraId="1BF6792D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59" w:type="dxa"/>
            <w:shd w:val="clear" w:color="auto" w:fill="auto"/>
          </w:tcPr>
          <w:p w14:paraId="599378E1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14:paraId="09913F29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Masuk</w:t>
            </w:r>
          </w:p>
        </w:tc>
        <w:tc>
          <w:tcPr>
            <w:tcW w:w="2293" w:type="dxa"/>
            <w:shd w:val="clear" w:color="auto" w:fill="auto"/>
          </w:tcPr>
          <w:p w14:paraId="2430BF32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Lulus</w:t>
            </w:r>
          </w:p>
        </w:tc>
      </w:tr>
      <w:tr w:rsidR="003E6726" w14:paraId="5E4FCC66" w14:textId="77777777" w:rsidTr="00F45F68">
        <w:tc>
          <w:tcPr>
            <w:tcW w:w="625" w:type="dxa"/>
            <w:shd w:val="clear" w:color="auto" w:fill="auto"/>
          </w:tcPr>
          <w:p w14:paraId="5954E5E3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14:paraId="290416CC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293" w:type="dxa"/>
            <w:shd w:val="clear" w:color="auto" w:fill="auto"/>
          </w:tcPr>
          <w:p w14:paraId="1CEB6814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93" w:type="dxa"/>
            <w:shd w:val="clear" w:color="auto" w:fill="auto"/>
          </w:tcPr>
          <w:p w14:paraId="0E048430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E6726" w14:paraId="6EE9F842" w14:textId="77777777" w:rsidTr="00F45F68">
        <w:tc>
          <w:tcPr>
            <w:tcW w:w="625" w:type="dxa"/>
            <w:shd w:val="clear" w:color="auto" w:fill="auto"/>
          </w:tcPr>
          <w:p w14:paraId="36615047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14:paraId="4E518ADC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Negeri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14:paraId="2948F64F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93" w:type="dxa"/>
            <w:shd w:val="clear" w:color="auto" w:fill="auto"/>
          </w:tcPr>
          <w:p w14:paraId="6F1E0D1D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E6726" w14:paraId="5EA7785C" w14:textId="77777777" w:rsidTr="00F45F68">
        <w:tc>
          <w:tcPr>
            <w:tcW w:w="625" w:type="dxa"/>
            <w:shd w:val="clear" w:color="auto" w:fill="auto"/>
          </w:tcPr>
          <w:p w14:paraId="20E5FD61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14:paraId="32364064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SMK Negeri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14:paraId="6651011C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3" w:type="dxa"/>
            <w:shd w:val="clear" w:color="auto" w:fill="auto"/>
          </w:tcPr>
          <w:p w14:paraId="4CA485A2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6726" w14:paraId="58B9748A" w14:textId="77777777" w:rsidTr="00F45F68">
        <w:tc>
          <w:tcPr>
            <w:tcW w:w="625" w:type="dxa"/>
            <w:shd w:val="clear" w:color="auto" w:fill="auto"/>
          </w:tcPr>
          <w:p w14:paraId="59C13976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14:paraId="64C64E1D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Hukum Universitas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2293" w:type="dxa"/>
            <w:shd w:val="clear" w:color="auto" w:fill="auto"/>
          </w:tcPr>
          <w:p w14:paraId="26AF9E1B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  <w:shd w:val="clear" w:color="auto" w:fill="auto"/>
          </w:tcPr>
          <w:p w14:paraId="3A51370B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5DB8C047" w14:textId="77777777" w:rsidR="003E6726" w:rsidRDefault="003E6726" w:rsidP="003E6726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B53E16" w14:textId="77777777" w:rsidR="003E6726" w:rsidRDefault="003E6726" w:rsidP="003E6726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Riwayat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785"/>
      </w:tblGrid>
      <w:tr w:rsidR="003E6726" w14:paraId="59270669" w14:textId="77777777" w:rsidTr="00F45F68">
        <w:trPr>
          <w:jc w:val="right"/>
        </w:trPr>
        <w:tc>
          <w:tcPr>
            <w:tcW w:w="2785" w:type="dxa"/>
            <w:shd w:val="clear" w:color="auto" w:fill="auto"/>
          </w:tcPr>
          <w:p w14:paraId="2B1B80C0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3E6726" w14:paraId="001CDA2D" w14:textId="77777777" w:rsidTr="00F45F68">
        <w:trPr>
          <w:jc w:val="right"/>
        </w:trPr>
        <w:tc>
          <w:tcPr>
            <w:tcW w:w="2785" w:type="dxa"/>
            <w:shd w:val="clear" w:color="auto" w:fill="auto"/>
          </w:tcPr>
          <w:p w14:paraId="492DE0FB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</w:p>
        </w:tc>
      </w:tr>
      <w:tr w:rsidR="003E6726" w14:paraId="5A402DFE" w14:textId="77777777" w:rsidTr="00F45F68">
        <w:trPr>
          <w:trHeight w:val="1592"/>
          <w:jc w:val="right"/>
        </w:trPr>
        <w:tc>
          <w:tcPr>
            <w:tcW w:w="2785" w:type="dxa"/>
            <w:shd w:val="clear" w:color="auto" w:fill="auto"/>
          </w:tcPr>
          <w:p w14:paraId="6DEA8D6B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26" w14:paraId="5EB16122" w14:textId="77777777" w:rsidTr="00F45F68">
        <w:trPr>
          <w:trHeight w:val="440"/>
          <w:jc w:val="right"/>
        </w:trPr>
        <w:tc>
          <w:tcPr>
            <w:tcW w:w="2785" w:type="dxa"/>
            <w:shd w:val="clear" w:color="auto" w:fill="auto"/>
          </w:tcPr>
          <w:p w14:paraId="6B3155B1" w14:textId="77777777" w:rsidR="003E6726" w:rsidRDefault="003E6726" w:rsidP="00F45F6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Indriani</w:t>
            </w:r>
            <w:proofErr w:type="spellEnd"/>
          </w:p>
        </w:tc>
      </w:tr>
    </w:tbl>
    <w:p w14:paraId="55E83CAD" w14:textId="77777777" w:rsidR="003E6726" w:rsidRPr="00C5502B" w:rsidRDefault="003E6726" w:rsidP="003E6726">
      <w:pPr>
        <w:ind w:left="0" w:firstLine="0"/>
        <w:rPr>
          <w:lang w:val="id-ID"/>
        </w:rPr>
      </w:pPr>
    </w:p>
    <w:p w14:paraId="591901C7" w14:textId="77777777" w:rsidR="00DC08D3" w:rsidRDefault="00DC08D3"/>
    <w:sectPr w:rsidR="00DC08D3" w:rsidSect="003E6726">
      <w:pgSz w:w="11907" w:h="16839" w:code="9"/>
      <w:pgMar w:top="2268" w:right="1701" w:bottom="1701" w:left="2268" w:header="1134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47342"/>
    <w:multiLevelType w:val="multilevel"/>
    <w:tmpl w:val="FC18AB96"/>
    <w:lvl w:ilvl="0">
      <w:start w:val="1"/>
      <w:numFmt w:val="upperRoman"/>
      <w:pStyle w:val="Heading1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3184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6"/>
    <w:rsid w:val="003E6726"/>
    <w:rsid w:val="00D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64FD"/>
  <w15:chartTrackingRefBased/>
  <w15:docId w15:val="{4D5D7E35-3819-43E8-89F4-C20217A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26"/>
    <w:pPr>
      <w:spacing w:after="240" w:line="480" w:lineRule="auto"/>
      <w:ind w:left="720" w:firstLine="720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726"/>
    <w:pPr>
      <w:keepNext/>
      <w:keepLines/>
      <w:numPr>
        <w:numId w:val="1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726"/>
    <w:pPr>
      <w:keepNext/>
      <w:numPr>
        <w:ilvl w:val="1"/>
        <w:numId w:val="1"/>
      </w:numPr>
      <w:spacing w:after="0"/>
      <w:jc w:val="both"/>
      <w:outlineLvl w:val="1"/>
    </w:pPr>
    <w:rPr>
      <w:rFonts w:ascii="Times New Roman" w:eastAsia="MS Gothic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3E6726"/>
    <w:pPr>
      <w:numPr>
        <w:ilvl w:val="2"/>
        <w:numId w:val="1"/>
      </w:numPr>
      <w:adjustRightInd w:val="0"/>
      <w:spacing w:after="0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726"/>
    <w:pPr>
      <w:keepNext/>
      <w:numPr>
        <w:ilvl w:val="3"/>
        <w:numId w:val="1"/>
      </w:numPr>
      <w:spacing w:before="240" w:after="60"/>
      <w:outlineLvl w:val="3"/>
    </w:pPr>
    <w:rPr>
      <w:rFonts w:eastAsia="MS Mincho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726"/>
    <w:pPr>
      <w:numPr>
        <w:ilvl w:val="4"/>
        <w:numId w:val="1"/>
      </w:numPr>
      <w:spacing w:before="240" w:after="60"/>
      <w:outlineLvl w:val="4"/>
    </w:pPr>
    <w:rPr>
      <w:rFonts w:eastAsia="MS Mincho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726"/>
    <w:pPr>
      <w:numPr>
        <w:ilvl w:val="5"/>
        <w:numId w:val="1"/>
      </w:numPr>
      <w:spacing w:before="240" w:after="60"/>
      <w:outlineLvl w:val="5"/>
    </w:pPr>
    <w:rPr>
      <w:rFonts w:eastAsia="MS Mincho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726"/>
    <w:pPr>
      <w:numPr>
        <w:ilvl w:val="6"/>
        <w:numId w:val="1"/>
      </w:numPr>
      <w:spacing w:before="240" w:after="60"/>
      <w:outlineLvl w:val="6"/>
    </w:pPr>
    <w:rPr>
      <w:rFonts w:eastAsia="MS Mincho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726"/>
    <w:pPr>
      <w:numPr>
        <w:ilvl w:val="7"/>
        <w:numId w:val="1"/>
      </w:numPr>
      <w:spacing w:before="240" w:after="60"/>
      <w:outlineLvl w:val="7"/>
    </w:pPr>
    <w:rPr>
      <w:rFonts w:eastAsia="MS Mincho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726"/>
    <w:pPr>
      <w:numPr>
        <w:ilvl w:val="8"/>
        <w:numId w:val="1"/>
      </w:numPr>
      <w:spacing w:before="240" w:after="60"/>
      <w:outlineLvl w:val="8"/>
    </w:pPr>
    <w:rPr>
      <w:rFonts w:ascii="Calibri Light" w:eastAsia="MS Gothic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726"/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6726"/>
    <w:rPr>
      <w:rFonts w:ascii="Times New Roman" w:eastAsia="MS Gothic" w:hAnsi="Times New Roman" w:cs="Times New Roman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6726"/>
    <w:rPr>
      <w:rFonts w:ascii="Times New Roman" w:eastAsia="Times New Roman" w:hAnsi="Times New Roman" w:cs="Times New Roman"/>
      <w:b/>
      <w:bCs/>
      <w:sz w:val="24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726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726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726"/>
    <w:rPr>
      <w:rFonts w:ascii="Calibri" w:eastAsia="MS Mincho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726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726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726"/>
    <w:rPr>
      <w:rFonts w:ascii="Calibri Light" w:eastAsia="MS Gothic" w:hAnsi="Calibri Light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E6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6726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rakadwiyantama</dc:creator>
  <cp:keywords/>
  <dc:description/>
  <cp:lastModifiedBy>rakadwiyantama</cp:lastModifiedBy>
  <cp:revision>1</cp:revision>
  <dcterms:created xsi:type="dcterms:W3CDTF">2023-02-08T07:07:00Z</dcterms:created>
  <dcterms:modified xsi:type="dcterms:W3CDTF">2023-02-08T07:08:00Z</dcterms:modified>
</cp:coreProperties>
</file>