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1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cs="Times New Roman" w:hAnsi="Times New Roman"/>
          <w:b/>
          <w:sz w:val="24"/>
          <w:szCs w:val="24"/>
        </w:rPr>
        <w:t>DAFTAR PUSTAKA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fldChar w:fldCharType="begin"/>
      </w:r>
      <w:r>
        <w:rPr>
          <w:rFonts w:ascii="Times New Roman" w:cs="Times New Roman" w:hAnsi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cs="Times New Roman" w:hAnsi="Times New Roman"/>
          <w:b/>
          <w:sz w:val="24"/>
          <w:szCs w:val="24"/>
        </w:rPr>
        <w:fldChar w:fldCharType="separate"/>
      </w:r>
      <w:r>
        <w:rPr>
          <w:rFonts w:ascii="Times New Roman" w:cs="Times New Roman" w:hAnsi="Times New Roman"/>
          <w:noProof/>
          <w:sz w:val="24"/>
          <w:szCs w:val="24"/>
        </w:rPr>
        <w:t>A</w:t>
      </w:r>
      <w:r>
        <w:rPr>
          <w:rFonts w:ascii="Times New Roman" w:cs="Times New Roman" w:hAnsi="Times New Roman"/>
          <w:noProof/>
          <w:sz w:val="24"/>
          <w:szCs w:val="24"/>
        </w:rPr>
        <w:t>friyani, F. (2014)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Pengaruh Likuiditas, Leverage, Profitabilitas, Ukuran Perusahaan dan Growth Terhadap Kebijakan Dividen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. STIE MDP.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A</w:t>
      </w:r>
      <w:r>
        <w:rPr>
          <w:rFonts w:ascii="Times New Roman" w:cs="Times New Roman" w:hAnsi="Times New Roman"/>
          <w:noProof/>
          <w:sz w:val="24"/>
          <w:szCs w:val="24"/>
        </w:rPr>
        <w:t xml:space="preserve">rieftiara, D., Utama, S., &amp; Wardhani, R. (2015).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ANALISIS PENGARUH STRATEGI BISNIS TERHADAP PENGHINDARAN PAJAK ,</w:t>
      </w:r>
      <w:r>
        <w:rPr>
          <w:rFonts w:ascii="Times New Roman" w:cs="Times New Roman" w:hAnsi="Times New Roman"/>
          <w:noProof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July 2019</w:t>
      </w:r>
      <w:r>
        <w:rPr>
          <w:rFonts w:ascii="Times New Roman" w:cs="Times New Roman" w:hAnsi="Times New Roman"/>
          <w:noProof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Azharin, M. N., &amp; Ratnawati, D. (2022). Pengaruh Kepemilikan Institusional, Kebijakan Dividen dan Kebijakan Hutang Terhadap Nilai Perusahaan.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Jurnal Ekonomi &amp; Ekonomi Syariah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5</w:t>
      </w:r>
      <w:r>
        <w:rPr>
          <w:rFonts w:ascii="Times New Roman" w:cs="Times New Roman" w:hAnsi="Times New Roman"/>
          <w:noProof/>
          <w:sz w:val="24"/>
          <w:szCs w:val="24"/>
        </w:rPr>
        <w:t>(2), 1264–1278.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Ayem, S. (2019).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( Studi Kasus Perusahaan LQ45 Yang Tercacat Dalam Bursa Efek Indonesia ) Periode 2012-2016</w:t>
      </w:r>
      <w:r>
        <w:rPr>
          <w:rFonts w:ascii="Times New Roman" w:cs="Times New Roman" w:hAnsi="Times New Roman"/>
          <w:noProof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1</w:t>
      </w:r>
      <w:r>
        <w:rPr>
          <w:rFonts w:ascii="Times New Roman" w:cs="Times New Roman" w:hAnsi="Times New Roman"/>
          <w:noProof/>
          <w:sz w:val="24"/>
          <w:szCs w:val="24"/>
        </w:rPr>
        <w:t>(2), 181–193. https://doi.org/10.24964/japd.v1i1.91</w:t>
      </w:r>
      <w:r>
        <w:rPr>
          <w:rFonts w:ascii="Times New Roman" w:cs="Times New Roman" w:hAnsi="Times New Roman"/>
          <w:noProof/>
          <w:sz w:val="24"/>
          <w:szCs w:val="24"/>
        </w:rPr>
        <w:t>3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Bags, C. (n.d.).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Teori Teori dalam Pengungkapan Informasi CSR</w:t>
      </w:r>
      <w:r>
        <w:rPr>
          <w:rFonts w:ascii="Times New Roman" w:cs="Times New Roman" w:hAnsi="Times New Roman"/>
          <w:noProof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Di, T., &amp; Lq, I. (2015).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ANALISA PERTUMBUHAN PENJUALAN , UKURAN PERUSAHAAN , RETURN ON ASSET , DAN STRUKTUR MODAL TERHADAP NILAI PERUSAHAAN YANG</w:t>
      </w:r>
      <w:r>
        <w:rPr>
          <w:rFonts w:ascii="Times New Roman" w:cs="Times New Roman" w:hAnsi="Times New Roman"/>
          <w:noProof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3</w:t>
      </w:r>
      <w:r>
        <w:rPr>
          <w:rFonts w:ascii="Times New Roman" w:cs="Times New Roman" w:hAnsi="Times New Roman"/>
          <w:noProof/>
          <w:sz w:val="24"/>
          <w:szCs w:val="24"/>
        </w:rPr>
        <w:t>(1), 961–971.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Eksandy, A., &amp; Audit, K. (2014).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DAN KUALITAS AUDIT TERHADAP PENGHINDARAN PAJAK ( TAX AVOIDANCE ) ( Studi Empiris Pada Sektor Industri Barang Konsumsi yang terdaftar di Bursa Efek Indonesia Periode 2010-2014 )</w:t>
      </w:r>
      <w:r>
        <w:rPr>
          <w:rFonts w:ascii="Times New Roman" w:cs="Times New Roman" w:hAnsi="Times New Roman"/>
          <w:noProof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Fitrianingsih, D., &amp; Budiansyah, Y. (2019). Pengaruh Current Rasio Dan Debt To Equity Ratio Terhadap Harga Saham Di Perusahaan Food and Beverage Yang Terdaftar Di Bursa Efek Indonesia Periode 2013 – 2017.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Jurnal Riset Akuntansi Terpadu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12</w:t>
      </w:r>
      <w:r>
        <w:rPr>
          <w:rFonts w:ascii="Times New Roman" w:cs="Times New Roman" w:hAnsi="Times New Roman"/>
          <w:noProof/>
          <w:sz w:val="24"/>
          <w:szCs w:val="24"/>
        </w:rPr>
        <w:t>(1), 144–167. https://doi.org/10.35448/jrat.v12i1.5347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Ghozali, I. (2016).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Aplikasi Analisis Multivariete Dengan Program IBM SPSS 23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(Prayoga P.Harto (ed.); VI). Badan Penerbit Universitas Diponegoro.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Hardiningsih, P. (1976).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Determinan nilai perusahaan</w:t>
      </w:r>
      <w:r>
        <w:rPr>
          <w:rFonts w:ascii="Times New Roman" w:cs="Times New Roman" w:hAnsi="Times New Roman"/>
          <w:noProof/>
          <w:sz w:val="24"/>
          <w:szCs w:val="24"/>
        </w:rPr>
        <w:t>. 231–250.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Kholmi, M., Ekonomi, F., &amp; Muhammadiyah, U. (2004).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Akuntabilitas dalam perspektif teori agensi</w:t>
      </w:r>
      <w:r>
        <w:rPr>
          <w:rFonts w:ascii="Times New Roman" w:cs="Times New Roman" w:hAnsi="Times New Roman"/>
          <w:noProof/>
          <w:sz w:val="24"/>
          <w:szCs w:val="24"/>
        </w:rPr>
        <w:t>. 357–369.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Khomsatun, S. (n.d.).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Pengaruh Thin Capitalization dan Assets Mix perusahaan Indeks Saham Syariah Indonesia ( Issi ) Terhadap Penghindaran Pajak</w:t>
      </w:r>
      <w:r>
        <w:rPr>
          <w:rFonts w:ascii="Times New Roman" w:cs="Times New Roman" w:hAnsi="Times New Roman"/>
          <w:noProof/>
          <w:sz w:val="24"/>
          <w:szCs w:val="24"/>
        </w:rPr>
        <w:t>. 1–23.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Larasati, E. (</w:t>
      </w:r>
      <w:r>
        <w:rPr>
          <w:rFonts w:ascii="Times New Roman" w:cs="Times New Roman" w:hAnsi="Times New Roman"/>
          <w:noProof/>
          <w:sz w:val="24"/>
          <w:szCs w:val="24"/>
        </w:rPr>
        <w:t>2011</w:t>
      </w:r>
      <w:r>
        <w:rPr>
          <w:rFonts w:ascii="Times New Roman" w:cs="Times New Roman" w:hAnsi="Times New Roman"/>
          <w:noProof/>
          <w:sz w:val="24"/>
          <w:szCs w:val="24"/>
        </w:rPr>
        <w:t xml:space="preserve">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Pengaruh Kepemilikan Manajerial , Kepemilikan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Institusional dan Kebijakan Dividen Terhadap Kebijakan Hutang</w:t>
      </w:r>
      <w:r>
        <w:rPr>
          <w:rFonts w:ascii="Times New Roman" w:cs="Times New Roman" w:hAnsi="Times New Roman"/>
          <w:noProof/>
          <w:sz w:val="24"/>
          <w:szCs w:val="24"/>
        </w:rPr>
        <w:t>.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Jurnal Ekonomi Bisnis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Novia, R., &amp; Halmawati, H. (2022). Ukuran Perusahaan Memoderasi Pengaruh CSR, Tax Avoidance, dan Sustainability Reporting terhadap Nilai Perusahaan.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Jurnal Eksplorasi Akuntansi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4</w:t>
      </w:r>
      <w:r>
        <w:rPr>
          <w:rFonts w:ascii="Times New Roman" w:cs="Times New Roman" w:hAnsi="Times New Roman"/>
          <w:noProof/>
          <w:sz w:val="24"/>
          <w:szCs w:val="24"/>
        </w:rPr>
        <w:t>(1), 40–58. https://doi.org/10.24036/jea.v4i1.47</w:t>
      </w:r>
      <w:r>
        <w:rPr>
          <w:rFonts w:ascii="Times New Roman" w:cs="Times New Roman" w:hAnsi="Times New Roman"/>
          <w:noProof/>
          <w:sz w:val="24"/>
          <w:szCs w:val="24"/>
        </w:rPr>
        <w:t>1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iCs/>
          <w:noProof/>
          <w:sz w:val="24"/>
          <w:szCs w:val="24"/>
        </w:rPr>
        <w:t>Nofrita, R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. (2013).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Pengaruh profitabilitas terhadap nilai perusahaan dengan kebijakan deviden sebagai variabel intervening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. Fakultas Ekonomi. Universitas Negeri Padang</w:t>
      </w:r>
      <w:r>
        <w:rPr>
          <w:rFonts w:ascii="Times New Roman" w:cs="Times New Roman" w:hAnsi="Times New Roman"/>
          <w:noProof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Nurhayati, M., &amp; Buana, U. M. (2018).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Profitabilitas likuiditas dan ukuran per</w:t>
      </w:r>
      <w:r>
        <w:rPr>
          <w:rFonts w:ascii="Times New Roman" w:cs="Times New Roman" w:hAnsi="Times New Roman"/>
          <w:noProof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July</w:t>
      </w:r>
      <w:r>
        <w:rPr>
          <w:rFonts w:ascii="Times New Roman" w:cs="Times New Roman" w:hAnsi="Times New Roman"/>
          <w:noProof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Nurminda, A., Isynuwardhana, D., Nurbaiti, A., &amp; Si, M. (2017).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( Studi pada Perusahaan Manufaktur Sub Sektor Barang dan Konsumsi yang Terdaftar di Bursa Efek Indonesia Periode 2012-2015 ) THE INFLUENCE OF PROFITABILITY , LEVERAGE , AND FIRM SIZE TOWARD FIRM VALUE ( Study of Manufacture Companies Goods and Foods Sub S</w:t>
      </w:r>
      <w:r>
        <w:rPr>
          <w:rFonts w:ascii="Times New Roman" w:cs="Times New Roman" w:hAnsi="Times New Roman"/>
          <w:noProof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4</w:t>
      </w:r>
      <w:r>
        <w:rPr>
          <w:rFonts w:ascii="Times New Roman" w:cs="Times New Roman" w:hAnsi="Times New Roman"/>
          <w:noProof/>
          <w:sz w:val="24"/>
          <w:szCs w:val="24"/>
        </w:rPr>
        <w:t>(1), 542–549.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Raharjo, E. (1907).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( Agency Theory Vs Stewardship Theory in the Accounting Perspective )</w:t>
      </w:r>
      <w:r>
        <w:rPr>
          <w:rFonts w:ascii="Times New Roman" w:cs="Times New Roman" w:hAnsi="Times New Roman"/>
          <w:noProof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Shafirah, A. (n.d.).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Pengaruh Tax Planning Dan Tax Avoidance Terhadap Nilai Perusahaan</w:t>
      </w:r>
      <w:r>
        <w:rPr>
          <w:rFonts w:ascii="Times New Roman" w:cs="Times New Roman" w:hAnsi="Times New Roman"/>
          <w:noProof/>
          <w:sz w:val="24"/>
          <w:szCs w:val="24"/>
        </w:rPr>
        <w:t>. 267–275.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Sunengsih, L., Iskandar, &amp; Kusumawardani, A. (2021).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Pengaruh tax avoidance , keputusan investasi dan kebijakan dividen terhadap nilai perusahaan The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effect of tax avoidance , investment decisions and dividend policy on firm value</w:t>
      </w:r>
      <w:r>
        <w:rPr>
          <w:rFonts w:ascii="Times New Roman" w:cs="Times New Roman" w:hAnsi="Times New Roman"/>
          <w:noProof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18</w:t>
      </w:r>
      <w:r>
        <w:rPr>
          <w:rFonts w:ascii="Times New Roman" w:cs="Times New Roman" w:hAnsi="Times New Roman"/>
          <w:noProof/>
          <w:sz w:val="24"/>
          <w:szCs w:val="24"/>
        </w:rPr>
        <w:t>(4), 628–633.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Trihartati, I. A. (2010). PENGARUH INDEPENDENSI DAN EFEKTIVITAS KOMITE AUDIT TERHADAP MANAJEMEN LABA</w:t>
      </w:r>
      <w:r>
        <w:rPr>
          <w:rFonts w:ascii="Times New Roman" w:cs="Times New Roman" w:hAnsi="Times New Roman"/>
          <w:noProof/>
          <w:sz w:val="24"/>
          <w:szCs w:val="24"/>
        </w:rPr>
        <w:t xml:space="preserve">. </w:t>
      </w:r>
      <w:r>
        <w:rPr>
          <w:rFonts w:ascii="Times New Roman" w:cs="Times New Roman" w:hAnsi="Times New Roman"/>
          <w:noProof/>
          <w:sz w:val="24"/>
          <w:szCs w:val="24"/>
        </w:rPr>
        <w:t xml:space="preserve">Akuntansi, J., Ekonomi, F., Semarang.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Jurnal Dinamika Akuntansi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2</w:t>
      </w:r>
      <w:r>
        <w:rPr>
          <w:rFonts w:ascii="Times New Roman" w:cs="Times New Roman" w:hAnsi="Times New Roman"/>
          <w:noProof/>
          <w:sz w:val="24"/>
          <w:szCs w:val="24"/>
        </w:rPr>
        <w:t>(1), 21–29. http://journal.unnes.ac.id/index.php/jda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noProof/>
          <w:sz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Wahyu, G., Zulma, M., &amp; Indonesia, U. (n.d.).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Pengaruh Kompensasi Manajemen terhadap Penghindaran Pajak Perusahaan dengan Moderasi Kepemilikan Keluarga di Indonesia</w:t>
      </w:r>
      <w:r>
        <w:rPr>
          <w:rFonts w:ascii="Times New Roman" w:cs="Times New Roman" w:hAnsi="Times New Roman"/>
          <w:noProof/>
          <w:sz w:val="24"/>
          <w:szCs w:val="24"/>
        </w:rPr>
        <w:t>. 1–15.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fldChar w:fldCharType="end"/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br w:type="page"/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center"/>
        <w:rPr>
          <w:rFonts w:ascii="Times New Roman" w:cs="Times New Roman" w:hAnsi="Times New Roman"/>
          <w:b/>
          <w:sz w:val="144"/>
          <w:szCs w:val="144"/>
        </w:rPr>
      </w:pPr>
      <w:r>
        <w:rPr>
          <w:rFonts w:ascii="Times New Roman" w:cs="Times New Roman" w:hAnsi="Times New Roman"/>
          <w:b/>
          <w:sz w:val="144"/>
          <w:szCs w:val="144"/>
        </w:rPr>
        <w:t>LAMPIRAN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1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Variabel (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Nilai Perusahaan</w:t>
      </w:r>
      <w:r>
        <w:rPr>
          <w:rFonts w:ascii="Times New Roman" w:cs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erusahaan </w:t>
      </w:r>
      <w:r>
        <w:rPr>
          <w:rFonts w:ascii="Times New Roman" w:hAnsi="Times New Roman"/>
          <w:sz w:val="24"/>
          <w:szCs w:val="24"/>
        </w:rPr>
        <w:t>yangT</w:t>
      </w:r>
      <w:r>
        <w:rPr>
          <w:rFonts w:ascii="Times New Roman" w:hAnsi="Times New Roman"/>
          <w:sz w:val="24"/>
          <w:szCs w:val="24"/>
        </w:rPr>
        <w:t>erdaftar di Bursa Efek Indonesia Tahun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375" w:type="dxa"/>
        <w:tblInd w:w="-601" w:type="dxa"/>
        <w:tblLook w:val="04A0" w:firstRow="1" w:lastRow="0" w:firstColumn="1" w:lastColumn="0" w:noHBand="0" w:noVBand="1"/>
      </w:tblPr>
      <w:tblGrid>
        <w:gridCol w:w="597"/>
        <w:gridCol w:w="931"/>
        <w:gridCol w:w="886"/>
        <w:gridCol w:w="2098"/>
        <w:gridCol w:w="1829"/>
        <w:gridCol w:w="1188"/>
        <w:gridCol w:w="960"/>
        <w:gridCol w:w="888"/>
      </w:tblGrid>
      <w:tr>
        <w:trPr>
          <w:trHeight w:val="300" w:hRule="atLeas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ind w:left="-5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Kode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Tahun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Total Ekuitas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Jumlah Saham Beredar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Nilai Buku Per Saham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Harga Saham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PBV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ADES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481914000000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5898970000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81.69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11.26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567937000000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5898970000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96.28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10.85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700508000000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5898970000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118.75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12.29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AGII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3147792000000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153333000000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20.53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33.12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3299564000000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153333000000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21.52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32.30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3382141000000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153333000000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40.53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ALDO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445406568767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55000000000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50.50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419406306270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38.13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11.23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590123647820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53.65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10.62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BATA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636807359000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48.99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12.25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653251326000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50.25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13.13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477944179000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36.76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17.27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CCSI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223190728000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64.88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326938801000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65.76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339182495000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59.26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CPIN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19391174000000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163980000000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118.25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61.10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21071600000000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163980000000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128.50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50.58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23349683000000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163980000000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142.39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6525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45.82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DPNS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277708599001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82782488000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94.20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282101635876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82782488000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74.54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284823663685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82782488000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79.64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EKAD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724582501247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349387500000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82.45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852543550822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349387500000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87.70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952362557662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349387500000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92.45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FASW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4288337297565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12389443935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346.13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7775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22.46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4692597823392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12389443935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378.76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20.33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4582994996488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12389443935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369.91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7475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20.21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2194231835853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65624971000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33.44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66.40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2572287128060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65624971000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39.20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58.68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2563740312761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65624971000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39.07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51.19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JKSW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4943598422130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75000000000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65.91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25.18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4957289712680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75000000000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66.10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32.36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4968615547540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75000000000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66.25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21.59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KMTR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1457822944202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76829500000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18.97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14.23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1823129158500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82153663790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22.19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14.24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2071029142148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82153663790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25.21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13.25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475170562075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52016000000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74.44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468699629730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52016000000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51.94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443141451746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52016000000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8.52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40.61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LPIN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273570407671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106250000000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95.54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303298783362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106250000000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99.49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309963828867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106250000000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83.64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MDKI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831452000000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253015000000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82.16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834398000000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253015000000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60.34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889980000000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253015000000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65.96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SCCO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2910749138067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20558340000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141.58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61.45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3141020945591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20558340000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152.79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9175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60.05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3273954601054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20558340000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159.25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65.93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TALF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881167255509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135343500000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6.51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49.77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1008291258921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135343500000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7.45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36.51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1020185316228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135343500000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7.54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34.49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TRST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2237384616122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280800000000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7.97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50.20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2174460936275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280800000000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7.74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49.07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2266810434281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280800000000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51.78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UCID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2797704000000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33252600000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84.13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20.68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4341609000000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41565700000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104.45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17.90</w:t>
            </w:r>
          </w:p>
        </w:tc>
      </w:tr>
      <w:tr>
        <w:tblPrEx/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4494640000000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41565700000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108.13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13.59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2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Variabel (X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Tax Avoidance </w:t>
      </w:r>
      <w:r>
        <w:rPr>
          <w:rFonts w:ascii="Times New Roman" w:cs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erusahaan </w:t>
      </w:r>
      <w:r>
        <w:rPr>
          <w:rFonts w:ascii="Times New Roman" w:hAnsi="Times New Roman"/>
          <w:sz w:val="24"/>
          <w:szCs w:val="24"/>
        </w:rPr>
        <w:t>yangT</w:t>
      </w:r>
      <w:r>
        <w:rPr>
          <w:rFonts w:ascii="Times New Roman" w:hAnsi="Times New Roman"/>
          <w:sz w:val="24"/>
          <w:szCs w:val="24"/>
        </w:rPr>
        <w:t xml:space="preserve">erdaftar di Bursa Efek </w:t>
      </w:r>
      <w:r>
        <w:rPr>
          <w:rFonts w:ascii="Times New Roman" w:hAnsi="Times New Roman"/>
          <w:sz w:val="24"/>
          <w:szCs w:val="24"/>
        </w:rPr>
        <w:t>Indonesia Tahun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0.</w:t>
      </w:r>
    </w:p>
    <w:tbl>
      <w:tblPr>
        <w:tblW w:w="7940" w:type="dxa"/>
        <w:tblInd w:w="113" w:type="dxa"/>
        <w:tblLook w:val="04A0" w:firstRow="1" w:lastRow="0" w:firstColumn="1" w:lastColumn="0" w:noHBand="0" w:noVBand="1"/>
      </w:tblPr>
      <w:tblGrid>
        <w:gridCol w:w="941"/>
        <w:gridCol w:w="956"/>
        <w:gridCol w:w="957"/>
        <w:gridCol w:w="1963"/>
        <w:gridCol w:w="2171"/>
        <w:gridCol w:w="954"/>
      </w:tblGrid>
      <w:tr>
        <w:trPr>
          <w:trHeight w:val="300" w:hRule="atLeas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Tahun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Pembayaran Pajak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Laba Sebelum Pajak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CETR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6113000000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70060000000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0.09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15885000000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110179000000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0.14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19093000000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167919000000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0.11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19101000000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147639000000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0.13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22018000000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138137000000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0.16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17776000000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96179000000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0.18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12120461559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117027542698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0.10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22545291220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121937309241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0.18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24962387219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83963236519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0.30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34031709000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92878105000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0.37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25482096000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35857813000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0.71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64092730000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22504179200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2.85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CCSI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7106804000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47023057000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0.15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23277962000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74377352000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0.31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12180268000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35178487000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0.35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898788000000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5907351000000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0.15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1803459000000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4595238000000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0.39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1121251000000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4767698000000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0.24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1094008767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12347569714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0.09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2213581973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5302563264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0.42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6925727543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4461029495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1.55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EKAD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101455415901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29115691717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3.48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111834501956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30483889023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3.67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123522654770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22754445504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5.43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220967658625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1988090191158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0.11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529197976136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1220595729710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0.43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77673147327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362806757676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0.21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17099545369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147982768771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0.12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6801316605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130070871745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0.05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45880773844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75316440467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0.61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JKSW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1529497188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4858814702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0.31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2694696787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1391297992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1.94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2970980306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1067011759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2.78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KMTR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28410322369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39218133343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0.72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55059276145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41632442032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1.32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10724331892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30050646557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0.36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7979956206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2390862517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3.34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7132482607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5763388287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1.24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4528356534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7110199333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0.64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13609385146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35132528263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0.39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10242175215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31375178612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0.33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2109694854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8395696968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0.25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1099000000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44033000000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0.02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1551000000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42486000000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0.04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2994000000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50096000000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0.06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115579250392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343024583828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0.34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149375539166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413405348304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0.36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42160381029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304057871487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0.14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14155089100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70378904432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0.20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20270528875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39529863107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0.51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6667758094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28621059866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0.23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20328919188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36216675439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0.56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18416717612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17514074859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1.05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9445689085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46317333298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0.20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9200000000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289880000000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0.03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310736000000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549374000000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0.57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142379000000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468055000000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0.30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3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Variabel (X3)</w:t>
      </w:r>
      <w:r>
        <w:rPr>
          <w:rFonts w:ascii="Times New Roman" w:hAnsi="Times New Roman"/>
          <w:sz w:val="24"/>
          <w:szCs w:val="24"/>
        </w:rPr>
        <w:t xml:space="preserve">Kebijakan Dividen </w:t>
      </w:r>
      <w:r>
        <w:rPr>
          <w:rFonts w:ascii="Times New Roman" w:cs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erusahaan </w:t>
      </w:r>
      <w:r>
        <w:rPr>
          <w:rFonts w:ascii="Times New Roman" w:hAnsi="Times New Roman"/>
          <w:sz w:val="24"/>
          <w:szCs w:val="24"/>
        </w:rPr>
        <w:t>yangT</w:t>
      </w:r>
      <w:r>
        <w:rPr>
          <w:rFonts w:ascii="Times New Roman" w:hAnsi="Times New Roman"/>
          <w:sz w:val="24"/>
          <w:szCs w:val="24"/>
        </w:rPr>
        <w:t xml:space="preserve">erdaftar di Bursa </w:t>
      </w:r>
      <w:r>
        <w:rPr>
          <w:rFonts w:ascii="Times New Roman" w:hAnsi="Times New Roman"/>
          <w:sz w:val="24"/>
          <w:szCs w:val="24"/>
        </w:rPr>
        <w:t>Efek Indonesia Tahun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0.</w:t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>
        <w:trPr>
          <w:trHeight w:val="300" w:hRule="atLeast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EPS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DPR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0.23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232a31"/>
                <w:sz w:val="24"/>
                <w:szCs w:val="24"/>
                <w:lang w:val="en-IN" w:eastAsia="en-IN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0.19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2.38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2.37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CCSI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0.09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0.53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0.35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0.38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EKAD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0.35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567.16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0.29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390.99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0.59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242.58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0.76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0.59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0.65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189.79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0.53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JKSW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0.62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0.43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0.88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KMTR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0.85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0.85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0.72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0.05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1.36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1,280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0.23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1,157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0.43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0.08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19.77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0.19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0.29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4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Variabel Transparansi</w:t>
      </w:r>
      <w:r>
        <w:rPr>
          <w:rFonts w:ascii="Times New Roman" w:cs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erusahaan </w:t>
      </w:r>
      <w:r>
        <w:rPr>
          <w:rFonts w:ascii="Times New Roman" w:hAnsi="Times New Roman"/>
          <w:sz w:val="24"/>
          <w:szCs w:val="24"/>
        </w:rPr>
        <w:t>yangT</w:t>
      </w:r>
      <w:r>
        <w:rPr>
          <w:rFonts w:ascii="Times New Roman" w:hAnsi="Times New Roman"/>
          <w:sz w:val="24"/>
          <w:szCs w:val="24"/>
        </w:rPr>
        <w:t xml:space="preserve">erdaftar di Bursa Efek </w:t>
      </w:r>
      <w:r>
        <w:rPr>
          <w:rFonts w:ascii="Times New Roman" w:hAnsi="Times New Roman"/>
          <w:sz w:val="24"/>
          <w:szCs w:val="24"/>
        </w:rPr>
        <w:t>Indonesia Tahun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0.</w:t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>
        <w:trPr>
          <w:trHeight w:val="300" w:hRule="atLeast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Trans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CCSI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EKAD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JKSW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KMTR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0.77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1.00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1.00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1.00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0.97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5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Variabel (Moderasi) Transparansi</w:t>
      </w:r>
      <w:r>
        <w:rPr>
          <w:rFonts w:ascii="Times New Roman" w:hAnsi="Times New Roman"/>
          <w:sz w:val="24"/>
          <w:szCs w:val="24"/>
        </w:rPr>
        <w:t xml:space="preserve"> pada Tax Avoidance dan Kebijakan </w:t>
      </w:r>
      <w:r>
        <w:rPr>
          <w:rFonts w:ascii="Times New Roman" w:hAnsi="Times New Roman"/>
          <w:sz w:val="24"/>
          <w:szCs w:val="24"/>
        </w:rPr>
        <w:t>Dividen</w:t>
      </w:r>
      <w:r>
        <w:rPr>
          <w:rFonts w:ascii="Times New Roman" w:cs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erusahaan </w:t>
      </w:r>
      <w:r>
        <w:rPr>
          <w:rFonts w:ascii="Times New Roman" w:hAnsi="Times New Roman"/>
          <w:sz w:val="24"/>
          <w:szCs w:val="24"/>
        </w:rPr>
        <w:t>yangT</w:t>
      </w:r>
      <w:r>
        <w:rPr>
          <w:rFonts w:ascii="Times New Roman" w:hAnsi="Times New Roman"/>
          <w:sz w:val="24"/>
          <w:szCs w:val="24"/>
        </w:rPr>
        <w:t>erdaftar di Bursa Efek Indonesia Tahun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0.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>
        <w:trPr>
          <w:trHeight w:val="300" w:hRule="atLeast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TA*M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KD*M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0.33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0.08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0.08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0.09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0.19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BATA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0.74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2.15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2.14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CCSI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0.08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0.43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0.28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0.09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EKAD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0.55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0.55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0.71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INDS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JKSW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0.71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KMTR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0.76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0.76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0.62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0.40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0.45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LPIN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0.04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0.19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1.23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MDKI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0.86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SCCO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0.43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0.42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0.18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0.31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0.17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UCID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0.26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0.19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0.28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4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Hasil Perhitungan SPSS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Statistik Deskriptif</w:t>
      </w:r>
    </w:p>
    <w:tbl>
      <w:tblPr>
        <w:tblW w:w="70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134"/>
        <w:gridCol w:w="1276"/>
        <w:gridCol w:w="992"/>
        <w:gridCol w:w="1196"/>
      </w:tblGrid>
      <w:tr>
        <w:trPr>
          <w:cantSplit/>
          <w:jc w:val="center"/>
        </w:trPr>
        <w:tc>
          <w:tcPr>
            <w:tcW w:w="7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  <w:t>Descriptive Statistics</w:t>
            </w:r>
          </w:p>
        </w:tc>
      </w:tr>
      <w:tr>
        <w:tblPrEx/>
        <w:trPr>
          <w:cantSplit/>
          <w:jc w:val="center"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Minimum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Maximum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Mean</w:t>
            </w:r>
          </w:p>
        </w:tc>
        <w:tc>
          <w:tcPr>
            <w:tcW w:w="11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Std. Deviation</w:t>
            </w:r>
          </w:p>
        </w:tc>
      </w:tr>
      <w:tr>
        <w:tblPrEx/>
        <w:trPr>
          <w:cantSplit/>
          <w:jc w:val="center"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NILAI PERUSAHAAN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57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10.62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99.49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46.3051</w:t>
            </w:r>
          </w:p>
        </w:tc>
        <w:tc>
          <w:tcPr>
            <w:tcW w:w="11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26.74807</w:t>
            </w:r>
          </w:p>
        </w:tc>
      </w:tr>
      <w:tr>
        <w:tblPrEx/>
        <w:trPr>
          <w:cantSplit/>
          <w:jc w:val="center"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TAX AVOIDANCE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5.43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.7247</w:t>
            </w:r>
          </w:p>
        </w:tc>
        <w:tc>
          <w:tcPr>
            <w:tcW w:w="11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1.09973</w:t>
            </w:r>
          </w:p>
        </w:tc>
      </w:tr>
      <w:tr>
        <w:tblPrEx/>
        <w:trPr>
          <w:cantSplit/>
          <w:jc w:val="center"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KEBIJAKAN DIVIDEN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2.38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.4888</w:t>
            </w:r>
          </w:p>
        </w:tc>
        <w:tc>
          <w:tcPr>
            <w:tcW w:w="11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.45305</w:t>
            </w:r>
          </w:p>
        </w:tc>
      </w:tr>
      <w:tr>
        <w:tblPrEx/>
        <w:trPr>
          <w:cantSplit/>
          <w:jc w:val="center"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TRANS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PARANSI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1.00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.8951</w:t>
            </w:r>
          </w:p>
        </w:tc>
        <w:tc>
          <w:tcPr>
            <w:tcW w:w="11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.05530</w:t>
            </w:r>
          </w:p>
        </w:tc>
      </w:tr>
      <w:tr>
        <w:tblPrEx/>
        <w:trPr>
          <w:cantSplit/>
          <w:jc w:val="center"/>
        </w:trPr>
        <w:tc>
          <w:tcPr>
            <w:tcW w:w="198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Valid N (listwise)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57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1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Normalitas</w:t>
      </w:r>
    </w:p>
    <w:tbl>
      <w:tblPr>
        <w:tblW w:w="5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200"/>
        <w:gridCol w:w="1720"/>
      </w:tblGrid>
      <w:tr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  <w:t>One-Sample Kolmogorov-Smirnov Test</w:t>
            </w:r>
          </w:p>
        </w:tc>
      </w:tr>
      <w:tr>
        <w:tblPrEx/>
        <w:trPr>
          <w:cantSplit/>
          <w:jc w:val="center"/>
        </w:trPr>
        <w:tc>
          <w:tcPr>
            <w:tcW w:w="36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Unstandardized Residual</w:t>
            </w:r>
          </w:p>
        </w:tc>
      </w:tr>
      <w:tr>
        <w:tblPrEx/>
        <w:trPr>
          <w:cantSplit/>
          <w:jc w:val="center"/>
        </w:trPr>
        <w:tc>
          <w:tcPr>
            <w:tcW w:w="364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N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57</w:t>
            </w:r>
          </w:p>
        </w:tc>
      </w:tr>
      <w:tr>
        <w:tblPrEx/>
        <w:trPr>
          <w:cantSplit/>
          <w:jc w:val="center"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Normal Parameters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vertAlign w:val="superscript"/>
                <w:lang w:val="en-IN"/>
              </w:rPr>
              <w:t>a,b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Mean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.0000000</w:t>
            </w:r>
          </w:p>
        </w:tc>
      </w:tr>
      <w:tr>
        <w:tblPrEx/>
        <w:trPr>
          <w:cantSplit/>
          <w:jc w:val="center"/>
        </w:trPr>
        <w:tc>
          <w:tcPr>
            <w:tcW w:w="2445" w:type="dxa"/>
            <w:vMerge w:val="continue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Std. Deviation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24.78573983</w:t>
            </w:r>
          </w:p>
        </w:tc>
      </w:tr>
      <w:tr>
        <w:tblPrEx/>
        <w:trPr>
          <w:cantSplit/>
          <w:jc w:val="center"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Most Extreme Differences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Absolute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.106</w:t>
            </w:r>
          </w:p>
        </w:tc>
      </w:tr>
      <w:tr>
        <w:tblPrEx/>
        <w:trPr>
          <w:cantSplit/>
          <w:jc w:val="center"/>
        </w:trPr>
        <w:tc>
          <w:tcPr>
            <w:tcW w:w="2445" w:type="dxa"/>
            <w:vMerge w:val="continue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Positive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.106</w:t>
            </w:r>
          </w:p>
        </w:tc>
      </w:tr>
      <w:tr>
        <w:tblPrEx/>
        <w:trPr>
          <w:cantSplit/>
          <w:jc w:val="center"/>
        </w:trPr>
        <w:tc>
          <w:tcPr>
            <w:tcW w:w="2445" w:type="dxa"/>
            <w:vMerge w:val="continue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Negative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-.072</w:t>
            </w:r>
          </w:p>
        </w:tc>
      </w:tr>
      <w:tr>
        <w:tblPrEx/>
        <w:trPr>
          <w:cantSplit/>
          <w:jc w:val="center"/>
        </w:trPr>
        <w:tc>
          <w:tcPr>
            <w:tcW w:w="364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Test Statistic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.106</w:t>
            </w:r>
          </w:p>
        </w:tc>
      </w:tr>
      <w:tr>
        <w:tblPrEx/>
        <w:trPr>
          <w:cantSplit/>
          <w:jc w:val="center"/>
        </w:trPr>
        <w:tc>
          <w:tcPr>
            <w:tcW w:w="364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Asymp. Sig. (2-tailed)</w:t>
            </w:r>
          </w:p>
        </w:tc>
        <w:tc>
          <w:tcPr>
            <w:tcW w:w="1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.170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vertAlign w:val="superscript"/>
                <w:lang w:val="en-IN"/>
              </w:rPr>
              <w:t>c</w:t>
            </w:r>
          </w:p>
        </w:tc>
      </w:tr>
      <w:tr>
        <w:tblPrEx/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a. Test distribution is Normal.</w:t>
            </w:r>
          </w:p>
        </w:tc>
      </w:tr>
      <w:tr>
        <w:tblPrEx/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b. Calculated from data.</w:t>
            </w:r>
          </w:p>
        </w:tc>
      </w:tr>
      <w:tr>
        <w:tblPrEx/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c. Lilliefors Significance Correction.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Multikolinieritas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417"/>
      </w:tblGrid>
      <w:tr>
        <w:trPr>
          <w:jc w:val="center"/>
        </w:trPr>
        <w:tc>
          <w:tcPr>
            <w:tcW w:w="2694" w:type="dxa"/>
            <w:vMerge w:val="restart"/>
            <w:tcBorders/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2976" w:type="dxa"/>
            <w:gridSpan w:val="2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Collinearity Statistics</w:t>
            </w:r>
          </w:p>
        </w:tc>
      </w:tr>
      <w:tr>
        <w:tblPrEx/>
        <w:trPr>
          <w:jc w:val="center"/>
        </w:trPr>
        <w:tc>
          <w:tcPr>
            <w:tcW w:w="2694" w:type="dxa"/>
            <w:vMerge w:val="continue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Tolerance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VIF</w:t>
            </w:r>
          </w:p>
        </w:tc>
      </w:tr>
      <w:tr>
        <w:tblPrEx/>
        <w:trPr>
          <w:jc w:val="center"/>
        </w:trPr>
        <w:tc>
          <w:tcPr>
            <w:tcW w:w="2694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694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 Avoidance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</w:tr>
      <w:tr>
        <w:tblPrEx/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Kebijakan Dividen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068</w:t>
            </w:r>
          </w:p>
        </w:tc>
      </w:tr>
      <w:tr>
        <w:tblPrEx/>
        <w:trPr>
          <w:jc w:val="center"/>
        </w:trPr>
        <w:tc>
          <w:tcPr>
            <w:tcW w:w="2694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Transparansi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</w:tr>
      <w:tr>
        <w:tblPrEx/>
        <w:trPr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179"/>
              <w:numPr>
                <w:ilvl w:val="0"/>
                <w:numId w:val="35"/>
              </w:numPr>
              <w:spacing w:after="0" w:lineRule="auto" w:line="240"/>
              <w:ind w:left="167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Dependent Variabel : </w:t>
            </w:r>
            <w:r>
              <w:rPr>
                <w:rFonts w:ascii="Times New Roman" w:hAnsi="Times New Roman"/>
                <w:sz w:val="24"/>
                <w:szCs w:val="24"/>
              </w:rPr>
              <w:t>Nilai Perusahaan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Heteroskedastisitas</w:t>
      </w:r>
    </w:p>
    <w:tbl>
      <w:tblPr>
        <w:tblW w:w="66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993"/>
        <w:gridCol w:w="1134"/>
        <w:gridCol w:w="1417"/>
        <w:gridCol w:w="851"/>
        <w:gridCol w:w="708"/>
      </w:tblGrid>
      <w:tr>
        <w:trPr>
          <w:cantSplit/>
          <w:jc w:val="center"/>
        </w:trPr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  <w:t>Coefficients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a</w:t>
            </w:r>
          </w:p>
        </w:tc>
      </w:tr>
      <w:tr>
        <w:tblPrEx/>
        <w:trPr>
          <w:cantSplit/>
          <w:jc w:val="center"/>
        </w:trPr>
        <w:tc>
          <w:tcPr>
            <w:tcW w:w="15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Model</w:t>
            </w:r>
          </w:p>
        </w:tc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Sig.</w:t>
            </w:r>
          </w:p>
        </w:tc>
      </w:tr>
      <w:tr>
        <w:tblPrEx/>
        <w:trPr>
          <w:cantSplit/>
          <w:jc w:val="center"/>
        </w:trPr>
        <w:tc>
          <w:tcPr>
            <w:tcW w:w="1559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9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Beta</w:t>
            </w:r>
          </w:p>
        </w:tc>
        <w:tc>
          <w:tcPr>
            <w:tcW w:w="851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708" w:type="dxa"/>
            <w:vMerge w:val="continue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</w:tr>
      <w:tr>
        <w:tblPrEx/>
        <w:trPr>
          <w:cantSplit/>
          <w:jc w:val="center"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2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(Constant)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-35.209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29.065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-1.211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.231</w:t>
            </w:r>
          </w:p>
        </w:tc>
      </w:tr>
      <w:tr>
        <w:tblPrEx/>
        <w:trPr>
          <w:cantSplit/>
          <w:jc w:val="center"/>
        </w:trPr>
        <w:tc>
          <w:tcPr>
            <w:tcW w:w="284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TA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-2.252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1.679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-.181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-1.341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.186</w:t>
            </w:r>
          </w:p>
        </w:tc>
      </w:tr>
      <w:tr>
        <w:tblPrEx/>
        <w:trPr>
          <w:cantSplit/>
          <w:jc w:val="center"/>
        </w:trPr>
        <w:tc>
          <w:tcPr>
            <w:tcW w:w="284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KD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1.128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4.077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.037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.277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.783</w:t>
            </w:r>
          </w:p>
        </w:tc>
      </w:tr>
      <w:tr>
        <w:tblPrEx/>
        <w:trPr>
          <w:cantSplit/>
          <w:jc w:val="center"/>
        </w:trPr>
        <w:tc>
          <w:tcPr>
            <w:tcW w:w="284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TRANS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63.405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32.382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.256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1.958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.055</w:t>
            </w:r>
          </w:p>
        </w:tc>
      </w:tr>
      <w:tr>
        <w:tblPrEx/>
        <w:trPr>
          <w:cantSplit/>
          <w:jc w:val="center"/>
        </w:trPr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a. Dependent Variable: ABS_RES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Autokorelasi</w:t>
      </w:r>
    </w:p>
    <w:tbl>
      <w:tblPr>
        <w:tblW w:w="6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09"/>
      </w:tblGrid>
      <w:tr>
        <w:trPr>
          <w:jc w:val="center"/>
        </w:trPr>
        <w:tc>
          <w:tcPr>
            <w:tcW w:w="2268" w:type="dxa"/>
            <w:tcBorders/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4109" w:type="dxa"/>
            <w:tcBorders/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Durbin-Watson</w:t>
            </w:r>
          </w:p>
        </w:tc>
      </w:tr>
      <w:tr>
        <w:tblPrEx/>
        <w:trPr>
          <w:jc w:val="center"/>
        </w:trPr>
        <w:tc>
          <w:tcPr>
            <w:tcW w:w="2268" w:type="dxa"/>
            <w:tcBorders/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>
        <w:tblPrEx/>
        <w:trPr>
          <w:jc w:val="center"/>
        </w:trPr>
        <w:tc>
          <w:tcPr>
            <w:tcW w:w="6377" w:type="dxa"/>
            <w:gridSpan w:val="2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36"/>
              </w:numPr>
              <w:spacing w:after="0" w:lineRule="auto" w:line="240"/>
              <w:ind w:left="167" w:hanging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Predictors: (Constant), </w:t>
            </w:r>
            <w:r>
              <w:rPr>
                <w:rFonts w:ascii="Times New Roman" w:hAnsi="Times New Roman"/>
                <w:sz w:val="24"/>
                <w:szCs w:val="24"/>
              </w:rPr>
              <w:t>TA, KD, TRANS</w:t>
            </w:r>
          </w:p>
        </w:tc>
      </w:tr>
      <w:tr>
        <w:tblPrEx/>
        <w:trPr>
          <w:trHeight w:val="306" w:hRule="atLeast"/>
          <w:jc w:val="center"/>
        </w:trPr>
        <w:tc>
          <w:tcPr>
            <w:tcW w:w="6377" w:type="dxa"/>
            <w:gridSpan w:val="2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36"/>
              </w:numPr>
              <w:spacing w:after="0" w:lineRule="auto" w:line="240"/>
              <w:ind w:left="16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Dependent Variable: </w:t>
            </w:r>
            <w:r>
              <w:rPr>
                <w:rFonts w:ascii="Times New Roman" w:hAnsi="Times New Roman"/>
                <w:sz w:val="24"/>
                <w:szCs w:val="24"/>
              </w:rPr>
              <w:t>Nilai Perusahaan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Regresi Moderasi</w:t>
      </w:r>
    </w:p>
    <w:tbl>
      <w:tblPr>
        <w:tblW w:w="65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1518"/>
        <w:gridCol w:w="993"/>
        <w:gridCol w:w="992"/>
        <w:gridCol w:w="1417"/>
        <w:gridCol w:w="851"/>
        <w:gridCol w:w="709"/>
      </w:tblGrid>
      <w:tr>
        <w:trPr>
          <w:cantSplit/>
          <w:jc w:val="center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ind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Coefficients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>
        <w:tblPrEx/>
        <w:trPr>
          <w:cantSplit/>
          <w:jc w:val="center"/>
        </w:trPr>
        <w:tc>
          <w:tcPr>
            <w:tcW w:w="15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Sig.</w:t>
            </w:r>
          </w:p>
        </w:tc>
      </w:tr>
      <w:tr>
        <w:tblPrEx/>
        <w:trPr>
          <w:cantSplit/>
          <w:jc w:val="center"/>
        </w:trPr>
        <w:tc>
          <w:tcPr>
            <w:tcW w:w="1559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Beta</w:t>
            </w:r>
          </w:p>
        </w:tc>
        <w:tc>
          <w:tcPr>
            <w:tcW w:w="851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  <w:jc w:val="center"/>
        </w:trPr>
        <w:tc>
          <w:tcPr>
            <w:tcW w:w="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(Constant)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205.580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126.997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1.619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.112</w:t>
            </w:r>
          </w:p>
        </w:tc>
      </w:tr>
      <w:tr>
        <w:tblPrEx/>
        <w:trPr>
          <w:cantSplit/>
          <w:jc w:val="center"/>
        </w:trPr>
        <w:tc>
          <w:tcPr>
            <w:tcW w:w="41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7.703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3.198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.317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2.409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.020</w:t>
            </w:r>
          </w:p>
        </w:tc>
      </w:tr>
      <w:tr>
        <w:tblPrEx/>
        <w:trPr>
          <w:cantSplit/>
          <w:jc w:val="center"/>
        </w:trPr>
        <w:tc>
          <w:tcPr>
            <w:tcW w:w="41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KD</w:t>
            </w:r>
          </w:p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TRANS</w:t>
            </w:r>
          </w:p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TA*TRANS</w:t>
            </w:r>
          </w:p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KD*TRANS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-17.338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27.867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37.028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268.409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7.766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61.676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52.749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312.391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-.294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.058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1.373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4.097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-2.233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.542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.702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.859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.030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.653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.486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.394</w:t>
            </w:r>
          </w:p>
        </w:tc>
      </w:tr>
      <w:tr>
        <w:tblPrEx/>
        <w:trPr>
          <w:cantSplit/>
          <w:jc w:val="center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spacing w:after="0"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a. Dependent Variable: NILAI PERUSAHAAN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Uji Kelayakan Model </w:t>
      </w:r>
    </w:p>
    <w:tbl>
      <w:tblPr>
        <w:tblW w:w="73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390"/>
        <w:gridCol w:w="1842"/>
        <w:gridCol w:w="851"/>
        <w:gridCol w:w="1559"/>
        <w:gridCol w:w="851"/>
        <w:gridCol w:w="779"/>
      </w:tblGrid>
      <w:tr>
        <w:trPr>
          <w:cantSplit/>
          <w:jc w:val="center"/>
        </w:trPr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  <w:t>ANOVA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a</w:t>
            </w:r>
          </w:p>
        </w:tc>
      </w:tr>
      <w:tr>
        <w:tblPrEx/>
        <w:trPr>
          <w:cantSplit/>
          <w:jc w:val="center"/>
        </w:trPr>
        <w:tc>
          <w:tcPr>
            <w:tcW w:w="14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Model</w:t>
            </w:r>
          </w:p>
        </w:tc>
        <w:tc>
          <w:tcPr>
            <w:tcW w:w="18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Sum of Squares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df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Mean Square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F</w:t>
            </w:r>
          </w:p>
        </w:tc>
        <w:tc>
          <w:tcPr>
            <w:tcW w:w="7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Sig.</w:t>
            </w:r>
          </w:p>
        </w:tc>
      </w:tr>
      <w:tr>
        <w:tblPrEx/>
        <w:trPr>
          <w:cantSplit/>
          <w:jc w:val="center"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3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Regression</w:t>
            </w:r>
          </w:p>
        </w:tc>
        <w:tc>
          <w:tcPr>
            <w:tcW w:w="18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5663.062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1887.687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2.908</w:t>
            </w:r>
          </w:p>
        </w:tc>
        <w:tc>
          <w:tcPr>
            <w:tcW w:w="7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.043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vertAlign w:val="superscript"/>
                <w:lang w:val="en-IN"/>
              </w:rPr>
              <w:t>b</w:t>
            </w:r>
          </w:p>
        </w:tc>
      </w:tr>
      <w:tr>
        <w:tblPrEx/>
        <w:trPr>
          <w:cantSplit/>
          <w:jc w:val="center"/>
        </w:trPr>
        <w:tc>
          <w:tcPr>
            <w:tcW w:w="4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Residual</w:t>
            </w:r>
          </w:p>
        </w:tc>
        <w:tc>
          <w:tcPr>
            <w:tcW w:w="18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34402.642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649.106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</w:tr>
      <w:tr>
        <w:tblPrEx/>
        <w:trPr>
          <w:cantSplit/>
          <w:jc w:val="center"/>
        </w:trPr>
        <w:tc>
          <w:tcPr>
            <w:tcW w:w="4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8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40065.705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56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en-IN"/>
              </w:rPr>
            </w:pPr>
          </w:p>
        </w:tc>
      </w:tr>
      <w:tr>
        <w:tblPrEx/>
        <w:trPr>
          <w:cantSplit/>
          <w:jc w:val="center"/>
        </w:trPr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a. Dependent Variable: NILAI PERUSAHAAN</w:t>
            </w:r>
          </w:p>
        </w:tc>
      </w:tr>
      <w:tr>
        <w:tblPrEx/>
        <w:trPr>
          <w:cantSplit/>
          <w:jc w:val="center"/>
        </w:trPr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b. Predictors: (Constant), TRANS, TA, KD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Parsial T</w:t>
      </w:r>
    </w:p>
    <w:tbl>
      <w:tblPr>
        <w:tblW w:w="65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1518"/>
        <w:gridCol w:w="993"/>
        <w:gridCol w:w="992"/>
        <w:gridCol w:w="1417"/>
        <w:gridCol w:w="851"/>
        <w:gridCol w:w="709"/>
      </w:tblGrid>
      <w:tr>
        <w:trPr>
          <w:cantSplit/>
          <w:jc w:val="center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spacing w:after="0" w:lineRule="auto" w:line="240"/>
              <w:ind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Coefficients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>
        <w:tblPrEx/>
        <w:trPr>
          <w:cantSplit/>
          <w:jc w:val="center"/>
        </w:trPr>
        <w:tc>
          <w:tcPr>
            <w:tcW w:w="15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Sig.</w:t>
            </w:r>
          </w:p>
        </w:tc>
      </w:tr>
      <w:tr>
        <w:tblPrEx/>
        <w:trPr>
          <w:cantSplit/>
          <w:jc w:val="center"/>
        </w:trPr>
        <w:tc>
          <w:tcPr>
            <w:tcW w:w="1559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ind w:left="60" w:right="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Beta</w:t>
            </w:r>
          </w:p>
        </w:tc>
        <w:tc>
          <w:tcPr>
            <w:tcW w:w="851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  <w:jc w:val="center"/>
        </w:trPr>
        <w:tc>
          <w:tcPr>
            <w:tcW w:w="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(Constant)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205.580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126.997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1.619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.112</w:t>
            </w:r>
          </w:p>
        </w:tc>
      </w:tr>
      <w:tr>
        <w:tblPrEx/>
        <w:trPr>
          <w:cantSplit/>
          <w:jc w:val="center"/>
        </w:trPr>
        <w:tc>
          <w:tcPr>
            <w:tcW w:w="41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7.703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3.198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.317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2.409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.020</w:t>
            </w:r>
          </w:p>
        </w:tc>
      </w:tr>
      <w:tr>
        <w:tblPrEx/>
        <w:trPr>
          <w:cantSplit/>
          <w:jc w:val="center"/>
        </w:trPr>
        <w:tc>
          <w:tcPr>
            <w:tcW w:w="41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KD</w:t>
            </w:r>
          </w:p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TRANS</w:t>
            </w:r>
          </w:p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TA*TRANS</w:t>
            </w:r>
          </w:p>
          <w:p>
            <w:pPr>
              <w:pStyle w:val="style0"/>
              <w:spacing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KD*TRANS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-17.338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27.867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37.028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268.409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7.766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61.676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52.749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312.391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-.294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.058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1.373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4.097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-2.233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.542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.702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.859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.030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.653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.486</w:t>
            </w:r>
          </w:p>
          <w:p>
            <w:pPr>
              <w:pStyle w:val="style0"/>
              <w:spacing w:lineRule="auto" w:line="240"/>
              <w:ind w:left="60" w:right="6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.394</w:t>
            </w:r>
          </w:p>
        </w:tc>
      </w:tr>
      <w:tr>
        <w:tblPrEx/>
        <w:trPr>
          <w:cantSplit/>
          <w:jc w:val="center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spacing w:after="0" w:lineRule="auto" w:line="240"/>
              <w:ind w:left="60" w:right="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a. Dependent Variable: NILAI PERUSAHAAN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Koefisien Determinasi (R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>)</w:t>
      </w:r>
    </w:p>
    <w:tbl>
      <w:tblPr>
        <w:tblW w:w="58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>
        <w:trPr>
          <w:cantSplit/>
          <w:jc w:val="center"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  <w:t>Model Summary</w:t>
            </w:r>
          </w:p>
        </w:tc>
      </w:tr>
      <w:tr>
        <w:tblPrEx/>
        <w:trPr>
          <w:cantSplit/>
          <w:jc w:val="center"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Std. Error of the Estimate</w:t>
            </w:r>
          </w:p>
        </w:tc>
      </w:tr>
      <w:tr>
        <w:tblPrEx/>
        <w:trPr>
          <w:cantSplit/>
          <w:jc w:val="center"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.427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vertAlign w:val="superscript"/>
                <w:lang w:val="en-IN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.182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.102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25.34996</w:t>
            </w:r>
          </w:p>
        </w:tc>
      </w:tr>
      <w:tr>
        <w:tblPrEx/>
        <w:trPr>
          <w:cantSplit/>
          <w:jc w:val="center"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ind w:left="60" w:right="60"/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IN"/>
              </w:rPr>
              <w:t>a. Predictors: (Constant), X2M, TRANS, X1M, TA, KD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</w:p>
    <w:sectPr>
      <w:headerReference w:type="default" r:id="rId2"/>
      <w:footerReference w:type="default" r:id="rId3"/>
      <w:pgSz w:w="11907" w:h="16839" w:orient="portrait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5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CA2A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C584650"/>
    <w:lvl w:ilvl="0" w:tplc="D6BEB43A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7E00E1C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000003"/>
    <w:multiLevelType w:val="hybridMultilevel"/>
    <w:tmpl w:val="30302570"/>
    <w:lvl w:ilvl="0" w:tplc="B464CF32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0000004"/>
    <w:multiLevelType w:val="multilevel"/>
    <w:tmpl w:val="E20EAE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1212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A45280A6"/>
    <w:lvl w:ilvl="0" w:tplc="C97E73C6">
      <w:start w:val="1"/>
      <w:numFmt w:val="decimal"/>
      <w:lvlText w:val="%1."/>
      <w:lvlJc w:val="left"/>
      <w:pPr>
        <w:ind w:left="1800" w:hanging="360"/>
      </w:pPr>
      <w:rPr>
        <w:rFonts w:hint="default"/>
        <w:b w:val="false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000006"/>
    <w:multiLevelType w:val="hybridMultilevel"/>
    <w:tmpl w:val="401E14D4"/>
    <w:lvl w:ilvl="0" w:tplc="5448E1E2">
      <w:start w:val="1"/>
      <w:numFmt w:val="lowerLetter"/>
      <w:lvlText w:val="%1."/>
      <w:lvlJc w:val="left"/>
      <w:pPr>
        <w:ind w:left="1920" w:hanging="360"/>
      </w:p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421001B">
      <w:start w:val="1"/>
      <w:numFmt w:val="lowerRoman"/>
      <w:lvlText w:val="%3."/>
      <w:lvlJc w:val="right"/>
      <w:pPr>
        <w:ind w:left="3360" w:hanging="180"/>
      </w:pPr>
    </w:lvl>
    <w:lvl w:ilvl="3" w:tplc="0421000F">
      <w:start w:val="1"/>
      <w:numFmt w:val="decimal"/>
      <w:lvlText w:val="%4."/>
      <w:lvlJc w:val="left"/>
      <w:pPr>
        <w:ind w:left="4080" w:hanging="360"/>
      </w:pPr>
    </w:lvl>
    <w:lvl w:ilvl="4" w:tplc="04210019">
      <w:start w:val="1"/>
      <w:numFmt w:val="lowerLetter"/>
      <w:lvlText w:val="%5."/>
      <w:lvlJc w:val="left"/>
      <w:pPr>
        <w:ind w:left="4800" w:hanging="360"/>
      </w:pPr>
    </w:lvl>
    <w:lvl w:ilvl="5" w:tplc="0421001B">
      <w:start w:val="1"/>
      <w:numFmt w:val="lowerRoman"/>
      <w:lvlText w:val="%6."/>
      <w:lvlJc w:val="right"/>
      <w:pPr>
        <w:ind w:left="5520" w:hanging="180"/>
      </w:pPr>
    </w:lvl>
    <w:lvl w:ilvl="6" w:tplc="0421000F">
      <w:start w:val="1"/>
      <w:numFmt w:val="decimal"/>
      <w:lvlText w:val="%7."/>
      <w:lvlJc w:val="left"/>
      <w:pPr>
        <w:ind w:left="6240" w:hanging="360"/>
      </w:pPr>
    </w:lvl>
    <w:lvl w:ilvl="7" w:tplc="04210019">
      <w:start w:val="1"/>
      <w:numFmt w:val="lowerLetter"/>
      <w:lvlText w:val="%8."/>
      <w:lvlJc w:val="left"/>
      <w:pPr>
        <w:ind w:left="6960" w:hanging="360"/>
      </w:pPr>
    </w:lvl>
    <w:lvl w:ilvl="8" w:tplc="0421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0000007"/>
    <w:multiLevelType w:val="hybridMultilevel"/>
    <w:tmpl w:val="F8AA19B4"/>
    <w:lvl w:ilvl="0" w:tplc="04090011">
      <w:start w:val="1"/>
      <w:numFmt w:val="decimal"/>
      <w:lvlText w:val="%1)"/>
      <w:lvlJc w:val="left"/>
      <w:pPr>
        <w:ind w:left="1749" w:hanging="425"/>
      </w:pPr>
      <w:rPr>
        <w:rFonts w:hint="default"/>
        <w:spacing w:val="-1"/>
        <w:w w:val="100"/>
        <w:lang w:bidi="ar-SA" w:eastAsia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5BAC35C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0000009"/>
    <w:multiLevelType w:val="hybridMultilevel"/>
    <w:tmpl w:val="DE24C26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000000A"/>
    <w:multiLevelType w:val="hybridMultilevel"/>
    <w:tmpl w:val="BBECD918"/>
    <w:lvl w:ilvl="0" w:tplc="040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AF6EC4E"/>
    <w:lvl w:ilvl="0" w:tplc="F1365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0E3A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1AB6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728F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22595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D7C7844">
      <w:start w:val="1"/>
      <w:numFmt w:val="lowerLetter"/>
      <w:lvlText w:val="%4)"/>
      <w:lvlJc w:val="left"/>
      <w:pPr>
        <w:ind w:left="2880" w:hanging="360"/>
      </w:pPr>
      <w:rPr>
        <w:rFonts w:hint="default"/>
        <w:b w:val="fals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1AC0805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000000F"/>
    <w:multiLevelType w:val="hybridMultilevel"/>
    <w:tmpl w:val="809A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26AAB874"/>
    <w:lvl w:ilvl="0" w:tplc="04090011">
      <w:start w:val="1"/>
      <w:numFmt w:val="decimal"/>
      <w:lvlText w:val="%1)"/>
      <w:lvlJc w:val="left"/>
      <w:pPr>
        <w:ind w:left="2236" w:hanging="360"/>
      </w:p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7">
    <w:nsid w:val="00000011"/>
    <w:multiLevelType w:val="multilevel"/>
    <w:tmpl w:val="21AC1FC8"/>
    <w:lvl w:ilvl="0">
      <w:start w:val="1"/>
      <w:numFmt w:val="decimal"/>
      <w:lvlText w:val="%1."/>
      <w:lvlJc w:val="left"/>
      <w:pPr>
        <w:ind w:left="1080" w:hanging="360"/>
      </w:pPr>
      <w:rPr>
        <w:b w:val="false"/>
        <w:bCs/>
        <w:i w:val="fals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false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ind w:left="1212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25CEB07E"/>
    <w:lvl w:ilvl="0" w:tplc="5E1E0EE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0000013"/>
    <w:multiLevelType w:val="hybridMultilevel"/>
    <w:tmpl w:val="272AC870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00000014"/>
    <w:multiLevelType w:val="hybridMultilevel"/>
    <w:tmpl w:val="AEA4560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798A463A"/>
    <w:lvl w:ilvl="0" w:tplc="244024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0000016"/>
    <w:multiLevelType w:val="hybridMultilevel"/>
    <w:tmpl w:val="51A0CE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3674912E"/>
    <w:lvl w:ilvl="0" w:tplc="E5EC4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FD34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FC1EC6C6"/>
    <w:lvl w:ilvl="0" w:tplc="386E20D6">
      <w:start w:val="1"/>
      <w:numFmt w:val="decimal"/>
      <w:lvlText w:val="%1."/>
      <w:lvlJc w:val="left"/>
      <w:pPr>
        <w:ind w:left="1506" w:hanging="360"/>
      </w:pPr>
      <w:rPr>
        <w:rFonts w:hint="default"/>
        <w:b w:val="false"/>
      </w:r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0000001A"/>
    <w:multiLevelType w:val="hybridMultilevel"/>
    <w:tmpl w:val="DE947504"/>
    <w:lvl w:ilvl="0" w:tplc="C2F243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0000001B"/>
    <w:multiLevelType w:val="hybridMultilevel"/>
    <w:tmpl w:val="17CAFF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multilevel"/>
    <w:tmpl w:val="E20EAE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1212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CB5C1E5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multilevel"/>
    <w:tmpl w:val="E20EAE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1212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1F"/>
    <w:multiLevelType w:val="hybridMultilevel"/>
    <w:tmpl w:val="29B4263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0000020"/>
    <w:multiLevelType w:val="hybridMultilevel"/>
    <w:tmpl w:val="CB10C36A"/>
    <w:lvl w:ilvl="0" w:tplc="1F0E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85D2694C"/>
    <w:lvl w:ilvl="0" w:tplc="2AB0E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2"/>
    <w:multiLevelType w:val="multilevel"/>
    <w:tmpl w:val="0F2431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1212" w:hanging="360"/>
      </w:pPr>
      <w:rPr>
        <w:rFonts w:hint="default"/>
        <w:b w:val="false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0000023"/>
    <w:multiLevelType w:val="hybridMultilevel"/>
    <w:tmpl w:val="A844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B6F4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67CC6054"/>
    <w:lvl w:ilvl="0" w:tplc="47C2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0000026"/>
    <w:multiLevelType w:val="hybridMultilevel"/>
    <w:tmpl w:val="E6F01304"/>
    <w:lvl w:ilvl="0" w:tplc="050CF1D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multilevel"/>
    <w:tmpl w:val="E20EAE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1212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0000028"/>
    <w:multiLevelType w:val="hybridMultilevel"/>
    <w:tmpl w:val="43D4913C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00000029"/>
    <w:multiLevelType w:val="hybridMultilevel"/>
    <w:tmpl w:val="54B2BE3A"/>
    <w:lvl w:ilvl="0" w:tplc="05DE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000002A"/>
    <w:multiLevelType w:val="hybridMultilevel"/>
    <w:tmpl w:val="4DB6C588"/>
    <w:lvl w:ilvl="0" w:tplc="F9469F36">
      <w:start w:val="1"/>
      <w:numFmt w:val="upperLetter"/>
      <w:pStyle w:val="style2"/>
      <w:lvlText w:val="%1."/>
      <w:lvlJc w:val="left"/>
      <w:pPr>
        <w:ind w:left="928" w:hanging="360"/>
      </w:pPr>
    </w:lvl>
    <w:lvl w:ilvl="1" w:tplc="AE929918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0000002B"/>
    <w:multiLevelType w:val="hybridMultilevel"/>
    <w:tmpl w:val="10FCE766"/>
    <w:lvl w:ilvl="0" w:tplc="E2E04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E8BAB7D6">
      <w:start w:val="1"/>
      <w:numFmt w:val="decimal"/>
      <w:lvlText w:val="%4."/>
      <w:lvlJc w:val="left"/>
      <w:pPr>
        <w:ind w:left="3240" w:hanging="360"/>
      </w:pPr>
      <w:rPr>
        <w:b w:val="false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000002C"/>
    <w:multiLevelType w:val="multilevel"/>
    <w:tmpl w:val="E20EAE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1212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000002D"/>
    <w:multiLevelType w:val="hybridMultilevel"/>
    <w:tmpl w:val="8DBE2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9F46D540"/>
    <w:lvl w:ilvl="0" w:tplc="98800A56">
      <w:start w:val="1"/>
      <w:numFmt w:val="upperLetter"/>
      <w:lvlText w:val="%1."/>
      <w:lvlJc w:val="left"/>
      <w:pPr>
        <w:ind w:left="768" w:hanging="429"/>
      </w:pPr>
      <w:rPr>
        <w:rFonts w:hint="default"/>
        <w:b/>
        <w:bCs/>
        <w:spacing w:val="0"/>
        <w:w w:val="99"/>
        <w:lang w:bidi="ar-SA" w:eastAsia="en-US"/>
      </w:rPr>
    </w:lvl>
    <w:lvl w:ilvl="1" w:tplc="E1760EE0">
      <w:start w:val="1"/>
      <w:numFmt w:val="decimal"/>
      <w:lvlText w:val="%2."/>
      <w:lvlJc w:val="left"/>
      <w:pPr>
        <w:ind w:left="1193" w:hanging="425"/>
        <w:jc w:val="right"/>
      </w:pPr>
      <w:rPr>
        <w:rFonts w:hint="default"/>
        <w:b/>
        <w:bCs/>
        <w:w w:val="100"/>
        <w:lang w:bidi="ar-SA" w:eastAsia="en-US"/>
      </w:rPr>
    </w:lvl>
    <w:lvl w:ilvl="2" w:tplc="04090011">
      <w:start w:val="1"/>
      <w:numFmt w:val="decimal"/>
      <w:lvlText w:val="%3)"/>
      <w:lvlJc w:val="left"/>
      <w:pPr>
        <w:ind w:left="1749" w:hanging="425"/>
      </w:pPr>
      <w:rPr>
        <w:rFonts w:hint="default"/>
        <w:spacing w:val="-1"/>
        <w:w w:val="100"/>
        <w:lang w:bidi="ar-SA" w:eastAsia="en-US"/>
      </w:rPr>
    </w:lvl>
    <w:lvl w:ilvl="3" w:tplc="87BA5164">
      <w:start w:val="1"/>
      <w:numFmt w:val="lowerLetter"/>
      <w:lvlText w:val="%4."/>
      <w:lvlJc w:val="left"/>
      <w:pPr>
        <w:ind w:left="2184" w:hanging="425"/>
      </w:pPr>
      <w:rPr>
        <w:rFonts w:ascii="Times New Roman" w:cs="Times New Roman" w:eastAsia="Times New Roman" w:hAnsi="Times New Roman" w:hint="default"/>
        <w:b/>
        <w:color w:val="000104"/>
        <w:spacing w:val="-2"/>
        <w:w w:val="100"/>
        <w:sz w:val="22"/>
        <w:szCs w:val="22"/>
        <w:lang w:bidi="ar-SA" w:eastAsia="en-US"/>
      </w:rPr>
    </w:lvl>
    <w:lvl w:ilvl="4" w:tplc="A9E2D64E">
      <w:start w:val="1"/>
      <w:numFmt w:val="bullet"/>
      <w:lvlText w:val="•"/>
      <w:lvlJc w:val="left"/>
      <w:pPr>
        <w:ind w:left="1760" w:hanging="425"/>
      </w:pPr>
      <w:rPr>
        <w:rFonts w:hint="default"/>
        <w:lang w:bidi="ar-SA" w:eastAsia="en-US"/>
      </w:rPr>
    </w:lvl>
    <w:lvl w:ilvl="5" w:tplc="14EE395C">
      <w:start w:val="1"/>
      <w:numFmt w:val="bullet"/>
      <w:lvlText w:val="•"/>
      <w:lvlJc w:val="left"/>
      <w:pPr>
        <w:ind w:left="1900" w:hanging="425"/>
      </w:pPr>
      <w:rPr>
        <w:rFonts w:hint="default"/>
        <w:lang w:bidi="ar-SA" w:eastAsia="en-US"/>
      </w:rPr>
    </w:lvl>
    <w:lvl w:ilvl="6" w:tplc="DDD85710">
      <w:start w:val="1"/>
      <w:numFmt w:val="bullet"/>
      <w:lvlText w:val="•"/>
      <w:lvlJc w:val="left"/>
      <w:pPr>
        <w:ind w:left="2180" w:hanging="425"/>
      </w:pPr>
      <w:rPr>
        <w:rFonts w:hint="default"/>
        <w:lang w:bidi="ar-SA" w:eastAsia="en-US"/>
      </w:rPr>
    </w:lvl>
    <w:lvl w:ilvl="7" w:tplc="942A83AA">
      <w:start w:val="1"/>
      <w:numFmt w:val="bullet"/>
      <w:lvlText w:val="•"/>
      <w:lvlJc w:val="left"/>
      <w:pPr>
        <w:ind w:left="4053" w:hanging="425"/>
      </w:pPr>
      <w:rPr>
        <w:rFonts w:hint="default"/>
        <w:lang w:bidi="ar-SA" w:eastAsia="en-US"/>
      </w:rPr>
    </w:lvl>
    <w:lvl w:ilvl="8" w:tplc="B87AD2A4">
      <w:start w:val="1"/>
      <w:numFmt w:val="bullet"/>
      <w:lvlText w:val="•"/>
      <w:lvlJc w:val="left"/>
      <w:pPr>
        <w:ind w:left="5926" w:hanging="425"/>
      </w:pPr>
      <w:rPr>
        <w:rFonts w:hint="default"/>
        <w:lang w:bidi="ar-SA" w:eastAsia="en-US"/>
      </w:rPr>
    </w:lvl>
  </w:abstractNum>
  <w:num w:numId="1">
    <w:abstractNumId w:val="42"/>
  </w:num>
  <w:num w:numId="2">
    <w:abstractNumId w:val="0"/>
  </w:num>
  <w:num w:numId="3">
    <w:abstractNumId w:val="37"/>
  </w:num>
  <w:num w:numId="4">
    <w:abstractNumId w:val="41"/>
  </w:num>
  <w:num w:numId="5">
    <w:abstractNumId w:val="23"/>
  </w:num>
  <w:num w:numId="6">
    <w:abstractNumId w:val="32"/>
  </w:num>
  <w:num w:numId="7">
    <w:abstractNumId w:val="15"/>
  </w:num>
  <w:num w:numId="8">
    <w:abstractNumId w:val="11"/>
  </w:num>
  <w:num w:numId="9">
    <w:abstractNumId w:val="26"/>
  </w:num>
  <w:num w:numId="10">
    <w:abstractNumId w:val="36"/>
  </w:num>
  <w:num w:numId="11">
    <w:abstractNumId w:val="34"/>
  </w:num>
  <w:num w:numId="12">
    <w:abstractNumId w:val="24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5"/>
  </w:num>
  <w:num w:numId="17">
    <w:abstractNumId w:val="5"/>
  </w:num>
  <w:num w:numId="18">
    <w:abstractNumId w:val="42"/>
    <w:lvlOverride w:ilvl="0">
      <w:startOverride w:val="1"/>
    </w:lvlOverride>
  </w:num>
  <w:num w:numId="19">
    <w:abstractNumId w:val="42"/>
    <w:lvlOverride w:ilvl="0">
      <w:startOverride w:val="1"/>
    </w:lvlOverride>
  </w:num>
  <w:num w:numId="20">
    <w:abstractNumId w:val="35"/>
  </w:num>
  <w:num w:numId="21">
    <w:abstractNumId w:val="12"/>
  </w:num>
  <w:num w:numId="22">
    <w:abstractNumId w:val="19"/>
  </w:num>
  <w:num w:numId="23">
    <w:abstractNumId w:val="9"/>
  </w:num>
  <w:num w:numId="24">
    <w:abstractNumId w:val="31"/>
  </w:num>
  <w:num w:numId="25">
    <w:abstractNumId w:val="44"/>
  </w:num>
  <w:num w:numId="26">
    <w:abstractNumId w:val="10"/>
  </w:num>
  <w:num w:numId="27">
    <w:abstractNumId w:val="4"/>
  </w:num>
  <w:num w:numId="28">
    <w:abstractNumId w:val="28"/>
  </w:num>
  <w:num w:numId="29">
    <w:abstractNumId w:val="39"/>
  </w:num>
  <w:num w:numId="30">
    <w:abstractNumId w:val="30"/>
  </w:num>
  <w:num w:numId="31">
    <w:abstractNumId w:val="38"/>
  </w:num>
  <w:num w:numId="32">
    <w:abstractNumId w:val="46"/>
  </w:num>
  <w:num w:numId="33">
    <w:abstractNumId w:val="43"/>
  </w:num>
  <w:num w:numId="34">
    <w:abstractNumId w:val="33"/>
  </w:num>
  <w:num w:numId="35">
    <w:abstractNumId w:val="29"/>
  </w:num>
  <w:num w:numId="36">
    <w:abstractNumId w:val="20"/>
  </w:num>
  <w:num w:numId="37">
    <w:abstractNumId w:val="22"/>
  </w:num>
  <w:num w:numId="38">
    <w:abstractNumId w:val="2"/>
  </w:num>
  <w:num w:numId="39">
    <w:abstractNumId w:val="14"/>
  </w:num>
  <w:num w:numId="40">
    <w:abstractNumId w:val="40"/>
  </w:num>
  <w:num w:numId="41">
    <w:abstractNumId w:val="8"/>
  </w:num>
  <w:num w:numId="42">
    <w:abstractNumId w:val="16"/>
  </w:num>
  <w:num w:numId="43">
    <w:abstractNumId w:val="7"/>
  </w:num>
  <w:num w:numId="44">
    <w:abstractNumId w:val="18"/>
  </w:num>
  <w:num w:numId="45">
    <w:abstractNumId w:val="25"/>
  </w:num>
  <w:num w:numId="46">
    <w:abstractNumId w:val="27"/>
  </w:num>
  <w:num w:numId="47">
    <w:abstractNumId w:val="3"/>
  </w:num>
  <w:num w:numId="48">
    <w:abstractNumId w:val="21"/>
  </w:num>
  <w:num w:numId="49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hideSpelling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480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8"/>
    <w:qFormat/>
    <w:uiPriority w:val="9"/>
    <w:pPr>
      <w:spacing w:lineRule="auto" w:line="360"/>
      <w:jc w:val="center"/>
      <w:outlineLvl w:val="0"/>
    </w:pPr>
    <w:rPr>
      <w:rFonts w:ascii="Times New Roman" w:cs="Times New Roman" w:hAnsi="Times New Roman"/>
      <w:b/>
      <w:noProof/>
      <w:sz w:val="24"/>
      <w:szCs w:val="24"/>
    </w:rPr>
  </w:style>
  <w:style w:type="paragraph" w:styleId="style2">
    <w:name w:val="heading 2"/>
    <w:basedOn w:val="style179"/>
    <w:next w:val="style0"/>
    <w:link w:val="style4103"/>
    <w:qFormat/>
    <w:uiPriority w:val="9"/>
    <w:pPr>
      <w:numPr>
        <w:ilvl w:val="0"/>
        <w:numId w:val="1"/>
      </w:numPr>
      <w:outlineLvl w:val="1"/>
    </w:pPr>
    <w:rPr>
      <w:rFonts w:ascii="Times New Roman" w:cs="Times New Roman" w:hAnsi="Times New Roman"/>
      <w:b/>
      <w:sz w:val="24"/>
      <w:szCs w:val="24"/>
    </w:rPr>
  </w:style>
  <w:style w:type="paragraph" w:styleId="style3">
    <w:name w:val="heading 3"/>
    <w:basedOn w:val="style0"/>
    <w:next w:val="style0"/>
    <w:link w:val="style4106"/>
    <w:qFormat/>
    <w:uiPriority w:val="9"/>
    <w:pPr>
      <w:keepNext/>
      <w:keepLines/>
      <w:spacing w:before="200" w:after="0"/>
      <w:outlineLvl w:val="2"/>
    </w:pPr>
    <w:rPr>
      <w:rFonts w:ascii="Cambria" w:cs="Times New Roman" w:eastAsia="宋体" w:hAnsi="Cambria"/>
      <w:b/>
      <w:bCs/>
      <w:color w:val="4f81bd"/>
    </w:rPr>
  </w:style>
  <w:style w:type="paragraph" w:styleId="style4">
    <w:name w:val="heading 4"/>
    <w:basedOn w:val="style0"/>
    <w:next w:val="style0"/>
    <w:link w:val="style4104"/>
    <w:qFormat/>
    <w:uiPriority w:val="9"/>
    <w:pPr>
      <w:keepNext/>
      <w:keepLines/>
      <w:spacing w:before="200" w:after="0"/>
      <w:outlineLvl w:val="3"/>
    </w:pPr>
    <w:rPr>
      <w:rFonts w:ascii="Cambria" w:cs="Times New Roman" w:eastAsia="宋体" w:hAnsi="Cambria"/>
      <w:b/>
      <w:bCs/>
      <w:i/>
      <w:i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link w:val="style4099"/>
    <w:qFormat/>
    <w:uiPriority w:val="34"/>
    <w:pPr>
      <w:ind w:left="720"/>
      <w:contextualSpacing/>
    </w:pPr>
    <w:rPr/>
  </w:style>
  <w:style w:type="paragraph" w:styleId="style66">
    <w:name w:val="Body Text"/>
    <w:basedOn w:val="style0"/>
    <w:next w:val="style66"/>
    <w:link w:val="style4097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Body Text Char"/>
    <w:basedOn w:val="style65"/>
    <w:next w:val="style4097"/>
    <w:link w:val="style66"/>
    <w:uiPriority w:val="1"/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8">
    <w:name w:val="Heading 1 Char_b2210679-fabe-4782-9418-f43964759b6e"/>
    <w:basedOn w:val="style65"/>
    <w:next w:val="style4098"/>
    <w:link w:val="style1"/>
    <w:uiPriority w:val="9"/>
    <w:rPr>
      <w:rFonts w:ascii="Times New Roman" w:cs="Times New Roman" w:hAnsi="Times New Roman"/>
      <w:b/>
      <w:noProof/>
      <w:sz w:val="24"/>
      <w:szCs w:val="24"/>
    </w:rPr>
  </w:style>
  <w:style w:type="character" w:customStyle="1" w:styleId="style4099">
    <w:name w:val="List Paragraph Char"/>
    <w:next w:val="style4099"/>
    <w:link w:val="style179"/>
    <w:qFormat/>
    <w:uiPriority w:val="34"/>
  </w:style>
  <w:style w:type="paragraph" w:styleId="style266">
    <w:name w:val="TOC Heading"/>
    <w:basedOn w:val="style1"/>
    <w:next w:val="style0"/>
    <w:qFormat/>
    <w:uiPriority w:val="39"/>
    <w:pPr>
      <w:spacing w:before="480" w:lineRule="auto" w:line="276"/>
      <w:outlineLvl w:val="9"/>
    </w:pPr>
    <w:rPr>
      <w:bCs/>
      <w:sz w:val="28"/>
      <w:szCs w:val="28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Header Char_689a06b1-7c55-45b4-b00d-753dd61fbfcc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Footer Char_7c8f7d2a-bc73-4b47-8e6b-98375f6f4a50"/>
    <w:basedOn w:val="style65"/>
    <w:next w:val="style4102"/>
    <w:link w:val="style32"/>
    <w:uiPriority w:val="99"/>
  </w:style>
  <w:style w:type="character" w:customStyle="1" w:styleId="style4103">
    <w:name w:val="Heading 2 Char_cc140b82-964b-423f-8145-ea91bac77d93"/>
    <w:basedOn w:val="style65"/>
    <w:next w:val="style4103"/>
    <w:link w:val="style2"/>
    <w:uiPriority w:val="9"/>
    <w:rPr>
      <w:rFonts w:ascii="Times New Roman" w:cs="Times New Roman" w:hAnsi="Times New Roman"/>
      <w:b/>
      <w:sz w:val="24"/>
      <w:szCs w:val="24"/>
    </w:rPr>
  </w:style>
  <w:style w:type="paragraph" w:styleId="style19">
    <w:name w:val="toc 1"/>
    <w:basedOn w:val="style0"/>
    <w:next w:val="style0"/>
    <w:uiPriority w:val="39"/>
    <w:pPr>
      <w:tabs>
        <w:tab w:val="right" w:leader="dot" w:pos="7928"/>
      </w:tabs>
      <w:spacing w:after="100"/>
    </w:pPr>
    <w:rPr>
      <w:rFonts w:ascii="Times New Roman" w:cs="Times New Roman" w:hAnsi="Times New Roman"/>
      <w:b/>
      <w:noProof/>
      <w:sz w:val="24"/>
      <w:szCs w:val="24"/>
    </w:rPr>
  </w:style>
  <w:style w:type="paragraph" w:styleId="style20">
    <w:name w:val="toc 2"/>
    <w:basedOn w:val="style0"/>
    <w:next w:val="style0"/>
    <w:uiPriority w:val="39"/>
    <w:pPr>
      <w:tabs>
        <w:tab w:val="left" w:leader="none" w:pos="567"/>
        <w:tab w:val="right" w:leader="dot" w:pos="7928"/>
      </w:tabs>
      <w:spacing w:after="100"/>
      <w:ind w:left="220"/>
      <w:jc w:val="both"/>
    </w:pPr>
    <w:rPr>
      <w:rFonts w:ascii="Times New Roman" w:cs="Times New Roman" w:hAnsi="Times New Roman"/>
      <w:noProof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4">
    <w:name w:val="Heading 4 Char_a6d48e8b-501d-4d19-b5d9-47dc2d7a1f7a"/>
    <w:basedOn w:val="style65"/>
    <w:next w:val="style4104"/>
    <w:link w:val="style4"/>
    <w:uiPriority w:val="9"/>
    <w:rPr>
      <w:rFonts w:ascii="Cambria" w:cs="Times New Roman" w:eastAsia="宋体" w:hAnsi="Cambria"/>
      <w:b/>
      <w:bCs/>
      <w:i/>
      <w:iCs/>
      <w:color w:val="4f81bd"/>
    </w:rPr>
  </w:style>
  <w:style w:type="paragraph" w:customStyle="1" w:styleId="style4105">
    <w:name w:val="Default"/>
    <w:next w:val="style4105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Calibri" w:hAnsi="Times New Roman"/>
      <w:color w:val="000000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customStyle="1" w:styleId="style4106">
    <w:name w:val="Heading 3 Char_31be7257-bc02-4a18-aa88-431f78a27fd6"/>
    <w:basedOn w:val="style65"/>
    <w:next w:val="style4106"/>
    <w:link w:val="style3"/>
    <w:uiPriority w:val="9"/>
    <w:rPr>
      <w:rFonts w:ascii="Cambria" w:cs="Times New Roman" w:eastAsia="宋体" w:hAnsi="Cambria"/>
      <w:b/>
      <w:bCs/>
      <w:color w:val="4f81bd"/>
    </w:rPr>
  </w:style>
  <w:style w:type="paragraph" w:styleId="style21">
    <w:name w:val="toc 3"/>
    <w:basedOn w:val="style0"/>
    <w:next w:val="style0"/>
    <w:uiPriority w:val="39"/>
    <w:pPr>
      <w:spacing w:after="100"/>
      <w:ind w:left="440"/>
    </w:pPr>
    <w:rPr/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rFonts w:ascii="Times New Roman" w:eastAsia="Calibri" w:hAnsi="Times New Roman"/>
      <w:b/>
      <w:bCs/>
      <w:color w:val="000000"/>
      <w:sz w:val="24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Gho13</b:Tag>
    <b:SourceType>Book</b:SourceType>
    <b:Guid>{D1CD619D-036E-4154-8CCB-53C623C454D4}</b:Guid>
    <b:Title>Aplikasi Analisis Multivariate Dengan Program IBM dan SPSS 21 (Edisi Tujuh)</b:Title>
    <b:Year>2013</b:Year>
    <b:Author>
      <b:Author>
        <b:NameList>
          <b:Person>
            <b:Last>Ghozali</b:Last>
            <b:First>Imam</b:First>
          </b:Person>
        </b:NameList>
      </b:Author>
    </b:Author>
    <b:City>Semarang</b:City>
    <b:Publisher>979-704-015-1 </b:Publisher>
    <b:RefOrder>10</b:RefOrder>
  </b:Source>
</b:Sources>
</file>

<file path=customXml/itemProps1.xml><?xml version="1.0" encoding="utf-8"?>
<ds:datastoreItem xmlns:ds="http://schemas.openxmlformats.org/officeDocument/2006/customXml" ds:itemID="{71E65F83-737A-4CA5-852F-0C2604C1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Words>2359</Words>
  <Pages>111</Pages>
  <Characters>12715</Characters>
  <Application>WPS Office</Application>
  <DocSecurity>0</DocSecurity>
  <Paragraphs>2583</Paragraphs>
  <ScaleCrop>false</ScaleCrop>
  <LinksUpToDate>false</LinksUpToDate>
  <CharactersWithSpaces>13363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2022-11-21T00:12:00Z</dcterms:created>
  <dc:creator>hp</dc:creator>
  <lastModifiedBy>CPH2387</lastModifiedBy>
  <dcterms:modified xsi:type="dcterms:W3CDTF">2023-02-16T04:02:49Z</dcterms:modified>
  <revision>118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a1910e68-98b2-39cb-bec8-7eebc51b6913</vt:lpwstr>
  </property>
  <property fmtid="{D5CDD505-2E9C-101B-9397-08002B2CF9AE}" pid="24" name="Mendeley Citation Style_1">
    <vt:lpwstr>http://www.zotero.org/styles/apa</vt:lpwstr>
  </property>
  <property fmtid="{D5CDD505-2E9C-101B-9397-08002B2CF9AE}" pid="25" name="ICV">
    <vt:lpwstr>76532ce5fe8f468fbbbccd089845b1b6</vt:lpwstr>
  </property>
</Properties>
</file>