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206C" w14:textId="77777777" w:rsidR="00A54C18" w:rsidRPr="001102D6" w:rsidRDefault="00A54C18" w:rsidP="00A54C1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</w:t>
      </w:r>
    </w:p>
    <w:p w14:paraId="2B01A45B" w14:textId="77777777" w:rsidR="00A54C18" w:rsidRPr="0016400D" w:rsidRDefault="00A54C18" w:rsidP="00A54C1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TINJAUAN KONSEPTUAL</w:t>
      </w:r>
    </w:p>
    <w:p w14:paraId="790AF7B8" w14:textId="77777777" w:rsidR="00A54C18" w:rsidRPr="001102D6" w:rsidRDefault="00A54C18" w:rsidP="00A54C1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Tinjauan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Umum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tentang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Internasional</w:t>
      </w:r>
      <w:proofErr w:type="spellEnd"/>
    </w:p>
    <w:p w14:paraId="34CE44AE" w14:textId="77777777" w:rsidR="00A54C18" w:rsidRPr="001102D6" w:rsidRDefault="00A54C18" w:rsidP="00A54C1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Pengertian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Internasional</w:t>
      </w:r>
      <w:proofErr w:type="spellEnd"/>
    </w:p>
    <w:p w14:paraId="682DA458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Mengakui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norma-norma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HHI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>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taktik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Ketika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peperangan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gantinya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14:paraId="3A06BBB4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Karena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relevansinya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kata 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bergantian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(HHI) dan 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I/1997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Jenewa 1949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Perlindungan Korban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menyeluruh</w:t>
      </w:r>
      <w:proofErr w:type="spellEnd"/>
      <w:r w:rsidRPr="00C158BE">
        <w:t xml:space="preserve"> 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agama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keberadaannya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kesembilan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evolusi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kontemporernya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Sejak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negara-negara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berkumpul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lastRenderedPageBreak/>
        <w:t>menetapkan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diinformasikan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kontemporer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14:paraId="2F5BCC45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Hukum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Seiring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global,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HHI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). Hukum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HHI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global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</w:p>
    <w:p w14:paraId="6FB851C6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Hukum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proofErr w:type="spell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Comittee</w:t>
      </w:r>
      <w:proofErr w:type="spell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proofErr w:type="gram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Red Cross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(ICRC)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dipaksakan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properti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Istilah 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proofErr w:type="spell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Comittee</w:t>
      </w:r>
      <w:proofErr w:type="spell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proofErr w:type="gram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Red Cross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(ICRC)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>" dan "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proofErr w:type="spell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Comittee</w:t>
      </w:r>
      <w:proofErr w:type="spell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The Red Cross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(ICRC) juga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law of armed conflict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opsi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14:paraId="0D26098D" w14:textId="77777777" w:rsidR="00A54C18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berdamai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netral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Hukum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HHI</w:t>
      </w:r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negara-negara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konsekuensi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491A00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obat-obatan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pengingat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pejuang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batas-batas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dimungkinkan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menjunjung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mengharuskan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mengakui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norma-norma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HHI,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negara-negara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norma-norma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</w:p>
    <w:p w14:paraId="1A77392F" w14:textId="77777777" w:rsidR="00A54C18" w:rsidRPr="00C158BE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ditegakkan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damai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masing-masing negara dan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diakui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kasusnya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lastRenderedPageBreak/>
        <w:t>Pemahaman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akal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tekad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mengejar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masing-masing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HHI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</w:p>
    <w:p w14:paraId="6AD988FA" w14:textId="77777777" w:rsidR="00A54C18" w:rsidRPr="001102D6" w:rsidRDefault="00A54C18" w:rsidP="00A54C18">
      <w:pPr>
        <w:pStyle w:val="ListParagraph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8B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158BE">
        <w:rPr>
          <w:rFonts w:ascii="Times New Roman" w:hAnsi="Times New Roman" w:cs="Times New Roman"/>
          <w:sz w:val="24"/>
          <w:szCs w:val="24"/>
          <w:lang w:val="en-US"/>
        </w:rPr>
        <w:t xml:space="preserve"> HHI, </w:t>
      </w:r>
      <w:proofErr w:type="spellStart"/>
      <w:proofErr w:type="gramStart"/>
      <w:r w:rsidRPr="00C158B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3668D4E9" w14:textId="77777777" w:rsidR="00A54C18" w:rsidRPr="001102D6" w:rsidRDefault="00A54C18" w:rsidP="00A54C18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agresif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taktik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BCAC4F" w14:textId="77777777" w:rsidR="00A54C18" w:rsidRPr="001102D6" w:rsidRDefault="00A54C18" w:rsidP="00A54C18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Perlindungan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terjebak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senjata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strategi mana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dikenai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mana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Den Haag 1907, juga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"Hukum Den Haag,"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Ketentuan-ketentuan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para korban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personil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Jenewa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1949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menguraikan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Hukum Jenewa)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</w:p>
    <w:p w14:paraId="572B3F58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kacamata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HHI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menyiratkan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permusuhan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Pada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(HHI</w:t>
      </w:r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memastikan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menghormati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martabat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Singkatnya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tegas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lastRenderedPageBreak/>
        <w:t>melainkan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intensitasnya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. Hukum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permusuhan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202"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Pr="00D43202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14:paraId="3129FB7F" w14:textId="77777777" w:rsidR="00A54C18" w:rsidRPr="001102D6" w:rsidRDefault="00A54C18" w:rsidP="00A54C1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>Prinsip</w:t>
      </w:r>
      <w:proofErr w:type="spellEnd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>Prinsip</w:t>
      </w:r>
      <w:proofErr w:type="spellEnd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Dasar Hukum </w:t>
      </w:r>
      <w:proofErr w:type="spellStart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Style w:val="FootnoteTextChar"/>
          <w:rFonts w:ascii="Times New Roman" w:hAnsi="Times New Roman" w:cs="Times New Roman"/>
          <w:b/>
          <w:bCs/>
          <w:sz w:val="24"/>
          <w:szCs w:val="24"/>
          <w:lang w:val="en-US"/>
        </w:rPr>
        <w:t>Inrernasional</w:t>
      </w:r>
      <w:proofErr w:type="spellEnd"/>
    </w:p>
    <w:p w14:paraId="32A1F986" w14:textId="77777777" w:rsidR="00A54C18" w:rsidRDefault="00A54C18" w:rsidP="00A54C18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Pemisahan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dan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. Satu-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Jenewa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1949,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48 dan 52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mengizinkan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D43202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.</w:t>
      </w:r>
    </w:p>
    <w:p w14:paraId="0AEE60FA" w14:textId="77777777" w:rsidR="00A54C18" w:rsidRPr="001102D6" w:rsidRDefault="00A54C18" w:rsidP="00A54C18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no-horse-for-courses,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dilarang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menyerang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2D6">
        <w:rPr>
          <w:rStyle w:val="FootnoteTextChar"/>
          <w:rFonts w:ascii="Times New Roman" w:hAnsi="Times New Roman" w:cs="Times New Roman"/>
          <w:i/>
          <w:iCs/>
          <w:sz w:val="24"/>
          <w:szCs w:val="24"/>
          <w:lang w:val="en-US"/>
        </w:rPr>
        <w:t>hors de combat</w:t>
      </w:r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2D6">
        <w:rPr>
          <w:rStyle w:val="FootnoteTextChar"/>
          <w:rFonts w:ascii="Times New Roman" w:hAnsi="Times New Roman" w:cs="Times New Roman"/>
          <w:i/>
          <w:iCs/>
          <w:sz w:val="24"/>
          <w:szCs w:val="24"/>
          <w:lang w:val="en-US"/>
        </w:rPr>
        <w:t>prohibition of attack against those hors de combat</w:t>
      </w:r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Sungguh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mengerikan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berhenti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terluka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terdampar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tawanan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Orang-orang yang,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diakui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hors de combat,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41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Jenewa 1949.</w:t>
      </w:r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0AFB62" w14:textId="77777777" w:rsidR="00A54C18" w:rsidRPr="00B67B29" w:rsidRDefault="00A54C18" w:rsidP="00A54C18">
      <w:pPr>
        <w:pStyle w:val="ListParagraph"/>
        <w:numPr>
          <w:ilvl w:val="0"/>
          <w:numId w:val="10"/>
        </w:numPr>
        <w:spacing w:line="480" w:lineRule="auto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Menyerang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prajurit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dilarang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prajurit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menyerah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terluka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102D6">
        <w:rPr>
          <w:rStyle w:val="FootnoteTextChar"/>
          <w:rFonts w:ascii="Times New Roman" w:hAnsi="Times New Roman" w:cs="Times New Roman"/>
          <w:i/>
          <w:iCs/>
          <w:sz w:val="24"/>
          <w:szCs w:val="24"/>
          <w:lang w:val="en-US"/>
        </w:rPr>
        <w:t>prohibition on the infliction of unnecessary suffering</w:t>
      </w:r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)</w:t>
      </w:r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Jika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B29">
        <w:rPr>
          <w:rStyle w:val="FootnoteTextChar"/>
          <w:rFonts w:ascii="Times New Roman" w:hAnsi="Times New Roman" w:cs="Times New Roman"/>
          <w:i/>
          <w:iCs/>
          <w:sz w:val="24"/>
          <w:szCs w:val="24"/>
          <w:lang w:val="en-US"/>
        </w:rPr>
        <w:t>superfluous of injury</w:t>
      </w:r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).</w:t>
      </w:r>
    </w:p>
    <w:p w14:paraId="1E5AD105" w14:textId="77777777" w:rsidR="00A54C18" w:rsidRPr="00B67B29" w:rsidRDefault="00A54C18" w:rsidP="00A54C18">
      <w:pPr>
        <w:pStyle w:val="ListParagraph"/>
        <w:numPr>
          <w:ilvl w:val="0"/>
          <w:numId w:val="10"/>
        </w:numPr>
        <w:spacing w:line="480" w:lineRule="auto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arus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proporsionalitas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proporsionalitas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meminimalkan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mendikte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dijaga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seminimal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diderita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sebanding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.</w:t>
      </w:r>
    </w:p>
    <w:p w14:paraId="1D116E62" w14:textId="77777777" w:rsidR="00A54C18" w:rsidRPr="001102D6" w:rsidRDefault="00A54C18" w:rsidP="00A54C18">
      <w:pPr>
        <w:pStyle w:val="ListParagraph"/>
        <w:numPr>
          <w:ilvl w:val="0"/>
          <w:numId w:val="10"/>
        </w:numPr>
        <w:spacing w:line="480" w:lineRule="auto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ketegangan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superioritas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Angkatan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membahayakan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membahayakan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nyawa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melakukannya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Keuntungan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kemenangan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akal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carte blanche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mengabaikan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pun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52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Jenewa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1949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.</w:t>
      </w:r>
    </w:p>
    <w:p w14:paraId="40C4569B" w14:textId="77777777" w:rsidR="00A54C18" w:rsidRPr="001102D6" w:rsidRDefault="00A54C18" w:rsidP="00A54C18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rStyle w:val="FootnoteTextChar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Keenam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2D6">
        <w:rPr>
          <w:rStyle w:val="FootnoteTextChar"/>
          <w:rFonts w:ascii="Times New Roman" w:hAnsi="Times New Roman" w:cs="Times New Roman"/>
          <w:i/>
          <w:iCs/>
          <w:sz w:val="24"/>
          <w:szCs w:val="24"/>
          <w:lang w:val="en-US"/>
        </w:rPr>
        <w:t>the principle of humanity</w:t>
      </w:r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memperlakukan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menentang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di masa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agama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komitmen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memprioritaskan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orang lain. Tidak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naif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mengakui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pembenaran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kehancuran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kematian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. Tujuan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lastRenderedPageBreak/>
        <w:t>adalah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penderitaan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panduannya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29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1102D6">
        <w:rPr>
          <w:rStyle w:val="FootnoteTextChar"/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</w:p>
    <w:p w14:paraId="473B4A35" w14:textId="77777777" w:rsidR="00A54C18" w:rsidRPr="001102D6" w:rsidRDefault="00A54C18" w:rsidP="00A54C1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Sejarah dan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Perkembangan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Internasional</w:t>
      </w:r>
      <w:proofErr w:type="spellEnd"/>
    </w:p>
    <w:p w14:paraId="489A9B2F" w14:textId="77777777" w:rsidR="00A54C18" w:rsidRPr="001102D6" w:rsidRDefault="00A54C18" w:rsidP="00A54C18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Zaman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Klasik</w:t>
      </w:r>
      <w:proofErr w:type="spellEnd"/>
    </w:p>
    <w:p w14:paraId="6E40424C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Sejak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peradaban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undang-undangnya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agresi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bencana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. Banyak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agama dan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filosofi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menetapkan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batas-batas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antagonis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Peperangan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pertengahan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kesembilan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>. Norma-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dipandang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peradaban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dirancang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pertumpahan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intinya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E0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CAF">
        <w:rPr>
          <w:rFonts w:ascii="Times New Roman" w:hAnsi="Times New Roman" w:cs="Times New Roman"/>
          <w:sz w:val="24"/>
          <w:szCs w:val="24"/>
          <w:lang w:val="en-US"/>
        </w:rPr>
        <w:t>beradab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</w:p>
    <w:p w14:paraId="323C50DA" w14:textId="77777777" w:rsidR="00A54C18" w:rsidRPr="00ED21B7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kontemporer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HHI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3000 SM. Hukum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tradisional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>. Teks-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Hindu,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Budha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Yudaisme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Kristen, dan Islam juga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</w:p>
    <w:p w14:paraId="4EF67CC2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2100 SM, di Mesopotamia,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Di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Lagash dan Uma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Nnamatum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lastRenderedPageBreak/>
        <w:t>menandatangani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Dekade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Abad ke-20. Ada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keraguan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perbatasan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Sumeria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2"/>
      </w:r>
    </w:p>
    <w:p w14:paraId="611CF5D7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Selain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monoteisme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monoteistik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Yudaisme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dan kitab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Ulangannya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kode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zamannya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dalamnya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membunuh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Yahudi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pembenaran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agama oleh orang Israel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moralitas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taklukkan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Yesaya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Tuhan,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agar Tuhan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mengizinkan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menepati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janjinya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musuh-musuhnya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3"/>
      </w:r>
    </w:p>
    <w:p w14:paraId="2F10315E" w14:textId="77777777" w:rsidR="00A54C18" w:rsidRPr="00ED21B7" w:rsidRDefault="00A54C18" w:rsidP="00A54C18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Singkatnya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kelangsungan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42AB15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Romawi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ritual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memutuskan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Sekelompok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imam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fetiales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21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collegium </w:t>
      </w:r>
      <w:proofErr w:type="spellStart"/>
      <w:r w:rsidRPr="00ED21B7">
        <w:rPr>
          <w:rFonts w:ascii="Times New Roman" w:hAnsi="Times New Roman" w:cs="Times New Roman"/>
          <w:i/>
          <w:iCs/>
          <w:sz w:val="24"/>
          <w:szCs w:val="24"/>
          <w:lang w:val="en-US"/>
        </w:rPr>
        <w:t>fetialium</w:t>
      </w:r>
      <w:proofErr w:type="spellEnd"/>
      <w:r w:rsidRPr="00ED21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collegium </w:t>
      </w:r>
      <w:proofErr w:type="spellStart"/>
      <w:r w:rsidRPr="00ED21B7">
        <w:rPr>
          <w:rFonts w:ascii="Times New Roman" w:hAnsi="Times New Roman" w:cs="Times New Roman"/>
          <w:i/>
          <w:iCs/>
          <w:sz w:val="24"/>
          <w:szCs w:val="24"/>
          <w:lang w:val="en-US"/>
        </w:rPr>
        <w:t>fetialium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ritus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dunia. Ketika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tiba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saatnya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mendeklarasikan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fetiales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melanggar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Romawi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</w:p>
    <w:p w14:paraId="67AA067D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Bukti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membenarkan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bellum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justum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et pium,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",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Romawi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India, Yunani, dan Cina juga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kontributor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kuno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Manu,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Hindu,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perpaduan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harmonis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mengagumkan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Itulah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kode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Manu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Smiriti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Kode Manu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peradaban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Hindu Asia Selatan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200 SM, dan di wilayah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Mediterania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21B7">
        <w:rPr>
          <w:rFonts w:ascii="Times New Roman" w:hAnsi="Times New Roman" w:cs="Times New Roman"/>
          <w:sz w:val="24"/>
          <w:szCs w:val="24"/>
          <w:lang w:val="en-US"/>
        </w:rPr>
        <w:t>encakup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welas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asih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(dharma-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yuddha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),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persenjataan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panah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berduri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beracun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pembantaian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pasukan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musuh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kehilangan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kuda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penyerahan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Aturan-aturan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sekadar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nasihat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ditindaklanjuti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(Dharma)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6"/>
      </w:r>
    </w:p>
    <w:p w14:paraId="00C7DCA7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Vinograndoff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pantas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diklasifikasikan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interhumanipil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gantawi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embrio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pada masa negara-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Yunani.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diganggu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gugatnya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utusan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perbudakan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dikodifikasikan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undang-</w:t>
      </w:r>
      <w:proofErr w:type="gramStart"/>
      <w:r w:rsidRPr="00ED21B7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dipatuhi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kota-kota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21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D21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7"/>
      </w:r>
    </w:p>
    <w:p w14:paraId="0E68B415" w14:textId="77777777" w:rsidR="00A54C18" w:rsidRPr="001102D6" w:rsidRDefault="00A54C18" w:rsidP="00A54C18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Abad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Pertengahan</w:t>
      </w:r>
      <w:proofErr w:type="spellEnd"/>
    </w:p>
    <w:p w14:paraId="61D1530F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Kristen,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Islam, dan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ksatria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di Abad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Pertengahan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berakar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D3B">
        <w:rPr>
          <w:rFonts w:ascii="Times New Roman" w:hAnsi="Times New Roman" w:cs="Times New Roman"/>
          <w:sz w:val="24"/>
          <w:szCs w:val="24"/>
          <w:lang w:val="en-US"/>
        </w:rPr>
        <w:t>teologi</w:t>
      </w:r>
      <w:proofErr w:type="spellEnd"/>
      <w:r w:rsidRPr="00C83D3B">
        <w:rPr>
          <w:rFonts w:ascii="Times New Roman" w:hAnsi="Times New Roman" w:cs="Times New Roman"/>
          <w:sz w:val="24"/>
          <w:szCs w:val="24"/>
          <w:lang w:val="en-US"/>
        </w:rPr>
        <w:t xml:space="preserve"> Kristen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8"/>
      </w:r>
    </w:p>
    <w:p w14:paraId="366C4C17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Kekristenan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Roma. Perang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bukanlah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Kristen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Ketika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orang Kristen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diizinkan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bertentangan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Alkitab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9"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kompromi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didefinisikan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diperjuangkan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Kristen. Perang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di mana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beroperasi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dianut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Doktrin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oleh Grotius,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modern,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Doktrin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oleh Grotius,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modern,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Doktrin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doktrin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netralitas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terbatas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lastRenderedPageBreak/>
        <w:t>nilai-nilai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Konferensi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konsisten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negara. Cicero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ketidakadilan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ditegaskan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Grotius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karyanya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De-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0"/>
      </w:r>
    </w:p>
    <w:p w14:paraId="73AFE438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rahasia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penjahat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di Abad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Pertengahan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filosofis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agama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Pada 1474, Sir Peter von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Hagenblach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28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dijatuhi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kehilangan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statusnya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pangeran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prosesnya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Tuduhan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Hagenbrach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pembunuhan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pemerkosaan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palsu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Tuhan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menundukkan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Duke Charles di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Burgundia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1"/>
      </w:r>
    </w:p>
    <w:p w14:paraId="3DD33EB1" w14:textId="77777777" w:rsidR="00A54C18" w:rsidRPr="001102D6" w:rsidRDefault="00A54C18" w:rsidP="00A54C18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Zaman Modern</w:t>
      </w:r>
    </w:p>
    <w:p w14:paraId="6C18DA00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Jenewa 1864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Tawanan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Perang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Angkatan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menandai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dimulainya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kontemporer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Jenewa 1864).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setidaknya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3000 SM. Hukum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lastRenderedPageBreak/>
        <w:t>tradisional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Selain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kitab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Hindu,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Budha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Yudaisme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Kristen, dan Islam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HHI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2"/>
      </w:r>
    </w:p>
    <w:p w14:paraId="107019B4" w14:textId="77777777" w:rsidR="00A54C18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Hukum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terminologi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Perang Dunia I dan II. Kata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penghancuran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besar-besaran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harta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Perang Dunia I dan II (masing-masing, 1914–1918 dan 1939–1945)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mengantarkan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era anti-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korupsi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kata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Sentimen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anti-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3"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Perang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dihindari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menginginkannya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menyebar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Kata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serupa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", juga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memecah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menyelidiki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terhenti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6D0DA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Permanen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didirikan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1949.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memutuskan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ilegal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lastRenderedPageBreak/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menyiratkan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anggotanya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PBB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4"/>
      </w:r>
    </w:p>
    <w:p w14:paraId="2FD71975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diabaikan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Penyelidikan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dan badan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pada masa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Ungkapan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dihindari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seolah-olah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Perselisihan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ganti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2918D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918D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 laws of armed conflict.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6"/>
      </w:r>
    </w:p>
    <w:p w14:paraId="69F8644F" w14:textId="77777777" w:rsidR="00A54C18" w:rsidRPr="004A3E10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digarisbawahi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sejalan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tren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penggantian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frasa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Hukum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menetapkan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pergantian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ke-20.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Den Haag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terkenal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zamannya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Perang Dunia II,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kursi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sangat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premis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Revolusi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PBB,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konferensi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membuktikan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sejauh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mana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2D1D7C" w14:textId="77777777" w:rsidR="00A54C18" w:rsidRPr="004A3E10" w:rsidRDefault="00A54C18" w:rsidP="00A54C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lastRenderedPageBreak/>
        <w:t>Pembentukan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Palang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Merah dan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Jenewa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1864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menandai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evolusi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Bersamaan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Lincoln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imigrasi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Jerman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bernama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Lieber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7"/>
      </w:r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Hasil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Instruksi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Kode Lieber,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dirilis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1863.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Kode Lieber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darat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pertempuran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orang-orang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tawanan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terluka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8"/>
      </w:r>
    </w:p>
    <w:p w14:paraId="52D128BD" w14:textId="77777777" w:rsidR="00A54C18" w:rsidRPr="001102D6" w:rsidRDefault="00A54C18" w:rsidP="00A54C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3E10">
        <w:rPr>
          <w:rFonts w:ascii="Times New Roman" w:hAnsi="Times New Roman" w:cs="Times New Roman"/>
          <w:sz w:val="24"/>
          <w:szCs w:val="24"/>
          <w:lang w:val="en-US"/>
        </w:rPr>
        <w:t>ICRC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didirikan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pecahnya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permusuhan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mengarah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Jenewa pada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1864. (ICRC). Heine Dunant,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pendiri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ICRC,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menyumbangkan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bukunya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"Memory of Solferino"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Jenewa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1864. Henry Dunant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kengerian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Solferino, di mana orang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dibiarkan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mati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9"/>
      </w:r>
    </w:p>
    <w:p w14:paraId="3D14BCE4" w14:textId="77777777" w:rsidR="00A54C18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Singkatnya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konfllik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laws of armed conflict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dan Hukum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Angkatan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Ungkapan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lastRenderedPageBreak/>
        <w:t>masih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Angkatan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4A3E10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4A3E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0"/>
      </w:r>
    </w:p>
    <w:p w14:paraId="5F9F55B0" w14:textId="77777777" w:rsidR="00A54C18" w:rsidRPr="00E24C2B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A71920" w14:textId="77777777" w:rsidR="00A54C18" w:rsidRPr="001102D6" w:rsidRDefault="00A54C18" w:rsidP="00A54C1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Tujuan Hukum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Internasional</w:t>
      </w:r>
      <w:proofErr w:type="spellEnd"/>
    </w:p>
    <w:p w14:paraId="6B7BD8CF" w14:textId="77777777" w:rsidR="00A54C18" w:rsidRPr="001102D6" w:rsidRDefault="00A54C18" w:rsidP="00A54C1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juga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9396487" w14:textId="77777777" w:rsidR="00A54C18" w:rsidRPr="001102D6" w:rsidRDefault="00A54C18" w:rsidP="00A54C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dan non-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penderitaan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9D25519" w14:textId="77777777" w:rsidR="00A54C18" w:rsidRPr="001102D6" w:rsidRDefault="00A54C18" w:rsidP="00A54C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>enjamin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musuh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1799EB" w14:textId="77777777" w:rsidR="00A54C18" w:rsidRPr="001102D6" w:rsidRDefault="00A54C18" w:rsidP="00A54C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kejam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1"/>
      </w:r>
    </w:p>
    <w:p w14:paraId="45788D55" w14:textId="77777777" w:rsidR="00A54C18" w:rsidRPr="001102D6" w:rsidRDefault="00A54C18" w:rsidP="00A54C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memulihkan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D2E23A" w14:textId="77777777" w:rsidR="00A54C18" w:rsidRPr="001102D6" w:rsidRDefault="00A54C18" w:rsidP="00A54C1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2"/>
      </w:r>
    </w:p>
    <w:p w14:paraId="013D9794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U.S. 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Army Field Manual of the law of </w:t>
      </w:r>
      <w:proofErr w:type="spellStart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Landwarfare</w:t>
      </w:r>
      <w:proofErr w:type="spellEnd"/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02D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32ECA756" w14:textId="77777777" w:rsidR="00A54C18" w:rsidRPr="001102D6" w:rsidRDefault="00A54C18" w:rsidP="00A54C1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dan non-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penderitaan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BDC6C47" w14:textId="77777777" w:rsidR="00A54C18" w:rsidRPr="001102D6" w:rsidRDefault="00A54C18" w:rsidP="00A54C1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musuh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32C390" w14:textId="77777777" w:rsidR="00A54C18" w:rsidRPr="001102D6" w:rsidRDefault="00A54C18" w:rsidP="00A54C1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memulihkan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; dan</w:t>
      </w:r>
    </w:p>
    <w:p w14:paraId="40852C5A" w14:textId="77777777" w:rsidR="00A54C18" w:rsidRPr="001102D6" w:rsidRDefault="00A54C18" w:rsidP="00A54C1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lastRenderedPageBreak/>
        <w:t>membatasi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berperang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3"/>
      </w:r>
    </w:p>
    <w:p w14:paraId="500345A5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(HHI)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menderita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permusuhan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>civilian population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4"/>
      </w:r>
    </w:p>
    <w:p w14:paraId="2893B9B0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Selain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HHI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parameter di mana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bersenjata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legal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meminimalkan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penderitaan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>. Istilah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penekanannya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Istilah "Hukum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Humaniter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merujuk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deklarasi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multilateral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HHI.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kami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menguraikan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5"/>
      </w:r>
    </w:p>
    <w:p w14:paraId="46475A3F" w14:textId="77777777" w:rsidR="00A54C18" w:rsidRPr="001A182C" w:rsidRDefault="00A54C18" w:rsidP="00A54C1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Penganturan</w:t>
      </w:r>
      <w:proofErr w:type="spellEnd"/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</w:t>
      </w:r>
      <w:proofErr w:type="spellStart"/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Humaniter</w:t>
      </w:r>
      <w:proofErr w:type="spellEnd"/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Internasional</w:t>
      </w:r>
      <w:proofErr w:type="spellEnd"/>
    </w:p>
    <w:p w14:paraId="3A5DFD67" w14:textId="77777777" w:rsidR="00A54C18" w:rsidRPr="001A182C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A18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deklarasi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multilateral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HHI.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semacam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menyoroti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Pr="001A18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paling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dikutip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82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proofErr w:type="gramStart"/>
      <w:r w:rsidRPr="001A182C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1A182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2CF1C14" w14:textId="77777777" w:rsidR="00A54C18" w:rsidRPr="001102D6" w:rsidRDefault="00A54C18" w:rsidP="00A54C18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Konvensi-Konvensi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Den Haag 1907 (Hukum Den Haag)</w:t>
      </w:r>
    </w:p>
    <w:p w14:paraId="1E7505EE" w14:textId="77777777" w:rsidR="00A54C18" w:rsidRPr="001102D6" w:rsidRDefault="00A54C18" w:rsidP="00A54C18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konferensi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1899 dan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1907, masing-masing,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diletakkan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Istilah "Hukum Den Haag"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merujuk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kumpulan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Cara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peperangan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andangan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argumen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utamanya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0A714D10" w14:textId="77777777" w:rsidR="00A54C18" w:rsidRPr="001102D6" w:rsidRDefault="00A54C18" w:rsidP="00A54C18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The right of belligerents to adopt means of injuring the enemy is not unlimited.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serangkaian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strategi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Den Haag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17C">
        <w:rPr>
          <w:rFonts w:ascii="Times New Roman" w:hAnsi="Times New Roman" w:cs="Times New Roman"/>
          <w:i/>
          <w:iCs/>
          <w:sz w:val="24"/>
          <w:szCs w:val="24"/>
          <w:lang w:val="en-US"/>
        </w:rPr>
        <w:t>"</w:t>
      </w:r>
      <w:proofErr w:type="gramStart"/>
      <w:r w:rsidRPr="00FE517C">
        <w:rPr>
          <w:rFonts w:ascii="Times New Roman" w:hAnsi="Times New Roman" w:cs="Times New Roman"/>
          <w:i/>
          <w:iCs/>
          <w:sz w:val="24"/>
          <w:szCs w:val="24"/>
          <w:lang w:val="en-US"/>
        </w:rPr>
        <w:t>Martens</w:t>
      </w:r>
      <w:proofErr w:type="gramEnd"/>
      <w:r w:rsidRPr="00FE51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clause"</w:t>
      </w:r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Den Haag. Hukum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norma-norma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kombatan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17C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517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E51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37A60ADF" w14:textId="77777777" w:rsidR="00A54C18" w:rsidRPr="001102D6" w:rsidRDefault="00A54C18" w:rsidP="00A54C18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Den Haag, "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Konferensi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Perdamaian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1899 dan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FBDF5B" w14:textId="77777777" w:rsidR="00A54C18" w:rsidRPr="001102D6" w:rsidRDefault="00A54C18" w:rsidP="00A54C1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Arbitrase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Permanen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B497CD" w14:textId="77777777" w:rsidR="00A54C18" w:rsidRPr="001102D6" w:rsidRDefault="00A54C18" w:rsidP="00A54C1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Hukum dan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Perang di Darat</w:t>
      </w:r>
    </w:p>
    <w:p w14:paraId="6F30631E" w14:textId="77777777" w:rsidR="00A54C18" w:rsidRPr="001102D6" w:rsidRDefault="00A54C18" w:rsidP="00A54C1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lastRenderedPageBreak/>
        <w:t>Konvensi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Jenewa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Hukum dan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Perang Angkatan Laut (juga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Jenewa 1864)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577953" w14:textId="77777777" w:rsidR="00A54C18" w:rsidRPr="001102D6" w:rsidRDefault="00A54C18" w:rsidP="00A54C18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2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menyertai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CD62FB4" w14:textId="77777777" w:rsidR="00A54C18" w:rsidRPr="001102D6" w:rsidRDefault="00A54C18" w:rsidP="00A54C1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Deklarasi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Den Haag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1899, yang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proyektil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tersedak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beracun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>; (</w:t>
      </w:r>
      <w:proofErr w:type="spellStart"/>
      <w:proofErr w:type="gramStart"/>
      <w:r w:rsidRPr="008A535C">
        <w:rPr>
          <w:rFonts w:ascii="Times New Roman" w:hAnsi="Times New Roman" w:cs="Times New Roman"/>
          <w:sz w:val="24"/>
          <w:szCs w:val="24"/>
          <w:lang w:val="en-US"/>
        </w:rPr>
        <w:t>No.II</w:t>
      </w:r>
      <w:proofErr w:type="spellEnd"/>
      <w:proofErr w:type="gramEnd"/>
      <w:r w:rsidRPr="008A53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F10253" w14:textId="77777777" w:rsidR="00A54C18" w:rsidRPr="001102D6" w:rsidRDefault="00A54C18" w:rsidP="00A54C1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um-dum</w:t>
      </w:r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dilarang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deklarasi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8A53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A535C">
        <w:rPr>
          <w:rFonts w:ascii="Times New Roman" w:hAnsi="Times New Roman" w:cs="Times New Roman"/>
          <w:sz w:val="24"/>
          <w:szCs w:val="24"/>
          <w:lang w:val="en-US"/>
        </w:rPr>
        <w:t xml:space="preserve"> 1899 di Den Haag (No. III</w:t>
      </w:r>
      <w:proofErr w:type="gramStart"/>
      <w:r w:rsidRPr="008A535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0BF326C3" w14:textId="77777777" w:rsidR="00A54C18" w:rsidRPr="00A5708F" w:rsidRDefault="00A54C18" w:rsidP="00A54C1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Deklarasi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Peluncuran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Proyektil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dan Bahan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Peledak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sz w:val="24"/>
          <w:szCs w:val="24"/>
          <w:lang w:val="en-US"/>
        </w:rPr>
        <w:t>Balon</w:t>
      </w:r>
      <w:proofErr w:type="spellEnd"/>
      <w:r w:rsidRPr="001102D6">
        <w:rPr>
          <w:rFonts w:ascii="Times New Roman" w:hAnsi="Times New Roman" w:cs="Times New Roman"/>
          <w:sz w:val="24"/>
          <w:szCs w:val="24"/>
          <w:lang w:val="en-US"/>
        </w:rPr>
        <w:t xml:space="preserve"> Udara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6"/>
      </w:r>
    </w:p>
    <w:p w14:paraId="0A22BD04" w14:textId="77777777" w:rsidR="00A54C18" w:rsidRPr="001102D6" w:rsidRDefault="00A54C18" w:rsidP="00A54C1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5C">
        <w:rPr>
          <w:rFonts w:ascii="Times New Roman" w:hAnsi="Times New Roman" w:cs="Times New Roman"/>
          <w:sz w:val="24"/>
          <w:szCs w:val="24"/>
        </w:rPr>
        <w:t xml:space="preserve">konflik angkatan laut diatur oleh sejumlah perjanjian. Sejauh menyangkut perang darat, hanya ada Perjanjian Keempat. Perlu diingat bahwa Peraturan Den Haag 1907 sebenarnya adalah </w:t>
      </w:r>
      <w:r w:rsidRPr="008A535C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8A535C">
        <w:rPr>
          <w:rFonts w:ascii="Times New Roman" w:hAnsi="Times New Roman" w:cs="Times New Roman"/>
          <w:i/>
          <w:iCs/>
          <w:sz w:val="24"/>
          <w:szCs w:val="24"/>
          <w:lang w:val="en-US"/>
        </w:rPr>
        <w:t>anex</w:t>
      </w:r>
      <w:proofErr w:type="spellEnd"/>
      <w:r w:rsidRPr="008A535C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A535C">
        <w:rPr>
          <w:rFonts w:ascii="Times New Roman" w:hAnsi="Times New Roman" w:cs="Times New Roman"/>
          <w:sz w:val="24"/>
          <w:szCs w:val="24"/>
        </w:rPr>
        <w:t xml:space="preserve"> dari Konvensi Keempat. Sampai saat ini, Peraturan Den Haag telah digunakan sebagai seperangkat aturan keterlibatan oleh pihak-pihak yang bertikai</w:t>
      </w:r>
      <w:r w:rsidRPr="00110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2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7"/>
      </w:r>
    </w:p>
    <w:p w14:paraId="681BA001" w14:textId="77777777" w:rsidR="008A7290" w:rsidRPr="00A54C18" w:rsidRDefault="008A7290">
      <w:pPr>
        <w:rPr>
          <w:rFonts w:ascii="Times New Roman" w:hAnsi="Times New Roman" w:cs="Times New Roman"/>
          <w:sz w:val="24"/>
          <w:szCs w:val="24"/>
        </w:rPr>
      </w:pPr>
    </w:p>
    <w:sectPr w:rsidR="008A7290" w:rsidRPr="00A54C18" w:rsidSect="00A54C1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CE4A" w14:textId="77777777" w:rsidR="00F74D9F" w:rsidRDefault="00F74D9F" w:rsidP="00A54C18">
      <w:pPr>
        <w:spacing w:after="0" w:line="240" w:lineRule="auto"/>
      </w:pPr>
      <w:r>
        <w:separator/>
      </w:r>
    </w:p>
  </w:endnote>
  <w:endnote w:type="continuationSeparator" w:id="0">
    <w:p w14:paraId="212E1046" w14:textId="77777777" w:rsidR="00F74D9F" w:rsidRDefault="00F74D9F" w:rsidP="00A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715A" w14:textId="77777777" w:rsidR="00F74D9F" w:rsidRDefault="00F74D9F" w:rsidP="00A54C18">
      <w:pPr>
        <w:spacing w:after="0" w:line="240" w:lineRule="auto"/>
      </w:pPr>
      <w:r>
        <w:separator/>
      </w:r>
    </w:p>
  </w:footnote>
  <w:footnote w:type="continuationSeparator" w:id="0">
    <w:p w14:paraId="026127ED" w14:textId="77777777" w:rsidR="00F74D9F" w:rsidRDefault="00F74D9F" w:rsidP="00A54C18">
      <w:pPr>
        <w:spacing w:after="0" w:line="240" w:lineRule="auto"/>
      </w:pPr>
      <w:r>
        <w:continuationSeparator/>
      </w:r>
    </w:p>
  </w:footnote>
  <w:footnote w:id="1">
    <w:p w14:paraId="71BA0270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1102D6">
        <w:rPr>
          <w:rFonts w:ascii="Times New Roman" w:hAnsi="Times New Roman" w:cs="Times New Roman"/>
        </w:rPr>
        <w:tab/>
      </w:r>
      <w:r w:rsidRPr="001102D6">
        <w:rPr>
          <w:rStyle w:val="FootnoteReference"/>
          <w:rFonts w:ascii="Times New Roman" w:hAnsi="Times New Roman" w:cs="Times New Roman"/>
        </w:rPr>
        <w:footnoteRef/>
      </w:r>
      <w:r w:rsidRPr="001102D6">
        <w:rPr>
          <w:rFonts w:ascii="Times New Roman" w:hAnsi="Times New Roman" w:cs="Times New Roman"/>
        </w:rPr>
        <w:t xml:space="preserve"> </w:t>
      </w:r>
      <w:bookmarkStart w:id="0" w:name="_Hlk109888093"/>
      <w:r w:rsidRPr="001102D6">
        <w:fldChar w:fldCharType="begin"/>
      </w:r>
      <w:r w:rsidRPr="001102D6">
        <w:instrText xml:space="preserve"> HYPERLINK "https://heylawedu.id/blog/mengenal-sejarah-hukum-humaniter" </w:instrText>
      </w:r>
      <w:r w:rsidRPr="001102D6">
        <w:fldChar w:fldCharType="separate"/>
      </w:r>
      <w:r w:rsidRPr="001102D6">
        <w:rPr>
          <w:rStyle w:val="Hyperlink"/>
          <w:rFonts w:ascii="Times New Roman" w:hAnsi="Times New Roman" w:cs="Times New Roman"/>
          <w:color w:val="auto"/>
        </w:rPr>
        <w:t>https://heylawedu.id/blog/mengenal-sejarah-hukum-humaniter</w:t>
      </w:r>
      <w:r w:rsidRPr="001102D6">
        <w:rPr>
          <w:rStyle w:val="Hyperlink"/>
          <w:rFonts w:ascii="Times New Roman" w:hAnsi="Times New Roman" w:cs="Times New Roman"/>
          <w:color w:val="auto"/>
        </w:rPr>
        <w:fldChar w:fldCharType="end"/>
      </w:r>
      <w:bookmarkEnd w:id="0"/>
      <w:r w:rsidRPr="001102D6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102D6">
        <w:rPr>
          <w:rFonts w:ascii="Times New Roman" w:hAnsi="Times New Roman" w:cs="Times New Roman"/>
          <w:lang w:val="en-US"/>
        </w:rPr>
        <w:t>akses</w:t>
      </w:r>
      <w:proofErr w:type="spellEnd"/>
      <w:r w:rsidRPr="001102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02D6">
        <w:rPr>
          <w:rFonts w:ascii="Times New Roman" w:hAnsi="Times New Roman" w:cs="Times New Roman"/>
          <w:lang w:val="en-US"/>
        </w:rPr>
        <w:t>pukul</w:t>
      </w:r>
      <w:proofErr w:type="spellEnd"/>
      <w:r w:rsidRPr="001102D6">
        <w:rPr>
          <w:rFonts w:ascii="Times New Roman" w:hAnsi="Times New Roman" w:cs="Times New Roman"/>
          <w:lang w:val="en-US"/>
        </w:rPr>
        <w:t xml:space="preserve"> 20:00 </w:t>
      </w:r>
      <w:proofErr w:type="spellStart"/>
      <w:r w:rsidRPr="001102D6">
        <w:rPr>
          <w:rFonts w:ascii="Times New Roman" w:hAnsi="Times New Roman" w:cs="Times New Roman"/>
          <w:lang w:val="en-US"/>
        </w:rPr>
        <w:t>tanggal</w:t>
      </w:r>
      <w:proofErr w:type="spellEnd"/>
      <w:r w:rsidRPr="001102D6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Pr="001102D6">
        <w:rPr>
          <w:rFonts w:ascii="Times New Roman" w:hAnsi="Times New Roman" w:cs="Times New Roman"/>
          <w:lang w:val="en-US"/>
        </w:rPr>
        <w:t>juli</w:t>
      </w:r>
      <w:proofErr w:type="spellEnd"/>
      <w:r w:rsidRPr="001102D6">
        <w:rPr>
          <w:rFonts w:ascii="Times New Roman" w:hAnsi="Times New Roman" w:cs="Times New Roman"/>
          <w:lang w:val="en-US"/>
        </w:rPr>
        <w:t xml:space="preserve"> 202</w:t>
      </w:r>
      <w:r>
        <w:rPr>
          <w:rFonts w:ascii="Times New Roman" w:hAnsi="Times New Roman" w:cs="Times New Roman"/>
          <w:lang w:val="en-US"/>
        </w:rPr>
        <w:t>2.</w:t>
      </w:r>
    </w:p>
  </w:footnote>
  <w:footnote w:id="2">
    <w:p w14:paraId="07FC878A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1" w:name="_Hlk109888128"/>
      <w:proofErr w:type="spellStart"/>
      <w:r w:rsidRPr="00A61BBC">
        <w:rPr>
          <w:rFonts w:ascii="Times New Roman" w:hAnsi="Times New Roman" w:cs="Times New Roman"/>
          <w:lang w:val="en-US"/>
        </w:rPr>
        <w:t>Ambarwati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r w:rsidRPr="00D14A70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Humaniter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Internasional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dalam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Studi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Hubungan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Internasional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Jakarta: </w:t>
      </w:r>
      <w:proofErr w:type="spellStart"/>
      <w:r w:rsidRPr="00A61BBC">
        <w:rPr>
          <w:rFonts w:ascii="Times New Roman" w:hAnsi="Times New Roman" w:cs="Times New Roman"/>
          <w:lang w:val="en-US"/>
        </w:rPr>
        <w:t>Raja</w:t>
      </w:r>
      <w:r>
        <w:rPr>
          <w:rFonts w:ascii="Times New Roman" w:hAnsi="Times New Roman" w:cs="Times New Roman"/>
          <w:lang w:val="en-US"/>
        </w:rPr>
        <w:t>wali</w:t>
      </w:r>
      <w:proofErr w:type="spellEnd"/>
      <w:r>
        <w:rPr>
          <w:rFonts w:ascii="Times New Roman" w:hAnsi="Times New Roman" w:cs="Times New Roman"/>
          <w:lang w:val="en-US"/>
        </w:rPr>
        <w:t xml:space="preserve"> Pers</w:t>
      </w:r>
      <w:r w:rsidRPr="00A61BBC">
        <w:rPr>
          <w:rFonts w:ascii="Times New Roman" w:hAnsi="Times New Roman" w:cs="Times New Roman"/>
          <w:lang w:val="en-US"/>
        </w:rPr>
        <w:t>, 2017</w:t>
      </w:r>
      <w:bookmarkEnd w:id="1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28</w:t>
      </w:r>
      <w:r>
        <w:rPr>
          <w:rFonts w:ascii="Times New Roman" w:hAnsi="Times New Roman" w:cs="Times New Roman"/>
          <w:lang w:val="en-US"/>
        </w:rPr>
        <w:t>.</w:t>
      </w:r>
    </w:p>
  </w:footnote>
  <w:footnote w:id="3">
    <w:p w14:paraId="7DE86E8E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  <w:color w:val="000000" w:themeColor="text1"/>
        </w:rPr>
        <w:tab/>
      </w:r>
      <w:r w:rsidRPr="00A61BBC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A61BBC">
        <w:rPr>
          <w:rFonts w:ascii="Times New Roman" w:hAnsi="Times New Roman" w:cs="Times New Roman"/>
          <w:color w:val="000000" w:themeColor="text1"/>
        </w:rPr>
        <w:t xml:space="preserve"> </w:t>
      </w:r>
      <w:bookmarkStart w:id="2" w:name="_Hlk109888226"/>
      <w:r>
        <w:fldChar w:fldCharType="begin"/>
      </w:r>
      <w:r>
        <w:instrText xml:space="preserve"> HYPERLINK "https://referensi.elsam.or.id/2014/09/hukum-humaniter-dan-hak-asasi-manusia/" </w:instrText>
      </w:r>
      <w:r>
        <w:fldChar w:fldCharType="separate"/>
      </w:r>
      <w:r w:rsidRPr="00A61BBC">
        <w:rPr>
          <w:rStyle w:val="Hyperlink"/>
          <w:rFonts w:ascii="Times New Roman" w:hAnsi="Times New Roman" w:cs="Times New Roman"/>
          <w:color w:val="000000" w:themeColor="text1"/>
        </w:rPr>
        <w:t>https://referensi.elsam.or.id/2014/09/hukum-humaniter-dan-hak-asasi-manusia/</w: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end"/>
      </w:r>
      <w:bookmarkEnd w:id="2"/>
      <w:r w:rsidRPr="00A61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color w:val="000000" w:themeColor="text1"/>
          <w:lang w:val="en-US"/>
        </w:rPr>
        <w:t>diakses</w:t>
      </w:r>
      <w:proofErr w:type="spellEnd"/>
      <w:r w:rsidRPr="00A61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color w:val="000000" w:themeColor="text1"/>
          <w:lang w:val="en-US"/>
        </w:rPr>
        <w:t>pukul</w:t>
      </w:r>
      <w:proofErr w:type="spellEnd"/>
      <w:r w:rsidRPr="00A61BBC">
        <w:rPr>
          <w:rFonts w:ascii="Times New Roman" w:hAnsi="Times New Roman" w:cs="Times New Roman"/>
          <w:color w:val="000000" w:themeColor="text1"/>
          <w:lang w:val="en-US"/>
        </w:rPr>
        <w:t xml:space="preserve"> 20:30 </w:t>
      </w:r>
      <w:proofErr w:type="spellStart"/>
      <w:r w:rsidRPr="00A61BBC">
        <w:rPr>
          <w:rFonts w:ascii="Times New Roman" w:hAnsi="Times New Roman" w:cs="Times New Roman"/>
          <w:color w:val="000000" w:themeColor="text1"/>
          <w:lang w:val="en-US"/>
        </w:rPr>
        <w:t>tanggal</w:t>
      </w:r>
      <w:proofErr w:type="spellEnd"/>
      <w:r w:rsidRPr="00A61BBC">
        <w:rPr>
          <w:rFonts w:ascii="Times New Roman" w:hAnsi="Times New Roman" w:cs="Times New Roman"/>
          <w:color w:val="000000" w:themeColor="text1"/>
          <w:lang w:val="en-US"/>
        </w:rPr>
        <w:t xml:space="preserve"> 15 </w:t>
      </w:r>
      <w:proofErr w:type="spellStart"/>
      <w:r w:rsidRPr="00A61BBC">
        <w:rPr>
          <w:rFonts w:ascii="Times New Roman" w:hAnsi="Times New Roman" w:cs="Times New Roman"/>
          <w:color w:val="000000" w:themeColor="text1"/>
          <w:lang w:val="en-US"/>
        </w:rPr>
        <w:t>juni</w:t>
      </w:r>
      <w:proofErr w:type="spellEnd"/>
      <w:r w:rsidRPr="00A61BBC">
        <w:rPr>
          <w:rFonts w:ascii="Times New Roman" w:hAnsi="Times New Roman" w:cs="Times New Roman"/>
          <w:color w:val="000000" w:themeColor="text1"/>
          <w:lang w:val="en-US"/>
        </w:rPr>
        <w:t xml:space="preserve"> 2022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</w:footnote>
  <w:footnote w:id="4">
    <w:p w14:paraId="58E62AFB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Ambarwati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29.</w:t>
      </w:r>
    </w:p>
  </w:footnote>
  <w:footnote w:id="5">
    <w:p w14:paraId="110BC085" w14:textId="77777777" w:rsidR="00A54C18" w:rsidRPr="00F81377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Ibid.,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27.</w:t>
      </w:r>
    </w:p>
  </w:footnote>
  <w:footnote w:id="6">
    <w:p w14:paraId="0AE55FEC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Ibid.,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28.</w:t>
      </w:r>
    </w:p>
  </w:footnote>
  <w:footnote w:id="7">
    <w:p w14:paraId="1C9D9DA7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3" w:name="_Hlk106256079"/>
      <w:bookmarkStart w:id="4" w:name="_Hlk109888275"/>
      <w:r w:rsidRPr="00A61BBC">
        <w:rPr>
          <w:rFonts w:ascii="Times New Roman" w:hAnsi="Times New Roman" w:cs="Times New Roman"/>
          <w:lang w:val="en-US"/>
        </w:rPr>
        <w:t xml:space="preserve">Andrey </w:t>
      </w:r>
      <w:proofErr w:type="spellStart"/>
      <w:r w:rsidRPr="00A61BBC">
        <w:rPr>
          <w:rFonts w:ascii="Times New Roman" w:hAnsi="Times New Roman" w:cs="Times New Roman"/>
          <w:lang w:val="en-US"/>
        </w:rPr>
        <w:t>Sujatmoko</w:t>
      </w:r>
      <w:bookmarkEnd w:id="3"/>
      <w:proofErr w:type="spellEnd"/>
      <w:r w:rsidRPr="00A61BBC">
        <w:rPr>
          <w:rFonts w:ascii="Times New Roman" w:hAnsi="Times New Roman" w:cs="Times New Roman"/>
          <w:lang w:val="en-US"/>
        </w:rPr>
        <w:t xml:space="preserve">, </w:t>
      </w:r>
      <w:r w:rsidRPr="00A61BBC">
        <w:rPr>
          <w:rFonts w:ascii="Times New Roman" w:hAnsi="Times New Roman" w:cs="Times New Roman"/>
          <w:i/>
          <w:iCs/>
          <w:lang w:val="en-US"/>
        </w:rPr>
        <w:t xml:space="preserve">Hukum HAM dan Hukum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Humaniter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Jakarta: </w:t>
      </w:r>
      <w:proofErr w:type="spellStart"/>
      <w:r w:rsidRPr="00A61BBC">
        <w:rPr>
          <w:rFonts w:ascii="Times New Roman" w:hAnsi="Times New Roman" w:cs="Times New Roman"/>
          <w:lang w:val="en-US"/>
        </w:rPr>
        <w:t>Grafindo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Persada</w:t>
      </w:r>
      <w:proofErr w:type="spellEnd"/>
      <w:r w:rsidRPr="00A61BBC">
        <w:rPr>
          <w:rFonts w:ascii="Times New Roman" w:hAnsi="Times New Roman" w:cs="Times New Roman"/>
          <w:lang w:val="en-US"/>
        </w:rPr>
        <w:t>, 2016</w:t>
      </w:r>
      <w:bookmarkEnd w:id="4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172.</w:t>
      </w:r>
    </w:p>
  </w:footnote>
  <w:footnote w:id="8">
    <w:p w14:paraId="65B5DCFE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9">
    <w:p w14:paraId="0CEBE780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5" w:name="_Hlk109888298"/>
      <w:r w:rsidRPr="00A61BBC">
        <w:rPr>
          <w:rFonts w:ascii="Times New Roman" w:hAnsi="Times New Roman" w:cs="Times New Roman"/>
        </w:rPr>
        <w:t xml:space="preserve">Umar Suryadi </w:t>
      </w:r>
      <w:proofErr w:type="spellStart"/>
      <w:r w:rsidRPr="00A61BBC">
        <w:rPr>
          <w:rFonts w:ascii="Times New Roman" w:hAnsi="Times New Roman" w:cs="Times New Roman"/>
        </w:rPr>
        <w:t>Bakry</w:t>
      </w:r>
      <w:proofErr w:type="spellEnd"/>
      <w:r w:rsidRPr="00A61BBC">
        <w:rPr>
          <w:rFonts w:ascii="Times New Roman" w:hAnsi="Times New Roman" w:cs="Times New Roman"/>
        </w:rPr>
        <w:t xml:space="preserve">, </w:t>
      </w:r>
      <w:r w:rsidRPr="00A61BBC">
        <w:rPr>
          <w:rFonts w:ascii="Times New Roman" w:hAnsi="Times New Roman" w:cs="Times New Roman"/>
          <w:i/>
          <w:iCs/>
        </w:rPr>
        <w:t>Hukum Humaniter Internasional</w:t>
      </w:r>
      <w:r w:rsidRPr="00A61BBC">
        <w:rPr>
          <w:rFonts w:ascii="Times New Roman" w:hAnsi="Times New Roman" w:cs="Times New Roman"/>
        </w:rPr>
        <w:t>, Jakarta</w:t>
      </w:r>
      <w:r w:rsidRPr="00A61BB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61BBC">
        <w:rPr>
          <w:rFonts w:ascii="Times New Roman" w:hAnsi="Times New Roman" w:cs="Times New Roman"/>
        </w:rPr>
        <w:t>Prenada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r w:rsidRPr="00A61BBC">
        <w:rPr>
          <w:rFonts w:ascii="Times New Roman" w:hAnsi="Times New Roman" w:cs="Times New Roman"/>
        </w:rPr>
        <w:t>Media</w:t>
      </w:r>
      <w:r w:rsidRPr="00A61BBC">
        <w:rPr>
          <w:rFonts w:ascii="Times New Roman" w:hAnsi="Times New Roman" w:cs="Times New Roman"/>
          <w:lang w:val="en-US"/>
        </w:rPr>
        <w:t xml:space="preserve"> </w:t>
      </w:r>
      <w:r w:rsidRPr="00A61BBC">
        <w:rPr>
          <w:rFonts w:ascii="Times New Roman" w:hAnsi="Times New Roman" w:cs="Times New Roman"/>
        </w:rPr>
        <w:t>Group, 2019</w:t>
      </w:r>
      <w:bookmarkEnd w:id="5"/>
      <w:r w:rsidRPr="00A61BBC">
        <w:rPr>
          <w:rFonts w:ascii="Times New Roman" w:hAnsi="Times New Roman" w:cs="Times New Roman"/>
          <w:lang w:val="en-US"/>
        </w:rPr>
        <w:t xml:space="preserve">, </w:t>
      </w:r>
      <w:r w:rsidRPr="00A61BBC">
        <w:rPr>
          <w:rFonts w:ascii="Times New Roman" w:hAnsi="Times New Roman" w:cs="Times New Roman"/>
        </w:rPr>
        <w:t>h</w:t>
      </w:r>
      <w:proofErr w:type="spellStart"/>
      <w:r w:rsidRPr="00A61BBC">
        <w:rPr>
          <w:rFonts w:ascii="Times New Roman" w:hAnsi="Times New Roman" w:cs="Times New Roman"/>
          <w:lang w:val="en-US"/>
        </w:rPr>
        <w:t>lm</w:t>
      </w:r>
      <w:proofErr w:type="spellEnd"/>
      <w:r w:rsidRPr="00A61BBC">
        <w:rPr>
          <w:rFonts w:ascii="Times New Roman" w:hAnsi="Times New Roman" w:cs="Times New Roman"/>
          <w:lang w:val="en-US"/>
        </w:rPr>
        <w:t>. 14.</w:t>
      </w:r>
    </w:p>
  </w:footnote>
  <w:footnote w:id="10">
    <w:p w14:paraId="511CCA34" w14:textId="77777777" w:rsidR="00A54C18" w:rsidRPr="002A3172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6" w:name="_Hlk109888346"/>
      <w:r w:rsidRPr="00A61BBC">
        <w:rPr>
          <w:rFonts w:ascii="Times New Roman" w:hAnsi="Times New Roman" w:cs="Times New Roman"/>
          <w:lang w:val="en-US"/>
        </w:rPr>
        <w:t xml:space="preserve">Yustina </w:t>
      </w:r>
      <w:proofErr w:type="spellStart"/>
      <w:r w:rsidRPr="00A61BBC">
        <w:rPr>
          <w:rFonts w:ascii="Times New Roman" w:hAnsi="Times New Roman" w:cs="Times New Roman"/>
          <w:lang w:val="en-US"/>
        </w:rPr>
        <w:t>Trihoni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Nalesti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Dewi,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Kejahatan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Perang Dalam Hukum </w:t>
      </w:r>
      <w:proofErr w:type="spellStart"/>
      <w:r w:rsidRPr="00D14A70">
        <w:rPr>
          <w:rFonts w:ascii="Times New Roman" w:hAnsi="Times New Roman" w:cs="Times New Roman"/>
          <w:i/>
          <w:iCs/>
          <w:lang w:val="en-US"/>
        </w:rPr>
        <w:t>Internasional</w:t>
      </w:r>
      <w:proofErr w:type="spellEnd"/>
      <w:r w:rsidRPr="00D14A70">
        <w:rPr>
          <w:rFonts w:ascii="Times New Roman" w:hAnsi="Times New Roman" w:cs="Times New Roman"/>
          <w:i/>
          <w:iCs/>
          <w:lang w:val="en-US"/>
        </w:rPr>
        <w:t xml:space="preserve"> dan Hukum Nasional</w:t>
      </w:r>
      <w:r w:rsidRPr="00A61BBC">
        <w:rPr>
          <w:rFonts w:ascii="Times New Roman" w:hAnsi="Times New Roman" w:cs="Times New Roman"/>
          <w:lang w:val="en-US"/>
        </w:rPr>
        <w:t xml:space="preserve">, Jakarta: Raja </w:t>
      </w:r>
      <w:proofErr w:type="spellStart"/>
      <w:r w:rsidRPr="00A61BBC">
        <w:rPr>
          <w:rFonts w:ascii="Times New Roman" w:hAnsi="Times New Roman" w:cs="Times New Roman"/>
          <w:lang w:val="en-US"/>
        </w:rPr>
        <w:t>Grafindo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Persada</w:t>
      </w:r>
      <w:proofErr w:type="spellEnd"/>
      <w:r w:rsidRPr="00A61BBC">
        <w:rPr>
          <w:rFonts w:ascii="Times New Roman" w:hAnsi="Times New Roman" w:cs="Times New Roman"/>
          <w:lang w:val="en-US"/>
        </w:rPr>
        <w:t>, 2013</w:t>
      </w:r>
      <w:bookmarkEnd w:id="6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82.</w:t>
      </w:r>
    </w:p>
  </w:footnote>
  <w:footnote w:id="11">
    <w:p w14:paraId="58860947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Ambarwati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30.</w:t>
      </w:r>
    </w:p>
  </w:footnote>
  <w:footnote w:id="12">
    <w:p w14:paraId="291EC136" w14:textId="77777777" w:rsidR="00A54C18" w:rsidRPr="003C7AC2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7" w:name="_Hlk109888392"/>
      <w:r w:rsidRPr="00A61BBC">
        <w:rPr>
          <w:rFonts w:ascii="Times New Roman" w:hAnsi="Times New Roman" w:cs="Times New Roman"/>
          <w:lang w:val="en-US"/>
        </w:rPr>
        <w:t xml:space="preserve">Jawahir </w:t>
      </w:r>
      <w:proofErr w:type="spellStart"/>
      <w:r w:rsidRPr="00A61BBC">
        <w:rPr>
          <w:rFonts w:ascii="Times New Roman" w:hAnsi="Times New Roman" w:cs="Times New Roman"/>
          <w:lang w:val="en-US"/>
        </w:rPr>
        <w:t>Thontowi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r w:rsidRPr="00A61BBC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Internasional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Kontemporer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Bandung: PT Refika </w:t>
      </w:r>
      <w:proofErr w:type="spellStart"/>
      <w:r w:rsidRPr="00A61BBC">
        <w:rPr>
          <w:rFonts w:ascii="Times New Roman" w:hAnsi="Times New Roman" w:cs="Times New Roman"/>
          <w:lang w:val="en-US"/>
        </w:rPr>
        <w:t>Aditama</w:t>
      </w:r>
      <w:proofErr w:type="spellEnd"/>
      <w:r w:rsidRPr="00A61BBC">
        <w:rPr>
          <w:rFonts w:ascii="Times New Roman" w:hAnsi="Times New Roman" w:cs="Times New Roman"/>
          <w:lang w:val="en-US"/>
        </w:rPr>
        <w:t>, 2006</w:t>
      </w:r>
      <w:bookmarkEnd w:id="7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30</w:t>
      </w:r>
    </w:p>
  </w:footnote>
  <w:footnote w:id="13">
    <w:p w14:paraId="1BE6F4FC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14">
    <w:p w14:paraId="06511C26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15">
    <w:p w14:paraId="70B1A4E9" w14:textId="77777777" w:rsidR="00A54C18" w:rsidRPr="00A73038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16">
    <w:p w14:paraId="6A1066F1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Yustina </w:t>
      </w:r>
      <w:proofErr w:type="spellStart"/>
      <w:r w:rsidRPr="00A61BBC">
        <w:rPr>
          <w:rFonts w:ascii="Times New Roman" w:hAnsi="Times New Roman" w:cs="Times New Roman"/>
          <w:lang w:val="en-US"/>
        </w:rPr>
        <w:t>Trihoni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Nalesti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Dewi,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83.</w:t>
      </w:r>
    </w:p>
  </w:footnote>
  <w:footnote w:id="17">
    <w:p w14:paraId="124A25C3" w14:textId="77777777" w:rsidR="00A54C18" w:rsidRPr="00830A00" w:rsidRDefault="00A54C18" w:rsidP="00A54C18">
      <w:pPr>
        <w:pStyle w:val="FootnoteText"/>
        <w:rPr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8" w:name="_Hlk109888444"/>
      <w:bookmarkStart w:id="9" w:name="_Hlk109888491"/>
      <w:r w:rsidRPr="00A61BBC">
        <w:rPr>
          <w:rFonts w:ascii="Times New Roman" w:hAnsi="Times New Roman" w:cs="Times New Roman"/>
          <w:lang w:val="en-US"/>
        </w:rPr>
        <w:t xml:space="preserve">J.G Starke,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Pengantar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Internasional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1</w:t>
      </w:r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terj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61BBC">
        <w:rPr>
          <w:rFonts w:ascii="Times New Roman" w:hAnsi="Times New Roman" w:cs="Times New Roman"/>
          <w:lang w:val="en-US"/>
        </w:rPr>
        <w:t>Sumitro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61BBC">
        <w:rPr>
          <w:rFonts w:ascii="Times New Roman" w:hAnsi="Times New Roman" w:cs="Times New Roman"/>
          <w:lang w:val="en-US"/>
        </w:rPr>
        <w:t>L.S</w:t>
      </w:r>
      <w:proofErr w:type="gram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Danuredjo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Medan: </w:t>
      </w:r>
      <w:proofErr w:type="spellStart"/>
      <w:r w:rsidRPr="00A61BBC">
        <w:rPr>
          <w:rFonts w:ascii="Times New Roman" w:hAnsi="Times New Roman" w:cs="Times New Roman"/>
          <w:lang w:val="en-US"/>
        </w:rPr>
        <w:t>PT.Aksara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Persada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Indonesia</w:t>
      </w:r>
      <w:bookmarkEnd w:id="8"/>
      <w:r w:rsidRPr="00A61BBC">
        <w:rPr>
          <w:rFonts w:ascii="Times New Roman" w:hAnsi="Times New Roman" w:cs="Times New Roman"/>
          <w:lang w:val="en-US"/>
        </w:rPr>
        <w:t>, 1988</w:t>
      </w:r>
      <w:bookmarkEnd w:id="9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7.</w:t>
      </w:r>
    </w:p>
  </w:footnote>
  <w:footnote w:id="18">
    <w:p w14:paraId="41976722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bookmarkStart w:id="10" w:name="_Hlk109888510"/>
      <w:r w:rsidRPr="00A61BBC">
        <w:rPr>
          <w:rFonts w:ascii="Times New Roman" w:hAnsi="Times New Roman" w:cs="Times New Roman"/>
          <w:lang w:val="en-US"/>
        </w:rPr>
        <w:t xml:space="preserve">Arlina </w:t>
      </w:r>
      <w:proofErr w:type="spellStart"/>
      <w:r w:rsidRPr="00A61BBC">
        <w:rPr>
          <w:rFonts w:ascii="Times New Roman" w:hAnsi="Times New Roman" w:cs="Times New Roman"/>
          <w:lang w:val="en-US"/>
        </w:rPr>
        <w:t>Permanasari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Pengantar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Humaniter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A61BBC">
        <w:rPr>
          <w:rFonts w:ascii="Times New Roman" w:hAnsi="Times New Roman" w:cs="Times New Roman"/>
          <w:lang w:val="en-US"/>
        </w:rPr>
        <w:t>Jakarta:</w:t>
      </w:r>
      <w:r w:rsidRPr="00A61BBC">
        <w:rPr>
          <w:rFonts w:ascii="Times New Roman" w:hAnsi="Times New Roman" w:cs="Times New Roman"/>
          <w:i/>
          <w:iCs/>
          <w:lang w:val="en-US"/>
        </w:rPr>
        <w:t xml:space="preserve"> International Committee </w:t>
      </w:r>
      <w:proofErr w:type="gramStart"/>
      <w:r w:rsidRPr="00A61BBC">
        <w:rPr>
          <w:rFonts w:ascii="Times New Roman" w:hAnsi="Times New Roman" w:cs="Times New Roman"/>
          <w:i/>
          <w:iCs/>
          <w:lang w:val="en-US"/>
        </w:rPr>
        <w:t>Of</w:t>
      </w:r>
      <w:proofErr w:type="gramEnd"/>
      <w:r w:rsidRPr="00A61BBC">
        <w:rPr>
          <w:rFonts w:ascii="Times New Roman" w:hAnsi="Times New Roman" w:cs="Times New Roman"/>
          <w:i/>
          <w:iCs/>
          <w:lang w:val="en-US"/>
        </w:rPr>
        <w:t xml:space="preserve"> The Red Cross</w:t>
      </w:r>
      <w:r w:rsidRPr="00A61BBC">
        <w:rPr>
          <w:rFonts w:ascii="Times New Roman" w:hAnsi="Times New Roman" w:cs="Times New Roman"/>
          <w:lang w:val="en-US"/>
        </w:rPr>
        <w:t xml:space="preserve"> (ICRC), 1999</w:t>
      </w:r>
      <w:bookmarkEnd w:id="10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15</w:t>
      </w:r>
    </w:p>
  </w:footnote>
  <w:footnote w:id="19">
    <w:p w14:paraId="685C4D27" w14:textId="77777777" w:rsidR="00A54C18" w:rsidRPr="00D32648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Jawahir </w:t>
      </w:r>
      <w:proofErr w:type="spellStart"/>
      <w:r w:rsidRPr="00A61BBC">
        <w:rPr>
          <w:rFonts w:ascii="Times New Roman" w:hAnsi="Times New Roman" w:cs="Times New Roman"/>
          <w:lang w:val="en-US"/>
        </w:rPr>
        <w:t>Thontowi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34.</w:t>
      </w:r>
    </w:p>
  </w:footnote>
  <w:footnote w:id="20">
    <w:p w14:paraId="3808CE26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 xml:space="preserve">Ali </w:t>
      </w:r>
      <w:proofErr w:type="spellStart"/>
      <w:r w:rsidRPr="00A61BBC">
        <w:rPr>
          <w:rFonts w:ascii="Times New Roman" w:hAnsi="Times New Roman" w:cs="Times New Roman"/>
        </w:rPr>
        <w:t>Sastroamidjojo</w:t>
      </w:r>
      <w:proofErr w:type="spellEnd"/>
      <w:r w:rsidRPr="00A61BBC">
        <w:rPr>
          <w:rFonts w:ascii="Times New Roman" w:hAnsi="Times New Roman" w:cs="Times New Roman"/>
        </w:rPr>
        <w:t xml:space="preserve">, </w:t>
      </w:r>
      <w:r w:rsidRPr="00A61BBC">
        <w:rPr>
          <w:rFonts w:ascii="Times New Roman" w:hAnsi="Times New Roman" w:cs="Times New Roman"/>
          <w:i/>
          <w:iCs/>
        </w:rPr>
        <w:t>Pengantar Hukum Internasional</w:t>
      </w:r>
      <w:r w:rsidRPr="00A61BBC">
        <w:rPr>
          <w:rFonts w:ascii="Times New Roman" w:hAnsi="Times New Roman" w:cs="Times New Roman"/>
        </w:rPr>
        <w:t xml:space="preserve">, Jakarta: </w:t>
      </w:r>
      <w:proofErr w:type="spellStart"/>
      <w:r w:rsidRPr="00A61BBC">
        <w:rPr>
          <w:rFonts w:ascii="Times New Roman" w:hAnsi="Times New Roman" w:cs="Times New Roman"/>
        </w:rPr>
        <w:t>Bhratara</w:t>
      </w:r>
      <w:proofErr w:type="spellEnd"/>
      <w:r w:rsidRPr="00A61BBC">
        <w:rPr>
          <w:rFonts w:ascii="Times New Roman" w:hAnsi="Times New Roman" w:cs="Times New Roman"/>
        </w:rPr>
        <w:t>, 1971</w:t>
      </w:r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197.</w:t>
      </w:r>
    </w:p>
  </w:footnote>
  <w:footnote w:id="21">
    <w:p w14:paraId="44D960BF" w14:textId="77777777" w:rsidR="00A54C18" w:rsidRPr="00CF396E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 xml:space="preserve">Yustina </w:t>
      </w:r>
      <w:proofErr w:type="spellStart"/>
      <w:r w:rsidRPr="00A61BBC">
        <w:rPr>
          <w:rFonts w:ascii="Times New Roman" w:hAnsi="Times New Roman" w:cs="Times New Roman"/>
        </w:rPr>
        <w:t>Trihoni</w:t>
      </w:r>
      <w:proofErr w:type="spellEnd"/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</w:rPr>
        <w:t>Nalesti</w:t>
      </w:r>
      <w:proofErr w:type="spellEnd"/>
      <w:r w:rsidRPr="00A61BBC">
        <w:rPr>
          <w:rFonts w:ascii="Times New Roman" w:hAnsi="Times New Roman" w:cs="Times New Roman"/>
        </w:rPr>
        <w:t xml:space="preserve"> Dewi, </w:t>
      </w:r>
      <w:proofErr w:type="spellStart"/>
      <w:r w:rsidRPr="00A61BBC">
        <w:rPr>
          <w:rFonts w:ascii="Times New Roman" w:hAnsi="Times New Roman" w:cs="Times New Roman"/>
          <w:i/>
          <w:iCs/>
        </w:rPr>
        <w:t>op.cit</w:t>
      </w:r>
      <w:proofErr w:type="spellEnd"/>
      <w:r w:rsidRPr="00A61BBC">
        <w:rPr>
          <w:rFonts w:ascii="Times New Roman" w:hAnsi="Times New Roman" w:cs="Times New Roman"/>
        </w:rPr>
        <w:t xml:space="preserve">., </w:t>
      </w:r>
      <w:proofErr w:type="spellStart"/>
      <w:r w:rsidRPr="00A61BBC">
        <w:rPr>
          <w:rFonts w:ascii="Times New Roman" w:hAnsi="Times New Roman" w:cs="Times New Roman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83.</w:t>
      </w:r>
    </w:p>
  </w:footnote>
  <w:footnote w:id="22">
    <w:p w14:paraId="62614A2A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Ambarwati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30.</w:t>
      </w:r>
    </w:p>
  </w:footnote>
  <w:footnote w:id="23">
    <w:p w14:paraId="496711BD" w14:textId="77777777" w:rsidR="00A54C18" w:rsidRPr="00EC409A" w:rsidRDefault="00A54C18" w:rsidP="00A54C18">
      <w:pPr>
        <w:pStyle w:val="FootnoteText"/>
        <w:rPr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>Andrey Sujatmoko</w:t>
      </w:r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169.</w:t>
      </w:r>
    </w:p>
  </w:footnote>
  <w:footnote w:id="24">
    <w:p w14:paraId="12204965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GPH. </w:t>
      </w:r>
      <w:proofErr w:type="spellStart"/>
      <w:r w:rsidRPr="00A61BBC">
        <w:rPr>
          <w:rFonts w:ascii="Times New Roman" w:hAnsi="Times New Roman" w:cs="Times New Roman"/>
          <w:lang w:val="en-US"/>
        </w:rPr>
        <w:t>Haryomataram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Sekelumit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Tentang</w:t>
      </w:r>
      <w:proofErr w:type="spellEnd"/>
      <w:r w:rsidRPr="00A61BBC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Humaniter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Surakarta: </w:t>
      </w:r>
      <w:proofErr w:type="spellStart"/>
      <w:r w:rsidRPr="00A61BBC">
        <w:rPr>
          <w:rFonts w:ascii="Times New Roman" w:hAnsi="Times New Roman" w:cs="Times New Roman"/>
          <w:lang w:val="en-US"/>
        </w:rPr>
        <w:t>Sebelas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 Maret University Press, 1994,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2.</w:t>
      </w:r>
    </w:p>
  </w:footnote>
  <w:footnote w:id="25">
    <w:p w14:paraId="7BAC50F9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>Andrey Sujatmoko</w:t>
      </w:r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170.</w:t>
      </w:r>
    </w:p>
  </w:footnote>
  <w:footnote w:id="26">
    <w:p w14:paraId="1CAB63E2" w14:textId="77777777" w:rsidR="00A54C18" w:rsidRPr="00171D1F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27">
    <w:p w14:paraId="76239FA7" w14:textId="77777777" w:rsidR="00A54C18" w:rsidRPr="003A1CB4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 xml:space="preserve">KPHG. </w:t>
      </w:r>
      <w:proofErr w:type="spellStart"/>
      <w:r>
        <w:rPr>
          <w:rFonts w:ascii="Times New Roman" w:hAnsi="Times New Roman" w:cs="Times New Roman"/>
          <w:lang w:val="en-US"/>
        </w:rPr>
        <w:t>Haryomataram</w:t>
      </w:r>
      <w:proofErr w:type="spellEnd"/>
      <w:r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9976A3">
        <w:rPr>
          <w:rFonts w:ascii="Times New Roman" w:hAnsi="Times New Roman" w:cs="Times New Roman"/>
          <w:i/>
          <w:iCs/>
          <w:lang w:val="en-US"/>
        </w:rPr>
        <w:t>Pengantar</w:t>
      </w:r>
      <w:proofErr w:type="spellEnd"/>
      <w:r w:rsidRPr="009976A3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9976A3">
        <w:rPr>
          <w:rFonts w:ascii="Times New Roman" w:hAnsi="Times New Roman" w:cs="Times New Roman"/>
          <w:i/>
          <w:iCs/>
          <w:lang w:val="en-US"/>
        </w:rPr>
        <w:t>Humaniter</w:t>
      </w:r>
      <w:proofErr w:type="spellEnd"/>
      <w:r>
        <w:rPr>
          <w:rFonts w:ascii="Times New Roman" w:hAnsi="Times New Roman" w:cs="Times New Roman"/>
          <w:lang w:val="en-US"/>
        </w:rPr>
        <w:t xml:space="preserve">, Jakarta: PT Raja </w:t>
      </w:r>
      <w:proofErr w:type="spellStart"/>
      <w:r>
        <w:rPr>
          <w:rFonts w:ascii="Times New Roman" w:hAnsi="Times New Roman" w:cs="Times New Roman"/>
          <w:lang w:val="en-US"/>
        </w:rPr>
        <w:t>Grafindo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Persada</w:t>
      </w:r>
      <w:proofErr w:type="spellEnd"/>
      <w:r>
        <w:rPr>
          <w:rFonts w:ascii="Times New Roman" w:hAnsi="Times New Roman" w:cs="Times New Roman"/>
          <w:lang w:val="en-US"/>
        </w:rPr>
        <w:t xml:space="preserve">, 2005, </w:t>
      </w:r>
      <w:proofErr w:type="spellStart"/>
      <w:r>
        <w:rPr>
          <w:rFonts w:ascii="Times New Roman" w:hAnsi="Times New Roman" w:cs="Times New Roman"/>
          <w:lang w:val="en-US"/>
        </w:rPr>
        <w:t>hlm</w:t>
      </w:r>
      <w:proofErr w:type="spellEnd"/>
      <w:r>
        <w:rPr>
          <w:rFonts w:ascii="Times New Roman" w:hAnsi="Times New Roman" w:cs="Times New Roman"/>
          <w:lang w:val="en-US"/>
        </w:rPr>
        <w:t>. 15.</w:t>
      </w:r>
    </w:p>
  </w:footnote>
  <w:footnote w:id="28">
    <w:p w14:paraId="4FB0BF9B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  <w:lang w:val="en-US"/>
        </w:rPr>
        <w:t>Ambarwati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32.</w:t>
      </w:r>
    </w:p>
  </w:footnote>
  <w:footnote w:id="29">
    <w:p w14:paraId="4AB3738D" w14:textId="77777777" w:rsidR="00A54C18" w:rsidRPr="001611A3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30">
    <w:p w14:paraId="6164C4AF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>Ibid.</w:t>
      </w:r>
    </w:p>
  </w:footnote>
  <w:footnote w:id="31">
    <w:p w14:paraId="71DA4CF5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GPH. </w:t>
      </w:r>
      <w:proofErr w:type="spellStart"/>
      <w:r w:rsidRPr="00A61BBC">
        <w:rPr>
          <w:rFonts w:ascii="Times New Roman" w:hAnsi="Times New Roman" w:cs="Times New Roman"/>
          <w:lang w:val="en-US"/>
        </w:rPr>
        <w:t>Haryomataram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9.</w:t>
      </w:r>
    </w:p>
  </w:footnote>
  <w:footnote w:id="32">
    <w:p w14:paraId="5EC7359C" w14:textId="77777777" w:rsidR="00A54C18" w:rsidRPr="008D5F8F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  <w:lang w:val="en-US"/>
        </w:rPr>
        <w:t xml:space="preserve">KPHG. </w:t>
      </w:r>
      <w:proofErr w:type="spellStart"/>
      <w:r w:rsidRPr="00A61BBC">
        <w:rPr>
          <w:rFonts w:ascii="Times New Roman" w:hAnsi="Times New Roman" w:cs="Times New Roman"/>
          <w:lang w:val="en-US"/>
        </w:rPr>
        <w:t>Haryomataram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7.</w:t>
      </w:r>
    </w:p>
  </w:footnote>
  <w:footnote w:id="33">
    <w:p w14:paraId="1B607D03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proofErr w:type="spellStart"/>
      <w:r w:rsidRPr="00A61BBC">
        <w:rPr>
          <w:rFonts w:ascii="Times New Roman" w:hAnsi="Times New Roman" w:cs="Times New Roman"/>
        </w:rPr>
        <w:t>Shaymin</w:t>
      </w:r>
      <w:proofErr w:type="spellEnd"/>
      <w:r w:rsidRPr="00A61BBC">
        <w:rPr>
          <w:rFonts w:ascii="Times New Roman" w:hAnsi="Times New Roman" w:cs="Times New Roman"/>
        </w:rPr>
        <w:t xml:space="preserve"> A. K, </w:t>
      </w:r>
      <w:r w:rsidRPr="00A61BBC">
        <w:rPr>
          <w:rFonts w:ascii="Times New Roman" w:hAnsi="Times New Roman" w:cs="Times New Roman"/>
          <w:i/>
          <w:iCs/>
        </w:rPr>
        <w:t>Hukum Internasional Humaniter 1 (Bagian umum</w:t>
      </w:r>
      <w:r w:rsidRPr="00A61BBC">
        <w:rPr>
          <w:rFonts w:ascii="Times New Roman" w:hAnsi="Times New Roman" w:cs="Times New Roman"/>
        </w:rPr>
        <w:t>), Bandung: CV</w:t>
      </w:r>
      <w:r w:rsidRPr="00A61B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1BBC">
        <w:rPr>
          <w:rFonts w:ascii="Times New Roman" w:hAnsi="Times New Roman" w:cs="Times New Roman"/>
        </w:rPr>
        <w:t>Armico</w:t>
      </w:r>
      <w:proofErr w:type="spellEnd"/>
      <w:r w:rsidRPr="00A61BBC">
        <w:rPr>
          <w:rFonts w:ascii="Times New Roman" w:hAnsi="Times New Roman" w:cs="Times New Roman"/>
        </w:rPr>
        <w:t>, 1985, h</w:t>
      </w:r>
      <w:proofErr w:type="spellStart"/>
      <w:r w:rsidRPr="00A61BBC">
        <w:rPr>
          <w:rFonts w:ascii="Times New Roman" w:hAnsi="Times New Roman" w:cs="Times New Roman"/>
          <w:lang w:val="en-US"/>
        </w:rPr>
        <w:t>lm</w:t>
      </w:r>
      <w:proofErr w:type="spellEnd"/>
      <w:r w:rsidRPr="00A61BBC">
        <w:rPr>
          <w:rFonts w:ascii="Times New Roman" w:hAnsi="Times New Roman" w:cs="Times New Roman"/>
        </w:rPr>
        <w:t>. 8.</w:t>
      </w:r>
    </w:p>
  </w:footnote>
  <w:footnote w:id="34">
    <w:p w14:paraId="5FA89FAC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>Andrey Sujatmoko</w:t>
      </w:r>
      <w:r w:rsidRPr="00A61B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61BBC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A61BB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A61BBC">
        <w:rPr>
          <w:rFonts w:ascii="Times New Roman" w:hAnsi="Times New Roman" w:cs="Times New Roman"/>
          <w:lang w:val="en-US"/>
        </w:rPr>
        <w:t>hlm</w:t>
      </w:r>
      <w:proofErr w:type="spellEnd"/>
      <w:r w:rsidRPr="00A61BBC">
        <w:rPr>
          <w:rFonts w:ascii="Times New Roman" w:hAnsi="Times New Roman" w:cs="Times New Roman"/>
          <w:lang w:val="en-US"/>
        </w:rPr>
        <w:t>. 172.</w:t>
      </w:r>
    </w:p>
  </w:footnote>
  <w:footnote w:id="35">
    <w:p w14:paraId="6302838A" w14:textId="77777777" w:rsidR="00A54C18" w:rsidRPr="00D15D0C" w:rsidRDefault="00A54C18" w:rsidP="00A54C18">
      <w:pPr>
        <w:pStyle w:val="FootnoteText"/>
        <w:rPr>
          <w:rFonts w:ascii="Times New Roman" w:hAnsi="Times New Roman" w:cs="Times New Roman"/>
        </w:rPr>
      </w:pPr>
      <w:r w:rsidRPr="00A61BBC"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 w:rsidRPr="00A61BBC">
        <w:rPr>
          <w:rFonts w:ascii="Times New Roman" w:hAnsi="Times New Roman" w:cs="Times New Roman"/>
        </w:rPr>
        <w:t xml:space="preserve">Teuku May Rudy, </w:t>
      </w:r>
      <w:r w:rsidRPr="00A61BBC">
        <w:rPr>
          <w:rFonts w:ascii="Times New Roman" w:hAnsi="Times New Roman" w:cs="Times New Roman"/>
          <w:i/>
          <w:iCs/>
        </w:rPr>
        <w:t>Hukum Internasional 2</w:t>
      </w:r>
      <w:r w:rsidRPr="00A61BBC">
        <w:rPr>
          <w:rFonts w:ascii="Times New Roman" w:hAnsi="Times New Roman" w:cs="Times New Roman"/>
        </w:rPr>
        <w:t>, Bandung: PT Refika Aditama, 20</w:t>
      </w:r>
      <w:r>
        <w:rPr>
          <w:rFonts w:ascii="Times New Roman" w:hAnsi="Times New Roman" w:cs="Times New Roman"/>
          <w:lang w:val="en-US"/>
        </w:rPr>
        <w:t>06</w:t>
      </w:r>
      <w:r w:rsidRPr="00A61BBC">
        <w:rPr>
          <w:rFonts w:ascii="Times New Roman" w:hAnsi="Times New Roman" w:cs="Times New Roman"/>
        </w:rPr>
        <w:t>, h</w:t>
      </w:r>
      <w:proofErr w:type="spellStart"/>
      <w:r w:rsidRPr="00A61BBC">
        <w:rPr>
          <w:rFonts w:ascii="Times New Roman" w:hAnsi="Times New Roman" w:cs="Times New Roman"/>
          <w:lang w:val="en-US"/>
        </w:rPr>
        <w:t>lm</w:t>
      </w:r>
      <w:proofErr w:type="spellEnd"/>
      <w:r w:rsidRPr="00A61BBC">
        <w:rPr>
          <w:rFonts w:ascii="Times New Roman" w:hAnsi="Times New Roman" w:cs="Times New Roman"/>
        </w:rPr>
        <w:t>.</w:t>
      </w:r>
      <w:r w:rsidRPr="00A61BBC">
        <w:rPr>
          <w:rFonts w:ascii="Times New Roman" w:hAnsi="Times New Roman" w:cs="Times New Roman"/>
          <w:lang w:val="en-US"/>
        </w:rPr>
        <w:t xml:space="preserve"> </w:t>
      </w:r>
      <w:r w:rsidRPr="00A61BBC">
        <w:rPr>
          <w:rFonts w:ascii="Times New Roman" w:hAnsi="Times New Roman" w:cs="Times New Roman"/>
        </w:rPr>
        <w:t>78.</w:t>
      </w:r>
    </w:p>
  </w:footnote>
  <w:footnote w:id="36">
    <w:p w14:paraId="727D4136" w14:textId="77777777" w:rsidR="00A54C18" w:rsidRPr="00A61BBC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1BBC">
        <w:rPr>
          <w:rStyle w:val="FootnoteReference"/>
          <w:rFonts w:ascii="Times New Roman" w:hAnsi="Times New Roman" w:cs="Times New Roman"/>
        </w:rPr>
        <w:footnoteRef/>
      </w:r>
      <w:r w:rsidRPr="00A61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Ibid., </w:t>
      </w:r>
      <w:r w:rsidRPr="00A61BBC">
        <w:rPr>
          <w:rFonts w:ascii="Times New Roman" w:hAnsi="Times New Roman" w:cs="Times New Roman"/>
        </w:rPr>
        <w:t>h</w:t>
      </w:r>
      <w:proofErr w:type="spellStart"/>
      <w:r w:rsidRPr="00A61BBC">
        <w:rPr>
          <w:rFonts w:ascii="Times New Roman" w:hAnsi="Times New Roman" w:cs="Times New Roman"/>
          <w:lang w:val="en-US"/>
        </w:rPr>
        <w:t>lm</w:t>
      </w:r>
      <w:proofErr w:type="spellEnd"/>
      <w:r w:rsidRPr="00A61BBC">
        <w:rPr>
          <w:rFonts w:ascii="Times New Roman" w:hAnsi="Times New Roman" w:cs="Times New Roman"/>
        </w:rPr>
        <w:t xml:space="preserve">. </w:t>
      </w:r>
      <w:r w:rsidRPr="00A61BBC">
        <w:rPr>
          <w:rFonts w:ascii="Times New Roman" w:hAnsi="Times New Roman" w:cs="Times New Roman"/>
        </w:rPr>
        <w:t>82.</w:t>
      </w:r>
    </w:p>
  </w:footnote>
  <w:footnote w:id="37">
    <w:p w14:paraId="4A3BAD07" w14:textId="77777777" w:rsidR="00A54C18" w:rsidRPr="00165FDD" w:rsidRDefault="00A54C18" w:rsidP="00A54C18">
      <w:pPr>
        <w:pStyle w:val="FootnoteText"/>
        <w:rPr>
          <w:rFonts w:ascii="Times New Roman" w:hAnsi="Times New Roman" w:cs="Times New Roman"/>
          <w:lang w:val="en-US"/>
        </w:rPr>
      </w:pPr>
      <w:r w:rsidRPr="00165FDD">
        <w:rPr>
          <w:rFonts w:ascii="Times New Roman" w:hAnsi="Times New Roman" w:cs="Times New Roman"/>
        </w:rPr>
        <w:tab/>
      </w:r>
      <w:r w:rsidRPr="00165FDD">
        <w:rPr>
          <w:rStyle w:val="FootnoteReference"/>
          <w:rFonts w:ascii="Times New Roman" w:hAnsi="Times New Roman" w:cs="Times New Roman"/>
        </w:rPr>
        <w:footnoteRef/>
      </w:r>
      <w:r w:rsidRPr="00165FDD">
        <w:rPr>
          <w:rFonts w:ascii="Times New Roman" w:hAnsi="Times New Roman" w:cs="Times New Roman"/>
        </w:rPr>
        <w:t xml:space="preserve"> </w:t>
      </w:r>
      <w:r w:rsidRPr="00165FDD">
        <w:rPr>
          <w:rFonts w:ascii="Times New Roman" w:hAnsi="Times New Roman" w:cs="Times New Roman"/>
          <w:lang w:val="en-US"/>
        </w:rPr>
        <w:t xml:space="preserve">KPHG. </w:t>
      </w:r>
      <w:proofErr w:type="spellStart"/>
      <w:r w:rsidRPr="00165FDD">
        <w:rPr>
          <w:rFonts w:ascii="Times New Roman" w:hAnsi="Times New Roman" w:cs="Times New Roman"/>
          <w:lang w:val="en-US"/>
        </w:rPr>
        <w:t>Haryomataram</w:t>
      </w:r>
      <w:proofErr w:type="spellEnd"/>
      <w:r w:rsidRPr="00165FDD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165FDD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165FDD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165FDD">
        <w:rPr>
          <w:rFonts w:ascii="Times New Roman" w:hAnsi="Times New Roman" w:cs="Times New Roman"/>
          <w:lang w:val="en-US"/>
        </w:rPr>
        <w:t>hlm</w:t>
      </w:r>
      <w:proofErr w:type="spellEnd"/>
      <w:r w:rsidRPr="00165FDD">
        <w:rPr>
          <w:rFonts w:ascii="Times New Roman" w:hAnsi="Times New Roman" w:cs="Times New Roman"/>
          <w:lang w:val="en-US"/>
        </w:rPr>
        <w:t>. 45-48.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EA5"/>
    <w:multiLevelType w:val="hybridMultilevel"/>
    <w:tmpl w:val="27E85B1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AD0AFB"/>
    <w:multiLevelType w:val="hybridMultilevel"/>
    <w:tmpl w:val="E132F7E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AE1134"/>
    <w:multiLevelType w:val="hybridMultilevel"/>
    <w:tmpl w:val="1C88FC1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855B58"/>
    <w:multiLevelType w:val="hybridMultilevel"/>
    <w:tmpl w:val="1E7A782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BC12611"/>
    <w:multiLevelType w:val="hybridMultilevel"/>
    <w:tmpl w:val="2D404B2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6905D1"/>
    <w:multiLevelType w:val="hybridMultilevel"/>
    <w:tmpl w:val="849A7A4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CB1131"/>
    <w:multiLevelType w:val="hybridMultilevel"/>
    <w:tmpl w:val="4A96AE0E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131144B"/>
    <w:multiLevelType w:val="hybridMultilevel"/>
    <w:tmpl w:val="D71C078E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0AE1AEC"/>
    <w:multiLevelType w:val="hybridMultilevel"/>
    <w:tmpl w:val="D71C078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104854"/>
    <w:multiLevelType w:val="hybridMultilevel"/>
    <w:tmpl w:val="B22250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18"/>
    <w:rsid w:val="008A7290"/>
    <w:rsid w:val="00A54C18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B805"/>
  <w15:chartTrackingRefBased/>
  <w15:docId w15:val="{4CED51BA-FF97-4813-AEC4-0D7EE79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4C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C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C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3371</Words>
  <Characters>19217</Characters>
  <Application>Microsoft Office Word</Application>
  <DocSecurity>0</DocSecurity>
  <Lines>160</Lines>
  <Paragraphs>45</Paragraphs>
  <ScaleCrop>false</ScaleCrop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2022-08-16T06:50:00Z</dcterms:created>
  <dcterms:modified xsi:type="dcterms:W3CDTF">2022-08-16T06:53:00Z</dcterms:modified>
</cp:coreProperties>
</file>