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BA" w:rsidRDefault="006B3EBA" w:rsidP="00477928">
      <w:pPr>
        <w:spacing w:after="0" w:line="480" w:lineRule="auto"/>
        <w:jc w:val="center"/>
        <w:rPr>
          <w:rFonts w:ascii="Times New Roman" w:hAnsi="Times New Roman" w:cs="Times New Roman"/>
          <w:b/>
          <w:sz w:val="24"/>
        </w:rPr>
      </w:pPr>
      <w:r w:rsidRPr="00547360">
        <w:rPr>
          <w:rFonts w:ascii="Times New Roman" w:hAnsi="Times New Roman" w:cs="Times New Roman"/>
          <w:b/>
          <w:sz w:val="24"/>
        </w:rPr>
        <w:t>BAB II</w:t>
      </w:r>
    </w:p>
    <w:p w:rsidR="009D1B12" w:rsidRDefault="009D1B12" w:rsidP="00477928">
      <w:pPr>
        <w:spacing w:after="0" w:line="480" w:lineRule="auto"/>
        <w:jc w:val="center"/>
        <w:rPr>
          <w:rFonts w:ascii="Times New Roman" w:hAnsi="Times New Roman" w:cs="Times New Roman"/>
          <w:b/>
          <w:sz w:val="24"/>
        </w:rPr>
      </w:pPr>
      <w:r>
        <w:rPr>
          <w:rFonts w:ascii="Times New Roman" w:hAnsi="Times New Roman" w:cs="Times New Roman"/>
          <w:b/>
          <w:sz w:val="24"/>
        </w:rPr>
        <w:t>TINJAUAN PUSTAKA</w:t>
      </w:r>
    </w:p>
    <w:p w:rsidR="000F5D8F" w:rsidRPr="009557EE" w:rsidRDefault="00BB5433" w:rsidP="00477928">
      <w:pPr>
        <w:spacing w:after="0" w:line="480" w:lineRule="auto"/>
        <w:ind w:left="426" w:hanging="426"/>
        <w:jc w:val="both"/>
        <w:rPr>
          <w:rFonts w:ascii="Times New Roman" w:hAnsi="Times New Roman" w:cs="Times New Roman"/>
          <w:sz w:val="24"/>
        </w:rPr>
      </w:pPr>
      <w:r w:rsidRPr="0037292E">
        <w:rPr>
          <w:rFonts w:ascii="Times New Roman" w:hAnsi="Times New Roman" w:cs="Times New Roman"/>
          <w:b/>
          <w:sz w:val="24"/>
        </w:rPr>
        <w:t>A</w:t>
      </w:r>
      <w:r w:rsidR="005A4715" w:rsidRPr="0037292E">
        <w:rPr>
          <w:rFonts w:ascii="Times New Roman" w:hAnsi="Times New Roman" w:cs="Times New Roman"/>
          <w:b/>
          <w:sz w:val="24"/>
        </w:rPr>
        <w:t>.</w:t>
      </w:r>
      <w:r w:rsidR="005A4715">
        <w:rPr>
          <w:rFonts w:ascii="Times New Roman" w:hAnsi="Times New Roman" w:cs="Times New Roman"/>
          <w:b/>
          <w:sz w:val="24"/>
        </w:rPr>
        <w:tab/>
      </w:r>
      <w:r w:rsidR="00CA5396">
        <w:rPr>
          <w:rFonts w:ascii="Times New Roman" w:hAnsi="Times New Roman" w:cs="Times New Roman"/>
          <w:b/>
          <w:sz w:val="24"/>
        </w:rPr>
        <w:t>TINJAUAN TENTANG JAMINAN DALAM HUKUM PERDATA</w:t>
      </w:r>
    </w:p>
    <w:p w:rsidR="000F5D8F" w:rsidRPr="0037292E" w:rsidRDefault="00BB5433" w:rsidP="001D6096">
      <w:pPr>
        <w:pStyle w:val="ListParagraph"/>
        <w:numPr>
          <w:ilvl w:val="0"/>
          <w:numId w:val="13"/>
        </w:numPr>
        <w:spacing w:after="0" w:line="480" w:lineRule="auto"/>
        <w:ind w:left="426" w:firstLine="0"/>
        <w:jc w:val="both"/>
        <w:rPr>
          <w:rFonts w:ascii="Times New Roman" w:hAnsi="Times New Roman" w:cs="Times New Roman"/>
          <w:b/>
          <w:sz w:val="24"/>
        </w:rPr>
      </w:pPr>
      <w:r w:rsidRPr="0037292E">
        <w:rPr>
          <w:rFonts w:ascii="Times New Roman" w:hAnsi="Times New Roman" w:cs="Times New Roman"/>
          <w:b/>
          <w:sz w:val="24"/>
        </w:rPr>
        <w:t>P</w:t>
      </w:r>
      <w:r w:rsidR="001F1A33" w:rsidRPr="0037292E">
        <w:rPr>
          <w:rFonts w:ascii="Times New Roman" w:hAnsi="Times New Roman" w:cs="Times New Roman"/>
          <w:b/>
          <w:sz w:val="24"/>
        </w:rPr>
        <w:t>engertian J</w:t>
      </w:r>
      <w:r w:rsidR="000F5D8F" w:rsidRPr="0037292E">
        <w:rPr>
          <w:rFonts w:ascii="Times New Roman" w:hAnsi="Times New Roman" w:cs="Times New Roman"/>
          <w:b/>
          <w:sz w:val="24"/>
        </w:rPr>
        <w:t xml:space="preserve">aminan </w:t>
      </w:r>
    </w:p>
    <w:p w:rsidR="00293070" w:rsidRDefault="00293070" w:rsidP="0037292E">
      <w:pPr>
        <w:pStyle w:val="BodyText"/>
        <w:spacing w:line="480" w:lineRule="auto"/>
        <w:ind w:left="709" w:right="-5" w:firstLine="567"/>
        <w:jc w:val="both"/>
      </w:pPr>
      <w:r>
        <w:t>Istilah jaminan merupakan terjemahan dari bahasa Belanda, yaitu zekerheid atau cautie.</w:t>
      </w:r>
      <w:r w:rsidR="003D01A0">
        <w:t xml:space="preserve"> </w:t>
      </w:r>
      <w:r>
        <w:t>Zekerheid atau cautie mencakup secara umum cara- cara kreditur menjamin dipenuhinya tagihannya, di samping pertanggungan jawab umum debitur terhadap barang-barangnya. Selain istilah jaminan, dikenal juga dengan agunan. Istilah agunan dapat di lihat di dalam Pasal 1 angka 23 Undang-Undang Nomor 10 Tahun 1998 tentang Perubahan atas Undang-Undang Nomor 7 Tahun 1992 tentang Perbankan, yaitu agunan adalah :</w:t>
      </w:r>
    </w:p>
    <w:p w:rsidR="00293070" w:rsidRDefault="00293070" w:rsidP="0037292E">
      <w:pPr>
        <w:pStyle w:val="BodyText"/>
        <w:spacing w:before="1" w:line="480" w:lineRule="auto"/>
        <w:ind w:left="709" w:right="-5" w:firstLine="567"/>
        <w:jc w:val="both"/>
      </w:pPr>
      <w:r>
        <w:t>“Jaminan tambahan diserahkan debitur kepad</w:t>
      </w:r>
      <w:r w:rsidR="00F123C7">
        <w:t xml:space="preserve">a bank dalam rangka mendapatkan </w:t>
      </w:r>
      <w:r>
        <w:t>fasilitas kredit atau pembiayaan berdasarkann prinsip syariah.”</w:t>
      </w:r>
    </w:p>
    <w:p w:rsidR="00293070" w:rsidRPr="00293070" w:rsidRDefault="00293070" w:rsidP="0037292E">
      <w:pPr>
        <w:pStyle w:val="BodyText"/>
        <w:spacing w:line="480" w:lineRule="auto"/>
        <w:ind w:left="709" w:right="-5" w:firstLine="567"/>
        <w:jc w:val="both"/>
      </w:pPr>
      <w:r w:rsidRPr="00293070">
        <w:t>Tujuan agunan adalah untuk mendapatkan fasilitas dari bank. Jaminan ini diserahkan oleh debitur kepada bank. Jadi unsur-unsur dari agunan adalah</w:t>
      </w:r>
      <w:r w:rsidR="0037292E">
        <w:rPr>
          <w:spacing w:val="-1"/>
        </w:rPr>
        <w:t xml:space="preserve"> </w:t>
      </w:r>
      <w:r w:rsidRPr="00293070">
        <w:t>:</w:t>
      </w:r>
    </w:p>
    <w:p w:rsidR="00293070" w:rsidRPr="003D01A0" w:rsidRDefault="00293070" w:rsidP="001D6096">
      <w:pPr>
        <w:pStyle w:val="ListParagraph"/>
        <w:widowControl w:val="0"/>
        <w:numPr>
          <w:ilvl w:val="0"/>
          <w:numId w:val="18"/>
        </w:numPr>
        <w:tabs>
          <w:tab w:val="left" w:pos="1560"/>
        </w:tabs>
        <w:autoSpaceDE w:val="0"/>
        <w:autoSpaceDN w:val="0"/>
        <w:spacing w:after="0" w:line="480" w:lineRule="auto"/>
        <w:ind w:left="1276" w:hanging="283"/>
        <w:contextualSpacing w:val="0"/>
        <w:jc w:val="both"/>
        <w:rPr>
          <w:rFonts w:ascii="Times New Roman" w:hAnsi="Times New Roman" w:cs="Times New Roman"/>
          <w:sz w:val="24"/>
          <w:szCs w:val="24"/>
        </w:rPr>
      </w:pPr>
      <w:r w:rsidRPr="003D01A0">
        <w:rPr>
          <w:rFonts w:ascii="Times New Roman" w:hAnsi="Times New Roman" w:cs="Times New Roman"/>
          <w:sz w:val="24"/>
          <w:szCs w:val="24"/>
        </w:rPr>
        <w:t>Jaminan</w:t>
      </w:r>
      <w:r w:rsidRPr="003D01A0">
        <w:rPr>
          <w:rFonts w:ascii="Times New Roman" w:hAnsi="Times New Roman" w:cs="Times New Roman"/>
          <w:spacing w:val="-1"/>
          <w:sz w:val="24"/>
          <w:szCs w:val="24"/>
        </w:rPr>
        <w:t xml:space="preserve"> </w:t>
      </w:r>
      <w:r w:rsidRPr="003D01A0">
        <w:rPr>
          <w:rFonts w:ascii="Times New Roman" w:hAnsi="Times New Roman" w:cs="Times New Roman"/>
          <w:sz w:val="24"/>
          <w:szCs w:val="24"/>
        </w:rPr>
        <w:t>tambahan;</w:t>
      </w:r>
    </w:p>
    <w:p w:rsidR="00293070" w:rsidRPr="003D01A0" w:rsidRDefault="00293070" w:rsidP="001D6096">
      <w:pPr>
        <w:pStyle w:val="ListParagraph"/>
        <w:widowControl w:val="0"/>
        <w:numPr>
          <w:ilvl w:val="0"/>
          <w:numId w:val="18"/>
        </w:numPr>
        <w:tabs>
          <w:tab w:val="left" w:pos="1276"/>
        </w:tabs>
        <w:autoSpaceDE w:val="0"/>
        <w:autoSpaceDN w:val="0"/>
        <w:spacing w:after="0" w:line="480" w:lineRule="auto"/>
        <w:ind w:left="709" w:firstLine="284"/>
        <w:contextualSpacing w:val="0"/>
        <w:jc w:val="both"/>
        <w:rPr>
          <w:rFonts w:ascii="Times New Roman" w:hAnsi="Times New Roman" w:cs="Times New Roman"/>
          <w:sz w:val="24"/>
          <w:szCs w:val="24"/>
        </w:rPr>
      </w:pPr>
      <w:r w:rsidRPr="003D01A0">
        <w:rPr>
          <w:rFonts w:ascii="Times New Roman" w:hAnsi="Times New Roman" w:cs="Times New Roman"/>
          <w:sz w:val="24"/>
          <w:szCs w:val="24"/>
        </w:rPr>
        <w:t>Diserahkan oleh debitur kepada</w:t>
      </w:r>
      <w:r w:rsidRPr="003D01A0">
        <w:rPr>
          <w:rFonts w:ascii="Times New Roman" w:hAnsi="Times New Roman" w:cs="Times New Roman"/>
          <w:spacing w:val="-3"/>
          <w:sz w:val="24"/>
          <w:szCs w:val="24"/>
        </w:rPr>
        <w:t xml:space="preserve"> </w:t>
      </w:r>
      <w:r w:rsidRPr="003D01A0">
        <w:rPr>
          <w:rFonts w:ascii="Times New Roman" w:hAnsi="Times New Roman" w:cs="Times New Roman"/>
          <w:sz w:val="24"/>
          <w:szCs w:val="24"/>
        </w:rPr>
        <w:t>bank;</w:t>
      </w:r>
    </w:p>
    <w:p w:rsidR="00293070" w:rsidRPr="00CA6BCA" w:rsidRDefault="00293070" w:rsidP="001D6096">
      <w:pPr>
        <w:pStyle w:val="ListParagraph"/>
        <w:widowControl w:val="0"/>
        <w:numPr>
          <w:ilvl w:val="0"/>
          <w:numId w:val="18"/>
        </w:numPr>
        <w:tabs>
          <w:tab w:val="left" w:pos="1276"/>
        </w:tabs>
        <w:autoSpaceDE w:val="0"/>
        <w:autoSpaceDN w:val="0"/>
        <w:spacing w:after="0" w:line="480" w:lineRule="auto"/>
        <w:ind w:left="709" w:firstLine="284"/>
        <w:contextualSpacing w:val="0"/>
        <w:jc w:val="both"/>
        <w:rPr>
          <w:rFonts w:ascii="Times New Roman" w:hAnsi="Times New Roman" w:cs="Times New Roman"/>
          <w:sz w:val="24"/>
          <w:szCs w:val="24"/>
        </w:rPr>
      </w:pPr>
      <w:r w:rsidRPr="00293070">
        <w:rPr>
          <w:rFonts w:ascii="Times New Roman" w:hAnsi="Times New Roman" w:cs="Times New Roman"/>
          <w:sz w:val="24"/>
          <w:szCs w:val="24"/>
        </w:rPr>
        <w:t>Untuk mendapatkan fasilitas kredit atau</w:t>
      </w:r>
      <w:r w:rsidRPr="00293070">
        <w:rPr>
          <w:rFonts w:ascii="Times New Roman" w:hAnsi="Times New Roman" w:cs="Times New Roman"/>
          <w:spacing w:val="-2"/>
          <w:sz w:val="24"/>
          <w:szCs w:val="24"/>
        </w:rPr>
        <w:t xml:space="preserve"> </w:t>
      </w:r>
      <w:r w:rsidRPr="00293070">
        <w:rPr>
          <w:rFonts w:ascii="Times New Roman" w:hAnsi="Times New Roman" w:cs="Times New Roman"/>
          <w:sz w:val="24"/>
          <w:szCs w:val="24"/>
        </w:rPr>
        <w:t>pembiayaan.</w:t>
      </w:r>
    </w:p>
    <w:p w:rsidR="00293070" w:rsidRPr="00293070" w:rsidRDefault="00293070" w:rsidP="0037292E">
      <w:pPr>
        <w:pStyle w:val="BodyText"/>
        <w:spacing w:before="1" w:line="480" w:lineRule="auto"/>
        <w:ind w:left="709" w:right="-5" w:firstLine="567"/>
        <w:jc w:val="both"/>
      </w:pPr>
      <w:r w:rsidRPr="00293070">
        <w:t xml:space="preserve">Di dalam Seminar Badan Pembinaan Hukum Nasional yang diselenggarakan di Yogyakarta, dari tanggal 20 s/d 30 Juli 1977 </w:t>
      </w:r>
      <w:r w:rsidRPr="00293070">
        <w:lastRenderedPageBreak/>
        <w:t>disimpulkan pengertian jaminan, yaitu</w:t>
      </w:r>
      <w:r>
        <w:t xml:space="preserve"> Jaminan adalah “Menjamin dipenuhinya kewajiban yang dapat dinilai dengan uang yang timbul dari suatu perikatan hukum. Oleh karena itu, hukum jaminan erat sekali dengan hukum benda”</w:t>
      </w:r>
      <w:r>
        <w:rPr>
          <w:rStyle w:val="FootnoteReference"/>
        </w:rPr>
        <w:footnoteReference w:id="1"/>
      </w:r>
    </w:p>
    <w:p w:rsidR="00293070" w:rsidRDefault="000F5D8F" w:rsidP="0037292E">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Jaminan adalah sesatu yang diberikan kepada krediur un</w:t>
      </w:r>
      <w:r w:rsidR="0024626A">
        <w:rPr>
          <w:rFonts w:ascii="Times New Roman" w:hAnsi="Times New Roman" w:cs="Times New Roman"/>
          <w:sz w:val="24"/>
        </w:rPr>
        <w:t>t</w:t>
      </w:r>
      <w:r>
        <w:rPr>
          <w:rFonts w:ascii="Times New Roman" w:hAnsi="Times New Roman" w:cs="Times New Roman"/>
          <w:sz w:val="24"/>
        </w:rPr>
        <w:t>uk menimbulkan keyakinan bahwa debitur akan memenuhi kewajiban yang dapat dinilai dengan  uang yang timbul dari suatu perikatan</w:t>
      </w:r>
      <w:r>
        <w:rPr>
          <w:rStyle w:val="FootnoteReference"/>
          <w:rFonts w:ascii="Times New Roman" w:hAnsi="Times New Roman" w:cs="Times New Roman"/>
          <w:sz w:val="24"/>
        </w:rPr>
        <w:footnoteReference w:id="2"/>
      </w:r>
      <w:r>
        <w:rPr>
          <w:rFonts w:ascii="Times New Roman" w:hAnsi="Times New Roman" w:cs="Times New Roman"/>
          <w:sz w:val="24"/>
        </w:rPr>
        <w:t>.</w:t>
      </w:r>
      <w:r w:rsidR="00EC1B13">
        <w:rPr>
          <w:rFonts w:ascii="Times New Roman" w:hAnsi="Times New Roman" w:cs="Times New Roman"/>
          <w:sz w:val="24"/>
        </w:rPr>
        <w:t xml:space="preserve"> </w:t>
      </w:r>
    </w:p>
    <w:p w:rsidR="00CA6BCA" w:rsidRPr="00DD520E" w:rsidRDefault="00CA6BCA" w:rsidP="0037292E">
      <w:pPr>
        <w:pStyle w:val="BodyText"/>
        <w:spacing w:line="480" w:lineRule="auto"/>
        <w:ind w:left="709"/>
        <w:jc w:val="both"/>
      </w:pPr>
      <w:r w:rsidRPr="00DD520E">
        <w:t>Jadi komponen dari jaminan atas definisi diatas adalah :</w:t>
      </w:r>
    </w:p>
    <w:p w:rsidR="00CA6BCA" w:rsidRPr="00DD520E" w:rsidRDefault="00CA6BCA" w:rsidP="001D6096">
      <w:pPr>
        <w:pStyle w:val="ListParagraph"/>
        <w:widowControl w:val="0"/>
        <w:numPr>
          <w:ilvl w:val="0"/>
          <w:numId w:val="19"/>
        </w:numPr>
        <w:tabs>
          <w:tab w:val="left" w:pos="851"/>
        </w:tabs>
        <w:autoSpaceDE w:val="0"/>
        <w:autoSpaceDN w:val="0"/>
        <w:spacing w:after="0" w:line="480" w:lineRule="auto"/>
        <w:ind w:left="1843" w:hanging="567"/>
        <w:contextualSpacing w:val="0"/>
        <w:rPr>
          <w:rFonts w:ascii="Times New Roman" w:hAnsi="Times New Roman" w:cs="Times New Roman"/>
          <w:sz w:val="24"/>
          <w:szCs w:val="24"/>
        </w:rPr>
      </w:pPr>
      <w:r w:rsidRPr="00DD520E">
        <w:rPr>
          <w:rFonts w:ascii="Times New Roman" w:hAnsi="Times New Roman" w:cs="Times New Roman"/>
          <w:sz w:val="24"/>
          <w:szCs w:val="24"/>
        </w:rPr>
        <w:t>Pemenuhan kewajiban kepada kreditur;</w:t>
      </w:r>
    </w:p>
    <w:p w:rsidR="00CA6BCA" w:rsidRPr="00DD520E" w:rsidRDefault="00CA6BCA" w:rsidP="001D6096">
      <w:pPr>
        <w:pStyle w:val="ListParagraph"/>
        <w:widowControl w:val="0"/>
        <w:numPr>
          <w:ilvl w:val="0"/>
          <w:numId w:val="19"/>
        </w:numPr>
        <w:autoSpaceDE w:val="0"/>
        <w:autoSpaceDN w:val="0"/>
        <w:spacing w:after="0" w:line="480" w:lineRule="auto"/>
        <w:ind w:left="1843" w:hanging="567"/>
        <w:contextualSpacing w:val="0"/>
        <w:rPr>
          <w:rFonts w:ascii="Times New Roman" w:hAnsi="Times New Roman" w:cs="Times New Roman"/>
          <w:sz w:val="24"/>
          <w:szCs w:val="24"/>
        </w:rPr>
      </w:pPr>
      <w:r w:rsidRPr="00DD520E">
        <w:rPr>
          <w:rFonts w:ascii="Times New Roman" w:hAnsi="Times New Roman" w:cs="Times New Roman"/>
          <w:sz w:val="24"/>
          <w:szCs w:val="24"/>
        </w:rPr>
        <w:t>Wujud dari jaminan harus dapat dinilai dengan</w:t>
      </w:r>
      <w:r w:rsidRPr="00DD520E">
        <w:rPr>
          <w:rFonts w:ascii="Times New Roman" w:hAnsi="Times New Roman" w:cs="Times New Roman"/>
          <w:spacing w:val="-2"/>
          <w:sz w:val="24"/>
          <w:szCs w:val="24"/>
        </w:rPr>
        <w:t xml:space="preserve"> </w:t>
      </w:r>
      <w:r w:rsidRPr="00DD520E">
        <w:rPr>
          <w:rFonts w:ascii="Times New Roman" w:hAnsi="Times New Roman" w:cs="Times New Roman"/>
          <w:sz w:val="24"/>
          <w:szCs w:val="24"/>
        </w:rPr>
        <w:t>uang</w:t>
      </w:r>
    </w:p>
    <w:p w:rsidR="00CA6BCA" w:rsidRPr="00DD520E" w:rsidRDefault="00CA6BCA" w:rsidP="001D6096">
      <w:pPr>
        <w:pStyle w:val="ListParagraph"/>
        <w:widowControl w:val="0"/>
        <w:numPr>
          <w:ilvl w:val="0"/>
          <w:numId w:val="19"/>
        </w:numPr>
        <w:tabs>
          <w:tab w:val="left" w:pos="1418"/>
        </w:tabs>
        <w:autoSpaceDE w:val="0"/>
        <w:autoSpaceDN w:val="0"/>
        <w:spacing w:after="0" w:line="480" w:lineRule="auto"/>
        <w:ind w:left="1843" w:right="-6" w:hanging="567"/>
        <w:contextualSpacing w:val="0"/>
        <w:rPr>
          <w:rFonts w:ascii="Times New Roman" w:hAnsi="Times New Roman" w:cs="Times New Roman"/>
          <w:sz w:val="24"/>
          <w:szCs w:val="24"/>
        </w:rPr>
      </w:pPr>
      <w:r w:rsidRPr="00DD520E">
        <w:rPr>
          <w:rFonts w:ascii="Times New Roman" w:hAnsi="Times New Roman" w:cs="Times New Roman"/>
          <w:sz w:val="24"/>
          <w:szCs w:val="24"/>
        </w:rPr>
        <w:t>Timbulnya jaminan karena adanya perikatan antara debitur dengan kreditur.</w:t>
      </w:r>
    </w:p>
    <w:p w:rsidR="000F5D8F" w:rsidRDefault="000F5D8F" w:rsidP="0037292E">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Menurut ketentuan Pasal 2 ayat (1) Surat Keputusan Direksi Bank Indonesia No. 23/69/KEP/DIR tanggal 28 Februari 1991 tentang jaminan pemberi kredit, bahwa yang dimaksud dengan jaminan adalah suatu </w:t>
      </w:r>
      <w:r w:rsidR="005E68CF">
        <w:rPr>
          <w:rFonts w:ascii="Times New Roman" w:hAnsi="Times New Roman" w:cs="Times New Roman"/>
          <w:sz w:val="24"/>
        </w:rPr>
        <w:t>keyakinan bank atas kesanggupan debitur untuk melunasi kredit sesuai dengan yang diperjanjikan.</w:t>
      </w:r>
    </w:p>
    <w:p w:rsidR="001151CF" w:rsidRDefault="001151CF" w:rsidP="00477928">
      <w:pPr>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Alsan digunakan istilah Jaminan adalah </w:t>
      </w:r>
    </w:p>
    <w:p w:rsidR="001151CF" w:rsidRDefault="001151CF" w:rsidP="0037292E">
      <w:pPr>
        <w:spacing w:after="0" w:line="480" w:lineRule="auto"/>
        <w:ind w:left="993" w:hanging="284"/>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 xml:space="preserve">Telah lazim digunakan dalam bidang Ilmu Hukum dalam hal ini berkaitan dengan penyebutan-penyebutan seperti hukum jaminan, </w:t>
      </w:r>
      <w:r>
        <w:rPr>
          <w:rFonts w:ascii="Times New Roman" w:hAnsi="Times New Roman" w:cs="Times New Roman"/>
          <w:sz w:val="24"/>
        </w:rPr>
        <w:lastRenderedPageBreak/>
        <w:t>lembaga jaminan, jaminan kebendaan, jaminan perorangan, hak jaminan dan sebagainya.</w:t>
      </w:r>
    </w:p>
    <w:p w:rsidR="001151CF" w:rsidRDefault="001151CF" w:rsidP="0037292E">
      <w:pPr>
        <w:spacing w:after="0" w:line="480" w:lineRule="auto"/>
        <w:ind w:left="993" w:hanging="284"/>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Telah digunakan dalam beberapa peraturan perundang-undangan tentang lembaga jaminan, sperti yang tercantum dalam Undang-undang Hak Tanggung dan Jaminan Fidusia</w:t>
      </w:r>
    </w:p>
    <w:p w:rsidR="0024626A" w:rsidRDefault="0037292E" w:rsidP="0037292E">
      <w:pPr>
        <w:pStyle w:val="ListParagraph"/>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4626A" w:rsidRPr="0024626A">
        <w:rPr>
          <w:rFonts w:ascii="Times New Roman" w:hAnsi="Times New Roman" w:cs="Times New Roman"/>
          <w:sz w:val="24"/>
          <w:szCs w:val="24"/>
        </w:rPr>
        <w:t>Pada dasarnya, jenis jaminan dapat dibedakan menjadi dua macam</w:t>
      </w:r>
      <w:r w:rsidR="0024626A">
        <w:rPr>
          <w:rFonts w:ascii="Times New Roman" w:hAnsi="Times New Roman" w:cs="Times New Roman"/>
          <w:sz w:val="24"/>
          <w:szCs w:val="24"/>
        </w:rPr>
        <w:t>, yaitu :</w:t>
      </w:r>
    </w:p>
    <w:p w:rsidR="0024626A" w:rsidRDefault="00811618" w:rsidP="00477928">
      <w:pPr>
        <w:pStyle w:val="ListParagraph"/>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b/>
      </w:r>
      <w:r w:rsidR="0024626A">
        <w:rPr>
          <w:rFonts w:ascii="Times New Roman" w:hAnsi="Times New Roman" w:cs="Times New Roman"/>
          <w:sz w:val="24"/>
          <w:szCs w:val="24"/>
        </w:rPr>
        <w:t>1.</w:t>
      </w:r>
      <w:r w:rsidR="001151CF">
        <w:rPr>
          <w:rFonts w:ascii="Times New Roman" w:hAnsi="Times New Roman" w:cs="Times New Roman"/>
          <w:sz w:val="24"/>
          <w:szCs w:val="24"/>
        </w:rPr>
        <w:tab/>
      </w:r>
      <w:r w:rsidR="0024626A">
        <w:rPr>
          <w:rFonts w:ascii="Times New Roman" w:hAnsi="Times New Roman" w:cs="Times New Roman"/>
          <w:sz w:val="24"/>
          <w:szCs w:val="24"/>
        </w:rPr>
        <w:t>Jaminan Materiil (Kebendaan) dan</w:t>
      </w:r>
    </w:p>
    <w:p w:rsidR="0024626A" w:rsidRDefault="00811618" w:rsidP="00477928">
      <w:pPr>
        <w:pStyle w:val="ListParagraph"/>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b/>
      </w:r>
      <w:r w:rsidR="001151CF">
        <w:rPr>
          <w:rFonts w:ascii="Times New Roman" w:hAnsi="Times New Roman" w:cs="Times New Roman"/>
          <w:sz w:val="24"/>
          <w:szCs w:val="24"/>
        </w:rPr>
        <w:t>2.</w:t>
      </w:r>
      <w:r w:rsidR="001151CF">
        <w:rPr>
          <w:rFonts w:ascii="Times New Roman" w:hAnsi="Times New Roman" w:cs="Times New Roman"/>
          <w:sz w:val="24"/>
          <w:szCs w:val="24"/>
        </w:rPr>
        <w:tab/>
      </w:r>
      <w:r w:rsidR="0024626A">
        <w:rPr>
          <w:rFonts w:ascii="Times New Roman" w:hAnsi="Times New Roman" w:cs="Times New Roman"/>
          <w:sz w:val="24"/>
          <w:szCs w:val="24"/>
        </w:rPr>
        <w:t>Jaminan Inmateriil (Perorangan)</w:t>
      </w:r>
    </w:p>
    <w:p w:rsidR="0024626A" w:rsidRPr="0024626A" w:rsidRDefault="0024626A" w:rsidP="0037292E">
      <w:pPr>
        <w:pStyle w:val="BodyText"/>
        <w:tabs>
          <w:tab w:val="left" w:pos="709"/>
        </w:tabs>
        <w:spacing w:line="480" w:lineRule="auto"/>
        <w:ind w:left="709" w:right="-5" w:firstLine="567"/>
        <w:jc w:val="both"/>
      </w:pPr>
      <w:r>
        <w:t>Jaminan materiil (kebendaan) adalah jaminan yang berupa hak mutlak atas suatu benda yang mempunyai ciri-ciri dan mempunyai hubungan langsung atas benda tertentu, dapat dipertahankan terhadap siapapun, selalu mengikuti bendanya dan dapat dialihkan. Jaminan inmateriil (perorangan) adalah jaminan yang menimbulkan hubungan langsung pada perorangan tertentu, hanya dapat dipertahankan terhadap harta kekayaan debitur pada umumnya.</w:t>
      </w:r>
      <w:r w:rsidR="00FE3D08">
        <w:rPr>
          <w:rStyle w:val="FootnoteReference"/>
        </w:rPr>
        <w:footnoteReference w:id="3"/>
      </w:r>
      <w:r>
        <w:t xml:space="preserve"> </w:t>
      </w:r>
    </w:p>
    <w:p w:rsidR="005E68CF" w:rsidRDefault="005E68CF" w:rsidP="0037292E">
      <w:pPr>
        <w:tabs>
          <w:tab w:val="left" w:pos="709"/>
        </w:tabs>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Pada umumnya jenis – jenis lembaga jaminan sebagaimana dikenal dalam Tata Hukum Indonesia dapat digolong – golongkan menurut cara terjadinya, menurut </w:t>
      </w:r>
      <w:r w:rsidR="00F62D83">
        <w:rPr>
          <w:rFonts w:ascii="Times New Roman" w:hAnsi="Times New Roman" w:cs="Times New Roman"/>
          <w:sz w:val="24"/>
        </w:rPr>
        <w:t>sifatnya, menurut objeknya, menu</w:t>
      </w:r>
      <w:r>
        <w:rPr>
          <w:rFonts w:ascii="Times New Roman" w:hAnsi="Times New Roman" w:cs="Times New Roman"/>
          <w:sz w:val="24"/>
        </w:rPr>
        <w:t>rut kesewenang menguasainya dan lain  lain seb</w:t>
      </w:r>
      <w:r w:rsidR="00293070">
        <w:rPr>
          <w:rFonts w:ascii="Times New Roman" w:hAnsi="Times New Roman" w:cs="Times New Roman"/>
          <w:sz w:val="24"/>
        </w:rPr>
        <w:t>a</w:t>
      </w:r>
      <w:r>
        <w:rPr>
          <w:rFonts w:ascii="Times New Roman" w:hAnsi="Times New Roman" w:cs="Times New Roman"/>
          <w:sz w:val="24"/>
        </w:rPr>
        <w:t>gai berikut</w:t>
      </w:r>
      <w:r>
        <w:rPr>
          <w:rStyle w:val="FootnoteReference"/>
          <w:rFonts w:ascii="Times New Roman" w:hAnsi="Times New Roman" w:cs="Times New Roman"/>
          <w:sz w:val="24"/>
        </w:rPr>
        <w:footnoteReference w:id="4"/>
      </w:r>
    </w:p>
    <w:p w:rsidR="00AD14D0" w:rsidRDefault="00AD14D0" w:rsidP="0037292E">
      <w:pPr>
        <w:tabs>
          <w:tab w:val="left" w:pos="709"/>
        </w:tabs>
        <w:spacing w:after="0" w:line="480" w:lineRule="auto"/>
        <w:ind w:left="709" w:firstLine="567"/>
        <w:jc w:val="both"/>
        <w:rPr>
          <w:rFonts w:ascii="Times New Roman" w:hAnsi="Times New Roman" w:cs="Times New Roman"/>
          <w:sz w:val="24"/>
        </w:rPr>
      </w:pPr>
    </w:p>
    <w:p w:rsidR="00340109" w:rsidRPr="00D117E5" w:rsidRDefault="00340109" w:rsidP="001D6096">
      <w:pPr>
        <w:pStyle w:val="ListParagraph"/>
        <w:numPr>
          <w:ilvl w:val="0"/>
          <w:numId w:val="14"/>
        </w:numPr>
        <w:spacing w:after="0" w:line="480" w:lineRule="auto"/>
        <w:ind w:left="993" w:hanging="284"/>
        <w:jc w:val="both"/>
        <w:rPr>
          <w:rFonts w:ascii="Times New Roman" w:hAnsi="Times New Roman" w:cs="Times New Roman"/>
          <w:sz w:val="24"/>
        </w:rPr>
      </w:pPr>
      <w:r w:rsidRPr="00D117E5">
        <w:rPr>
          <w:rFonts w:ascii="Times New Roman" w:hAnsi="Times New Roman" w:cs="Times New Roman"/>
          <w:sz w:val="24"/>
        </w:rPr>
        <w:lastRenderedPageBreak/>
        <w:t>Jaminan yang lahir karena ditentukan oleh Undang-Undang dan jaminan yang lahir karena perjanjian</w:t>
      </w:r>
    </w:p>
    <w:p w:rsidR="00340109" w:rsidRDefault="00AD14D0" w:rsidP="00AD14D0">
      <w:pPr>
        <w:pStyle w:val="ListParagraph"/>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1. </w:t>
      </w:r>
      <w:r w:rsidR="00340109">
        <w:rPr>
          <w:rFonts w:ascii="Times New Roman" w:hAnsi="Times New Roman" w:cs="Times New Roman"/>
          <w:sz w:val="24"/>
        </w:rPr>
        <w:t>Jaminan yang dite</w:t>
      </w:r>
      <w:r w:rsidR="001376EE">
        <w:rPr>
          <w:rFonts w:ascii="Times New Roman" w:hAnsi="Times New Roman" w:cs="Times New Roman"/>
          <w:sz w:val="24"/>
        </w:rPr>
        <w:t xml:space="preserve">ntukanoleh Undang-Undang ialah </w:t>
      </w:r>
      <w:r w:rsidR="00340109">
        <w:rPr>
          <w:rFonts w:ascii="Times New Roman" w:hAnsi="Times New Roman" w:cs="Times New Roman"/>
          <w:sz w:val="24"/>
        </w:rPr>
        <w:t>jaminan yang adanya ditunjuk oleh Undang-Undang tanpa adanya perjanjian dari para pihak yaitu misalnya adanya ketentuan Undang-Undang yang menentukan bahwa semua harta benda debitur baik benda bergerak maupun benda tetap, baik benda-benda yang sudah ada maupun yang masih akan ada menjadi jaminan bagi seluruh perutanganya. Hal ini bisa dilihat dalam Pasal 1131 KUHPerdata.</w:t>
      </w:r>
    </w:p>
    <w:p w:rsidR="00F62D83" w:rsidRPr="00AD14D0" w:rsidRDefault="00AD14D0" w:rsidP="00AD14D0">
      <w:pPr>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2. </w:t>
      </w:r>
      <w:r w:rsidR="00CC3E3C" w:rsidRPr="00AD14D0">
        <w:rPr>
          <w:rFonts w:ascii="Times New Roman" w:hAnsi="Times New Roman" w:cs="Times New Roman"/>
          <w:sz w:val="24"/>
        </w:rPr>
        <w:t>Jaminan yang lahir karena perjanjian yaitu jaminan yang adanya harus diperjanjikan terlebih dahulu antara para pihak</w:t>
      </w:r>
      <w:r w:rsidR="001376EE" w:rsidRPr="00AD14D0">
        <w:rPr>
          <w:rFonts w:ascii="Times New Roman" w:hAnsi="Times New Roman" w:cs="Times New Roman"/>
          <w:sz w:val="24"/>
        </w:rPr>
        <w:t xml:space="preserve"> (perjanjian </w:t>
      </w:r>
      <w:r w:rsidR="001376EE" w:rsidRPr="00AD14D0">
        <w:rPr>
          <w:rFonts w:ascii="Times New Roman" w:hAnsi="Times New Roman" w:cs="Times New Roman"/>
        </w:rPr>
        <w:t>accesoir)</w:t>
      </w:r>
      <w:r w:rsidR="00CC3E3C" w:rsidRPr="00AD14D0">
        <w:rPr>
          <w:rFonts w:ascii="Times New Roman" w:hAnsi="Times New Roman" w:cs="Times New Roman"/>
          <w:sz w:val="24"/>
        </w:rPr>
        <w:t>. Tergolong jen</w:t>
      </w:r>
      <w:r w:rsidR="00BB5433" w:rsidRPr="00AD14D0">
        <w:rPr>
          <w:rFonts w:ascii="Times New Roman" w:hAnsi="Times New Roman" w:cs="Times New Roman"/>
          <w:sz w:val="24"/>
        </w:rPr>
        <w:t>is ini ialah</w:t>
      </w:r>
    </w:p>
    <w:p w:rsidR="007A2D04" w:rsidRPr="007A2D04" w:rsidRDefault="007A2D04" w:rsidP="001D6096">
      <w:pPr>
        <w:pStyle w:val="ListParagraph"/>
        <w:widowControl w:val="0"/>
        <w:numPr>
          <w:ilvl w:val="0"/>
          <w:numId w:val="20"/>
        </w:numPr>
        <w:autoSpaceDE w:val="0"/>
        <w:autoSpaceDN w:val="0"/>
        <w:spacing w:after="0" w:line="480" w:lineRule="auto"/>
        <w:ind w:left="1560" w:hanging="284"/>
        <w:contextualSpacing w:val="0"/>
        <w:jc w:val="both"/>
        <w:rPr>
          <w:rFonts w:ascii="Times New Roman" w:hAnsi="Times New Roman" w:cs="Times New Roman"/>
          <w:sz w:val="24"/>
          <w:szCs w:val="24"/>
        </w:rPr>
      </w:pPr>
      <w:r w:rsidRPr="00FE3D08">
        <w:rPr>
          <w:rFonts w:ascii="Times New Roman" w:hAnsi="Times New Roman" w:cs="Times New Roman"/>
          <w:sz w:val="24"/>
          <w:szCs w:val="24"/>
        </w:rPr>
        <w:t>Fidusia, sebagaimana yang diatur di dalam UU Nomor 42 Tahun</w:t>
      </w:r>
      <w:r w:rsidRPr="00FE3D08">
        <w:rPr>
          <w:rFonts w:ascii="Times New Roman" w:hAnsi="Times New Roman" w:cs="Times New Roman"/>
          <w:spacing w:val="-1"/>
          <w:sz w:val="24"/>
          <w:szCs w:val="24"/>
        </w:rPr>
        <w:t xml:space="preserve"> </w:t>
      </w:r>
      <w:r>
        <w:rPr>
          <w:rFonts w:ascii="Times New Roman" w:hAnsi="Times New Roman" w:cs="Times New Roman"/>
          <w:sz w:val="24"/>
          <w:szCs w:val="24"/>
        </w:rPr>
        <w:t>1999</w:t>
      </w:r>
    </w:p>
    <w:p w:rsidR="00F62D83" w:rsidRPr="00FE3D08" w:rsidRDefault="00AD14D0" w:rsidP="001D6096">
      <w:pPr>
        <w:pStyle w:val="ListParagraph"/>
        <w:widowControl w:val="0"/>
        <w:numPr>
          <w:ilvl w:val="0"/>
          <w:numId w:val="20"/>
        </w:numPr>
        <w:tabs>
          <w:tab w:val="left" w:pos="1418"/>
        </w:tabs>
        <w:autoSpaceDE w:val="0"/>
        <w:autoSpaceDN w:val="0"/>
        <w:spacing w:after="0" w:line="480" w:lineRule="auto"/>
        <w:ind w:left="1560" w:hanging="284"/>
        <w:contextualSpacing w:val="0"/>
        <w:jc w:val="both"/>
        <w:rPr>
          <w:rFonts w:ascii="Times New Roman" w:hAnsi="Times New Roman" w:cs="Times New Roman"/>
          <w:sz w:val="24"/>
          <w:szCs w:val="24"/>
        </w:rPr>
      </w:pPr>
      <w:r>
        <w:rPr>
          <w:rFonts w:ascii="Times New Roman" w:hAnsi="Times New Roman" w:cs="Times New Roman"/>
          <w:sz w:val="24"/>
          <w:szCs w:val="24"/>
        </w:rPr>
        <w:tab/>
      </w:r>
      <w:r w:rsidR="00CC3E3C" w:rsidRPr="00FE3D08">
        <w:rPr>
          <w:rFonts w:ascii="Times New Roman" w:hAnsi="Times New Roman" w:cs="Times New Roman"/>
          <w:sz w:val="24"/>
          <w:szCs w:val="24"/>
        </w:rPr>
        <w:t>Gadai</w:t>
      </w:r>
      <w:r w:rsidR="00F62D83" w:rsidRPr="00FE3D08">
        <w:rPr>
          <w:rFonts w:ascii="Times New Roman" w:hAnsi="Times New Roman" w:cs="Times New Roman"/>
          <w:sz w:val="24"/>
          <w:szCs w:val="24"/>
        </w:rPr>
        <w:t xml:space="preserve"> (pand)</w:t>
      </w:r>
      <w:r w:rsidR="007A2D04">
        <w:rPr>
          <w:rFonts w:ascii="Times New Roman" w:hAnsi="Times New Roman" w:cs="Times New Roman"/>
          <w:sz w:val="24"/>
          <w:szCs w:val="24"/>
        </w:rPr>
        <w:t>,</w:t>
      </w:r>
      <w:r w:rsidR="00B244F4" w:rsidRPr="00FE3D08">
        <w:rPr>
          <w:rFonts w:ascii="Times New Roman" w:hAnsi="Times New Roman" w:cs="Times New Roman"/>
          <w:sz w:val="24"/>
          <w:szCs w:val="24"/>
        </w:rPr>
        <w:t xml:space="preserve"> yang diatur di dalam Bab 20 Buku II KUH</w:t>
      </w:r>
      <w:r w:rsidR="00B244F4" w:rsidRPr="00FE3D08">
        <w:rPr>
          <w:rFonts w:ascii="Times New Roman" w:hAnsi="Times New Roman" w:cs="Times New Roman"/>
          <w:spacing w:val="-4"/>
          <w:sz w:val="24"/>
          <w:szCs w:val="24"/>
        </w:rPr>
        <w:t xml:space="preserve"> </w:t>
      </w:r>
      <w:r w:rsidR="007A2D04">
        <w:rPr>
          <w:rFonts w:ascii="Times New Roman" w:hAnsi="Times New Roman" w:cs="Times New Roman"/>
          <w:sz w:val="24"/>
          <w:szCs w:val="24"/>
        </w:rPr>
        <w:t>Perdata</w:t>
      </w:r>
    </w:p>
    <w:p w:rsidR="005741F8" w:rsidRPr="00FE3D08" w:rsidRDefault="005741F8" w:rsidP="001D6096">
      <w:pPr>
        <w:pStyle w:val="ListParagraph"/>
        <w:numPr>
          <w:ilvl w:val="0"/>
          <w:numId w:val="20"/>
        </w:numPr>
        <w:spacing w:line="480" w:lineRule="auto"/>
        <w:ind w:left="1560" w:hanging="284"/>
        <w:rPr>
          <w:rFonts w:ascii="Times New Roman" w:hAnsi="Times New Roman" w:cs="Times New Roman"/>
          <w:sz w:val="24"/>
          <w:szCs w:val="24"/>
        </w:rPr>
      </w:pPr>
      <w:r w:rsidRPr="00FE3D08">
        <w:rPr>
          <w:rFonts w:ascii="Times New Roman" w:hAnsi="Times New Roman" w:cs="Times New Roman"/>
          <w:sz w:val="24"/>
          <w:szCs w:val="24"/>
        </w:rPr>
        <w:t>Hipotek</w:t>
      </w:r>
      <w:r w:rsidR="007A2D04">
        <w:rPr>
          <w:rFonts w:ascii="Times New Roman" w:hAnsi="Times New Roman" w:cs="Times New Roman"/>
          <w:sz w:val="24"/>
          <w:szCs w:val="24"/>
        </w:rPr>
        <w:t>,</w:t>
      </w:r>
      <w:r w:rsidRPr="00FE3D08">
        <w:rPr>
          <w:rFonts w:ascii="Times New Roman" w:hAnsi="Times New Roman" w:cs="Times New Roman"/>
          <w:sz w:val="24"/>
          <w:szCs w:val="24"/>
        </w:rPr>
        <w:t xml:space="preserve"> yang diatur dalam Bab 21 Buku II KUH</w:t>
      </w:r>
      <w:r w:rsidRPr="00FE3D08">
        <w:rPr>
          <w:rFonts w:ascii="Times New Roman" w:hAnsi="Times New Roman" w:cs="Times New Roman"/>
          <w:spacing w:val="-3"/>
          <w:sz w:val="24"/>
          <w:szCs w:val="24"/>
        </w:rPr>
        <w:t xml:space="preserve"> </w:t>
      </w:r>
      <w:r w:rsidRPr="00FE3D08">
        <w:rPr>
          <w:rFonts w:ascii="Times New Roman" w:hAnsi="Times New Roman" w:cs="Times New Roman"/>
          <w:sz w:val="24"/>
          <w:szCs w:val="24"/>
        </w:rPr>
        <w:t>Perdata</w:t>
      </w:r>
    </w:p>
    <w:p w:rsidR="00F62D83" w:rsidRPr="00FE3D08" w:rsidRDefault="00CC3E3C" w:rsidP="001D6096">
      <w:pPr>
        <w:pStyle w:val="ListParagraph"/>
        <w:numPr>
          <w:ilvl w:val="0"/>
          <w:numId w:val="20"/>
        </w:numPr>
        <w:spacing w:after="0" w:line="480" w:lineRule="auto"/>
        <w:ind w:left="1560" w:hanging="284"/>
        <w:jc w:val="both"/>
        <w:rPr>
          <w:rFonts w:ascii="Times New Roman" w:hAnsi="Times New Roman" w:cs="Times New Roman"/>
          <w:sz w:val="24"/>
          <w:szCs w:val="24"/>
        </w:rPr>
      </w:pPr>
      <w:r w:rsidRPr="00FE3D08">
        <w:rPr>
          <w:rFonts w:ascii="Times New Roman" w:hAnsi="Times New Roman" w:cs="Times New Roman"/>
          <w:sz w:val="24"/>
          <w:szCs w:val="24"/>
        </w:rPr>
        <w:t>Penanggungan (borgtoch)</w:t>
      </w:r>
    </w:p>
    <w:p w:rsidR="00F62D83" w:rsidRPr="00FE3D08" w:rsidRDefault="00CC3E3C" w:rsidP="001D6096">
      <w:pPr>
        <w:pStyle w:val="ListParagraph"/>
        <w:numPr>
          <w:ilvl w:val="0"/>
          <w:numId w:val="20"/>
        </w:numPr>
        <w:spacing w:after="0" w:line="480" w:lineRule="auto"/>
        <w:ind w:left="1560" w:hanging="284"/>
        <w:jc w:val="both"/>
        <w:rPr>
          <w:rFonts w:ascii="Times New Roman" w:hAnsi="Times New Roman" w:cs="Times New Roman"/>
          <w:sz w:val="24"/>
          <w:szCs w:val="24"/>
        </w:rPr>
      </w:pPr>
      <w:r w:rsidRPr="00FE3D08">
        <w:rPr>
          <w:rFonts w:ascii="Times New Roman" w:hAnsi="Times New Roman" w:cs="Times New Roman"/>
          <w:sz w:val="24"/>
          <w:szCs w:val="24"/>
        </w:rPr>
        <w:t xml:space="preserve">Perjanjian garansi, </w:t>
      </w:r>
    </w:p>
    <w:p w:rsidR="00340109" w:rsidRPr="00FE3D08" w:rsidRDefault="00F62D83" w:rsidP="001D6096">
      <w:pPr>
        <w:pStyle w:val="ListParagraph"/>
        <w:numPr>
          <w:ilvl w:val="0"/>
          <w:numId w:val="20"/>
        </w:numPr>
        <w:spacing w:after="0" w:line="480" w:lineRule="auto"/>
        <w:ind w:left="1560" w:hanging="284"/>
        <w:jc w:val="both"/>
        <w:rPr>
          <w:rFonts w:ascii="Times New Roman" w:hAnsi="Times New Roman" w:cs="Times New Roman"/>
          <w:sz w:val="24"/>
          <w:szCs w:val="24"/>
        </w:rPr>
      </w:pPr>
      <w:r w:rsidRPr="00FE3D08">
        <w:rPr>
          <w:rFonts w:ascii="Times New Roman" w:hAnsi="Times New Roman" w:cs="Times New Roman"/>
          <w:sz w:val="24"/>
          <w:szCs w:val="24"/>
        </w:rPr>
        <w:t>P</w:t>
      </w:r>
      <w:r w:rsidR="00CC3E3C" w:rsidRPr="00FE3D08">
        <w:rPr>
          <w:rFonts w:ascii="Times New Roman" w:hAnsi="Times New Roman" w:cs="Times New Roman"/>
          <w:sz w:val="24"/>
          <w:szCs w:val="24"/>
        </w:rPr>
        <w:t>erutangan tanggung-menanggung,dll.</w:t>
      </w:r>
    </w:p>
    <w:p w:rsidR="00CC3E3C" w:rsidRPr="00D117E5" w:rsidRDefault="00CC3E3C" w:rsidP="001D6096">
      <w:pPr>
        <w:pStyle w:val="ListParagraph"/>
        <w:numPr>
          <w:ilvl w:val="0"/>
          <w:numId w:val="14"/>
        </w:numPr>
        <w:spacing w:after="0" w:line="480" w:lineRule="auto"/>
        <w:ind w:left="993" w:hanging="284"/>
        <w:jc w:val="both"/>
        <w:rPr>
          <w:rFonts w:ascii="Times New Roman" w:hAnsi="Times New Roman" w:cs="Times New Roman"/>
          <w:sz w:val="24"/>
        </w:rPr>
      </w:pPr>
      <w:r w:rsidRPr="00D117E5">
        <w:rPr>
          <w:rFonts w:ascii="Times New Roman" w:hAnsi="Times New Roman" w:cs="Times New Roman"/>
          <w:sz w:val="24"/>
        </w:rPr>
        <w:t>Jaminan yang tergolong jaminan umum dan jaminan khusus</w:t>
      </w:r>
    </w:p>
    <w:p w:rsidR="00CC3E3C" w:rsidRDefault="00C17FC8" w:rsidP="001D6096">
      <w:pPr>
        <w:pStyle w:val="ListParagraph"/>
        <w:numPr>
          <w:ilvl w:val="0"/>
          <w:numId w:val="9"/>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 xml:space="preserve">Jaminan umum timbulnya dari Udang-Undang tanpa adanya perjanjian yang diadakan oleh para pihak terlebih dahulu, para kreditur konkuren semuanya bersama-sama memperoleh jaminan </w:t>
      </w:r>
      <w:r>
        <w:rPr>
          <w:rFonts w:ascii="Times New Roman" w:hAnsi="Times New Roman" w:cs="Times New Roman"/>
          <w:sz w:val="24"/>
        </w:rPr>
        <w:lastRenderedPageBreak/>
        <w:t>umum yang diberikan oleh Undang-Undang (Pasal 1131 dan 1132 KUHPerdata). Demi kepentingan kreditur yang mengadakan perutangan, Undang-Undang memberikan jamina yang tertuju terhadap semua kreditur dan mengenai semua harta benda debitur.</w:t>
      </w:r>
    </w:p>
    <w:p w:rsidR="0079486A" w:rsidRDefault="00C17FC8" w:rsidP="001D6096">
      <w:pPr>
        <w:pStyle w:val="ListParagraph"/>
        <w:numPr>
          <w:ilvl w:val="0"/>
          <w:numId w:val="9"/>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Jaminan khusus, timbulnnya karena adanya perjanjian yang khusus diadakan antara kreditur dan debitur yang dapat berupa jaminan yang bersifat kebendaan, maupun jaminan yang bersifat perorangan.</w:t>
      </w:r>
    </w:p>
    <w:p w:rsidR="0079486A" w:rsidRDefault="00A6382B" w:rsidP="001D6096">
      <w:pPr>
        <w:pStyle w:val="ListParagraph"/>
        <w:numPr>
          <w:ilvl w:val="0"/>
          <w:numId w:val="14"/>
        </w:numPr>
        <w:spacing w:after="0" w:line="480" w:lineRule="auto"/>
        <w:ind w:left="993" w:hanging="284"/>
        <w:jc w:val="both"/>
        <w:rPr>
          <w:rFonts w:ascii="Times New Roman" w:hAnsi="Times New Roman" w:cs="Times New Roman"/>
          <w:sz w:val="24"/>
        </w:rPr>
      </w:pPr>
      <w:r w:rsidRPr="0079486A">
        <w:rPr>
          <w:rFonts w:ascii="Times New Roman" w:hAnsi="Times New Roman" w:cs="Times New Roman"/>
          <w:sz w:val="24"/>
        </w:rPr>
        <w:t>Jaminan yang mempunyai objek benda be</w:t>
      </w:r>
      <w:r w:rsidR="009C622B">
        <w:rPr>
          <w:rFonts w:ascii="Times New Roman" w:hAnsi="Times New Roman" w:cs="Times New Roman"/>
          <w:sz w:val="24"/>
        </w:rPr>
        <w:t>r</w:t>
      </w:r>
      <w:r w:rsidRPr="0079486A">
        <w:rPr>
          <w:rFonts w:ascii="Times New Roman" w:hAnsi="Times New Roman" w:cs="Times New Roman"/>
          <w:sz w:val="24"/>
        </w:rPr>
        <w:t xml:space="preserve">gerak dan jaminan atas benda </w:t>
      </w:r>
      <w:r w:rsidR="0079486A">
        <w:rPr>
          <w:rFonts w:ascii="Times New Roman" w:hAnsi="Times New Roman" w:cs="Times New Roman"/>
          <w:sz w:val="24"/>
        </w:rPr>
        <w:t>tidak bergerak.</w:t>
      </w:r>
    </w:p>
    <w:p w:rsidR="0079486A" w:rsidRDefault="00A6382B" w:rsidP="001D6096">
      <w:pPr>
        <w:pStyle w:val="ListParagraph"/>
        <w:numPr>
          <w:ilvl w:val="0"/>
          <w:numId w:val="15"/>
        </w:numPr>
        <w:spacing w:after="0" w:line="480" w:lineRule="auto"/>
        <w:ind w:left="1276" w:hanging="283"/>
        <w:jc w:val="both"/>
        <w:rPr>
          <w:rFonts w:ascii="Times New Roman" w:hAnsi="Times New Roman" w:cs="Times New Roman"/>
          <w:sz w:val="24"/>
        </w:rPr>
      </w:pPr>
      <w:r w:rsidRPr="0079486A">
        <w:rPr>
          <w:rFonts w:ascii="Times New Roman" w:hAnsi="Times New Roman" w:cs="Times New Roman"/>
          <w:sz w:val="24"/>
        </w:rPr>
        <w:t>Jaminan atas benda bergeerak dapat dipasang lembaga jaminan yang berbentuk gadai atau fidusia</w:t>
      </w:r>
      <w:r w:rsidR="0079486A">
        <w:rPr>
          <w:rFonts w:ascii="Times New Roman" w:hAnsi="Times New Roman" w:cs="Times New Roman"/>
          <w:sz w:val="24"/>
        </w:rPr>
        <w:t>.</w:t>
      </w:r>
    </w:p>
    <w:p w:rsidR="00A6382B" w:rsidRPr="0079486A" w:rsidRDefault="00303516" w:rsidP="001D6096">
      <w:pPr>
        <w:pStyle w:val="ListParagraph"/>
        <w:numPr>
          <w:ilvl w:val="0"/>
          <w:numId w:val="15"/>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J</w:t>
      </w:r>
      <w:r w:rsidR="00A6382B" w:rsidRPr="0079486A">
        <w:rPr>
          <w:rFonts w:ascii="Times New Roman" w:hAnsi="Times New Roman" w:cs="Times New Roman"/>
          <w:sz w:val="24"/>
        </w:rPr>
        <w:t>am</w:t>
      </w:r>
      <w:r w:rsidR="0079486A">
        <w:rPr>
          <w:rFonts w:ascii="Times New Roman" w:hAnsi="Times New Roman" w:cs="Times New Roman"/>
          <w:sz w:val="24"/>
        </w:rPr>
        <w:t>i</w:t>
      </w:r>
      <w:r w:rsidR="00F83DE8">
        <w:rPr>
          <w:rFonts w:ascii="Times New Roman" w:hAnsi="Times New Roman" w:cs="Times New Roman"/>
          <w:sz w:val="24"/>
        </w:rPr>
        <w:t>nan atas benda tidak</w:t>
      </w:r>
      <w:r w:rsidR="00A6382B" w:rsidRPr="0079486A">
        <w:rPr>
          <w:rFonts w:ascii="Times New Roman" w:hAnsi="Times New Roman" w:cs="Times New Roman"/>
          <w:sz w:val="24"/>
        </w:rPr>
        <w:t xml:space="preserve"> bergerak (benda tetap), maka sebagai lembaga jaminan dapa dipasang hipotik atau credietverband</w:t>
      </w:r>
    </w:p>
    <w:p w:rsidR="00A6382B" w:rsidRDefault="00E44171" w:rsidP="00AD14D0">
      <w:pPr>
        <w:spacing w:after="0" w:line="480" w:lineRule="auto"/>
        <w:ind w:left="993" w:hanging="284"/>
        <w:jc w:val="both"/>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ab/>
      </w:r>
      <w:r w:rsidR="00A6382B">
        <w:rPr>
          <w:rFonts w:ascii="Times New Roman" w:hAnsi="Times New Roman" w:cs="Times New Roman"/>
          <w:sz w:val="24"/>
        </w:rPr>
        <w:t>Jaminan yang menguasai bendanya dan jaminan tanpa menguasai bendanya</w:t>
      </w:r>
    </w:p>
    <w:p w:rsidR="00A6382B" w:rsidRDefault="00A6382B" w:rsidP="001D6096">
      <w:pPr>
        <w:pStyle w:val="ListParagraph"/>
        <w:numPr>
          <w:ilvl w:val="0"/>
          <w:numId w:val="10"/>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Jaminan yang diberikan den</w:t>
      </w:r>
      <w:r w:rsidR="005E1DDF">
        <w:rPr>
          <w:rFonts w:ascii="Times New Roman" w:hAnsi="Times New Roman" w:cs="Times New Roman"/>
          <w:sz w:val="24"/>
        </w:rPr>
        <w:t>gan men</w:t>
      </w:r>
      <w:r>
        <w:rPr>
          <w:rFonts w:ascii="Times New Roman" w:hAnsi="Times New Roman" w:cs="Times New Roman"/>
          <w:sz w:val="24"/>
        </w:rPr>
        <w:t>guasai bendanya misalnya pada gadai (pand,</w:t>
      </w:r>
      <w:r w:rsidR="001376EE">
        <w:rPr>
          <w:rFonts w:ascii="Times New Roman" w:hAnsi="Times New Roman" w:cs="Times New Roman"/>
          <w:sz w:val="24"/>
        </w:rPr>
        <w:t xml:space="preserve"> </w:t>
      </w:r>
      <w:r>
        <w:rPr>
          <w:rFonts w:ascii="Times New Roman" w:hAnsi="Times New Roman" w:cs="Times New Roman"/>
          <w:sz w:val="24"/>
        </w:rPr>
        <w:t>pledge</w:t>
      </w:r>
      <w:r w:rsidR="001376EE">
        <w:rPr>
          <w:rFonts w:ascii="Times New Roman" w:hAnsi="Times New Roman" w:cs="Times New Roman"/>
          <w:sz w:val="24"/>
        </w:rPr>
        <w:t>)</w:t>
      </w:r>
    </w:p>
    <w:p w:rsidR="00E64A10" w:rsidRDefault="005E1DDF" w:rsidP="001D6096">
      <w:pPr>
        <w:pStyle w:val="ListParagraph"/>
        <w:numPr>
          <w:ilvl w:val="0"/>
          <w:numId w:val="10"/>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Jaminan yang diberikan tanpa m</w:t>
      </w:r>
      <w:r w:rsidR="009C622B">
        <w:rPr>
          <w:rFonts w:ascii="Times New Roman" w:hAnsi="Times New Roman" w:cs="Times New Roman"/>
          <w:sz w:val="24"/>
        </w:rPr>
        <w:t>engusai bendanya misalnya pada Hipotik(mortgage), C</w:t>
      </w:r>
      <w:r>
        <w:rPr>
          <w:rFonts w:ascii="Times New Roman" w:hAnsi="Times New Roman" w:cs="Times New Roman"/>
          <w:sz w:val="24"/>
        </w:rPr>
        <w:t>redietv</w:t>
      </w:r>
      <w:r w:rsidR="009C622B">
        <w:rPr>
          <w:rFonts w:ascii="Times New Roman" w:hAnsi="Times New Roman" w:cs="Times New Roman"/>
          <w:sz w:val="24"/>
        </w:rPr>
        <w:t>erband (ikatan kredit), Fidusia.</w:t>
      </w:r>
    </w:p>
    <w:p w:rsidR="00E64A10" w:rsidRDefault="00E64A10" w:rsidP="00E64A10">
      <w:pPr>
        <w:spacing w:after="0" w:line="480" w:lineRule="auto"/>
        <w:jc w:val="both"/>
        <w:rPr>
          <w:rFonts w:ascii="Times New Roman" w:hAnsi="Times New Roman" w:cs="Times New Roman"/>
          <w:sz w:val="24"/>
        </w:rPr>
      </w:pPr>
    </w:p>
    <w:p w:rsidR="00E64A10" w:rsidRDefault="00E64A10" w:rsidP="00E64A10">
      <w:pPr>
        <w:spacing w:after="0" w:line="480" w:lineRule="auto"/>
        <w:jc w:val="both"/>
        <w:rPr>
          <w:rFonts w:ascii="Times New Roman" w:hAnsi="Times New Roman" w:cs="Times New Roman"/>
          <w:sz w:val="24"/>
        </w:rPr>
      </w:pPr>
    </w:p>
    <w:p w:rsidR="00E64A10" w:rsidRDefault="00E64A10" w:rsidP="00E64A10">
      <w:pPr>
        <w:spacing w:after="0" w:line="480" w:lineRule="auto"/>
        <w:jc w:val="both"/>
        <w:rPr>
          <w:rFonts w:ascii="Times New Roman" w:hAnsi="Times New Roman" w:cs="Times New Roman"/>
          <w:sz w:val="24"/>
        </w:rPr>
      </w:pPr>
    </w:p>
    <w:p w:rsidR="00E64A10" w:rsidRPr="00E64A10" w:rsidRDefault="00E64A10" w:rsidP="00E64A10">
      <w:pPr>
        <w:spacing w:after="0" w:line="480" w:lineRule="auto"/>
        <w:jc w:val="both"/>
        <w:rPr>
          <w:rFonts w:ascii="Times New Roman" w:hAnsi="Times New Roman" w:cs="Times New Roman"/>
          <w:sz w:val="24"/>
        </w:rPr>
      </w:pPr>
    </w:p>
    <w:p w:rsidR="00B52AE2" w:rsidRDefault="00015FEB" w:rsidP="00AD14D0">
      <w:pPr>
        <w:spacing w:after="0" w:line="480" w:lineRule="auto"/>
        <w:ind w:left="709" w:hanging="283"/>
        <w:jc w:val="both"/>
        <w:rPr>
          <w:rFonts w:ascii="Times New Roman" w:hAnsi="Times New Roman" w:cs="Times New Roman"/>
          <w:sz w:val="24"/>
        </w:rPr>
      </w:pPr>
      <w:r>
        <w:rPr>
          <w:rFonts w:ascii="Times New Roman" w:hAnsi="Times New Roman" w:cs="Times New Roman"/>
          <w:sz w:val="24"/>
        </w:rPr>
        <w:lastRenderedPageBreak/>
        <w:t>3.</w:t>
      </w:r>
      <w:r>
        <w:rPr>
          <w:rFonts w:ascii="Times New Roman" w:hAnsi="Times New Roman" w:cs="Times New Roman"/>
          <w:sz w:val="24"/>
        </w:rPr>
        <w:tab/>
      </w:r>
      <w:r w:rsidR="00B52AE2">
        <w:rPr>
          <w:rFonts w:ascii="Times New Roman" w:hAnsi="Times New Roman" w:cs="Times New Roman"/>
          <w:sz w:val="24"/>
        </w:rPr>
        <w:t>Prinsip-Prinsip Hukum Jaminan</w:t>
      </w:r>
    </w:p>
    <w:p w:rsidR="005E1DDF" w:rsidRDefault="005E1DDF" w:rsidP="00015FEB">
      <w:pPr>
        <w:spacing w:after="0" w:line="480" w:lineRule="auto"/>
        <w:ind w:left="720" w:firstLine="556"/>
        <w:jc w:val="both"/>
        <w:rPr>
          <w:rFonts w:ascii="Times New Roman" w:hAnsi="Times New Roman" w:cs="Times New Roman"/>
          <w:sz w:val="24"/>
        </w:rPr>
      </w:pPr>
      <w:r>
        <w:rPr>
          <w:rFonts w:ascii="Times New Roman" w:hAnsi="Times New Roman" w:cs="Times New Roman"/>
          <w:sz w:val="24"/>
        </w:rPr>
        <w:t>Beberapa prinsip hukum jaminan sebagai mana yang diatur oleh ketentuan-ketentuan KUHPerdata adalah sebagai berikut.</w:t>
      </w:r>
      <w:r>
        <w:rPr>
          <w:rStyle w:val="FootnoteReference"/>
          <w:rFonts w:ascii="Times New Roman" w:hAnsi="Times New Roman" w:cs="Times New Roman"/>
          <w:sz w:val="24"/>
        </w:rPr>
        <w:footnoteReference w:id="5"/>
      </w:r>
    </w:p>
    <w:p w:rsidR="005E1DDF" w:rsidRDefault="005E1DDF" w:rsidP="001D6096">
      <w:pPr>
        <w:pStyle w:val="ListParagraph"/>
        <w:numPr>
          <w:ilvl w:val="0"/>
          <w:numId w:val="11"/>
        </w:numPr>
        <w:spacing w:after="0" w:line="480" w:lineRule="auto"/>
        <w:ind w:left="993" w:hanging="284"/>
        <w:jc w:val="both"/>
        <w:rPr>
          <w:rFonts w:ascii="Times New Roman" w:hAnsi="Times New Roman" w:cs="Times New Roman"/>
          <w:sz w:val="24"/>
        </w:rPr>
      </w:pPr>
      <w:r>
        <w:rPr>
          <w:rFonts w:ascii="Times New Roman" w:hAnsi="Times New Roman" w:cs="Times New Roman"/>
          <w:sz w:val="24"/>
        </w:rPr>
        <w:t xml:space="preserve">Kedudukan Harta Pihak Peminjam </w:t>
      </w:r>
    </w:p>
    <w:p w:rsidR="00C85030" w:rsidRDefault="00015FEB" w:rsidP="00015FEB">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ab/>
      </w:r>
      <w:r w:rsidR="005E1DDF">
        <w:rPr>
          <w:rFonts w:ascii="Times New Roman" w:hAnsi="Times New Roman" w:cs="Times New Roman"/>
          <w:sz w:val="24"/>
        </w:rPr>
        <w:t xml:space="preserve">Pasal 1131 KUHPerdata mengatur tentang kedudukan harta pihak peminjam yaitu bahwa harta pihak peminjam adalah sepenuhnya merupakan jaminan (tanggungan) </w:t>
      </w:r>
      <w:r w:rsidR="00D117E5">
        <w:rPr>
          <w:rFonts w:ascii="Times New Roman" w:hAnsi="Times New Roman" w:cs="Times New Roman"/>
          <w:sz w:val="24"/>
        </w:rPr>
        <w:t>atas utangya.</w:t>
      </w:r>
      <w:r>
        <w:rPr>
          <w:rFonts w:ascii="Times New Roman" w:hAnsi="Times New Roman" w:cs="Times New Roman"/>
          <w:sz w:val="24"/>
        </w:rPr>
        <w:t xml:space="preserve"> M</w:t>
      </w:r>
      <w:r w:rsidR="00D117E5">
        <w:rPr>
          <w:rFonts w:ascii="Times New Roman" w:hAnsi="Times New Roman" w:cs="Times New Roman"/>
          <w:sz w:val="24"/>
        </w:rPr>
        <w:t>emperhatikan Pasal 1131 KUHPerdata bila dikaitkan dengan suatu perjanjian peminjam uang, akan lebih baik ketentuan tersebut dimasukan sebagai klausal dalam perjanjian peminjaman uang, termasuk dalam perjanjian kredit.</w:t>
      </w:r>
    </w:p>
    <w:p w:rsidR="00D117E5" w:rsidRDefault="00D117E5" w:rsidP="001D6096">
      <w:pPr>
        <w:pStyle w:val="ListParagraph"/>
        <w:numPr>
          <w:ilvl w:val="0"/>
          <w:numId w:val="11"/>
        </w:numPr>
        <w:spacing w:after="0" w:line="480" w:lineRule="auto"/>
        <w:ind w:left="1134" w:hanging="284"/>
        <w:jc w:val="both"/>
        <w:rPr>
          <w:rFonts w:ascii="Times New Roman" w:hAnsi="Times New Roman" w:cs="Times New Roman"/>
          <w:sz w:val="24"/>
        </w:rPr>
      </w:pPr>
      <w:r>
        <w:rPr>
          <w:rFonts w:ascii="Times New Roman" w:hAnsi="Times New Roman" w:cs="Times New Roman"/>
          <w:sz w:val="24"/>
        </w:rPr>
        <w:t>Kedudukan Pihak Pemb</w:t>
      </w:r>
      <w:r w:rsidR="004E05E1">
        <w:rPr>
          <w:rFonts w:ascii="Times New Roman" w:hAnsi="Times New Roman" w:cs="Times New Roman"/>
          <w:sz w:val="24"/>
        </w:rPr>
        <w:t>e</w:t>
      </w:r>
      <w:r>
        <w:rPr>
          <w:rFonts w:ascii="Times New Roman" w:hAnsi="Times New Roman" w:cs="Times New Roman"/>
          <w:sz w:val="24"/>
        </w:rPr>
        <w:t>ri pinjaman</w:t>
      </w:r>
    </w:p>
    <w:p w:rsidR="00D117E5" w:rsidRDefault="00D117E5" w:rsidP="00015FEB">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Berdasarkan Pasal 1132 KUHPerdata dapat disimpulkan</w:t>
      </w:r>
      <w:r w:rsidR="009C622B">
        <w:rPr>
          <w:rFonts w:ascii="Times New Roman" w:hAnsi="Times New Roman" w:cs="Times New Roman"/>
          <w:sz w:val="24"/>
        </w:rPr>
        <w:t xml:space="preserve"> bahwa kedudukan pihak pemberi p</w:t>
      </w:r>
      <w:r>
        <w:rPr>
          <w:rFonts w:ascii="Times New Roman" w:hAnsi="Times New Roman" w:cs="Times New Roman"/>
          <w:sz w:val="24"/>
        </w:rPr>
        <w:t>injamamn da</w:t>
      </w:r>
      <w:r w:rsidR="00F83DE8">
        <w:rPr>
          <w:rFonts w:ascii="Times New Roman" w:hAnsi="Times New Roman" w:cs="Times New Roman"/>
          <w:sz w:val="24"/>
        </w:rPr>
        <w:t>pat dibedakan atas dua golongan</w:t>
      </w:r>
      <w:r>
        <w:rPr>
          <w:rFonts w:ascii="Times New Roman" w:hAnsi="Times New Roman" w:cs="Times New Roman"/>
          <w:sz w:val="24"/>
        </w:rPr>
        <w:t>, yaitu</w:t>
      </w:r>
    </w:p>
    <w:p w:rsidR="00D117E5" w:rsidRDefault="00D117E5" w:rsidP="001D6096">
      <w:pPr>
        <w:pStyle w:val="ListParagraph"/>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Yang mempunyai kedudukan berimbang sesuai dengan piutang masing-masing dan</w:t>
      </w:r>
    </w:p>
    <w:p w:rsidR="006B3EBA" w:rsidRDefault="00D117E5" w:rsidP="001D6096">
      <w:pPr>
        <w:pStyle w:val="ListParagraph"/>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Yang memepunyai kedudukan didahulukan dari ppihak pemberi pinjaman yang lain ber</w:t>
      </w:r>
      <w:r w:rsidR="00B52AE2">
        <w:rPr>
          <w:rFonts w:ascii="Times New Roman" w:hAnsi="Times New Roman" w:cs="Times New Roman"/>
          <w:sz w:val="24"/>
        </w:rPr>
        <w:t>dasarkan suatu peraturan perunda</w:t>
      </w:r>
      <w:r>
        <w:rPr>
          <w:rFonts w:ascii="Times New Roman" w:hAnsi="Times New Roman" w:cs="Times New Roman"/>
          <w:sz w:val="24"/>
        </w:rPr>
        <w:t>ng-Undangan.</w:t>
      </w:r>
    </w:p>
    <w:p w:rsidR="0005160D" w:rsidRDefault="0005160D" w:rsidP="0005160D">
      <w:pPr>
        <w:spacing w:after="0" w:line="480" w:lineRule="auto"/>
        <w:jc w:val="both"/>
        <w:rPr>
          <w:rFonts w:ascii="Times New Roman" w:hAnsi="Times New Roman" w:cs="Times New Roman"/>
          <w:sz w:val="24"/>
        </w:rPr>
      </w:pPr>
    </w:p>
    <w:p w:rsidR="0005160D" w:rsidRPr="0005160D" w:rsidRDefault="0005160D" w:rsidP="0005160D">
      <w:pPr>
        <w:spacing w:after="0" w:line="480" w:lineRule="auto"/>
        <w:jc w:val="both"/>
        <w:rPr>
          <w:rFonts w:ascii="Times New Roman" w:hAnsi="Times New Roman" w:cs="Times New Roman"/>
          <w:sz w:val="24"/>
        </w:rPr>
      </w:pPr>
    </w:p>
    <w:p w:rsidR="00010E8D" w:rsidRDefault="00BB5433" w:rsidP="00477928">
      <w:p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B</w:t>
      </w:r>
      <w:r w:rsidR="001F1A33">
        <w:rPr>
          <w:rFonts w:ascii="Times New Roman" w:hAnsi="Times New Roman" w:cs="Times New Roman"/>
          <w:b/>
          <w:sz w:val="24"/>
        </w:rPr>
        <w:t xml:space="preserve">. </w:t>
      </w:r>
      <w:r w:rsidR="00E44171">
        <w:rPr>
          <w:rFonts w:ascii="Times New Roman" w:hAnsi="Times New Roman" w:cs="Times New Roman"/>
          <w:b/>
          <w:sz w:val="24"/>
        </w:rPr>
        <w:tab/>
      </w:r>
      <w:r w:rsidR="000D5181">
        <w:rPr>
          <w:rFonts w:ascii="Times New Roman" w:hAnsi="Times New Roman" w:cs="Times New Roman"/>
          <w:b/>
          <w:sz w:val="24"/>
        </w:rPr>
        <w:t>TINJAUAN TENTANG</w:t>
      </w:r>
      <w:r w:rsidR="00CD7B6D">
        <w:rPr>
          <w:rFonts w:ascii="Times New Roman" w:hAnsi="Times New Roman" w:cs="Times New Roman"/>
          <w:b/>
          <w:sz w:val="24"/>
        </w:rPr>
        <w:t xml:space="preserve"> </w:t>
      </w:r>
      <w:r w:rsidR="000D5181">
        <w:rPr>
          <w:rFonts w:ascii="Times New Roman" w:hAnsi="Times New Roman" w:cs="Times New Roman"/>
          <w:b/>
          <w:sz w:val="24"/>
        </w:rPr>
        <w:t>JAMINAN FIDUSIA</w:t>
      </w:r>
      <w:r w:rsidR="00010E8D" w:rsidRPr="001F1A33">
        <w:rPr>
          <w:rFonts w:ascii="Times New Roman" w:hAnsi="Times New Roman" w:cs="Times New Roman"/>
          <w:b/>
          <w:sz w:val="24"/>
        </w:rPr>
        <w:t xml:space="preserve"> </w:t>
      </w:r>
    </w:p>
    <w:p w:rsidR="00CD7B6D" w:rsidRDefault="00CD7B6D" w:rsidP="000D5181">
      <w:p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1. </w:t>
      </w:r>
      <w:r w:rsidR="00E44171">
        <w:rPr>
          <w:rFonts w:ascii="Times New Roman" w:hAnsi="Times New Roman" w:cs="Times New Roman"/>
          <w:sz w:val="24"/>
        </w:rPr>
        <w:tab/>
      </w:r>
      <w:r w:rsidRPr="000D5181">
        <w:rPr>
          <w:rFonts w:ascii="Times New Roman" w:hAnsi="Times New Roman" w:cs="Times New Roman"/>
          <w:b/>
          <w:sz w:val="24"/>
        </w:rPr>
        <w:t>Pengertian Jaminan fidusia</w:t>
      </w:r>
    </w:p>
    <w:p w:rsidR="00C910D9" w:rsidRDefault="00C910D9" w:rsidP="000D5181">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Jaminan fidusia dalam Undang-Undang Nomor 42 tahun 1999 tentang Jaminan Fidusia memberikan pengertian sebagai berikut:</w:t>
      </w:r>
    </w:p>
    <w:p w:rsidR="00C910D9" w:rsidRDefault="00C910D9" w:rsidP="000D5181">
      <w:p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Pasal 1 angka 1 </w:t>
      </w:r>
    </w:p>
    <w:p w:rsidR="00C910D9" w:rsidRDefault="00C910D9" w:rsidP="000D5181">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Fiducia adalah pengalihan hak kepemilikan suatu benda atas dasar kepercayaan dengan ketentuan bahwa benda yang hak kepemilikannya dialihkan tersebut tetap dalam penguasaan pemilih benda.</w:t>
      </w:r>
    </w:p>
    <w:p w:rsidR="00C910D9" w:rsidRPr="00C910D9" w:rsidRDefault="00C910D9" w:rsidP="000D5181">
      <w:pPr>
        <w:spacing w:after="0" w:line="480" w:lineRule="auto"/>
        <w:ind w:left="709" w:firstLine="142"/>
        <w:jc w:val="both"/>
        <w:rPr>
          <w:rFonts w:ascii="Times New Roman" w:hAnsi="Times New Roman" w:cs="Times New Roman"/>
          <w:b/>
          <w:sz w:val="24"/>
        </w:rPr>
      </w:pPr>
      <w:r>
        <w:rPr>
          <w:rFonts w:ascii="Times New Roman" w:hAnsi="Times New Roman" w:cs="Times New Roman"/>
          <w:sz w:val="24"/>
        </w:rPr>
        <w:t>Pasal 1 angka 2</w:t>
      </w:r>
    </w:p>
    <w:p w:rsidR="00E44171" w:rsidRDefault="00010E8D" w:rsidP="000D5181">
      <w:pPr>
        <w:spacing w:after="0" w:line="480" w:lineRule="auto"/>
        <w:ind w:left="709" w:firstLine="567"/>
        <w:jc w:val="both"/>
        <w:rPr>
          <w:rFonts w:ascii="Times New Roman" w:hAnsi="Times New Roman" w:cs="Times New Roman"/>
          <w:sz w:val="24"/>
        </w:rPr>
      </w:pPr>
      <w:r w:rsidRPr="001F1A33">
        <w:rPr>
          <w:rFonts w:ascii="Times New Roman" w:hAnsi="Times New Roman" w:cs="Times New Roman"/>
          <w:sz w:val="24"/>
        </w:rPr>
        <w:t>Jaminan Fidusia adalah hak jamina</w:t>
      </w:r>
      <w:r w:rsidR="001F1A33" w:rsidRPr="001F1A33">
        <w:rPr>
          <w:rFonts w:ascii="Times New Roman" w:hAnsi="Times New Roman" w:cs="Times New Roman"/>
          <w:sz w:val="24"/>
        </w:rPr>
        <w:t xml:space="preserve">n atas benda bergerak baik yang </w:t>
      </w:r>
      <w:r w:rsidRPr="001F1A33">
        <w:rPr>
          <w:rFonts w:ascii="Times New Roman" w:hAnsi="Times New Roman" w:cs="Times New Roman"/>
          <w:sz w:val="24"/>
        </w:rPr>
        <w:t xml:space="preserve">berwujud maupun yang tidak berwujud dan benda tidak bergerak khususnya bangunan yang tidak dapat dibebani dengan hak tanggungan sebagaimana dimaksud dalam Undang-Undang Nomor 4 Tahun 1996 tentang Hak tanggungan </w:t>
      </w:r>
      <w:r w:rsidR="00D23550" w:rsidRPr="001F1A33">
        <w:rPr>
          <w:rFonts w:ascii="Times New Roman" w:hAnsi="Times New Roman" w:cs="Times New Roman"/>
          <w:sz w:val="24"/>
        </w:rPr>
        <w:t>yang tetap berada dalam penguasa pemberi fidusia, sebagai agunan pelunasan utang tentu yang memberikan kedudukan yang diutamakan kepada penerima fidusia terhadap kreditur lainnya.</w:t>
      </w:r>
      <w:r w:rsidR="00D23550">
        <w:rPr>
          <w:rStyle w:val="FootnoteReference"/>
          <w:rFonts w:ascii="Times New Roman" w:hAnsi="Times New Roman" w:cs="Times New Roman"/>
          <w:sz w:val="24"/>
        </w:rPr>
        <w:footnoteReference w:id="6"/>
      </w:r>
    </w:p>
    <w:p w:rsidR="00C910D9" w:rsidRDefault="00C910D9" w:rsidP="000D5181">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Dari definisi yang diberikan tersebut dapat disimpulkan bahwa </w:t>
      </w:r>
      <w:r w:rsidR="001A4DDA">
        <w:rPr>
          <w:rFonts w:ascii="Times New Roman" w:hAnsi="Times New Roman" w:cs="Times New Roman"/>
          <w:sz w:val="24"/>
        </w:rPr>
        <w:t>fidusia dibedakan dari jaminan fidusia, dimana fidusia merupakan suatu proses pengalihan hak kepemilikan dan jaminan fidusia adalah jaminan yang diberikan dalam bentuk fidusia.</w:t>
      </w:r>
      <w:r w:rsidR="001A4DDA">
        <w:rPr>
          <w:rStyle w:val="FootnoteReference"/>
          <w:rFonts w:ascii="Times New Roman" w:hAnsi="Times New Roman" w:cs="Times New Roman"/>
          <w:sz w:val="24"/>
        </w:rPr>
        <w:footnoteReference w:id="7"/>
      </w:r>
    </w:p>
    <w:p w:rsidR="007D7349" w:rsidRDefault="001A4DDA" w:rsidP="000D5181">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lastRenderedPageBreak/>
        <w:t>Pada fidusia peralihan hak terjadi dengan cara penyerahan Constitutum Possesiorium, yang berarti penyerahan dimana debitur tetap melanjutkan menguasai benda yang diserahkan (dijaminkan) itu berdasarkan atas hak yang lain.</w:t>
      </w:r>
      <w:r>
        <w:rPr>
          <w:rStyle w:val="FootnoteReference"/>
          <w:rFonts w:ascii="Times New Roman" w:hAnsi="Times New Roman" w:cs="Times New Roman"/>
          <w:sz w:val="24"/>
        </w:rPr>
        <w:footnoteReference w:id="8"/>
      </w:r>
      <w:r w:rsidR="007D7349">
        <w:rPr>
          <w:rFonts w:ascii="Times New Roman" w:hAnsi="Times New Roman" w:cs="Times New Roman"/>
          <w:sz w:val="24"/>
        </w:rPr>
        <w:t xml:space="preserve"> Bentuk rincian dari Constitutum Possesorium dalam konteks fidusia, pada prinsipnya dilakukan melalui tiga fase sebagai berikut.</w:t>
      </w:r>
      <w:r w:rsidR="007D7349">
        <w:rPr>
          <w:rStyle w:val="FootnoteReference"/>
          <w:rFonts w:ascii="Times New Roman" w:hAnsi="Times New Roman" w:cs="Times New Roman"/>
          <w:sz w:val="24"/>
        </w:rPr>
        <w:footnoteReference w:id="9"/>
      </w:r>
    </w:p>
    <w:p w:rsidR="00CD7B6D" w:rsidRDefault="00E44171" w:rsidP="000D5181">
      <w:pPr>
        <w:tabs>
          <w:tab w:val="left" w:pos="993"/>
        </w:tabs>
        <w:spacing w:after="0" w:line="480" w:lineRule="auto"/>
        <w:ind w:left="993" w:hanging="284"/>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CD7B6D">
        <w:rPr>
          <w:rFonts w:ascii="Times New Roman" w:hAnsi="Times New Roman" w:cs="Times New Roman"/>
          <w:sz w:val="24"/>
        </w:rPr>
        <w:t>Fase Pertama yaitu fase perjanjian obligator (Obligator Overeenskoms). Dari segi hukum dan dokumentasi hukum, proses jaminan fidusia diawali oleh adanya perjanjian obligator perjanjian tersebut berupa perjanjian meminjam uang dengan jaminan fidusia diantara pihak pemberi fidusia(debitur) dengan penerima fidusia(kreditur).</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CD7B6D">
        <w:rPr>
          <w:rFonts w:ascii="Times New Roman" w:hAnsi="Times New Roman" w:cs="Times New Roman"/>
          <w:sz w:val="24"/>
        </w:rPr>
        <w:t xml:space="preserve">Fase Kedua </w:t>
      </w:r>
      <w:r>
        <w:rPr>
          <w:rFonts w:ascii="Times New Roman" w:hAnsi="Times New Roman" w:cs="Times New Roman"/>
          <w:sz w:val="24"/>
        </w:rPr>
        <w:t xml:space="preserve">yaitu Fase Perjanjian Kebendaan </w:t>
      </w:r>
      <w:r w:rsidR="00CD7B6D">
        <w:rPr>
          <w:rFonts w:ascii="Times New Roman" w:hAnsi="Times New Roman" w:cs="Times New Roman"/>
          <w:sz w:val="24"/>
        </w:rPr>
        <w:t>(Zakelijke Overeemskomst). Perjanjian kebendaan ini berupa penyerahan hak milik dan debitur kepada kreditur, dalam hal ini dilakukan secara constitutum possessorium.</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00CD7B6D">
        <w:rPr>
          <w:rFonts w:ascii="Times New Roman" w:hAnsi="Times New Roman" w:cs="Times New Roman"/>
          <w:sz w:val="24"/>
        </w:rPr>
        <w:t>Fase Ketiga yaitu fase perjanjian pinjam pakai. Benda obyek jaminan fidusia yang hak miliknya sudah berpindah kepada pihak kreditur tersebut dipinjamkan kepada pihak debitur. Benda tersebut, setelah diikat dengan jaminan fidusia, tetap dikuasai secara fisik oleh pihak debitur.</w:t>
      </w:r>
    </w:p>
    <w:p w:rsidR="00CD7B6D" w:rsidRDefault="000D5181" w:rsidP="000D5181">
      <w:pPr>
        <w:spacing w:after="0" w:line="480" w:lineRule="auto"/>
        <w:ind w:left="709" w:hanging="283"/>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00CD7B6D">
        <w:rPr>
          <w:rFonts w:ascii="Times New Roman" w:hAnsi="Times New Roman" w:cs="Times New Roman"/>
          <w:sz w:val="24"/>
        </w:rPr>
        <w:t>Unsur-Unsur Jaminan Fidusia</w:t>
      </w:r>
    </w:p>
    <w:p w:rsidR="00CD7B6D" w:rsidRDefault="00CD7B6D" w:rsidP="000D5181">
      <w:pPr>
        <w:spacing w:after="0" w:line="480" w:lineRule="auto"/>
        <w:ind w:left="709"/>
        <w:jc w:val="both"/>
        <w:rPr>
          <w:rFonts w:ascii="Times New Roman" w:hAnsi="Times New Roman" w:cs="Times New Roman"/>
          <w:sz w:val="24"/>
        </w:rPr>
      </w:pPr>
      <w:r>
        <w:rPr>
          <w:rFonts w:ascii="Times New Roman" w:hAnsi="Times New Roman" w:cs="Times New Roman"/>
          <w:sz w:val="24"/>
        </w:rPr>
        <w:lastRenderedPageBreak/>
        <w:t>Dari perumusan Pasal 1 angka 1 Undang-Undang jaminan fidusia, dapat diketahui unsur-unsur fidusia sebagai berikut.</w:t>
      </w:r>
      <w:r>
        <w:rPr>
          <w:rStyle w:val="FootnoteReference"/>
          <w:rFonts w:ascii="Times New Roman" w:hAnsi="Times New Roman" w:cs="Times New Roman"/>
          <w:sz w:val="24"/>
        </w:rPr>
        <w:footnoteReference w:id="10"/>
      </w:r>
    </w:p>
    <w:p w:rsidR="00CD7B6D" w:rsidRDefault="00303516" w:rsidP="000D5181">
      <w:pPr>
        <w:spacing w:after="0" w:line="480" w:lineRule="auto"/>
        <w:ind w:left="851"/>
        <w:jc w:val="both"/>
        <w:rPr>
          <w:rFonts w:ascii="Times New Roman" w:hAnsi="Times New Roman" w:cs="Times New Roman"/>
          <w:sz w:val="24"/>
        </w:rPr>
      </w:pPr>
      <w:r>
        <w:rPr>
          <w:rFonts w:ascii="Times New Roman" w:hAnsi="Times New Roman" w:cs="Times New Roman"/>
          <w:sz w:val="24"/>
        </w:rPr>
        <w:t>a. P</w:t>
      </w:r>
      <w:r w:rsidR="00CD7B6D">
        <w:rPr>
          <w:rFonts w:ascii="Times New Roman" w:hAnsi="Times New Roman" w:cs="Times New Roman"/>
          <w:sz w:val="24"/>
        </w:rPr>
        <w:t xml:space="preserve">engalihan hak kepemilikan suatu benda </w:t>
      </w:r>
    </w:p>
    <w:p w:rsidR="00CD7B6D" w:rsidRDefault="00303516" w:rsidP="000D5181">
      <w:pPr>
        <w:spacing w:after="0" w:line="480" w:lineRule="auto"/>
        <w:ind w:left="851"/>
        <w:jc w:val="both"/>
        <w:rPr>
          <w:rFonts w:ascii="Times New Roman" w:hAnsi="Times New Roman" w:cs="Times New Roman"/>
          <w:sz w:val="24"/>
        </w:rPr>
      </w:pPr>
      <w:r>
        <w:rPr>
          <w:rFonts w:ascii="Times New Roman" w:hAnsi="Times New Roman" w:cs="Times New Roman"/>
          <w:sz w:val="24"/>
        </w:rPr>
        <w:t>b. D</w:t>
      </w:r>
      <w:r w:rsidR="00CD7B6D">
        <w:rPr>
          <w:rFonts w:ascii="Times New Roman" w:hAnsi="Times New Roman" w:cs="Times New Roman"/>
          <w:sz w:val="24"/>
        </w:rPr>
        <w:t xml:space="preserve">ilakukan atas dasar kepercayaan </w:t>
      </w:r>
    </w:p>
    <w:p w:rsidR="00CD7B6D" w:rsidRDefault="00303516" w:rsidP="000D5181">
      <w:pPr>
        <w:spacing w:after="0" w:line="480" w:lineRule="auto"/>
        <w:ind w:left="851"/>
        <w:jc w:val="both"/>
        <w:rPr>
          <w:rFonts w:ascii="Times New Roman" w:hAnsi="Times New Roman" w:cs="Times New Roman"/>
          <w:sz w:val="24"/>
        </w:rPr>
      </w:pPr>
      <w:r>
        <w:rPr>
          <w:rFonts w:ascii="Times New Roman" w:hAnsi="Times New Roman" w:cs="Times New Roman"/>
          <w:sz w:val="24"/>
        </w:rPr>
        <w:t>c. K</w:t>
      </w:r>
      <w:r w:rsidR="00CD7B6D">
        <w:rPr>
          <w:rFonts w:ascii="Times New Roman" w:hAnsi="Times New Roman" w:cs="Times New Roman"/>
          <w:sz w:val="24"/>
        </w:rPr>
        <w:t>ebendaanya tetap dalam penguasaan pemilik benda.</w:t>
      </w:r>
    </w:p>
    <w:p w:rsidR="00CD7B6D" w:rsidRDefault="00CD7B6D" w:rsidP="000D5181">
      <w:pPr>
        <w:spacing w:after="0" w:line="480" w:lineRule="auto"/>
        <w:ind w:left="709"/>
        <w:jc w:val="both"/>
        <w:rPr>
          <w:rFonts w:ascii="Times New Roman" w:hAnsi="Times New Roman" w:cs="Times New Roman"/>
          <w:sz w:val="24"/>
        </w:rPr>
      </w:pPr>
      <w:r>
        <w:rPr>
          <w:rFonts w:ascii="Times New Roman" w:hAnsi="Times New Roman" w:cs="Times New Roman"/>
          <w:sz w:val="24"/>
        </w:rPr>
        <w:t>Dari perumusan Pasal 1 angka 2 Undang-undang jaminan fidusia, dapat diketahui unsur-unsur jaminan fidusia sebagai berikut</w:t>
      </w:r>
      <w:r>
        <w:rPr>
          <w:rStyle w:val="FootnoteReference"/>
          <w:rFonts w:ascii="Times New Roman" w:hAnsi="Times New Roman" w:cs="Times New Roman"/>
          <w:sz w:val="24"/>
        </w:rPr>
        <w:footnoteReference w:id="11"/>
      </w:r>
    </w:p>
    <w:p w:rsidR="00CD7B6D" w:rsidRDefault="00CD7B6D" w:rsidP="000D5181">
      <w:p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a. Sebagai lembaga hak jaminan kebendaan dan hak yang diutamakan </w:t>
      </w:r>
    </w:p>
    <w:p w:rsidR="00CD7B6D" w:rsidRDefault="00CD7B6D" w:rsidP="000D5181">
      <w:pPr>
        <w:spacing w:after="0" w:line="480" w:lineRule="auto"/>
        <w:ind w:left="851"/>
        <w:jc w:val="both"/>
        <w:rPr>
          <w:rFonts w:ascii="Times New Roman" w:hAnsi="Times New Roman" w:cs="Times New Roman"/>
          <w:sz w:val="24"/>
        </w:rPr>
      </w:pPr>
      <w:r>
        <w:rPr>
          <w:rFonts w:ascii="Times New Roman" w:hAnsi="Times New Roman" w:cs="Times New Roman"/>
          <w:sz w:val="24"/>
        </w:rPr>
        <w:t>b. Kebendaan bergerak sebagai objeknya</w:t>
      </w:r>
    </w:p>
    <w:p w:rsidR="00CD7B6D" w:rsidRDefault="00CD7B6D" w:rsidP="000D5181">
      <w:pPr>
        <w:spacing w:after="0" w:line="480" w:lineRule="auto"/>
        <w:ind w:left="1134" w:hanging="283"/>
        <w:jc w:val="both"/>
        <w:rPr>
          <w:rFonts w:ascii="Times New Roman" w:hAnsi="Times New Roman" w:cs="Times New Roman"/>
          <w:sz w:val="24"/>
        </w:rPr>
      </w:pPr>
      <w:r>
        <w:rPr>
          <w:rFonts w:ascii="Times New Roman" w:hAnsi="Times New Roman" w:cs="Times New Roman"/>
          <w:sz w:val="24"/>
        </w:rPr>
        <w:t>c. Kebendaan tidak bergerak khususnya bangunan yang tidak dibebani deng</w:t>
      </w:r>
      <w:r w:rsidR="00F83DE8">
        <w:rPr>
          <w:rFonts w:ascii="Times New Roman" w:hAnsi="Times New Roman" w:cs="Times New Roman"/>
          <w:sz w:val="24"/>
        </w:rPr>
        <w:t xml:space="preserve">an hak tanggungan juga menjadi </w:t>
      </w:r>
      <w:r>
        <w:rPr>
          <w:rFonts w:ascii="Times New Roman" w:hAnsi="Times New Roman" w:cs="Times New Roman"/>
          <w:sz w:val="24"/>
        </w:rPr>
        <w:t>objek jaminan fidusia.</w:t>
      </w:r>
    </w:p>
    <w:p w:rsidR="00CD7B6D" w:rsidRDefault="000D5181" w:rsidP="000D5181">
      <w:pPr>
        <w:spacing w:after="0" w:line="480" w:lineRule="auto"/>
        <w:ind w:left="1134" w:hanging="283"/>
        <w:jc w:val="both"/>
        <w:rPr>
          <w:rFonts w:ascii="Times New Roman" w:hAnsi="Times New Roman" w:cs="Times New Roman"/>
          <w:sz w:val="24"/>
        </w:rPr>
      </w:pPr>
      <w:r>
        <w:rPr>
          <w:rFonts w:ascii="Times New Roman" w:hAnsi="Times New Roman" w:cs="Times New Roman"/>
          <w:sz w:val="24"/>
        </w:rPr>
        <w:t xml:space="preserve">d. </w:t>
      </w:r>
      <w:r>
        <w:rPr>
          <w:rFonts w:ascii="Times New Roman" w:hAnsi="Times New Roman" w:cs="Times New Roman"/>
          <w:sz w:val="24"/>
        </w:rPr>
        <w:tab/>
      </w:r>
      <w:r w:rsidR="00303516">
        <w:rPr>
          <w:rFonts w:ascii="Times New Roman" w:hAnsi="Times New Roman" w:cs="Times New Roman"/>
          <w:sz w:val="24"/>
        </w:rPr>
        <w:t>D</w:t>
      </w:r>
      <w:r w:rsidR="00CD7B6D">
        <w:rPr>
          <w:rFonts w:ascii="Times New Roman" w:hAnsi="Times New Roman" w:cs="Times New Roman"/>
          <w:sz w:val="24"/>
        </w:rPr>
        <w:t>imaksudkan untuk pelunasan suatu utang tertentu.</w:t>
      </w:r>
    </w:p>
    <w:p w:rsidR="00CD7B6D" w:rsidRDefault="000D5181" w:rsidP="000D5181">
      <w:pPr>
        <w:spacing w:after="0" w:line="480" w:lineRule="auto"/>
        <w:ind w:left="1134" w:hanging="283"/>
        <w:jc w:val="both"/>
        <w:rPr>
          <w:rFonts w:ascii="Times New Roman" w:hAnsi="Times New Roman" w:cs="Times New Roman"/>
          <w:sz w:val="24"/>
        </w:rPr>
      </w:pPr>
      <w:r>
        <w:rPr>
          <w:rFonts w:ascii="Times New Roman" w:hAnsi="Times New Roman" w:cs="Times New Roman"/>
          <w:sz w:val="24"/>
        </w:rPr>
        <w:t>e. M</w:t>
      </w:r>
      <w:r w:rsidR="00CD7B6D">
        <w:rPr>
          <w:rFonts w:ascii="Times New Roman" w:hAnsi="Times New Roman" w:cs="Times New Roman"/>
          <w:sz w:val="24"/>
        </w:rPr>
        <w:t>emberikan kedudukan yang diutamakan kepada penerima fidusia terhadap kreditor-kreditor lainnya.</w:t>
      </w:r>
    </w:p>
    <w:p w:rsidR="00CD7B6D" w:rsidRDefault="000D5181" w:rsidP="000D5181">
      <w:pPr>
        <w:spacing w:after="0" w:line="480" w:lineRule="auto"/>
        <w:ind w:left="709" w:hanging="283"/>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sidR="00CD7B6D">
        <w:rPr>
          <w:rFonts w:ascii="Times New Roman" w:hAnsi="Times New Roman" w:cs="Times New Roman"/>
          <w:sz w:val="24"/>
        </w:rPr>
        <w:t xml:space="preserve">Asas-Asas Hukum Jaminan Fidusia </w:t>
      </w:r>
    </w:p>
    <w:p w:rsidR="00CD7B6D" w:rsidRDefault="00CD7B6D" w:rsidP="000D5181">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Asas-asas hukum jaminan fidusia yang terdapat dalam Undang-undang Jaminan Fidusia adalah sebagai berikut.</w:t>
      </w:r>
      <w:r>
        <w:rPr>
          <w:rStyle w:val="FootnoteReference"/>
          <w:rFonts w:ascii="Times New Roman" w:hAnsi="Times New Roman" w:cs="Times New Roman"/>
          <w:sz w:val="24"/>
        </w:rPr>
        <w:footnoteReference w:id="12"/>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 xml:space="preserve">sas bahwa kreditur penerima fidusia berkedudukan sebagai kreditur yang diutamakan dari kreditur-kreditur lainnya. Pasal 27 Undang-undang Jaminan Fidusia menjelaskan hak yang didahulukan adalah hak penerima </w:t>
      </w:r>
      <w:r w:rsidR="00CD7B6D">
        <w:rPr>
          <w:rFonts w:ascii="Times New Roman" w:hAnsi="Times New Roman" w:cs="Times New Roman"/>
          <w:sz w:val="24"/>
        </w:rPr>
        <w:lastRenderedPageBreak/>
        <w:t>fidusia untuk mengambil pelunasan piutangnya atas ekseksusi benda yang menjadi obyek jaminan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sas bahwa jaminan fidusia tetap mengikuti benda yang menjadi obyek jaminan fidusia dalam tangan siapapunbenda tersebut berada. Asas bahwa jaminan fidusia merupakan perjanjian ikatan yang lazim disebut asas asesoritas.</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sas bahwa jamianan fidusia dapat dilet</w:t>
      </w:r>
      <w:r w:rsidR="00CD1AB5">
        <w:rPr>
          <w:rFonts w:ascii="Times New Roman" w:hAnsi="Times New Roman" w:cs="Times New Roman"/>
          <w:sz w:val="24"/>
        </w:rPr>
        <w:t xml:space="preserve">akan atas hutang yang baru akan </w:t>
      </w:r>
      <w:r w:rsidR="00CD7B6D">
        <w:rPr>
          <w:rFonts w:ascii="Times New Roman" w:hAnsi="Times New Roman" w:cs="Times New Roman"/>
          <w:sz w:val="24"/>
        </w:rPr>
        <w:t>ada(kontinjen). Hal ini diatur dalam Pasal 7 Undang-undang Jaminan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sas bahwa jaminan fidusia dapat dibebankan terhadap benda yang akan ada. Asas ini diatur dalam Pasal 9 Undang-undang Jaminan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sas bahwa jaminan fidusia dapat dibebabkan terhadap bangunan/rumah yang terdapat diatas tanah milik orang lain. Dalam ini dapat ditemukan dalam penjelasan Pasal 3 huruf a Undang-undang jaminan fidusia yang menjelaskan bahwa berdasarkan ketentuan ini, bangunan diatas tanah milik orang lain yang tidak dapat dibebani hak tanggungan berdasarkan U</w:t>
      </w:r>
      <w:r w:rsidR="00F83DE8">
        <w:rPr>
          <w:rFonts w:ascii="Times New Roman" w:hAnsi="Times New Roman" w:cs="Times New Roman"/>
          <w:sz w:val="24"/>
        </w:rPr>
        <w:t>ndang-undang Nomor 4 tahun 1996</w:t>
      </w:r>
      <w:r w:rsidR="00CD7B6D">
        <w:rPr>
          <w:rFonts w:ascii="Times New Roman" w:hAnsi="Times New Roman" w:cs="Times New Roman"/>
          <w:sz w:val="24"/>
        </w:rPr>
        <w:t xml:space="preserve"> tentang Hak tanggungan, dapat dijadikan obyek jaminan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sas bahwa jaminan fidusia berisikan uraian secara detail terhadap subyek dan obyek jaminan fidusia. Hal ini diatur dalam Pasal 6 Undang-undang Jaminan Fidusia sebagai berikut :</w:t>
      </w:r>
    </w:p>
    <w:p w:rsidR="00CD7B6D" w:rsidRDefault="00CD7B6D" w:rsidP="001D6096">
      <w:pPr>
        <w:pStyle w:val="ListParagraph"/>
        <w:numPr>
          <w:ilvl w:val="0"/>
          <w:numId w:val="17"/>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Identitas pihak Pemberi dan Penerima fidusia;</w:t>
      </w:r>
    </w:p>
    <w:p w:rsidR="00CD7B6D" w:rsidRDefault="00CD7B6D" w:rsidP="001D6096">
      <w:pPr>
        <w:pStyle w:val="ListParagraph"/>
        <w:numPr>
          <w:ilvl w:val="0"/>
          <w:numId w:val="17"/>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Data perjanjian pokok yang dijamin fidusia;</w:t>
      </w:r>
    </w:p>
    <w:p w:rsidR="00CD7B6D" w:rsidRDefault="00CD7B6D" w:rsidP="001D6096">
      <w:pPr>
        <w:pStyle w:val="ListParagraph"/>
        <w:numPr>
          <w:ilvl w:val="0"/>
          <w:numId w:val="17"/>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lastRenderedPageBreak/>
        <w:t>Uraian mengenai Benda yang menjadi obyek Jaminan Fidusia;</w:t>
      </w:r>
    </w:p>
    <w:p w:rsidR="00CD7B6D" w:rsidRDefault="00F83DE8" w:rsidP="001D6096">
      <w:pPr>
        <w:pStyle w:val="ListParagraph"/>
        <w:numPr>
          <w:ilvl w:val="0"/>
          <w:numId w:val="17"/>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Nilai penjaminan</w:t>
      </w:r>
      <w:r w:rsidR="00CD7B6D">
        <w:rPr>
          <w:rFonts w:ascii="Times New Roman" w:hAnsi="Times New Roman" w:cs="Times New Roman"/>
          <w:sz w:val="24"/>
        </w:rPr>
        <w:t>; dan</w:t>
      </w:r>
    </w:p>
    <w:p w:rsidR="00CD7B6D" w:rsidRDefault="00CD7B6D" w:rsidP="001D6096">
      <w:pPr>
        <w:pStyle w:val="ListParagraph"/>
        <w:numPr>
          <w:ilvl w:val="0"/>
          <w:numId w:val="17"/>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Nilai Benda yang menjadi obyek jaminan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r>
      <w:r w:rsidR="00CD7B6D">
        <w:rPr>
          <w:rFonts w:ascii="Times New Roman" w:hAnsi="Times New Roman" w:cs="Times New Roman"/>
          <w:sz w:val="24"/>
        </w:rPr>
        <w:t>Asas bahwa pemberi jaminan fidusia harus orang yang memiliki kewenangan hukum atas obyek jaminan fidusia. Kewenangan hukum tersebut harus sudah ada pada saat jaminan fidusia didaftarkan ke kantor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sas bahwa jaminan fidusia harus didaftar ke kantor pendaftaran fidusia. Dalam ilmu hukum disebut asas publicteit. Dengan didaftarkan akta jaminan fidusia, berarti perjanjian fidusia lahir dan momentum tersebut menunjukan perjanjian jaminan fidusia adalah jaminan kebendaan. Asas publikasi juga melahirkan adanya kepastian hukum dari jaminan fidusia.</w:t>
      </w:r>
    </w:p>
    <w:p w:rsidR="00CD7B6D" w:rsidRDefault="00132BBF" w:rsidP="000D5181">
      <w:pPr>
        <w:spacing w:after="0" w:line="480" w:lineRule="auto"/>
        <w:ind w:left="993" w:hanging="284"/>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r>
      <w:r w:rsidR="00303516">
        <w:rPr>
          <w:rFonts w:ascii="Times New Roman" w:hAnsi="Times New Roman" w:cs="Times New Roman"/>
          <w:sz w:val="24"/>
        </w:rPr>
        <w:t>A</w:t>
      </w:r>
      <w:r w:rsidR="00CD7B6D">
        <w:rPr>
          <w:rFonts w:ascii="Times New Roman" w:hAnsi="Times New Roman" w:cs="Times New Roman"/>
          <w:sz w:val="24"/>
        </w:rPr>
        <w:t>sa</w:t>
      </w:r>
      <w:r w:rsidR="00303516">
        <w:rPr>
          <w:rFonts w:ascii="Times New Roman" w:hAnsi="Times New Roman" w:cs="Times New Roman"/>
          <w:sz w:val="24"/>
        </w:rPr>
        <w:t>s</w:t>
      </w:r>
      <w:r w:rsidR="00CD7B6D">
        <w:rPr>
          <w:rFonts w:ascii="Times New Roman" w:hAnsi="Times New Roman" w:cs="Times New Roman"/>
          <w:sz w:val="24"/>
        </w:rPr>
        <w:t xml:space="preserve"> bahwa benda yang dijadikan obyek jamina fidusia tidak dapat dimiliki oleh kreditur penerima jaminan fidusia sekalipun hal itu diperjanjikan. Dalam ilmu hukum disebut asas pendakuan. Hal ini bisa</w:t>
      </w:r>
      <w:r w:rsidR="00F83DE8">
        <w:rPr>
          <w:rFonts w:ascii="Times New Roman" w:hAnsi="Times New Roman" w:cs="Times New Roman"/>
          <w:sz w:val="24"/>
        </w:rPr>
        <w:t xml:space="preserve"> dilihat dalam Pasal 1 ayat (3)</w:t>
      </w:r>
      <w:r w:rsidR="00CD7B6D">
        <w:rPr>
          <w:rFonts w:ascii="Times New Roman" w:hAnsi="Times New Roman" w:cs="Times New Roman"/>
          <w:sz w:val="24"/>
        </w:rPr>
        <w:t xml:space="preserve"> dan Pasal 33 Undang-undang Jaminan fidusia.</w:t>
      </w:r>
    </w:p>
    <w:p w:rsidR="00CD7B6D" w:rsidRDefault="000D5181" w:rsidP="000D5181">
      <w:pPr>
        <w:spacing w:after="0" w:line="480" w:lineRule="auto"/>
        <w:ind w:left="709" w:hanging="283"/>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sidR="00303516">
        <w:rPr>
          <w:rFonts w:ascii="Times New Roman" w:hAnsi="Times New Roman" w:cs="Times New Roman"/>
          <w:sz w:val="24"/>
        </w:rPr>
        <w:t>S</w:t>
      </w:r>
      <w:r w:rsidR="00CD7B6D">
        <w:rPr>
          <w:rFonts w:ascii="Times New Roman" w:hAnsi="Times New Roman" w:cs="Times New Roman"/>
          <w:sz w:val="24"/>
        </w:rPr>
        <w:t>ubyek dan obyek dalam jaminan fidusia</w:t>
      </w:r>
    </w:p>
    <w:p w:rsidR="00CD7B6D" w:rsidRDefault="00CD7B6D" w:rsidP="00BD0BA8">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Subyek dalam jaminan fidusia adalah pemberi fidusia yang dalam hal ini sebagai debitur dalam perjanjian kredit, dan penerima fidusia yang dalam hal ini sebagai kreditur dalam perjanjia kredit. Sedangkan yang menjadi obyek fidusia, kalau pada waktu lampau yurisprudensi berkali-kali sebutkan, bahwa yang menjadi obyek jaminan fidusia adalah benda </w:t>
      </w:r>
      <w:r>
        <w:rPr>
          <w:rFonts w:ascii="Times New Roman" w:hAnsi="Times New Roman" w:cs="Times New Roman"/>
          <w:sz w:val="24"/>
        </w:rPr>
        <w:lastRenderedPageBreak/>
        <w:t xml:space="preserve">bergerak saja, maka sekarang obyek fidusia meliputi benda bergerak dan benda tetap tertentu, yang tidak bisa dijaminkan melalui lembaga hak tanggungan atau hipotek, tetapi kesemuanya dengan syarat, bahwa benda itu dapat dimiliki dan dialihkan. </w:t>
      </w:r>
      <w:r>
        <w:rPr>
          <w:rStyle w:val="FootnoteReference"/>
          <w:rFonts w:ascii="Times New Roman" w:hAnsi="Times New Roman" w:cs="Times New Roman"/>
          <w:sz w:val="24"/>
        </w:rPr>
        <w:footnoteReference w:id="13"/>
      </w:r>
    </w:p>
    <w:p w:rsidR="00273127" w:rsidRDefault="00CD7B6D" w:rsidP="00BD0BA8">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Pasal 1 angka 4 Undang-undang Jaminan Fidusia menyatakan bahwa benda adalah segala sesuatu yang dapat dimiliki dan dialihkan, baik yang berwujud maupun yang tidak berwujud, yang terdaftar maupun yang tidak terdaftar, yang bergerak maupun yang tak bergerak yang tidak dapat dibebani hak tanggungan atau hipotek.</w:t>
      </w:r>
    </w:p>
    <w:p w:rsidR="00932D9D" w:rsidRDefault="00932D9D" w:rsidP="00BD0BA8">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Apabila kita memahami pengertian benda yang dapat menjadi objek jaminan fidusia tersebut, maka yang dimaksud dengan benda adalah termasuk juga piutang (</w:t>
      </w:r>
      <w:r w:rsidRPr="00471284">
        <w:rPr>
          <w:rFonts w:ascii="Times New Roman" w:hAnsi="Times New Roman" w:cs="Times New Roman"/>
          <w:i/>
          <w:sz w:val="24"/>
        </w:rPr>
        <w:t>receivables</w:t>
      </w:r>
      <w:r>
        <w:rPr>
          <w:rFonts w:ascii="Times New Roman" w:hAnsi="Times New Roman" w:cs="Times New Roman"/>
          <w:sz w:val="24"/>
        </w:rPr>
        <w:t xml:space="preserve">) khusus mengenai hasil dari benda yang menjadi objek jaminan fidusia, Undang-Undang mengatur bahwa jaminan fidusia meliputi hasil tersebut dan juga kalim asuransi kecuali diperjanjiankan lain. Uraian mengenai benda yang menjadi objek jaminan fidusia harus disebut dengan jelas dalam akta jaminan fidusia baik identifikasi benda tersebut, maupun penjelasan surat bukti kepemilikannya dan bagi benda </w:t>
      </w:r>
      <w:r w:rsidRPr="00BC5B42">
        <w:rPr>
          <w:rFonts w:ascii="Times New Roman" w:hAnsi="Times New Roman" w:cs="Times New Roman"/>
          <w:i/>
          <w:sz w:val="24"/>
        </w:rPr>
        <w:t>inventory</w:t>
      </w:r>
      <w:r>
        <w:rPr>
          <w:rFonts w:ascii="Times New Roman" w:hAnsi="Times New Roman" w:cs="Times New Roman"/>
          <w:sz w:val="24"/>
        </w:rPr>
        <w:t xml:space="preserve"> yang selalu berubah-ubah dana atau tetap harus dijelaskan jenis bendanya dan kualitasnya Jaminan fidusia dapat diberikan terhadap satu atau lebih satuan atau jenis benda, termasuk piutang baik yang telah ada pada saat jaminan diberikan maupun yang diperoleh kemudian. </w:t>
      </w:r>
      <w:r>
        <w:rPr>
          <w:rFonts w:ascii="Times New Roman" w:hAnsi="Times New Roman" w:cs="Times New Roman"/>
          <w:sz w:val="24"/>
        </w:rPr>
        <w:lastRenderedPageBreak/>
        <w:t>Pembebanan jaminan atas benda atau piutang yang diperoleh kemudian tidak perlu dilakukan dengan perjanjian sendiri</w:t>
      </w:r>
      <w:r w:rsidR="007B3476">
        <w:rPr>
          <w:rFonts w:ascii="Times New Roman" w:hAnsi="Times New Roman" w:cs="Times New Roman"/>
          <w:sz w:val="24"/>
        </w:rPr>
        <w:t>.</w:t>
      </w:r>
      <w:r w:rsidR="007B3476">
        <w:rPr>
          <w:rStyle w:val="FootnoteReference"/>
          <w:rFonts w:ascii="Times New Roman" w:hAnsi="Times New Roman" w:cs="Times New Roman"/>
          <w:sz w:val="24"/>
        </w:rPr>
        <w:footnoteReference w:id="14"/>
      </w:r>
    </w:p>
    <w:p w:rsidR="006149D9" w:rsidRDefault="00BD0BA8" w:rsidP="00BD0BA8">
      <w:pPr>
        <w:spacing w:after="0" w:line="480" w:lineRule="auto"/>
        <w:ind w:left="709" w:hanging="283"/>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r>
      <w:r w:rsidR="00303516">
        <w:rPr>
          <w:rFonts w:ascii="Times New Roman" w:hAnsi="Times New Roman" w:cs="Times New Roman"/>
          <w:sz w:val="24"/>
        </w:rPr>
        <w:t>S</w:t>
      </w:r>
      <w:r w:rsidR="00273127">
        <w:rPr>
          <w:rFonts w:ascii="Times New Roman" w:hAnsi="Times New Roman" w:cs="Times New Roman"/>
          <w:sz w:val="24"/>
        </w:rPr>
        <w:t xml:space="preserve">ifat-sifat jaminan fidusia </w:t>
      </w:r>
    </w:p>
    <w:p w:rsidR="00273127" w:rsidRDefault="00273127" w:rsidP="00BD0BA8">
      <w:pPr>
        <w:spacing w:after="0" w:line="480" w:lineRule="auto"/>
        <w:ind w:left="709"/>
        <w:jc w:val="both"/>
        <w:rPr>
          <w:rFonts w:ascii="Times New Roman" w:hAnsi="Times New Roman" w:cs="Times New Roman"/>
          <w:sz w:val="24"/>
        </w:rPr>
      </w:pPr>
      <w:r>
        <w:rPr>
          <w:rFonts w:ascii="Times New Roman" w:hAnsi="Times New Roman" w:cs="Times New Roman"/>
          <w:sz w:val="24"/>
        </w:rPr>
        <w:t>Jaminan fidusia mempunyai sifat sifat sebagai berikut</w:t>
      </w:r>
    </w:p>
    <w:p w:rsidR="00273127" w:rsidRDefault="00303516"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a.</w:t>
      </w:r>
      <w:r w:rsidR="0096613A">
        <w:rPr>
          <w:rFonts w:ascii="Times New Roman" w:hAnsi="Times New Roman" w:cs="Times New Roman"/>
          <w:sz w:val="24"/>
        </w:rPr>
        <w:tab/>
      </w:r>
      <w:r>
        <w:rPr>
          <w:rFonts w:ascii="Times New Roman" w:hAnsi="Times New Roman" w:cs="Times New Roman"/>
          <w:sz w:val="24"/>
        </w:rPr>
        <w:t>J</w:t>
      </w:r>
      <w:r w:rsidR="00273127">
        <w:rPr>
          <w:rFonts w:ascii="Times New Roman" w:hAnsi="Times New Roman" w:cs="Times New Roman"/>
          <w:sz w:val="24"/>
        </w:rPr>
        <w:t>aminan fidusia merupakan perjanjian accesoir</w:t>
      </w:r>
    </w:p>
    <w:p w:rsidR="00273127" w:rsidRDefault="00273127" w:rsidP="00477928">
      <w:pPr>
        <w:spacing w:after="0" w:line="480" w:lineRule="auto"/>
        <w:ind w:left="993"/>
        <w:jc w:val="both"/>
        <w:rPr>
          <w:rFonts w:ascii="Times New Roman" w:hAnsi="Times New Roman" w:cs="Times New Roman"/>
          <w:sz w:val="24"/>
        </w:rPr>
      </w:pPr>
      <w:r>
        <w:rPr>
          <w:rFonts w:ascii="Times New Roman" w:hAnsi="Times New Roman" w:cs="Times New Roman"/>
          <w:sz w:val="24"/>
        </w:rPr>
        <w:t>Pasal 4 Undang-undang jaminan fidusia secara egas menyatakan bahwa jaminan fidusia merupakan perjanjian accesoir dari suatu perjanjian pokok yang menimbulkan kewajiban bagi para pihak untuk memenuhi suau prestasi yang berupa memberikan sesuatu, berbuat sesuatu, atau tidak berbuat, sesuatu, yang dapat dinilai dengan uang.</w:t>
      </w:r>
    </w:p>
    <w:p w:rsidR="00273127" w:rsidRDefault="00303516"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 xml:space="preserve">b. </w:t>
      </w:r>
      <w:r w:rsidR="0096613A">
        <w:rPr>
          <w:rFonts w:ascii="Times New Roman" w:hAnsi="Times New Roman" w:cs="Times New Roman"/>
          <w:sz w:val="24"/>
        </w:rPr>
        <w:tab/>
      </w:r>
      <w:r>
        <w:rPr>
          <w:rFonts w:ascii="Times New Roman" w:hAnsi="Times New Roman" w:cs="Times New Roman"/>
          <w:sz w:val="24"/>
        </w:rPr>
        <w:t>J</w:t>
      </w:r>
      <w:r w:rsidR="00273127">
        <w:rPr>
          <w:rFonts w:ascii="Times New Roman" w:hAnsi="Times New Roman" w:cs="Times New Roman"/>
          <w:sz w:val="24"/>
        </w:rPr>
        <w:t>aminan fidusia mempunyai sifa</w:t>
      </w:r>
      <w:r w:rsidR="00CD1AB5">
        <w:rPr>
          <w:rFonts w:ascii="Times New Roman" w:hAnsi="Times New Roman" w:cs="Times New Roman"/>
          <w:sz w:val="24"/>
        </w:rPr>
        <w:t>t</w:t>
      </w:r>
      <w:r w:rsidR="00273127">
        <w:rPr>
          <w:rFonts w:ascii="Times New Roman" w:hAnsi="Times New Roman" w:cs="Times New Roman"/>
          <w:sz w:val="24"/>
        </w:rPr>
        <w:t xml:space="preserve"> mendahului (</w:t>
      </w:r>
      <w:r w:rsidR="00273127" w:rsidRPr="00F83DE8">
        <w:rPr>
          <w:rFonts w:ascii="Times New Roman" w:hAnsi="Times New Roman" w:cs="Times New Roman"/>
          <w:i/>
          <w:sz w:val="24"/>
        </w:rPr>
        <w:t>droit de preference</w:t>
      </w:r>
      <w:r w:rsidR="00273127">
        <w:rPr>
          <w:rFonts w:ascii="Times New Roman" w:hAnsi="Times New Roman" w:cs="Times New Roman"/>
          <w:sz w:val="24"/>
        </w:rPr>
        <w:t>)</w:t>
      </w:r>
    </w:p>
    <w:p w:rsidR="00273127" w:rsidRDefault="00CD1AB5" w:rsidP="00477928">
      <w:pPr>
        <w:spacing w:after="0" w:line="480" w:lineRule="auto"/>
        <w:ind w:left="993" w:hanging="426"/>
        <w:jc w:val="both"/>
        <w:rPr>
          <w:rFonts w:ascii="Times New Roman" w:hAnsi="Times New Roman" w:cs="Times New Roman"/>
          <w:sz w:val="24"/>
        </w:rPr>
      </w:pPr>
      <w:r>
        <w:rPr>
          <w:rFonts w:ascii="Times New Roman" w:hAnsi="Times New Roman" w:cs="Times New Roman"/>
          <w:sz w:val="24"/>
        </w:rPr>
        <w:tab/>
      </w:r>
      <w:r w:rsidR="00F83DE8">
        <w:rPr>
          <w:rFonts w:ascii="Times New Roman" w:hAnsi="Times New Roman" w:cs="Times New Roman"/>
          <w:sz w:val="24"/>
        </w:rPr>
        <w:t>sifat mendahului (</w:t>
      </w:r>
      <w:r w:rsidR="00273127" w:rsidRPr="00F83DE8">
        <w:rPr>
          <w:rFonts w:ascii="Times New Roman" w:hAnsi="Times New Roman" w:cs="Times New Roman"/>
          <w:i/>
          <w:sz w:val="24"/>
        </w:rPr>
        <w:t>droit de preference</w:t>
      </w:r>
      <w:r w:rsidR="00273127">
        <w:rPr>
          <w:rFonts w:ascii="Times New Roman" w:hAnsi="Times New Roman" w:cs="Times New Roman"/>
          <w:sz w:val="24"/>
        </w:rPr>
        <w:t xml:space="preserve">) dalam jaminan fidusia atau hak yang didahulukan sebagaimana dimaksud diatas adalah hak </w:t>
      </w:r>
      <w:r w:rsidR="00222357">
        <w:rPr>
          <w:rFonts w:ascii="Times New Roman" w:hAnsi="Times New Roman" w:cs="Times New Roman"/>
          <w:sz w:val="24"/>
        </w:rPr>
        <w:t>penerima fidusia unuk mengambil pelunsan piutang atas hasil ekseskusi benda yang menjadi obyek jaminan fidusia. Hak untuk mengambil pelunasan ini mendahului kreditor-kreditor lainnya. Bahkan sekalipun pemberi fidusia dinyatakan pailit atau likuidasi, hak yang didahulukan dari penerima fidusia tidak haus karena benda yang menjadi obyek jaminan fidusia tidak termasuk dalam harta pailit pemberi fidusia. Dengan kata demikian penerima fidusia terglong dsalam kelompok kreditor-kredito separatis.</w:t>
      </w:r>
      <w:r w:rsidR="00EB7927">
        <w:rPr>
          <w:rStyle w:val="FootnoteReference"/>
          <w:rFonts w:ascii="Times New Roman" w:hAnsi="Times New Roman" w:cs="Times New Roman"/>
          <w:sz w:val="24"/>
        </w:rPr>
        <w:footnoteReference w:id="15"/>
      </w:r>
    </w:p>
    <w:p w:rsidR="00222357" w:rsidRDefault="0096613A"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lastRenderedPageBreak/>
        <w:t>c.</w:t>
      </w:r>
      <w:r>
        <w:rPr>
          <w:rFonts w:ascii="Times New Roman" w:hAnsi="Times New Roman" w:cs="Times New Roman"/>
          <w:sz w:val="24"/>
        </w:rPr>
        <w:tab/>
      </w:r>
      <w:r w:rsidR="00303516">
        <w:rPr>
          <w:rFonts w:ascii="Times New Roman" w:hAnsi="Times New Roman" w:cs="Times New Roman"/>
          <w:sz w:val="24"/>
        </w:rPr>
        <w:t>J</w:t>
      </w:r>
      <w:r w:rsidR="00222357">
        <w:rPr>
          <w:rFonts w:ascii="Times New Roman" w:hAnsi="Times New Roman" w:cs="Times New Roman"/>
          <w:sz w:val="24"/>
        </w:rPr>
        <w:t>aminan fidusia mempunyai sifat droit de suit</w:t>
      </w:r>
    </w:p>
    <w:p w:rsidR="00222357" w:rsidRDefault="00CD1AB5" w:rsidP="00477928">
      <w:pPr>
        <w:spacing w:after="0" w:line="480" w:lineRule="auto"/>
        <w:ind w:left="993" w:hanging="567"/>
        <w:jc w:val="both"/>
        <w:rPr>
          <w:rFonts w:ascii="Times New Roman" w:hAnsi="Times New Roman" w:cs="Times New Roman"/>
          <w:sz w:val="24"/>
        </w:rPr>
      </w:pPr>
      <w:r>
        <w:rPr>
          <w:rFonts w:ascii="Times New Roman" w:hAnsi="Times New Roman" w:cs="Times New Roman"/>
          <w:sz w:val="24"/>
        </w:rPr>
        <w:tab/>
      </w:r>
      <w:r w:rsidR="00222357">
        <w:rPr>
          <w:rFonts w:ascii="Times New Roman" w:hAnsi="Times New Roman" w:cs="Times New Roman"/>
          <w:sz w:val="24"/>
        </w:rPr>
        <w:t>droit de suit, jaminan fidusia tetap mengikuti benda yang menjadi obyek jaminan fidusia dalam tangan siapapun benda tersebut berada, kecuali pengalihan aas benda persediaan yang menjadi objek jaminan fidusia.</w:t>
      </w:r>
      <w:r w:rsidR="00EB7927">
        <w:rPr>
          <w:rStyle w:val="FootnoteReference"/>
          <w:rFonts w:ascii="Times New Roman" w:hAnsi="Times New Roman" w:cs="Times New Roman"/>
          <w:sz w:val="24"/>
        </w:rPr>
        <w:footnoteReference w:id="16"/>
      </w:r>
    </w:p>
    <w:p w:rsidR="00222357" w:rsidRDefault="00BD0BA8" w:rsidP="00BD0BA8">
      <w:pPr>
        <w:spacing w:after="0" w:line="480" w:lineRule="auto"/>
        <w:ind w:left="709" w:hanging="283"/>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r>
      <w:r w:rsidR="00303516">
        <w:rPr>
          <w:rFonts w:ascii="Times New Roman" w:hAnsi="Times New Roman" w:cs="Times New Roman"/>
          <w:sz w:val="24"/>
        </w:rPr>
        <w:t>P</w:t>
      </w:r>
      <w:r w:rsidR="00222357">
        <w:rPr>
          <w:rFonts w:ascii="Times New Roman" w:hAnsi="Times New Roman" w:cs="Times New Roman"/>
          <w:sz w:val="24"/>
        </w:rPr>
        <w:t xml:space="preserve">endaftaran jaminan fidusia </w:t>
      </w:r>
    </w:p>
    <w:p w:rsidR="00222357" w:rsidRDefault="00222357" w:rsidP="00BD0BA8">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Dalam Undang-undang Nomor 42 tahun 1999 tentang jaminan fidusia, diatur mengenai </w:t>
      </w:r>
      <w:r w:rsidR="00A46382">
        <w:rPr>
          <w:rFonts w:ascii="Times New Roman" w:hAnsi="Times New Roman" w:cs="Times New Roman"/>
          <w:sz w:val="24"/>
        </w:rPr>
        <w:t>pendaftaran jaminan fidusia pada bab III, Bagian kedua Pasal 11 sampai dengan</w:t>
      </w:r>
      <w:r w:rsidR="005C2D77">
        <w:rPr>
          <w:rFonts w:ascii="Times New Roman" w:hAnsi="Times New Roman" w:cs="Times New Roman"/>
          <w:sz w:val="24"/>
        </w:rPr>
        <w:t xml:space="preserve"> Pasal 18. Dalam Pasal 11 Undang</w:t>
      </w:r>
      <w:r w:rsidR="00A46382">
        <w:rPr>
          <w:rFonts w:ascii="Times New Roman" w:hAnsi="Times New Roman" w:cs="Times New Roman"/>
          <w:sz w:val="24"/>
        </w:rPr>
        <w:t>-undang jaminan fidusia disebutkan bahwa :</w:t>
      </w:r>
    </w:p>
    <w:p w:rsidR="00A46382" w:rsidRDefault="00BD0BA8"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sidR="00A46382">
        <w:rPr>
          <w:rFonts w:ascii="Times New Roman" w:hAnsi="Times New Roman" w:cs="Times New Roman"/>
          <w:sz w:val="24"/>
        </w:rPr>
        <w:t xml:space="preserve">Benda yang dibebani dengan jaminan fidusia wajib didaftarkan </w:t>
      </w:r>
    </w:p>
    <w:p w:rsidR="00A46382" w:rsidRDefault="00BD0BA8"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D</w:t>
      </w:r>
      <w:r w:rsidR="00A46382">
        <w:rPr>
          <w:rFonts w:ascii="Times New Roman" w:hAnsi="Times New Roman" w:cs="Times New Roman"/>
          <w:sz w:val="24"/>
        </w:rPr>
        <w:t xml:space="preserve">alam hal benda yang dibebani dengan jaminan fidusia berada diluar wilayah negara Republik Indonesia, kewajiban sebagaimana dimaksud ayat (1) tetap berlaku. Pendaftaran benda yang dibebani dengan jaminan fidusia dilaksankan ditempat kedudukan pemberi fidusia, dan pendaftaran mencakup benda, baik yang berada didalam maupun diluar wilayah negara Republik Indonesia utuk </w:t>
      </w:r>
      <w:r w:rsidR="00EB7927">
        <w:rPr>
          <w:rFonts w:ascii="Times New Roman" w:hAnsi="Times New Roman" w:cs="Times New Roman"/>
          <w:sz w:val="24"/>
        </w:rPr>
        <w:t>memenuhi asas publisitas, sekaligus merupakan jaminan kepastian terhadap kreditur lainnya mengenai benda yang telah dibebani jaminan fidusia.</w:t>
      </w:r>
      <w:r w:rsidR="00EB7927">
        <w:rPr>
          <w:rStyle w:val="FootnoteReference"/>
          <w:rFonts w:ascii="Times New Roman" w:hAnsi="Times New Roman" w:cs="Times New Roman"/>
          <w:sz w:val="24"/>
        </w:rPr>
        <w:footnoteReference w:id="17"/>
      </w:r>
    </w:p>
    <w:p w:rsidR="00EB7927" w:rsidRPr="00CD7B6D" w:rsidRDefault="00EB7927" w:rsidP="00BD0BA8">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Tempat pendaftaran fidusia adalah dikantor pendaftaran fidusia yang berada dibawah naungan Departemen Kehakiman RI Kantor ini yang akan mengurus admininistrasi pendaftaran jamina fidusia</w:t>
      </w:r>
      <w:r w:rsidR="00120063">
        <w:rPr>
          <w:rStyle w:val="FootnoteReference"/>
          <w:rFonts w:ascii="Times New Roman" w:hAnsi="Times New Roman" w:cs="Times New Roman"/>
          <w:sz w:val="24"/>
        </w:rPr>
        <w:footnoteReference w:id="18"/>
      </w:r>
      <w:r>
        <w:rPr>
          <w:rFonts w:ascii="Times New Roman" w:hAnsi="Times New Roman" w:cs="Times New Roman"/>
          <w:sz w:val="24"/>
        </w:rPr>
        <w:t xml:space="preserve">. Saat ini, kantor </w:t>
      </w:r>
      <w:r>
        <w:rPr>
          <w:rFonts w:ascii="Times New Roman" w:hAnsi="Times New Roman" w:cs="Times New Roman"/>
          <w:sz w:val="24"/>
        </w:rPr>
        <w:lastRenderedPageBreak/>
        <w:t>pendaftaran fidusia berkedudukan di ibu kota Provinsi di wilayah I</w:t>
      </w:r>
      <w:r w:rsidR="00120063">
        <w:rPr>
          <w:rFonts w:ascii="Times New Roman" w:hAnsi="Times New Roman" w:cs="Times New Roman"/>
          <w:sz w:val="24"/>
        </w:rPr>
        <w:t xml:space="preserve">ndonesia. Tata cara pendaftaran jaminan fidusia diatur sebagai berikut. </w:t>
      </w:r>
      <w:r w:rsidR="00120063">
        <w:rPr>
          <w:rStyle w:val="FootnoteReference"/>
          <w:rFonts w:ascii="Times New Roman" w:hAnsi="Times New Roman" w:cs="Times New Roman"/>
          <w:sz w:val="24"/>
        </w:rPr>
        <w:footnoteReference w:id="19"/>
      </w:r>
    </w:p>
    <w:p w:rsidR="00120063" w:rsidRDefault="005C2D77"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EF4ECC">
        <w:rPr>
          <w:rFonts w:ascii="Times New Roman" w:hAnsi="Times New Roman" w:cs="Times New Roman"/>
          <w:sz w:val="24"/>
        </w:rPr>
        <w:t>P</w:t>
      </w:r>
      <w:r w:rsidR="00120063">
        <w:rPr>
          <w:rFonts w:ascii="Times New Roman" w:hAnsi="Times New Roman" w:cs="Times New Roman"/>
          <w:sz w:val="24"/>
        </w:rPr>
        <w:t>enerima fidusia, kuasa atau wakilnya mengajukan permohonan pendaftaran jaminan fidusia dengan melampirkan pernyataan pendaftaran jaminan fidusia pada Kantor Pendaftaran Fidusia;</w:t>
      </w:r>
    </w:p>
    <w:p w:rsidR="00120063" w:rsidRDefault="00120063"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b. Kant</w:t>
      </w:r>
      <w:r w:rsidR="00EF4ECC">
        <w:rPr>
          <w:rFonts w:ascii="Times New Roman" w:hAnsi="Times New Roman" w:cs="Times New Roman"/>
          <w:sz w:val="24"/>
        </w:rPr>
        <w:t>o</w:t>
      </w:r>
      <w:r>
        <w:rPr>
          <w:rFonts w:ascii="Times New Roman" w:hAnsi="Times New Roman" w:cs="Times New Roman"/>
          <w:sz w:val="24"/>
        </w:rPr>
        <w:t>r pendaftaran Fidusia mencatat jaminan fidusia dalam buku Daftar Fidusia pada tanggal yang sama dengan tanggal penerimaan permohonan pendaftaran;</w:t>
      </w:r>
    </w:p>
    <w:p w:rsidR="00CD7B6D" w:rsidRDefault="00BD0BA8"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sz w:val="24"/>
        </w:rPr>
        <w:tab/>
      </w:r>
      <w:r w:rsidR="00120063">
        <w:rPr>
          <w:rFonts w:ascii="Times New Roman" w:hAnsi="Times New Roman" w:cs="Times New Roman"/>
          <w:sz w:val="24"/>
        </w:rPr>
        <w:t>Membayar biaya pendaftaran jaminan fidusia sesuai tarif yang ditentukan;</w:t>
      </w:r>
    </w:p>
    <w:p w:rsidR="00120063" w:rsidRDefault="00120063"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d. Kantor Pendaftaran Fidusia menerbitkan dan menyerahkan kepada penerima fidusia, yang merupakan Salinan dari Buku Daftar Fidusia pada tanggal yang sama dengan tanggal penerimaan permohonan pendaftara;</w:t>
      </w:r>
    </w:p>
    <w:p w:rsidR="00120063" w:rsidRDefault="00BD0BA8"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r>
      <w:r w:rsidR="00EF4ECC">
        <w:rPr>
          <w:rFonts w:ascii="Times New Roman" w:hAnsi="Times New Roman" w:cs="Times New Roman"/>
          <w:sz w:val="24"/>
        </w:rPr>
        <w:t>J</w:t>
      </w:r>
      <w:r w:rsidR="00120063">
        <w:rPr>
          <w:rFonts w:ascii="Times New Roman" w:hAnsi="Times New Roman" w:cs="Times New Roman"/>
          <w:sz w:val="24"/>
        </w:rPr>
        <w:t>aminan fidusia lahir pada tanggal yang sama dengan tanggal dicatatkan jaminan fidusia dalam Buku Daftar Fidusia.</w:t>
      </w:r>
    </w:p>
    <w:p w:rsidR="00951704" w:rsidRDefault="00120063" w:rsidP="00BD0BA8">
      <w:p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Dengan adanya Peraturan Pemerintah </w:t>
      </w:r>
      <w:r w:rsidR="00951704">
        <w:rPr>
          <w:rFonts w:ascii="Times New Roman" w:hAnsi="Times New Roman" w:cs="Times New Roman"/>
          <w:sz w:val="24"/>
        </w:rPr>
        <w:t>Nomor 21 tahun 2015 Tentang Cara Pedaftaran Jaminan Fidusia dan Biaya Pembuatan Jaminan Fidusia, telah memeberlakukan pendaftaran jaminan fidusia secara elektronik . hal ini bisa lihat dalam Pasal 2 PP No. 21 tahun 2015 sebagai berikut :</w:t>
      </w:r>
    </w:p>
    <w:p w:rsidR="00951704" w:rsidRDefault="005C2D77"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sidR="00EF4ECC">
        <w:rPr>
          <w:rFonts w:ascii="Times New Roman" w:hAnsi="Times New Roman" w:cs="Times New Roman"/>
          <w:sz w:val="24"/>
        </w:rPr>
        <w:t>P</w:t>
      </w:r>
      <w:r w:rsidR="00951704">
        <w:rPr>
          <w:rFonts w:ascii="Times New Roman" w:hAnsi="Times New Roman" w:cs="Times New Roman"/>
          <w:sz w:val="24"/>
        </w:rPr>
        <w:t xml:space="preserve">emohonan pendaftaran jaminan fidusia, permohonan perbaikan sertifikat jaminan fidusia, dan pemberitahuan penghusan sertifikat </w:t>
      </w:r>
      <w:r w:rsidR="00951704">
        <w:rPr>
          <w:rFonts w:ascii="Times New Roman" w:hAnsi="Times New Roman" w:cs="Times New Roman"/>
          <w:sz w:val="24"/>
        </w:rPr>
        <w:lastRenderedPageBreak/>
        <w:t>jaminan jaminan fidusia diajukan oleh penerima fidusia, kuasa atau wakilnya kepada Menteri.</w:t>
      </w:r>
    </w:p>
    <w:p w:rsidR="002A6339" w:rsidRDefault="005C2D77" w:rsidP="00BD0BA8">
      <w:pPr>
        <w:spacing w:after="0" w:line="480" w:lineRule="auto"/>
        <w:ind w:left="993"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00951704">
        <w:rPr>
          <w:rFonts w:ascii="Times New Roman" w:hAnsi="Times New Roman" w:cs="Times New Roman"/>
          <w:sz w:val="24"/>
        </w:rPr>
        <w:t>Permohonan sebagaimana dimaksud pada ayat (1) diajukan melalui system pendaftaran jaminan fidusia secara electronic</w:t>
      </w:r>
      <w:r w:rsidR="007B3476">
        <w:rPr>
          <w:rFonts w:ascii="Times New Roman" w:hAnsi="Times New Roman" w:cs="Times New Roman"/>
          <w:sz w:val="24"/>
        </w:rPr>
        <w:t>.</w:t>
      </w:r>
    </w:p>
    <w:p w:rsidR="005C2D77" w:rsidRDefault="007B3476" w:rsidP="00BD0BA8">
      <w:pPr>
        <w:spacing w:after="0" w:line="480" w:lineRule="auto"/>
        <w:ind w:left="709" w:hanging="283"/>
        <w:jc w:val="both"/>
        <w:rPr>
          <w:rFonts w:ascii="Times New Roman" w:hAnsi="Times New Roman" w:cs="Times New Roman"/>
          <w:sz w:val="24"/>
        </w:rPr>
      </w:pPr>
      <w:r w:rsidRPr="007B3476">
        <w:rPr>
          <w:rFonts w:ascii="Times New Roman" w:hAnsi="Times New Roman" w:cs="Times New Roman"/>
          <w:sz w:val="24"/>
        </w:rPr>
        <w:t>7</w:t>
      </w:r>
      <w:r w:rsidR="00BD0BA8">
        <w:rPr>
          <w:rFonts w:ascii="Times New Roman" w:hAnsi="Times New Roman" w:cs="Times New Roman"/>
          <w:sz w:val="24"/>
        </w:rPr>
        <w:t>.</w:t>
      </w:r>
      <w:r w:rsidR="00BD0BA8">
        <w:rPr>
          <w:rFonts w:ascii="Times New Roman" w:hAnsi="Times New Roman" w:cs="Times New Roman"/>
          <w:sz w:val="24"/>
        </w:rPr>
        <w:tab/>
      </w:r>
      <w:r w:rsidR="00BC5B42" w:rsidRPr="007B3476">
        <w:rPr>
          <w:rFonts w:ascii="Times New Roman" w:hAnsi="Times New Roman" w:cs="Times New Roman"/>
          <w:sz w:val="24"/>
        </w:rPr>
        <w:t>Proses terjadinya Jaminan Fidusia</w:t>
      </w:r>
    </w:p>
    <w:p w:rsidR="001F1A33" w:rsidRDefault="008806DD" w:rsidP="00BD0BA8">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Dalam proses terjadinya jaminan fidusia dilaksanakan melalui dua tahap yaitu tahap pembebanan benda dengan jaminan fidusia dibuatkan dengan akta notaris dalam Bahasa Indonesia merupakan akta jaminan fidusia alasan Undang-Undang menetapkan dengan akta notaris adalah : akta notaris adalah akta otentik sehingga memiliki kekuatan pembuktian sempurna, objek jaminan fidusia pada umumnya adalah benda bergerak, Undang-Undang melarang adanya fidusia ulang. Dalam akta jaminan fidusia selain mencantumkan hari dan tanggal, juga mencantumkan mengenai waktu (jam) pembuatan akta tersebut. Dan tahap pendaftaran jaminan fidusia memberikan kepastian kepada kreditur lain mengenai benda yang telah dibebani jaminan fidusia, memberikan hak yang di dahulukan terhadap kreditur dan untuk memenuhi asas</w:t>
      </w:r>
      <w:r w:rsidR="007C42EA">
        <w:rPr>
          <w:rFonts w:ascii="Times New Roman" w:hAnsi="Times New Roman" w:cs="Times New Roman"/>
          <w:sz w:val="24"/>
        </w:rPr>
        <w:t xml:space="preserve"> publisitas karena kantor pendaftaran terbuka umum. Benda yang dibebani dengan jaminan fidusia wajib didaftarkan termasuk juga benda yang dibebani jaminan fidusia walaupun berada diluar wilayah negara Republik Indonesia. </w:t>
      </w:r>
    </w:p>
    <w:p w:rsidR="00DC1875" w:rsidRDefault="007C42EA" w:rsidP="00BD0BA8">
      <w:pPr>
        <w:pStyle w:val="ListParagraph"/>
        <w:spacing w:after="0" w:line="480" w:lineRule="auto"/>
        <w:ind w:left="709" w:firstLine="567"/>
        <w:jc w:val="both"/>
        <w:rPr>
          <w:rFonts w:ascii="Times New Roman" w:hAnsi="Times New Roman" w:cs="Times New Roman"/>
          <w:sz w:val="24"/>
        </w:rPr>
      </w:pPr>
      <w:r>
        <w:rPr>
          <w:rFonts w:ascii="Times New Roman" w:hAnsi="Times New Roman" w:cs="Times New Roman"/>
          <w:sz w:val="24"/>
        </w:rPr>
        <w:t>Pendaftaran benda yang dibebani dengan jaminan fidusia dilaksanakan ditempat kedudukan pemberi fidusia dan pendaftaran mencakup benda baik</w:t>
      </w:r>
      <w:r w:rsidR="00250FBA">
        <w:rPr>
          <w:rFonts w:ascii="Times New Roman" w:hAnsi="Times New Roman" w:cs="Times New Roman"/>
          <w:sz w:val="24"/>
        </w:rPr>
        <w:t xml:space="preserve"> yang berad</w:t>
      </w:r>
      <w:r>
        <w:rPr>
          <w:rFonts w:ascii="Times New Roman" w:hAnsi="Times New Roman" w:cs="Times New Roman"/>
          <w:sz w:val="24"/>
        </w:rPr>
        <w:t>a di</w:t>
      </w:r>
      <w:r w:rsidR="00250FBA">
        <w:rPr>
          <w:rFonts w:ascii="Times New Roman" w:hAnsi="Times New Roman" w:cs="Times New Roman"/>
          <w:sz w:val="24"/>
        </w:rPr>
        <w:t xml:space="preserve"> </w:t>
      </w:r>
      <w:r>
        <w:rPr>
          <w:rFonts w:ascii="Times New Roman" w:hAnsi="Times New Roman" w:cs="Times New Roman"/>
          <w:sz w:val="24"/>
        </w:rPr>
        <w:t xml:space="preserve">dalam maupun diluar wilayah Negara </w:t>
      </w:r>
      <w:r>
        <w:rPr>
          <w:rFonts w:ascii="Times New Roman" w:hAnsi="Times New Roman" w:cs="Times New Roman"/>
          <w:sz w:val="24"/>
        </w:rPr>
        <w:lastRenderedPageBreak/>
        <w:t>Republik Indonesia untuk memenuhi asas publisitas, sehingga merupakan jaminan kepastian terhadap kreditur lainnya mengenai benda yang telah dibebani jaminan fidusia. Pendaftaran fidusia dilakaukan pada kantor pendaftaran fidusia merupakan bagian dalam lingkungan Departemen Kehakiman dan bukan institusi yang mandiri atau unit pelaksanaan teknis.</w:t>
      </w:r>
      <w:r>
        <w:rPr>
          <w:rStyle w:val="FootnoteReference"/>
          <w:rFonts w:ascii="Times New Roman" w:hAnsi="Times New Roman" w:cs="Times New Roman"/>
          <w:sz w:val="24"/>
        </w:rPr>
        <w:footnoteReference w:id="20"/>
      </w:r>
    </w:p>
    <w:p w:rsidR="00E8705A" w:rsidRDefault="00E8705A" w:rsidP="00BD0BA8">
      <w:pPr>
        <w:pStyle w:val="ListParagraph"/>
        <w:spacing w:after="0" w:line="480" w:lineRule="auto"/>
        <w:ind w:left="709" w:firstLine="567"/>
        <w:jc w:val="both"/>
        <w:rPr>
          <w:rFonts w:ascii="Times New Roman" w:hAnsi="Times New Roman" w:cs="Times New Roman"/>
          <w:sz w:val="24"/>
        </w:rPr>
      </w:pPr>
    </w:p>
    <w:p w:rsidR="00BB5433" w:rsidRDefault="005C2D77" w:rsidP="00477928">
      <w:pPr>
        <w:tabs>
          <w:tab w:val="left" w:pos="1920"/>
        </w:tabs>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C.</w:t>
      </w:r>
      <w:r>
        <w:rPr>
          <w:rFonts w:ascii="Times New Roman" w:hAnsi="Times New Roman" w:cs="Times New Roman"/>
          <w:b/>
          <w:sz w:val="24"/>
        </w:rPr>
        <w:tab/>
      </w:r>
      <w:r w:rsidR="00BD0BA8">
        <w:rPr>
          <w:rFonts w:ascii="Times New Roman" w:hAnsi="Times New Roman" w:cs="Times New Roman"/>
          <w:b/>
          <w:sz w:val="24"/>
        </w:rPr>
        <w:t xml:space="preserve">TINJAUAN TENTANG </w:t>
      </w:r>
      <w:r w:rsidR="00E8705A">
        <w:rPr>
          <w:rFonts w:ascii="Times New Roman" w:hAnsi="Times New Roman" w:cs="Times New Roman"/>
          <w:b/>
          <w:sz w:val="24"/>
        </w:rPr>
        <w:t xml:space="preserve">EKSEKUSI </w:t>
      </w:r>
      <w:r w:rsidR="00BD0BA8">
        <w:rPr>
          <w:rFonts w:ascii="Times New Roman" w:hAnsi="Times New Roman" w:cs="Times New Roman"/>
          <w:b/>
          <w:sz w:val="24"/>
        </w:rPr>
        <w:t>JAMINAN FIDUSIA</w:t>
      </w:r>
    </w:p>
    <w:p w:rsidR="00E8705A" w:rsidRPr="00E8705A" w:rsidRDefault="00E8705A" w:rsidP="00EE5657">
      <w:pPr>
        <w:spacing w:after="0" w:line="480" w:lineRule="auto"/>
        <w:ind w:left="709" w:hanging="283"/>
        <w:jc w:val="both"/>
        <w:rPr>
          <w:rFonts w:ascii="Times New Roman" w:hAnsi="Times New Roman" w:cs="Times New Roman"/>
          <w:b/>
          <w:sz w:val="24"/>
        </w:rPr>
      </w:pPr>
      <w:r w:rsidRPr="00E8705A">
        <w:rPr>
          <w:rFonts w:ascii="Times New Roman" w:hAnsi="Times New Roman" w:cs="Times New Roman"/>
          <w:b/>
          <w:sz w:val="24"/>
        </w:rPr>
        <w:t>1.</w:t>
      </w:r>
      <w:r w:rsidRPr="00E8705A">
        <w:rPr>
          <w:rFonts w:ascii="Times New Roman" w:hAnsi="Times New Roman" w:cs="Times New Roman"/>
          <w:b/>
          <w:sz w:val="24"/>
        </w:rPr>
        <w:tab/>
        <w:t>Pengertian Eksekusi</w:t>
      </w:r>
    </w:p>
    <w:p w:rsidR="00E8705A" w:rsidRDefault="00264CB5" w:rsidP="00EE5657">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Ekse</w:t>
      </w:r>
      <w:r w:rsidR="00E8705A">
        <w:rPr>
          <w:rFonts w:ascii="Times New Roman" w:hAnsi="Times New Roman" w:cs="Times New Roman"/>
          <w:sz w:val="24"/>
        </w:rPr>
        <w:t>kus</w:t>
      </w:r>
      <w:r>
        <w:rPr>
          <w:rFonts w:ascii="Times New Roman" w:hAnsi="Times New Roman" w:cs="Times New Roman"/>
          <w:sz w:val="24"/>
        </w:rPr>
        <w:t>i dalam bahasa</w:t>
      </w:r>
      <w:r w:rsidR="00E8705A">
        <w:rPr>
          <w:rFonts w:ascii="Times New Roman" w:hAnsi="Times New Roman" w:cs="Times New Roman"/>
          <w:sz w:val="24"/>
        </w:rPr>
        <w:t xml:space="preserve"> inggris disebut juga </w:t>
      </w:r>
      <w:r w:rsidR="00E8705A" w:rsidRPr="00957D01">
        <w:rPr>
          <w:rFonts w:ascii="Times New Roman" w:hAnsi="Times New Roman" w:cs="Times New Roman"/>
          <w:i/>
          <w:sz w:val="24"/>
        </w:rPr>
        <w:t>executie</w:t>
      </w:r>
      <w:r w:rsidR="00E8705A">
        <w:rPr>
          <w:rFonts w:ascii="Times New Roman" w:hAnsi="Times New Roman" w:cs="Times New Roman"/>
          <w:sz w:val="24"/>
        </w:rPr>
        <w:t xml:space="preserve"> atau uitvoering dalam Bahasa belandanya, sedangkan dalam kamus hukum berarti pelaksanaan putusan pengadilan. Lebih lanjut subekti memberikan definisi tentang eksekusi adalah upaya dari pihak yang dimenangkan dalam putusan guna mendapatkan yang menjadi haknya denga</w:t>
      </w:r>
      <w:r w:rsidR="003910B3">
        <w:rPr>
          <w:rFonts w:ascii="Times New Roman" w:hAnsi="Times New Roman" w:cs="Times New Roman"/>
          <w:sz w:val="24"/>
        </w:rPr>
        <w:t xml:space="preserve">n bantuan kekuatan umum (polisi </w:t>
      </w:r>
      <w:r w:rsidR="00E8705A">
        <w:rPr>
          <w:rFonts w:ascii="Times New Roman" w:hAnsi="Times New Roman" w:cs="Times New Roman"/>
          <w:sz w:val="24"/>
        </w:rPr>
        <w:t>militer) guna memaksa pihak yang dikalahkan untuk melaksa</w:t>
      </w:r>
      <w:r w:rsidR="0031067E">
        <w:rPr>
          <w:rFonts w:ascii="Times New Roman" w:hAnsi="Times New Roman" w:cs="Times New Roman"/>
          <w:sz w:val="24"/>
        </w:rPr>
        <w:t>nakan bunyi putusan. E</w:t>
      </w:r>
      <w:r w:rsidR="00E8705A">
        <w:rPr>
          <w:rFonts w:ascii="Times New Roman" w:hAnsi="Times New Roman" w:cs="Times New Roman"/>
          <w:sz w:val="24"/>
        </w:rPr>
        <w:t>kseksusi atau pelaksanaan putusan hakim pada hakikatnya tidak lain adalah realisasi dari kewajiban pihak yang bersangkutan untuk mememnuh prestasi yang tercantum dalam putusan tersebut</w:t>
      </w:r>
      <w:r w:rsidR="007123FF">
        <w:rPr>
          <w:rStyle w:val="FootnoteReference"/>
          <w:rFonts w:ascii="Times New Roman" w:hAnsi="Times New Roman" w:cs="Times New Roman"/>
          <w:sz w:val="24"/>
        </w:rPr>
        <w:footnoteReference w:id="21"/>
      </w:r>
      <w:r w:rsidR="00E8705A">
        <w:rPr>
          <w:rFonts w:ascii="Times New Roman" w:hAnsi="Times New Roman" w:cs="Times New Roman"/>
          <w:sz w:val="24"/>
        </w:rPr>
        <w:t xml:space="preserve">. Jika diperhatikan pengertian-pengertian diatas tampak sekali, bahwa eksekusi-eksekusi dimaksud terbatas pada eksekusi putusan hakim (pengadilan) semata. Selain putusan hakim yang juga dapat dieksekusi adalah Salinan </w:t>
      </w:r>
      <w:r w:rsidR="00957D01">
        <w:rPr>
          <w:rFonts w:ascii="Times New Roman" w:hAnsi="Times New Roman" w:cs="Times New Roman"/>
          <w:sz w:val="24"/>
        </w:rPr>
        <w:lastRenderedPageBreak/>
        <w:t>atau akta not</w:t>
      </w:r>
      <w:r w:rsidR="00E8705A">
        <w:rPr>
          <w:rFonts w:ascii="Times New Roman" w:hAnsi="Times New Roman" w:cs="Times New Roman"/>
          <w:sz w:val="24"/>
        </w:rPr>
        <w:t xml:space="preserve">ariil </w:t>
      </w:r>
      <w:r w:rsidR="007123FF">
        <w:rPr>
          <w:rStyle w:val="FootnoteReference"/>
          <w:rFonts w:ascii="Times New Roman" w:hAnsi="Times New Roman" w:cs="Times New Roman"/>
          <w:sz w:val="24"/>
        </w:rPr>
        <w:footnoteReference w:id="22"/>
      </w:r>
      <w:r w:rsidR="00E8705A">
        <w:rPr>
          <w:rFonts w:ascii="Times New Roman" w:hAnsi="Times New Roman" w:cs="Times New Roman"/>
          <w:sz w:val="24"/>
        </w:rPr>
        <w:t>(yang berisi kewajiban membayar sejumlah uang) didalam akta tersebut memuat irah-irah “DEMI KEADILAN BERDASARKAN KETUHANAN YANG MAHA ESA” dan mempunyai kekuatan hukum yang sama dengan putusan hakim. Ekseskusi dimaksud data diartikan sebagai upaya paksa untuk merealisasikan hak</w:t>
      </w:r>
      <w:r w:rsidR="00E8705A">
        <w:rPr>
          <w:rStyle w:val="FootnoteReference"/>
          <w:rFonts w:ascii="Times New Roman" w:hAnsi="Times New Roman" w:cs="Times New Roman"/>
          <w:sz w:val="24"/>
        </w:rPr>
        <w:footnoteReference w:id="23"/>
      </w:r>
      <w:r w:rsidR="007123FF">
        <w:rPr>
          <w:rFonts w:ascii="Times New Roman" w:hAnsi="Times New Roman" w:cs="Times New Roman"/>
          <w:sz w:val="24"/>
        </w:rPr>
        <w:t>.</w:t>
      </w:r>
    </w:p>
    <w:p w:rsidR="007123FF" w:rsidRDefault="007123FF" w:rsidP="007123FF">
      <w:pPr>
        <w:spacing w:after="0" w:line="480" w:lineRule="auto"/>
        <w:ind w:left="426"/>
        <w:jc w:val="both"/>
        <w:rPr>
          <w:rFonts w:ascii="Times New Roman" w:hAnsi="Times New Roman" w:cs="Times New Roman"/>
          <w:b/>
          <w:sz w:val="24"/>
        </w:rPr>
      </w:pPr>
      <w:r w:rsidRPr="00167085">
        <w:rPr>
          <w:rFonts w:ascii="Times New Roman" w:hAnsi="Times New Roman" w:cs="Times New Roman"/>
          <w:b/>
          <w:sz w:val="24"/>
        </w:rPr>
        <w:t>2.</w:t>
      </w:r>
      <w:r w:rsidR="00167085" w:rsidRPr="00167085">
        <w:rPr>
          <w:rFonts w:ascii="Times New Roman" w:hAnsi="Times New Roman" w:cs="Times New Roman"/>
          <w:b/>
          <w:sz w:val="24"/>
        </w:rPr>
        <w:t xml:space="preserve"> Dasar Hukum Eksekusi </w:t>
      </w:r>
    </w:p>
    <w:p w:rsidR="007123FF" w:rsidRDefault="00167085" w:rsidP="00EE5657">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Eksekusi merupakan tindakan hukum yang dilakukan oleh pengadilan kepada pihak yang kalah dalam suatu perkara, juga merupakan aturan dan tata cara lanjutan dari proses pemeriksaan perkara. Eksekusi merupakan tindakan yang berkelanjutan dari keseluruhan proses hukum acara perdata. Eksekusi merupakan satu kesatuan yang tidak terpisahkam dari pelaksanaan tata tertib yang beracara yang terkandung dalam HIR atau RBG. Dan termasuk juga didalamnya pedoman aturan eksekusi yang harus merujuk pada pengaturan perundang-undangan sebagaimana diatur dalam HIR atau RBG.</w:t>
      </w:r>
      <w:r>
        <w:rPr>
          <w:rStyle w:val="FootnoteReference"/>
          <w:rFonts w:ascii="Times New Roman" w:hAnsi="Times New Roman" w:cs="Times New Roman"/>
          <w:sz w:val="24"/>
        </w:rPr>
        <w:footnoteReference w:id="24"/>
      </w:r>
    </w:p>
    <w:p w:rsidR="00E8705A" w:rsidRDefault="00EE5657" w:rsidP="000F476D">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Tata cara menjalankan putusan yang disebut juga eksekusi, diatur lebih lanjut dalam Pasal 195 sampai dengan 208 dan pasal 224 HIR atau Pasal 206 sampai dengan Pasal 240 dan Pasal 258 RBG.</w:t>
      </w:r>
      <w:r w:rsidR="000F476D">
        <w:rPr>
          <w:rFonts w:ascii="Times New Roman" w:hAnsi="Times New Roman" w:cs="Times New Roman"/>
          <w:sz w:val="24"/>
        </w:rPr>
        <w:t xml:space="preserve"> Selain Pasal-Pasal tersebut, masih terdapat lagi yang mengatur pelakasanaan eksekusi yaitu Pasal 225 HIR atau 259 RBG. Kedua Pasal ini mengatur tentang putusan </w:t>
      </w:r>
      <w:r w:rsidR="000F476D">
        <w:rPr>
          <w:rFonts w:ascii="Times New Roman" w:hAnsi="Times New Roman" w:cs="Times New Roman"/>
          <w:sz w:val="24"/>
        </w:rPr>
        <w:lastRenderedPageBreak/>
        <w:t>pengadilan yang menghukum tergugat untuk melakukan suatu “perbuatan tertentu”. Dan Pasal 180 HIR atau Pasal 1919 RBG, yang mengatur pelaksanaan putusan secara “serta merta” (</w:t>
      </w:r>
      <w:r w:rsidR="000F476D" w:rsidRPr="009D4270">
        <w:rPr>
          <w:rFonts w:ascii="Times New Roman" w:hAnsi="Times New Roman" w:cs="Times New Roman"/>
          <w:i/>
          <w:sz w:val="24"/>
        </w:rPr>
        <w:t>uitoverbaar</w:t>
      </w:r>
      <w:r w:rsidR="009D4270" w:rsidRPr="009D4270">
        <w:rPr>
          <w:rFonts w:ascii="Times New Roman" w:hAnsi="Times New Roman" w:cs="Times New Roman"/>
          <w:i/>
          <w:sz w:val="24"/>
        </w:rPr>
        <w:t xml:space="preserve"> bij voorraad</w:t>
      </w:r>
      <w:r w:rsidR="009D4270">
        <w:rPr>
          <w:rFonts w:ascii="Times New Roman" w:hAnsi="Times New Roman" w:cs="Times New Roman"/>
          <w:sz w:val="24"/>
        </w:rPr>
        <w:t>) meskipun putusan tersebut belum memperoleh kekuatan hukum yang tetap.</w:t>
      </w:r>
      <w:r w:rsidR="009D4270">
        <w:rPr>
          <w:rStyle w:val="FootnoteReference"/>
          <w:rFonts w:ascii="Times New Roman" w:hAnsi="Times New Roman" w:cs="Times New Roman"/>
          <w:sz w:val="24"/>
        </w:rPr>
        <w:footnoteReference w:id="25"/>
      </w:r>
    </w:p>
    <w:p w:rsidR="009D4270" w:rsidRDefault="009D4270" w:rsidP="000F476D">
      <w:pPr>
        <w:spacing w:after="0" w:line="480" w:lineRule="auto"/>
        <w:ind w:left="709" w:firstLine="567"/>
        <w:jc w:val="both"/>
        <w:rPr>
          <w:rFonts w:ascii="Times New Roman" w:hAnsi="Times New Roman" w:cs="Times New Roman"/>
          <w:sz w:val="24"/>
        </w:rPr>
      </w:pPr>
    </w:p>
    <w:p w:rsidR="009D4270" w:rsidRDefault="009D4270" w:rsidP="009D4270">
      <w:pPr>
        <w:spacing w:after="0" w:line="480" w:lineRule="auto"/>
        <w:ind w:left="709" w:hanging="283"/>
        <w:jc w:val="both"/>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ab/>
      </w:r>
      <w:r w:rsidRPr="009D4270">
        <w:rPr>
          <w:rFonts w:ascii="Times New Roman" w:hAnsi="Times New Roman" w:cs="Times New Roman"/>
          <w:b/>
          <w:sz w:val="24"/>
        </w:rPr>
        <w:t>Asas-asas Eksekusi</w:t>
      </w:r>
    </w:p>
    <w:p w:rsidR="009D4270" w:rsidRPr="009D4270" w:rsidRDefault="009D4270" w:rsidP="00DB5C4B">
      <w:pPr>
        <w:spacing w:after="0" w:line="480" w:lineRule="auto"/>
        <w:ind w:left="709"/>
        <w:jc w:val="both"/>
        <w:rPr>
          <w:rFonts w:ascii="Times New Roman" w:hAnsi="Times New Roman" w:cs="Times New Roman"/>
          <w:b/>
          <w:sz w:val="24"/>
        </w:rPr>
      </w:pPr>
      <w:r>
        <w:rPr>
          <w:rFonts w:ascii="Times New Roman" w:hAnsi="Times New Roman" w:cs="Times New Roman"/>
          <w:b/>
          <w:sz w:val="24"/>
        </w:rPr>
        <w:t>a. Menjalankan Putusan yang telah memperoleh kekuatan tetap</w:t>
      </w:r>
    </w:p>
    <w:p w:rsidR="00330DBE" w:rsidRDefault="009D4270" w:rsidP="00DB5C4B">
      <w:pPr>
        <w:spacing w:after="0" w:line="480" w:lineRule="auto"/>
        <w:ind w:left="993" w:firstLine="567"/>
        <w:jc w:val="both"/>
        <w:rPr>
          <w:rFonts w:ascii="Times New Roman" w:hAnsi="Times New Roman" w:cs="Times New Roman"/>
          <w:sz w:val="24"/>
          <w:szCs w:val="24"/>
        </w:rPr>
      </w:pPr>
      <w:r w:rsidRPr="00F10195">
        <w:rPr>
          <w:rFonts w:ascii="Times New Roman" w:hAnsi="Times New Roman" w:cs="Times New Roman"/>
          <w:sz w:val="24"/>
          <w:szCs w:val="24"/>
        </w:rPr>
        <w:t>Pelaksanaan putusan atau eksekusi adalah tindakan yang dilakukan secara paksa terhadap pihak yang kalah (pihak Tergugat). Kedudukan Tergugat pada waktu pelak</w:t>
      </w:r>
      <w:r>
        <w:rPr>
          <w:rFonts w:ascii="Times New Roman" w:hAnsi="Times New Roman" w:cs="Times New Roman"/>
          <w:sz w:val="24"/>
          <w:szCs w:val="24"/>
        </w:rPr>
        <w:t xml:space="preserve">sanaan eksekusi berubah menjadi </w:t>
      </w:r>
      <w:r w:rsidRPr="00F10195">
        <w:rPr>
          <w:rFonts w:ascii="Times New Roman" w:hAnsi="Times New Roman" w:cs="Times New Roman"/>
          <w:sz w:val="24"/>
          <w:szCs w:val="24"/>
        </w:rPr>
        <w:t xml:space="preserve">”Pihak Tereksekusi”. </w:t>
      </w:r>
    </w:p>
    <w:p w:rsidR="00E8705A" w:rsidRDefault="009D4270" w:rsidP="00DB5C4B">
      <w:pPr>
        <w:spacing w:after="0" w:line="480" w:lineRule="auto"/>
        <w:ind w:left="993" w:firstLine="567"/>
        <w:jc w:val="both"/>
        <w:rPr>
          <w:rFonts w:ascii="Times New Roman" w:hAnsi="Times New Roman" w:cs="Times New Roman"/>
          <w:sz w:val="24"/>
          <w:szCs w:val="24"/>
        </w:rPr>
      </w:pPr>
      <w:r w:rsidRPr="00F10195">
        <w:rPr>
          <w:rFonts w:ascii="Times New Roman" w:hAnsi="Times New Roman" w:cs="Times New Roman"/>
          <w:sz w:val="24"/>
          <w:szCs w:val="24"/>
        </w:rPr>
        <w:t>Tidak semua putusan pengadilan mempunyai kekuatan eksekutorial. Artinya, tidak semua putusan dengan sendirinya melekat kekuatan eksekutorial. Dengan demikian, tidak semua putusan pengadilan dapat dieksekusi</w:t>
      </w:r>
      <w:r w:rsidR="00330DBE">
        <w:rPr>
          <w:rFonts w:ascii="Times New Roman" w:hAnsi="Times New Roman" w:cs="Times New Roman"/>
          <w:sz w:val="24"/>
          <w:szCs w:val="24"/>
        </w:rPr>
        <w:t xml:space="preserve">. </w:t>
      </w:r>
      <w:r w:rsidR="00330DBE" w:rsidRPr="00F10195">
        <w:rPr>
          <w:rFonts w:ascii="Times New Roman" w:hAnsi="Times New Roman" w:cs="Times New Roman"/>
          <w:sz w:val="24"/>
          <w:szCs w:val="24"/>
        </w:rPr>
        <w:t>Putusan yang belum dapat dieksekusi ialah putusan yang belum dapat dijalankan. Pada prinsipnya hanya putusan yang telah memperoleh kekuatan hukum yang teta</w:t>
      </w:r>
      <w:r w:rsidR="00330DBE">
        <w:rPr>
          <w:rFonts w:ascii="Times New Roman" w:hAnsi="Times New Roman" w:cs="Times New Roman"/>
          <w:sz w:val="24"/>
          <w:szCs w:val="24"/>
        </w:rPr>
        <w:t>p (</w:t>
      </w:r>
      <w:r w:rsidR="00330DBE" w:rsidRPr="00330DBE">
        <w:rPr>
          <w:rFonts w:ascii="Times New Roman" w:hAnsi="Times New Roman" w:cs="Times New Roman"/>
          <w:i/>
          <w:sz w:val="24"/>
          <w:szCs w:val="24"/>
        </w:rPr>
        <w:t>inkracht van gewijsde</w:t>
      </w:r>
      <w:r w:rsidR="00330DBE">
        <w:rPr>
          <w:rFonts w:ascii="Times New Roman" w:hAnsi="Times New Roman" w:cs="Times New Roman"/>
          <w:sz w:val="24"/>
          <w:szCs w:val="24"/>
        </w:rPr>
        <w:t xml:space="preserve">) yang dapat </w:t>
      </w:r>
      <w:r w:rsidR="00330DBE" w:rsidRPr="00F10195">
        <w:rPr>
          <w:rFonts w:ascii="Times New Roman" w:hAnsi="Times New Roman" w:cs="Times New Roman"/>
          <w:sz w:val="24"/>
          <w:szCs w:val="24"/>
        </w:rPr>
        <w:t>”dijalankan”. Putusan yang dapat dieksekusi adalah:</w:t>
      </w:r>
    </w:p>
    <w:p w:rsidR="00330DBE" w:rsidRDefault="00330DBE" w:rsidP="001D6096">
      <w:pPr>
        <w:pStyle w:val="ListParagraph"/>
        <w:numPr>
          <w:ilvl w:val="0"/>
          <w:numId w:val="24"/>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Putusan yang telah memperoleh kekuatan hukum tetap.</w:t>
      </w:r>
    </w:p>
    <w:p w:rsidR="00330DBE" w:rsidRDefault="00330DBE" w:rsidP="001D6096">
      <w:pPr>
        <w:pStyle w:val="ListParagraph"/>
        <w:numPr>
          <w:ilvl w:val="0"/>
          <w:numId w:val="24"/>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lastRenderedPageBreak/>
        <w:t>Karena dalam putusan yang telah berkekuatan hukum yang tetap telah terkandung wujud hubungan hukum yang tetap dan pasti antara pihak yang berpekara.</w:t>
      </w:r>
    </w:p>
    <w:p w:rsidR="00330DBE" w:rsidRPr="00330DBE" w:rsidRDefault="00330DBE" w:rsidP="001D6096">
      <w:pPr>
        <w:pStyle w:val="ListParagraph"/>
        <w:numPr>
          <w:ilvl w:val="0"/>
          <w:numId w:val="24"/>
        </w:numPr>
        <w:spacing w:after="0" w:line="480" w:lineRule="auto"/>
        <w:ind w:left="1276" w:hanging="283"/>
        <w:jc w:val="both"/>
        <w:rPr>
          <w:rFonts w:ascii="Times New Roman" w:hAnsi="Times New Roman" w:cs="Times New Roman"/>
          <w:sz w:val="24"/>
        </w:rPr>
      </w:pPr>
      <w:r w:rsidRPr="00F10195">
        <w:rPr>
          <w:rFonts w:ascii="Times New Roman" w:hAnsi="Times New Roman" w:cs="Times New Roman"/>
          <w:sz w:val="24"/>
          <w:szCs w:val="24"/>
        </w:rPr>
        <w:t>Disebabkan hubungan hukum antara pihak yang berperkara sudah tetap dan pasti, hubungan hukum tersebut harus ditaati dan harus dipenuhi oleh pihak yang dihukum (pihak Tergugat).</w:t>
      </w:r>
    </w:p>
    <w:p w:rsidR="00330DBE" w:rsidRPr="00330DBE" w:rsidRDefault="00330DBE" w:rsidP="001D6096">
      <w:pPr>
        <w:pStyle w:val="ListParagraph"/>
        <w:numPr>
          <w:ilvl w:val="0"/>
          <w:numId w:val="24"/>
        </w:numPr>
        <w:spacing w:after="0" w:line="480" w:lineRule="auto"/>
        <w:ind w:left="1276" w:hanging="283"/>
        <w:jc w:val="both"/>
        <w:rPr>
          <w:rFonts w:ascii="Times New Roman" w:hAnsi="Times New Roman" w:cs="Times New Roman"/>
          <w:sz w:val="24"/>
        </w:rPr>
      </w:pPr>
      <w:r w:rsidRPr="00F10195">
        <w:rPr>
          <w:rFonts w:ascii="Times New Roman" w:hAnsi="Times New Roman" w:cs="Times New Roman"/>
          <w:sz w:val="24"/>
          <w:szCs w:val="24"/>
        </w:rPr>
        <w:t>Cara mentaati dan memenuhi hubungan hukum yang ditetapkan dalam amar putusan yang telah memperoleh kekuatan hukum yang tetap, dapat dilakukan atau dijalankan secara ”sukarela” oleh Pihak Tergugat dan bila enggan menjalankan putusan secara sukarela. Hubungan hukum yang ditetapkan dalam putusan harus dilaksanakan ”dengan paksa” dengan jalan bantuan ”kekuatan umum”.</w:t>
      </w:r>
      <w:r>
        <w:rPr>
          <w:rStyle w:val="FootnoteReference"/>
          <w:rFonts w:ascii="Times New Roman" w:hAnsi="Times New Roman" w:cs="Times New Roman"/>
          <w:sz w:val="24"/>
        </w:rPr>
        <w:footnoteReference w:id="26"/>
      </w:r>
    </w:p>
    <w:p w:rsidR="00330DBE" w:rsidRDefault="00330DBE" w:rsidP="00DB5C4B">
      <w:pPr>
        <w:pStyle w:val="ListParagraph"/>
        <w:spacing w:after="0" w:line="480" w:lineRule="auto"/>
        <w:ind w:left="993" w:firstLine="567"/>
        <w:jc w:val="both"/>
        <w:rPr>
          <w:rFonts w:ascii="Times New Roman" w:hAnsi="Times New Roman" w:cs="Times New Roman"/>
          <w:sz w:val="24"/>
          <w:szCs w:val="24"/>
        </w:rPr>
      </w:pPr>
      <w:r w:rsidRPr="00F10195">
        <w:rPr>
          <w:rFonts w:ascii="Times New Roman" w:hAnsi="Times New Roman" w:cs="Times New Roman"/>
          <w:sz w:val="24"/>
          <w:szCs w:val="24"/>
        </w:rPr>
        <w:t>Pada prinsipnya eksekusi baru dapat berfungsi sebagai tindakan hukum yang s</w:t>
      </w:r>
      <w:r>
        <w:rPr>
          <w:rFonts w:ascii="Times New Roman" w:hAnsi="Times New Roman" w:cs="Times New Roman"/>
          <w:sz w:val="24"/>
          <w:szCs w:val="24"/>
        </w:rPr>
        <w:t>ah dan memaksa, terhitung sejak :</w:t>
      </w:r>
    </w:p>
    <w:p w:rsidR="00330DBE" w:rsidRPr="004B13C8" w:rsidRDefault="00330DBE" w:rsidP="001D6096">
      <w:pPr>
        <w:pStyle w:val="ListParagraph"/>
        <w:numPr>
          <w:ilvl w:val="0"/>
          <w:numId w:val="25"/>
        </w:numPr>
        <w:spacing w:after="0" w:line="480" w:lineRule="auto"/>
        <w:ind w:left="1276" w:hanging="283"/>
        <w:jc w:val="both"/>
        <w:rPr>
          <w:rFonts w:ascii="Times New Roman" w:hAnsi="Times New Roman" w:cs="Times New Roman"/>
          <w:sz w:val="24"/>
        </w:rPr>
      </w:pPr>
      <w:r w:rsidRPr="00F10195">
        <w:rPr>
          <w:rFonts w:ascii="Times New Roman" w:hAnsi="Times New Roman" w:cs="Times New Roman"/>
          <w:sz w:val="24"/>
          <w:szCs w:val="24"/>
        </w:rPr>
        <w:t>Sejak tanggal putusan</w:t>
      </w:r>
      <w:r w:rsidR="004B13C8">
        <w:rPr>
          <w:rFonts w:ascii="Times New Roman" w:hAnsi="Times New Roman" w:cs="Times New Roman"/>
          <w:sz w:val="24"/>
          <w:szCs w:val="24"/>
        </w:rPr>
        <w:t xml:space="preserve"> memperoleh kekuatan yang tetap</w:t>
      </w:r>
      <w:r w:rsidRPr="00F10195">
        <w:rPr>
          <w:rFonts w:ascii="Times New Roman" w:hAnsi="Times New Roman" w:cs="Times New Roman"/>
          <w:sz w:val="24"/>
          <w:szCs w:val="24"/>
        </w:rPr>
        <w:t>; dan</w:t>
      </w:r>
    </w:p>
    <w:p w:rsidR="004B13C8" w:rsidRPr="004B13C8" w:rsidRDefault="004B13C8" w:rsidP="001D6096">
      <w:pPr>
        <w:pStyle w:val="ListParagraph"/>
        <w:numPr>
          <w:ilvl w:val="0"/>
          <w:numId w:val="25"/>
        </w:numPr>
        <w:spacing w:after="0" w:line="480" w:lineRule="auto"/>
        <w:ind w:left="1276" w:hanging="283"/>
        <w:jc w:val="both"/>
        <w:rPr>
          <w:rFonts w:ascii="Times New Roman" w:hAnsi="Times New Roman" w:cs="Times New Roman"/>
          <w:sz w:val="24"/>
        </w:rPr>
      </w:pPr>
      <w:r w:rsidRPr="00F10195">
        <w:rPr>
          <w:rFonts w:ascii="Times New Roman" w:hAnsi="Times New Roman" w:cs="Times New Roman"/>
          <w:sz w:val="24"/>
          <w:szCs w:val="24"/>
        </w:rPr>
        <w:t xml:space="preserve">Pihak Tergugat (yang kalah), tidak mau mentaati dan memenuhi putusan secara sukarela. </w:t>
      </w:r>
    </w:p>
    <w:p w:rsidR="004B13C8" w:rsidRDefault="004B13C8" w:rsidP="00DB5C4B">
      <w:pPr>
        <w:pStyle w:val="ListParagraph"/>
        <w:spacing w:after="0" w:line="480" w:lineRule="auto"/>
        <w:ind w:left="993" w:firstLine="567"/>
        <w:jc w:val="both"/>
        <w:rPr>
          <w:rFonts w:ascii="Times New Roman" w:hAnsi="Times New Roman" w:cs="Times New Roman"/>
          <w:sz w:val="24"/>
          <w:szCs w:val="24"/>
        </w:rPr>
      </w:pPr>
      <w:r w:rsidRPr="00F10195">
        <w:rPr>
          <w:rFonts w:ascii="Times New Roman" w:hAnsi="Times New Roman" w:cs="Times New Roman"/>
          <w:sz w:val="24"/>
          <w:szCs w:val="24"/>
        </w:rPr>
        <w:t>Beberapa bentuk pengecualian yang dapat dibenarkan</w:t>
      </w:r>
      <w:r>
        <w:rPr>
          <w:rFonts w:ascii="Times New Roman" w:hAnsi="Times New Roman" w:cs="Times New Roman"/>
          <w:sz w:val="24"/>
          <w:szCs w:val="24"/>
        </w:rPr>
        <w:t xml:space="preserve"> Undang-undang yang memperkenankan eksekusi dapat dijalankan diluar putusan yang telah memperoleh kekuatan hukum yang tetap. Bentuk-bentuk pengucualian yang diatur dalam undang-undang tersebut adalah:</w:t>
      </w:r>
    </w:p>
    <w:p w:rsidR="00AD14D0" w:rsidRDefault="00AD14D0" w:rsidP="00DB5C4B">
      <w:pPr>
        <w:pStyle w:val="ListParagraph"/>
        <w:spacing w:after="0" w:line="480" w:lineRule="auto"/>
        <w:ind w:left="993" w:firstLine="567"/>
        <w:jc w:val="both"/>
        <w:rPr>
          <w:rFonts w:ascii="Times New Roman" w:hAnsi="Times New Roman" w:cs="Times New Roman"/>
          <w:sz w:val="24"/>
          <w:szCs w:val="24"/>
        </w:rPr>
      </w:pPr>
    </w:p>
    <w:p w:rsidR="004B13C8" w:rsidRDefault="00AD14D0" w:rsidP="00AD14D0">
      <w:pPr>
        <w:pStyle w:val="ListParagraph"/>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004B13C8" w:rsidRPr="004B13C8">
        <w:rPr>
          <w:rFonts w:ascii="Times New Roman" w:hAnsi="Times New Roman" w:cs="Times New Roman"/>
          <w:b/>
          <w:sz w:val="24"/>
          <w:szCs w:val="24"/>
        </w:rPr>
        <w:t>Pelaksanaan Putusan Lebih Dahulu</w:t>
      </w:r>
    </w:p>
    <w:p w:rsidR="00D736D8" w:rsidRPr="001B7E1B" w:rsidRDefault="00D736D8" w:rsidP="00D62CB2">
      <w:pPr>
        <w:spacing w:line="480" w:lineRule="auto"/>
        <w:ind w:left="1276" w:firstLine="567"/>
        <w:jc w:val="both"/>
        <w:rPr>
          <w:rFonts w:ascii="Times New Roman" w:hAnsi="Times New Roman" w:cs="Times New Roman"/>
          <w:sz w:val="24"/>
          <w:szCs w:val="24"/>
        </w:rPr>
      </w:pPr>
      <w:r w:rsidRPr="001B7E1B">
        <w:rPr>
          <w:rFonts w:ascii="Times New Roman" w:hAnsi="Times New Roman" w:cs="Times New Roman"/>
          <w:sz w:val="24"/>
          <w:szCs w:val="24"/>
        </w:rPr>
        <w:t>Pelaksanaan putusan lebih dahulu atau dikenal dengan uitvoerbaer bij voorraad merupakan salah satu pengecualian prinsip yang dibicarakan di atas. Menurut Pasal 180 ayat (1) HIR atau Pasal 191 ayat (1) RBG, eksekusi dapat dijalankan pengadilan terhadap putusan pengadilan, sekalipun putusan yang bersangkutan belum memperoleh kekuatan hukum yang tetap.</w:t>
      </w:r>
    </w:p>
    <w:p w:rsidR="00D736D8" w:rsidRDefault="00D736D8" w:rsidP="00D62CB2">
      <w:pPr>
        <w:pStyle w:val="ListParagraph"/>
        <w:spacing w:after="0" w:line="480" w:lineRule="auto"/>
        <w:ind w:left="1276" w:firstLine="567"/>
        <w:jc w:val="both"/>
        <w:rPr>
          <w:rFonts w:ascii="Times New Roman" w:hAnsi="Times New Roman" w:cs="Times New Roman"/>
          <w:sz w:val="24"/>
          <w:szCs w:val="24"/>
        </w:rPr>
      </w:pPr>
      <w:r w:rsidRPr="001B7E1B">
        <w:rPr>
          <w:rFonts w:ascii="Times New Roman" w:hAnsi="Times New Roman" w:cs="Times New Roman"/>
          <w:sz w:val="24"/>
          <w:szCs w:val="24"/>
        </w:rPr>
        <w:t>Pasal 180 ayat (1) HIR atau Pasal 1919 ayat (1) RBG, memberi hak kepada Penggugat untuk mengajukan permintaan agar putusan dapat dijalankan eksekusinya lebih dahulu, sekalipun terhadap putusan itu pihak Tergugat mengajukan banding atau kasasi. Terhadap permintaan gugat demikian, hakim dapat menjatukan putusan yang memuat amar bahwa putusan dapat dilaksanakan lebih dahulu (putusan dapat dieksekusi serta merta).</w:t>
      </w:r>
    </w:p>
    <w:p w:rsidR="00D736D8" w:rsidRDefault="00D736D8" w:rsidP="00D62CB2">
      <w:pPr>
        <w:pStyle w:val="ListParagraph"/>
        <w:spacing w:after="0" w:line="480" w:lineRule="auto"/>
        <w:ind w:left="1276" w:hanging="283"/>
        <w:jc w:val="both"/>
        <w:rPr>
          <w:rFonts w:ascii="Times New Roman" w:hAnsi="Times New Roman" w:cs="Times New Roman"/>
          <w:b/>
          <w:sz w:val="24"/>
        </w:rPr>
      </w:pPr>
      <w:r w:rsidRPr="00D736D8">
        <w:rPr>
          <w:rFonts w:ascii="Times New Roman" w:hAnsi="Times New Roman" w:cs="Times New Roman"/>
          <w:b/>
          <w:sz w:val="24"/>
        </w:rPr>
        <w:t>2. Pelaksanaan Putusan Provisi</w:t>
      </w:r>
    </w:p>
    <w:p w:rsidR="00D736D8" w:rsidRDefault="00D736D8" w:rsidP="00D62CB2">
      <w:pPr>
        <w:spacing w:line="480" w:lineRule="auto"/>
        <w:ind w:left="1276" w:firstLine="567"/>
        <w:jc w:val="both"/>
        <w:rPr>
          <w:rFonts w:ascii="Times New Roman" w:hAnsi="Times New Roman" w:cs="Times New Roman"/>
          <w:sz w:val="24"/>
          <w:szCs w:val="24"/>
        </w:rPr>
      </w:pPr>
      <w:r w:rsidRPr="001B7E1B">
        <w:rPr>
          <w:rFonts w:ascii="Times New Roman" w:hAnsi="Times New Roman" w:cs="Times New Roman"/>
          <w:sz w:val="24"/>
          <w:szCs w:val="24"/>
        </w:rPr>
        <w:t>Pelaksanaan terhadap putusan provisi merupakan pengecualian eksekusi terhadap putusan yang telah memperoleh kekuatan hukum yang tetap. Sebagaimana bunyi kalimat terakhir dari Pasal 180 ayat (1) HIR atau Pasal 191 RBG, mengenal gugat</w:t>
      </w:r>
      <w:r>
        <w:rPr>
          <w:rFonts w:ascii="Times New Roman" w:hAnsi="Times New Roman" w:cs="Times New Roman"/>
          <w:sz w:val="24"/>
          <w:szCs w:val="24"/>
        </w:rPr>
        <w:t xml:space="preserve"> provisi (provisioneele elsch), </w:t>
      </w:r>
      <w:r w:rsidRPr="001B7E1B">
        <w:rPr>
          <w:rFonts w:ascii="Times New Roman" w:hAnsi="Times New Roman" w:cs="Times New Roman"/>
          <w:sz w:val="24"/>
          <w:szCs w:val="24"/>
        </w:rPr>
        <w:t>yakni ”tuntutan lebih dulu” yang bersifat sementara mendahului putusan pokok perkara. Apabila hakim mengabulkan gugatan provisi, maka putusan</w:t>
      </w:r>
      <w:r>
        <w:rPr>
          <w:rFonts w:ascii="Times New Roman" w:hAnsi="Times New Roman" w:cs="Times New Roman"/>
          <w:sz w:val="24"/>
          <w:szCs w:val="24"/>
        </w:rPr>
        <w:t xml:space="preserve"> </w:t>
      </w:r>
      <w:r w:rsidRPr="001B7E1B">
        <w:rPr>
          <w:rFonts w:ascii="Times New Roman" w:hAnsi="Times New Roman" w:cs="Times New Roman"/>
          <w:sz w:val="24"/>
          <w:szCs w:val="24"/>
        </w:rPr>
        <w:t>provisi tersebut dapat dilaksanakan (dieksekusi) sekalipun pokok perkaranya belum diputus. Undang-</w:t>
      </w:r>
      <w:r w:rsidRPr="001B7E1B">
        <w:rPr>
          <w:rFonts w:ascii="Times New Roman" w:hAnsi="Times New Roman" w:cs="Times New Roman"/>
          <w:sz w:val="24"/>
          <w:szCs w:val="24"/>
        </w:rPr>
        <w:lastRenderedPageBreak/>
        <w:t>undang seperti yang diatur dalam Pasal 180 ayat (1) HIR atau Pasal 191 ayat (1) RBG maupun Pasal 54 RV, memperbolehkan menjalankan pelaksanaan putusan provisi mendahului pemeriksaan pokok perkara.</w:t>
      </w:r>
    </w:p>
    <w:p w:rsidR="001A2B85" w:rsidRDefault="001A2B85" w:rsidP="00D62CB2">
      <w:pPr>
        <w:spacing w:line="480" w:lineRule="auto"/>
        <w:ind w:left="1276" w:hanging="283"/>
        <w:jc w:val="both"/>
        <w:rPr>
          <w:rFonts w:ascii="Times New Roman" w:hAnsi="Times New Roman" w:cs="Times New Roman"/>
          <w:b/>
          <w:sz w:val="24"/>
          <w:szCs w:val="24"/>
        </w:rPr>
      </w:pPr>
      <w:r w:rsidRPr="001A2B85">
        <w:rPr>
          <w:rFonts w:ascii="Times New Roman" w:hAnsi="Times New Roman" w:cs="Times New Roman"/>
          <w:b/>
          <w:sz w:val="24"/>
          <w:szCs w:val="24"/>
        </w:rPr>
        <w:t>3. Akta Perdamaian</w:t>
      </w:r>
    </w:p>
    <w:p w:rsidR="001A2B85" w:rsidRDefault="001A2B85" w:rsidP="00D62CB2">
      <w:pPr>
        <w:spacing w:after="0" w:line="480" w:lineRule="auto"/>
        <w:ind w:left="1276" w:firstLine="567"/>
        <w:jc w:val="both"/>
        <w:rPr>
          <w:rFonts w:ascii="Times New Roman" w:hAnsi="Times New Roman" w:cs="Times New Roman"/>
          <w:sz w:val="24"/>
          <w:szCs w:val="24"/>
        </w:rPr>
      </w:pPr>
      <w:r w:rsidRPr="002A17E3">
        <w:rPr>
          <w:rFonts w:ascii="Times New Roman" w:hAnsi="Times New Roman" w:cs="Times New Roman"/>
          <w:sz w:val="24"/>
          <w:szCs w:val="24"/>
        </w:rPr>
        <w:t xml:space="preserve">Menurut ketentuan Pasal 130 HIR atau Pasal 154 RBG, para pihak dapat mengajukan permohonan perdamaian. Menurut pasal dimaksud adalah sebagai berikut : </w:t>
      </w:r>
    </w:p>
    <w:p w:rsidR="001A2B85" w:rsidRPr="001A2B85" w:rsidRDefault="001A2B85" w:rsidP="001D6096">
      <w:pPr>
        <w:pStyle w:val="ListParagraph"/>
        <w:numPr>
          <w:ilvl w:val="0"/>
          <w:numId w:val="26"/>
        </w:numPr>
        <w:spacing w:after="0" w:line="480" w:lineRule="auto"/>
        <w:ind w:left="1560" w:hanging="284"/>
        <w:jc w:val="both"/>
        <w:rPr>
          <w:rFonts w:ascii="Times New Roman" w:hAnsi="Times New Roman" w:cs="Times New Roman"/>
          <w:sz w:val="24"/>
          <w:szCs w:val="24"/>
        </w:rPr>
      </w:pPr>
      <w:r w:rsidRPr="001A2B85">
        <w:rPr>
          <w:rFonts w:ascii="Times New Roman" w:hAnsi="Times New Roman" w:cs="Times New Roman"/>
          <w:sz w:val="24"/>
          <w:szCs w:val="24"/>
        </w:rPr>
        <w:t xml:space="preserve">Selama persidangan berlangsung, kedua belah pihak yang berperkara dapat berdamai, baik atas anjuran hakim maupun atas inisiatif dan kehendak kedua belah pihak. </w:t>
      </w:r>
    </w:p>
    <w:p w:rsidR="001A2B85" w:rsidRPr="001A2B85" w:rsidRDefault="001A2B85" w:rsidP="001D6096">
      <w:pPr>
        <w:pStyle w:val="ListParagraph"/>
        <w:numPr>
          <w:ilvl w:val="0"/>
          <w:numId w:val="26"/>
        </w:numPr>
        <w:spacing w:after="0" w:line="480" w:lineRule="auto"/>
        <w:ind w:left="1560" w:hanging="284"/>
        <w:jc w:val="both"/>
        <w:rPr>
          <w:rFonts w:ascii="Times New Roman" w:hAnsi="Times New Roman" w:cs="Times New Roman"/>
          <w:sz w:val="24"/>
          <w:szCs w:val="24"/>
        </w:rPr>
      </w:pPr>
      <w:r w:rsidRPr="001A2B85">
        <w:rPr>
          <w:rFonts w:ascii="Times New Roman" w:hAnsi="Times New Roman" w:cs="Times New Roman"/>
          <w:sz w:val="24"/>
          <w:szCs w:val="24"/>
        </w:rPr>
        <w:t xml:space="preserve">Apabila tercapai perdamaian dalam persidangan maka hakim akan membuat akta perdamaian dan akan menghukum kedua belah pihak untuk memenuhi isi akta perdamaian. </w:t>
      </w:r>
    </w:p>
    <w:p w:rsidR="001A2B85" w:rsidRPr="001A2B85" w:rsidRDefault="001A2B85" w:rsidP="001D6096">
      <w:pPr>
        <w:pStyle w:val="ListParagraph"/>
        <w:numPr>
          <w:ilvl w:val="0"/>
          <w:numId w:val="26"/>
        </w:numPr>
        <w:spacing w:after="0" w:line="480" w:lineRule="auto"/>
        <w:ind w:left="1560" w:hanging="284"/>
        <w:jc w:val="both"/>
        <w:rPr>
          <w:rFonts w:ascii="Times New Roman" w:hAnsi="Times New Roman" w:cs="Times New Roman"/>
          <w:sz w:val="24"/>
          <w:szCs w:val="24"/>
        </w:rPr>
      </w:pPr>
      <w:r w:rsidRPr="001A2B85">
        <w:rPr>
          <w:rFonts w:ascii="Times New Roman" w:hAnsi="Times New Roman" w:cs="Times New Roman"/>
          <w:sz w:val="24"/>
          <w:szCs w:val="24"/>
        </w:rPr>
        <w:t xml:space="preserve">Sifat akta perdamian yang dibuat di persidangan mempunyai kekuatan eksekusi (executorial kracht) seperti putusan yang telah memperoleh kekuatan hukum yang tetap. </w:t>
      </w:r>
    </w:p>
    <w:p w:rsidR="001A2B85" w:rsidRDefault="001A2B85" w:rsidP="00D62CB2">
      <w:pPr>
        <w:spacing w:after="0" w:line="480" w:lineRule="auto"/>
        <w:ind w:left="1276" w:firstLine="567"/>
        <w:jc w:val="both"/>
        <w:rPr>
          <w:rFonts w:ascii="Times New Roman" w:hAnsi="Times New Roman" w:cs="Times New Roman"/>
          <w:sz w:val="24"/>
          <w:szCs w:val="24"/>
        </w:rPr>
      </w:pPr>
      <w:r w:rsidRPr="002A17E3">
        <w:rPr>
          <w:rFonts w:ascii="Times New Roman" w:hAnsi="Times New Roman" w:cs="Times New Roman"/>
          <w:sz w:val="24"/>
          <w:szCs w:val="24"/>
        </w:rPr>
        <w:t>Berdasarkan penjelasan singkat dari Pasal 130 HIR atau Pasal 154 RBG, maka terhadap akta perdamaian yang dibuat di persidangan oleh hakim dapat dijalankan eksekusi tak ubahnya seperti putusan hakim yang telah m</w:t>
      </w:r>
      <w:r>
        <w:rPr>
          <w:rFonts w:ascii="Times New Roman" w:hAnsi="Times New Roman" w:cs="Times New Roman"/>
          <w:sz w:val="24"/>
          <w:szCs w:val="24"/>
        </w:rPr>
        <w:t xml:space="preserve">emperoleh kekuatan hukum tetap. </w:t>
      </w:r>
      <w:r w:rsidRPr="002A17E3">
        <w:rPr>
          <w:rFonts w:ascii="Times New Roman" w:hAnsi="Times New Roman" w:cs="Times New Roman"/>
          <w:sz w:val="24"/>
          <w:szCs w:val="24"/>
        </w:rPr>
        <w:t xml:space="preserve">Dengan demikian undang-undang sendiri telah menempatkan akta perdamaian yang dibuat dipersidangan 36 sama dengan putusan yang telah tetap. </w:t>
      </w:r>
      <w:r w:rsidRPr="002A17E3">
        <w:rPr>
          <w:rFonts w:ascii="Times New Roman" w:hAnsi="Times New Roman" w:cs="Times New Roman"/>
          <w:sz w:val="24"/>
          <w:szCs w:val="24"/>
        </w:rPr>
        <w:lastRenderedPageBreak/>
        <w:t>Sehingga sejak tanggal lahirnya akta perdamaian telah melekat pengadilan dalam arti memutus sengketa perkara. Namun Pasal 130 HIR atau Pasal 154 RBG mensejajarkannya dengan nilai putusan yang telah memperoleh kekuatan hukum yang tetap</w:t>
      </w:r>
      <w:r>
        <w:rPr>
          <w:rFonts w:ascii="Times New Roman" w:hAnsi="Times New Roman" w:cs="Times New Roman"/>
          <w:sz w:val="24"/>
          <w:szCs w:val="24"/>
        </w:rPr>
        <w:t>.</w:t>
      </w:r>
    </w:p>
    <w:p w:rsidR="001A2B85" w:rsidRDefault="001A2B85" w:rsidP="00D62CB2">
      <w:pPr>
        <w:spacing w:after="0" w:line="480" w:lineRule="auto"/>
        <w:ind w:left="1276" w:hanging="283"/>
        <w:jc w:val="both"/>
        <w:rPr>
          <w:rFonts w:ascii="Times New Roman" w:hAnsi="Times New Roman" w:cs="Times New Roman"/>
          <w:b/>
          <w:sz w:val="24"/>
          <w:szCs w:val="24"/>
        </w:rPr>
      </w:pPr>
      <w:r w:rsidRPr="001A2B85">
        <w:rPr>
          <w:rFonts w:ascii="Times New Roman" w:hAnsi="Times New Roman" w:cs="Times New Roman"/>
          <w:b/>
          <w:sz w:val="24"/>
          <w:szCs w:val="24"/>
        </w:rPr>
        <w:t>4. Eksekusi Terhadap Grosse Akta</w:t>
      </w:r>
    </w:p>
    <w:p w:rsidR="001A2B85" w:rsidRPr="00D039CE" w:rsidRDefault="001A2B85" w:rsidP="00D62CB2">
      <w:pPr>
        <w:spacing w:line="480" w:lineRule="auto"/>
        <w:ind w:left="1276" w:firstLine="567"/>
        <w:jc w:val="both"/>
        <w:rPr>
          <w:rFonts w:ascii="Times New Roman" w:hAnsi="Times New Roman" w:cs="Times New Roman"/>
          <w:sz w:val="24"/>
          <w:szCs w:val="24"/>
        </w:rPr>
      </w:pPr>
      <w:r w:rsidRPr="00D039CE">
        <w:rPr>
          <w:rFonts w:ascii="Times New Roman" w:hAnsi="Times New Roman" w:cs="Times New Roman"/>
          <w:sz w:val="24"/>
          <w:szCs w:val="24"/>
        </w:rPr>
        <w:t>Pengecualian lain yang diberikan oleh undang-undang ialah menjalankan eksekusi terhadap grosse akta, baik grosse akta hipotik maupun grosse akta pengakuan hutang, sebagaimana yang diatur dalam Pasal 224 HIR atau Pasal 258 RBG. Menurut kedua pasal ini, eksekusi yang dijalankan pengadilan bukan merupakan putusan pengadilan yang telah memperoleh kekuatan hukum yang tetap. Eksekusi yang dijalankan ialah memenuhi isi perjanjian yang dibuat oleh para pihak. Hal ini merupakan pengecualian eksekusi terhadap putusan yang telah memperoleh kekuatan hukum yang tetap. Pada prinsipnya eksekusi hanya dapat dijalankan apabila telah memperoleh kekuatan hukum yang tetap. Pasal 224 HIR atau Pasal 258 RBG memperkenankan eksekusi terhadap perjanjian, asal perjanjian itu berbentuk grosse akta. Karena dalam perjanjian grosse akta tersebut mempersamakan dengan putusan yang telah memperoleh kekuatan hukum yang tetap, dengan demikian pada perjanjian yang berbentuk grosse akta dengan sendirinya menurut hukum telah melekat nilai kekuatan</w:t>
      </w:r>
      <w:r>
        <w:rPr>
          <w:rFonts w:ascii="Times New Roman" w:hAnsi="Times New Roman" w:cs="Times New Roman"/>
          <w:sz w:val="24"/>
          <w:szCs w:val="24"/>
        </w:rPr>
        <w:t xml:space="preserve"> eksekutorial.</w:t>
      </w:r>
      <w:r w:rsidR="00921A92">
        <w:rPr>
          <w:rStyle w:val="FootnoteReference"/>
          <w:rFonts w:ascii="Times New Roman" w:hAnsi="Times New Roman" w:cs="Times New Roman"/>
          <w:sz w:val="24"/>
          <w:szCs w:val="24"/>
        </w:rPr>
        <w:footnoteReference w:id="27"/>
      </w:r>
    </w:p>
    <w:p w:rsidR="001A2B85" w:rsidRDefault="00921A92" w:rsidP="00D62CB2">
      <w:p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lastRenderedPageBreak/>
        <w:t>B</w:t>
      </w:r>
      <w:r w:rsidR="00D62CB2">
        <w:rPr>
          <w:rFonts w:ascii="Times New Roman" w:hAnsi="Times New Roman" w:cs="Times New Roman"/>
          <w:b/>
          <w:sz w:val="24"/>
          <w:szCs w:val="24"/>
        </w:rPr>
        <w:t>.</w:t>
      </w:r>
      <w:r w:rsidR="00D62CB2">
        <w:rPr>
          <w:rFonts w:ascii="Times New Roman" w:hAnsi="Times New Roman" w:cs="Times New Roman"/>
          <w:b/>
          <w:sz w:val="24"/>
          <w:szCs w:val="24"/>
        </w:rPr>
        <w:tab/>
      </w:r>
      <w:r>
        <w:rPr>
          <w:rFonts w:ascii="Times New Roman" w:hAnsi="Times New Roman" w:cs="Times New Roman"/>
          <w:b/>
          <w:sz w:val="24"/>
          <w:szCs w:val="24"/>
        </w:rPr>
        <w:t>Putusan dijalankan Secara Sukarela</w:t>
      </w:r>
    </w:p>
    <w:p w:rsidR="00921A92" w:rsidRDefault="00921A92" w:rsidP="00921A92">
      <w:pPr>
        <w:spacing w:after="0" w:line="480" w:lineRule="auto"/>
        <w:ind w:left="993" w:firstLine="567"/>
        <w:jc w:val="both"/>
        <w:rPr>
          <w:rFonts w:ascii="Times New Roman" w:hAnsi="Times New Roman" w:cs="Times New Roman"/>
          <w:sz w:val="24"/>
          <w:szCs w:val="24"/>
        </w:rPr>
      </w:pPr>
      <w:r w:rsidRPr="00DF3376">
        <w:rPr>
          <w:rFonts w:ascii="Times New Roman" w:hAnsi="Times New Roman" w:cs="Times New Roman"/>
          <w:sz w:val="24"/>
          <w:szCs w:val="24"/>
        </w:rPr>
        <w:t xml:space="preserve">Pada prinsipnya ada 2 (dua) cara menjalankan isi putusan yang pertama adalah menjalankan putusan dengan jalan ”sukarela” dan yang kedua adalah menjalankan putusan dengan cara ”eksekusi”. </w:t>
      </w:r>
    </w:p>
    <w:p w:rsidR="00921A92" w:rsidRDefault="00921A92" w:rsidP="00921A92">
      <w:pPr>
        <w:spacing w:after="0" w:line="480" w:lineRule="auto"/>
        <w:ind w:left="993" w:firstLine="567"/>
        <w:jc w:val="both"/>
        <w:rPr>
          <w:rFonts w:ascii="Times New Roman" w:hAnsi="Times New Roman" w:cs="Times New Roman"/>
          <w:sz w:val="24"/>
          <w:szCs w:val="24"/>
        </w:rPr>
      </w:pPr>
      <w:r w:rsidRPr="00DF3376">
        <w:rPr>
          <w:rFonts w:ascii="Times New Roman" w:hAnsi="Times New Roman" w:cs="Times New Roman"/>
          <w:sz w:val="24"/>
          <w:szCs w:val="24"/>
        </w:rPr>
        <w:t xml:space="preserve">Pada dasarnya eksekusi merupakan tindakan paksa menjalankan putusan pengadilan yang telah memperoleh kekuatan hukum tetap, baru merupakan pilihan hukum apabila pihak yang kalah tidak mau menjalankan atau memenuhi isi putusan secara sukarela. Jika tergugat (pihak yang kalah) bersedia mentaati dan memenuhi peraturan secara sukarela, maka tindakan eksekusi harus disingkirkan. Oleh karena itu, harus dibedakan antara menjalankan putusan secara sukarela dengan menjalankan putusan secara eksekusi. </w:t>
      </w:r>
      <w:r w:rsidR="00D62CB2">
        <w:rPr>
          <w:rStyle w:val="FootnoteReference"/>
          <w:rFonts w:ascii="Times New Roman" w:hAnsi="Times New Roman" w:cs="Times New Roman"/>
          <w:sz w:val="24"/>
          <w:szCs w:val="24"/>
        </w:rPr>
        <w:footnoteReference w:id="28"/>
      </w:r>
    </w:p>
    <w:p w:rsidR="00921A92" w:rsidRDefault="00921A92" w:rsidP="00921A92">
      <w:pPr>
        <w:spacing w:after="0" w:line="480" w:lineRule="auto"/>
        <w:ind w:left="993" w:firstLine="567"/>
        <w:jc w:val="both"/>
        <w:rPr>
          <w:rFonts w:ascii="Times New Roman" w:hAnsi="Times New Roman" w:cs="Times New Roman"/>
          <w:sz w:val="24"/>
          <w:szCs w:val="24"/>
        </w:rPr>
      </w:pPr>
      <w:r w:rsidRPr="00DF3376">
        <w:rPr>
          <w:rFonts w:ascii="Times New Roman" w:hAnsi="Times New Roman" w:cs="Times New Roman"/>
          <w:sz w:val="24"/>
          <w:szCs w:val="24"/>
        </w:rPr>
        <w:t xml:space="preserve">Menjalankan putusan secara sukarela, terhadap pihak yang kalah memenuhi sendiri dengan sempurna isi putusan pengadilan. Karena dengan sukarela, tergugat memenuhi secara sempurna kewajiban dan beban hukum yang tercantum dalam amar putusan. Dan dengan menjalankan putusan secara sukarela tidak diperlukan lagi eksekusi, karena yang kalah telah mentaati isi putusan tersebut. </w:t>
      </w:r>
    </w:p>
    <w:p w:rsidR="00921A92" w:rsidRDefault="00921A92" w:rsidP="00921A92">
      <w:pPr>
        <w:spacing w:after="0" w:line="480" w:lineRule="auto"/>
        <w:ind w:left="993" w:firstLine="567"/>
        <w:jc w:val="both"/>
        <w:rPr>
          <w:rFonts w:ascii="Times New Roman" w:hAnsi="Times New Roman" w:cs="Times New Roman"/>
          <w:sz w:val="24"/>
          <w:szCs w:val="24"/>
        </w:rPr>
      </w:pPr>
      <w:r w:rsidRPr="00DF3376">
        <w:rPr>
          <w:rFonts w:ascii="Times New Roman" w:hAnsi="Times New Roman" w:cs="Times New Roman"/>
          <w:sz w:val="24"/>
          <w:szCs w:val="24"/>
        </w:rPr>
        <w:t>Sedangkan eksekusi dijalankan atau difungsikan dalam suatu perkara dalam hal pihak yang dikalahkan tidak mau mentaati atau tidak menjalani putusan tersebut secara sukarela. Hal ini akan menimbulkan konsekuensi hukum berupa tindakan paksa berupa ”eksekusi”.</w:t>
      </w:r>
    </w:p>
    <w:p w:rsidR="00D62CB2" w:rsidRDefault="00D62CB2" w:rsidP="00D62CB2">
      <w:pPr>
        <w:spacing w:after="0" w:line="480" w:lineRule="auto"/>
        <w:ind w:left="993" w:firstLine="567"/>
        <w:jc w:val="both"/>
        <w:rPr>
          <w:rFonts w:ascii="Times New Roman" w:hAnsi="Times New Roman" w:cs="Times New Roman"/>
          <w:sz w:val="24"/>
          <w:szCs w:val="24"/>
        </w:rPr>
      </w:pPr>
      <w:r w:rsidRPr="004A42BD">
        <w:rPr>
          <w:rFonts w:ascii="Times New Roman" w:hAnsi="Times New Roman" w:cs="Times New Roman"/>
          <w:sz w:val="24"/>
          <w:szCs w:val="24"/>
        </w:rPr>
        <w:lastRenderedPageBreak/>
        <w:t>Manfaat menjalankan putusan secara sukarela dititikberatkan dari segi kepentingan dari pihak yang dikalahkan (tergugat) sendiri. Manfaat yang paling utama adalah menghindari tergugat dari ”biaya eksekusi” dan terhindar dari kerugian moral pada pihak lain. Besar atau kecilnya biaya eksekusi dalam menjalankan putusan, seluruhnya akan dibebankan pada pihak yang tereksekusi.</w:t>
      </w:r>
      <w:r>
        <w:rPr>
          <w:rStyle w:val="FootnoteReference"/>
          <w:rFonts w:ascii="Times New Roman" w:hAnsi="Times New Roman" w:cs="Times New Roman"/>
          <w:sz w:val="24"/>
          <w:szCs w:val="24"/>
        </w:rPr>
        <w:footnoteReference w:id="29"/>
      </w:r>
    </w:p>
    <w:p w:rsidR="00112ED2" w:rsidRPr="00112ED2" w:rsidRDefault="00112ED2" w:rsidP="00112ED2">
      <w:pPr>
        <w:spacing w:after="0" w:line="480" w:lineRule="auto"/>
        <w:ind w:left="993" w:hanging="284"/>
        <w:jc w:val="both"/>
        <w:rPr>
          <w:rFonts w:ascii="Times New Roman" w:hAnsi="Times New Roman" w:cs="Times New Roman"/>
          <w:b/>
          <w:sz w:val="24"/>
          <w:szCs w:val="24"/>
        </w:rPr>
      </w:pPr>
      <w:r w:rsidRPr="00112ED2">
        <w:rPr>
          <w:rFonts w:ascii="Times New Roman" w:hAnsi="Times New Roman" w:cs="Times New Roman"/>
          <w:b/>
          <w:sz w:val="24"/>
          <w:szCs w:val="24"/>
        </w:rPr>
        <w:t>C. Putusan yang dieksekusi bersifat kondemnatoir</w:t>
      </w:r>
    </w:p>
    <w:p w:rsidR="00112ED2" w:rsidRDefault="00112ED2" w:rsidP="00112ED2">
      <w:pPr>
        <w:spacing w:after="0" w:line="480" w:lineRule="auto"/>
        <w:ind w:left="993" w:firstLine="567"/>
        <w:jc w:val="both"/>
        <w:rPr>
          <w:rFonts w:ascii="Times New Roman" w:hAnsi="Times New Roman" w:cs="Times New Roman"/>
          <w:sz w:val="24"/>
          <w:szCs w:val="24"/>
        </w:rPr>
      </w:pPr>
      <w:r w:rsidRPr="001B04AD">
        <w:rPr>
          <w:rFonts w:ascii="Times New Roman" w:hAnsi="Times New Roman" w:cs="Times New Roman"/>
          <w:sz w:val="24"/>
          <w:szCs w:val="24"/>
        </w:rPr>
        <w:t>Putusan kondemnatoir yakni putusan yang amar putusannya atau diktumnya mengandung unsur ”penghukuman”. Putusan yang amar atau diktumnya tidak mengandung unsur penghukuman tidak dapat dieksekusi atau ”non eksekutabel”. Ada dua sifat yang terkandung dalam putusan :</w:t>
      </w:r>
    </w:p>
    <w:p w:rsidR="00112ED2" w:rsidRPr="000E09B5" w:rsidRDefault="00112ED2" w:rsidP="00112ED2">
      <w:pPr>
        <w:spacing w:after="0" w:line="480" w:lineRule="auto"/>
        <w:ind w:left="993"/>
        <w:jc w:val="both"/>
        <w:rPr>
          <w:rFonts w:ascii="Times New Roman" w:hAnsi="Times New Roman" w:cs="Times New Roman"/>
          <w:b/>
          <w:sz w:val="24"/>
          <w:szCs w:val="24"/>
        </w:rPr>
      </w:pPr>
      <w:r w:rsidRPr="000E09B5">
        <w:rPr>
          <w:rFonts w:ascii="Times New Roman" w:hAnsi="Times New Roman" w:cs="Times New Roman"/>
          <w:b/>
          <w:sz w:val="24"/>
          <w:szCs w:val="24"/>
        </w:rPr>
        <w:t>1. Putusan yang bersifat kondemnatoir</w:t>
      </w:r>
    </w:p>
    <w:p w:rsidR="00112ED2" w:rsidRDefault="00112ED2" w:rsidP="000E09B5">
      <w:pPr>
        <w:spacing w:after="0" w:line="480" w:lineRule="auto"/>
        <w:ind w:left="1276" w:firstLine="567"/>
        <w:jc w:val="both"/>
        <w:rPr>
          <w:rFonts w:ascii="Times New Roman" w:hAnsi="Times New Roman" w:cs="Times New Roman"/>
          <w:sz w:val="24"/>
          <w:szCs w:val="24"/>
        </w:rPr>
      </w:pPr>
      <w:r w:rsidRPr="001B04AD">
        <w:rPr>
          <w:rFonts w:ascii="Times New Roman" w:hAnsi="Times New Roman" w:cs="Times New Roman"/>
          <w:sz w:val="24"/>
          <w:szCs w:val="24"/>
        </w:rPr>
        <w:t>Putusan yang bersifat kondemnatoir adalah putusan yang mengandung tindakan ”penghukuman” terhadap diri pihak yang dikalahkan (tergugat). Pada umumnya putusan yang bersifat kondemnatoir terwujud dalam perkara yang berbentuk contentiosa (kontentiosa), yaitu berupa sengketa atau perkara yang bersifat partai, ada pihak Penggugat yang bertindak mengajukan gugatan terhadap pihak tergugat dan proses pemeriksaannya berlangsung secara contradictair (kontradiktoir), yaitu pihak penggugat dan tergu</w:t>
      </w:r>
      <w:r>
        <w:rPr>
          <w:rFonts w:ascii="Times New Roman" w:hAnsi="Times New Roman" w:cs="Times New Roman"/>
          <w:sz w:val="24"/>
          <w:szCs w:val="24"/>
        </w:rPr>
        <w:t>gat mempunyai hak untuk sanggah-</w:t>
      </w:r>
      <w:r w:rsidRPr="001B04AD">
        <w:rPr>
          <w:rFonts w:ascii="Times New Roman" w:hAnsi="Times New Roman" w:cs="Times New Roman"/>
          <w:sz w:val="24"/>
          <w:szCs w:val="24"/>
        </w:rPr>
        <w:t>menyanggah.</w:t>
      </w:r>
    </w:p>
    <w:p w:rsidR="000E09B5" w:rsidRDefault="000E09B5" w:rsidP="000E09B5">
      <w:pPr>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rPr>
        <w:tab/>
      </w:r>
      <w:r w:rsidRPr="000E09B5">
        <w:rPr>
          <w:rFonts w:ascii="Times New Roman" w:hAnsi="Times New Roman" w:cs="Times New Roman"/>
          <w:b/>
          <w:sz w:val="24"/>
          <w:szCs w:val="24"/>
        </w:rPr>
        <w:t>Putusan yang bersifat deklaratoir</w:t>
      </w:r>
    </w:p>
    <w:p w:rsidR="000E09B5" w:rsidRPr="006A640D" w:rsidRDefault="000E09B5" w:rsidP="000E09B5">
      <w:pPr>
        <w:spacing w:after="0" w:line="480" w:lineRule="auto"/>
        <w:ind w:left="1276" w:firstLine="567"/>
        <w:jc w:val="both"/>
        <w:rPr>
          <w:rFonts w:ascii="Times New Roman" w:hAnsi="Times New Roman" w:cs="Times New Roman"/>
          <w:sz w:val="24"/>
          <w:szCs w:val="24"/>
        </w:rPr>
      </w:pPr>
      <w:r w:rsidRPr="006A640D">
        <w:rPr>
          <w:rFonts w:ascii="Times New Roman" w:hAnsi="Times New Roman" w:cs="Times New Roman"/>
          <w:sz w:val="24"/>
          <w:szCs w:val="24"/>
        </w:rPr>
        <w:t>Putusan yang bersifat deklarator merupakan kebalikan dari putusan yang bersifat kondeminatoir. Putusan yang bersifat deklaratoir, amar atau diktumnya mengandung ”pernyataan” hukum saja tanpa dibarengi dengan penghukuman. Putusan deklaratoir umumnya terdapat dalam perkara yang berbentuk ”volunteer” (voluntair), yakni perkara yang berbentuk ”permohonan” secara sepihak. Pada bentuk perkara volunteer, seseorang mengajukan permohonan ke pengadilan secara sepihak.</w:t>
      </w:r>
      <w:r>
        <w:rPr>
          <w:rStyle w:val="FootnoteReference"/>
          <w:rFonts w:ascii="Times New Roman" w:hAnsi="Times New Roman" w:cs="Times New Roman"/>
          <w:sz w:val="24"/>
          <w:szCs w:val="24"/>
        </w:rPr>
        <w:footnoteReference w:id="30"/>
      </w:r>
    </w:p>
    <w:p w:rsidR="000E09B5" w:rsidRDefault="000E09B5" w:rsidP="000E09B5">
      <w:pPr>
        <w:spacing w:after="0" w:line="480" w:lineRule="auto"/>
        <w:ind w:left="1276" w:firstLine="567"/>
        <w:jc w:val="both"/>
        <w:rPr>
          <w:rFonts w:ascii="Times New Roman" w:hAnsi="Times New Roman" w:cs="Times New Roman"/>
          <w:sz w:val="24"/>
          <w:szCs w:val="24"/>
        </w:rPr>
      </w:pPr>
      <w:r w:rsidRPr="006A640D">
        <w:rPr>
          <w:rFonts w:ascii="Times New Roman" w:hAnsi="Times New Roman" w:cs="Times New Roman"/>
          <w:sz w:val="24"/>
          <w:szCs w:val="24"/>
        </w:rPr>
        <w:t xml:space="preserve"> Ciri-ciri yang menentukan putusan bersifat kondemnatoir adalah pada amar putusannya ada perintah menghukum pihak yang </w:t>
      </w:r>
      <w:r>
        <w:rPr>
          <w:rFonts w:ascii="Times New Roman" w:hAnsi="Times New Roman" w:cs="Times New Roman"/>
          <w:sz w:val="24"/>
          <w:szCs w:val="24"/>
        </w:rPr>
        <w:t xml:space="preserve">kalah untuk ”menyerahkan” suatu </w:t>
      </w:r>
      <w:r w:rsidRPr="006A640D">
        <w:rPr>
          <w:rFonts w:ascii="Times New Roman" w:hAnsi="Times New Roman" w:cs="Times New Roman"/>
          <w:sz w:val="24"/>
          <w:szCs w:val="24"/>
        </w:rPr>
        <w:t>barang, menghukum atau memerintahkan ”pengosongan” sebidang tanah atau rumah; menghukum atau memerintahkan ”melakukan” suatu perbuatan atau keadaan, menghukum atau memerintahkan melakukan ”pembayaran” sejumlah uang.</w:t>
      </w:r>
      <w:r>
        <w:rPr>
          <w:rStyle w:val="FootnoteReference"/>
          <w:rFonts w:ascii="Times New Roman" w:hAnsi="Times New Roman" w:cs="Times New Roman"/>
          <w:sz w:val="24"/>
          <w:szCs w:val="24"/>
        </w:rPr>
        <w:footnoteReference w:id="31"/>
      </w:r>
    </w:p>
    <w:p w:rsidR="00E64A10" w:rsidRDefault="00E64A10" w:rsidP="00E64A10">
      <w:pPr>
        <w:spacing w:after="0" w:line="480" w:lineRule="auto"/>
        <w:ind w:left="709" w:hanging="283"/>
        <w:jc w:val="both"/>
        <w:rPr>
          <w:rFonts w:ascii="Times New Roman" w:hAnsi="Times New Roman" w:cs="Times New Roman"/>
          <w:b/>
          <w:sz w:val="24"/>
          <w:szCs w:val="24"/>
        </w:rPr>
      </w:pPr>
      <w:r w:rsidRPr="00E64A10">
        <w:rPr>
          <w:rFonts w:ascii="Times New Roman" w:hAnsi="Times New Roman" w:cs="Times New Roman"/>
          <w:b/>
          <w:sz w:val="24"/>
          <w:szCs w:val="24"/>
        </w:rPr>
        <w:t>4. Macam-Macam Eksekusi</w:t>
      </w:r>
    </w:p>
    <w:p w:rsidR="00E64A10" w:rsidRDefault="00E64A10" w:rsidP="00E64A10">
      <w:p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a. Berdasarkan objeknya (apa yang dieksekusi), dibedakan menjadi :</w:t>
      </w:r>
    </w:p>
    <w:p w:rsidR="00E64A10" w:rsidRDefault="00E64A10" w:rsidP="00E64A10">
      <w:pPr>
        <w:spacing w:after="0" w:line="480" w:lineRule="auto"/>
        <w:ind w:left="993"/>
        <w:jc w:val="both"/>
        <w:rPr>
          <w:rFonts w:ascii="Times New Roman" w:hAnsi="Times New Roman" w:cs="Times New Roman"/>
          <w:sz w:val="24"/>
          <w:szCs w:val="24"/>
        </w:rPr>
      </w:pPr>
      <w:r w:rsidRPr="00E64A10">
        <w:rPr>
          <w:rFonts w:ascii="Times New Roman" w:hAnsi="Times New Roman" w:cs="Times New Roman"/>
          <w:sz w:val="24"/>
          <w:szCs w:val="24"/>
        </w:rPr>
        <w:t>1.</w:t>
      </w:r>
      <w:r>
        <w:rPr>
          <w:rFonts w:ascii="Times New Roman" w:hAnsi="Times New Roman" w:cs="Times New Roman"/>
          <w:sz w:val="24"/>
          <w:szCs w:val="24"/>
        </w:rPr>
        <w:t xml:space="preserve"> Eksekusi Putusan Hakim</w:t>
      </w:r>
    </w:p>
    <w:p w:rsidR="00E64A10" w:rsidRDefault="00E64A10" w:rsidP="00E64A10">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2. Eksekusi Grosse Surat Notarill</w:t>
      </w:r>
    </w:p>
    <w:p w:rsidR="00E64A10" w:rsidRDefault="00E64A10" w:rsidP="00E64A10">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3. Eksekusi benda Jaminan (Objek Fidusia, Gadai, Hak Tanggungan)</w:t>
      </w:r>
      <w:r w:rsidR="00D8578B">
        <w:rPr>
          <w:rFonts w:ascii="Times New Roman" w:hAnsi="Times New Roman" w:cs="Times New Roman"/>
          <w:sz w:val="24"/>
          <w:szCs w:val="24"/>
        </w:rPr>
        <w:t xml:space="preserve">. </w:t>
      </w:r>
    </w:p>
    <w:p w:rsidR="00D8578B" w:rsidRDefault="00D8578B" w:rsidP="00D8578B">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E</w:t>
      </w:r>
      <w:r w:rsidRPr="00767A85">
        <w:rPr>
          <w:rFonts w:ascii="Times New Roman" w:hAnsi="Times New Roman" w:cs="Times New Roman"/>
          <w:sz w:val="24"/>
          <w:szCs w:val="24"/>
        </w:rPr>
        <w:t>ksekusi piutang negara, baik yang timbul dari kewajiban (utang pajak, utang bea masuk) maupun perjanjian kredit (bank pemerintah yang macet, piutang BUMN maupun BUMD)</w:t>
      </w:r>
      <w:r>
        <w:rPr>
          <w:rFonts w:ascii="Times New Roman" w:hAnsi="Times New Roman" w:cs="Times New Roman"/>
          <w:sz w:val="24"/>
          <w:szCs w:val="24"/>
        </w:rPr>
        <w:t>.</w:t>
      </w:r>
    </w:p>
    <w:p w:rsidR="00D8578B" w:rsidRPr="00767A85" w:rsidRDefault="00D8578B" w:rsidP="00D8578B">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5. E</w:t>
      </w:r>
      <w:r w:rsidRPr="00767A85">
        <w:rPr>
          <w:rFonts w:ascii="Times New Roman" w:hAnsi="Times New Roman" w:cs="Times New Roman"/>
          <w:sz w:val="24"/>
          <w:szCs w:val="24"/>
        </w:rPr>
        <w:t>ksekusi putusan lembaga yang berwenang menyelesaikan sengketa (putusan P4D/P4P, Mahkamah Pelayaran, lembaga arbitrase, alternative disp</w:t>
      </w:r>
      <w:r>
        <w:rPr>
          <w:rFonts w:ascii="Times New Roman" w:hAnsi="Times New Roman" w:cs="Times New Roman"/>
          <w:sz w:val="24"/>
          <w:szCs w:val="24"/>
        </w:rPr>
        <w:t xml:space="preserve">ute resolution, lembaga-lembaga </w:t>
      </w:r>
      <w:r w:rsidRPr="00767A85">
        <w:rPr>
          <w:rFonts w:ascii="Times New Roman" w:hAnsi="Times New Roman" w:cs="Times New Roman"/>
          <w:sz w:val="24"/>
          <w:szCs w:val="24"/>
        </w:rPr>
        <w:t>internasional, pengadilan asing).</w:t>
      </w:r>
    </w:p>
    <w:p w:rsidR="00D8578B" w:rsidRDefault="00D8578B" w:rsidP="00D8578B">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6. Eksekusi terhadap sesuatu yang menggangu hak atau kepentingan.</w:t>
      </w:r>
    </w:p>
    <w:p w:rsidR="00D8578B" w:rsidRDefault="00D8578B" w:rsidP="00D8578B">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7. Eksekusi terhadap bangunan yang melanggar IMB.</w:t>
      </w:r>
    </w:p>
    <w:p w:rsidR="00D8578B" w:rsidRDefault="00D8578B" w:rsidP="00D8578B">
      <w:pPr>
        <w:spacing w:after="0" w:line="480" w:lineRule="auto"/>
        <w:ind w:left="993" w:firstLine="567"/>
        <w:jc w:val="both"/>
        <w:rPr>
          <w:rFonts w:ascii="Times New Roman" w:hAnsi="Times New Roman" w:cs="Times New Roman"/>
          <w:sz w:val="24"/>
          <w:szCs w:val="24"/>
        </w:rPr>
      </w:pPr>
      <w:r w:rsidRPr="00767A85">
        <w:rPr>
          <w:rFonts w:ascii="Times New Roman" w:hAnsi="Times New Roman" w:cs="Times New Roman"/>
          <w:sz w:val="24"/>
          <w:szCs w:val="24"/>
        </w:rPr>
        <w:t>Jenis eksekusi yang objek selain putusan hakim jumlahnya jauh lebih banyak. Bahkan dilihat dari segi jumlah pelaksanaan eksekusi yang paling banyak adalah eksekusi benda jaminan oleh perusahaan umum, diikuti dengan eksekusi terhadap benda jaminan yang lain dan eksekusi karena tunggakan piutang negara.</w:t>
      </w:r>
    </w:p>
    <w:p w:rsidR="000C6259" w:rsidRPr="00E95030" w:rsidRDefault="000C6259" w:rsidP="000C6259">
      <w:pPr>
        <w:spacing w:after="0" w:line="480" w:lineRule="auto"/>
        <w:ind w:left="709"/>
        <w:jc w:val="both"/>
        <w:rPr>
          <w:rFonts w:ascii="Times New Roman" w:hAnsi="Times New Roman" w:cs="Times New Roman"/>
          <w:b/>
          <w:sz w:val="24"/>
          <w:szCs w:val="24"/>
        </w:rPr>
      </w:pPr>
      <w:r w:rsidRPr="00E95030">
        <w:rPr>
          <w:rFonts w:ascii="Times New Roman" w:hAnsi="Times New Roman" w:cs="Times New Roman"/>
          <w:b/>
          <w:sz w:val="24"/>
          <w:szCs w:val="24"/>
        </w:rPr>
        <w:t>b. Berdasarkan Prosedur, eksekusi dibedakan menjadi :</w:t>
      </w:r>
    </w:p>
    <w:p w:rsidR="000C6259" w:rsidRDefault="000C6259" w:rsidP="000C6259">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1. Eksekusi tidak langsung, terdiri dari :</w:t>
      </w:r>
    </w:p>
    <w:p w:rsidR="000C6259" w:rsidRDefault="000C6259" w:rsidP="000C6259">
      <w:p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Sanksi atau hukum membayar uang paksa, berdasarkan perjanjian atau putusan hukum</w:t>
      </w:r>
    </w:p>
    <w:p w:rsidR="00D8578B" w:rsidRDefault="000C6259" w:rsidP="000C6259">
      <w:p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Sandera (</w:t>
      </w:r>
      <w:r w:rsidRPr="000C6259">
        <w:rPr>
          <w:rFonts w:ascii="Times New Roman" w:hAnsi="Times New Roman" w:cs="Times New Roman"/>
          <w:i/>
          <w:sz w:val="24"/>
          <w:szCs w:val="24"/>
        </w:rPr>
        <w:t>gijzeling</w:t>
      </w:r>
      <w:r>
        <w:rPr>
          <w:rFonts w:ascii="Times New Roman" w:hAnsi="Times New Roman" w:cs="Times New Roman"/>
          <w:sz w:val="24"/>
          <w:szCs w:val="24"/>
        </w:rPr>
        <w:t>), Pasal 209-223 HIR.</w:t>
      </w:r>
    </w:p>
    <w:p w:rsidR="000C6259" w:rsidRDefault="000C6259" w:rsidP="000C6259">
      <w:p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11A4E">
        <w:rPr>
          <w:rFonts w:ascii="Times New Roman" w:hAnsi="Times New Roman" w:cs="Times New Roman"/>
          <w:sz w:val="24"/>
          <w:szCs w:val="24"/>
        </w:rPr>
        <w:t>Penghentian atau pencabutan langganan, ini didasarkan pada perjanjian yang dapat ditemukan dalam perjanjian langganan telepon, listrik, air minum dan lain sebagainya.</w:t>
      </w:r>
    </w:p>
    <w:p w:rsidR="00E95030" w:rsidRDefault="00E95030" w:rsidP="000C6259">
      <w:pPr>
        <w:spacing w:after="0" w:line="480" w:lineRule="auto"/>
        <w:ind w:left="1560" w:hanging="284"/>
        <w:jc w:val="both"/>
        <w:rPr>
          <w:rFonts w:ascii="Times New Roman" w:hAnsi="Times New Roman" w:cs="Times New Roman"/>
          <w:sz w:val="24"/>
          <w:szCs w:val="24"/>
        </w:rPr>
      </w:pPr>
    </w:p>
    <w:p w:rsidR="000C6259" w:rsidRDefault="000C6259" w:rsidP="000C6259">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Eksekusi langsung, terdiri dari :</w:t>
      </w:r>
    </w:p>
    <w:p w:rsidR="000C6259" w:rsidRDefault="00E95030" w:rsidP="00E95030">
      <w:p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Ekssekusi biasa (membayar sejumlah uang)</w:t>
      </w:r>
    </w:p>
    <w:p w:rsidR="00E95030" w:rsidRDefault="00E95030" w:rsidP="00E95030">
      <w:p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Eksekusi riil terhadap :</w:t>
      </w:r>
    </w:p>
    <w:p w:rsidR="00E95030" w:rsidRDefault="00E95030" w:rsidP="001D6096">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Putusan pengadilan</w:t>
      </w:r>
    </w:p>
    <w:p w:rsidR="00E95030" w:rsidRDefault="00E95030" w:rsidP="001D6096">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Objek lelang</w:t>
      </w:r>
    </w:p>
    <w:p w:rsidR="00E95030" w:rsidRDefault="00E95030" w:rsidP="00E95030">
      <w:pPr>
        <w:pStyle w:val="ListParagraph"/>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Eksekusi parat</w:t>
      </w:r>
    </w:p>
    <w:p w:rsidR="00E95030" w:rsidRDefault="00E95030" w:rsidP="00E95030">
      <w:pPr>
        <w:pStyle w:val="ListParagraph"/>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Eksekusi penjualan dibawah tangan atas benda</w:t>
      </w:r>
    </w:p>
    <w:p w:rsidR="00E95030" w:rsidRDefault="00E95030" w:rsidP="00E95030">
      <w:pPr>
        <w:pStyle w:val="ListParagraph"/>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Eksekusi piutang sebagai jaminan (berdasarkan perjanjian)</w:t>
      </w:r>
    </w:p>
    <w:p w:rsidR="00E95030" w:rsidRDefault="00E95030" w:rsidP="00E95030">
      <w:pPr>
        <w:pStyle w:val="ListParagraph"/>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Eksekusi dengan izin hakim</w:t>
      </w:r>
    </w:p>
    <w:p w:rsidR="00E8705A" w:rsidRDefault="00E95030" w:rsidP="00AD702A">
      <w:pPr>
        <w:spacing w:after="0" w:line="480" w:lineRule="auto"/>
        <w:ind w:left="709" w:firstLine="567"/>
        <w:jc w:val="both"/>
        <w:rPr>
          <w:rFonts w:ascii="Times New Roman" w:hAnsi="Times New Roman" w:cs="Times New Roman"/>
          <w:sz w:val="24"/>
          <w:szCs w:val="24"/>
        </w:rPr>
      </w:pPr>
      <w:r w:rsidRPr="00A05C70">
        <w:rPr>
          <w:rFonts w:ascii="Times New Roman" w:hAnsi="Times New Roman" w:cs="Times New Roman"/>
          <w:sz w:val="24"/>
          <w:szCs w:val="24"/>
        </w:rPr>
        <w:t>Adanya perbedaan eksekusi langsung dan tidak langsung didasarkan pada hasil yang didapatkan setelah dilakukan paksaan terhadap debitur yang tidak mau memenuhi kewajibannya. Dalam hal ini paksaan terhadap debitur menjadikan hak kreditur langsung terealisasi, maka eksekusi tersebut dinamakan eksekusi langsung. Sebaliknya jika dengan paksaan terhadap debitur hasilnya berupa dorongan kepada debitur untuk segera memenuhi kewajibannya, maka eksekusi tersebut dikategorikan ke dalam eksekusi tidak langsung.</w:t>
      </w:r>
      <w:r>
        <w:rPr>
          <w:rStyle w:val="FootnoteReference"/>
          <w:rFonts w:ascii="Times New Roman" w:hAnsi="Times New Roman" w:cs="Times New Roman"/>
          <w:sz w:val="24"/>
          <w:szCs w:val="24"/>
        </w:rPr>
        <w:footnoteReference w:id="32"/>
      </w:r>
    </w:p>
    <w:p w:rsidR="00AD702A" w:rsidRDefault="00AD702A" w:rsidP="00AD702A">
      <w:pPr>
        <w:spacing w:after="0" w:line="480" w:lineRule="auto"/>
        <w:ind w:left="709" w:firstLine="567"/>
        <w:jc w:val="both"/>
        <w:rPr>
          <w:rFonts w:ascii="Times New Roman" w:hAnsi="Times New Roman" w:cs="Times New Roman"/>
          <w:sz w:val="24"/>
          <w:szCs w:val="24"/>
        </w:rPr>
      </w:pPr>
    </w:p>
    <w:p w:rsidR="00AD702A" w:rsidRDefault="00AD702A" w:rsidP="00AD702A">
      <w:pPr>
        <w:spacing w:after="0" w:line="480" w:lineRule="auto"/>
        <w:ind w:left="709" w:firstLine="567"/>
        <w:jc w:val="both"/>
        <w:rPr>
          <w:rFonts w:ascii="Times New Roman" w:hAnsi="Times New Roman" w:cs="Times New Roman"/>
          <w:sz w:val="24"/>
          <w:szCs w:val="24"/>
        </w:rPr>
      </w:pPr>
    </w:p>
    <w:p w:rsidR="00AD702A" w:rsidRDefault="00AD702A" w:rsidP="00AD702A">
      <w:pPr>
        <w:spacing w:after="0" w:line="480" w:lineRule="auto"/>
        <w:ind w:left="709" w:firstLine="567"/>
        <w:jc w:val="both"/>
        <w:rPr>
          <w:rFonts w:ascii="Times New Roman" w:hAnsi="Times New Roman" w:cs="Times New Roman"/>
          <w:sz w:val="24"/>
          <w:szCs w:val="24"/>
        </w:rPr>
      </w:pPr>
    </w:p>
    <w:p w:rsidR="00AD702A" w:rsidRPr="00AD702A" w:rsidRDefault="00AD702A" w:rsidP="00AD702A">
      <w:pPr>
        <w:spacing w:after="0" w:line="480" w:lineRule="auto"/>
        <w:ind w:left="709" w:firstLine="567"/>
        <w:jc w:val="both"/>
        <w:rPr>
          <w:rFonts w:ascii="Times New Roman" w:hAnsi="Times New Roman" w:cs="Times New Roman"/>
          <w:sz w:val="24"/>
          <w:szCs w:val="24"/>
        </w:rPr>
      </w:pPr>
    </w:p>
    <w:p w:rsidR="006F3DE8" w:rsidRDefault="00D861CB" w:rsidP="00D861CB">
      <w:pPr>
        <w:spacing w:after="0" w:line="480" w:lineRule="auto"/>
        <w:ind w:left="709" w:hanging="283"/>
        <w:jc w:val="both"/>
        <w:rPr>
          <w:rFonts w:ascii="Times New Roman" w:hAnsi="Times New Roman" w:cs="Times New Roman"/>
          <w:b/>
          <w:sz w:val="24"/>
        </w:rPr>
      </w:pPr>
      <w:r>
        <w:rPr>
          <w:rFonts w:ascii="Times New Roman" w:hAnsi="Times New Roman" w:cs="Times New Roman"/>
          <w:b/>
          <w:sz w:val="24"/>
        </w:rPr>
        <w:lastRenderedPageBreak/>
        <w:t>5.</w:t>
      </w:r>
      <w:r>
        <w:rPr>
          <w:rFonts w:ascii="Times New Roman" w:hAnsi="Times New Roman" w:cs="Times New Roman"/>
          <w:b/>
          <w:sz w:val="24"/>
        </w:rPr>
        <w:tab/>
      </w:r>
      <w:r w:rsidR="00616601">
        <w:rPr>
          <w:rFonts w:ascii="Times New Roman" w:hAnsi="Times New Roman" w:cs="Times New Roman"/>
          <w:b/>
          <w:sz w:val="24"/>
        </w:rPr>
        <w:t>Eksekusi Jaminan Fidusia</w:t>
      </w:r>
    </w:p>
    <w:p w:rsidR="00525C18" w:rsidRPr="0064496D" w:rsidRDefault="0064496D" w:rsidP="0064496D">
      <w:pPr>
        <w:spacing w:line="480" w:lineRule="auto"/>
        <w:ind w:left="709" w:firstLine="567"/>
        <w:jc w:val="both"/>
        <w:rPr>
          <w:rFonts w:ascii="Times New Roman" w:hAnsi="Times New Roman" w:cs="Times New Roman"/>
          <w:sz w:val="24"/>
          <w:szCs w:val="24"/>
        </w:rPr>
      </w:pPr>
      <w:r w:rsidRPr="003B6540">
        <w:rPr>
          <w:rFonts w:ascii="Times New Roman" w:hAnsi="Times New Roman" w:cs="Times New Roman"/>
          <w:sz w:val="24"/>
          <w:szCs w:val="24"/>
        </w:rPr>
        <w:t>Dengan berlakunya Undang-Undang Nomor 42 Tahun 1999 tentang Jaminan Fidusia secara efektif Kantor Pendaftaran Fidusia yang telah terbentuk pada tanggal 30 September 2000 mulai menerima pendaftaran barang-barang dan Akta Pembebanan Fidusia pada tanggal 30 September 2000, maka jaminan yang bersifat kebendaan dan eksekusinya yang diatur dalam Pasal 29 Un</w:t>
      </w:r>
      <w:r>
        <w:rPr>
          <w:rFonts w:ascii="Times New Roman" w:hAnsi="Times New Roman" w:cs="Times New Roman"/>
          <w:sz w:val="24"/>
          <w:szCs w:val="24"/>
        </w:rPr>
        <w:t xml:space="preserve">dang-Undang Nomor 42 Tahun 1999 </w:t>
      </w:r>
      <w:r w:rsidR="00525C18" w:rsidRPr="001F1A33">
        <w:rPr>
          <w:rFonts w:ascii="Times New Roman" w:hAnsi="Times New Roman" w:cs="Times New Roman"/>
          <w:sz w:val="24"/>
        </w:rPr>
        <w:t>tentang eksekusi fidusia ini, adalah</w:t>
      </w:r>
      <w:r w:rsidR="00525C18">
        <w:rPr>
          <w:rStyle w:val="FootnoteReference"/>
          <w:rFonts w:ascii="Times New Roman" w:hAnsi="Times New Roman" w:cs="Times New Roman"/>
          <w:sz w:val="24"/>
        </w:rPr>
        <w:footnoteReference w:id="33"/>
      </w:r>
    </w:p>
    <w:p w:rsidR="00E26C98" w:rsidRDefault="00525C18" w:rsidP="0064496D">
      <w:pPr>
        <w:pStyle w:val="ListParagraph"/>
        <w:spacing w:after="0" w:line="480" w:lineRule="auto"/>
        <w:ind w:left="709" w:firstLine="567"/>
        <w:jc w:val="both"/>
        <w:rPr>
          <w:rFonts w:ascii="Times New Roman" w:hAnsi="Times New Roman" w:cs="Times New Roman"/>
          <w:sz w:val="24"/>
        </w:rPr>
      </w:pPr>
      <w:r>
        <w:rPr>
          <w:rFonts w:ascii="Times New Roman" w:hAnsi="Times New Roman" w:cs="Times New Roman"/>
          <w:sz w:val="24"/>
        </w:rPr>
        <w:t>Pasal 29 ayat 1 berbunyi “Apabila debitur atau pemberi fidusia cidera janji, eksekusi terhadap benda yang mejadi objek jaminan fidusia dapat dilakukan deng</w:t>
      </w:r>
      <w:r w:rsidR="00957D01">
        <w:rPr>
          <w:rFonts w:ascii="Times New Roman" w:hAnsi="Times New Roman" w:cs="Times New Roman"/>
          <w:sz w:val="24"/>
        </w:rPr>
        <w:t>a</w:t>
      </w:r>
      <w:r>
        <w:rPr>
          <w:rFonts w:ascii="Times New Roman" w:hAnsi="Times New Roman" w:cs="Times New Roman"/>
          <w:sz w:val="24"/>
        </w:rPr>
        <w:t>n cara :</w:t>
      </w:r>
      <w:r>
        <w:rPr>
          <w:rStyle w:val="FootnoteReference"/>
          <w:rFonts w:ascii="Times New Roman" w:hAnsi="Times New Roman" w:cs="Times New Roman"/>
          <w:sz w:val="24"/>
        </w:rPr>
        <w:footnoteReference w:id="34"/>
      </w:r>
    </w:p>
    <w:p w:rsidR="00525C18" w:rsidRDefault="00E26C98" w:rsidP="0064496D">
      <w:pPr>
        <w:pStyle w:val="ListParagraph"/>
        <w:spacing w:after="0" w:line="480" w:lineRule="auto"/>
        <w:ind w:left="993" w:hanging="284"/>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9E013C">
        <w:rPr>
          <w:rFonts w:ascii="Times New Roman" w:hAnsi="Times New Roman" w:cs="Times New Roman"/>
          <w:sz w:val="24"/>
        </w:rPr>
        <w:t>P</w:t>
      </w:r>
      <w:r w:rsidR="00525C18">
        <w:rPr>
          <w:rFonts w:ascii="Times New Roman" w:hAnsi="Times New Roman" w:cs="Times New Roman"/>
          <w:sz w:val="24"/>
        </w:rPr>
        <w:t>elaksanaan titel eksekutorial sebagaimana dimaksud dalam pasal 15 ayat (2) oleh penerima fidusia</w:t>
      </w:r>
    </w:p>
    <w:p w:rsidR="00525C18" w:rsidRDefault="00E26C98" w:rsidP="0064496D">
      <w:pPr>
        <w:pStyle w:val="ListParagraph"/>
        <w:spacing w:after="0" w:line="480" w:lineRule="auto"/>
        <w:ind w:left="993" w:hanging="284"/>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9E013C">
        <w:rPr>
          <w:rFonts w:ascii="Times New Roman" w:hAnsi="Times New Roman" w:cs="Times New Roman"/>
          <w:sz w:val="24"/>
        </w:rPr>
        <w:t>P</w:t>
      </w:r>
      <w:r w:rsidR="00525C18">
        <w:rPr>
          <w:rFonts w:ascii="Times New Roman" w:hAnsi="Times New Roman" w:cs="Times New Roman"/>
          <w:sz w:val="24"/>
        </w:rPr>
        <w:t xml:space="preserve">enjualan benda </w:t>
      </w:r>
      <w:r w:rsidR="00067D27">
        <w:rPr>
          <w:rFonts w:ascii="Times New Roman" w:hAnsi="Times New Roman" w:cs="Times New Roman"/>
          <w:sz w:val="24"/>
        </w:rPr>
        <w:t xml:space="preserve">menjadi objek jaminan fidusia atas kekuasaan penerima fidusia sendiri nelalui pelelangan umum serta mengambil pelunasan piutangnya dari hasil penjualan </w:t>
      </w:r>
    </w:p>
    <w:p w:rsidR="00067D27" w:rsidRPr="001F1A33" w:rsidRDefault="00E26C98" w:rsidP="0064496D">
      <w:pPr>
        <w:pStyle w:val="ListParagraph"/>
        <w:spacing w:after="0" w:line="480" w:lineRule="auto"/>
        <w:ind w:left="993" w:hanging="284"/>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000E2A64">
        <w:rPr>
          <w:rFonts w:ascii="Times New Roman" w:hAnsi="Times New Roman" w:cs="Times New Roman"/>
          <w:sz w:val="24"/>
        </w:rPr>
        <w:t>P</w:t>
      </w:r>
      <w:r w:rsidR="00067D27">
        <w:rPr>
          <w:rFonts w:ascii="Times New Roman" w:hAnsi="Times New Roman" w:cs="Times New Roman"/>
          <w:sz w:val="24"/>
        </w:rPr>
        <w:t>enjualan dibawah tangan yang dilakukan berdasarkan kesepakatan pemberi dan penerima fidusia kepada pihak – pihak yang berkepentingan dan diumumkan sedikitnya dalam 2 surat kabar yang bere</w:t>
      </w:r>
      <w:r w:rsidR="00F46D0B">
        <w:rPr>
          <w:rFonts w:ascii="Times New Roman" w:hAnsi="Times New Roman" w:cs="Times New Roman"/>
          <w:sz w:val="24"/>
        </w:rPr>
        <w:t>dar didaerah yang bersangkutan.</w:t>
      </w:r>
    </w:p>
    <w:p w:rsidR="00067D27" w:rsidRDefault="00E26C98" w:rsidP="0064496D">
      <w:pPr>
        <w:pStyle w:val="ListParagraph"/>
        <w:spacing w:after="0" w:line="480" w:lineRule="auto"/>
        <w:ind w:left="993" w:hanging="284"/>
        <w:jc w:val="both"/>
        <w:rPr>
          <w:rFonts w:ascii="Times New Roman" w:hAnsi="Times New Roman" w:cs="Times New Roman"/>
          <w:sz w:val="24"/>
        </w:rPr>
      </w:pPr>
      <w:r>
        <w:rPr>
          <w:rFonts w:ascii="Times New Roman" w:hAnsi="Times New Roman" w:cs="Times New Roman"/>
          <w:sz w:val="24"/>
        </w:rPr>
        <w:lastRenderedPageBreak/>
        <w:t xml:space="preserve">a. </w:t>
      </w:r>
      <w:r w:rsidR="009E013C">
        <w:rPr>
          <w:rFonts w:ascii="Times New Roman" w:hAnsi="Times New Roman" w:cs="Times New Roman"/>
          <w:sz w:val="24"/>
        </w:rPr>
        <w:t>E</w:t>
      </w:r>
      <w:r w:rsidR="00067D27">
        <w:rPr>
          <w:rFonts w:ascii="Times New Roman" w:hAnsi="Times New Roman" w:cs="Times New Roman"/>
          <w:sz w:val="24"/>
        </w:rPr>
        <w:t>ksekusi objek jaminan fidusia sebelum berlakunya Undang-undang Nomor 42 Tahun 1999</w:t>
      </w:r>
      <w:r w:rsidR="000E2A64">
        <w:rPr>
          <w:rFonts w:ascii="Times New Roman" w:hAnsi="Times New Roman" w:cs="Times New Roman"/>
          <w:sz w:val="24"/>
        </w:rPr>
        <w:t>.</w:t>
      </w:r>
    </w:p>
    <w:p w:rsidR="00067D27" w:rsidRDefault="000E2A64" w:rsidP="0064496D">
      <w:pPr>
        <w:pStyle w:val="ListParagraph"/>
        <w:spacing w:after="0" w:line="480" w:lineRule="auto"/>
        <w:ind w:left="993" w:firstLine="567"/>
        <w:jc w:val="both"/>
        <w:rPr>
          <w:rFonts w:ascii="Times New Roman" w:hAnsi="Times New Roman" w:cs="Times New Roman"/>
          <w:sz w:val="24"/>
        </w:rPr>
      </w:pPr>
      <w:r>
        <w:rPr>
          <w:rFonts w:ascii="Times New Roman" w:hAnsi="Times New Roman" w:cs="Times New Roman"/>
          <w:sz w:val="24"/>
        </w:rPr>
        <w:t>L</w:t>
      </w:r>
      <w:r w:rsidR="00067D27">
        <w:rPr>
          <w:rFonts w:ascii="Times New Roman" w:hAnsi="Times New Roman" w:cs="Times New Roman"/>
          <w:sz w:val="24"/>
        </w:rPr>
        <w:t>embaga jaminan fidusia yang bersumber pada yurisprudensi merup</w:t>
      </w:r>
      <w:r w:rsidR="00E66568">
        <w:rPr>
          <w:rFonts w:ascii="Times New Roman" w:hAnsi="Times New Roman" w:cs="Times New Roman"/>
          <w:sz w:val="24"/>
        </w:rPr>
        <w:t>a</w:t>
      </w:r>
      <w:r w:rsidR="00067D27">
        <w:rPr>
          <w:rFonts w:ascii="Times New Roman" w:hAnsi="Times New Roman" w:cs="Times New Roman"/>
          <w:sz w:val="24"/>
        </w:rPr>
        <w:t>kan hak perorangan maka dalam hal ini debitur pemberi fidusia cidera janji, maka upaya hukum yang dapat ditempuh untuk mendapatkan pelunasan piutangnya dari hasil penjualan gugatan perdata terhadap debitur pemberi fidusia dengan me</w:t>
      </w:r>
      <w:r w:rsidR="00F94A5E">
        <w:rPr>
          <w:rFonts w:ascii="Times New Roman" w:hAnsi="Times New Roman" w:cs="Times New Roman"/>
          <w:sz w:val="24"/>
        </w:rPr>
        <w:t xml:space="preserve">mohon sita jaminan terhadap barang yang difidusiakan dan mohon putusan serta merta dalam perkara tersebut dengan mendasarkan pada bukti otentik atau dibawah tangan (yang tidak disangkal debitur/Tergugat sesuai Pasal 180 HIR). Dalam hal barang yang difidusiakan sudah tidak ada karena djual oleh pihak ketiga atau karena alasan lain atau kredit penggugat memperkirakan bahwa hasil penjualan barang yang difidusiakan tidak cukup untuk melunasi piutangnya maka kreditur/penggugat dapat minta agar barang-barang milik debitur/tergugat yang lain/yang tidak difidusiakan disita jaminan. Sedangkan </w:t>
      </w:r>
      <w:r w:rsidR="00E03507">
        <w:rPr>
          <w:rFonts w:ascii="Times New Roman" w:hAnsi="Times New Roman" w:cs="Times New Roman"/>
          <w:sz w:val="24"/>
        </w:rPr>
        <w:t>terhadap debitur/tergugat yang telah menjual objek jamina</w:t>
      </w:r>
      <w:r w:rsidR="00561C6B">
        <w:rPr>
          <w:rFonts w:ascii="Times New Roman" w:hAnsi="Times New Roman" w:cs="Times New Roman"/>
          <w:sz w:val="24"/>
        </w:rPr>
        <w:t>n dapat dikenakan tindak pidana</w:t>
      </w:r>
      <w:r w:rsidR="00E03507">
        <w:rPr>
          <w:rFonts w:ascii="Times New Roman" w:hAnsi="Times New Roman" w:cs="Times New Roman"/>
          <w:sz w:val="24"/>
        </w:rPr>
        <w:t xml:space="preserve"> penggelapan.</w:t>
      </w:r>
    </w:p>
    <w:p w:rsidR="00E03507" w:rsidRDefault="009E013C" w:rsidP="0064496D">
      <w:pPr>
        <w:pStyle w:val="ListParagraph"/>
        <w:spacing w:after="0" w:line="480" w:lineRule="auto"/>
        <w:ind w:left="993" w:hanging="284"/>
        <w:jc w:val="both"/>
        <w:rPr>
          <w:rFonts w:ascii="Times New Roman" w:hAnsi="Times New Roman" w:cs="Times New Roman"/>
          <w:sz w:val="24"/>
        </w:rPr>
      </w:pPr>
      <w:r>
        <w:rPr>
          <w:rFonts w:ascii="Times New Roman" w:hAnsi="Times New Roman" w:cs="Times New Roman"/>
          <w:sz w:val="24"/>
        </w:rPr>
        <w:t>b. E</w:t>
      </w:r>
      <w:r w:rsidR="00E03507">
        <w:rPr>
          <w:rFonts w:ascii="Times New Roman" w:hAnsi="Times New Roman" w:cs="Times New Roman"/>
          <w:sz w:val="24"/>
        </w:rPr>
        <w:t>ksekusi objek jamina</w:t>
      </w:r>
      <w:r w:rsidR="003F42C1">
        <w:rPr>
          <w:rFonts w:ascii="Times New Roman" w:hAnsi="Times New Roman" w:cs="Times New Roman"/>
          <w:sz w:val="24"/>
        </w:rPr>
        <w:t>n fidusia menurut Undang-Undang Nomor 42 Tahun 1999</w:t>
      </w:r>
      <w:r w:rsidR="00D166BE">
        <w:rPr>
          <w:rFonts w:ascii="Times New Roman" w:hAnsi="Times New Roman" w:cs="Times New Roman"/>
          <w:sz w:val="24"/>
        </w:rPr>
        <w:t>.</w:t>
      </w:r>
    </w:p>
    <w:p w:rsidR="003F42C1" w:rsidRDefault="00561C6B" w:rsidP="0064496D">
      <w:pPr>
        <w:pStyle w:val="ListParagraph"/>
        <w:spacing w:after="0" w:line="480" w:lineRule="auto"/>
        <w:ind w:left="993" w:firstLine="567"/>
        <w:jc w:val="both"/>
        <w:rPr>
          <w:rFonts w:ascii="Times New Roman" w:hAnsi="Times New Roman" w:cs="Times New Roman"/>
          <w:sz w:val="24"/>
        </w:rPr>
      </w:pPr>
      <w:r>
        <w:rPr>
          <w:rFonts w:ascii="Times New Roman" w:hAnsi="Times New Roman" w:cs="Times New Roman"/>
          <w:sz w:val="24"/>
        </w:rPr>
        <w:t>F</w:t>
      </w:r>
      <w:r w:rsidR="003F42C1">
        <w:rPr>
          <w:rFonts w:ascii="Times New Roman" w:hAnsi="Times New Roman" w:cs="Times New Roman"/>
          <w:sz w:val="24"/>
        </w:rPr>
        <w:t xml:space="preserve">idusia sebagai salah satu jenis jaminan utang juga harus memiliki unsur-unsur cepat murah, dan pasti. Inilah yang sudah dikeluhkan sejak lama dalam praktik, sebab selama ini (sebelum adanya Undang-Undang Fidusia No.42 Tahun 1999) tidak ada kejelasan mengenai bagaimana </w:t>
      </w:r>
      <w:r w:rsidR="003F42C1">
        <w:rPr>
          <w:rFonts w:ascii="Times New Roman" w:hAnsi="Times New Roman" w:cs="Times New Roman"/>
          <w:sz w:val="24"/>
        </w:rPr>
        <w:lastRenderedPageBreak/>
        <w:t xml:space="preserve">mengeksekusi fidusia. Jadi, karena tidak ada ketentuan yang mengaturnya bahwa ekseksusi fidusia adalah dengan memakai prosedur gugatan biasa (lewat pengadilan, dengan prosedur biasa) yang panjang, mahal, dan melelahkan. Hal ini disadari benar oleh para pembentuk Undang-Undang tentang fidusia No. 42 tahun 1999. Karena itu slaah satu terobosan yang dilakukan oleh pembentuk Undang-Undang tentang fidusia ini dengan mengambil pola ekseksusi secaara bervariasi, sehingga para pihak dapat </w:t>
      </w:r>
      <w:r w:rsidR="00040317">
        <w:rPr>
          <w:rFonts w:ascii="Times New Roman" w:hAnsi="Times New Roman" w:cs="Times New Roman"/>
          <w:sz w:val="24"/>
        </w:rPr>
        <w:t>memilih</w:t>
      </w:r>
      <w:r w:rsidR="003F42C1">
        <w:rPr>
          <w:rFonts w:ascii="Times New Roman" w:hAnsi="Times New Roman" w:cs="Times New Roman"/>
          <w:sz w:val="24"/>
        </w:rPr>
        <w:t xml:space="preserve"> mdel yang mereka inginkan. Model-model eksekusi jaminan fidusia menurut Undang-Undang No. 42 tahun 1999 adalah </w:t>
      </w:r>
      <w:r w:rsidR="00040317">
        <w:rPr>
          <w:rStyle w:val="FootnoteReference"/>
          <w:rFonts w:ascii="Times New Roman" w:hAnsi="Times New Roman" w:cs="Times New Roman"/>
          <w:sz w:val="24"/>
        </w:rPr>
        <w:footnoteReference w:id="35"/>
      </w:r>
    </w:p>
    <w:p w:rsidR="003F42C1" w:rsidRDefault="009E013C" w:rsidP="001D6096">
      <w:pPr>
        <w:pStyle w:val="ListParagraph"/>
        <w:numPr>
          <w:ilvl w:val="0"/>
          <w:numId w:val="16"/>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S</w:t>
      </w:r>
      <w:r w:rsidR="003F42C1">
        <w:rPr>
          <w:rFonts w:ascii="Times New Roman" w:hAnsi="Times New Roman" w:cs="Times New Roman"/>
          <w:sz w:val="24"/>
        </w:rPr>
        <w:t>ecara</w:t>
      </w:r>
      <w:r w:rsidR="00F83DE8">
        <w:rPr>
          <w:rFonts w:ascii="Times New Roman" w:hAnsi="Times New Roman" w:cs="Times New Roman"/>
          <w:sz w:val="24"/>
        </w:rPr>
        <w:t xml:space="preserve"> sifat eksekusi (deng</w:t>
      </w:r>
      <w:r w:rsidR="003B5CD0">
        <w:rPr>
          <w:rFonts w:ascii="Times New Roman" w:hAnsi="Times New Roman" w:cs="Times New Roman"/>
          <w:sz w:val="24"/>
        </w:rPr>
        <w:t>a</w:t>
      </w:r>
      <w:r w:rsidR="00F83DE8">
        <w:rPr>
          <w:rFonts w:ascii="Times New Roman" w:hAnsi="Times New Roman" w:cs="Times New Roman"/>
          <w:sz w:val="24"/>
        </w:rPr>
        <w:t xml:space="preserve">n memakai </w:t>
      </w:r>
      <w:r w:rsidR="003F42C1">
        <w:rPr>
          <w:rFonts w:ascii="Times New Roman" w:hAnsi="Times New Roman" w:cs="Times New Roman"/>
          <w:sz w:val="24"/>
        </w:rPr>
        <w:t>titel eksekutorial) yakni dengan lewat suatu penetapan pengadilan.</w:t>
      </w:r>
    </w:p>
    <w:p w:rsidR="003F42C1" w:rsidRDefault="009E013C" w:rsidP="001D6096">
      <w:pPr>
        <w:pStyle w:val="ListParagraph"/>
        <w:numPr>
          <w:ilvl w:val="0"/>
          <w:numId w:val="16"/>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S</w:t>
      </w:r>
      <w:r w:rsidR="003F42C1">
        <w:rPr>
          <w:rFonts w:ascii="Times New Roman" w:hAnsi="Times New Roman" w:cs="Times New Roman"/>
          <w:sz w:val="24"/>
        </w:rPr>
        <w:t>ecar</w:t>
      </w:r>
      <w:r w:rsidR="00CB42C9">
        <w:rPr>
          <w:rFonts w:ascii="Times New Roman" w:hAnsi="Times New Roman" w:cs="Times New Roman"/>
          <w:sz w:val="24"/>
        </w:rPr>
        <w:t>a parate eksekusi, yakni dengan</w:t>
      </w:r>
      <w:r w:rsidR="003F42C1">
        <w:rPr>
          <w:rFonts w:ascii="Times New Roman" w:hAnsi="Times New Roman" w:cs="Times New Roman"/>
          <w:sz w:val="24"/>
        </w:rPr>
        <w:t xml:space="preserve"> menj</w:t>
      </w:r>
      <w:r w:rsidR="00CB42C9">
        <w:rPr>
          <w:rFonts w:ascii="Times New Roman" w:hAnsi="Times New Roman" w:cs="Times New Roman"/>
          <w:sz w:val="24"/>
        </w:rPr>
        <w:t>ual (tanpa perlu penetapan penga</w:t>
      </w:r>
      <w:r w:rsidR="003F42C1">
        <w:rPr>
          <w:rFonts w:ascii="Times New Roman" w:hAnsi="Times New Roman" w:cs="Times New Roman"/>
          <w:sz w:val="24"/>
        </w:rPr>
        <w:t>dilan)</w:t>
      </w:r>
      <w:r w:rsidR="00CB42C9">
        <w:rPr>
          <w:rFonts w:ascii="Times New Roman" w:hAnsi="Times New Roman" w:cs="Times New Roman"/>
          <w:sz w:val="24"/>
        </w:rPr>
        <w:t>.</w:t>
      </w:r>
    </w:p>
    <w:p w:rsidR="00C45FEF" w:rsidRDefault="009E013C" w:rsidP="001D6096">
      <w:pPr>
        <w:pStyle w:val="ListParagraph"/>
        <w:numPr>
          <w:ilvl w:val="0"/>
          <w:numId w:val="16"/>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D</w:t>
      </w:r>
      <w:r w:rsidR="003F42C1">
        <w:rPr>
          <w:rFonts w:ascii="Times New Roman" w:hAnsi="Times New Roman" w:cs="Times New Roman"/>
          <w:sz w:val="24"/>
        </w:rPr>
        <w:t>ijual dibawah tangan oleh pihak kreditor sendiri.</w:t>
      </w:r>
    </w:p>
    <w:p w:rsidR="00CB42C9" w:rsidRDefault="00CB42C9" w:rsidP="00CB42C9">
      <w:pPr>
        <w:pStyle w:val="ListParagraph"/>
        <w:spacing w:after="0" w:line="480" w:lineRule="auto"/>
        <w:ind w:left="709" w:hanging="283"/>
        <w:jc w:val="both"/>
        <w:rPr>
          <w:rFonts w:ascii="Times New Roman" w:hAnsi="Times New Roman" w:cs="Times New Roman"/>
          <w:b/>
          <w:sz w:val="24"/>
        </w:rPr>
      </w:pPr>
      <w:r w:rsidRPr="00CB42C9">
        <w:rPr>
          <w:rFonts w:ascii="Times New Roman" w:hAnsi="Times New Roman" w:cs="Times New Roman"/>
          <w:b/>
          <w:sz w:val="24"/>
        </w:rPr>
        <w:t>6.</w:t>
      </w:r>
      <w:r w:rsidRPr="00CB42C9">
        <w:rPr>
          <w:rFonts w:ascii="Times New Roman" w:hAnsi="Times New Roman" w:cs="Times New Roman"/>
          <w:b/>
          <w:sz w:val="24"/>
        </w:rPr>
        <w:tab/>
        <w:t>Ketentuan Pidana Dalam Undang Jaminan Fidusia</w:t>
      </w:r>
    </w:p>
    <w:p w:rsidR="00CB42C9" w:rsidRDefault="00F24940" w:rsidP="00F24940">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Pasal 35 Undang-Undang Jaminan Fidusia mengatakan, bahwa :</w:t>
      </w:r>
    </w:p>
    <w:p w:rsidR="00616601" w:rsidRDefault="00F24940" w:rsidP="00F24940">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B71668">
        <w:rPr>
          <w:rFonts w:ascii="Times New Roman" w:hAnsi="Times New Roman" w:cs="Times New Roman"/>
          <w:sz w:val="24"/>
          <w:szCs w:val="24"/>
        </w:rPr>
        <w:t xml:space="preserve">Setiap orang yang sengaja memalsukan, mengubah, menghilangkan atau dengan cara apapun memberikan keterangan secara menyesatkan, yang jika hal itu diketahui oleh salah satu pihak tidak melahirkan perjanjian jaminan fidusia, dipidana dengan pidana penjara paling singkat 1 (satu) tahun dan paling lama 5 (lima) tahun dan denda paling sedikit </w:t>
      </w:r>
    </w:p>
    <w:p w:rsidR="00F24940" w:rsidRDefault="00F24940" w:rsidP="00F24940">
      <w:pPr>
        <w:spacing w:after="0" w:line="480" w:lineRule="auto"/>
        <w:ind w:left="851"/>
        <w:jc w:val="both"/>
        <w:rPr>
          <w:rFonts w:ascii="Times New Roman" w:hAnsi="Times New Roman" w:cs="Times New Roman"/>
          <w:sz w:val="24"/>
          <w:szCs w:val="24"/>
        </w:rPr>
      </w:pPr>
      <w:r w:rsidRPr="00B71668">
        <w:rPr>
          <w:rFonts w:ascii="Times New Roman" w:hAnsi="Times New Roman" w:cs="Times New Roman"/>
          <w:sz w:val="24"/>
          <w:szCs w:val="24"/>
        </w:rPr>
        <w:lastRenderedPageBreak/>
        <w:t>Rp. 10.000.000 (sepuluh juta rupiah) dan paling banyak Rp. 100.000.000 (seratus juta rupiah).</w:t>
      </w:r>
      <w:r>
        <w:rPr>
          <w:rFonts w:ascii="Times New Roman" w:hAnsi="Times New Roman" w:cs="Times New Roman"/>
          <w:sz w:val="24"/>
          <w:szCs w:val="24"/>
        </w:rPr>
        <w:t>”</w:t>
      </w:r>
    </w:p>
    <w:p w:rsidR="00F24940" w:rsidRDefault="00F24940" w:rsidP="00F24940">
      <w:pPr>
        <w:spacing w:line="480" w:lineRule="auto"/>
        <w:ind w:left="709" w:firstLine="567"/>
        <w:jc w:val="both"/>
        <w:rPr>
          <w:rFonts w:ascii="Times New Roman" w:hAnsi="Times New Roman" w:cs="Times New Roman"/>
          <w:sz w:val="24"/>
          <w:szCs w:val="24"/>
        </w:rPr>
      </w:pPr>
      <w:r w:rsidRPr="00B71668">
        <w:rPr>
          <w:rFonts w:ascii="Times New Roman" w:hAnsi="Times New Roman" w:cs="Times New Roman"/>
          <w:sz w:val="24"/>
          <w:szCs w:val="24"/>
        </w:rPr>
        <w:t>Pertama-tama ketentuan tersebut harus kita baca sebagai ketentuan yang bersifat umum, yang tidak hanya t</w:t>
      </w:r>
      <w:r>
        <w:rPr>
          <w:rFonts w:ascii="Times New Roman" w:hAnsi="Times New Roman" w:cs="Times New Roman"/>
          <w:sz w:val="24"/>
          <w:szCs w:val="24"/>
        </w:rPr>
        <w:t>ertuju kepada debitur/pemberi -</w:t>
      </w:r>
      <w:r w:rsidRPr="00B71668">
        <w:rPr>
          <w:rFonts w:ascii="Times New Roman" w:hAnsi="Times New Roman" w:cs="Times New Roman"/>
          <w:sz w:val="24"/>
          <w:szCs w:val="24"/>
        </w:rPr>
        <w:t>fidusia kreditur saja, akan tetapi juga tertuju kepada kreditur/penerima – fidusia, atau bahkan pihak ketiga. Kata ”Setiap orang” memberikan petunjuk kesana.</w:t>
      </w:r>
      <w:r>
        <w:rPr>
          <w:rStyle w:val="FootnoteReference"/>
          <w:rFonts w:ascii="Times New Roman" w:hAnsi="Times New Roman" w:cs="Times New Roman"/>
          <w:sz w:val="24"/>
          <w:szCs w:val="24"/>
        </w:rPr>
        <w:footnoteReference w:id="36"/>
      </w:r>
    </w:p>
    <w:p w:rsidR="00640347" w:rsidRPr="00DD6A1D" w:rsidRDefault="00640347" w:rsidP="00640347">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Pasal 36 Undang-undang Jaminan Fidusia mengatakan, bahwa :</w:t>
      </w:r>
    </w:p>
    <w:p w:rsidR="00640347" w:rsidRPr="00DD6A1D" w:rsidRDefault="00616601" w:rsidP="00640347">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640347" w:rsidRPr="00DD6A1D">
        <w:rPr>
          <w:rFonts w:ascii="Times New Roman" w:hAnsi="Times New Roman" w:cs="Times New Roman"/>
          <w:sz w:val="24"/>
          <w:szCs w:val="24"/>
        </w:rPr>
        <w:t>Pemberi fidusia yang mengalihkan, menggadaikan, atau menyewakan benda yang menjadi objek jaminan fidusia sebagaimana dimaksud dalam Pasal 23 ayat (2) yang dilakukan tanpa persetujuan tertulis terlebih dahulu dari Penerima Fidusia, dipidana dengan pidana penjara paling lama 2 (dua) tahun dan denda paling banyak Rp. 50.000.000,00 (lima puluh juta rupiah).</w:t>
      </w:r>
      <w:r>
        <w:rPr>
          <w:rFonts w:ascii="Times New Roman" w:hAnsi="Times New Roman" w:cs="Times New Roman"/>
          <w:sz w:val="24"/>
          <w:szCs w:val="24"/>
        </w:rPr>
        <w:t>”</w:t>
      </w:r>
    </w:p>
    <w:p w:rsidR="00640347" w:rsidRDefault="00640347" w:rsidP="00640347">
      <w:pPr>
        <w:spacing w:after="0" w:line="480" w:lineRule="auto"/>
        <w:ind w:left="709" w:firstLine="567"/>
        <w:jc w:val="both"/>
        <w:rPr>
          <w:rFonts w:ascii="Times New Roman" w:hAnsi="Times New Roman" w:cs="Times New Roman"/>
          <w:sz w:val="24"/>
          <w:szCs w:val="24"/>
        </w:rPr>
      </w:pPr>
      <w:r w:rsidRPr="00DD6A1D">
        <w:rPr>
          <w:rFonts w:ascii="Times New Roman" w:hAnsi="Times New Roman" w:cs="Times New Roman"/>
          <w:sz w:val="24"/>
          <w:szCs w:val="24"/>
        </w:rPr>
        <w:t>Ancaman pidana sebagaimana yang dimuat pada Pasal 36 merupakan konsekuensi dari pengalihan hak kepemilikan atas benda yang menjadi objek jaminan fidusia dengan cara constitutum possessorium bilamana diperhatikan ketentuan dalam Pasal 1977 KUH Perdata yang menentukan penguasaan atas barang bergerak merupakan alas hak bagi kepemilikannya.</w:t>
      </w:r>
      <w:r>
        <w:rPr>
          <w:rStyle w:val="FootnoteReference"/>
          <w:rFonts w:ascii="Times New Roman" w:hAnsi="Times New Roman" w:cs="Times New Roman"/>
          <w:sz w:val="24"/>
          <w:szCs w:val="24"/>
        </w:rPr>
        <w:footnoteReference w:id="37"/>
      </w:r>
    </w:p>
    <w:p w:rsidR="00616601" w:rsidRDefault="00616601" w:rsidP="00640347">
      <w:pPr>
        <w:spacing w:after="0" w:line="480" w:lineRule="auto"/>
        <w:ind w:left="709" w:firstLine="567"/>
        <w:jc w:val="both"/>
        <w:rPr>
          <w:rFonts w:ascii="Times New Roman" w:hAnsi="Times New Roman" w:cs="Times New Roman"/>
          <w:sz w:val="24"/>
          <w:szCs w:val="24"/>
        </w:rPr>
      </w:pPr>
    </w:p>
    <w:p w:rsidR="00640347" w:rsidRDefault="00640347" w:rsidP="00640347">
      <w:pPr>
        <w:spacing w:after="0" w:line="480" w:lineRule="auto"/>
        <w:ind w:left="709" w:hanging="283"/>
        <w:jc w:val="both"/>
        <w:rPr>
          <w:rFonts w:ascii="Times New Roman" w:hAnsi="Times New Roman" w:cs="Times New Roman"/>
          <w:b/>
          <w:sz w:val="24"/>
          <w:szCs w:val="24"/>
        </w:rPr>
      </w:pPr>
      <w:r w:rsidRPr="00640347">
        <w:rPr>
          <w:rFonts w:ascii="Times New Roman" w:hAnsi="Times New Roman" w:cs="Times New Roman"/>
          <w:b/>
          <w:sz w:val="24"/>
          <w:szCs w:val="24"/>
        </w:rPr>
        <w:lastRenderedPageBreak/>
        <w:t>7.</w:t>
      </w:r>
      <w:r w:rsidRPr="00640347">
        <w:rPr>
          <w:rFonts w:ascii="Times New Roman" w:hAnsi="Times New Roman" w:cs="Times New Roman"/>
          <w:b/>
          <w:sz w:val="24"/>
          <w:szCs w:val="24"/>
        </w:rPr>
        <w:tab/>
        <w:t>Kendala Yang Dihadapi Dalam Eksekusi Jaminan Fidusia</w:t>
      </w:r>
    </w:p>
    <w:p w:rsidR="00640347" w:rsidRPr="00567BBF" w:rsidRDefault="00616601" w:rsidP="001D6096">
      <w:pPr>
        <w:pStyle w:val="ListParagraph"/>
        <w:numPr>
          <w:ilvl w:val="0"/>
          <w:numId w:val="28"/>
        </w:numPr>
        <w:spacing w:after="0" w:line="480" w:lineRule="auto"/>
        <w:jc w:val="both"/>
        <w:rPr>
          <w:rFonts w:ascii="Times New Roman" w:hAnsi="Times New Roman" w:cs="Times New Roman"/>
          <w:sz w:val="24"/>
          <w:szCs w:val="24"/>
        </w:rPr>
      </w:pPr>
      <w:r w:rsidRPr="00567BBF">
        <w:rPr>
          <w:rFonts w:ascii="Times New Roman" w:hAnsi="Times New Roman" w:cs="Times New Roman"/>
          <w:sz w:val="24"/>
          <w:szCs w:val="24"/>
        </w:rPr>
        <w:t>Objek jaminan fidusia tidak dapat diletakkan sita eksekusi</w:t>
      </w:r>
      <w:r w:rsidR="00567BBF" w:rsidRPr="00567BBF">
        <w:rPr>
          <w:rFonts w:ascii="Times New Roman" w:hAnsi="Times New Roman" w:cs="Times New Roman"/>
          <w:sz w:val="24"/>
          <w:szCs w:val="24"/>
        </w:rPr>
        <w:t>.</w:t>
      </w:r>
    </w:p>
    <w:p w:rsidR="00616601" w:rsidRPr="00567BBF" w:rsidRDefault="00616601" w:rsidP="001D6096">
      <w:pPr>
        <w:pStyle w:val="ListParagraph"/>
        <w:numPr>
          <w:ilvl w:val="0"/>
          <w:numId w:val="28"/>
        </w:numPr>
        <w:spacing w:after="0" w:line="480" w:lineRule="auto"/>
        <w:jc w:val="both"/>
        <w:rPr>
          <w:rFonts w:ascii="Times New Roman" w:hAnsi="Times New Roman" w:cs="Times New Roman"/>
          <w:sz w:val="24"/>
          <w:szCs w:val="24"/>
        </w:rPr>
      </w:pPr>
      <w:bookmarkStart w:id="0" w:name="_GoBack"/>
      <w:bookmarkEnd w:id="0"/>
      <w:r w:rsidRPr="00567BBF">
        <w:rPr>
          <w:rFonts w:ascii="Times New Roman" w:hAnsi="Times New Roman" w:cs="Times New Roman"/>
          <w:sz w:val="24"/>
          <w:szCs w:val="24"/>
        </w:rPr>
        <w:t>Objek jaminan fidusia telah dibeli oleh pihak ketiga dengan itikad baik</w:t>
      </w:r>
      <w:r w:rsidR="00567BBF" w:rsidRPr="00567BBF">
        <w:rPr>
          <w:rFonts w:ascii="Times New Roman" w:hAnsi="Times New Roman" w:cs="Times New Roman"/>
          <w:sz w:val="24"/>
          <w:szCs w:val="24"/>
        </w:rPr>
        <w:t>.</w:t>
      </w:r>
    </w:p>
    <w:p w:rsidR="00616601" w:rsidRPr="00567BBF" w:rsidRDefault="00616601" w:rsidP="001D6096">
      <w:pPr>
        <w:pStyle w:val="ListParagraph"/>
        <w:numPr>
          <w:ilvl w:val="0"/>
          <w:numId w:val="28"/>
        </w:numPr>
        <w:spacing w:after="0" w:line="480" w:lineRule="auto"/>
        <w:jc w:val="both"/>
        <w:rPr>
          <w:rFonts w:ascii="Times New Roman" w:hAnsi="Times New Roman" w:cs="Times New Roman"/>
          <w:sz w:val="24"/>
          <w:szCs w:val="24"/>
        </w:rPr>
      </w:pPr>
      <w:r w:rsidRPr="00567BBF">
        <w:rPr>
          <w:rFonts w:ascii="Times New Roman" w:hAnsi="Times New Roman" w:cs="Times New Roman"/>
          <w:sz w:val="24"/>
          <w:szCs w:val="24"/>
        </w:rPr>
        <w:t>Objek jaminan hilang atau dikuasai oleh orang lain</w:t>
      </w:r>
      <w:r w:rsidR="00567BBF" w:rsidRPr="00567BBF">
        <w:rPr>
          <w:rFonts w:ascii="Times New Roman" w:hAnsi="Times New Roman" w:cs="Times New Roman"/>
          <w:sz w:val="24"/>
          <w:szCs w:val="24"/>
        </w:rPr>
        <w:t>.</w:t>
      </w:r>
    </w:p>
    <w:p w:rsidR="00616601" w:rsidRPr="00567BBF" w:rsidRDefault="00616601" w:rsidP="001D6096">
      <w:pPr>
        <w:pStyle w:val="ListParagraph"/>
        <w:numPr>
          <w:ilvl w:val="0"/>
          <w:numId w:val="28"/>
        </w:numPr>
        <w:spacing w:after="0" w:line="480" w:lineRule="auto"/>
        <w:jc w:val="both"/>
        <w:rPr>
          <w:rFonts w:ascii="Times New Roman" w:hAnsi="Times New Roman" w:cs="Times New Roman"/>
          <w:sz w:val="24"/>
          <w:szCs w:val="24"/>
        </w:rPr>
      </w:pPr>
      <w:r w:rsidRPr="00567BBF">
        <w:rPr>
          <w:rFonts w:ascii="Times New Roman" w:hAnsi="Times New Roman" w:cs="Times New Roman"/>
          <w:sz w:val="24"/>
          <w:szCs w:val="24"/>
        </w:rPr>
        <w:t>Fidusia ulang</w:t>
      </w:r>
      <w:r w:rsidR="00567BBF" w:rsidRPr="00567BBF">
        <w:rPr>
          <w:rFonts w:ascii="Times New Roman" w:hAnsi="Times New Roman" w:cs="Times New Roman"/>
          <w:sz w:val="24"/>
          <w:szCs w:val="24"/>
        </w:rPr>
        <w:t>.</w:t>
      </w:r>
    </w:p>
    <w:p w:rsidR="00640347" w:rsidRPr="00B71668" w:rsidRDefault="00640347" w:rsidP="00F24940">
      <w:pPr>
        <w:spacing w:line="480" w:lineRule="auto"/>
        <w:ind w:left="709"/>
        <w:jc w:val="both"/>
        <w:rPr>
          <w:rFonts w:ascii="Times New Roman" w:hAnsi="Times New Roman" w:cs="Times New Roman"/>
          <w:sz w:val="24"/>
          <w:szCs w:val="24"/>
        </w:rPr>
      </w:pPr>
    </w:p>
    <w:p w:rsidR="00F24940" w:rsidRPr="00B71668" w:rsidRDefault="00F24940" w:rsidP="00F24940">
      <w:pPr>
        <w:spacing w:after="0" w:line="480" w:lineRule="auto"/>
        <w:ind w:left="709"/>
        <w:jc w:val="both"/>
        <w:rPr>
          <w:rFonts w:ascii="Times New Roman" w:hAnsi="Times New Roman" w:cs="Times New Roman"/>
          <w:sz w:val="24"/>
          <w:szCs w:val="24"/>
        </w:rPr>
      </w:pPr>
    </w:p>
    <w:p w:rsidR="00F24940" w:rsidRPr="00F24940" w:rsidRDefault="00F24940" w:rsidP="00F24940">
      <w:pPr>
        <w:pStyle w:val="ListParagraph"/>
        <w:spacing w:after="0" w:line="480" w:lineRule="auto"/>
        <w:ind w:left="709"/>
        <w:jc w:val="both"/>
        <w:rPr>
          <w:rFonts w:ascii="Times New Roman" w:hAnsi="Times New Roman" w:cs="Times New Roman"/>
          <w:sz w:val="24"/>
        </w:rPr>
      </w:pPr>
    </w:p>
    <w:p w:rsidR="00CB42C9" w:rsidRDefault="00CB42C9" w:rsidP="00CB42C9">
      <w:pPr>
        <w:pStyle w:val="ListParagraph"/>
        <w:spacing w:after="0" w:line="480" w:lineRule="auto"/>
        <w:ind w:left="1276"/>
        <w:jc w:val="both"/>
        <w:rPr>
          <w:rFonts w:ascii="Times New Roman" w:hAnsi="Times New Roman" w:cs="Times New Roman"/>
          <w:sz w:val="24"/>
        </w:rPr>
      </w:pPr>
    </w:p>
    <w:p w:rsidR="00C35099" w:rsidRDefault="00C35099" w:rsidP="00477928">
      <w:pPr>
        <w:spacing w:line="480" w:lineRule="auto"/>
        <w:jc w:val="center"/>
        <w:rPr>
          <w:rFonts w:ascii="Times New Roman" w:hAnsi="Times New Roman" w:cs="Times New Roman"/>
          <w:b/>
          <w:sz w:val="24"/>
          <w:szCs w:val="24"/>
        </w:rPr>
      </w:pPr>
    </w:p>
    <w:p w:rsidR="00847B39" w:rsidRDefault="00847B39" w:rsidP="00477928">
      <w:pPr>
        <w:spacing w:line="480" w:lineRule="auto"/>
        <w:jc w:val="center"/>
        <w:rPr>
          <w:rFonts w:ascii="Times New Roman" w:hAnsi="Times New Roman" w:cs="Times New Roman"/>
          <w:b/>
          <w:sz w:val="24"/>
          <w:szCs w:val="24"/>
        </w:rPr>
      </w:pPr>
    </w:p>
    <w:p w:rsidR="00561C6B" w:rsidRDefault="00561C6B" w:rsidP="00477928">
      <w:pPr>
        <w:spacing w:line="480" w:lineRule="auto"/>
        <w:jc w:val="center"/>
        <w:rPr>
          <w:rFonts w:ascii="Times New Roman" w:hAnsi="Times New Roman" w:cs="Times New Roman"/>
          <w:b/>
          <w:sz w:val="24"/>
          <w:szCs w:val="24"/>
        </w:rPr>
      </w:pPr>
    </w:p>
    <w:p w:rsidR="003910B3" w:rsidRDefault="003910B3" w:rsidP="00477928">
      <w:pPr>
        <w:spacing w:line="480" w:lineRule="auto"/>
        <w:jc w:val="center"/>
        <w:rPr>
          <w:rFonts w:ascii="Times New Roman" w:hAnsi="Times New Roman" w:cs="Times New Roman"/>
          <w:b/>
          <w:sz w:val="24"/>
          <w:szCs w:val="24"/>
        </w:rPr>
      </w:pPr>
    </w:p>
    <w:p w:rsidR="00567BBF" w:rsidRDefault="00567BBF" w:rsidP="00477928">
      <w:pPr>
        <w:spacing w:line="480" w:lineRule="auto"/>
        <w:jc w:val="center"/>
        <w:rPr>
          <w:rFonts w:ascii="Times New Roman" w:hAnsi="Times New Roman" w:cs="Times New Roman"/>
          <w:b/>
          <w:sz w:val="24"/>
          <w:szCs w:val="24"/>
        </w:rPr>
      </w:pPr>
    </w:p>
    <w:p w:rsidR="00567BBF" w:rsidRDefault="00567BBF" w:rsidP="00477928">
      <w:pPr>
        <w:spacing w:line="480" w:lineRule="auto"/>
        <w:jc w:val="center"/>
        <w:rPr>
          <w:rFonts w:ascii="Times New Roman" w:hAnsi="Times New Roman" w:cs="Times New Roman"/>
          <w:b/>
          <w:sz w:val="24"/>
          <w:szCs w:val="24"/>
        </w:rPr>
      </w:pPr>
    </w:p>
    <w:p w:rsidR="00567BBF" w:rsidRDefault="00567BBF" w:rsidP="00477928">
      <w:pPr>
        <w:spacing w:line="480" w:lineRule="auto"/>
        <w:jc w:val="center"/>
        <w:rPr>
          <w:rFonts w:ascii="Times New Roman" w:hAnsi="Times New Roman" w:cs="Times New Roman"/>
          <w:b/>
          <w:sz w:val="24"/>
          <w:szCs w:val="24"/>
        </w:rPr>
      </w:pPr>
    </w:p>
    <w:p w:rsidR="00645169" w:rsidRPr="00645169" w:rsidRDefault="00645169" w:rsidP="00645169">
      <w:pPr>
        <w:spacing w:line="480" w:lineRule="auto"/>
        <w:ind w:left="993" w:hanging="567"/>
        <w:jc w:val="both"/>
        <w:rPr>
          <w:rFonts w:ascii="Times New Roman" w:hAnsi="Times New Roman" w:cs="Times New Roman"/>
          <w:sz w:val="24"/>
          <w:szCs w:val="24"/>
        </w:rPr>
      </w:pPr>
    </w:p>
    <w:sectPr w:rsidR="00645169" w:rsidRPr="00645169" w:rsidSect="005B4E5D">
      <w:headerReference w:type="default" r:id="rId8"/>
      <w:pgSz w:w="11907" w:h="16839" w:code="9"/>
      <w:pgMar w:top="2274" w:right="1701" w:bottom="1701" w:left="2274" w:header="1134"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C5" w:rsidRDefault="001001C5" w:rsidP="00A417DB">
      <w:pPr>
        <w:spacing w:after="0" w:line="240" w:lineRule="auto"/>
      </w:pPr>
      <w:r>
        <w:separator/>
      </w:r>
    </w:p>
  </w:endnote>
  <w:endnote w:type="continuationSeparator" w:id="0">
    <w:p w:rsidR="001001C5" w:rsidRDefault="001001C5" w:rsidP="00A4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C5" w:rsidRDefault="001001C5" w:rsidP="00A417DB">
      <w:pPr>
        <w:spacing w:after="0" w:line="240" w:lineRule="auto"/>
      </w:pPr>
      <w:r>
        <w:separator/>
      </w:r>
    </w:p>
  </w:footnote>
  <w:footnote w:type="continuationSeparator" w:id="0">
    <w:p w:rsidR="001001C5" w:rsidRDefault="001001C5" w:rsidP="00A417DB">
      <w:pPr>
        <w:spacing w:after="0" w:line="240" w:lineRule="auto"/>
      </w:pPr>
      <w:r>
        <w:continuationSeparator/>
      </w:r>
    </w:p>
  </w:footnote>
  <w:footnote w:id="1">
    <w:p w:rsidR="00664FA2" w:rsidRDefault="00664FA2" w:rsidP="001151CF">
      <w:pPr>
        <w:pStyle w:val="FootnoteText"/>
        <w:ind w:firstLine="426"/>
      </w:pPr>
      <w:r>
        <w:rPr>
          <w:rStyle w:val="FootnoteReference"/>
        </w:rPr>
        <w:footnoteRef/>
      </w:r>
      <w:r>
        <w:t xml:space="preserve"> </w:t>
      </w:r>
      <w:r w:rsidRPr="00293070">
        <w:rPr>
          <w:rFonts w:ascii="Times New Roman" w:hAnsi="Times New Roman" w:cs="Times New Roman"/>
        </w:rPr>
        <w:t xml:space="preserve">Mariam Darus Badrulzaman, 1987, </w:t>
      </w:r>
      <w:r w:rsidRPr="00293070">
        <w:rPr>
          <w:rFonts w:ascii="Times New Roman" w:hAnsi="Times New Roman" w:cs="Times New Roman"/>
          <w:u w:val="single"/>
        </w:rPr>
        <w:t>Kompilasi Hukum Perikatan</w:t>
      </w:r>
      <w:r w:rsidRPr="00293070">
        <w:rPr>
          <w:rFonts w:ascii="Times New Roman" w:hAnsi="Times New Roman" w:cs="Times New Roman"/>
        </w:rPr>
        <w:t>.</w:t>
      </w:r>
      <w:r>
        <w:rPr>
          <w:rFonts w:ascii="Times New Roman" w:hAnsi="Times New Roman" w:cs="Times New Roman"/>
        </w:rPr>
        <w:t xml:space="preserve"> Bandung. Citra Aditya Bakti. H</w:t>
      </w:r>
      <w:r w:rsidRPr="00293070">
        <w:rPr>
          <w:rFonts w:ascii="Times New Roman" w:hAnsi="Times New Roman" w:cs="Times New Roman"/>
        </w:rPr>
        <w:t>l</w:t>
      </w:r>
      <w:r>
        <w:rPr>
          <w:rFonts w:ascii="Times New Roman" w:hAnsi="Times New Roman" w:cs="Times New Roman"/>
        </w:rPr>
        <w:t>m</w:t>
      </w:r>
      <w:r w:rsidRPr="00293070">
        <w:rPr>
          <w:rFonts w:ascii="Times New Roman" w:hAnsi="Times New Roman" w:cs="Times New Roman"/>
        </w:rPr>
        <w:t>. 227</w:t>
      </w:r>
    </w:p>
  </w:footnote>
  <w:footnote w:id="2">
    <w:p w:rsidR="00664FA2" w:rsidRDefault="00664FA2" w:rsidP="001151CF">
      <w:pPr>
        <w:pStyle w:val="FootnoteText"/>
        <w:ind w:firstLine="426"/>
      </w:pPr>
      <w:r>
        <w:rPr>
          <w:rStyle w:val="FootnoteReference"/>
        </w:rPr>
        <w:footnoteRef/>
      </w:r>
      <w:r>
        <w:t xml:space="preserve"> </w:t>
      </w:r>
      <w:r w:rsidRPr="000F5D8F">
        <w:rPr>
          <w:rFonts w:ascii="Times New Roman" w:hAnsi="Times New Roman" w:cs="Times New Roman"/>
        </w:rPr>
        <w:t xml:space="preserve">Hartono Hadisoeprapto, 1984, </w:t>
      </w:r>
      <w:r w:rsidRPr="000F5D8F">
        <w:rPr>
          <w:rFonts w:ascii="Times New Roman" w:hAnsi="Times New Roman" w:cs="Times New Roman"/>
          <w:i/>
        </w:rPr>
        <w:t>Pokok – Pokok Hukum Perikatan dan Hukum Jaminan</w:t>
      </w:r>
      <w:r w:rsidRPr="000F5D8F">
        <w:rPr>
          <w:rFonts w:ascii="Times New Roman" w:hAnsi="Times New Roman" w:cs="Times New Roman"/>
        </w:rPr>
        <w:t xml:space="preserve"> , Yogyakarta, Liberty, Hlm 50</w:t>
      </w:r>
    </w:p>
  </w:footnote>
  <w:footnote w:id="3">
    <w:p w:rsidR="00664FA2" w:rsidRDefault="00664FA2" w:rsidP="0037292E">
      <w:pPr>
        <w:pStyle w:val="FootnoteText"/>
        <w:ind w:firstLine="426"/>
        <w:jc w:val="both"/>
      </w:pPr>
      <w:r>
        <w:rPr>
          <w:rStyle w:val="FootnoteReference"/>
        </w:rPr>
        <w:footnoteRef/>
      </w:r>
      <w:r>
        <w:t xml:space="preserve"> </w:t>
      </w:r>
      <w:r w:rsidRPr="00FE3D08">
        <w:rPr>
          <w:rFonts w:ascii="Times New Roman" w:hAnsi="Times New Roman" w:cs="Times New Roman"/>
        </w:rPr>
        <w:t>Sri Soedewi Masjchun Sofwan, 1981, Hukum Perdata, Hak Jaminan Atas Tanah, Liberty Yogyakarta</w:t>
      </w:r>
    </w:p>
  </w:footnote>
  <w:footnote w:id="4">
    <w:p w:rsidR="00664FA2" w:rsidRDefault="00664FA2" w:rsidP="0037292E">
      <w:pPr>
        <w:pStyle w:val="FootnoteText"/>
        <w:ind w:firstLine="426"/>
        <w:jc w:val="both"/>
      </w:pPr>
      <w:r>
        <w:rPr>
          <w:rStyle w:val="FootnoteReference"/>
        </w:rPr>
        <w:footnoteRef/>
      </w:r>
      <w:r>
        <w:t xml:space="preserve"> </w:t>
      </w:r>
      <w:r w:rsidRPr="005E68CF">
        <w:rPr>
          <w:rFonts w:ascii="Times New Roman" w:hAnsi="Times New Roman" w:cs="Times New Roman"/>
        </w:rPr>
        <w:t>Sri Soedewi Masjchun Sofwan</w:t>
      </w:r>
      <w:r>
        <w:rPr>
          <w:rFonts w:ascii="Times New Roman" w:hAnsi="Times New Roman" w:cs="Times New Roman"/>
        </w:rPr>
        <w:t>, 1980, Hukum Jaminan Di Indonesia Pokok – Pokok Hukum Jaminan dan Jaminan Perorangan, Jakarta, Badan Pembinaan Hukum Nasional, Hlm 43-57</w:t>
      </w:r>
    </w:p>
  </w:footnote>
  <w:footnote w:id="5">
    <w:p w:rsidR="00664FA2" w:rsidRPr="005E1DDF" w:rsidRDefault="00664FA2" w:rsidP="00E44171">
      <w:pPr>
        <w:pStyle w:val="FootnoteText"/>
        <w:ind w:firstLine="426"/>
        <w:rPr>
          <w:rFonts w:ascii="Times New Roman" w:hAnsi="Times New Roman" w:cs="Times New Roman"/>
        </w:rPr>
      </w:pPr>
      <w:r w:rsidRPr="005E1DDF">
        <w:rPr>
          <w:rStyle w:val="FootnoteReference"/>
          <w:rFonts w:ascii="Times New Roman" w:hAnsi="Times New Roman" w:cs="Times New Roman"/>
        </w:rPr>
        <w:footnoteRef/>
      </w:r>
      <w:r w:rsidRPr="005E1DDF">
        <w:rPr>
          <w:rFonts w:ascii="Times New Roman" w:hAnsi="Times New Roman" w:cs="Times New Roman"/>
        </w:rPr>
        <w:t xml:space="preserve"> Bahsan M, 2007 </w:t>
      </w:r>
      <w:r w:rsidRPr="005E1DDF">
        <w:rPr>
          <w:rFonts w:ascii="Times New Roman" w:hAnsi="Times New Roman" w:cs="Times New Roman"/>
          <w:i/>
        </w:rPr>
        <w:t>Hukum jaminan dan jaminan kredit perbankan Indonesia</w:t>
      </w:r>
      <w:r w:rsidRPr="005E1DDF">
        <w:rPr>
          <w:rFonts w:ascii="Times New Roman" w:hAnsi="Times New Roman" w:cs="Times New Roman"/>
        </w:rPr>
        <w:t>, Jakarta PT RajaGrafindo Persada</w:t>
      </w:r>
      <w:r>
        <w:rPr>
          <w:rFonts w:ascii="Times New Roman" w:hAnsi="Times New Roman" w:cs="Times New Roman"/>
        </w:rPr>
        <w:t>, H</w:t>
      </w:r>
      <w:r w:rsidRPr="005E1DDF">
        <w:rPr>
          <w:rFonts w:ascii="Times New Roman" w:hAnsi="Times New Roman" w:cs="Times New Roman"/>
        </w:rPr>
        <w:t>lm 9-12</w:t>
      </w:r>
    </w:p>
  </w:footnote>
  <w:footnote w:id="6">
    <w:p w:rsidR="00664FA2" w:rsidRDefault="00664FA2">
      <w:pPr>
        <w:pStyle w:val="FootnoteText"/>
      </w:pPr>
      <w:r>
        <w:rPr>
          <w:rStyle w:val="FootnoteReference"/>
        </w:rPr>
        <w:footnoteRef/>
      </w:r>
      <w:r>
        <w:t xml:space="preserve"> </w:t>
      </w:r>
      <w:r w:rsidRPr="00010E8D">
        <w:rPr>
          <w:rFonts w:ascii="Times New Roman" w:hAnsi="Times New Roman" w:cs="Times New Roman"/>
          <w:i/>
        </w:rPr>
        <w:t>Ibid,</w:t>
      </w:r>
      <w:r w:rsidRPr="00010E8D">
        <w:rPr>
          <w:rFonts w:ascii="Times New Roman" w:hAnsi="Times New Roman" w:cs="Times New Roman"/>
        </w:rPr>
        <w:t xml:space="preserve"> Hlm :</w:t>
      </w:r>
      <w:r>
        <w:rPr>
          <w:rFonts w:ascii="Times New Roman" w:hAnsi="Times New Roman" w:cs="Times New Roman"/>
        </w:rPr>
        <w:t xml:space="preserve"> 178</w:t>
      </w:r>
    </w:p>
  </w:footnote>
  <w:footnote w:id="7">
    <w:p w:rsidR="00664FA2" w:rsidRDefault="00664FA2">
      <w:pPr>
        <w:pStyle w:val="FootnoteText"/>
      </w:pPr>
      <w:r>
        <w:rPr>
          <w:rStyle w:val="FootnoteReference"/>
        </w:rPr>
        <w:footnoteRef/>
      </w:r>
      <w:r>
        <w:t xml:space="preserve"> </w:t>
      </w:r>
      <w:r w:rsidRPr="001A4DDA">
        <w:rPr>
          <w:rFonts w:ascii="Times New Roman" w:hAnsi="Times New Roman" w:cs="Times New Roman"/>
        </w:rPr>
        <w:t>Gunawan</w:t>
      </w:r>
      <w:r>
        <w:rPr>
          <w:rFonts w:ascii="Times New Roman" w:hAnsi="Times New Roman" w:cs="Times New Roman"/>
        </w:rPr>
        <w:t xml:space="preserve"> Widjajam Ahmad yani, Op. Cit, H</w:t>
      </w:r>
      <w:r w:rsidRPr="001A4DDA">
        <w:rPr>
          <w:rFonts w:ascii="Times New Roman" w:hAnsi="Times New Roman" w:cs="Times New Roman"/>
        </w:rPr>
        <w:t>lm 123</w:t>
      </w:r>
    </w:p>
  </w:footnote>
  <w:footnote w:id="8">
    <w:p w:rsidR="00664FA2" w:rsidRPr="007D7349" w:rsidRDefault="00664FA2" w:rsidP="00E44171">
      <w:pPr>
        <w:pStyle w:val="FootnoteText"/>
        <w:ind w:firstLine="426"/>
        <w:rPr>
          <w:rFonts w:ascii="Times New Roman" w:hAnsi="Times New Roman" w:cs="Times New Roman"/>
        </w:rPr>
      </w:pPr>
      <w:r w:rsidRPr="007D7349">
        <w:rPr>
          <w:rStyle w:val="FootnoteReference"/>
          <w:rFonts w:ascii="Times New Roman" w:hAnsi="Times New Roman" w:cs="Times New Roman"/>
        </w:rPr>
        <w:footnoteRef/>
      </w:r>
      <w:r w:rsidRPr="007D7349">
        <w:rPr>
          <w:rFonts w:ascii="Times New Roman" w:hAnsi="Times New Roman" w:cs="Times New Roman"/>
        </w:rPr>
        <w:t xml:space="preserve"> Sri Soedewi Masjchoen Sofwan, 1997, Beberapa Masalah Pelaksana Lembaga Jaminan khususnya Fiducia di Dalam Praktek dan Pelaksanaanya di Indonesia, Yogyakarta, Fakultas Hukum Univ</w:t>
      </w:r>
      <w:r>
        <w:rPr>
          <w:rFonts w:ascii="Times New Roman" w:hAnsi="Times New Roman" w:cs="Times New Roman"/>
        </w:rPr>
        <w:t>ersitas Gajah Mada, H</w:t>
      </w:r>
      <w:r w:rsidRPr="007D7349">
        <w:rPr>
          <w:rFonts w:ascii="Times New Roman" w:hAnsi="Times New Roman" w:cs="Times New Roman"/>
        </w:rPr>
        <w:t>lm 41</w:t>
      </w:r>
    </w:p>
  </w:footnote>
  <w:footnote w:id="9">
    <w:p w:rsidR="00664FA2" w:rsidRDefault="00664FA2">
      <w:pPr>
        <w:pStyle w:val="FootnoteText"/>
      </w:pPr>
      <w:r>
        <w:rPr>
          <w:rStyle w:val="FootnoteReference"/>
        </w:rPr>
        <w:footnoteRef/>
      </w:r>
      <w:r>
        <w:t xml:space="preserve"> </w:t>
      </w:r>
      <w:r w:rsidRPr="007D7349">
        <w:rPr>
          <w:rFonts w:ascii="Times New Roman" w:hAnsi="Times New Roman" w:cs="Times New Roman"/>
        </w:rPr>
        <w:t>Munir Fuady, 2013, Hukum Jam</w:t>
      </w:r>
      <w:r>
        <w:rPr>
          <w:rFonts w:ascii="Times New Roman" w:hAnsi="Times New Roman" w:cs="Times New Roman"/>
        </w:rPr>
        <w:t>inan Utang, Jakarta, Erlangga, H</w:t>
      </w:r>
      <w:r w:rsidRPr="007D7349">
        <w:rPr>
          <w:rFonts w:ascii="Times New Roman" w:hAnsi="Times New Roman" w:cs="Times New Roman"/>
        </w:rPr>
        <w:t>lm 104-105</w:t>
      </w:r>
    </w:p>
  </w:footnote>
  <w:footnote w:id="10">
    <w:p w:rsidR="00664FA2" w:rsidRPr="00CD7B6D" w:rsidRDefault="00664FA2">
      <w:pPr>
        <w:pStyle w:val="FootnoteText"/>
        <w:rPr>
          <w:rFonts w:ascii="Times New Roman" w:hAnsi="Times New Roman" w:cs="Times New Roman"/>
        </w:rPr>
      </w:pPr>
      <w:r w:rsidRPr="00CD7B6D">
        <w:rPr>
          <w:rStyle w:val="FootnoteReference"/>
          <w:rFonts w:ascii="Times New Roman" w:hAnsi="Times New Roman" w:cs="Times New Roman"/>
        </w:rPr>
        <w:footnoteRef/>
      </w:r>
      <w:r w:rsidRPr="00CD7B6D">
        <w:rPr>
          <w:rFonts w:ascii="Times New Roman" w:hAnsi="Times New Roman" w:cs="Times New Roman"/>
        </w:rPr>
        <w:t xml:space="preserve"> Rachmadi Usman, 2013, Hukum Kebe</w:t>
      </w:r>
      <w:r>
        <w:rPr>
          <w:rFonts w:ascii="Times New Roman" w:hAnsi="Times New Roman" w:cs="Times New Roman"/>
        </w:rPr>
        <w:t>ndaan, Jakarta, Sinar Grafika, H</w:t>
      </w:r>
      <w:r w:rsidRPr="00CD7B6D">
        <w:rPr>
          <w:rFonts w:ascii="Times New Roman" w:hAnsi="Times New Roman" w:cs="Times New Roman"/>
        </w:rPr>
        <w:t>lm 283-284</w:t>
      </w:r>
    </w:p>
  </w:footnote>
  <w:footnote w:id="11">
    <w:p w:rsidR="00664FA2" w:rsidRPr="00CD7B6D" w:rsidRDefault="00664FA2">
      <w:pPr>
        <w:pStyle w:val="FootnoteText"/>
        <w:rPr>
          <w:rFonts w:ascii="Times New Roman" w:hAnsi="Times New Roman" w:cs="Times New Roman"/>
        </w:rPr>
      </w:pPr>
      <w:r w:rsidRPr="00CD7B6D">
        <w:rPr>
          <w:rStyle w:val="FootnoteReference"/>
          <w:rFonts w:ascii="Times New Roman" w:hAnsi="Times New Roman" w:cs="Times New Roman"/>
        </w:rPr>
        <w:footnoteRef/>
      </w:r>
      <w:r>
        <w:rPr>
          <w:rFonts w:ascii="Times New Roman" w:hAnsi="Times New Roman" w:cs="Times New Roman"/>
        </w:rPr>
        <w:t xml:space="preserve"> Ibid, H</w:t>
      </w:r>
      <w:r w:rsidRPr="00CD7B6D">
        <w:rPr>
          <w:rFonts w:ascii="Times New Roman" w:hAnsi="Times New Roman" w:cs="Times New Roman"/>
        </w:rPr>
        <w:t>lm 285. 46</w:t>
      </w:r>
    </w:p>
  </w:footnote>
  <w:footnote w:id="12">
    <w:p w:rsidR="00664FA2" w:rsidRPr="00CD7B6D" w:rsidRDefault="00664FA2">
      <w:pPr>
        <w:pStyle w:val="FootnoteText"/>
        <w:rPr>
          <w:rFonts w:ascii="Times New Roman" w:hAnsi="Times New Roman" w:cs="Times New Roman"/>
        </w:rPr>
      </w:pPr>
      <w:r w:rsidRPr="00CD7B6D">
        <w:rPr>
          <w:rStyle w:val="FootnoteReference"/>
          <w:rFonts w:ascii="Times New Roman" w:hAnsi="Times New Roman" w:cs="Times New Roman"/>
        </w:rPr>
        <w:footnoteRef/>
      </w:r>
      <w:r w:rsidRPr="00CD7B6D">
        <w:rPr>
          <w:rFonts w:ascii="Times New Roman" w:hAnsi="Times New Roman" w:cs="Times New Roman"/>
        </w:rPr>
        <w:t xml:space="preserve"> Tan Kamello, Op.cit, hlm 159-170</w:t>
      </w:r>
    </w:p>
  </w:footnote>
  <w:footnote w:id="13">
    <w:p w:rsidR="00664FA2" w:rsidRPr="00CD7B6D" w:rsidRDefault="00664FA2" w:rsidP="00BD0BA8">
      <w:pPr>
        <w:pStyle w:val="FootnoteText"/>
        <w:ind w:firstLine="709"/>
        <w:jc w:val="both"/>
        <w:rPr>
          <w:rFonts w:ascii="Times New Roman" w:hAnsi="Times New Roman" w:cs="Times New Roman"/>
        </w:rPr>
      </w:pPr>
      <w:r w:rsidRPr="00CD7B6D">
        <w:rPr>
          <w:rStyle w:val="FootnoteReference"/>
          <w:rFonts w:ascii="Times New Roman" w:hAnsi="Times New Roman" w:cs="Times New Roman"/>
        </w:rPr>
        <w:footnoteRef/>
      </w:r>
      <w:r w:rsidRPr="00CD7B6D">
        <w:rPr>
          <w:rFonts w:ascii="Times New Roman" w:hAnsi="Times New Roman" w:cs="Times New Roman"/>
        </w:rPr>
        <w:t xml:space="preserve"> Satrio, J, 2002, Hukum Jaminan Hak Kebendaan Fidusia, </w:t>
      </w:r>
      <w:r>
        <w:rPr>
          <w:rFonts w:ascii="Times New Roman" w:hAnsi="Times New Roman" w:cs="Times New Roman"/>
        </w:rPr>
        <w:t>Bandung, PT. Cira Aditya Bakti, H</w:t>
      </w:r>
      <w:r w:rsidRPr="00CD7B6D">
        <w:rPr>
          <w:rFonts w:ascii="Times New Roman" w:hAnsi="Times New Roman" w:cs="Times New Roman"/>
        </w:rPr>
        <w:t>lm 179</w:t>
      </w:r>
    </w:p>
  </w:footnote>
  <w:footnote w:id="14">
    <w:p w:rsidR="00664FA2" w:rsidRDefault="00664FA2" w:rsidP="0096613A">
      <w:pPr>
        <w:pStyle w:val="FootnoteText"/>
        <w:ind w:firstLine="426"/>
      </w:pPr>
      <w:r>
        <w:rPr>
          <w:rStyle w:val="FootnoteReference"/>
        </w:rPr>
        <w:footnoteRef/>
      </w:r>
      <w:r>
        <w:t xml:space="preserve"> </w:t>
      </w:r>
      <w:r w:rsidRPr="002E38B6">
        <w:rPr>
          <w:rFonts w:ascii="Times New Roman" w:hAnsi="Times New Roman" w:cs="Times New Roman"/>
        </w:rPr>
        <w:t xml:space="preserve">Purwahid Patrik dan kashadi, </w:t>
      </w:r>
      <w:r w:rsidRPr="002E38B6">
        <w:rPr>
          <w:rFonts w:ascii="Times New Roman" w:hAnsi="Times New Roman" w:cs="Times New Roman"/>
          <w:i/>
        </w:rPr>
        <w:t>Hukum Jaminan</w:t>
      </w:r>
      <w:r w:rsidRPr="002E38B6">
        <w:rPr>
          <w:rFonts w:ascii="Times New Roman" w:hAnsi="Times New Roman" w:cs="Times New Roman"/>
        </w:rPr>
        <w:t>, Semarang : Badan Penerbit Universitas Diponegoro, Cet. Ke-1, 2009, H</w:t>
      </w:r>
      <w:r>
        <w:rPr>
          <w:rFonts w:ascii="Times New Roman" w:hAnsi="Times New Roman" w:cs="Times New Roman"/>
        </w:rPr>
        <w:t>lm 182</w:t>
      </w:r>
    </w:p>
  </w:footnote>
  <w:footnote w:id="15">
    <w:p w:rsidR="00664FA2" w:rsidRPr="00EB7927" w:rsidRDefault="00664FA2">
      <w:pPr>
        <w:pStyle w:val="FootnoteText"/>
        <w:rPr>
          <w:rFonts w:ascii="Times New Roman" w:hAnsi="Times New Roman" w:cs="Times New Roman"/>
        </w:rPr>
      </w:pPr>
      <w:r w:rsidRPr="00EB7927">
        <w:rPr>
          <w:rStyle w:val="FootnoteReference"/>
          <w:rFonts w:ascii="Times New Roman" w:hAnsi="Times New Roman" w:cs="Times New Roman"/>
        </w:rPr>
        <w:footnoteRef/>
      </w:r>
      <w:r w:rsidRPr="00EB7927">
        <w:rPr>
          <w:rFonts w:ascii="Times New Roman" w:hAnsi="Times New Roman" w:cs="Times New Roman"/>
        </w:rPr>
        <w:t xml:space="preserve"> Gunawan Widjaja, Ahmad Yani, Op.Cit, hlm 125</w:t>
      </w:r>
    </w:p>
  </w:footnote>
  <w:footnote w:id="16">
    <w:p w:rsidR="00664FA2" w:rsidRDefault="00664FA2">
      <w:pPr>
        <w:pStyle w:val="FootnoteText"/>
      </w:pPr>
      <w:r w:rsidRPr="00EB7927">
        <w:rPr>
          <w:rStyle w:val="FootnoteReference"/>
          <w:rFonts w:ascii="Times New Roman" w:hAnsi="Times New Roman" w:cs="Times New Roman"/>
        </w:rPr>
        <w:footnoteRef/>
      </w:r>
      <w:r w:rsidRPr="00EB7927">
        <w:rPr>
          <w:rFonts w:ascii="Times New Roman" w:hAnsi="Times New Roman" w:cs="Times New Roman"/>
        </w:rPr>
        <w:t xml:space="preserve"> Ibid, hlm 126. 52</w:t>
      </w:r>
    </w:p>
  </w:footnote>
  <w:footnote w:id="17">
    <w:p w:rsidR="00664FA2" w:rsidRPr="00EB7927" w:rsidRDefault="00664FA2">
      <w:pPr>
        <w:pStyle w:val="FootnoteText"/>
        <w:rPr>
          <w:rFonts w:ascii="Times New Roman" w:hAnsi="Times New Roman" w:cs="Times New Roman"/>
        </w:rPr>
      </w:pPr>
      <w:r w:rsidRPr="00EB7927">
        <w:rPr>
          <w:rStyle w:val="FootnoteReference"/>
          <w:rFonts w:ascii="Times New Roman" w:hAnsi="Times New Roman" w:cs="Times New Roman"/>
        </w:rPr>
        <w:footnoteRef/>
      </w:r>
      <w:r>
        <w:rPr>
          <w:rFonts w:ascii="Times New Roman" w:hAnsi="Times New Roman" w:cs="Times New Roman"/>
        </w:rPr>
        <w:t xml:space="preserve"> Ibid, H</w:t>
      </w:r>
      <w:r w:rsidRPr="00EB7927">
        <w:rPr>
          <w:rFonts w:ascii="Times New Roman" w:hAnsi="Times New Roman" w:cs="Times New Roman"/>
        </w:rPr>
        <w:t>lm 139</w:t>
      </w:r>
    </w:p>
  </w:footnote>
  <w:footnote w:id="18">
    <w:p w:rsidR="00664FA2" w:rsidRPr="00120063" w:rsidRDefault="00664FA2">
      <w:pPr>
        <w:pStyle w:val="FootnoteText"/>
        <w:rPr>
          <w:rFonts w:ascii="Times New Roman" w:hAnsi="Times New Roman" w:cs="Times New Roman"/>
        </w:rPr>
      </w:pPr>
      <w:r w:rsidRPr="00120063">
        <w:rPr>
          <w:rStyle w:val="FootnoteReference"/>
          <w:rFonts w:ascii="Times New Roman" w:hAnsi="Times New Roman" w:cs="Times New Roman"/>
        </w:rPr>
        <w:footnoteRef/>
      </w:r>
      <w:r>
        <w:rPr>
          <w:rFonts w:ascii="Times New Roman" w:hAnsi="Times New Roman" w:cs="Times New Roman"/>
        </w:rPr>
        <w:t xml:space="preserve"> Munir Fuady, Op. Cit, H</w:t>
      </w:r>
      <w:r w:rsidRPr="00120063">
        <w:rPr>
          <w:rFonts w:ascii="Times New Roman" w:hAnsi="Times New Roman" w:cs="Times New Roman"/>
        </w:rPr>
        <w:t>lm 124. 53</w:t>
      </w:r>
    </w:p>
  </w:footnote>
  <w:footnote w:id="19">
    <w:p w:rsidR="00664FA2" w:rsidRDefault="00664FA2">
      <w:pPr>
        <w:pStyle w:val="FootnoteText"/>
      </w:pPr>
      <w:r w:rsidRPr="00120063">
        <w:rPr>
          <w:rStyle w:val="FootnoteReference"/>
          <w:rFonts w:ascii="Times New Roman" w:hAnsi="Times New Roman" w:cs="Times New Roman"/>
        </w:rPr>
        <w:footnoteRef/>
      </w:r>
      <w:r w:rsidRPr="00120063">
        <w:rPr>
          <w:rFonts w:ascii="Times New Roman" w:hAnsi="Times New Roman" w:cs="Times New Roman"/>
        </w:rPr>
        <w:t xml:space="preserve"> Rachamadi Usman, 2013, Hukum Kebe</w:t>
      </w:r>
      <w:r>
        <w:rPr>
          <w:rFonts w:ascii="Times New Roman" w:hAnsi="Times New Roman" w:cs="Times New Roman"/>
        </w:rPr>
        <w:t>ndaan, Jakarta, Sinar grafika, H</w:t>
      </w:r>
      <w:r w:rsidRPr="00120063">
        <w:rPr>
          <w:rFonts w:ascii="Times New Roman" w:hAnsi="Times New Roman" w:cs="Times New Roman"/>
        </w:rPr>
        <w:t>lm 291-292</w:t>
      </w:r>
    </w:p>
  </w:footnote>
  <w:footnote w:id="20">
    <w:p w:rsidR="00664FA2" w:rsidRDefault="00664FA2">
      <w:pPr>
        <w:pStyle w:val="FootnoteText"/>
      </w:pPr>
      <w:r>
        <w:rPr>
          <w:rStyle w:val="FootnoteReference"/>
        </w:rPr>
        <w:footnoteRef/>
      </w:r>
      <w:r>
        <w:t xml:space="preserve">  </w:t>
      </w:r>
      <w:r w:rsidRPr="00010E8D">
        <w:rPr>
          <w:rFonts w:ascii="Times New Roman" w:hAnsi="Times New Roman" w:cs="Times New Roman"/>
          <w:i/>
        </w:rPr>
        <w:t>Ibid,</w:t>
      </w:r>
      <w:r w:rsidRPr="00010E8D">
        <w:rPr>
          <w:rFonts w:ascii="Times New Roman" w:hAnsi="Times New Roman" w:cs="Times New Roman"/>
        </w:rPr>
        <w:t xml:space="preserve"> Hlm :</w:t>
      </w:r>
      <w:r>
        <w:rPr>
          <w:rFonts w:ascii="Times New Roman" w:hAnsi="Times New Roman" w:cs="Times New Roman"/>
        </w:rPr>
        <w:t xml:space="preserve"> 186-188</w:t>
      </w:r>
    </w:p>
  </w:footnote>
  <w:footnote w:id="21">
    <w:p w:rsidR="00664FA2" w:rsidRPr="007123FF" w:rsidRDefault="00664FA2" w:rsidP="007123FF">
      <w:pPr>
        <w:pStyle w:val="FootnoteText"/>
        <w:ind w:left="142" w:hanging="142"/>
        <w:jc w:val="both"/>
        <w:rPr>
          <w:rFonts w:ascii="Times New Roman" w:hAnsi="Times New Roman" w:cs="Times New Roman"/>
        </w:rPr>
      </w:pPr>
      <w:r w:rsidRPr="007123FF">
        <w:rPr>
          <w:rStyle w:val="FootnoteReference"/>
          <w:rFonts w:ascii="Times New Roman" w:hAnsi="Times New Roman" w:cs="Times New Roman"/>
        </w:rPr>
        <w:footnoteRef/>
      </w:r>
      <w:r w:rsidRPr="007123FF">
        <w:rPr>
          <w:rFonts w:ascii="Times New Roman" w:hAnsi="Times New Roman" w:cs="Times New Roman"/>
        </w:rPr>
        <w:t xml:space="preserve"> Sudikno, 1993. Hukum Acara Perdata Indonesia, Yogyakarta, Liberty, Hal. 209. Bandingkan dengan Ridwan Syahrani, </w:t>
      </w:r>
      <w:r>
        <w:rPr>
          <w:rFonts w:ascii="Times New Roman" w:hAnsi="Times New Roman" w:cs="Times New Roman"/>
        </w:rPr>
        <w:t xml:space="preserve">1988, yang mengatakan </w:t>
      </w:r>
      <w:r w:rsidRPr="007123FF">
        <w:rPr>
          <w:rFonts w:ascii="Times New Roman" w:hAnsi="Times New Roman" w:cs="Times New Roman"/>
        </w:rPr>
        <w:t>”Pelaksanaan Putusan Pengadilan tidak Lain adalah realisasi dan apa yang merupakan kewajiban pihak yang dikalahkan untuk memenuhi prestasi yang merupakan hak dari pihak yang dimenangkan sebagaimana tercantum dalam putusan pengadilan”, Hukum Acara Perdata di Lingkungan Pera</w:t>
      </w:r>
      <w:r>
        <w:rPr>
          <w:rFonts w:ascii="Times New Roman" w:hAnsi="Times New Roman" w:cs="Times New Roman"/>
        </w:rPr>
        <w:t>dilan Umum, Pustaka Kartini. Hlm</w:t>
      </w:r>
      <w:r w:rsidRPr="007123FF">
        <w:rPr>
          <w:rFonts w:ascii="Times New Roman" w:hAnsi="Times New Roman" w:cs="Times New Roman"/>
        </w:rPr>
        <w:t xml:space="preserve"> 106</w:t>
      </w:r>
    </w:p>
  </w:footnote>
  <w:footnote w:id="22">
    <w:p w:rsidR="00664FA2" w:rsidRPr="007123FF" w:rsidRDefault="00664FA2" w:rsidP="007123FF">
      <w:pPr>
        <w:pStyle w:val="FootnoteText"/>
        <w:ind w:left="142" w:hanging="142"/>
        <w:jc w:val="both"/>
        <w:rPr>
          <w:rFonts w:ascii="Times New Roman" w:hAnsi="Times New Roman" w:cs="Times New Roman"/>
        </w:rPr>
      </w:pPr>
      <w:r w:rsidRPr="007123FF">
        <w:rPr>
          <w:rStyle w:val="FootnoteReference"/>
          <w:rFonts w:ascii="Times New Roman" w:hAnsi="Times New Roman" w:cs="Times New Roman"/>
        </w:rPr>
        <w:footnoteRef/>
      </w:r>
      <w:r w:rsidRPr="007123FF">
        <w:rPr>
          <w:rFonts w:ascii="Times New Roman" w:hAnsi="Times New Roman" w:cs="Times New Roman"/>
        </w:rPr>
        <w:t xml:space="preserve"> N.E. Algra dkk, 1983, yang mengatakan Eksekusi atau Executie adalah Pelaksanaan Putusan Pengadilan dan Akta dalam Perkara Perdata, Kamus istilah hukum fochema Andreae, Belanda-Indonesia Bina Cipta, Hlm 128</w:t>
      </w:r>
    </w:p>
  </w:footnote>
  <w:footnote w:id="23">
    <w:p w:rsidR="00664FA2" w:rsidRPr="00561C6B" w:rsidRDefault="00664FA2" w:rsidP="00E8705A">
      <w:pPr>
        <w:pStyle w:val="FootnoteText"/>
        <w:jc w:val="both"/>
        <w:rPr>
          <w:rFonts w:ascii="Times New Roman" w:hAnsi="Times New Roman" w:cs="Times New Roman"/>
        </w:rPr>
      </w:pPr>
      <w:r w:rsidRPr="00561C6B">
        <w:rPr>
          <w:rStyle w:val="FootnoteReference"/>
          <w:rFonts w:ascii="Times New Roman" w:hAnsi="Times New Roman" w:cs="Times New Roman"/>
        </w:rPr>
        <w:footnoteRef/>
      </w:r>
      <w:r w:rsidRPr="00561C6B">
        <w:rPr>
          <w:rFonts w:ascii="Times New Roman" w:hAnsi="Times New Roman" w:cs="Times New Roman"/>
        </w:rPr>
        <w:t xml:space="preserve"> https://id.scribd .com/doc/6588967/Artikel-Parate-Executie, tanggal 16-05-2018,jam 22.06.WIB</w:t>
      </w:r>
    </w:p>
  </w:footnote>
  <w:footnote w:id="24">
    <w:p w:rsidR="00664FA2" w:rsidRPr="009D4270" w:rsidRDefault="00664FA2">
      <w:pPr>
        <w:pStyle w:val="FootnoteText"/>
        <w:rPr>
          <w:rFonts w:ascii="Times New Roman" w:hAnsi="Times New Roman" w:cs="Times New Roman"/>
        </w:rPr>
      </w:pPr>
      <w:r w:rsidRPr="009D4270">
        <w:rPr>
          <w:rStyle w:val="FootnoteReference"/>
          <w:rFonts w:ascii="Times New Roman" w:hAnsi="Times New Roman" w:cs="Times New Roman"/>
        </w:rPr>
        <w:footnoteRef/>
      </w:r>
      <w:r w:rsidRPr="009D4270">
        <w:rPr>
          <w:rFonts w:ascii="Times New Roman" w:hAnsi="Times New Roman" w:cs="Times New Roman"/>
        </w:rPr>
        <w:t xml:space="preserve"> M Yahya Harahap, Ruang Lingkup Permasalahan Eksekusi Bidang Perdata, Jakarta, PT. Gramedia, 1991, Hlm 1</w:t>
      </w:r>
    </w:p>
  </w:footnote>
  <w:footnote w:id="25">
    <w:p w:rsidR="00664FA2" w:rsidRPr="009D4270" w:rsidRDefault="00664FA2">
      <w:pPr>
        <w:pStyle w:val="FootnoteText"/>
        <w:rPr>
          <w:rFonts w:ascii="Times New Roman" w:hAnsi="Times New Roman" w:cs="Times New Roman"/>
        </w:rPr>
      </w:pPr>
      <w:r w:rsidRPr="009D4270">
        <w:rPr>
          <w:rStyle w:val="FootnoteReference"/>
          <w:rFonts w:ascii="Times New Roman" w:hAnsi="Times New Roman" w:cs="Times New Roman"/>
        </w:rPr>
        <w:footnoteRef/>
      </w:r>
      <w:r w:rsidRPr="009D4270">
        <w:rPr>
          <w:rFonts w:ascii="Times New Roman" w:hAnsi="Times New Roman" w:cs="Times New Roman"/>
        </w:rPr>
        <w:t xml:space="preserve"> Ibi</w:t>
      </w:r>
      <w:r>
        <w:rPr>
          <w:rFonts w:ascii="Times New Roman" w:hAnsi="Times New Roman" w:cs="Times New Roman"/>
        </w:rPr>
        <w:t>d.</w:t>
      </w:r>
      <w:r w:rsidRPr="009D4270">
        <w:rPr>
          <w:rFonts w:ascii="Times New Roman" w:hAnsi="Times New Roman" w:cs="Times New Roman"/>
        </w:rPr>
        <w:t xml:space="preserve"> Hlm 2</w:t>
      </w:r>
    </w:p>
  </w:footnote>
  <w:footnote w:id="26">
    <w:p w:rsidR="00664FA2" w:rsidRPr="00D62CB2" w:rsidRDefault="00664FA2">
      <w:pPr>
        <w:pStyle w:val="FootnoteText"/>
        <w:rPr>
          <w:rFonts w:ascii="Times New Roman" w:hAnsi="Times New Roman" w:cs="Times New Roman"/>
        </w:rPr>
      </w:pPr>
      <w:r w:rsidRPr="00D62CB2">
        <w:rPr>
          <w:rStyle w:val="FootnoteReference"/>
          <w:rFonts w:ascii="Times New Roman" w:hAnsi="Times New Roman" w:cs="Times New Roman"/>
        </w:rPr>
        <w:footnoteRef/>
      </w:r>
      <w:r w:rsidRPr="00D62CB2">
        <w:rPr>
          <w:rFonts w:ascii="Times New Roman" w:hAnsi="Times New Roman" w:cs="Times New Roman"/>
        </w:rPr>
        <w:t xml:space="preserve"> Ibid. Hlm 7</w:t>
      </w:r>
    </w:p>
  </w:footnote>
  <w:footnote w:id="27">
    <w:p w:rsidR="00664FA2" w:rsidRPr="00921A92" w:rsidRDefault="00664FA2">
      <w:pPr>
        <w:pStyle w:val="FootnoteText"/>
        <w:rPr>
          <w:rFonts w:ascii="Times New Roman" w:hAnsi="Times New Roman" w:cs="Times New Roman"/>
        </w:rPr>
      </w:pPr>
      <w:r w:rsidRPr="00921A92">
        <w:rPr>
          <w:rStyle w:val="FootnoteReference"/>
          <w:rFonts w:ascii="Times New Roman" w:hAnsi="Times New Roman" w:cs="Times New Roman"/>
        </w:rPr>
        <w:footnoteRef/>
      </w:r>
      <w:r w:rsidRPr="00921A92">
        <w:rPr>
          <w:rFonts w:ascii="Times New Roman" w:hAnsi="Times New Roman" w:cs="Times New Roman"/>
        </w:rPr>
        <w:t xml:space="preserve"> Ibid. Hlm 8</w:t>
      </w:r>
    </w:p>
  </w:footnote>
  <w:footnote w:id="28">
    <w:p w:rsidR="00664FA2" w:rsidRPr="00D62CB2" w:rsidRDefault="00664FA2">
      <w:pPr>
        <w:pStyle w:val="FootnoteText"/>
        <w:rPr>
          <w:rFonts w:ascii="Times New Roman" w:hAnsi="Times New Roman" w:cs="Times New Roman"/>
        </w:rPr>
      </w:pPr>
      <w:r w:rsidRPr="00D62CB2">
        <w:rPr>
          <w:rStyle w:val="FootnoteReference"/>
          <w:rFonts w:ascii="Times New Roman" w:hAnsi="Times New Roman" w:cs="Times New Roman"/>
        </w:rPr>
        <w:footnoteRef/>
      </w:r>
      <w:r w:rsidRPr="00D62CB2">
        <w:rPr>
          <w:rFonts w:ascii="Times New Roman" w:hAnsi="Times New Roman" w:cs="Times New Roman"/>
        </w:rPr>
        <w:t xml:space="preserve"> Ibid. Hlm 9</w:t>
      </w:r>
    </w:p>
  </w:footnote>
  <w:footnote w:id="29">
    <w:p w:rsidR="00664FA2" w:rsidRPr="00D62CB2" w:rsidRDefault="00664FA2">
      <w:pPr>
        <w:pStyle w:val="FootnoteText"/>
        <w:rPr>
          <w:rFonts w:ascii="Times New Roman" w:hAnsi="Times New Roman" w:cs="Times New Roman"/>
        </w:rPr>
      </w:pPr>
      <w:r w:rsidRPr="00D62CB2">
        <w:rPr>
          <w:rStyle w:val="FootnoteReference"/>
          <w:rFonts w:ascii="Times New Roman" w:hAnsi="Times New Roman" w:cs="Times New Roman"/>
        </w:rPr>
        <w:footnoteRef/>
      </w:r>
      <w:r w:rsidRPr="00D62CB2">
        <w:rPr>
          <w:rFonts w:ascii="Times New Roman" w:hAnsi="Times New Roman" w:cs="Times New Roman"/>
        </w:rPr>
        <w:t xml:space="preserve"> Ibid. Hlm 10</w:t>
      </w:r>
    </w:p>
  </w:footnote>
  <w:footnote w:id="30">
    <w:p w:rsidR="00664FA2" w:rsidRPr="000E09B5" w:rsidRDefault="00664FA2">
      <w:pPr>
        <w:pStyle w:val="FootnoteText"/>
        <w:rPr>
          <w:rFonts w:ascii="Times New Roman" w:hAnsi="Times New Roman" w:cs="Times New Roman"/>
        </w:rPr>
      </w:pPr>
      <w:r w:rsidRPr="000E09B5">
        <w:rPr>
          <w:rStyle w:val="FootnoteReference"/>
          <w:rFonts w:ascii="Times New Roman" w:hAnsi="Times New Roman" w:cs="Times New Roman"/>
        </w:rPr>
        <w:footnoteRef/>
      </w:r>
      <w:r w:rsidRPr="000E09B5">
        <w:rPr>
          <w:rFonts w:ascii="Times New Roman" w:hAnsi="Times New Roman" w:cs="Times New Roman"/>
        </w:rPr>
        <w:t xml:space="preserve"> Ibid Hlm 11</w:t>
      </w:r>
    </w:p>
  </w:footnote>
  <w:footnote w:id="31">
    <w:p w:rsidR="00664FA2" w:rsidRPr="000E09B5" w:rsidRDefault="00664FA2">
      <w:pPr>
        <w:pStyle w:val="FootnoteText"/>
        <w:rPr>
          <w:rFonts w:ascii="Times New Roman" w:hAnsi="Times New Roman" w:cs="Times New Roman"/>
        </w:rPr>
      </w:pPr>
      <w:r w:rsidRPr="000E09B5">
        <w:rPr>
          <w:rStyle w:val="FootnoteReference"/>
          <w:rFonts w:ascii="Times New Roman" w:hAnsi="Times New Roman" w:cs="Times New Roman"/>
        </w:rPr>
        <w:footnoteRef/>
      </w:r>
      <w:r w:rsidRPr="000E09B5">
        <w:rPr>
          <w:rFonts w:ascii="Times New Roman" w:hAnsi="Times New Roman" w:cs="Times New Roman"/>
        </w:rPr>
        <w:t xml:space="preserve"> Ibid Hlm 12</w:t>
      </w:r>
    </w:p>
  </w:footnote>
  <w:footnote w:id="32">
    <w:p w:rsidR="00664FA2" w:rsidRPr="00AD702A" w:rsidRDefault="00664FA2" w:rsidP="00AD702A">
      <w:pPr>
        <w:spacing w:line="240" w:lineRule="auto"/>
        <w:jc w:val="both"/>
        <w:rPr>
          <w:rFonts w:ascii="Times New Roman" w:hAnsi="Times New Roman" w:cs="Times New Roman"/>
          <w:sz w:val="20"/>
          <w:szCs w:val="20"/>
        </w:rPr>
      </w:pPr>
      <w:r w:rsidRPr="00AD702A">
        <w:rPr>
          <w:rStyle w:val="FootnoteReference"/>
          <w:rFonts w:ascii="Times New Roman" w:hAnsi="Times New Roman" w:cs="Times New Roman"/>
        </w:rPr>
        <w:footnoteRef/>
      </w:r>
      <w:r w:rsidRPr="00AD702A">
        <w:rPr>
          <w:rFonts w:ascii="Times New Roman" w:hAnsi="Times New Roman" w:cs="Times New Roman"/>
        </w:rPr>
        <w:t xml:space="preserve"> </w:t>
      </w:r>
      <w:r w:rsidRPr="00AD702A">
        <w:rPr>
          <w:rFonts w:ascii="Times New Roman" w:hAnsi="Times New Roman" w:cs="Times New Roman"/>
          <w:sz w:val="20"/>
          <w:szCs w:val="20"/>
        </w:rPr>
        <w:t>Muhammad Dja’is, 2000. Hukum Eksekusi Sebagai Wacana Baru di Bidang Hukum, Kertas Kerja Orasi Ilmiah, Disnatalis ke-43 Fakultas Hukum Undip</w:t>
      </w:r>
    </w:p>
  </w:footnote>
  <w:footnote w:id="33">
    <w:p w:rsidR="00664FA2" w:rsidRPr="00561C6B" w:rsidRDefault="00664FA2" w:rsidP="00561C6B">
      <w:pPr>
        <w:pStyle w:val="FootnoteText"/>
        <w:jc w:val="both"/>
        <w:rPr>
          <w:rFonts w:ascii="Times New Roman" w:hAnsi="Times New Roman" w:cs="Times New Roman"/>
        </w:rPr>
      </w:pPr>
      <w:r w:rsidRPr="00561C6B">
        <w:rPr>
          <w:rStyle w:val="FootnoteReference"/>
          <w:rFonts w:ascii="Times New Roman" w:hAnsi="Times New Roman" w:cs="Times New Roman"/>
        </w:rPr>
        <w:footnoteRef/>
      </w:r>
      <w:r w:rsidRPr="00561C6B">
        <w:rPr>
          <w:rFonts w:ascii="Times New Roman" w:hAnsi="Times New Roman" w:cs="Times New Roman"/>
        </w:rPr>
        <w:t xml:space="preserve"> Fuady Munir, </w:t>
      </w:r>
      <w:r w:rsidRPr="00561C6B">
        <w:rPr>
          <w:rFonts w:ascii="Times New Roman" w:hAnsi="Times New Roman" w:cs="Times New Roman"/>
          <w:i/>
        </w:rPr>
        <w:t>Hukum Jaminan Uang</w:t>
      </w:r>
      <w:r w:rsidRPr="00561C6B">
        <w:rPr>
          <w:rFonts w:ascii="Times New Roman" w:hAnsi="Times New Roman" w:cs="Times New Roman"/>
        </w:rPr>
        <w:t>, Jakarta : Erlangga, 2013, Hlm 147</w:t>
      </w:r>
    </w:p>
  </w:footnote>
  <w:footnote w:id="34">
    <w:p w:rsidR="00664FA2" w:rsidRDefault="00664FA2">
      <w:pPr>
        <w:pStyle w:val="FootnoteText"/>
      </w:pPr>
      <w:r>
        <w:rPr>
          <w:rStyle w:val="FootnoteReference"/>
        </w:rPr>
        <w:footnoteRef/>
      </w:r>
      <w:r>
        <w:t xml:space="preserve"> Ibid</w:t>
      </w:r>
    </w:p>
  </w:footnote>
  <w:footnote w:id="35">
    <w:p w:rsidR="00664FA2" w:rsidRDefault="00664FA2">
      <w:pPr>
        <w:pStyle w:val="FootnoteText"/>
      </w:pPr>
      <w:r>
        <w:rPr>
          <w:rStyle w:val="FootnoteReference"/>
        </w:rPr>
        <w:footnoteRef/>
      </w:r>
      <w:r>
        <w:t xml:space="preserve"> </w:t>
      </w:r>
      <w:r w:rsidRPr="00040317">
        <w:rPr>
          <w:rFonts w:ascii="Times New Roman" w:hAnsi="Times New Roman" w:cs="Times New Roman"/>
        </w:rPr>
        <w:t xml:space="preserve">Fuady Munir, </w:t>
      </w:r>
      <w:r w:rsidRPr="00040317">
        <w:rPr>
          <w:rFonts w:ascii="Times New Roman" w:hAnsi="Times New Roman" w:cs="Times New Roman"/>
          <w:i/>
        </w:rPr>
        <w:t>Hukum Jaminan Uang</w:t>
      </w:r>
      <w:r>
        <w:rPr>
          <w:rFonts w:ascii="Times New Roman" w:hAnsi="Times New Roman" w:cs="Times New Roman"/>
        </w:rPr>
        <w:t>, Jakarta : Erlangga, 2013, H</w:t>
      </w:r>
      <w:r w:rsidRPr="00040317">
        <w:rPr>
          <w:rFonts w:ascii="Times New Roman" w:hAnsi="Times New Roman" w:cs="Times New Roman"/>
        </w:rPr>
        <w:t>lm 142</w:t>
      </w:r>
    </w:p>
  </w:footnote>
  <w:footnote w:id="36">
    <w:p w:rsidR="00664FA2" w:rsidRPr="00F24940" w:rsidRDefault="00664FA2">
      <w:pPr>
        <w:pStyle w:val="FootnoteText"/>
        <w:rPr>
          <w:rFonts w:ascii="Times New Roman" w:hAnsi="Times New Roman" w:cs="Times New Roman"/>
        </w:rPr>
      </w:pPr>
      <w:r w:rsidRPr="00F24940">
        <w:rPr>
          <w:rStyle w:val="FootnoteReference"/>
          <w:rFonts w:ascii="Times New Roman" w:hAnsi="Times New Roman" w:cs="Times New Roman"/>
        </w:rPr>
        <w:footnoteRef/>
      </w:r>
      <w:r w:rsidRPr="00F24940">
        <w:rPr>
          <w:rFonts w:ascii="Times New Roman" w:hAnsi="Times New Roman" w:cs="Times New Roman"/>
        </w:rPr>
        <w:t xml:space="preserve"> J Satrio, 2002, Hukum Jaminan Hak Jaminan Kebendaan Fidusia, Bandung, Citra Aditia Bakti, Hlm 336</w:t>
      </w:r>
    </w:p>
  </w:footnote>
  <w:footnote w:id="37">
    <w:p w:rsidR="00664FA2" w:rsidRPr="00640347" w:rsidRDefault="00664FA2">
      <w:pPr>
        <w:pStyle w:val="FootnoteText"/>
        <w:rPr>
          <w:rFonts w:ascii="Times New Roman" w:hAnsi="Times New Roman" w:cs="Times New Roman"/>
        </w:rPr>
      </w:pPr>
      <w:r w:rsidRPr="00640347">
        <w:rPr>
          <w:rStyle w:val="FootnoteReference"/>
          <w:rFonts w:ascii="Times New Roman" w:hAnsi="Times New Roman" w:cs="Times New Roman"/>
        </w:rPr>
        <w:footnoteRef/>
      </w:r>
      <w:r w:rsidRPr="00640347">
        <w:rPr>
          <w:rFonts w:ascii="Times New Roman" w:hAnsi="Times New Roman" w:cs="Times New Roman"/>
        </w:rPr>
        <w:t xml:space="preserve"> Gunawan Widjaya dan Ahmad yani, Op. Cit. Hlm 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303728"/>
      <w:docPartObj>
        <w:docPartGallery w:val="Page Numbers (Top of Page)"/>
        <w:docPartUnique/>
      </w:docPartObj>
    </w:sdtPr>
    <w:sdtEndPr>
      <w:rPr>
        <w:noProof/>
      </w:rPr>
    </w:sdtEndPr>
    <w:sdtContent>
      <w:p w:rsidR="00664FA2" w:rsidRDefault="00664FA2">
        <w:pPr>
          <w:pStyle w:val="Header"/>
          <w:jc w:val="right"/>
        </w:pPr>
        <w:r>
          <w:fldChar w:fldCharType="begin"/>
        </w:r>
        <w:r>
          <w:instrText xml:space="preserve"> PAGE   \* MERGEFORMAT </w:instrText>
        </w:r>
        <w:r>
          <w:fldChar w:fldCharType="separate"/>
        </w:r>
        <w:r w:rsidR="007D085A">
          <w:rPr>
            <w:noProof/>
          </w:rPr>
          <w:t>1</w:t>
        </w:r>
        <w:r>
          <w:rPr>
            <w:noProof/>
          </w:rPr>
          <w:fldChar w:fldCharType="end"/>
        </w:r>
      </w:p>
    </w:sdtContent>
  </w:sdt>
  <w:p w:rsidR="00664FA2" w:rsidRDefault="00664F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279"/>
    <w:multiLevelType w:val="hybridMultilevel"/>
    <w:tmpl w:val="DF823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151B"/>
    <w:multiLevelType w:val="hybridMultilevel"/>
    <w:tmpl w:val="6F8EF548"/>
    <w:lvl w:ilvl="0" w:tplc="B37C19B2">
      <w:start w:val="3"/>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16CB0E95"/>
    <w:multiLevelType w:val="hybridMultilevel"/>
    <w:tmpl w:val="9A66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F37"/>
    <w:multiLevelType w:val="hybridMultilevel"/>
    <w:tmpl w:val="B44E9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CA7572"/>
    <w:multiLevelType w:val="hybridMultilevel"/>
    <w:tmpl w:val="F32EB032"/>
    <w:lvl w:ilvl="0" w:tplc="B37C19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49E2"/>
    <w:multiLevelType w:val="hybridMultilevel"/>
    <w:tmpl w:val="A3185E34"/>
    <w:lvl w:ilvl="0" w:tplc="B37C19B2">
      <w:start w:val="3"/>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15:restartNumberingAfterBreak="0">
    <w:nsid w:val="23A82F29"/>
    <w:multiLevelType w:val="hybridMultilevel"/>
    <w:tmpl w:val="D7C065AC"/>
    <w:lvl w:ilvl="0" w:tplc="D2E42DE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B3438"/>
    <w:multiLevelType w:val="hybridMultilevel"/>
    <w:tmpl w:val="24EE0022"/>
    <w:lvl w:ilvl="0" w:tplc="86C23B66">
      <w:start w:val="1"/>
      <w:numFmt w:val="lowerLetter"/>
      <w:lvlText w:val="%1."/>
      <w:lvlJc w:val="left"/>
      <w:pPr>
        <w:ind w:left="1820" w:hanging="425"/>
      </w:pPr>
      <w:rPr>
        <w:rFonts w:ascii="Arial" w:eastAsia="Arial" w:hAnsi="Arial" w:cs="Arial" w:hint="default"/>
        <w:w w:val="99"/>
        <w:sz w:val="22"/>
        <w:szCs w:val="22"/>
        <w:lang w:val="id" w:eastAsia="en-US" w:bidi="ar-SA"/>
      </w:rPr>
    </w:lvl>
    <w:lvl w:ilvl="1" w:tplc="498E4162">
      <w:numFmt w:val="bullet"/>
      <w:lvlText w:val="•"/>
      <w:lvlJc w:val="left"/>
      <w:pPr>
        <w:ind w:left="2656" w:hanging="425"/>
      </w:pPr>
      <w:rPr>
        <w:rFonts w:hint="default"/>
        <w:lang w:val="id" w:eastAsia="en-US" w:bidi="ar-SA"/>
      </w:rPr>
    </w:lvl>
    <w:lvl w:ilvl="2" w:tplc="DB8E5986">
      <w:numFmt w:val="bullet"/>
      <w:lvlText w:val="•"/>
      <w:lvlJc w:val="left"/>
      <w:pPr>
        <w:ind w:left="3492" w:hanging="425"/>
      </w:pPr>
      <w:rPr>
        <w:rFonts w:hint="default"/>
        <w:lang w:val="id" w:eastAsia="en-US" w:bidi="ar-SA"/>
      </w:rPr>
    </w:lvl>
    <w:lvl w:ilvl="3" w:tplc="00CCEFDA">
      <w:numFmt w:val="bullet"/>
      <w:lvlText w:val="•"/>
      <w:lvlJc w:val="left"/>
      <w:pPr>
        <w:ind w:left="4328" w:hanging="425"/>
      </w:pPr>
      <w:rPr>
        <w:rFonts w:hint="default"/>
        <w:lang w:val="id" w:eastAsia="en-US" w:bidi="ar-SA"/>
      </w:rPr>
    </w:lvl>
    <w:lvl w:ilvl="4" w:tplc="05B67036">
      <w:numFmt w:val="bullet"/>
      <w:lvlText w:val="•"/>
      <w:lvlJc w:val="left"/>
      <w:pPr>
        <w:ind w:left="5164" w:hanging="425"/>
      </w:pPr>
      <w:rPr>
        <w:rFonts w:hint="default"/>
        <w:lang w:val="id" w:eastAsia="en-US" w:bidi="ar-SA"/>
      </w:rPr>
    </w:lvl>
    <w:lvl w:ilvl="5" w:tplc="39F00A94">
      <w:numFmt w:val="bullet"/>
      <w:lvlText w:val="•"/>
      <w:lvlJc w:val="left"/>
      <w:pPr>
        <w:ind w:left="6000" w:hanging="425"/>
      </w:pPr>
      <w:rPr>
        <w:rFonts w:hint="default"/>
        <w:lang w:val="id" w:eastAsia="en-US" w:bidi="ar-SA"/>
      </w:rPr>
    </w:lvl>
    <w:lvl w:ilvl="6" w:tplc="285A4E4C">
      <w:numFmt w:val="bullet"/>
      <w:lvlText w:val="•"/>
      <w:lvlJc w:val="left"/>
      <w:pPr>
        <w:ind w:left="6836" w:hanging="425"/>
      </w:pPr>
      <w:rPr>
        <w:rFonts w:hint="default"/>
        <w:lang w:val="id" w:eastAsia="en-US" w:bidi="ar-SA"/>
      </w:rPr>
    </w:lvl>
    <w:lvl w:ilvl="7" w:tplc="467688D2">
      <w:numFmt w:val="bullet"/>
      <w:lvlText w:val="•"/>
      <w:lvlJc w:val="left"/>
      <w:pPr>
        <w:ind w:left="7672" w:hanging="425"/>
      </w:pPr>
      <w:rPr>
        <w:rFonts w:hint="default"/>
        <w:lang w:val="id" w:eastAsia="en-US" w:bidi="ar-SA"/>
      </w:rPr>
    </w:lvl>
    <w:lvl w:ilvl="8" w:tplc="72664006">
      <w:numFmt w:val="bullet"/>
      <w:lvlText w:val="•"/>
      <w:lvlJc w:val="left"/>
      <w:pPr>
        <w:ind w:left="8508" w:hanging="425"/>
      </w:pPr>
      <w:rPr>
        <w:rFonts w:hint="default"/>
        <w:lang w:val="id" w:eastAsia="en-US" w:bidi="ar-SA"/>
      </w:rPr>
    </w:lvl>
  </w:abstractNum>
  <w:abstractNum w:abstractNumId="8" w15:restartNumberingAfterBreak="0">
    <w:nsid w:val="28434A83"/>
    <w:multiLevelType w:val="hybridMultilevel"/>
    <w:tmpl w:val="25BC1ED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9C77E2A"/>
    <w:multiLevelType w:val="hybridMultilevel"/>
    <w:tmpl w:val="CC0432A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AA071C3"/>
    <w:multiLevelType w:val="hybridMultilevel"/>
    <w:tmpl w:val="86E6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4F2E"/>
    <w:multiLevelType w:val="hybridMultilevel"/>
    <w:tmpl w:val="E3D6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43937"/>
    <w:multiLevelType w:val="hybridMultilevel"/>
    <w:tmpl w:val="80188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03A49"/>
    <w:multiLevelType w:val="hybridMultilevel"/>
    <w:tmpl w:val="C902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66ED"/>
    <w:multiLevelType w:val="hybridMultilevel"/>
    <w:tmpl w:val="4746CB6E"/>
    <w:lvl w:ilvl="0" w:tplc="B37C19B2">
      <w:start w:val="3"/>
      <w:numFmt w:val="bullet"/>
      <w:lvlText w:val="−"/>
      <w:lvlJc w:val="left"/>
      <w:pPr>
        <w:ind w:left="199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15:restartNumberingAfterBreak="0">
    <w:nsid w:val="3181542E"/>
    <w:multiLevelType w:val="hybridMultilevel"/>
    <w:tmpl w:val="44944F16"/>
    <w:lvl w:ilvl="0" w:tplc="B37C19B2">
      <w:start w:val="3"/>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32720E14"/>
    <w:multiLevelType w:val="hybridMultilevel"/>
    <w:tmpl w:val="7B584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41B82"/>
    <w:multiLevelType w:val="hybridMultilevel"/>
    <w:tmpl w:val="D95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02663"/>
    <w:multiLevelType w:val="hybridMultilevel"/>
    <w:tmpl w:val="98BA9452"/>
    <w:lvl w:ilvl="0" w:tplc="8AAAFF82">
      <w:start w:val="1"/>
      <w:numFmt w:val="decimal"/>
      <w:lvlText w:val="%1."/>
      <w:lvlJc w:val="left"/>
      <w:pPr>
        <w:ind w:left="1962" w:hanging="505"/>
      </w:pPr>
      <w:rPr>
        <w:rFonts w:ascii="Arial" w:eastAsia="Arial" w:hAnsi="Arial" w:cs="Arial" w:hint="default"/>
        <w:w w:val="99"/>
        <w:sz w:val="22"/>
        <w:szCs w:val="22"/>
        <w:lang w:val="id" w:eastAsia="en-US" w:bidi="ar-SA"/>
      </w:rPr>
    </w:lvl>
    <w:lvl w:ilvl="1" w:tplc="AE08F3B8">
      <w:numFmt w:val="bullet"/>
      <w:lvlText w:val="•"/>
      <w:lvlJc w:val="left"/>
      <w:pPr>
        <w:ind w:left="2782" w:hanging="505"/>
      </w:pPr>
      <w:rPr>
        <w:rFonts w:hint="default"/>
        <w:lang w:val="id" w:eastAsia="en-US" w:bidi="ar-SA"/>
      </w:rPr>
    </w:lvl>
    <w:lvl w:ilvl="2" w:tplc="592C6FAC">
      <w:numFmt w:val="bullet"/>
      <w:lvlText w:val="•"/>
      <w:lvlJc w:val="left"/>
      <w:pPr>
        <w:ind w:left="3604" w:hanging="505"/>
      </w:pPr>
      <w:rPr>
        <w:rFonts w:hint="default"/>
        <w:lang w:val="id" w:eastAsia="en-US" w:bidi="ar-SA"/>
      </w:rPr>
    </w:lvl>
    <w:lvl w:ilvl="3" w:tplc="8A009A96">
      <w:numFmt w:val="bullet"/>
      <w:lvlText w:val="•"/>
      <w:lvlJc w:val="left"/>
      <w:pPr>
        <w:ind w:left="4426" w:hanging="505"/>
      </w:pPr>
      <w:rPr>
        <w:rFonts w:hint="default"/>
        <w:lang w:val="id" w:eastAsia="en-US" w:bidi="ar-SA"/>
      </w:rPr>
    </w:lvl>
    <w:lvl w:ilvl="4" w:tplc="ED682E82">
      <w:numFmt w:val="bullet"/>
      <w:lvlText w:val="•"/>
      <w:lvlJc w:val="left"/>
      <w:pPr>
        <w:ind w:left="5248" w:hanging="505"/>
      </w:pPr>
      <w:rPr>
        <w:rFonts w:hint="default"/>
        <w:lang w:val="id" w:eastAsia="en-US" w:bidi="ar-SA"/>
      </w:rPr>
    </w:lvl>
    <w:lvl w:ilvl="5" w:tplc="9D10D4D0">
      <w:numFmt w:val="bullet"/>
      <w:lvlText w:val="•"/>
      <w:lvlJc w:val="left"/>
      <w:pPr>
        <w:ind w:left="6070" w:hanging="505"/>
      </w:pPr>
      <w:rPr>
        <w:rFonts w:hint="default"/>
        <w:lang w:val="id" w:eastAsia="en-US" w:bidi="ar-SA"/>
      </w:rPr>
    </w:lvl>
    <w:lvl w:ilvl="6" w:tplc="E36EB58C">
      <w:numFmt w:val="bullet"/>
      <w:lvlText w:val="•"/>
      <w:lvlJc w:val="left"/>
      <w:pPr>
        <w:ind w:left="6892" w:hanging="505"/>
      </w:pPr>
      <w:rPr>
        <w:rFonts w:hint="default"/>
        <w:lang w:val="id" w:eastAsia="en-US" w:bidi="ar-SA"/>
      </w:rPr>
    </w:lvl>
    <w:lvl w:ilvl="7" w:tplc="6F00C88E">
      <w:numFmt w:val="bullet"/>
      <w:lvlText w:val="•"/>
      <w:lvlJc w:val="left"/>
      <w:pPr>
        <w:ind w:left="7714" w:hanging="505"/>
      </w:pPr>
      <w:rPr>
        <w:rFonts w:hint="default"/>
        <w:lang w:val="id" w:eastAsia="en-US" w:bidi="ar-SA"/>
      </w:rPr>
    </w:lvl>
    <w:lvl w:ilvl="8" w:tplc="A2C266E0">
      <w:numFmt w:val="bullet"/>
      <w:lvlText w:val="•"/>
      <w:lvlJc w:val="left"/>
      <w:pPr>
        <w:ind w:left="8536" w:hanging="505"/>
      </w:pPr>
      <w:rPr>
        <w:rFonts w:hint="default"/>
        <w:lang w:val="id" w:eastAsia="en-US" w:bidi="ar-SA"/>
      </w:rPr>
    </w:lvl>
  </w:abstractNum>
  <w:abstractNum w:abstractNumId="19" w15:restartNumberingAfterBreak="0">
    <w:nsid w:val="41FB6DAD"/>
    <w:multiLevelType w:val="hybridMultilevel"/>
    <w:tmpl w:val="7FF8B1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31A7A"/>
    <w:multiLevelType w:val="hybridMultilevel"/>
    <w:tmpl w:val="F4563182"/>
    <w:lvl w:ilvl="0" w:tplc="D9A2B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FF4AA2"/>
    <w:multiLevelType w:val="hybridMultilevel"/>
    <w:tmpl w:val="7AB63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74F2A"/>
    <w:multiLevelType w:val="hybridMultilevel"/>
    <w:tmpl w:val="A01831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49D952A2"/>
    <w:multiLevelType w:val="hybridMultilevel"/>
    <w:tmpl w:val="8D94F7D0"/>
    <w:lvl w:ilvl="0" w:tplc="916A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808ED"/>
    <w:multiLevelType w:val="hybridMultilevel"/>
    <w:tmpl w:val="343C73E8"/>
    <w:lvl w:ilvl="0" w:tplc="0358A024">
      <w:start w:val="1"/>
      <w:numFmt w:val="decimal"/>
      <w:lvlText w:val="%1."/>
      <w:lvlJc w:val="left"/>
      <w:pPr>
        <w:ind w:left="1678" w:hanging="374"/>
      </w:pPr>
      <w:rPr>
        <w:rFonts w:ascii="Arial" w:eastAsia="Arial" w:hAnsi="Arial" w:cs="Arial" w:hint="default"/>
        <w:w w:val="99"/>
        <w:sz w:val="22"/>
        <w:szCs w:val="22"/>
        <w:lang w:val="id" w:eastAsia="en-US" w:bidi="ar-SA"/>
      </w:rPr>
    </w:lvl>
    <w:lvl w:ilvl="1" w:tplc="F45C136A">
      <w:start w:val="1"/>
      <w:numFmt w:val="decimal"/>
      <w:lvlText w:val="%2."/>
      <w:lvlJc w:val="left"/>
      <w:pPr>
        <w:ind w:left="1678" w:hanging="284"/>
      </w:pPr>
      <w:rPr>
        <w:rFonts w:ascii="Arial" w:eastAsia="Arial" w:hAnsi="Arial" w:cs="Arial" w:hint="default"/>
        <w:w w:val="99"/>
        <w:sz w:val="22"/>
        <w:szCs w:val="22"/>
        <w:lang w:val="id" w:eastAsia="en-US" w:bidi="ar-SA"/>
      </w:rPr>
    </w:lvl>
    <w:lvl w:ilvl="2" w:tplc="42CE53B8">
      <w:numFmt w:val="bullet"/>
      <w:lvlText w:val="•"/>
      <w:lvlJc w:val="left"/>
      <w:pPr>
        <w:ind w:left="3380" w:hanging="284"/>
      </w:pPr>
      <w:rPr>
        <w:rFonts w:hint="default"/>
        <w:lang w:val="id" w:eastAsia="en-US" w:bidi="ar-SA"/>
      </w:rPr>
    </w:lvl>
    <w:lvl w:ilvl="3" w:tplc="2BC6929C">
      <w:numFmt w:val="bullet"/>
      <w:lvlText w:val="•"/>
      <w:lvlJc w:val="left"/>
      <w:pPr>
        <w:ind w:left="4230" w:hanging="284"/>
      </w:pPr>
      <w:rPr>
        <w:rFonts w:hint="default"/>
        <w:lang w:val="id" w:eastAsia="en-US" w:bidi="ar-SA"/>
      </w:rPr>
    </w:lvl>
    <w:lvl w:ilvl="4" w:tplc="0424235C">
      <w:numFmt w:val="bullet"/>
      <w:lvlText w:val="•"/>
      <w:lvlJc w:val="left"/>
      <w:pPr>
        <w:ind w:left="5080" w:hanging="284"/>
      </w:pPr>
      <w:rPr>
        <w:rFonts w:hint="default"/>
        <w:lang w:val="id" w:eastAsia="en-US" w:bidi="ar-SA"/>
      </w:rPr>
    </w:lvl>
    <w:lvl w:ilvl="5" w:tplc="EE18A416">
      <w:numFmt w:val="bullet"/>
      <w:lvlText w:val="•"/>
      <w:lvlJc w:val="left"/>
      <w:pPr>
        <w:ind w:left="5930" w:hanging="284"/>
      </w:pPr>
      <w:rPr>
        <w:rFonts w:hint="default"/>
        <w:lang w:val="id" w:eastAsia="en-US" w:bidi="ar-SA"/>
      </w:rPr>
    </w:lvl>
    <w:lvl w:ilvl="6" w:tplc="53D80376">
      <w:numFmt w:val="bullet"/>
      <w:lvlText w:val="•"/>
      <w:lvlJc w:val="left"/>
      <w:pPr>
        <w:ind w:left="6780" w:hanging="284"/>
      </w:pPr>
      <w:rPr>
        <w:rFonts w:hint="default"/>
        <w:lang w:val="id" w:eastAsia="en-US" w:bidi="ar-SA"/>
      </w:rPr>
    </w:lvl>
    <w:lvl w:ilvl="7" w:tplc="33DE1E40">
      <w:numFmt w:val="bullet"/>
      <w:lvlText w:val="•"/>
      <w:lvlJc w:val="left"/>
      <w:pPr>
        <w:ind w:left="7630" w:hanging="284"/>
      </w:pPr>
      <w:rPr>
        <w:rFonts w:hint="default"/>
        <w:lang w:val="id" w:eastAsia="en-US" w:bidi="ar-SA"/>
      </w:rPr>
    </w:lvl>
    <w:lvl w:ilvl="8" w:tplc="C4A0C4BE">
      <w:numFmt w:val="bullet"/>
      <w:lvlText w:val="•"/>
      <w:lvlJc w:val="left"/>
      <w:pPr>
        <w:ind w:left="8480" w:hanging="284"/>
      </w:pPr>
      <w:rPr>
        <w:rFonts w:hint="default"/>
        <w:lang w:val="id" w:eastAsia="en-US" w:bidi="ar-SA"/>
      </w:rPr>
    </w:lvl>
  </w:abstractNum>
  <w:abstractNum w:abstractNumId="25" w15:restartNumberingAfterBreak="0">
    <w:nsid w:val="59C816C2"/>
    <w:multiLevelType w:val="hybridMultilevel"/>
    <w:tmpl w:val="2F80B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C6A45"/>
    <w:multiLevelType w:val="hybridMultilevel"/>
    <w:tmpl w:val="8DBC062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7" w15:restartNumberingAfterBreak="0">
    <w:nsid w:val="6119401F"/>
    <w:multiLevelType w:val="hybridMultilevel"/>
    <w:tmpl w:val="C1988CDC"/>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15:restartNumberingAfterBreak="0">
    <w:nsid w:val="6BF90F27"/>
    <w:multiLevelType w:val="hybridMultilevel"/>
    <w:tmpl w:val="FF1C97FE"/>
    <w:lvl w:ilvl="0" w:tplc="1AAC7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591068"/>
    <w:multiLevelType w:val="hybridMultilevel"/>
    <w:tmpl w:val="EDDE1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A0F26"/>
    <w:multiLevelType w:val="multilevel"/>
    <w:tmpl w:val="E6F49C82"/>
    <w:lvl w:ilvl="0">
      <w:start w:val="4"/>
      <w:numFmt w:val="decimal"/>
      <w:lvlText w:val="%1"/>
      <w:lvlJc w:val="left"/>
      <w:pPr>
        <w:ind w:left="1368" w:hanging="541"/>
      </w:pPr>
      <w:rPr>
        <w:rFonts w:hint="default"/>
        <w:lang w:val="id" w:eastAsia="en-US" w:bidi="ar-SA"/>
      </w:rPr>
    </w:lvl>
    <w:lvl w:ilvl="1">
      <w:start w:val="1"/>
      <w:numFmt w:val="decimal"/>
      <w:lvlText w:val="%1.%2."/>
      <w:lvlJc w:val="left"/>
      <w:pPr>
        <w:ind w:left="1368" w:hanging="541"/>
      </w:pPr>
      <w:rPr>
        <w:rFonts w:ascii="Arial" w:eastAsia="Arial" w:hAnsi="Arial" w:cs="Arial" w:hint="default"/>
        <w:b/>
        <w:bCs/>
        <w:w w:val="99"/>
        <w:sz w:val="22"/>
        <w:szCs w:val="22"/>
        <w:lang w:val="id" w:eastAsia="en-US" w:bidi="ar-SA"/>
      </w:rPr>
    </w:lvl>
    <w:lvl w:ilvl="2">
      <w:start w:val="1"/>
      <w:numFmt w:val="decimal"/>
      <w:lvlText w:val="(%3)"/>
      <w:lvlJc w:val="left"/>
      <w:pPr>
        <w:ind w:left="1820" w:hanging="363"/>
      </w:pPr>
      <w:rPr>
        <w:rFonts w:ascii="Arial" w:eastAsia="Arial" w:hAnsi="Arial" w:cs="Arial" w:hint="default"/>
        <w:w w:val="99"/>
        <w:sz w:val="22"/>
        <w:szCs w:val="22"/>
        <w:lang w:val="id" w:eastAsia="en-US" w:bidi="ar-SA"/>
      </w:rPr>
    </w:lvl>
    <w:lvl w:ilvl="3">
      <w:start w:val="1"/>
      <w:numFmt w:val="lowerLetter"/>
      <w:lvlText w:val="%4."/>
      <w:lvlJc w:val="left"/>
      <w:pPr>
        <w:ind w:left="2246" w:hanging="427"/>
      </w:pPr>
      <w:rPr>
        <w:rFonts w:ascii="Arial" w:eastAsia="Arial" w:hAnsi="Arial" w:cs="Arial" w:hint="default"/>
        <w:w w:val="99"/>
        <w:sz w:val="22"/>
        <w:szCs w:val="22"/>
        <w:lang w:val="id" w:eastAsia="en-US" w:bidi="ar-SA"/>
      </w:rPr>
    </w:lvl>
    <w:lvl w:ilvl="4">
      <w:start w:val="1"/>
      <w:numFmt w:val="lowerRoman"/>
      <w:lvlText w:val="%5)"/>
      <w:lvlJc w:val="left"/>
      <w:pPr>
        <w:ind w:left="2671" w:hanging="425"/>
      </w:pPr>
      <w:rPr>
        <w:rFonts w:ascii="Arial" w:eastAsia="Arial" w:hAnsi="Arial" w:cs="Arial" w:hint="default"/>
        <w:w w:val="99"/>
        <w:sz w:val="22"/>
        <w:szCs w:val="22"/>
        <w:lang w:val="id" w:eastAsia="en-US" w:bidi="ar-SA"/>
      </w:rPr>
    </w:lvl>
    <w:lvl w:ilvl="5">
      <w:numFmt w:val="bullet"/>
      <w:lvlText w:val="•"/>
      <w:lvlJc w:val="left"/>
      <w:pPr>
        <w:ind w:left="3930" w:hanging="425"/>
      </w:pPr>
      <w:rPr>
        <w:rFonts w:hint="default"/>
        <w:lang w:val="id" w:eastAsia="en-US" w:bidi="ar-SA"/>
      </w:rPr>
    </w:lvl>
    <w:lvl w:ilvl="6">
      <w:numFmt w:val="bullet"/>
      <w:lvlText w:val="•"/>
      <w:lvlJc w:val="left"/>
      <w:pPr>
        <w:ind w:left="5180" w:hanging="425"/>
      </w:pPr>
      <w:rPr>
        <w:rFonts w:hint="default"/>
        <w:lang w:val="id" w:eastAsia="en-US" w:bidi="ar-SA"/>
      </w:rPr>
    </w:lvl>
    <w:lvl w:ilvl="7">
      <w:numFmt w:val="bullet"/>
      <w:lvlText w:val="•"/>
      <w:lvlJc w:val="left"/>
      <w:pPr>
        <w:ind w:left="6430" w:hanging="425"/>
      </w:pPr>
      <w:rPr>
        <w:rFonts w:hint="default"/>
        <w:lang w:val="id" w:eastAsia="en-US" w:bidi="ar-SA"/>
      </w:rPr>
    </w:lvl>
    <w:lvl w:ilvl="8">
      <w:numFmt w:val="bullet"/>
      <w:lvlText w:val="•"/>
      <w:lvlJc w:val="left"/>
      <w:pPr>
        <w:ind w:left="7680" w:hanging="425"/>
      </w:pPr>
      <w:rPr>
        <w:rFonts w:hint="default"/>
        <w:lang w:val="id" w:eastAsia="en-US" w:bidi="ar-SA"/>
      </w:rPr>
    </w:lvl>
  </w:abstractNum>
  <w:abstractNum w:abstractNumId="31" w15:restartNumberingAfterBreak="0">
    <w:nsid w:val="7D92258A"/>
    <w:multiLevelType w:val="hybridMultilevel"/>
    <w:tmpl w:val="2E5AB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05CD6"/>
    <w:multiLevelType w:val="hybridMultilevel"/>
    <w:tmpl w:val="1ED2E390"/>
    <w:lvl w:ilvl="0" w:tplc="A6A212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EE2B7C"/>
    <w:multiLevelType w:val="hybridMultilevel"/>
    <w:tmpl w:val="DDD60314"/>
    <w:lvl w:ilvl="0" w:tplc="8F729C8E">
      <w:start w:val="1"/>
      <w:numFmt w:val="decimal"/>
      <w:lvlText w:val="%1."/>
      <w:lvlJc w:val="left"/>
      <w:pPr>
        <w:ind w:left="1820" w:hanging="363"/>
      </w:pPr>
      <w:rPr>
        <w:rFonts w:ascii="Times New Roman" w:eastAsia="Arial" w:hAnsi="Times New Roman" w:cs="Times New Roman" w:hint="default"/>
        <w:w w:val="99"/>
        <w:sz w:val="24"/>
        <w:szCs w:val="24"/>
        <w:lang w:val="id" w:eastAsia="en-US" w:bidi="ar-SA"/>
      </w:rPr>
    </w:lvl>
    <w:lvl w:ilvl="1" w:tplc="2216F510">
      <w:numFmt w:val="bullet"/>
      <w:lvlText w:val="•"/>
      <w:lvlJc w:val="left"/>
      <w:pPr>
        <w:ind w:left="2656" w:hanging="363"/>
      </w:pPr>
      <w:rPr>
        <w:rFonts w:hint="default"/>
        <w:lang w:val="id" w:eastAsia="en-US" w:bidi="ar-SA"/>
      </w:rPr>
    </w:lvl>
    <w:lvl w:ilvl="2" w:tplc="2A06B712">
      <w:numFmt w:val="bullet"/>
      <w:lvlText w:val="•"/>
      <w:lvlJc w:val="left"/>
      <w:pPr>
        <w:ind w:left="3492" w:hanging="363"/>
      </w:pPr>
      <w:rPr>
        <w:rFonts w:hint="default"/>
        <w:lang w:val="id" w:eastAsia="en-US" w:bidi="ar-SA"/>
      </w:rPr>
    </w:lvl>
    <w:lvl w:ilvl="3" w:tplc="C86A065A">
      <w:numFmt w:val="bullet"/>
      <w:lvlText w:val="•"/>
      <w:lvlJc w:val="left"/>
      <w:pPr>
        <w:ind w:left="4328" w:hanging="363"/>
      </w:pPr>
      <w:rPr>
        <w:rFonts w:hint="default"/>
        <w:lang w:val="id" w:eastAsia="en-US" w:bidi="ar-SA"/>
      </w:rPr>
    </w:lvl>
    <w:lvl w:ilvl="4" w:tplc="0B66C698">
      <w:numFmt w:val="bullet"/>
      <w:lvlText w:val="•"/>
      <w:lvlJc w:val="left"/>
      <w:pPr>
        <w:ind w:left="5164" w:hanging="363"/>
      </w:pPr>
      <w:rPr>
        <w:rFonts w:hint="default"/>
        <w:lang w:val="id" w:eastAsia="en-US" w:bidi="ar-SA"/>
      </w:rPr>
    </w:lvl>
    <w:lvl w:ilvl="5" w:tplc="387C4C70">
      <w:numFmt w:val="bullet"/>
      <w:lvlText w:val="•"/>
      <w:lvlJc w:val="left"/>
      <w:pPr>
        <w:ind w:left="6000" w:hanging="363"/>
      </w:pPr>
      <w:rPr>
        <w:rFonts w:hint="default"/>
        <w:lang w:val="id" w:eastAsia="en-US" w:bidi="ar-SA"/>
      </w:rPr>
    </w:lvl>
    <w:lvl w:ilvl="6" w:tplc="E1449830">
      <w:numFmt w:val="bullet"/>
      <w:lvlText w:val="•"/>
      <w:lvlJc w:val="left"/>
      <w:pPr>
        <w:ind w:left="6836" w:hanging="363"/>
      </w:pPr>
      <w:rPr>
        <w:rFonts w:hint="default"/>
        <w:lang w:val="id" w:eastAsia="en-US" w:bidi="ar-SA"/>
      </w:rPr>
    </w:lvl>
    <w:lvl w:ilvl="7" w:tplc="0294395A">
      <w:numFmt w:val="bullet"/>
      <w:lvlText w:val="•"/>
      <w:lvlJc w:val="left"/>
      <w:pPr>
        <w:ind w:left="7672" w:hanging="363"/>
      </w:pPr>
      <w:rPr>
        <w:rFonts w:hint="default"/>
        <w:lang w:val="id" w:eastAsia="en-US" w:bidi="ar-SA"/>
      </w:rPr>
    </w:lvl>
    <w:lvl w:ilvl="8" w:tplc="9222B71C">
      <w:numFmt w:val="bullet"/>
      <w:lvlText w:val="•"/>
      <w:lvlJc w:val="left"/>
      <w:pPr>
        <w:ind w:left="8508" w:hanging="363"/>
      </w:pPr>
      <w:rPr>
        <w:rFonts w:hint="default"/>
        <w:lang w:val="id" w:eastAsia="en-US" w:bidi="ar-SA"/>
      </w:rPr>
    </w:lvl>
  </w:abstractNum>
  <w:num w:numId="1">
    <w:abstractNumId w:val="0"/>
  </w:num>
  <w:num w:numId="2">
    <w:abstractNumId w:val="6"/>
  </w:num>
  <w:num w:numId="3">
    <w:abstractNumId w:val="12"/>
  </w:num>
  <w:num w:numId="4">
    <w:abstractNumId w:val="13"/>
  </w:num>
  <w:num w:numId="5">
    <w:abstractNumId w:val="11"/>
  </w:num>
  <w:num w:numId="6">
    <w:abstractNumId w:val="31"/>
  </w:num>
  <w:num w:numId="7">
    <w:abstractNumId w:val="3"/>
  </w:num>
  <w:num w:numId="8">
    <w:abstractNumId w:val="32"/>
  </w:num>
  <w:num w:numId="9">
    <w:abstractNumId w:val="25"/>
  </w:num>
  <w:num w:numId="10">
    <w:abstractNumId w:val="29"/>
  </w:num>
  <w:num w:numId="11">
    <w:abstractNumId w:val="21"/>
  </w:num>
  <w:num w:numId="12">
    <w:abstractNumId w:val="28"/>
  </w:num>
  <w:num w:numId="13">
    <w:abstractNumId w:val="10"/>
  </w:num>
  <w:num w:numId="14">
    <w:abstractNumId w:val="16"/>
  </w:num>
  <w:num w:numId="15">
    <w:abstractNumId w:val="20"/>
  </w:num>
  <w:num w:numId="16">
    <w:abstractNumId w:val="17"/>
  </w:num>
  <w:num w:numId="17">
    <w:abstractNumId w:val="22"/>
  </w:num>
  <w:num w:numId="18">
    <w:abstractNumId w:val="33"/>
  </w:num>
  <w:num w:numId="19">
    <w:abstractNumId w:val="18"/>
  </w:num>
  <w:num w:numId="20">
    <w:abstractNumId w:val="19"/>
  </w:num>
  <w:num w:numId="21">
    <w:abstractNumId w:val="30"/>
  </w:num>
  <w:num w:numId="22">
    <w:abstractNumId w:val="7"/>
  </w:num>
  <w:num w:numId="23">
    <w:abstractNumId w:val="24"/>
  </w:num>
  <w:num w:numId="24">
    <w:abstractNumId w:val="1"/>
  </w:num>
  <w:num w:numId="25">
    <w:abstractNumId w:val="5"/>
  </w:num>
  <w:num w:numId="26">
    <w:abstractNumId w:val="15"/>
  </w:num>
  <w:num w:numId="27">
    <w:abstractNumId w:val="26"/>
  </w:num>
  <w:num w:numId="28">
    <w:abstractNumId w:val="8"/>
  </w:num>
  <w:num w:numId="29">
    <w:abstractNumId w:val="14"/>
  </w:num>
  <w:num w:numId="30">
    <w:abstractNumId w:val="9"/>
  </w:num>
  <w:num w:numId="31">
    <w:abstractNumId w:val="27"/>
  </w:num>
  <w:num w:numId="32">
    <w:abstractNumId w:val="23"/>
  </w:num>
  <w:num w:numId="33">
    <w:abstractNumId w:val="4"/>
  </w:num>
  <w:num w:numId="3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9F"/>
    <w:rsid w:val="00007F09"/>
    <w:rsid w:val="00010E8D"/>
    <w:rsid w:val="00015FEB"/>
    <w:rsid w:val="00020F6A"/>
    <w:rsid w:val="00024C1C"/>
    <w:rsid w:val="00026017"/>
    <w:rsid w:val="00026600"/>
    <w:rsid w:val="00026F88"/>
    <w:rsid w:val="00030014"/>
    <w:rsid w:val="00040317"/>
    <w:rsid w:val="00041BD6"/>
    <w:rsid w:val="00044DCF"/>
    <w:rsid w:val="00045F09"/>
    <w:rsid w:val="000461FB"/>
    <w:rsid w:val="00046D46"/>
    <w:rsid w:val="00051230"/>
    <w:rsid w:val="0005160D"/>
    <w:rsid w:val="00053C1F"/>
    <w:rsid w:val="0005504C"/>
    <w:rsid w:val="00067D27"/>
    <w:rsid w:val="00081C13"/>
    <w:rsid w:val="000835DC"/>
    <w:rsid w:val="00084A42"/>
    <w:rsid w:val="0008606B"/>
    <w:rsid w:val="00086534"/>
    <w:rsid w:val="00086770"/>
    <w:rsid w:val="00086D78"/>
    <w:rsid w:val="00095B8B"/>
    <w:rsid w:val="000A005A"/>
    <w:rsid w:val="000A0233"/>
    <w:rsid w:val="000A36E5"/>
    <w:rsid w:val="000B2193"/>
    <w:rsid w:val="000B47FF"/>
    <w:rsid w:val="000B5789"/>
    <w:rsid w:val="000B6347"/>
    <w:rsid w:val="000B7635"/>
    <w:rsid w:val="000B7717"/>
    <w:rsid w:val="000C104B"/>
    <w:rsid w:val="000C2B0E"/>
    <w:rsid w:val="000C2EA7"/>
    <w:rsid w:val="000C3B47"/>
    <w:rsid w:val="000C6259"/>
    <w:rsid w:val="000C748D"/>
    <w:rsid w:val="000D372E"/>
    <w:rsid w:val="000D3D14"/>
    <w:rsid w:val="000D5181"/>
    <w:rsid w:val="000D5A45"/>
    <w:rsid w:val="000E09B5"/>
    <w:rsid w:val="000E2A64"/>
    <w:rsid w:val="000E6579"/>
    <w:rsid w:val="000F3AFE"/>
    <w:rsid w:val="000F476D"/>
    <w:rsid w:val="000F5D8F"/>
    <w:rsid w:val="000F5F20"/>
    <w:rsid w:val="000F75B8"/>
    <w:rsid w:val="000F7ABD"/>
    <w:rsid w:val="001001C5"/>
    <w:rsid w:val="00103228"/>
    <w:rsid w:val="00104C1C"/>
    <w:rsid w:val="001051CD"/>
    <w:rsid w:val="00111338"/>
    <w:rsid w:val="00111D20"/>
    <w:rsid w:val="00112ED2"/>
    <w:rsid w:val="001151CF"/>
    <w:rsid w:val="00120063"/>
    <w:rsid w:val="001270DD"/>
    <w:rsid w:val="001302F9"/>
    <w:rsid w:val="00132BBF"/>
    <w:rsid w:val="001376EE"/>
    <w:rsid w:val="0015255F"/>
    <w:rsid w:val="0016030E"/>
    <w:rsid w:val="00162BD6"/>
    <w:rsid w:val="00167085"/>
    <w:rsid w:val="0017686C"/>
    <w:rsid w:val="00183B75"/>
    <w:rsid w:val="00185C13"/>
    <w:rsid w:val="0018636D"/>
    <w:rsid w:val="0018786B"/>
    <w:rsid w:val="00191A1D"/>
    <w:rsid w:val="00195FE7"/>
    <w:rsid w:val="001A1BA1"/>
    <w:rsid w:val="001A2B85"/>
    <w:rsid w:val="001A38A8"/>
    <w:rsid w:val="001A4DDA"/>
    <w:rsid w:val="001A7F2D"/>
    <w:rsid w:val="001B027A"/>
    <w:rsid w:val="001B050E"/>
    <w:rsid w:val="001B228D"/>
    <w:rsid w:val="001B27BB"/>
    <w:rsid w:val="001C118A"/>
    <w:rsid w:val="001C243C"/>
    <w:rsid w:val="001D0F9E"/>
    <w:rsid w:val="001D46A2"/>
    <w:rsid w:val="001D4D6C"/>
    <w:rsid w:val="001D6096"/>
    <w:rsid w:val="001E0488"/>
    <w:rsid w:val="001E1E1A"/>
    <w:rsid w:val="001F10E5"/>
    <w:rsid w:val="001F12BF"/>
    <w:rsid w:val="001F1A33"/>
    <w:rsid w:val="001F3677"/>
    <w:rsid w:val="001F77EA"/>
    <w:rsid w:val="00201A4B"/>
    <w:rsid w:val="00206671"/>
    <w:rsid w:val="0021197C"/>
    <w:rsid w:val="00212E33"/>
    <w:rsid w:val="0021409C"/>
    <w:rsid w:val="00216D1D"/>
    <w:rsid w:val="00221F9A"/>
    <w:rsid w:val="00222357"/>
    <w:rsid w:val="002241B3"/>
    <w:rsid w:val="002245EF"/>
    <w:rsid w:val="0024626A"/>
    <w:rsid w:val="002463CA"/>
    <w:rsid w:val="00250FBA"/>
    <w:rsid w:val="0025621B"/>
    <w:rsid w:val="00256349"/>
    <w:rsid w:val="00257EBB"/>
    <w:rsid w:val="00261185"/>
    <w:rsid w:val="00264CB5"/>
    <w:rsid w:val="00266AA6"/>
    <w:rsid w:val="00266DED"/>
    <w:rsid w:val="00267BE9"/>
    <w:rsid w:val="00273127"/>
    <w:rsid w:val="00276313"/>
    <w:rsid w:val="002773F2"/>
    <w:rsid w:val="0028048B"/>
    <w:rsid w:val="00284782"/>
    <w:rsid w:val="002879D2"/>
    <w:rsid w:val="00287C5F"/>
    <w:rsid w:val="00292485"/>
    <w:rsid w:val="00293070"/>
    <w:rsid w:val="002A5410"/>
    <w:rsid w:val="002A6339"/>
    <w:rsid w:val="002B07C2"/>
    <w:rsid w:val="002B135D"/>
    <w:rsid w:val="002C187D"/>
    <w:rsid w:val="002C200A"/>
    <w:rsid w:val="002C3421"/>
    <w:rsid w:val="002C3F79"/>
    <w:rsid w:val="002C5701"/>
    <w:rsid w:val="002C693D"/>
    <w:rsid w:val="002D5603"/>
    <w:rsid w:val="002D59BC"/>
    <w:rsid w:val="002E2DD5"/>
    <w:rsid w:val="002E38B6"/>
    <w:rsid w:val="002E3ED9"/>
    <w:rsid w:val="002E4E89"/>
    <w:rsid w:val="002E56AB"/>
    <w:rsid w:val="002E766E"/>
    <w:rsid w:val="002F177C"/>
    <w:rsid w:val="002F3DFB"/>
    <w:rsid w:val="002F4FC8"/>
    <w:rsid w:val="00303516"/>
    <w:rsid w:val="00304BD5"/>
    <w:rsid w:val="00307160"/>
    <w:rsid w:val="0031067E"/>
    <w:rsid w:val="00312836"/>
    <w:rsid w:val="00313766"/>
    <w:rsid w:val="003140B8"/>
    <w:rsid w:val="003145DB"/>
    <w:rsid w:val="00314EE6"/>
    <w:rsid w:val="00315DC9"/>
    <w:rsid w:val="00316702"/>
    <w:rsid w:val="00323A8C"/>
    <w:rsid w:val="00324B4D"/>
    <w:rsid w:val="00330DBE"/>
    <w:rsid w:val="00333357"/>
    <w:rsid w:val="00340109"/>
    <w:rsid w:val="003455F5"/>
    <w:rsid w:val="00352566"/>
    <w:rsid w:val="0035430F"/>
    <w:rsid w:val="0035516D"/>
    <w:rsid w:val="003569FF"/>
    <w:rsid w:val="00363B45"/>
    <w:rsid w:val="003705B1"/>
    <w:rsid w:val="0037292E"/>
    <w:rsid w:val="0038312F"/>
    <w:rsid w:val="003910B3"/>
    <w:rsid w:val="00391B38"/>
    <w:rsid w:val="003965A9"/>
    <w:rsid w:val="0039750F"/>
    <w:rsid w:val="003A099C"/>
    <w:rsid w:val="003A2F8B"/>
    <w:rsid w:val="003B5849"/>
    <w:rsid w:val="003B5CD0"/>
    <w:rsid w:val="003C31AF"/>
    <w:rsid w:val="003C5AB5"/>
    <w:rsid w:val="003C7FB7"/>
    <w:rsid w:val="003D01A0"/>
    <w:rsid w:val="003D0970"/>
    <w:rsid w:val="003D2039"/>
    <w:rsid w:val="003D2233"/>
    <w:rsid w:val="003D495F"/>
    <w:rsid w:val="003D7E4D"/>
    <w:rsid w:val="003E2183"/>
    <w:rsid w:val="003E222E"/>
    <w:rsid w:val="003F22A0"/>
    <w:rsid w:val="003F2ADD"/>
    <w:rsid w:val="003F3E33"/>
    <w:rsid w:val="003F42C1"/>
    <w:rsid w:val="003F4DEE"/>
    <w:rsid w:val="003F63E6"/>
    <w:rsid w:val="00400C22"/>
    <w:rsid w:val="00416291"/>
    <w:rsid w:val="00420F2F"/>
    <w:rsid w:val="0042229E"/>
    <w:rsid w:val="00422B7E"/>
    <w:rsid w:val="00423614"/>
    <w:rsid w:val="004242C5"/>
    <w:rsid w:val="004306B1"/>
    <w:rsid w:val="00435EC5"/>
    <w:rsid w:val="004420BB"/>
    <w:rsid w:val="00443D5A"/>
    <w:rsid w:val="00444B34"/>
    <w:rsid w:val="0044646E"/>
    <w:rsid w:val="00450A88"/>
    <w:rsid w:val="00451811"/>
    <w:rsid w:val="004537A0"/>
    <w:rsid w:val="0045529C"/>
    <w:rsid w:val="00461104"/>
    <w:rsid w:val="0046178B"/>
    <w:rsid w:val="0046292F"/>
    <w:rsid w:val="00462D66"/>
    <w:rsid w:val="0046644E"/>
    <w:rsid w:val="00466D02"/>
    <w:rsid w:val="00471284"/>
    <w:rsid w:val="00472582"/>
    <w:rsid w:val="00475C5F"/>
    <w:rsid w:val="00476769"/>
    <w:rsid w:val="00477928"/>
    <w:rsid w:val="00480166"/>
    <w:rsid w:val="00480E0B"/>
    <w:rsid w:val="00482BB5"/>
    <w:rsid w:val="00485AE5"/>
    <w:rsid w:val="004935CE"/>
    <w:rsid w:val="00493B08"/>
    <w:rsid w:val="004A7E46"/>
    <w:rsid w:val="004B0410"/>
    <w:rsid w:val="004B11D3"/>
    <w:rsid w:val="004B13C8"/>
    <w:rsid w:val="004B179F"/>
    <w:rsid w:val="004B183F"/>
    <w:rsid w:val="004B4E82"/>
    <w:rsid w:val="004C7718"/>
    <w:rsid w:val="004D70A2"/>
    <w:rsid w:val="004E051E"/>
    <w:rsid w:val="004E05E1"/>
    <w:rsid w:val="004E0681"/>
    <w:rsid w:val="004E47CB"/>
    <w:rsid w:val="004E5504"/>
    <w:rsid w:val="004F2FCF"/>
    <w:rsid w:val="004F3DA6"/>
    <w:rsid w:val="004F5A45"/>
    <w:rsid w:val="004F6622"/>
    <w:rsid w:val="004F66C1"/>
    <w:rsid w:val="005074B2"/>
    <w:rsid w:val="00507D32"/>
    <w:rsid w:val="00525C18"/>
    <w:rsid w:val="0052676B"/>
    <w:rsid w:val="005268DA"/>
    <w:rsid w:val="00535892"/>
    <w:rsid w:val="0054120E"/>
    <w:rsid w:val="00547360"/>
    <w:rsid w:val="005506D9"/>
    <w:rsid w:val="005560C3"/>
    <w:rsid w:val="00556568"/>
    <w:rsid w:val="005617C0"/>
    <w:rsid w:val="00561C6B"/>
    <w:rsid w:val="00563A38"/>
    <w:rsid w:val="005646F9"/>
    <w:rsid w:val="00565DEC"/>
    <w:rsid w:val="00567BBF"/>
    <w:rsid w:val="00572323"/>
    <w:rsid w:val="005728D9"/>
    <w:rsid w:val="0057311C"/>
    <w:rsid w:val="005741F8"/>
    <w:rsid w:val="00576F99"/>
    <w:rsid w:val="00581AE0"/>
    <w:rsid w:val="00585F29"/>
    <w:rsid w:val="005A3A21"/>
    <w:rsid w:val="005A4715"/>
    <w:rsid w:val="005A5236"/>
    <w:rsid w:val="005B3E79"/>
    <w:rsid w:val="005B4E5D"/>
    <w:rsid w:val="005B5876"/>
    <w:rsid w:val="005C1831"/>
    <w:rsid w:val="005C1B5B"/>
    <w:rsid w:val="005C1C82"/>
    <w:rsid w:val="005C2D77"/>
    <w:rsid w:val="005D4DA6"/>
    <w:rsid w:val="005D7B37"/>
    <w:rsid w:val="005D7DF9"/>
    <w:rsid w:val="005E1DAC"/>
    <w:rsid w:val="005E1DDF"/>
    <w:rsid w:val="005E4D5E"/>
    <w:rsid w:val="005E4D96"/>
    <w:rsid w:val="005E579C"/>
    <w:rsid w:val="005E68CF"/>
    <w:rsid w:val="005F35E2"/>
    <w:rsid w:val="005F4615"/>
    <w:rsid w:val="005F6BAB"/>
    <w:rsid w:val="005F7A45"/>
    <w:rsid w:val="00602952"/>
    <w:rsid w:val="0060646E"/>
    <w:rsid w:val="006064DB"/>
    <w:rsid w:val="006106CA"/>
    <w:rsid w:val="006149D9"/>
    <w:rsid w:val="00616601"/>
    <w:rsid w:val="00622EFC"/>
    <w:rsid w:val="00624907"/>
    <w:rsid w:val="006272CD"/>
    <w:rsid w:val="0063078D"/>
    <w:rsid w:val="00630E31"/>
    <w:rsid w:val="006312D8"/>
    <w:rsid w:val="006320FA"/>
    <w:rsid w:val="00634891"/>
    <w:rsid w:val="00640347"/>
    <w:rsid w:val="00642925"/>
    <w:rsid w:val="006429F6"/>
    <w:rsid w:val="0064496D"/>
    <w:rsid w:val="00645169"/>
    <w:rsid w:val="00646B38"/>
    <w:rsid w:val="00647473"/>
    <w:rsid w:val="00650732"/>
    <w:rsid w:val="00650BD0"/>
    <w:rsid w:val="006520CD"/>
    <w:rsid w:val="00652876"/>
    <w:rsid w:val="00652D4F"/>
    <w:rsid w:val="00654D3F"/>
    <w:rsid w:val="00656579"/>
    <w:rsid w:val="006566DD"/>
    <w:rsid w:val="00656AA5"/>
    <w:rsid w:val="006577CF"/>
    <w:rsid w:val="00663BC5"/>
    <w:rsid w:val="006644C3"/>
    <w:rsid w:val="00664FA2"/>
    <w:rsid w:val="00665940"/>
    <w:rsid w:val="00667D5C"/>
    <w:rsid w:val="00680CD8"/>
    <w:rsid w:val="006810A0"/>
    <w:rsid w:val="0068449C"/>
    <w:rsid w:val="006920CA"/>
    <w:rsid w:val="00694BBE"/>
    <w:rsid w:val="006B038E"/>
    <w:rsid w:val="006B3A7E"/>
    <w:rsid w:val="006B3EBA"/>
    <w:rsid w:val="006D0CCB"/>
    <w:rsid w:val="006D6623"/>
    <w:rsid w:val="006D6FE4"/>
    <w:rsid w:val="006E2A72"/>
    <w:rsid w:val="006E32D5"/>
    <w:rsid w:val="006E5460"/>
    <w:rsid w:val="006E57BC"/>
    <w:rsid w:val="006E7857"/>
    <w:rsid w:val="006F3DE8"/>
    <w:rsid w:val="006F63A0"/>
    <w:rsid w:val="007001A9"/>
    <w:rsid w:val="0070353C"/>
    <w:rsid w:val="00705F08"/>
    <w:rsid w:val="007123FF"/>
    <w:rsid w:val="00714852"/>
    <w:rsid w:val="007160DC"/>
    <w:rsid w:val="007228E7"/>
    <w:rsid w:val="00727122"/>
    <w:rsid w:val="00731DE9"/>
    <w:rsid w:val="00731F51"/>
    <w:rsid w:val="00736153"/>
    <w:rsid w:val="00750EDF"/>
    <w:rsid w:val="007518B8"/>
    <w:rsid w:val="00754021"/>
    <w:rsid w:val="0076462B"/>
    <w:rsid w:val="00764905"/>
    <w:rsid w:val="00772B42"/>
    <w:rsid w:val="00783305"/>
    <w:rsid w:val="007941AB"/>
    <w:rsid w:val="0079486A"/>
    <w:rsid w:val="00794EF6"/>
    <w:rsid w:val="00797680"/>
    <w:rsid w:val="007A2D04"/>
    <w:rsid w:val="007A4678"/>
    <w:rsid w:val="007A4957"/>
    <w:rsid w:val="007A57F2"/>
    <w:rsid w:val="007A71FC"/>
    <w:rsid w:val="007B3476"/>
    <w:rsid w:val="007B367C"/>
    <w:rsid w:val="007B54F1"/>
    <w:rsid w:val="007B58FF"/>
    <w:rsid w:val="007C051C"/>
    <w:rsid w:val="007C16C6"/>
    <w:rsid w:val="007C1DA1"/>
    <w:rsid w:val="007C38D8"/>
    <w:rsid w:val="007C42EA"/>
    <w:rsid w:val="007C5D90"/>
    <w:rsid w:val="007C603C"/>
    <w:rsid w:val="007D085A"/>
    <w:rsid w:val="007D6170"/>
    <w:rsid w:val="007D7349"/>
    <w:rsid w:val="007E2A14"/>
    <w:rsid w:val="007E3830"/>
    <w:rsid w:val="007E3A9B"/>
    <w:rsid w:val="007E7769"/>
    <w:rsid w:val="00801712"/>
    <w:rsid w:val="00801AFF"/>
    <w:rsid w:val="00802785"/>
    <w:rsid w:val="00805F36"/>
    <w:rsid w:val="00806B25"/>
    <w:rsid w:val="00811618"/>
    <w:rsid w:val="00811BAB"/>
    <w:rsid w:val="00817FDB"/>
    <w:rsid w:val="0082135F"/>
    <w:rsid w:val="00822795"/>
    <w:rsid w:val="0082329E"/>
    <w:rsid w:val="00824A55"/>
    <w:rsid w:val="00824EF1"/>
    <w:rsid w:val="00824F73"/>
    <w:rsid w:val="00826A99"/>
    <w:rsid w:val="00830A6B"/>
    <w:rsid w:val="00831B61"/>
    <w:rsid w:val="008371BF"/>
    <w:rsid w:val="008414C3"/>
    <w:rsid w:val="0084215A"/>
    <w:rsid w:val="00842894"/>
    <w:rsid w:val="00843912"/>
    <w:rsid w:val="00847B39"/>
    <w:rsid w:val="0085165F"/>
    <w:rsid w:val="00852A8A"/>
    <w:rsid w:val="00854E12"/>
    <w:rsid w:val="008563A7"/>
    <w:rsid w:val="00861027"/>
    <w:rsid w:val="00861131"/>
    <w:rsid w:val="00861C4D"/>
    <w:rsid w:val="008641B6"/>
    <w:rsid w:val="00867ADD"/>
    <w:rsid w:val="008751C2"/>
    <w:rsid w:val="0087552F"/>
    <w:rsid w:val="008803F4"/>
    <w:rsid w:val="008806DD"/>
    <w:rsid w:val="00881BBD"/>
    <w:rsid w:val="0088461D"/>
    <w:rsid w:val="00885C35"/>
    <w:rsid w:val="00890BE8"/>
    <w:rsid w:val="00893042"/>
    <w:rsid w:val="00893BEB"/>
    <w:rsid w:val="00894F17"/>
    <w:rsid w:val="008974BD"/>
    <w:rsid w:val="008A1C05"/>
    <w:rsid w:val="008A6F2E"/>
    <w:rsid w:val="008B0A09"/>
    <w:rsid w:val="008C101A"/>
    <w:rsid w:val="008C4E0B"/>
    <w:rsid w:val="008C597B"/>
    <w:rsid w:val="008C70B8"/>
    <w:rsid w:val="008D4EDE"/>
    <w:rsid w:val="008E240E"/>
    <w:rsid w:val="008F123B"/>
    <w:rsid w:val="008F6831"/>
    <w:rsid w:val="00900D24"/>
    <w:rsid w:val="00901FB3"/>
    <w:rsid w:val="009032E7"/>
    <w:rsid w:val="00904112"/>
    <w:rsid w:val="0090684B"/>
    <w:rsid w:val="00910A36"/>
    <w:rsid w:val="00914FC1"/>
    <w:rsid w:val="00921A92"/>
    <w:rsid w:val="00923BBC"/>
    <w:rsid w:val="009270BD"/>
    <w:rsid w:val="0093192B"/>
    <w:rsid w:val="00932D9D"/>
    <w:rsid w:val="009378C8"/>
    <w:rsid w:val="0094259E"/>
    <w:rsid w:val="0094517C"/>
    <w:rsid w:val="009454C7"/>
    <w:rsid w:val="00946FAA"/>
    <w:rsid w:val="00951704"/>
    <w:rsid w:val="00951815"/>
    <w:rsid w:val="00951F6E"/>
    <w:rsid w:val="00952D67"/>
    <w:rsid w:val="0095348C"/>
    <w:rsid w:val="00954441"/>
    <w:rsid w:val="009557EE"/>
    <w:rsid w:val="00957D01"/>
    <w:rsid w:val="00962E3E"/>
    <w:rsid w:val="0096613A"/>
    <w:rsid w:val="00980660"/>
    <w:rsid w:val="00980F7F"/>
    <w:rsid w:val="00982991"/>
    <w:rsid w:val="00984302"/>
    <w:rsid w:val="009855ED"/>
    <w:rsid w:val="00985D4F"/>
    <w:rsid w:val="009A1FAC"/>
    <w:rsid w:val="009A65D4"/>
    <w:rsid w:val="009A6878"/>
    <w:rsid w:val="009A716B"/>
    <w:rsid w:val="009B245C"/>
    <w:rsid w:val="009B7576"/>
    <w:rsid w:val="009C60A9"/>
    <w:rsid w:val="009C622B"/>
    <w:rsid w:val="009C65E6"/>
    <w:rsid w:val="009D1B12"/>
    <w:rsid w:val="009D2178"/>
    <w:rsid w:val="009D4270"/>
    <w:rsid w:val="009E013C"/>
    <w:rsid w:val="009E49C1"/>
    <w:rsid w:val="009F1CF7"/>
    <w:rsid w:val="009F31B3"/>
    <w:rsid w:val="009F3CD1"/>
    <w:rsid w:val="009F731C"/>
    <w:rsid w:val="00A05447"/>
    <w:rsid w:val="00A07CA9"/>
    <w:rsid w:val="00A12977"/>
    <w:rsid w:val="00A21018"/>
    <w:rsid w:val="00A223C1"/>
    <w:rsid w:val="00A2368A"/>
    <w:rsid w:val="00A2516D"/>
    <w:rsid w:val="00A2696C"/>
    <w:rsid w:val="00A37C06"/>
    <w:rsid w:val="00A417DB"/>
    <w:rsid w:val="00A458DF"/>
    <w:rsid w:val="00A46164"/>
    <w:rsid w:val="00A46382"/>
    <w:rsid w:val="00A5494F"/>
    <w:rsid w:val="00A55657"/>
    <w:rsid w:val="00A61C60"/>
    <w:rsid w:val="00A6251F"/>
    <w:rsid w:val="00A632DB"/>
    <w:rsid w:val="00A63817"/>
    <w:rsid w:val="00A6382B"/>
    <w:rsid w:val="00A63BC0"/>
    <w:rsid w:val="00A6565C"/>
    <w:rsid w:val="00A65AEC"/>
    <w:rsid w:val="00A6778B"/>
    <w:rsid w:val="00A710C5"/>
    <w:rsid w:val="00A739A7"/>
    <w:rsid w:val="00A74745"/>
    <w:rsid w:val="00A76E1B"/>
    <w:rsid w:val="00A82966"/>
    <w:rsid w:val="00A82D7E"/>
    <w:rsid w:val="00A8610C"/>
    <w:rsid w:val="00A873B2"/>
    <w:rsid w:val="00A92871"/>
    <w:rsid w:val="00A94A52"/>
    <w:rsid w:val="00A97064"/>
    <w:rsid w:val="00AC108B"/>
    <w:rsid w:val="00AC3A81"/>
    <w:rsid w:val="00AC71DC"/>
    <w:rsid w:val="00AD04A5"/>
    <w:rsid w:val="00AD14D0"/>
    <w:rsid w:val="00AD702A"/>
    <w:rsid w:val="00AE080C"/>
    <w:rsid w:val="00AE29F5"/>
    <w:rsid w:val="00AE4129"/>
    <w:rsid w:val="00AE535F"/>
    <w:rsid w:val="00AE7296"/>
    <w:rsid w:val="00AF077C"/>
    <w:rsid w:val="00AF13C6"/>
    <w:rsid w:val="00AF4D36"/>
    <w:rsid w:val="00AF573A"/>
    <w:rsid w:val="00B048ED"/>
    <w:rsid w:val="00B04D61"/>
    <w:rsid w:val="00B06AB7"/>
    <w:rsid w:val="00B11B36"/>
    <w:rsid w:val="00B1361D"/>
    <w:rsid w:val="00B20812"/>
    <w:rsid w:val="00B22313"/>
    <w:rsid w:val="00B244F4"/>
    <w:rsid w:val="00B27038"/>
    <w:rsid w:val="00B40C90"/>
    <w:rsid w:val="00B41945"/>
    <w:rsid w:val="00B41C85"/>
    <w:rsid w:val="00B42BCB"/>
    <w:rsid w:val="00B45A57"/>
    <w:rsid w:val="00B45FD9"/>
    <w:rsid w:val="00B46247"/>
    <w:rsid w:val="00B46678"/>
    <w:rsid w:val="00B46AA5"/>
    <w:rsid w:val="00B52AE2"/>
    <w:rsid w:val="00B52B90"/>
    <w:rsid w:val="00B53319"/>
    <w:rsid w:val="00B6369B"/>
    <w:rsid w:val="00B7087A"/>
    <w:rsid w:val="00B708E8"/>
    <w:rsid w:val="00B71EC7"/>
    <w:rsid w:val="00B71EEF"/>
    <w:rsid w:val="00B73B44"/>
    <w:rsid w:val="00B77F7D"/>
    <w:rsid w:val="00B81C48"/>
    <w:rsid w:val="00B82607"/>
    <w:rsid w:val="00B82D9E"/>
    <w:rsid w:val="00B87DA7"/>
    <w:rsid w:val="00B9245A"/>
    <w:rsid w:val="00B92FD3"/>
    <w:rsid w:val="00B972CD"/>
    <w:rsid w:val="00B97C6B"/>
    <w:rsid w:val="00B97CA4"/>
    <w:rsid w:val="00BA17D9"/>
    <w:rsid w:val="00BA4C6F"/>
    <w:rsid w:val="00BB1A9F"/>
    <w:rsid w:val="00BB3EAF"/>
    <w:rsid w:val="00BB510F"/>
    <w:rsid w:val="00BB5372"/>
    <w:rsid w:val="00BB5433"/>
    <w:rsid w:val="00BC23C6"/>
    <w:rsid w:val="00BC5058"/>
    <w:rsid w:val="00BC5808"/>
    <w:rsid w:val="00BC5B42"/>
    <w:rsid w:val="00BC5BE2"/>
    <w:rsid w:val="00BC690F"/>
    <w:rsid w:val="00BD0BA8"/>
    <w:rsid w:val="00BD6231"/>
    <w:rsid w:val="00BD7866"/>
    <w:rsid w:val="00BE0308"/>
    <w:rsid w:val="00BE233D"/>
    <w:rsid w:val="00BE7255"/>
    <w:rsid w:val="00BE7D60"/>
    <w:rsid w:val="00BF00C6"/>
    <w:rsid w:val="00BF418B"/>
    <w:rsid w:val="00BF44D6"/>
    <w:rsid w:val="00BF5828"/>
    <w:rsid w:val="00C051A8"/>
    <w:rsid w:val="00C079CB"/>
    <w:rsid w:val="00C145BB"/>
    <w:rsid w:val="00C15716"/>
    <w:rsid w:val="00C161D5"/>
    <w:rsid w:val="00C16B06"/>
    <w:rsid w:val="00C17FC8"/>
    <w:rsid w:val="00C23C90"/>
    <w:rsid w:val="00C23F41"/>
    <w:rsid w:val="00C241FE"/>
    <w:rsid w:val="00C278C4"/>
    <w:rsid w:val="00C31A52"/>
    <w:rsid w:val="00C35099"/>
    <w:rsid w:val="00C35841"/>
    <w:rsid w:val="00C41C8E"/>
    <w:rsid w:val="00C42A02"/>
    <w:rsid w:val="00C444F9"/>
    <w:rsid w:val="00C45FEF"/>
    <w:rsid w:val="00C50ACC"/>
    <w:rsid w:val="00C53EBF"/>
    <w:rsid w:val="00C55EDF"/>
    <w:rsid w:val="00C56D4B"/>
    <w:rsid w:val="00C61A76"/>
    <w:rsid w:val="00C6322E"/>
    <w:rsid w:val="00C63BC1"/>
    <w:rsid w:val="00C6416B"/>
    <w:rsid w:val="00C7386B"/>
    <w:rsid w:val="00C74434"/>
    <w:rsid w:val="00C746CA"/>
    <w:rsid w:val="00C75593"/>
    <w:rsid w:val="00C85030"/>
    <w:rsid w:val="00C85259"/>
    <w:rsid w:val="00C910D9"/>
    <w:rsid w:val="00C96B41"/>
    <w:rsid w:val="00C973E5"/>
    <w:rsid w:val="00CA1716"/>
    <w:rsid w:val="00CA5396"/>
    <w:rsid w:val="00CA68BD"/>
    <w:rsid w:val="00CA6BCA"/>
    <w:rsid w:val="00CB42C9"/>
    <w:rsid w:val="00CB5216"/>
    <w:rsid w:val="00CB5EAF"/>
    <w:rsid w:val="00CB723A"/>
    <w:rsid w:val="00CC09B1"/>
    <w:rsid w:val="00CC3E3C"/>
    <w:rsid w:val="00CC425C"/>
    <w:rsid w:val="00CC44DD"/>
    <w:rsid w:val="00CC6AC1"/>
    <w:rsid w:val="00CC6F42"/>
    <w:rsid w:val="00CC7601"/>
    <w:rsid w:val="00CD1AB5"/>
    <w:rsid w:val="00CD7B6D"/>
    <w:rsid w:val="00CE2D5E"/>
    <w:rsid w:val="00CE3938"/>
    <w:rsid w:val="00CF1E5E"/>
    <w:rsid w:val="00CF5398"/>
    <w:rsid w:val="00CF5AFB"/>
    <w:rsid w:val="00CF71C0"/>
    <w:rsid w:val="00D01BD8"/>
    <w:rsid w:val="00D0643F"/>
    <w:rsid w:val="00D06895"/>
    <w:rsid w:val="00D117E5"/>
    <w:rsid w:val="00D1196B"/>
    <w:rsid w:val="00D123DA"/>
    <w:rsid w:val="00D12DBA"/>
    <w:rsid w:val="00D1503E"/>
    <w:rsid w:val="00D166BE"/>
    <w:rsid w:val="00D16D8C"/>
    <w:rsid w:val="00D2263D"/>
    <w:rsid w:val="00D23550"/>
    <w:rsid w:val="00D26962"/>
    <w:rsid w:val="00D33C10"/>
    <w:rsid w:val="00D412A4"/>
    <w:rsid w:val="00D52D84"/>
    <w:rsid w:val="00D5407A"/>
    <w:rsid w:val="00D540EC"/>
    <w:rsid w:val="00D555FC"/>
    <w:rsid w:val="00D61883"/>
    <w:rsid w:val="00D62CB2"/>
    <w:rsid w:val="00D63250"/>
    <w:rsid w:val="00D66BBC"/>
    <w:rsid w:val="00D72AB4"/>
    <w:rsid w:val="00D72B07"/>
    <w:rsid w:val="00D736D8"/>
    <w:rsid w:val="00D754F7"/>
    <w:rsid w:val="00D77B7F"/>
    <w:rsid w:val="00D80596"/>
    <w:rsid w:val="00D8578B"/>
    <w:rsid w:val="00D861CB"/>
    <w:rsid w:val="00D873BF"/>
    <w:rsid w:val="00D9226E"/>
    <w:rsid w:val="00D95BBF"/>
    <w:rsid w:val="00D97205"/>
    <w:rsid w:val="00DA4270"/>
    <w:rsid w:val="00DA63D6"/>
    <w:rsid w:val="00DB3D5F"/>
    <w:rsid w:val="00DB5C4B"/>
    <w:rsid w:val="00DC0337"/>
    <w:rsid w:val="00DC1875"/>
    <w:rsid w:val="00DC42E1"/>
    <w:rsid w:val="00DD19C6"/>
    <w:rsid w:val="00DD24E1"/>
    <w:rsid w:val="00DD520E"/>
    <w:rsid w:val="00DE04D0"/>
    <w:rsid w:val="00DE24BB"/>
    <w:rsid w:val="00DE2C64"/>
    <w:rsid w:val="00DE6EB7"/>
    <w:rsid w:val="00DE7264"/>
    <w:rsid w:val="00DF0994"/>
    <w:rsid w:val="00DF3C91"/>
    <w:rsid w:val="00DF5F44"/>
    <w:rsid w:val="00E0191B"/>
    <w:rsid w:val="00E02B7E"/>
    <w:rsid w:val="00E03507"/>
    <w:rsid w:val="00E040C3"/>
    <w:rsid w:val="00E040DD"/>
    <w:rsid w:val="00E0549F"/>
    <w:rsid w:val="00E05AE3"/>
    <w:rsid w:val="00E06157"/>
    <w:rsid w:val="00E102CC"/>
    <w:rsid w:val="00E15C18"/>
    <w:rsid w:val="00E16447"/>
    <w:rsid w:val="00E17C65"/>
    <w:rsid w:val="00E227ED"/>
    <w:rsid w:val="00E245E7"/>
    <w:rsid w:val="00E26C98"/>
    <w:rsid w:val="00E27057"/>
    <w:rsid w:val="00E27DCD"/>
    <w:rsid w:val="00E30459"/>
    <w:rsid w:val="00E34932"/>
    <w:rsid w:val="00E36E68"/>
    <w:rsid w:val="00E4295B"/>
    <w:rsid w:val="00E44171"/>
    <w:rsid w:val="00E476FC"/>
    <w:rsid w:val="00E50507"/>
    <w:rsid w:val="00E55261"/>
    <w:rsid w:val="00E57C79"/>
    <w:rsid w:val="00E6036D"/>
    <w:rsid w:val="00E63165"/>
    <w:rsid w:val="00E640D0"/>
    <w:rsid w:val="00E64A10"/>
    <w:rsid w:val="00E66568"/>
    <w:rsid w:val="00E7024C"/>
    <w:rsid w:val="00E7187C"/>
    <w:rsid w:val="00E76E80"/>
    <w:rsid w:val="00E81BC1"/>
    <w:rsid w:val="00E826F5"/>
    <w:rsid w:val="00E8705A"/>
    <w:rsid w:val="00E9435E"/>
    <w:rsid w:val="00E9494E"/>
    <w:rsid w:val="00E95030"/>
    <w:rsid w:val="00EA208E"/>
    <w:rsid w:val="00EA71F0"/>
    <w:rsid w:val="00EB03DC"/>
    <w:rsid w:val="00EB151E"/>
    <w:rsid w:val="00EB31FF"/>
    <w:rsid w:val="00EB34C2"/>
    <w:rsid w:val="00EB58F1"/>
    <w:rsid w:val="00EB7927"/>
    <w:rsid w:val="00EC08DA"/>
    <w:rsid w:val="00EC12F8"/>
    <w:rsid w:val="00EC1B13"/>
    <w:rsid w:val="00EC2E0F"/>
    <w:rsid w:val="00ED66A4"/>
    <w:rsid w:val="00EE48C1"/>
    <w:rsid w:val="00EE5657"/>
    <w:rsid w:val="00EF34B2"/>
    <w:rsid w:val="00EF4ECC"/>
    <w:rsid w:val="00F059E3"/>
    <w:rsid w:val="00F066B0"/>
    <w:rsid w:val="00F123C7"/>
    <w:rsid w:val="00F15393"/>
    <w:rsid w:val="00F2010B"/>
    <w:rsid w:val="00F24940"/>
    <w:rsid w:val="00F264EB"/>
    <w:rsid w:val="00F30A1F"/>
    <w:rsid w:val="00F30DF8"/>
    <w:rsid w:val="00F33439"/>
    <w:rsid w:val="00F3516E"/>
    <w:rsid w:val="00F43A09"/>
    <w:rsid w:val="00F43D9B"/>
    <w:rsid w:val="00F466D9"/>
    <w:rsid w:val="00F46D0B"/>
    <w:rsid w:val="00F50EDC"/>
    <w:rsid w:val="00F51564"/>
    <w:rsid w:val="00F516C4"/>
    <w:rsid w:val="00F5225C"/>
    <w:rsid w:val="00F52318"/>
    <w:rsid w:val="00F56550"/>
    <w:rsid w:val="00F61959"/>
    <w:rsid w:val="00F61CD9"/>
    <w:rsid w:val="00F62444"/>
    <w:rsid w:val="00F62D83"/>
    <w:rsid w:val="00F63727"/>
    <w:rsid w:val="00F67489"/>
    <w:rsid w:val="00F73139"/>
    <w:rsid w:val="00F80A77"/>
    <w:rsid w:val="00F8211B"/>
    <w:rsid w:val="00F83DE8"/>
    <w:rsid w:val="00F84568"/>
    <w:rsid w:val="00F87C4D"/>
    <w:rsid w:val="00F90A9D"/>
    <w:rsid w:val="00F94A5E"/>
    <w:rsid w:val="00F964BF"/>
    <w:rsid w:val="00F96E0C"/>
    <w:rsid w:val="00FB0DCE"/>
    <w:rsid w:val="00FB3D25"/>
    <w:rsid w:val="00FC6A35"/>
    <w:rsid w:val="00FC70C5"/>
    <w:rsid w:val="00FD3F81"/>
    <w:rsid w:val="00FD6DD0"/>
    <w:rsid w:val="00FE3652"/>
    <w:rsid w:val="00FE3D08"/>
    <w:rsid w:val="00FE529F"/>
    <w:rsid w:val="00FE7415"/>
    <w:rsid w:val="00FF30E2"/>
    <w:rsid w:val="00FF3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2A9FB"/>
  <w15:docId w15:val="{E02BFB8E-C7C5-462B-9456-F02020E6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A9F"/>
  </w:style>
  <w:style w:type="paragraph" w:styleId="Heading1">
    <w:name w:val="heading 1"/>
    <w:basedOn w:val="Normal"/>
    <w:next w:val="Normal"/>
    <w:link w:val="Heading1Char"/>
    <w:uiPriority w:val="9"/>
    <w:qFormat/>
    <w:rsid w:val="00BB54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565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1051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1A9F"/>
    <w:pPr>
      <w:ind w:left="720"/>
      <w:contextualSpacing/>
    </w:pPr>
  </w:style>
  <w:style w:type="paragraph" w:styleId="FootnoteText">
    <w:name w:val="footnote text"/>
    <w:basedOn w:val="Normal"/>
    <w:link w:val="FootnoteTextChar"/>
    <w:uiPriority w:val="99"/>
    <w:unhideWhenUsed/>
    <w:rsid w:val="00A417DB"/>
    <w:pPr>
      <w:spacing w:after="0" w:line="240" w:lineRule="auto"/>
    </w:pPr>
    <w:rPr>
      <w:sz w:val="20"/>
      <w:szCs w:val="20"/>
    </w:rPr>
  </w:style>
  <w:style w:type="character" w:customStyle="1" w:styleId="FootnoteTextChar">
    <w:name w:val="Footnote Text Char"/>
    <w:basedOn w:val="DefaultParagraphFont"/>
    <w:link w:val="FootnoteText"/>
    <w:uiPriority w:val="99"/>
    <w:rsid w:val="00A417DB"/>
    <w:rPr>
      <w:sz w:val="20"/>
      <w:szCs w:val="20"/>
    </w:rPr>
  </w:style>
  <w:style w:type="character" w:styleId="FootnoteReference">
    <w:name w:val="footnote reference"/>
    <w:basedOn w:val="DefaultParagraphFont"/>
    <w:uiPriority w:val="99"/>
    <w:semiHidden/>
    <w:unhideWhenUsed/>
    <w:rsid w:val="00A417DB"/>
    <w:rPr>
      <w:vertAlign w:val="superscript"/>
    </w:rPr>
  </w:style>
  <w:style w:type="table" w:styleId="TableGrid">
    <w:name w:val="Table Grid"/>
    <w:basedOn w:val="TableNormal"/>
    <w:uiPriority w:val="59"/>
    <w:rsid w:val="00BE03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C0"/>
  </w:style>
  <w:style w:type="paragraph" w:styleId="Footer">
    <w:name w:val="footer"/>
    <w:basedOn w:val="Normal"/>
    <w:link w:val="FooterChar"/>
    <w:uiPriority w:val="99"/>
    <w:unhideWhenUsed/>
    <w:rsid w:val="00CF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1C0"/>
  </w:style>
  <w:style w:type="paragraph" w:styleId="EndnoteText">
    <w:name w:val="endnote text"/>
    <w:basedOn w:val="Normal"/>
    <w:link w:val="EndnoteTextChar"/>
    <w:uiPriority w:val="99"/>
    <w:semiHidden/>
    <w:unhideWhenUsed/>
    <w:rsid w:val="007976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680"/>
    <w:rPr>
      <w:sz w:val="20"/>
      <w:szCs w:val="20"/>
    </w:rPr>
  </w:style>
  <w:style w:type="character" w:styleId="EndnoteReference">
    <w:name w:val="endnote reference"/>
    <w:basedOn w:val="DefaultParagraphFont"/>
    <w:uiPriority w:val="99"/>
    <w:semiHidden/>
    <w:unhideWhenUsed/>
    <w:rsid w:val="00797680"/>
    <w:rPr>
      <w:vertAlign w:val="superscript"/>
    </w:rPr>
  </w:style>
  <w:style w:type="paragraph" w:styleId="NormalWeb">
    <w:name w:val="Normal (Web)"/>
    <w:basedOn w:val="Normal"/>
    <w:uiPriority w:val="99"/>
    <w:unhideWhenUsed/>
    <w:rsid w:val="00750E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6F2E"/>
    <w:rPr>
      <w:i/>
      <w:iCs/>
    </w:rPr>
  </w:style>
  <w:style w:type="character" w:customStyle="1" w:styleId="Heading6Char">
    <w:name w:val="Heading 6 Char"/>
    <w:basedOn w:val="DefaultParagraphFont"/>
    <w:link w:val="Heading6"/>
    <w:uiPriority w:val="9"/>
    <w:rsid w:val="001051CD"/>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1051CD"/>
    <w:rPr>
      <w:color w:val="0000FF"/>
      <w:u w:val="single"/>
    </w:rPr>
  </w:style>
  <w:style w:type="character" w:styleId="Strong">
    <w:name w:val="Strong"/>
    <w:basedOn w:val="DefaultParagraphFont"/>
    <w:uiPriority w:val="22"/>
    <w:qFormat/>
    <w:rsid w:val="001051CD"/>
    <w:rPr>
      <w:b/>
      <w:bCs/>
    </w:rPr>
  </w:style>
  <w:style w:type="character" w:customStyle="1" w:styleId="Heading2Char">
    <w:name w:val="Heading 2 Char"/>
    <w:basedOn w:val="DefaultParagraphFont"/>
    <w:link w:val="Heading2"/>
    <w:uiPriority w:val="9"/>
    <w:semiHidden/>
    <w:rsid w:val="00F5655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315D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5DC9"/>
    <w:rPr>
      <w:rFonts w:ascii="Times New Roman" w:eastAsia="Times New Roman" w:hAnsi="Times New Roman" w:cs="Times New Roman"/>
      <w:sz w:val="24"/>
      <w:szCs w:val="24"/>
    </w:rPr>
  </w:style>
  <w:style w:type="character" w:customStyle="1" w:styleId="hgkelc">
    <w:name w:val="hgkelc"/>
    <w:basedOn w:val="DefaultParagraphFont"/>
    <w:rsid w:val="00656AA5"/>
  </w:style>
  <w:style w:type="paragraph" w:styleId="BalloonText">
    <w:name w:val="Balloon Text"/>
    <w:basedOn w:val="Normal"/>
    <w:link w:val="BalloonTextChar"/>
    <w:uiPriority w:val="99"/>
    <w:semiHidden/>
    <w:unhideWhenUsed/>
    <w:rsid w:val="00E66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568"/>
    <w:rPr>
      <w:rFonts w:ascii="Segoe UI" w:hAnsi="Segoe UI" w:cs="Segoe UI"/>
      <w:sz w:val="18"/>
      <w:szCs w:val="18"/>
    </w:rPr>
  </w:style>
  <w:style w:type="character" w:customStyle="1" w:styleId="Heading1Char">
    <w:name w:val="Heading 1 Char"/>
    <w:basedOn w:val="DefaultParagraphFont"/>
    <w:link w:val="Heading1"/>
    <w:uiPriority w:val="9"/>
    <w:rsid w:val="00BB543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B5789"/>
    <w:pPr>
      <w:spacing w:line="259" w:lineRule="auto"/>
      <w:outlineLvl w:val="9"/>
    </w:pPr>
  </w:style>
  <w:style w:type="character" w:styleId="LineNumber">
    <w:name w:val="line number"/>
    <w:basedOn w:val="DefaultParagraphFont"/>
    <w:uiPriority w:val="99"/>
    <w:semiHidden/>
    <w:unhideWhenUsed/>
    <w:rsid w:val="00D63250"/>
  </w:style>
  <w:style w:type="paragraph" w:styleId="HTMLPreformatted">
    <w:name w:val="HTML Preformatted"/>
    <w:basedOn w:val="Normal"/>
    <w:link w:val="HTMLPreformattedChar"/>
    <w:uiPriority w:val="99"/>
    <w:semiHidden/>
    <w:unhideWhenUsed/>
    <w:rsid w:val="0050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D32"/>
    <w:rPr>
      <w:rFonts w:ascii="Courier New" w:eastAsia="Times New Roman" w:hAnsi="Courier New" w:cs="Courier New"/>
      <w:sz w:val="20"/>
      <w:szCs w:val="20"/>
    </w:rPr>
  </w:style>
  <w:style w:type="character" w:customStyle="1" w:styleId="y2iqfc">
    <w:name w:val="y2iqfc"/>
    <w:basedOn w:val="DefaultParagraphFont"/>
    <w:rsid w:val="0050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559">
      <w:bodyDiv w:val="1"/>
      <w:marLeft w:val="0"/>
      <w:marRight w:val="0"/>
      <w:marTop w:val="0"/>
      <w:marBottom w:val="0"/>
      <w:divBdr>
        <w:top w:val="none" w:sz="0" w:space="0" w:color="auto"/>
        <w:left w:val="none" w:sz="0" w:space="0" w:color="auto"/>
        <w:bottom w:val="none" w:sz="0" w:space="0" w:color="auto"/>
        <w:right w:val="none" w:sz="0" w:space="0" w:color="auto"/>
      </w:divBdr>
      <w:divsChild>
        <w:div w:id="387650591">
          <w:marLeft w:val="0"/>
          <w:marRight w:val="0"/>
          <w:marTop w:val="0"/>
          <w:marBottom w:val="0"/>
          <w:divBdr>
            <w:top w:val="none" w:sz="0" w:space="0" w:color="auto"/>
            <w:left w:val="none" w:sz="0" w:space="0" w:color="auto"/>
            <w:bottom w:val="none" w:sz="0" w:space="0" w:color="auto"/>
            <w:right w:val="none" w:sz="0" w:space="0" w:color="auto"/>
          </w:divBdr>
          <w:divsChild>
            <w:div w:id="12400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692">
      <w:bodyDiv w:val="1"/>
      <w:marLeft w:val="0"/>
      <w:marRight w:val="0"/>
      <w:marTop w:val="0"/>
      <w:marBottom w:val="0"/>
      <w:divBdr>
        <w:top w:val="none" w:sz="0" w:space="0" w:color="auto"/>
        <w:left w:val="none" w:sz="0" w:space="0" w:color="auto"/>
        <w:bottom w:val="none" w:sz="0" w:space="0" w:color="auto"/>
        <w:right w:val="none" w:sz="0" w:space="0" w:color="auto"/>
      </w:divBdr>
    </w:div>
    <w:div w:id="329606148">
      <w:bodyDiv w:val="1"/>
      <w:marLeft w:val="0"/>
      <w:marRight w:val="0"/>
      <w:marTop w:val="0"/>
      <w:marBottom w:val="0"/>
      <w:divBdr>
        <w:top w:val="none" w:sz="0" w:space="0" w:color="auto"/>
        <w:left w:val="none" w:sz="0" w:space="0" w:color="auto"/>
        <w:bottom w:val="none" w:sz="0" w:space="0" w:color="auto"/>
        <w:right w:val="none" w:sz="0" w:space="0" w:color="auto"/>
      </w:divBdr>
      <w:divsChild>
        <w:div w:id="2061896278">
          <w:marLeft w:val="0"/>
          <w:marRight w:val="0"/>
          <w:marTop w:val="0"/>
          <w:marBottom w:val="0"/>
          <w:divBdr>
            <w:top w:val="none" w:sz="0" w:space="0" w:color="auto"/>
            <w:left w:val="none" w:sz="0" w:space="0" w:color="auto"/>
            <w:bottom w:val="none" w:sz="0" w:space="0" w:color="auto"/>
            <w:right w:val="none" w:sz="0" w:space="0" w:color="auto"/>
          </w:divBdr>
          <w:divsChild>
            <w:div w:id="499085009">
              <w:marLeft w:val="0"/>
              <w:marRight w:val="0"/>
              <w:marTop w:val="0"/>
              <w:marBottom w:val="0"/>
              <w:divBdr>
                <w:top w:val="none" w:sz="0" w:space="0" w:color="auto"/>
                <w:left w:val="none" w:sz="0" w:space="0" w:color="auto"/>
                <w:bottom w:val="none" w:sz="0" w:space="0" w:color="auto"/>
                <w:right w:val="none" w:sz="0" w:space="0" w:color="auto"/>
              </w:divBdr>
              <w:divsChild>
                <w:div w:id="2097362051">
                  <w:marLeft w:val="0"/>
                  <w:marRight w:val="0"/>
                  <w:marTop w:val="0"/>
                  <w:marBottom w:val="0"/>
                  <w:divBdr>
                    <w:top w:val="none" w:sz="0" w:space="0" w:color="auto"/>
                    <w:left w:val="none" w:sz="0" w:space="0" w:color="auto"/>
                    <w:bottom w:val="none" w:sz="0" w:space="0" w:color="auto"/>
                    <w:right w:val="none" w:sz="0" w:space="0" w:color="auto"/>
                  </w:divBdr>
                  <w:divsChild>
                    <w:div w:id="7128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96583">
      <w:bodyDiv w:val="1"/>
      <w:marLeft w:val="0"/>
      <w:marRight w:val="0"/>
      <w:marTop w:val="0"/>
      <w:marBottom w:val="0"/>
      <w:divBdr>
        <w:top w:val="none" w:sz="0" w:space="0" w:color="auto"/>
        <w:left w:val="none" w:sz="0" w:space="0" w:color="auto"/>
        <w:bottom w:val="none" w:sz="0" w:space="0" w:color="auto"/>
        <w:right w:val="none" w:sz="0" w:space="0" w:color="auto"/>
      </w:divBdr>
    </w:div>
    <w:div w:id="987592854">
      <w:bodyDiv w:val="1"/>
      <w:marLeft w:val="0"/>
      <w:marRight w:val="0"/>
      <w:marTop w:val="0"/>
      <w:marBottom w:val="0"/>
      <w:divBdr>
        <w:top w:val="none" w:sz="0" w:space="0" w:color="auto"/>
        <w:left w:val="none" w:sz="0" w:space="0" w:color="auto"/>
        <w:bottom w:val="none" w:sz="0" w:space="0" w:color="auto"/>
        <w:right w:val="none" w:sz="0" w:space="0" w:color="auto"/>
      </w:divBdr>
    </w:div>
    <w:div w:id="1135640006">
      <w:bodyDiv w:val="1"/>
      <w:marLeft w:val="0"/>
      <w:marRight w:val="0"/>
      <w:marTop w:val="0"/>
      <w:marBottom w:val="0"/>
      <w:divBdr>
        <w:top w:val="none" w:sz="0" w:space="0" w:color="auto"/>
        <w:left w:val="none" w:sz="0" w:space="0" w:color="auto"/>
        <w:bottom w:val="none" w:sz="0" w:space="0" w:color="auto"/>
        <w:right w:val="none" w:sz="0" w:space="0" w:color="auto"/>
      </w:divBdr>
    </w:div>
    <w:div w:id="1225023477">
      <w:bodyDiv w:val="1"/>
      <w:marLeft w:val="0"/>
      <w:marRight w:val="0"/>
      <w:marTop w:val="0"/>
      <w:marBottom w:val="0"/>
      <w:divBdr>
        <w:top w:val="none" w:sz="0" w:space="0" w:color="auto"/>
        <w:left w:val="none" w:sz="0" w:space="0" w:color="auto"/>
        <w:bottom w:val="none" w:sz="0" w:space="0" w:color="auto"/>
        <w:right w:val="none" w:sz="0" w:space="0" w:color="auto"/>
      </w:divBdr>
    </w:div>
    <w:div w:id="1255940287">
      <w:bodyDiv w:val="1"/>
      <w:marLeft w:val="0"/>
      <w:marRight w:val="0"/>
      <w:marTop w:val="0"/>
      <w:marBottom w:val="0"/>
      <w:divBdr>
        <w:top w:val="none" w:sz="0" w:space="0" w:color="auto"/>
        <w:left w:val="none" w:sz="0" w:space="0" w:color="auto"/>
        <w:bottom w:val="none" w:sz="0" w:space="0" w:color="auto"/>
        <w:right w:val="none" w:sz="0" w:space="0" w:color="auto"/>
      </w:divBdr>
    </w:div>
    <w:div w:id="1684210734">
      <w:bodyDiv w:val="1"/>
      <w:marLeft w:val="0"/>
      <w:marRight w:val="0"/>
      <w:marTop w:val="0"/>
      <w:marBottom w:val="0"/>
      <w:divBdr>
        <w:top w:val="none" w:sz="0" w:space="0" w:color="auto"/>
        <w:left w:val="none" w:sz="0" w:space="0" w:color="auto"/>
        <w:bottom w:val="none" w:sz="0" w:space="0" w:color="auto"/>
        <w:right w:val="none" w:sz="0" w:space="0" w:color="auto"/>
      </w:divBdr>
      <w:divsChild>
        <w:div w:id="517503094">
          <w:marLeft w:val="0"/>
          <w:marRight w:val="0"/>
          <w:marTop w:val="0"/>
          <w:marBottom w:val="0"/>
          <w:divBdr>
            <w:top w:val="none" w:sz="0" w:space="0" w:color="auto"/>
            <w:left w:val="none" w:sz="0" w:space="0" w:color="auto"/>
            <w:bottom w:val="none" w:sz="0" w:space="0" w:color="auto"/>
            <w:right w:val="none" w:sz="0" w:space="0" w:color="auto"/>
          </w:divBdr>
        </w:div>
      </w:divsChild>
    </w:div>
    <w:div w:id="1939874481">
      <w:bodyDiv w:val="1"/>
      <w:marLeft w:val="0"/>
      <w:marRight w:val="0"/>
      <w:marTop w:val="0"/>
      <w:marBottom w:val="0"/>
      <w:divBdr>
        <w:top w:val="none" w:sz="0" w:space="0" w:color="auto"/>
        <w:left w:val="none" w:sz="0" w:space="0" w:color="auto"/>
        <w:bottom w:val="none" w:sz="0" w:space="0" w:color="auto"/>
        <w:right w:val="none" w:sz="0" w:space="0" w:color="auto"/>
      </w:divBdr>
    </w:div>
    <w:div w:id="2057391478">
      <w:bodyDiv w:val="1"/>
      <w:marLeft w:val="0"/>
      <w:marRight w:val="0"/>
      <w:marTop w:val="0"/>
      <w:marBottom w:val="0"/>
      <w:divBdr>
        <w:top w:val="none" w:sz="0" w:space="0" w:color="auto"/>
        <w:left w:val="none" w:sz="0" w:space="0" w:color="auto"/>
        <w:bottom w:val="none" w:sz="0" w:space="0" w:color="auto"/>
        <w:right w:val="none" w:sz="0" w:space="0" w:color="auto"/>
      </w:divBdr>
      <w:divsChild>
        <w:div w:id="630593361">
          <w:marLeft w:val="0"/>
          <w:marRight w:val="0"/>
          <w:marTop w:val="0"/>
          <w:marBottom w:val="0"/>
          <w:divBdr>
            <w:top w:val="none" w:sz="0" w:space="0" w:color="auto"/>
            <w:left w:val="none" w:sz="0" w:space="0" w:color="auto"/>
            <w:bottom w:val="none" w:sz="0" w:space="0" w:color="auto"/>
            <w:right w:val="none" w:sz="0" w:space="0" w:color="auto"/>
          </w:divBdr>
          <w:divsChild>
            <w:div w:id="459691348">
              <w:marLeft w:val="0"/>
              <w:marRight w:val="0"/>
              <w:marTop w:val="0"/>
              <w:marBottom w:val="0"/>
              <w:divBdr>
                <w:top w:val="none" w:sz="0" w:space="0" w:color="auto"/>
                <w:left w:val="none" w:sz="0" w:space="0" w:color="auto"/>
                <w:bottom w:val="none" w:sz="0" w:space="0" w:color="auto"/>
                <w:right w:val="none" w:sz="0" w:space="0" w:color="auto"/>
              </w:divBdr>
            </w:div>
          </w:divsChild>
        </w:div>
        <w:div w:id="939408661">
          <w:marLeft w:val="0"/>
          <w:marRight w:val="0"/>
          <w:marTop w:val="0"/>
          <w:marBottom w:val="0"/>
          <w:divBdr>
            <w:top w:val="none" w:sz="0" w:space="0" w:color="auto"/>
            <w:left w:val="none" w:sz="0" w:space="0" w:color="auto"/>
            <w:bottom w:val="none" w:sz="0" w:space="0" w:color="auto"/>
            <w:right w:val="none" w:sz="0" w:space="0" w:color="auto"/>
          </w:divBdr>
          <w:divsChild>
            <w:div w:id="5555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6A855-DB58-4A1A-916B-DE14081E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AUTOBOT</dc:creator>
  <cp:keywords/>
  <dc:description/>
  <cp:lastModifiedBy>DELL</cp:lastModifiedBy>
  <cp:revision>2</cp:revision>
  <cp:lastPrinted>2022-06-28T15:17:00Z</cp:lastPrinted>
  <dcterms:created xsi:type="dcterms:W3CDTF">2022-08-05T01:38:00Z</dcterms:created>
  <dcterms:modified xsi:type="dcterms:W3CDTF">2022-08-05T01:38:00Z</dcterms:modified>
</cp:coreProperties>
</file>