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13A0" w14:textId="77777777" w:rsidR="00450B4E" w:rsidRDefault="00450B4E" w:rsidP="00450B4E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06735361"/>
      <w:r w:rsidRPr="00E64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BAB I </w:t>
      </w:r>
    </w:p>
    <w:p w14:paraId="2026DBEF" w14:textId="77777777" w:rsidR="00450B4E" w:rsidRPr="00244F2A" w:rsidRDefault="00450B4E" w:rsidP="00450B4E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4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  <w:bookmarkEnd w:id="0"/>
    </w:p>
    <w:p w14:paraId="0DD02E94" w14:textId="77777777" w:rsidR="00450B4E" w:rsidRPr="00FD6C09" w:rsidRDefault="00450B4E" w:rsidP="00450B4E">
      <w:pPr>
        <w:spacing w:line="48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79393" w14:textId="77777777" w:rsidR="00450B4E" w:rsidRPr="00284278" w:rsidRDefault="00450B4E" w:rsidP="00450B4E">
      <w:pPr>
        <w:pStyle w:val="Heading2"/>
        <w:numPr>
          <w:ilvl w:val="0"/>
          <w:numId w:val="6"/>
        </w:numPr>
        <w:tabs>
          <w:tab w:val="num" w:pos="360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" w:name="_Toc106735362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Latar </w:t>
      </w:r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Belakang</w:t>
      </w:r>
      <w:bookmarkEnd w:id="1"/>
      <w:proofErr w:type="spellEnd"/>
    </w:p>
    <w:p w14:paraId="00051D89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Wakaf yang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sedekah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dibolehkan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ajaran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amalan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akan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pahalanya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sampai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kemaslahatan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itu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cara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sumber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tabungan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bidang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sosial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materi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dan spiritual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arah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makmur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baldatun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thayyibatun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wa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rabbun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gaffur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14:paraId="5F4ACDE9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Wakaf, yang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properti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berhenti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setelah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diikrarkan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pribadi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umum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bentuk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mu'amal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dibuat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jauh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sebelum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turunnya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Islam.</w:t>
      </w:r>
      <w:r w:rsidRPr="00BD5A9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hanya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saja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agama.</w:t>
      </w:r>
      <w:r w:rsidRPr="00BD5A9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Wujudnya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tempat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ibadah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berupa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Masjid Al-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Aqsha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dan Masjid Al-Haram.</w:t>
      </w:r>
      <w:r w:rsidRPr="00BD5A9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kedua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tempat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ibadah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adanya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bentuk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muamalah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meskipun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saat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itu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belum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disebut</w:t>
      </w:r>
      <w:proofErr w:type="spellEnd"/>
      <w:r w:rsidRPr="00BD5A9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9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3CA45E0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i/>
          <w:iCs/>
          <w:sz w:val="24"/>
          <w:szCs w:val="24"/>
        </w:rPr>
      </w:pPr>
      <w:r w:rsidRPr="00090346">
        <w:rPr>
          <w:rStyle w:val="q4iawc"/>
          <w:rFonts w:ascii="Times New Roman" w:hAnsi="Times New Roman" w:cs="Times New Roman"/>
          <w:sz w:val="24"/>
          <w:szCs w:val="24"/>
        </w:rPr>
        <w:lastRenderedPageBreak/>
        <w:t xml:space="preserve">Wakaf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berarti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pribadi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milik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alam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semesta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yaitu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Allah SWT.</w:t>
      </w:r>
      <w:r w:rsidRPr="00090346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Pasal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40 UU No. 41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Wakaf,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penukaran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Wakaf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dilarang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keras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090346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Allah SWT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firman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-Nya di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090346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Surah Ali Imran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sz w:val="24"/>
          <w:szCs w:val="24"/>
        </w:rPr>
        <w:t>ayat</w:t>
      </w:r>
      <w:proofErr w:type="spellEnd"/>
      <w:r w:rsidRPr="00090346">
        <w:rPr>
          <w:rStyle w:val="q4iawc"/>
          <w:rFonts w:ascii="Times New Roman" w:hAnsi="Times New Roman" w:cs="Times New Roman"/>
          <w:sz w:val="24"/>
          <w:szCs w:val="24"/>
        </w:rPr>
        <w:t xml:space="preserve"> 92: </w:t>
      </w:r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"Jika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menafkahkan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sebagian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pilih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akan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mencapai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kebaikan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sempurna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). Dan Allah Maha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Mengetahui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semua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nafkahkan</w:t>
      </w:r>
      <w:proofErr w:type="spellEnd"/>
      <w:r w:rsidRPr="00090346">
        <w:rPr>
          <w:rStyle w:val="q4iawc"/>
          <w:rFonts w:ascii="Times New Roman" w:hAnsi="Times New Roman" w:cs="Times New Roman"/>
          <w:i/>
          <w:iCs/>
          <w:sz w:val="24"/>
          <w:szCs w:val="24"/>
        </w:rPr>
        <w:t>."</w:t>
      </w:r>
    </w:p>
    <w:p w14:paraId="11E78F19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Banyak negara Muslim di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seluruh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unik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waktu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ke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waktu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1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884813">
        <w:rPr>
          <w:rStyle w:val="q4iawc"/>
          <w:rFonts w:ascii="Times New Roman" w:hAnsi="Times New Roman" w:cs="Times New Roman"/>
          <w:sz w:val="24"/>
          <w:szCs w:val="24"/>
        </w:rPr>
        <w:t>.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0DCA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contoh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Badan Wakaf Indonesia (BWI) yang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amanat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UU No. 41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Wakaf. Tujuan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dibuatnya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Badan Wakaf Indonesia (BWI)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didalam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Pasal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yaitu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pemajuan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pe</w:t>
      </w:r>
      <w:r>
        <w:rPr>
          <w:rStyle w:val="q4iawc"/>
          <w:rFonts w:ascii="Times New Roman" w:hAnsi="Times New Roman" w:cs="Times New Roman"/>
          <w:sz w:val="24"/>
          <w:szCs w:val="24"/>
        </w:rPr>
        <w:t>rkembangan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Wakaf 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A">
        <w:rPr>
          <w:rStyle w:val="q4iawc"/>
          <w:rFonts w:ascii="Times New Roman" w:hAnsi="Times New Roman" w:cs="Times New Roman"/>
          <w:sz w:val="24"/>
          <w:szCs w:val="24"/>
        </w:rPr>
        <w:t>ada</w:t>
      </w:r>
      <w:proofErr w:type="spellEnd"/>
      <w:r w:rsidRPr="00610DCA">
        <w:rPr>
          <w:rStyle w:val="q4iawc"/>
          <w:rFonts w:ascii="Times New Roman" w:hAnsi="Times New Roman" w:cs="Times New Roman"/>
          <w:sz w:val="24"/>
          <w:szCs w:val="24"/>
        </w:rPr>
        <w:t xml:space="preserve"> di Indonesia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</w:p>
    <w:p w14:paraId="7B697B0F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Sejak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Islam di Indonesia,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mulai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meyakini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Islam.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Nomor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1977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Wakaf Tanah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Sendiri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, yang juga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Nomor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Wakaf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Nomor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perlu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perwakafan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agrarian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Nomor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1960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Pokok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Agraria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Islam pada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lahir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batin</w:t>
      </w:r>
      <w:proofErr w:type="spellEnd"/>
      <w:r w:rsidRPr="008A5D6E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8A2EB82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 xml:space="preserve">Wakaf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Wakaf juga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mmberi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nadzir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peruntukan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mauquf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alaih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denga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kepengurusan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3D3193D9" w14:textId="77777777" w:rsidR="00450B4E" w:rsidRPr="00052DF8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44"/>
          <w:szCs w:val="44"/>
        </w:rPr>
      </w:pPr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Wakaf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sesuai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Islam Indonesia,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295">
        <w:rPr>
          <w:rStyle w:val="q4iawc"/>
          <w:rFonts w:ascii="Times New Roman" w:hAnsi="Times New Roman" w:cs="Times New Roman"/>
          <w:sz w:val="24"/>
          <w:szCs w:val="24"/>
        </w:rPr>
        <w:t>prinsip</w:t>
      </w:r>
      <w:proofErr w:type="spellEnd"/>
      <w:r w:rsidRPr="00663295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>adat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Syafi'i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>.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</w:t>
      </w:r>
      <w:r w:rsidRPr="000F0F43">
        <w:rPr>
          <w:rStyle w:val="q4iawc"/>
          <w:rFonts w:ascii="Times New Roman" w:hAnsi="Times New Roman" w:cs="Times New Roman"/>
          <w:sz w:val="24"/>
          <w:szCs w:val="24"/>
        </w:rPr>
        <w:t>engacu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Wakaf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sebelum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Nomor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1977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Peralihan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Tanah dan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Nomor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1960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Pokok</w:t>
      </w:r>
      <w:proofErr w:type="spellEnd"/>
      <w:r w:rsidRPr="000F0F4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43">
        <w:rPr>
          <w:rStyle w:val="q4iawc"/>
          <w:rFonts w:ascii="Times New Roman" w:hAnsi="Times New Roman" w:cs="Times New Roman"/>
          <w:sz w:val="24"/>
          <w:szCs w:val="24"/>
        </w:rPr>
        <w:t>Agraria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Muslim Indonesia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terus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adat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adat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menghalangi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tepat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bersama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lisan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hadapan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ada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berani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lastRenderedPageBreak/>
        <w:t>campu</w:t>
      </w:r>
      <w:r>
        <w:rPr>
          <w:rStyle w:val="q4iawc"/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Allah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 SWT</w:t>
      </w:r>
      <w:r w:rsidRPr="00052DF8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052DF8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tampaknya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mudah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kontroversial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karena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ada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bukti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jelas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bahwa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052DF8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F8">
        <w:rPr>
          <w:rStyle w:val="q4iawc"/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</w:p>
    <w:p w14:paraId="3201B975" w14:textId="77777777" w:rsidR="00450B4E" w:rsidRPr="00976E8D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Wakaf di Indonesia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lebih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976E8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Artinya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selain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tetapi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Hukum Tanah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berlaku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jika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benda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kekal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abadi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bergerak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benda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berharga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banyak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serta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nilai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ekonomi</w:t>
      </w:r>
      <w:r>
        <w:rPr>
          <w:rStyle w:val="q4iawc"/>
          <w:rFonts w:ascii="Times New Roman" w:hAnsi="Times New Roman" w:cs="Times New Roman"/>
          <w:sz w:val="24"/>
          <w:szCs w:val="24"/>
        </w:rPr>
        <w:t>s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tinggi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976E8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Ini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se</w:t>
      </w:r>
      <w:r>
        <w:rPr>
          <w:rStyle w:val="q4iawc"/>
          <w:rFonts w:ascii="Times New Roman" w:hAnsi="Times New Roman" w:cs="Times New Roman"/>
          <w:sz w:val="24"/>
          <w:szCs w:val="24"/>
        </w:rPr>
        <w:t>rta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pand</w:t>
      </w:r>
      <w:r>
        <w:rPr>
          <w:rStyle w:val="q4iawc"/>
          <w:rFonts w:ascii="Times New Roman" w:hAnsi="Times New Roman" w:cs="Times New Roman"/>
          <w:sz w:val="24"/>
          <w:szCs w:val="24"/>
        </w:rPr>
        <w:t>angan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Nadzir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976E8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Padahal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jika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kita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bisa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ada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peluang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besar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Muslim.</w:t>
      </w:r>
      <w:r w:rsidRPr="00976E8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Secara umum, 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>h</w:t>
      </w:r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tentunya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pengingat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Wakaf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itu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sendiri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namun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menyoroti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betapa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urgen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menata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sumber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daya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terkait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Wakaf agar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lestari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q4iawc"/>
          <w:rFonts w:ascii="Times New Roman" w:hAnsi="Times New Roman" w:cs="Times New Roman"/>
          <w:sz w:val="24"/>
          <w:szCs w:val="24"/>
        </w:rPr>
        <w:t>Bagi</w:t>
      </w:r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kemaslahatan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uma</w:t>
      </w:r>
      <w:r>
        <w:rPr>
          <w:rStyle w:val="q4iawc"/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lainnya</w:t>
      </w:r>
      <w:proofErr w:type="spellEnd"/>
      <w:r w:rsidRPr="00976E8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76E8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07349E3D" w14:textId="77777777" w:rsidR="00450B4E" w:rsidRPr="00FD6C09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E8D">
        <w:rPr>
          <w:rStyle w:val="q4iawc"/>
          <w:rFonts w:ascii="Times New Roman" w:hAnsi="Times New Roman" w:cs="Times New Roman"/>
          <w:sz w:val="24"/>
          <w:szCs w:val="24"/>
        </w:rPr>
        <w:t>Indonesia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wakafnya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masih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selalu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besar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karena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masih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banyak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aset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masih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terbengkalai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976E8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lastRenderedPageBreak/>
        <w:t>dikarenakan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hanya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bangunan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tanpa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biaya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pengelolanya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kurang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mengelolanya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976E8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, Wakaf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peran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kecil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ekonomi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Indonesia.</w:t>
      </w:r>
      <w:r w:rsidRPr="00976E8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data Sistem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Wakaf Kementerian Agama (SIWAK) per 29 September 2021,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potensi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414.829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bidang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seluas</w:t>
      </w:r>
      <w:proofErr w:type="spellEnd"/>
      <w:r w:rsidRPr="00976E8D">
        <w:rPr>
          <w:rStyle w:val="q4iawc"/>
          <w:rFonts w:ascii="Times New Roman" w:hAnsi="Times New Roman" w:cs="Times New Roman"/>
          <w:sz w:val="24"/>
          <w:szCs w:val="24"/>
        </w:rPr>
        <w:t xml:space="preserve"> 55.259,87 </w:t>
      </w:r>
      <w:proofErr w:type="spellStart"/>
      <w:r w:rsidRPr="00976E8D">
        <w:rPr>
          <w:rStyle w:val="q4iawc"/>
          <w:rFonts w:ascii="Times New Roman" w:hAnsi="Times New Roman" w:cs="Times New Roman"/>
          <w:sz w:val="24"/>
          <w:szCs w:val="24"/>
        </w:rPr>
        <w:t>hektar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. Badan Wakaf Indonesia (BWI)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tunai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sebesar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Rp 180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triliun</w:t>
      </w:r>
      <w:proofErr w:type="spellEnd"/>
      <w:r w:rsidRPr="00565C2A">
        <w:rPr>
          <w:rStyle w:val="q4iawc"/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65C2A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Melainkan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dioptimalisasikan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8A750BF" w14:textId="77777777" w:rsidR="00450B4E" w:rsidRPr="00274C53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Harta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peran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penting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tetapi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terlalu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kecil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mungkin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karena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terbatas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274C53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peran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cukup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besar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jika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potensi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Islam.</w:t>
      </w:r>
      <w:r w:rsidRPr="00274C53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Namun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penyebarannya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hampir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terbatas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yaitu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masjid, madrasah,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panti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asuhan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kuburan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274C53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sedikit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dibelanjakan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lastRenderedPageBreak/>
        <w:t>ekonomi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274C53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jenis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jenis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kebaikan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menyebarluaskan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hasil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274C5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53">
        <w:rPr>
          <w:rStyle w:val="q4iawc"/>
          <w:rFonts w:ascii="Times New Roman" w:hAnsi="Times New Roman" w:cs="Times New Roman"/>
          <w:sz w:val="24"/>
          <w:szCs w:val="24"/>
        </w:rPr>
        <w:t>terbatas</w:t>
      </w:r>
      <w:proofErr w:type="spellEnd"/>
      <w:r w:rsidRPr="00274C53">
        <w:rPr>
          <w:rFonts w:ascii="Times New Roman" w:hAnsi="Times New Roman" w:cs="Times New Roman"/>
          <w:sz w:val="24"/>
          <w:szCs w:val="24"/>
        </w:rPr>
        <w:t>.</w:t>
      </w:r>
      <w:r w:rsidRPr="00274C5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15D166E9" w14:textId="77777777" w:rsidR="00450B4E" w:rsidRPr="00FD6C09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Nadzir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bercermin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negara-negara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wakafnya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insya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permasalahan-permasalahan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tengah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>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financial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social yang lain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</w:p>
    <w:p w14:paraId="1D65C2FA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Wakaf Indonesia pada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itu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ter</w:t>
      </w:r>
      <w:r w:rsidRPr="0066106A">
        <w:rPr>
          <w:rStyle w:val="q4iawc"/>
          <w:rFonts w:ascii="Times New Roman" w:hAnsi="Times New Roman" w:cs="Times New Roman"/>
          <w:sz w:val="24"/>
          <w:szCs w:val="24"/>
        </w:rPr>
        <w:t>penting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adapun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ter</w:t>
      </w:r>
      <w:r>
        <w:rPr>
          <w:rStyle w:val="q4iawc"/>
          <w:rFonts w:ascii="Times New Roman" w:hAnsi="Times New Roman" w:cs="Times New Roman"/>
          <w:sz w:val="24"/>
          <w:szCs w:val="24"/>
        </w:rPr>
        <w:t>paut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disahkannya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UU Wakaf No. 41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Pasal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47 Ayat 1 UU Wakaf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Badan Wakaf Indonesia (BWI) yang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tujuan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</w:t>
      </w:r>
      <w:r>
        <w:rPr>
          <w:rStyle w:val="q4iawc"/>
          <w:rFonts w:ascii="Times New Roman" w:hAnsi="Times New Roman" w:cs="Times New Roman"/>
          <w:sz w:val="24"/>
          <w:szCs w:val="24"/>
        </w:rPr>
        <w:t>ngutara</w:t>
      </w:r>
      <w:r w:rsidRPr="0066106A">
        <w:rPr>
          <w:rStyle w:val="q4iawc"/>
          <w:rFonts w:ascii="Times New Roman" w:hAnsi="Times New Roman" w:cs="Times New Roman"/>
          <w:sz w:val="24"/>
          <w:szCs w:val="24"/>
        </w:rPr>
        <w:t>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alasan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Dewan Wakaf Indonesia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, Badan Wakaf Indonesia (BWI)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tanggung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jawabnya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>. Agar Badan Wakaf Indonesia (BWI)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lebih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fungsi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lastRenderedPageBreak/>
        <w:t>kewajibannya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harus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didukung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kokoh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tahan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lama.</w:t>
      </w:r>
    </w:p>
    <w:p w14:paraId="63F5AB7D" w14:textId="77777777" w:rsidR="00450B4E" w:rsidRDefault="00450B4E" w:rsidP="00450B4E">
      <w:pPr>
        <w:spacing w:line="480" w:lineRule="auto"/>
        <w:ind w:left="720" w:firstLine="72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Kementerian Agama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Indonesia juga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Badan Wakaf Indonesia (BWI).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Pasal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Wakaf Ayat 2 yang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bahwa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BWI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otonom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pencairan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praktis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terkait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selain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Badan Wakaf Indonesia (BWI).</w:t>
      </w:r>
    </w:p>
    <w:p w14:paraId="62C0BCDD" w14:textId="77777777" w:rsidR="00450B4E" w:rsidRPr="00796E01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UU Wakaf No. 41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oleh Badan Wakaf Indonesia (BWI). Badan Wakaf Indonesia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bertugas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di Indonesia (BWI).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Menuruti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No. 75/M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Tahun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awalnya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anggota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BWI (Keputusan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) Bangkok, 13 </w:t>
      </w:r>
      <w:proofErr w:type="spellStart"/>
      <w:r w:rsidRPr="0066106A">
        <w:rPr>
          <w:rStyle w:val="q4iawc"/>
          <w:rFonts w:ascii="Times New Roman" w:hAnsi="Times New Roman" w:cs="Times New Roman"/>
          <w:sz w:val="24"/>
          <w:szCs w:val="24"/>
        </w:rPr>
        <w:t>Juli</w:t>
      </w:r>
      <w:proofErr w:type="spellEnd"/>
      <w:r w:rsidRPr="0066106A">
        <w:rPr>
          <w:rStyle w:val="q4iawc"/>
          <w:rFonts w:ascii="Times New Roman" w:hAnsi="Times New Roman" w:cs="Times New Roman"/>
          <w:sz w:val="24"/>
          <w:szCs w:val="24"/>
        </w:rPr>
        <w:t xml:space="preserve"> 2007</w:t>
      </w:r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Tumbuh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kembangnya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jawab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Badan Wakaf Indonesia yang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otonom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jawab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kepada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publik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d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penguasa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796E01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di Brunei Darussalam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kepada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Agama Islam Brunei Darussalam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Negara Brunei Darussalam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yaitu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serta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01">
        <w:rPr>
          <w:rStyle w:val="q4iawc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96E01">
        <w:rPr>
          <w:rStyle w:val="q4iawc"/>
          <w:rFonts w:ascii="Times New Roman" w:hAnsi="Times New Roman" w:cs="Times New Roman"/>
          <w:sz w:val="24"/>
          <w:szCs w:val="24"/>
        </w:rPr>
        <w:t xml:space="preserve"> Kadi 77 pada Bab 98 dan 100.</w:t>
      </w:r>
    </w:p>
    <w:p w14:paraId="171A5E0D" w14:textId="77777777" w:rsidR="00450B4E" w:rsidRPr="00686C45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 xml:space="preserve">Dunia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terkaya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saat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terkenal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kepatuhannya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ketat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lastRenderedPageBreak/>
        <w:t>kehidupan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Praktek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Brunei sangat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dijunjung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tinggi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negara.</w:t>
      </w:r>
      <w:r w:rsidRPr="00686C45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di Brunei,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Nadzir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mengacu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ilmu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fiqih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muslim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C45">
        <w:rPr>
          <w:rStyle w:val="q4iawc"/>
          <w:rFonts w:ascii="Times New Roman" w:hAnsi="Times New Roman" w:cs="Times New Roman"/>
          <w:sz w:val="24"/>
          <w:szCs w:val="24"/>
        </w:rPr>
        <w:t>setempat</w:t>
      </w:r>
      <w:proofErr w:type="spellEnd"/>
      <w:r w:rsidRPr="00686C45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14:paraId="6996E48C" w14:textId="77777777" w:rsidR="00450B4E" w:rsidRPr="00FD6C09" w:rsidRDefault="00450B4E" w:rsidP="00450B4E">
      <w:pPr>
        <w:spacing w:line="480" w:lineRule="auto"/>
        <w:ind w:left="720"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  <w:r w:rsidRPr="00FD6C0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Brunei Darussalam, </w:t>
      </w:r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Dewan Agama Islam dan Dewan Adat Negara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ada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secara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terpisah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tetapi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mereka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dilebur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satu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yaitu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Agama dan Adat Negara.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Menyusul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diundangkannya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Brunei 1959,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Majelis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Ugama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Islam Brunei (MUIB)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berdiri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sendiri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belum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menyatu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Pabean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>. Peran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Majelis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Ugama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Islam Brunei (MUIB)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saat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ini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lebih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penting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bagi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karena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Majelis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Ugama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Islam Brunei (MUIB)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jawab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untuk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arahan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bagi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untuk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berperan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Majelis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Ugama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Islam Brunei (MUIB)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bawah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Sultan.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Implikasinya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setiap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dibuat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oleh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Majelis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Ugama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Islam Brunei (MUIB)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harus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kepada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Sultan oleh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Presiden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Dewan dan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oleh Yang Mulia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sebelum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apa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diteruskan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ke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"/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D6C09">
        <w:rPr>
          <w:rStyle w:val="jlqj4b"/>
          <w:rFonts w:ascii="Times New Roman" w:hAnsi="Times New Roman" w:cs="Times New Roman"/>
          <w:sz w:val="24"/>
          <w:szCs w:val="24"/>
        </w:rPr>
        <w:t xml:space="preserve"> Agama.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5CCAC82B" w14:textId="77777777" w:rsidR="00450B4E" w:rsidRPr="00EE389E" w:rsidRDefault="00450B4E" w:rsidP="00450B4E">
      <w:pPr>
        <w:spacing w:line="480" w:lineRule="auto"/>
        <w:ind w:left="720" w:firstLine="720"/>
        <w:jc w:val="both"/>
        <w:rPr>
          <w:rStyle w:val="jlqj4bchmk0b"/>
          <w:rFonts w:ascii="Times New Roman" w:hAnsi="Times New Roman" w:cs="Times New Roman"/>
          <w:sz w:val="24"/>
          <w:szCs w:val="24"/>
        </w:rPr>
      </w:pPr>
      <w:r w:rsidRPr="00EE389E">
        <w:rPr>
          <w:rStyle w:val="jlqj4bchmk0b"/>
          <w:rFonts w:ascii="Times New Roman" w:hAnsi="Times New Roman" w:cs="Times New Roman"/>
          <w:sz w:val="24"/>
          <w:szCs w:val="24"/>
        </w:rPr>
        <w:lastRenderedPageBreak/>
        <w:t xml:space="preserve">Brunei Darussalam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dalam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harta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wakafnya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bawah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Dewan Agama Islam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jawab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atas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tugas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E389E">
        <w:rPr>
          <w:rStyle w:val="jlqj4bchmk0b"/>
          <w:rFonts w:ascii="Times New Roman" w:hAnsi="Times New Roman" w:cs="Times New Roman"/>
          <w:sz w:val="24"/>
          <w:szCs w:val="24"/>
        </w:rPr>
        <w:t>.</w:t>
      </w:r>
      <w:r w:rsidRPr="00EE389E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Divisi Wakaf dan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Baitulmal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yang salah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satunya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jawab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kepada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>Badan</w:t>
      </w:r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Agama Islam Brunei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aset-aset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Wakaf yang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di Badan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Islam Brunei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 (MUIB)</w:t>
      </w:r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itu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kepada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berbeda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bekerja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sama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baitulmal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jenis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niat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si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pemberi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Agama Islam Brunei (MUIB)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kekayaan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>agrarian (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>)</w:t>
      </w:r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(masjid),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uang, dan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barang</w:t>
      </w:r>
      <w:proofErr w:type="spellEnd"/>
      <w:r w:rsidRPr="003D2541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2541">
        <w:rPr>
          <w:rStyle w:val="q4iawc"/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Muslim di negara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Sultan Brunei,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di</w:t>
      </w:r>
      <w:r w:rsidRPr="00EE389E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hal-hal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masjid,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pengentasan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Posisi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ekonomi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kuat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Brunei dan negara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standar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hidup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baik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Muslim,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pajak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ada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pajak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Brunei 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besar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warga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bulanan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nyaman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pengurus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Islam Brunei (MUIB) di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bawah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Sultan Brunei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bidang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Islam dan Wakaf.</w:t>
      </w:r>
      <w:r w:rsidRPr="00EE389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6A6DF661" w14:textId="77777777" w:rsidR="00450B4E" w:rsidRPr="00FD6C09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1D3">
        <w:rPr>
          <w:rStyle w:val="jlqj4bchmk0b"/>
          <w:rFonts w:ascii="Times New Roman" w:hAnsi="Times New Roman" w:cs="Times New Roman"/>
          <w:sz w:val="24"/>
          <w:szCs w:val="24"/>
        </w:rPr>
        <w:lastRenderedPageBreak/>
        <w:t xml:space="preserve">Ada </w:t>
      </w:r>
      <w:r>
        <w:rPr>
          <w:rStyle w:val="jlqj4bchmk0b"/>
          <w:rFonts w:ascii="Times New Roman" w:hAnsi="Times New Roman" w:cs="Times New Roman"/>
          <w:sz w:val="24"/>
          <w:szCs w:val="24"/>
          <w:lang w:val="id-ID"/>
        </w:rPr>
        <w:t>beberapa</w:t>
      </w:r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>bentuk</w:t>
      </w:r>
      <w:proofErr w:type="spellEnd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 xml:space="preserve"> Wakaf di </w:t>
      </w:r>
      <w:proofErr w:type="spellStart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>bawah</w:t>
      </w:r>
      <w:proofErr w:type="spellEnd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>kendali</w:t>
      </w:r>
      <w:proofErr w:type="spellEnd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B221D3">
        <w:rPr>
          <w:rStyle w:val="jlqj4bchmk0b"/>
          <w:rFonts w:ascii="Times New Roman" w:hAnsi="Times New Roman" w:cs="Times New Roman"/>
          <w:sz w:val="24"/>
          <w:szCs w:val="24"/>
        </w:rPr>
        <w:t xml:space="preserve"> Agama Islam, </w:t>
      </w:r>
      <w:r>
        <w:rPr>
          <w:rStyle w:val="jlqj4bchmk0b"/>
          <w:rFonts w:ascii="Times New Roman" w:hAnsi="Times New Roman" w:cs="Times New Roman"/>
          <w:sz w:val="24"/>
          <w:szCs w:val="24"/>
          <w:lang w:val="id-ID"/>
        </w:rPr>
        <w:t>yakni</w:t>
      </w:r>
      <w:r>
        <w:rPr>
          <w:rStyle w:val="jlqj4bchmk0b"/>
          <w:rFonts w:ascii="Times New Roman" w:hAnsi="Times New Roman" w:cs="Times New Roman"/>
          <w:sz w:val="24"/>
          <w:szCs w:val="24"/>
        </w:rPr>
        <w:t xml:space="preserve"> Wakaf Khas dan Wakaf Am</w:t>
      </w:r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Berikut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chmk0b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data asset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chmk0b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chmk0b"/>
          <w:rFonts w:ascii="Times New Roman" w:hAnsi="Times New Roman" w:cs="Times New Roman"/>
          <w:sz w:val="24"/>
          <w:szCs w:val="24"/>
        </w:rPr>
        <w:t>pewakif</w:t>
      </w:r>
      <w:proofErr w:type="spellEnd"/>
      <w:r>
        <w:rPr>
          <w:rStyle w:val="jlqj4bchmk0b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jlqj4bchmk0b"/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di Brunei Darussalam, Wakaf Khas yang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masjid,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kuburan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ugama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113,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Wakaf Am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tanah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sudah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FD6C09">
        <w:rPr>
          <w:rStyle w:val="jlqj4bchmk0b"/>
          <w:rFonts w:ascii="Times New Roman" w:hAnsi="Times New Roman" w:cs="Times New Roman"/>
          <w:sz w:val="24"/>
          <w:szCs w:val="24"/>
        </w:rPr>
        <w:t xml:space="preserve"> 7. 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Wakaf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modal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memajukan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pekembangan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agama. Wakaf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iperbolehkan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pidahkan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pemb</w:t>
      </w:r>
      <w:r>
        <w:rPr>
          <w:rFonts w:ascii="Times New Roman" w:hAnsi="Times New Roman" w:cs="Times New Roman"/>
          <w:sz w:val="24"/>
          <w:szCs w:val="24"/>
          <w:lang w:val="en-US"/>
        </w:rPr>
        <w:t>ahasan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</w:t>
      </w:r>
      <w:r>
        <w:rPr>
          <w:rFonts w:ascii="Times New Roman" w:hAnsi="Times New Roman" w:cs="Times New Roman"/>
          <w:sz w:val="24"/>
          <w:szCs w:val="24"/>
          <w:lang w:val="en-US"/>
        </w:rPr>
        <w:t>rkait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>embangan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1791E280" w14:textId="77777777" w:rsidR="00450B4E" w:rsidRPr="00EE389E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7947786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keadilan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nilai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tetapi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nyata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389E">
        <w:rPr>
          <w:rStyle w:val="q4iawc"/>
          <w:rFonts w:ascii="Times New Roman" w:hAnsi="Times New Roman" w:cs="Times New Roman"/>
          <w:sz w:val="24"/>
          <w:szCs w:val="24"/>
        </w:rPr>
        <w:t>positif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EE389E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Wakaf,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terkasih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cuma-cuma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semua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ibadah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ko</w:t>
      </w:r>
      <w:r>
        <w:rPr>
          <w:rStyle w:val="q4iawc"/>
          <w:rFonts w:ascii="Times New Roman" w:hAnsi="Times New Roman" w:cs="Times New Roman"/>
          <w:sz w:val="24"/>
          <w:szCs w:val="24"/>
        </w:rPr>
        <w:t>nkret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sosial</w:t>
      </w:r>
      <w:proofErr w:type="spellEnd"/>
      <w:r w:rsidRPr="00EE389E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bookmarkEnd w:id="3"/>
    <w:p w14:paraId="52AAF442" w14:textId="77777777" w:rsidR="00450B4E" w:rsidRPr="0056094A" w:rsidRDefault="00450B4E" w:rsidP="00450B4E">
      <w:pPr>
        <w:spacing w:line="480" w:lineRule="auto"/>
        <w:ind w:left="720"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Wakaf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ekonomi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keadilan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utama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pribadi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ke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selama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56094A">
        <w:rPr>
          <w:rStyle w:val="q4iawc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6094A">
        <w:rPr>
          <w:rStyle w:val="q4iawc"/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6094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4A"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6094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4A">
        <w:rPr>
          <w:rStyle w:val="q4iawc"/>
          <w:rFonts w:ascii="Times New Roman" w:hAnsi="Times New Roman" w:cs="Times New Roman"/>
          <w:sz w:val="24"/>
          <w:szCs w:val="24"/>
        </w:rPr>
        <w:t>manfaat</w:t>
      </w:r>
      <w:proofErr w:type="spellEnd"/>
      <w:r w:rsidRPr="0056094A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094A">
        <w:rPr>
          <w:rStyle w:val="q4iawc"/>
          <w:rFonts w:ascii="Times New Roman" w:hAnsi="Times New Roman" w:cs="Times New Roman"/>
          <w:sz w:val="24"/>
          <w:szCs w:val="24"/>
        </w:rPr>
        <w:t>kekal</w:t>
      </w:r>
      <w:proofErr w:type="spellEnd"/>
      <w:r w:rsidRPr="0056094A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094A">
        <w:rPr>
          <w:rStyle w:val="q4iawc"/>
          <w:rFonts w:ascii="Times New Roman" w:hAnsi="Times New Roman" w:cs="Times New Roman"/>
          <w:sz w:val="24"/>
          <w:szCs w:val="24"/>
        </w:rPr>
        <w:t>abadi</w:t>
      </w:r>
      <w:proofErr w:type="spellEnd"/>
      <w:r w:rsidRPr="0056094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56094A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1"/>
      </w:r>
    </w:p>
    <w:p w14:paraId="036964D1" w14:textId="77777777" w:rsidR="00450B4E" w:rsidRPr="001B1C50" w:rsidRDefault="00450B4E" w:rsidP="00450B4E">
      <w:pPr>
        <w:spacing w:line="480" w:lineRule="auto"/>
        <w:ind w:left="720" w:firstLine="720"/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Sistem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komponen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>fundamental</w:t>
      </w:r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pe</w:t>
      </w:r>
      <w:r>
        <w:rPr>
          <w:rStyle w:val="q4iawc"/>
          <w:rFonts w:ascii="Times New Roman" w:hAnsi="Times New Roman" w:cs="Times New Roman"/>
          <w:sz w:val="24"/>
          <w:szCs w:val="24"/>
        </w:rPr>
        <w:t>rk</w:t>
      </w:r>
      <w:r w:rsidRPr="00A67A3A">
        <w:rPr>
          <w:rStyle w:val="q4iawc"/>
          <w:rFonts w:ascii="Times New Roman" w:hAnsi="Times New Roman" w:cs="Times New Roman"/>
          <w:sz w:val="24"/>
          <w:szCs w:val="24"/>
        </w:rPr>
        <w:t>embangan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3A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A67A3A">
        <w:rPr>
          <w:rStyle w:val="q4iawc"/>
          <w:rFonts w:ascii="Times New Roman" w:hAnsi="Times New Roman" w:cs="Times New Roman"/>
          <w:sz w:val="24"/>
          <w:szCs w:val="24"/>
        </w:rPr>
        <w:t>.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Jika pada model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dulu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se</w:t>
      </w:r>
      <w:r>
        <w:rPr>
          <w:rStyle w:val="q4iawc"/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hanya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terfokus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keabadian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lastRenderedPageBreak/>
        <w:t>harta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itu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sendiri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maka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baru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harus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lebih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aspek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utilitas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lebih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nyata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tanpa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1B1C50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B1C50">
        <w:rPr>
          <w:rStyle w:val="q4iawc"/>
          <w:rFonts w:ascii="Times New Roman" w:hAnsi="Times New Roman" w:cs="Times New Roman"/>
          <w:sz w:val="24"/>
          <w:szCs w:val="24"/>
        </w:rPr>
        <w:t>Wakaf.</w:t>
      </w:r>
    </w:p>
    <w:p w14:paraId="7D4D5B6C" w14:textId="77777777" w:rsidR="00450B4E" w:rsidRPr="001B1C50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Wakaf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sering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di negara-negara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Muslim,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di negara-negara Asia Tenggara.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ada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229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juta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memeluk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D3">
        <w:rPr>
          <w:rStyle w:val="q4iawc"/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221D3">
        <w:rPr>
          <w:rStyle w:val="q4iawc"/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muslim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1B1C50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Angka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87,2%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13%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Muslim dunia</w:t>
      </w:r>
      <w:r w:rsidRPr="001B1C50">
        <w:rPr>
          <w:rFonts w:ascii="Times New Roman" w:hAnsi="Times New Roman" w:cs="Times New Roman"/>
          <w:sz w:val="24"/>
          <w:szCs w:val="24"/>
        </w:rPr>
        <w:t>.</w:t>
      </w:r>
      <w:r w:rsidRPr="001B1C50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1BB9329A" w14:textId="77777777" w:rsidR="00450B4E" w:rsidRPr="001B1C50" w:rsidRDefault="00450B4E" w:rsidP="00450B4E">
      <w:pPr>
        <w:spacing w:line="480" w:lineRule="auto"/>
        <w:ind w:left="720" w:firstLine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5" w:name="_Hlk107948019"/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Wakaf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taraf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hidup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bangsa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dan negara.</w:t>
      </w:r>
      <w:r w:rsidRPr="001B1C50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Ketika Wakaf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benar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benar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muka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bumi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bukan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mungkin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1B1C50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Contoh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Islam </w:t>
      </w:r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Arab Saudi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produk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guna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m</w:t>
      </w:r>
      <w:r>
        <w:rPr>
          <w:rStyle w:val="q4iawc"/>
          <w:rFonts w:ascii="Times New Roman" w:hAnsi="Times New Roman" w:cs="Times New Roman"/>
          <w:sz w:val="24"/>
          <w:szCs w:val="24"/>
        </w:rPr>
        <w:t>endirikan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dua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kota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suci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Mekkah dan Madinah.</w:t>
      </w:r>
      <w:r w:rsidRPr="001B1C50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Wakaf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di</w:t>
      </w:r>
      <w:r>
        <w:rPr>
          <w:rStyle w:val="q4iawc"/>
          <w:rFonts w:ascii="Times New Roman" w:hAnsi="Times New Roman" w:cs="Times New Roman"/>
          <w:sz w:val="24"/>
          <w:szCs w:val="24"/>
        </w:rPr>
        <w:t>fokuskan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1C50">
        <w:rPr>
          <w:rStyle w:val="q4iawc"/>
          <w:rFonts w:ascii="Times New Roman" w:hAnsi="Times New Roman" w:cs="Times New Roman"/>
          <w:sz w:val="24"/>
          <w:szCs w:val="24"/>
        </w:rPr>
        <w:t>ke</w:t>
      </w:r>
      <w:r>
        <w:rPr>
          <w:rStyle w:val="q4iawc"/>
          <w:rFonts w:ascii="Times New Roman" w:hAnsi="Times New Roman" w:cs="Times New Roman"/>
          <w:sz w:val="24"/>
          <w:szCs w:val="24"/>
        </w:rPr>
        <w:t>damaian</w:t>
      </w:r>
      <w:proofErr w:type="spellEnd"/>
      <w:r w:rsidRPr="001B1C50">
        <w:rPr>
          <w:rStyle w:val="q4iawc"/>
          <w:rFonts w:ascii="Times New Roman" w:hAnsi="Times New Roman" w:cs="Times New Roman"/>
          <w:sz w:val="24"/>
          <w:szCs w:val="24"/>
        </w:rPr>
        <w:t xml:space="preserve"> negara.</w:t>
      </w:r>
    </w:p>
    <w:p w14:paraId="2AD6F4DF" w14:textId="77777777" w:rsidR="00450B4E" w:rsidRPr="00FD6C09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Negara Brunei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7CC7F6" w14:textId="77777777" w:rsidR="00450B4E" w:rsidRPr="00761D0B" w:rsidRDefault="00450B4E" w:rsidP="00450B4E">
      <w:pPr>
        <w:pStyle w:val="Heading2"/>
        <w:numPr>
          <w:ilvl w:val="0"/>
          <w:numId w:val="6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06735363"/>
      <w:bookmarkEnd w:id="5"/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Rumusan</w:t>
      </w:r>
      <w:proofErr w:type="spellEnd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6"/>
      <w:proofErr w:type="spellEnd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50FDDA4" w14:textId="77777777" w:rsidR="00450B4E" w:rsidRPr="00470A5F" w:rsidRDefault="00450B4E" w:rsidP="00450B4E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A5F">
        <w:rPr>
          <w:rStyle w:val="q4iawc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70A5F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A5F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470A5F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0A5F">
        <w:rPr>
          <w:rStyle w:val="q4iawc"/>
          <w:rFonts w:ascii="Times New Roman" w:hAnsi="Times New Roman" w:cs="Times New Roman"/>
          <w:sz w:val="24"/>
          <w:szCs w:val="24"/>
        </w:rPr>
        <w:t>atas</w:t>
      </w:r>
      <w:proofErr w:type="spellEnd"/>
      <w:r w:rsidRPr="00470A5F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>adapun</w:t>
      </w:r>
      <w:r w:rsidRPr="00470A5F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A5F">
        <w:rPr>
          <w:rStyle w:val="q4iawc"/>
          <w:rFonts w:ascii="Times New Roman" w:hAnsi="Times New Roman" w:cs="Times New Roman"/>
          <w:sz w:val="24"/>
          <w:szCs w:val="24"/>
        </w:rPr>
        <w:t>rumusan</w:t>
      </w:r>
      <w:proofErr w:type="spellEnd"/>
      <w:r w:rsidRPr="00470A5F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A5F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 yang penulis kemukakan</w:t>
      </w:r>
      <w:r w:rsidRPr="00470A5F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A5F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0A5F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A5F">
        <w:rPr>
          <w:rStyle w:val="q4iawc"/>
          <w:rFonts w:ascii="Times New Roman" w:hAnsi="Times New Roman" w:cs="Times New Roman"/>
          <w:sz w:val="24"/>
          <w:szCs w:val="24"/>
        </w:rPr>
        <w:t>berikut</w:t>
      </w:r>
      <w:proofErr w:type="spellEnd"/>
      <w:r w:rsidRPr="00470A5F">
        <w:rPr>
          <w:rStyle w:val="q4iawc"/>
          <w:rFonts w:ascii="Times New Roman" w:hAnsi="Times New Roman" w:cs="Times New Roman"/>
          <w:sz w:val="24"/>
          <w:szCs w:val="24"/>
        </w:rPr>
        <w:t>:</w:t>
      </w:r>
    </w:p>
    <w:p w14:paraId="3CB6BC0A" w14:textId="77777777" w:rsidR="00450B4E" w:rsidRPr="00FD6C09" w:rsidRDefault="00450B4E" w:rsidP="00450B4E">
      <w:pPr>
        <w:pStyle w:val="ListParagraph"/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di Indonesia dan Brunei Darussalam?</w:t>
      </w:r>
    </w:p>
    <w:p w14:paraId="49588ED8" w14:textId="77777777" w:rsidR="00450B4E" w:rsidRPr="00AC6D6F" w:rsidRDefault="00450B4E" w:rsidP="00450B4E">
      <w:pPr>
        <w:pStyle w:val="ListParagraph"/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di Indonesia dan Brunei Darussalam? </w:t>
      </w:r>
    </w:p>
    <w:p w14:paraId="656CCBAF" w14:textId="77777777" w:rsidR="00450B4E" w:rsidRPr="00761D0B" w:rsidRDefault="00450B4E" w:rsidP="00450B4E">
      <w:pPr>
        <w:pStyle w:val="Heading2"/>
        <w:numPr>
          <w:ilvl w:val="0"/>
          <w:numId w:val="6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6735364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Tujuan </w:t>
      </w:r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7"/>
      <w:proofErr w:type="spellEnd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9CEE2E6" w14:textId="77777777" w:rsidR="00450B4E" w:rsidRPr="00FD6C09" w:rsidRDefault="00450B4E" w:rsidP="00450B4E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8E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3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361BB" w14:textId="77777777" w:rsidR="00450B4E" w:rsidRPr="00FD6C09" w:rsidRDefault="00450B4E" w:rsidP="00450B4E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di Indonesia dan Brunei Darussalam. </w:t>
      </w:r>
    </w:p>
    <w:p w14:paraId="1E29040C" w14:textId="77777777" w:rsidR="00450B4E" w:rsidRPr="00FD6C09" w:rsidRDefault="00450B4E" w:rsidP="00450B4E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Brunei Darussalam. </w:t>
      </w:r>
    </w:p>
    <w:p w14:paraId="268D1448" w14:textId="77777777" w:rsidR="00450B4E" w:rsidRDefault="00450B4E" w:rsidP="00450B4E">
      <w:pPr>
        <w:pStyle w:val="Heading2"/>
        <w:numPr>
          <w:ilvl w:val="0"/>
          <w:numId w:val="6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6735365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Manfaat </w:t>
      </w:r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8"/>
      <w:proofErr w:type="spellEnd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D4FD26B" w14:textId="77777777" w:rsidR="00450B4E" w:rsidRPr="00F96B41" w:rsidRDefault="00450B4E" w:rsidP="00450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8E0">
        <w:rPr>
          <w:rStyle w:val="q4iawc"/>
          <w:rFonts w:ascii="Times New Roman" w:hAnsi="Times New Roman" w:cs="Times New Roman"/>
          <w:sz w:val="24"/>
          <w:szCs w:val="24"/>
        </w:rPr>
        <w:t>Ad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6B41">
        <w:rPr>
          <w:rStyle w:val="q4iawc"/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F96B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41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F96B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41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6B41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41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yaitu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tujuan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atas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>:</w:t>
      </w:r>
    </w:p>
    <w:p w14:paraId="4A48188E" w14:textId="77777777" w:rsidR="00450B4E" w:rsidRPr="00FD6C09" w:rsidRDefault="00450B4E" w:rsidP="00450B4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2D694" w14:textId="77777777" w:rsidR="00450B4E" w:rsidRPr="005E2124" w:rsidRDefault="00450B4E" w:rsidP="00450B4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teoritis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hasil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me</w:t>
      </w:r>
      <w:r>
        <w:rPr>
          <w:rStyle w:val="q4iawc"/>
          <w:rFonts w:ascii="Times New Roman" w:hAnsi="Times New Roman" w:cs="Times New Roman"/>
          <w:sz w:val="24"/>
          <w:szCs w:val="24"/>
        </w:rPr>
        <w:t>ninggalkan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kepada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pembaca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di Indonesia dan Brunei Darussalam.</w:t>
      </w:r>
      <w:r w:rsidRPr="005E212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harapan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di Indonesia.</w:t>
      </w:r>
      <w:r w:rsidRPr="005E212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Kami juga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lastRenderedPageBreak/>
        <w:t>pembaca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akan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lebih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yayasan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5E2124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5E2124">
        <w:rPr>
          <w:rStyle w:val="q4iawc"/>
          <w:rFonts w:ascii="Times New Roman" w:hAnsi="Times New Roman" w:cs="Times New Roman"/>
          <w:sz w:val="24"/>
          <w:szCs w:val="24"/>
        </w:rPr>
        <w:t xml:space="preserve"> Brunei Darussalam.</w:t>
      </w:r>
    </w:p>
    <w:p w14:paraId="7B4EC12E" w14:textId="77777777" w:rsidR="00450B4E" w:rsidRPr="00FD6C09" w:rsidRDefault="00450B4E" w:rsidP="00450B4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1756049D" w14:textId="77777777" w:rsidR="00450B4E" w:rsidRPr="00C328E0" w:rsidRDefault="00450B4E" w:rsidP="00450B4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praktis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mengacu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di Indonesia dan Brunei.</w:t>
      </w:r>
      <w:r w:rsidRPr="00C328E0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hasil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dapat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8E0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C328E0">
        <w:rPr>
          <w:rStyle w:val="q4iawc"/>
          <w:rFonts w:ascii="Times New Roman" w:hAnsi="Times New Roman" w:cs="Times New Roman"/>
          <w:sz w:val="24"/>
          <w:szCs w:val="24"/>
        </w:rPr>
        <w:t xml:space="preserve"> di Indonesia.</w:t>
      </w:r>
    </w:p>
    <w:p w14:paraId="59FBBB19" w14:textId="77777777" w:rsidR="00450B4E" w:rsidRPr="00761D0B" w:rsidRDefault="00450B4E" w:rsidP="00450B4E">
      <w:pPr>
        <w:pStyle w:val="Heading2"/>
        <w:numPr>
          <w:ilvl w:val="0"/>
          <w:numId w:val="6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06735366"/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>Tinjauan</w:t>
      </w:r>
      <w:proofErr w:type="spellEnd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Pustaka</w:t>
      </w:r>
      <w:bookmarkEnd w:id="9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9459389" w14:textId="77777777" w:rsidR="00450B4E" w:rsidRPr="006B696D" w:rsidRDefault="00450B4E" w:rsidP="00450B4E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meninjau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be</w:t>
      </w:r>
      <w:r>
        <w:rPr>
          <w:rStyle w:val="q4iawc"/>
          <w:rFonts w:ascii="Times New Roman" w:hAnsi="Times New Roman" w:cs="Times New Roman"/>
          <w:sz w:val="24"/>
          <w:szCs w:val="24"/>
        </w:rPr>
        <w:t>rbagai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terkait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lakukan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>:</w:t>
      </w:r>
    </w:p>
    <w:p w14:paraId="6D39C65C" w14:textId="77777777" w:rsidR="00450B4E" w:rsidRPr="00FD6C09" w:rsidRDefault="00450B4E" w:rsidP="00450B4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>Rahmawati, “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Wakaf Tunai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Islam Di Negara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(Studi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Negara Indonesia, Malaysia dan Brunei Darussalam)”</w:t>
      </w:r>
      <w:r w:rsidRPr="00FD6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6C0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2016</w:t>
      </w:r>
      <w:bookmarkStart w:id="10" w:name="_Hlk89870856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Fakulktas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dan Hukum UIN Alauddin Makassar</w:t>
      </w:r>
      <w:bookmarkEnd w:id="10"/>
      <w:r w:rsidRPr="00FD6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696D"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bahwa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mengacu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pada uang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umat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Islam di negara-negara ASEAN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segi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fiqh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D6C09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Brunei Darussalam.</w:t>
      </w:r>
    </w:p>
    <w:p w14:paraId="5C7B9E39" w14:textId="77777777" w:rsidR="00450B4E" w:rsidRPr="006B696D" w:rsidRDefault="00450B4E" w:rsidP="00450B4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lastRenderedPageBreak/>
        <w:t xml:space="preserve">Ulfah Sisi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Yatiningrum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Wakaf Di Negara Muslim (Studi Pada Negara Brunei Darussalam)”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Ekonomi dan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Universitas Islam Negeri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Hidayatullah Jakarta.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>Skripsi</w:t>
      </w:r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metode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pe</w:t>
      </w:r>
      <w:r>
        <w:rPr>
          <w:rStyle w:val="q4iawc"/>
          <w:rFonts w:ascii="Times New Roman" w:hAnsi="Times New Roman" w:cs="Times New Roman"/>
          <w:sz w:val="24"/>
          <w:szCs w:val="24"/>
        </w:rPr>
        <w:t>ngendalian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di Brunei Darussalam.</w:t>
      </w:r>
      <w:r w:rsidRPr="006B696D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Majlis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Ugama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Islam Brunei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Brunei Darussalam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penuh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atas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Wakaf,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baik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Wakaf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khas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Style w:val="q4iawc"/>
          <w:rFonts w:ascii="Times New Roman" w:hAnsi="Times New Roman" w:cs="Times New Roman"/>
          <w:sz w:val="24"/>
          <w:szCs w:val="24"/>
        </w:rPr>
        <w:t>maupun</w:t>
      </w:r>
      <w:proofErr w:type="spellEnd"/>
      <w:r w:rsidRPr="006B696D">
        <w:rPr>
          <w:rStyle w:val="q4iawc"/>
          <w:rFonts w:ascii="Times New Roman" w:hAnsi="Times New Roman" w:cs="Times New Roman"/>
          <w:sz w:val="24"/>
          <w:szCs w:val="24"/>
        </w:rPr>
        <w:t xml:space="preserve"> Wakaf 'am.</w:t>
      </w:r>
      <w:r w:rsidRPr="006B696D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di Brunei Darussalam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6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B696D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14:paraId="0D71D2A4" w14:textId="77777777" w:rsidR="00450B4E" w:rsidRPr="008232A1" w:rsidRDefault="00450B4E" w:rsidP="00450B4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Arief Wibawa Mukti, “Strategi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Wakaf Tunai Pada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Wakaf Indonesia”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2018 oleh </w:t>
      </w:r>
      <w:bookmarkStart w:id="11" w:name="_Hlk89871068"/>
      <w:r w:rsidRPr="00FD6C09">
        <w:rPr>
          <w:rFonts w:ascii="Times New Roman" w:hAnsi="Times New Roman" w:cs="Times New Roman"/>
          <w:sz w:val="24"/>
          <w:szCs w:val="24"/>
        </w:rPr>
        <w:t>Arief Wibawa Mukti</w:t>
      </w:r>
      <w:bookmarkEnd w:id="11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Universitas Negeri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Hidayatullah Jakarta.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Jurnal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te</w:t>
      </w:r>
      <w:r>
        <w:rPr>
          <w:rStyle w:val="q4iawc"/>
          <w:rFonts w:ascii="Times New Roman" w:hAnsi="Times New Roman" w:cs="Times New Roman"/>
          <w:sz w:val="24"/>
          <w:szCs w:val="24"/>
        </w:rPr>
        <w:t>rkait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penggalangan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oleh BWI dan PWS,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yaitu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menunggu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bola dan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menjemput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bola.</w:t>
      </w:r>
      <w:r w:rsidRPr="0045163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terjun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ke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bahwa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penggalangan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terus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sejak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bergabungnya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simpanan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Dompet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Dhuafa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adanya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calon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wakaf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Semua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manfaat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divisi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45163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satu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pilar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lastRenderedPageBreak/>
        <w:t>pembangunan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ekonomi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bangsa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dampak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sosial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menged</w:t>
      </w:r>
      <w:r>
        <w:rPr>
          <w:rStyle w:val="q4iawc"/>
          <w:rFonts w:ascii="Times New Roman" w:hAnsi="Times New Roman" w:cs="Times New Roman"/>
          <w:sz w:val="24"/>
          <w:szCs w:val="24"/>
        </w:rPr>
        <w:t>epankan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45163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Pr="00451634">
        <w:rPr>
          <w:rStyle w:val="q4iawc"/>
          <w:rFonts w:ascii="Times New Roman" w:hAnsi="Times New Roman" w:cs="Times New Roman"/>
          <w:i/>
          <w:iCs/>
          <w:sz w:val="24"/>
          <w:szCs w:val="24"/>
        </w:rPr>
        <w:t>cash endowment</w:t>
      </w:r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pada Dana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Perwalian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umumnya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451634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Organisasi-organisasi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beli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rumah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sakit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biaya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lainnya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8232A1">
        <w:rPr>
          <w:rFonts w:ascii="Times New Roman" w:hAnsi="Times New Roman" w:cs="Times New Roman"/>
          <w:sz w:val="24"/>
          <w:szCs w:val="24"/>
        </w:rPr>
        <w:t xml:space="preserve"> Artikel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A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232A1">
        <w:rPr>
          <w:rFonts w:ascii="Times New Roman" w:hAnsi="Times New Roman" w:cs="Times New Roman"/>
          <w:sz w:val="24"/>
          <w:szCs w:val="24"/>
        </w:rPr>
        <w:t xml:space="preserve"> Indonesia dan Brunei Darussalam.</w:t>
      </w:r>
    </w:p>
    <w:p w14:paraId="62AAA090" w14:textId="77777777" w:rsidR="00450B4E" w:rsidRPr="00EF0D4B" w:rsidRDefault="00450B4E" w:rsidP="00450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lakukandengan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Brunei.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Indonesia dan Brunei. </w:t>
      </w:r>
    </w:p>
    <w:p w14:paraId="46DE9CFD" w14:textId="77777777" w:rsidR="00450B4E" w:rsidRPr="00761D0B" w:rsidRDefault="00450B4E" w:rsidP="00450B4E">
      <w:pPr>
        <w:pStyle w:val="Heading2"/>
        <w:numPr>
          <w:ilvl w:val="0"/>
          <w:numId w:val="6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06735367"/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Metodologi</w:t>
      </w:r>
      <w:proofErr w:type="spellEnd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12"/>
      <w:proofErr w:type="spellEnd"/>
      <w:r w:rsidRPr="00761D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539663B" w14:textId="77777777" w:rsidR="00450B4E" w:rsidRPr="00FD6C09" w:rsidRDefault="00450B4E" w:rsidP="00450B4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3DAD8" w14:textId="77777777" w:rsidR="00450B4E" w:rsidRPr="00044A42" w:rsidRDefault="00450B4E" w:rsidP="00450B4E">
      <w:pPr>
        <w:spacing w:after="0" w:line="480" w:lineRule="auto"/>
        <w:ind w:left="1080" w:firstLine="360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</w:t>
      </w:r>
      <w:r w:rsidRPr="00451634">
        <w:rPr>
          <w:rStyle w:val="q4iawc"/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metodologinya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>.</w:t>
      </w:r>
      <w:r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buku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makalah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resmi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temuan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semua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sumber</w:t>
      </w:r>
      <w:proofErr w:type="spellEnd"/>
      <w:r w:rsidRPr="00451634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34">
        <w:rPr>
          <w:rStyle w:val="q4iawc"/>
          <w:rFonts w:ascii="Times New Roman" w:hAnsi="Times New Roman" w:cs="Times New Roman"/>
          <w:sz w:val="24"/>
          <w:szCs w:val="24"/>
        </w:rPr>
        <w:t>informa</w:t>
      </w:r>
      <w:r>
        <w:rPr>
          <w:rStyle w:val="q4iawc"/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4A42">
        <w:rPr>
          <w:rStyle w:val="q4iawc"/>
          <w:rFonts w:ascii="Times New Roman" w:hAnsi="Times New Roman" w:cs="Times New Roman"/>
          <w:sz w:val="24"/>
          <w:szCs w:val="24"/>
        </w:rPr>
        <w:t>(</w:t>
      </w:r>
      <w:r w:rsidRPr="00044A42">
        <w:rPr>
          <w:rStyle w:val="q4iawc"/>
          <w:rFonts w:ascii="Times New Roman" w:hAnsi="Times New Roman" w:cs="Times New Roman"/>
          <w:i/>
          <w:iCs/>
          <w:sz w:val="24"/>
          <w:szCs w:val="24"/>
        </w:rPr>
        <w:t>library research)</w:t>
      </w:r>
      <w:r w:rsidRPr="00044A42">
        <w:rPr>
          <w:rFonts w:ascii="Times New Roman" w:hAnsi="Times New Roman" w:cs="Times New Roman"/>
          <w:sz w:val="24"/>
          <w:szCs w:val="24"/>
        </w:rPr>
        <w:t>.</w:t>
      </w:r>
      <w:r w:rsidRPr="00044A42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044A42">
        <w:rPr>
          <w:rFonts w:ascii="Times New Roman" w:hAnsi="Times New Roman" w:cs="Times New Roman"/>
          <w:sz w:val="24"/>
          <w:szCs w:val="24"/>
        </w:rPr>
        <w:t xml:space="preserve"> </w:t>
      </w:r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(</w:t>
      </w:r>
      <w:r w:rsidRPr="00044A42">
        <w:rPr>
          <w:rStyle w:val="q4iawc"/>
          <w:rFonts w:ascii="Times New Roman" w:hAnsi="Times New Roman" w:cs="Times New Roman"/>
          <w:i/>
          <w:iCs/>
          <w:sz w:val="24"/>
          <w:szCs w:val="24"/>
        </w:rPr>
        <w:t xml:space="preserve">library research)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dipilih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karena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ruang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lingkup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judul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044A42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berupa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terkait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buku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teks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jurnal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artikel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penting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lainnya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baik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maupun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jurnal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14:paraId="22BF8283" w14:textId="77777777" w:rsidR="00450B4E" w:rsidRPr="00044A42" w:rsidRDefault="00450B4E" w:rsidP="00450B4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4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4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4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A09A" w14:textId="77777777" w:rsidR="00450B4E" w:rsidRDefault="00450B4E" w:rsidP="00450B4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endekatan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 ini, metodologi yang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sebuah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normatif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044A42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normatif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mengkaji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normatif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b</w:t>
      </w:r>
      <w:r>
        <w:rPr>
          <w:rStyle w:val="q4iawc"/>
          <w:rFonts w:ascii="Times New Roman" w:hAnsi="Times New Roman" w:cs="Times New Roman"/>
          <w:sz w:val="24"/>
          <w:szCs w:val="24"/>
        </w:rPr>
        <w:t>isa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tidaknya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bagi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42"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di</w:t>
      </w:r>
      <w:r w:rsidRPr="00044A42">
        <w:rPr>
          <w:rStyle w:val="q4iawc"/>
          <w:rFonts w:ascii="Times New Roman" w:hAnsi="Times New Roman" w:cs="Times New Roman"/>
          <w:sz w:val="24"/>
          <w:szCs w:val="24"/>
        </w:rPr>
        <w:t>berlaku</w:t>
      </w:r>
      <w:r>
        <w:rPr>
          <w:rStyle w:val="q4iawc"/>
          <w:rFonts w:ascii="Times New Roman" w:hAnsi="Times New Roman" w:cs="Times New Roman"/>
          <w:sz w:val="24"/>
          <w:szCs w:val="24"/>
        </w:rPr>
        <w:t>kan</w:t>
      </w:r>
      <w:proofErr w:type="spellEnd"/>
      <w:r w:rsidRPr="00044A42">
        <w:rPr>
          <w:rStyle w:val="q4iawc"/>
          <w:rFonts w:ascii="Times New Roman" w:hAnsi="Times New Roman" w:cs="Times New Roman"/>
          <w:sz w:val="24"/>
          <w:szCs w:val="24"/>
        </w:rPr>
        <w:t>).</w:t>
      </w:r>
      <w:r w:rsidRPr="00044A42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normative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langkah-langakah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spekulatif-teoretis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normative-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8"/>
      </w:r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normatif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dipilih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lingkupnya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07949537"/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41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2004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Wakaf,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regulasi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berskala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63F295" w14:textId="77777777" w:rsidR="00450B4E" w:rsidRPr="00044A42" w:rsidRDefault="00450B4E" w:rsidP="00450B4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0B5E38A4" w14:textId="77777777" w:rsidR="00450B4E" w:rsidRPr="00FD6C09" w:rsidRDefault="00450B4E" w:rsidP="00450B4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38AF9E75" w14:textId="77777777" w:rsidR="00450B4E" w:rsidRPr="00E027EA" w:rsidRDefault="00450B4E" w:rsidP="00450B4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</w:t>
      </w:r>
      <w:r w:rsidRPr="00192D76">
        <w:rPr>
          <w:rStyle w:val="q4iawc"/>
          <w:rFonts w:ascii="Times New Roman" w:hAnsi="Times New Roman" w:cs="Times New Roman"/>
          <w:sz w:val="24"/>
          <w:szCs w:val="24"/>
        </w:rPr>
        <w:t>umber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id-ID"/>
        </w:rPr>
        <w:t>merupakan sumber yang</w:t>
      </w:r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di</w:t>
      </w:r>
      <w:r>
        <w:rPr>
          <w:rStyle w:val="q4iawc"/>
          <w:rFonts w:ascii="Times New Roman" w:hAnsi="Times New Roman" w:cs="Times New Roman"/>
          <w:sz w:val="24"/>
          <w:szCs w:val="24"/>
        </w:rPr>
        <w:t>per</w:t>
      </w:r>
      <w:r w:rsidRPr="00192D76">
        <w:rPr>
          <w:rStyle w:val="q4iawc"/>
          <w:rFonts w:ascii="Times New Roman" w:hAnsi="Times New Roman" w:cs="Times New Roman"/>
          <w:sz w:val="24"/>
          <w:szCs w:val="24"/>
        </w:rPr>
        <w:t>gunakan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>pada</w:t>
      </w:r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asal-muasal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terkait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makalah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tesis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statuta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92D76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92D76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E027EA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27EA">
        <w:rPr>
          <w:rStyle w:val="q4iawc"/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027EA">
        <w:rPr>
          <w:rStyle w:val="q4iawc"/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027E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EA">
        <w:rPr>
          <w:rStyle w:val="q4iawc"/>
          <w:rFonts w:ascii="Times New Roman" w:hAnsi="Times New Roman" w:cs="Times New Roman"/>
          <w:sz w:val="24"/>
          <w:szCs w:val="24"/>
        </w:rPr>
        <w:t>dibagi</w:t>
      </w:r>
      <w:proofErr w:type="spellEnd"/>
      <w:r w:rsidRPr="00E027E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EA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27EA">
        <w:rPr>
          <w:rStyle w:val="q4iawc"/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027EA">
        <w:rPr>
          <w:rStyle w:val="q4iawc"/>
          <w:rFonts w:ascii="Times New Roman" w:hAnsi="Times New Roman" w:cs="Times New Roman"/>
          <w:sz w:val="24"/>
          <w:szCs w:val="24"/>
        </w:rPr>
        <w:t>bahan</w:t>
      </w:r>
      <w:proofErr w:type="spellEnd"/>
      <w:r w:rsidRPr="00E027EA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EA">
        <w:rPr>
          <w:rStyle w:val="q4iawc"/>
          <w:rFonts w:ascii="Times New Roman" w:hAnsi="Times New Roman" w:cs="Times New Roman"/>
          <w:sz w:val="24"/>
          <w:szCs w:val="24"/>
        </w:rPr>
        <w:t>hukum</w:t>
      </w:r>
      <w:proofErr w:type="spellEnd"/>
      <w:r w:rsidRPr="00E027EA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7EA">
        <w:rPr>
          <w:rStyle w:val="q4iawc"/>
          <w:rFonts w:ascii="Times New Roman" w:hAnsi="Times New Roman" w:cs="Times New Roman"/>
          <w:sz w:val="24"/>
          <w:szCs w:val="24"/>
        </w:rPr>
        <w:t>yaitu</w:t>
      </w:r>
      <w:proofErr w:type="spellEnd"/>
      <w:r w:rsidRPr="00E027EA">
        <w:rPr>
          <w:rStyle w:val="q4iawc"/>
          <w:rFonts w:ascii="Times New Roman" w:hAnsi="Times New Roman" w:cs="Times New Roman"/>
          <w:sz w:val="24"/>
          <w:szCs w:val="24"/>
        </w:rPr>
        <w:t>:</w:t>
      </w:r>
    </w:p>
    <w:p w14:paraId="445EAECB" w14:textId="77777777" w:rsidR="00450B4E" w:rsidRPr="00FD6C09" w:rsidRDefault="00450B4E" w:rsidP="00450B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primer</w:t>
      </w:r>
    </w:p>
    <w:p w14:paraId="7F6475BD" w14:textId="77777777" w:rsidR="00450B4E" w:rsidRPr="00FD6C09" w:rsidRDefault="00450B4E" w:rsidP="00450B4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C09">
        <w:rPr>
          <w:rFonts w:ascii="Times New Roman" w:hAnsi="Times New Roman" w:cs="Times New Roman"/>
          <w:sz w:val="24"/>
          <w:szCs w:val="24"/>
          <w:lang w:val="es-ES"/>
        </w:rPr>
        <w:t>Bahan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s-ES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primer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s-ES"/>
        </w:rPr>
        <w:t>bahan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s-ES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dianggap memiliki</w:t>
      </w:r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kuasa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berarti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s-ES"/>
        </w:rPr>
        <w:t>mempunyai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  <w:lang w:val="es-ES"/>
        </w:rPr>
        <w:t>otoritas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0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rinsip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>:</w:t>
      </w:r>
    </w:p>
    <w:p w14:paraId="4C05C540" w14:textId="77777777" w:rsidR="00450B4E" w:rsidRPr="00A11591" w:rsidRDefault="00450B4E" w:rsidP="00450B4E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591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Wakaf</w:t>
      </w:r>
    </w:p>
    <w:p w14:paraId="146D102E" w14:textId="77777777" w:rsidR="00450B4E" w:rsidRPr="00A11591" w:rsidRDefault="00450B4E" w:rsidP="00450B4E">
      <w:pPr>
        <w:spacing w:line="480" w:lineRule="auto"/>
        <w:ind w:left="241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Negara Brunei Darussalam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Ugama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Mahkamah-Mahkamah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Kadi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Penggal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98 dan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371265B7" w14:textId="77777777" w:rsidR="00450B4E" w:rsidRPr="00A11591" w:rsidRDefault="00450B4E" w:rsidP="00450B4E">
      <w:pPr>
        <w:spacing w:line="480" w:lineRule="auto"/>
        <w:ind w:left="241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Wakaf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4EF60" w14:textId="77777777" w:rsidR="00450B4E" w:rsidRDefault="00450B4E" w:rsidP="00450B4E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59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1159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11591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Islam.</w:t>
      </w:r>
    </w:p>
    <w:p w14:paraId="1EF0242C" w14:textId="77777777" w:rsidR="00450B4E" w:rsidRDefault="00450B4E" w:rsidP="00450B4E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A86DD8" w14:textId="77777777" w:rsidR="00450B4E" w:rsidRDefault="00450B4E" w:rsidP="00450B4E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8AEAB5" w14:textId="77777777" w:rsidR="00450B4E" w:rsidRPr="00A11591" w:rsidRDefault="00450B4E" w:rsidP="00450B4E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5B09AF" w14:textId="77777777" w:rsidR="00450B4E" w:rsidRPr="00FD6C09" w:rsidRDefault="00450B4E" w:rsidP="00450B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14:paraId="048F2F95" w14:textId="77777777" w:rsidR="00450B4E" w:rsidRPr="003A2543" w:rsidRDefault="00450B4E" w:rsidP="00450B4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421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84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1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FD6C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6C0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9"/>
      </w:r>
    </w:p>
    <w:p w14:paraId="042112AB" w14:textId="77777777" w:rsidR="00450B4E" w:rsidRPr="00FD6C09" w:rsidRDefault="00450B4E" w:rsidP="00450B4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09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FD6C0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D6C09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03D5CBB1" w14:textId="77777777" w:rsidR="00450B4E" w:rsidRPr="00FB6919" w:rsidRDefault="00450B4E" w:rsidP="00450B4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Tinjauan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metode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tidak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khusus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topik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banyak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jenis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>/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catatan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sosial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lainnya</w:t>
      </w:r>
      <w:proofErr w:type="spellEnd"/>
      <w:r w:rsidRPr="00FB6919">
        <w:rPr>
          <w:rFonts w:ascii="Times New Roman" w:hAnsi="Times New Roman" w:cs="Times New Roman"/>
          <w:sz w:val="24"/>
          <w:szCs w:val="24"/>
        </w:rPr>
        <w:t>.</w:t>
      </w:r>
      <w:r w:rsidRPr="00FB6919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Pr="00FB6919">
        <w:rPr>
          <w:rFonts w:ascii="Times New Roman" w:hAnsi="Times New Roman" w:cs="Times New Roman"/>
          <w:sz w:val="24"/>
          <w:szCs w:val="24"/>
        </w:rPr>
        <w:t xml:space="preserve"> </w:t>
      </w:r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>/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karena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ruang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lingkupnya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terkait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judul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FB6919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Semua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berita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buku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Pr="00FB6919">
        <w:rPr>
          <w:rStyle w:val="q4iawc"/>
          <w:rFonts w:ascii="Times New Roman" w:hAnsi="Times New Roman" w:cs="Times New Roman"/>
          <w:i/>
          <w:iCs/>
          <w:sz w:val="24"/>
          <w:szCs w:val="24"/>
        </w:rPr>
        <w:t>(offline)</w:t>
      </w:r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buku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bentuk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internet </w:t>
      </w:r>
      <w:r w:rsidRPr="00FB6919">
        <w:rPr>
          <w:rStyle w:val="q4iawc"/>
          <w:rFonts w:ascii="Times New Roman" w:hAnsi="Times New Roman" w:cs="Times New Roman"/>
          <w:i/>
          <w:iCs/>
          <w:sz w:val="24"/>
          <w:szCs w:val="24"/>
        </w:rPr>
        <w:t>e-book</w:t>
      </w:r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buku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yayasan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majalah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>/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>/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>/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atau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artikel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jurnal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ber</w:t>
      </w:r>
      <w:r>
        <w:rPr>
          <w:rStyle w:val="q4iawc"/>
          <w:rFonts w:ascii="Times New Roman" w:hAnsi="Times New Roman" w:cs="Times New Roman"/>
          <w:sz w:val="24"/>
          <w:szCs w:val="24"/>
        </w:rPr>
        <w:t>tautan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919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judul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9"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FB6919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14:paraId="3BF4072A" w14:textId="77777777" w:rsidR="00450B4E" w:rsidRPr="00FB6919" w:rsidRDefault="00450B4E" w:rsidP="00450B4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9">
        <w:rPr>
          <w:rFonts w:ascii="Times New Roman" w:hAnsi="Times New Roman" w:cs="Times New Roman"/>
          <w:sz w:val="24"/>
          <w:szCs w:val="24"/>
        </w:rPr>
        <w:t>Metode Analisis Data</w:t>
      </w:r>
    </w:p>
    <w:p w14:paraId="1BC3A323" w14:textId="77777777" w:rsidR="00450B4E" w:rsidRPr="006A6845" w:rsidRDefault="00450B4E" w:rsidP="00450B4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P</w:t>
      </w:r>
      <w:r w:rsidRPr="006A6845">
        <w:rPr>
          <w:rStyle w:val="q4iawc"/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</w:rPr>
        <w:t>strategi</w:t>
      </w:r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analitis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dipilih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Sebuah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studi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lastRenderedPageBreak/>
        <w:t>metodologi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deduktif-induktif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6A6845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Pr="006A6845">
        <w:rPr>
          <w:rFonts w:ascii="Times New Roman" w:hAnsi="Times New Roman" w:cs="Times New Roman"/>
          <w:sz w:val="24"/>
          <w:szCs w:val="24"/>
        </w:rPr>
        <w:t xml:space="preserve"> </w:t>
      </w:r>
      <w:r w:rsidRPr="007460DB">
        <w:rPr>
          <w:rFonts w:ascii="Times New Roman" w:hAnsi="Times New Roman" w:cs="Times New Roman"/>
          <w:sz w:val="24"/>
          <w:szCs w:val="24"/>
        </w:rPr>
        <w:t xml:space="preserve">Ini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inferensi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60DB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Pr="007460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dipilih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karena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luasnya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topik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6A6845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untuk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disusun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sesuai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perwakafan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di Indonesia dan Brunei Darussalam.</w:t>
      </w:r>
    </w:p>
    <w:p w14:paraId="3B563721" w14:textId="77777777" w:rsidR="00450B4E" w:rsidRPr="000A4C14" w:rsidRDefault="00450B4E" w:rsidP="00450B4E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4C14">
        <w:rPr>
          <w:rFonts w:ascii="Times New Roman" w:hAnsi="Times New Roman" w:cs="Times New Roman"/>
          <w:b/>
          <w:bCs/>
          <w:sz w:val="24"/>
          <w:szCs w:val="24"/>
        </w:rPr>
        <w:t>Sistematika</w:t>
      </w:r>
      <w:proofErr w:type="spellEnd"/>
      <w:r w:rsidRPr="000A4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C14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0A4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8DB66A" w14:textId="77777777" w:rsidR="00450B4E" w:rsidRPr="00D63C86" w:rsidRDefault="00450B4E" w:rsidP="00450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disusun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bagian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yang masing-masing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subbagian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845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berupa</w:t>
      </w:r>
      <w:proofErr w:type="spellEnd"/>
      <w:r w:rsidRPr="00D63C86">
        <w:rPr>
          <w:rStyle w:val="q4iawc"/>
          <w:rFonts w:ascii="Times New Roman" w:hAnsi="Times New Roman" w:cs="Times New Roman"/>
          <w:sz w:val="24"/>
          <w:szCs w:val="24"/>
        </w:rPr>
        <w:t>:</w:t>
      </w:r>
    </w:p>
    <w:p w14:paraId="589C0102" w14:textId="77777777" w:rsidR="00450B4E" w:rsidRPr="008C00F9" w:rsidRDefault="00450B4E" w:rsidP="00450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0F9">
        <w:rPr>
          <w:rFonts w:ascii="Times New Roman" w:hAnsi="Times New Roman" w:cs="Times New Roman"/>
          <w:sz w:val="24"/>
          <w:szCs w:val="24"/>
        </w:rPr>
        <w:t>Bab I</w:t>
      </w:r>
      <w:r w:rsidRPr="008C0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0F9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8C00F9">
        <w:rPr>
          <w:rFonts w:ascii="Times New Roman" w:hAnsi="Times New Roman" w:cs="Times New Roman"/>
          <w:sz w:val="24"/>
          <w:szCs w:val="24"/>
        </w:rPr>
        <w:t xml:space="preserve">. </w:t>
      </w:r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berupa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latar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>;</w:t>
      </w:r>
      <w:r w:rsidRPr="008C00F9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rumusan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>;</w:t>
      </w:r>
      <w:r w:rsidRPr="008C00F9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tujuan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>;</w:t>
      </w:r>
      <w:r w:rsidRPr="008C00F9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manfaat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>;</w:t>
      </w:r>
      <w:r w:rsidRPr="008C00F9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tinjauan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>;</w:t>
      </w:r>
      <w:r w:rsidRPr="008C00F9">
        <w:rPr>
          <w:rStyle w:val="viiyi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metode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sumber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metode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metode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metode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14:paraId="73DF9758" w14:textId="77777777" w:rsidR="00450B4E" w:rsidRPr="008C00F9" w:rsidRDefault="00450B4E" w:rsidP="00450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0F9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8C00F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8C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8C00F9">
        <w:rPr>
          <w:rFonts w:ascii="Times New Roman" w:hAnsi="Times New Roman" w:cs="Times New Roman"/>
          <w:sz w:val="24"/>
          <w:szCs w:val="24"/>
        </w:rPr>
        <w:t xml:space="preserve">. Bab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ini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teoritis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k</w:t>
      </w:r>
      <w:r w:rsidRPr="008C00F9">
        <w:rPr>
          <w:rStyle w:val="q4iawc"/>
          <w:rFonts w:ascii="Times New Roman" w:hAnsi="Times New Roman" w:cs="Times New Roman"/>
          <w:sz w:val="24"/>
          <w:szCs w:val="24"/>
        </w:rPr>
        <w:t>diangkat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relevan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dalam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judul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</w:p>
    <w:p w14:paraId="63BE0134" w14:textId="77777777" w:rsidR="00450B4E" w:rsidRPr="008C00F9" w:rsidRDefault="00450B4E" w:rsidP="00450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0F9">
        <w:rPr>
          <w:rFonts w:ascii="Times New Roman" w:hAnsi="Times New Roman" w:cs="Times New Roman"/>
          <w:sz w:val="24"/>
          <w:szCs w:val="24"/>
        </w:rPr>
        <w:lastRenderedPageBreak/>
        <w:t>Bab III</w:t>
      </w:r>
      <w:r w:rsidRPr="008C0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0F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8C00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00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00F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C00F9">
        <w:rPr>
          <w:rFonts w:ascii="Times New Roman" w:hAnsi="Times New Roman" w:cs="Times New Roman"/>
          <w:sz w:val="24"/>
          <w:szCs w:val="24"/>
        </w:rPr>
        <w:t xml:space="preserve">. </w:t>
      </w:r>
      <w:r w:rsidRPr="00BF2549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BF2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49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BF25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2549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BF2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4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F2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4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F2549">
        <w:rPr>
          <w:rFonts w:ascii="Times New Roman" w:hAnsi="Times New Roman" w:cs="Times New Roman"/>
          <w:sz w:val="24"/>
          <w:szCs w:val="24"/>
        </w:rPr>
        <w:t xml:space="preserve"> Wakaf Indonesia dan Brunei Darussa</w:t>
      </w:r>
      <w:r>
        <w:rPr>
          <w:rFonts w:ascii="Times New Roman" w:hAnsi="Times New Roman" w:cs="Times New Roman"/>
          <w:sz w:val="24"/>
          <w:szCs w:val="24"/>
        </w:rPr>
        <w:t>lam</w:t>
      </w:r>
      <w:r w:rsidRPr="008C00F9">
        <w:rPr>
          <w:rFonts w:ascii="Times New Roman" w:hAnsi="Times New Roman" w:cs="Times New Roman"/>
          <w:sz w:val="24"/>
          <w:szCs w:val="24"/>
        </w:rPr>
        <w:t>.</w:t>
      </w:r>
    </w:p>
    <w:p w14:paraId="0B411A03" w14:textId="23D19DB4" w:rsidR="00450B4E" w:rsidRPr="008C00F9" w:rsidRDefault="00450B4E" w:rsidP="00450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450B4E" w:rsidRPr="008C00F9" w:rsidSect="00450B4E">
          <w:headerReference w:type="default" r:id="rId7"/>
          <w:footerReference w:type="first" r:id="rId8"/>
          <w:pgSz w:w="11906" w:h="16838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8C00F9">
        <w:rPr>
          <w:rFonts w:ascii="Times New Roman" w:hAnsi="Times New Roman" w:cs="Times New Roman"/>
          <w:sz w:val="24"/>
          <w:szCs w:val="24"/>
          <w:lang w:val="en-US"/>
        </w:rPr>
        <w:t xml:space="preserve">Bab IV </w:t>
      </w:r>
      <w:proofErr w:type="spellStart"/>
      <w:r w:rsidRPr="008C00F9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8C00F9">
        <w:rPr>
          <w:rFonts w:ascii="Times New Roman" w:hAnsi="Times New Roman" w:cs="Times New Roman"/>
          <w:sz w:val="24"/>
          <w:szCs w:val="24"/>
        </w:rPr>
        <w:t xml:space="preserve">. Bab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ni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kristalisasi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segala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sesuatu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telah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dibahas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rumusan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dari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semua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hasil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pada masing-masing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bab</w:t>
      </w:r>
      <w:proofErr w:type="spellEnd"/>
      <w:r w:rsidRPr="008C00F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F9">
        <w:rPr>
          <w:rStyle w:val="q4iawc"/>
          <w:rFonts w:ascii="Times New Roman" w:hAnsi="Times New Roman" w:cs="Times New Roman"/>
          <w:sz w:val="24"/>
          <w:szCs w:val="24"/>
        </w:rPr>
        <w:t>sebelumny</w:t>
      </w:r>
      <w:r w:rsidR="00005433">
        <w:rPr>
          <w:rStyle w:val="q4iawc"/>
          <w:rFonts w:ascii="Times New Roman" w:hAnsi="Times New Roman" w:cs="Times New Roman"/>
          <w:sz w:val="24"/>
          <w:szCs w:val="24"/>
        </w:rPr>
        <w:t>a</w:t>
      </w:r>
      <w:proofErr w:type="spellEnd"/>
      <w:r w:rsidR="00005433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14:paraId="5D6E2306" w14:textId="77777777" w:rsidR="00953F7E" w:rsidRDefault="00953F7E"/>
    <w:sectPr w:rsidR="00953F7E" w:rsidSect="007E3DB9">
      <w:pgSz w:w="11910" w:h="16840"/>
      <w:pgMar w:top="2460" w:right="1300" w:bottom="280" w:left="1680" w:header="646" w:footer="0" w:gutter="0"/>
      <w:cols w:num="2" w:space="720" w:equalWidth="0">
        <w:col w:w="9360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3601" w14:textId="77777777" w:rsidR="00CC74E8" w:rsidRDefault="00CC74E8" w:rsidP="00450B4E">
      <w:pPr>
        <w:spacing w:after="0" w:line="240" w:lineRule="auto"/>
      </w:pPr>
      <w:r>
        <w:separator/>
      </w:r>
    </w:p>
  </w:endnote>
  <w:endnote w:type="continuationSeparator" w:id="0">
    <w:p w14:paraId="59DE1418" w14:textId="77777777" w:rsidR="00CC74E8" w:rsidRDefault="00CC74E8" w:rsidP="004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284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2533A" w14:textId="77777777" w:rsidR="00450B4E" w:rsidRDefault="00450B4E">
        <w:pPr>
          <w:pStyle w:val="Footer"/>
          <w:jc w:val="center"/>
        </w:pPr>
      </w:p>
      <w:p w14:paraId="4D4EA94C" w14:textId="05A865B4" w:rsidR="00450B4E" w:rsidRDefault="00450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C9FEC" w14:textId="77777777" w:rsidR="00450B4E" w:rsidRDefault="00450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8AA6" w14:textId="77777777" w:rsidR="00CC74E8" w:rsidRDefault="00CC74E8" w:rsidP="00450B4E">
      <w:pPr>
        <w:spacing w:after="0" w:line="240" w:lineRule="auto"/>
      </w:pPr>
      <w:r>
        <w:separator/>
      </w:r>
    </w:p>
  </w:footnote>
  <w:footnote w:type="continuationSeparator" w:id="0">
    <w:p w14:paraId="7B586E5B" w14:textId="77777777" w:rsidR="00CC74E8" w:rsidRDefault="00CC74E8" w:rsidP="00450B4E">
      <w:pPr>
        <w:spacing w:after="0" w:line="240" w:lineRule="auto"/>
      </w:pPr>
      <w:r>
        <w:continuationSeparator/>
      </w:r>
    </w:p>
  </w:footnote>
  <w:footnote w:id="1">
    <w:p w14:paraId="5B8F8AB4" w14:textId="77777777" w:rsidR="00450B4E" w:rsidRPr="00D30575" w:rsidRDefault="00450B4E" w:rsidP="00450B4E">
      <w:pPr>
        <w:pStyle w:val="FootnoteText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D30575">
        <w:rPr>
          <w:rStyle w:val="FootnoteReference"/>
          <w:rFonts w:ascii="Times New Roman" w:hAnsi="Times New Roman" w:cs="Times New Roman"/>
        </w:rPr>
        <w:footnoteRef/>
      </w:r>
      <w:r w:rsidRPr="00D30575">
        <w:rPr>
          <w:rFonts w:ascii="Times New Roman" w:hAnsi="Times New Roman" w:cs="Times New Roman"/>
        </w:rPr>
        <w:t xml:space="preserve"> Tiar Anwar Bahtiar, “Wakaf untuk Pengembangan Pendidikan”, Risalah Jum’ah, Pimpinan</w:t>
      </w:r>
      <w:r w:rsidRPr="00D30575">
        <w:rPr>
          <w:rFonts w:ascii="Times New Roman" w:hAnsi="Times New Roman" w:cs="Times New Roman"/>
          <w:lang w:val="en-US"/>
        </w:rPr>
        <w:t xml:space="preserve"> </w:t>
      </w:r>
      <w:r w:rsidRPr="00D30575">
        <w:rPr>
          <w:rFonts w:ascii="Times New Roman" w:hAnsi="Times New Roman" w:cs="Times New Roman"/>
        </w:rPr>
        <w:t>Wilayah Pemuda Persatuan Islam Banten. No. 634 Th. XIV Tangga</w:t>
      </w:r>
      <w:r>
        <w:rPr>
          <w:rFonts w:ascii="Times New Roman" w:hAnsi="Times New Roman" w:cs="Times New Roman"/>
          <w:lang w:val="en-US"/>
        </w:rPr>
        <w:t xml:space="preserve">l 13 Januari 2022 </w:t>
      </w:r>
      <w:proofErr w:type="spellStart"/>
      <w:r>
        <w:rPr>
          <w:rFonts w:ascii="Times New Roman" w:hAnsi="Times New Roman" w:cs="Times New Roman"/>
          <w:lang w:val="en-US"/>
        </w:rPr>
        <w:t>pukul</w:t>
      </w:r>
      <w:proofErr w:type="spellEnd"/>
      <w:r>
        <w:rPr>
          <w:rFonts w:ascii="Times New Roman" w:hAnsi="Times New Roman" w:cs="Times New Roman"/>
          <w:lang w:val="en-US"/>
        </w:rPr>
        <w:t xml:space="preserve"> 20:03 WIB</w:t>
      </w:r>
      <w:r w:rsidRPr="00D30575">
        <w:rPr>
          <w:rFonts w:ascii="Times New Roman" w:hAnsi="Times New Roman" w:cs="Times New Roman"/>
        </w:rPr>
        <w:t>.</w:t>
      </w:r>
    </w:p>
  </w:footnote>
  <w:footnote w:id="2">
    <w:p w14:paraId="2CC8FC46" w14:textId="77777777" w:rsidR="00450B4E" w:rsidRPr="006B2101" w:rsidRDefault="00450B4E" w:rsidP="00450B4E">
      <w:pPr>
        <w:pStyle w:val="FootnoteText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Style w:val="FootnoteReference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3F20A9">
        <w:rPr>
          <w:rFonts w:ascii="Times New Roman" w:hAnsi="Times New Roman" w:cs="Times New Roman"/>
        </w:rPr>
        <w:t xml:space="preserve">Direktorat </w:t>
      </w:r>
      <w:r w:rsidRPr="003F20A9">
        <w:rPr>
          <w:rFonts w:ascii="Times New Roman" w:hAnsi="Times New Roman" w:cs="Times New Roman"/>
        </w:rPr>
        <w:t>Jendral Bimbingan Masyarakat Islam dan Penyelenggaraan Haji Direktorat</w:t>
      </w:r>
      <w:r w:rsidRPr="003F20A9">
        <w:rPr>
          <w:rFonts w:ascii="Times New Roman" w:hAnsi="Times New Roman" w:cs="Times New Roman"/>
        </w:rPr>
        <w:br/>
        <w:t>Pengembangan Zakat dan Wakaf, Perkembangan Pengelolaan Wakaf di Indonesia. Jakarta:</w:t>
      </w:r>
      <w:r w:rsidRPr="003F20A9">
        <w:rPr>
          <w:rFonts w:ascii="Times New Roman" w:hAnsi="Times New Roman" w:cs="Times New Roman"/>
        </w:rPr>
        <w:br/>
        <w:t>Departemen Agama RI, 2005, hlm. 1</w:t>
      </w:r>
      <w:r>
        <w:rPr>
          <w:rFonts w:ascii="Times New Roman" w:hAnsi="Times New Roman" w:cs="Times New Roman"/>
          <w:lang w:val="en-US"/>
        </w:rPr>
        <w:t>-158.</w:t>
      </w:r>
    </w:p>
  </w:footnote>
  <w:footnote w:id="3">
    <w:p w14:paraId="3582DDF3" w14:textId="77777777" w:rsidR="00450B4E" w:rsidRPr="00AD42DB" w:rsidRDefault="00450B4E" w:rsidP="00450B4E">
      <w:pPr>
        <w:pStyle w:val="FootnoteText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AD42DB">
        <w:rPr>
          <w:rStyle w:val="FootnoteReference"/>
          <w:rFonts w:ascii="Times New Roman" w:hAnsi="Times New Roman" w:cs="Times New Roman"/>
        </w:rPr>
        <w:footnoteRef/>
      </w:r>
      <w:r>
        <w:rPr>
          <w:rStyle w:val="markedcontent"/>
          <w:rFonts w:ascii="Times New Roman" w:hAnsi="Times New Roman" w:cs="Times New Roman"/>
          <w:lang w:val="en-US"/>
        </w:rPr>
        <w:t xml:space="preserve"> </w:t>
      </w:r>
      <w:r w:rsidRPr="00AD42DB">
        <w:rPr>
          <w:rStyle w:val="markedcontent"/>
          <w:rFonts w:ascii="Times New Roman" w:hAnsi="Times New Roman" w:cs="Times New Roman"/>
          <w:lang w:val="en-US"/>
        </w:rPr>
        <w:t>E</w:t>
      </w:r>
      <w:r w:rsidRPr="00AD42DB">
        <w:rPr>
          <w:rStyle w:val="markedcontent"/>
          <w:rFonts w:ascii="Times New Roman" w:hAnsi="Times New Roman" w:cs="Times New Roman"/>
        </w:rPr>
        <w:t>mitry Aldi Ratman, “Wakaf Uang Ditinjau Dari Segi Hukum Islam dan Undang-</w:t>
      </w:r>
      <w:r w:rsidRPr="00AD42DB">
        <w:rPr>
          <w:rFonts w:ascii="Times New Roman" w:hAnsi="Times New Roman" w:cs="Times New Roman"/>
          <w:lang w:val="en-US"/>
        </w:rPr>
        <w:t xml:space="preserve"> </w:t>
      </w:r>
      <w:r w:rsidRPr="00AD42DB">
        <w:rPr>
          <w:rStyle w:val="markedcontent"/>
          <w:rFonts w:ascii="Times New Roman" w:hAnsi="Times New Roman" w:cs="Times New Roman"/>
        </w:rPr>
        <w:t>Undang Nomor 41 Tahun 2004 Tentang Wakaf Untuk Perkembangan Ekonomi Di Indonesia”,</w:t>
      </w:r>
      <w:r w:rsidRPr="00AD42DB">
        <w:rPr>
          <w:rFonts w:ascii="Times New Roman" w:hAnsi="Times New Roman" w:cs="Times New Roman"/>
          <w:lang w:val="en-US"/>
        </w:rPr>
        <w:t xml:space="preserve"> </w:t>
      </w:r>
      <w:r w:rsidRPr="00AD42DB">
        <w:rPr>
          <w:rStyle w:val="markedcontent"/>
          <w:rFonts w:ascii="Times New Roman" w:hAnsi="Times New Roman" w:cs="Times New Roman"/>
        </w:rPr>
        <w:t>Skripsi Fakultas Hukum, Universitas Padjajaran, 2010</w:t>
      </w:r>
      <w:r w:rsidRPr="00AD42DB">
        <w:rPr>
          <w:rStyle w:val="markedcontent"/>
          <w:rFonts w:ascii="Times New Roman" w:hAnsi="Times New Roman" w:cs="Times New Roman"/>
          <w:lang w:val="en-US"/>
        </w:rPr>
        <w:t xml:space="preserve">, </w:t>
      </w:r>
      <w:proofErr w:type="spellStart"/>
      <w:r w:rsidRPr="00AD42DB">
        <w:rPr>
          <w:rStyle w:val="markedcontent"/>
          <w:rFonts w:ascii="Times New Roman" w:hAnsi="Times New Roman" w:cs="Times New Roman"/>
          <w:lang w:val="en-US"/>
        </w:rPr>
        <w:t>hlm</w:t>
      </w:r>
      <w:proofErr w:type="spellEnd"/>
      <w:r w:rsidRPr="00AD42DB">
        <w:rPr>
          <w:rStyle w:val="markedcontent"/>
          <w:rFonts w:ascii="Times New Roman" w:hAnsi="Times New Roman" w:cs="Times New Roman"/>
          <w:lang w:val="en-US"/>
        </w:rPr>
        <w:t>. 4</w:t>
      </w:r>
      <w:r>
        <w:rPr>
          <w:rStyle w:val="markedcontent"/>
          <w:rFonts w:ascii="Times New Roman" w:hAnsi="Times New Roman" w:cs="Times New Roman"/>
          <w:lang w:val="en-US"/>
        </w:rPr>
        <w:t>-98.</w:t>
      </w:r>
    </w:p>
  </w:footnote>
  <w:footnote w:id="4">
    <w:p w14:paraId="788988EB" w14:textId="77777777" w:rsidR="00450B4E" w:rsidRPr="00A95027" w:rsidRDefault="00450B4E" w:rsidP="00450B4E">
      <w:pPr>
        <w:pStyle w:val="FootnoteText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A95027">
        <w:rPr>
          <w:rStyle w:val="FootnoteReference"/>
          <w:rFonts w:ascii="Times New Roman" w:hAnsi="Times New Roman" w:cs="Times New Roman"/>
        </w:rPr>
        <w:footnoteRef/>
      </w:r>
      <w:r w:rsidRPr="00A95027">
        <w:rPr>
          <w:rFonts w:ascii="Times New Roman" w:hAnsi="Times New Roman" w:cs="Times New Roman"/>
        </w:rPr>
        <w:t xml:space="preserve"> </w:t>
      </w:r>
      <w:r w:rsidRPr="00A95027">
        <w:rPr>
          <w:rStyle w:val="markedcontent"/>
          <w:rFonts w:ascii="Times New Roman" w:hAnsi="Times New Roman" w:cs="Times New Roman"/>
        </w:rPr>
        <w:t>Direktorat Pemberdayaan Wakaf, Perkembangan Pengelolaan Wakaf di Indonesia.</w:t>
      </w:r>
      <w:r w:rsidRPr="00A95027">
        <w:rPr>
          <w:rFonts w:ascii="Times New Roman" w:hAnsi="Times New Roman" w:cs="Times New Roman"/>
          <w:lang w:val="en-US"/>
        </w:rPr>
        <w:t xml:space="preserve"> </w:t>
      </w:r>
      <w:r w:rsidRPr="00A95027">
        <w:rPr>
          <w:rStyle w:val="markedcontent"/>
          <w:rFonts w:ascii="Times New Roman" w:hAnsi="Times New Roman" w:cs="Times New Roman"/>
        </w:rPr>
        <w:t>Direktorat Jenderal Bimbingan Masyarakat Islam. 2006. hlm. 37-38</w:t>
      </w:r>
      <w:r>
        <w:rPr>
          <w:rStyle w:val="markedcontent"/>
          <w:rFonts w:ascii="Times New Roman" w:hAnsi="Times New Roman" w:cs="Times New Roman"/>
          <w:lang w:val="en-US"/>
        </w:rPr>
        <w:t>.</w:t>
      </w:r>
    </w:p>
  </w:footnote>
  <w:footnote w:id="5">
    <w:p w14:paraId="4F5690D0" w14:textId="77777777" w:rsidR="00450B4E" w:rsidRPr="006B2101" w:rsidRDefault="00450B4E" w:rsidP="00450B4E">
      <w:pPr>
        <w:pStyle w:val="FootnoteText"/>
        <w:spacing w:line="240" w:lineRule="auto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</w:t>
      </w:r>
      <w:r>
        <w:rPr>
          <w:rStyle w:val="FootnoteReference"/>
        </w:rPr>
        <w:footnoteRef/>
      </w:r>
      <w:r>
        <w:t xml:space="preserve"> </w:t>
      </w:r>
      <w:r w:rsidRPr="00DD70A2">
        <w:rPr>
          <w:rStyle w:val="markedcontent"/>
          <w:rFonts w:ascii="Times New Roman" w:hAnsi="Times New Roman" w:cs="Times New Roman"/>
        </w:rPr>
        <w:t>Direktorat Pemberdayaan Wakaf, Panduan Penberdayaan Tanah Wakaf Produktif Strategis</w:t>
      </w:r>
      <w:r>
        <w:rPr>
          <w:rFonts w:ascii="Times New Roman" w:hAnsi="Times New Roman" w:cs="Times New Roman"/>
          <w:lang w:val="en-US"/>
        </w:rPr>
        <w:t xml:space="preserve"> </w:t>
      </w:r>
      <w:r w:rsidRPr="00DD70A2">
        <w:rPr>
          <w:rStyle w:val="markedcontent"/>
          <w:rFonts w:ascii="Times New Roman" w:hAnsi="Times New Roman" w:cs="Times New Roman"/>
        </w:rPr>
        <w:t>di</w:t>
      </w:r>
      <w:r>
        <w:rPr>
          <w:rStyle w:val="markedcontent"/>
          <w:rFonts w:ascii="Times New Roman" w:hAnsi="Times New Roman" w:cs="Times New Roman"/>
          <w:lang w:val="en-US"/>
        </w:rPr>
        <w:t xml:space="preserve"> </w:t>
      </w:r>
      <w:r w:rsidRPr="00DD70A2">
        <w:rPr>
          <w:rStyle w:val="markedcontent"/>
          <w:rFonts w:ascii="Times New Roman" w:hAnsi="Times New Roman" w:cs="Times New Roman"/>
        </w:rPr>
        <w:t>Indonesia. Direktorat Jenderal Bimbingan Masyarakat Islam. 2006</w:t>
      </w:r>
      <w:r>
        <w:rPr>
          <w:rStyle w:val="markedcontent"/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lang w:val="en-US"/>
        </w:rPr>
        <w:t>hlm</w:t>
      </w:r>
      <w:proofErr w:type="spellEnd"/>
      <w:r>
        <w:rPr>
          <w:rStyle w:val="markedcontent"/>
          <w:rFonts w:ascii="Times New Roman" w:hAnsi="Times New Roman" w:cs="Times New Roman"/>
          <w:lang w:val="en-US"/>
        </w:rPr>
        <w:t>. 7-90.</w:t>
      </w:r>
    </w:p>
  </w:footnote>
  <w:footnote w:id="6">
    <w:p w14:paraId="46FE55B3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1C3B2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bookmarkStart w:id="2" w:name="_Hlk107945843"/>
      <w:proofErr w:type="spellStart"/>
      <w:r w:rsidRPr="001C3B28">
        <w:rPr>
          <w:rFonts w:ascii="Times New Roman" w:hAnsi="Times New Roman" w:cs="Times New Roman"/>
          <w:lang w:val="en-US"/>
        </w:rPr>
        <w:t>Urip</w:t>
      </w:r>
      <w:proofErr w:type="spellEnd"/>
      <w:r w:rsidRPr="001C3B28">
        <w:rPr>
          <w:rFonts w:ascii="Times New Roman" w:hAnsi="Times New Roman" w:cs="Times New Roman"/>
          <w:lang w:val="en-US"/>
        </w:rPr>
        <w:t xml:space="preserve"> Budiarto, </w:t>
      </w:r>
      <w:proofErr w:type="spellStart"/>
      <w:r w:rsidRPr="001C3B28">
        <w:rPr>
          <w:rFonts w:ascii="Times New Roman" w:hAnsi="Times New Roman" w:cs="Times New Roman"/>
          <w:lang w:val="en-US"/>
        </w:rPr>
        <w:t>Pengembangan</w:t>
      </w:r>
      <w:proofErr w:type="spellEnd"/>
      <w:r w:rsidRPr="001C3B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3B28">
        <w:rPr>
          <w:rFonts w:ascii="Times New Roman" w:hAnsi="Times New Roman" w:cs="Times New Roman"/>
          <w:lang w:val="en-US"/>
        </w:rPr>
        <w:t>Digitalisasi</w:t>
      </w:r>
      <w:proofErr w:type="spellEnd"/>
      <w:r w:rsidRPr="001C3B28">
        <w:rPr>
          <w:rFonts w:ascii="Times New Roman" w:hAnsi="Times New Roman" w:cs="Times New Roman"/>
          <w:lang w:val="en-US"/>
        </w:rPr>
        <w:t xml:space="preserve"> dan Integrasi data Wakaf Nasional,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" w:history="1">
        <w:r w:rsidRPr="00680EAC">
          <w:rPr>
            <w:rStyle w:val="Hyperlink"/>
            <w:rFonts w:ascii="Times New Roman" w:eastAsiaTheme="majorEastAsia" w:hAnsi="Times New Roman" w:cs="Times New Roman"/>
            <w:lang w:val="en-US"/>
          </w:rPr>
          <w:t>https://knks.go.id/isuutama/29/pengembangan-digitalisasi-dan-integrasi-data-wakaf-nasional</w:t>
        </w:r>
      </w:hyperlink>
      <w:r w:rsidRPr="001C3B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3B28">
        <w:rPr>
          <w:rFonts w:ascii="Times New Roman" w:hAnsi="Times New Roman" w:cs="Times New Roman"/>
          <w:lang w:val="en-US"/>
        </w:rPr>
        <w:t>diakses</w:t>
      </w:r>
      <w:proofErr w:type="spellEnd"/>
      <w:r w:rsidRPr="001C3B28">
        <w:rPr>
          <w:rFonts w:ascii="Times New Roman" w:hAnsi="Times New Roman" w:cs="Times New Roman"/>
          <w:lang w:val="en-US"/>
        </w:rPr>
        <w:t xml:space="preserve"> pada 4 </w:t>
      </w:r>
      <w:proofErr w:type="spellStart"/>
      <w:r w:rsidRPr="001C3B28">
        <w:rPr>
          <w:rFonts w:ascii="Times New Roman" w:hAnsi="Times New Roman" w:cs="Times New Roman"/>
          <w:lang w:val="en-US"/>
        </w:rPr>
        <w:t>Desembe</w:t>
      </w:r>
      <w:r>
        <w:rPr>
          <w:rFonts w:ascii="Times New Roman" w:hAnsi="Times New Roman" w:cs="Times New Roman"/>
          <w:lang w:val="en-US"/>
        </w:rPr>
        <w:t>r</w:t>
      </w:r>
      <w:proofErr w:type="spellEnd"/>
      <w:r w:rsidRPr="001C3B28">
        <w:rPr>
          <w:rFonts w:ascii="Times New Roman" w:hAnsi="Times New Roman" w:cs="Times New Roman"/>
          <w:lang w:val="en-US"/>
        </w:rPr>
        <w:t xml:space="preserve"> 2021.</w:t>
      </w:r>
      <w:bookmarkEnd w:id="2"/>
    </w:p>
  </w:footnote>
  <w:footnote w:id="7">
    <w:p w14:paraId="262AA193" w14:textId="77777777" w:rsidR="00450B4E" w:rsidRPr="00666150" w:rsidRDefault="00450B4E" w:rsidP="00450B4E">
      <w:pPr>
        <w:pStyle w:val="FootnoteText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</w:t>
      </w:r>
      <w:r>
        <w:rPr>
          <w:rStyle w:val="FootnoteReference"/>
        </w:rPr>
        <w:footnoteRef/>
      </w:r>
      <w:r>
        <w:t xml:space="preserve"> </w:t>
      </w:r>
      <w:r w:rsidRPr="00666150">
        <w:rPr>
          <w:rFonts w:ascii="Times New Roman" w:hAnsi="Times New Roman" w:cs="Times New Roman"/>
        </w:rPr>
        <w:t>Rozalinda, Manajemen Wakaf Produktif (Jakarta: Rajawali Pers, 2015), h</w:t>
      </w:r>
      <w:proofErr w:type="spellStart"/>
      <w:r>
        <w:rPr>
          <w:rFonts w:ascii="Times New Roman" w:hAnsi="Times New Roman" w:cs="Times New Roman"/>
          <w:lang w:val="en-US"/>
        </w:rPr>
        <w:t>lm</w:t>
      </w:r>
      <w:proofErr w:type="spellEnd"/>
      <w:r w:rsidRPr="00666150">
        <w:rPr>
          <w:rFonts w:ascii="Times New Roman" w:hAnsi="Times New Roman" w:cs="Times New Roman"/>
        </w:rPr>
        <w:t>. 8-9</w:t>
      </w:r>
      <w:r>
        <w:rPr>
          <w:rFonts w:ascii="Times New Roman" w:hAnsi="Times New Roman" w:cs="Times New Roman"/>
          <w:lang w:val="en-US"/>
        </w:rPr>
        <w:t>.</w:t>
      </w:r>
    </w:p>
  </w:footnote>
  <w:footnote w:id="8">
    <w:p w14:paraId="4C854D4F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BC175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1755">
        <w:rPr>
          <w:rFonts w:ascii="Times New Roman" w:hAnsi="Times New Roman" w:cs="Times New Roman"/>
          <w:lang w:val="en-US"/>
        </w:rPr>
        <w:t>Rachmadi</w:t>
      </w:r>
      <w:proofErr w:type="spellEnd"/>
      <w:r w:rsidRPr="00BC1755">
        <w:rPr>
          <w:rFonts w:ascii="Times New Roman" w:hAnsi="Times New Roman" w:cs="Times New Roman"/>
          <w:lang w:val="en-US"/>
        </w:rPr>
        <w:t xml:space="preserve"> Usman, </w:t>
      </w:r>
      <w:r w:rsidRPr="00372E77">
        <w:rPr>
          <w:rFonts w:ascii="Times New Roman" w:hAnsi="Times New Roman" w:cs="Times New Roman"/>
          <w:i/>
          <w:iCs/>
          <w:lang w:val="en-US"/>
        </w:rPr>
        <w:t xml:space="preserve">Hukum </w:t>
      </w:r>
      <w:proofErr w:type="spellStart"/>
      <w:r w:rsidRPr="00372E77">
        <w:rPr>
          <w:rFonts w:ascii="Times New Roman" w:hAnsi="Times New Roman" w:cs="Times New Roman"/>
          <w:i/>
          <w:iCs/>
          <w:lang w:val="en-US"/>
        </w:rPr>
        <w:t>Perwakafan</w:t>
      </w:r>
      <w:proofErr w:type="spellEnd"/>
      <w:r w:rsidRPr="00372E77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d</w:t>
      </w:r>
      <w:r w:rsidRPr="00372E77">
        <w:rPr>
          <w:rFonts w:ascii="Times New Roman" w:hAnsi="Times New Roman" w:cs="Times New Roman"/>
          <w:i/>
          <w:iCs/>
          <w:lang w:val="en-US"/>
        </w:rPr>
        <w:t>i Indonesia</w:t>
      </w:r>
      <w:r w:rsidRPr="00BC1755">
        <w:rPr>
          <w:rFonts w:ascii="Times New Roman" w:hAnsi="Times New Roman" w:cs="Times New Roman"/>
          <w:lang w:val="en-US"/>
        </w:rPr>
        <w:t xml:space="preserve">, Jakarta: </w:t>
      </w:r>
      <w:proofErr w:type="spellStart"/>
      <w:r w:rsidRPr="00BC1755">
        <w:rPr>
          <w:rFonts w:ascii="Times New Roman" w:hAnsi="Times New Roman" w:cs="Times New Roman"/>
          <w:lang w:val="en-US"/>
        </w:rPr>
        <w:t>Sinar</w:t>
      </w:r>
      <w:proofErr w:type="spellEnd"/>
      <w:r w:rsidRPr="00BC17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1755">
        <w:rPr>
          <w:rFonts w:ascii="Times New Roman" w:hAnsi="Times New Roman" w:cs="Times New Roman"/>
          <w:lang w:val="en-US"/>
        </w:rPr>
        <w:t>Grafika</w:t>
      </w:r>
      <w:proofErr w:type="spellEnd"/>
      <w:r w:rsidRPr="00BC1755">
        <w:rPr>
          <w:rFonts w:ascii="Times New Roman" w:hAnsi="Times New Roman" w:cs="Times New Roman"/>
          <w:lang w:val="en-US"/>
        </w:rPr>
        <w:t xml:space="preserve"> 2009, hlm.121.</w:t>
      </w:r>
    </w:p>
  </w:footnote>
  <w:footnote w:id="9">
    <w:p w14:paraId="30F39F6D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2C626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Ma</w:t>
      </w:r>
      <w:r w:rsidRPr="00733B8F">
        <w:rPr>
          <w:rFonts w:ascii="Times New Roman" w:hAnsi="Times New Roman" w:cs="Times New Roman"/>
          <w:lang w:val="en-US"/>
        </w:rPr>
        <w:t xml:space="preserve">rina Abu Bakar, </w:t>
      </w:r>
      <w:r w:rsidRPr="00733B8F">
        <w:rPr>
          <w:rFonts w:ascii="Times New Roman" w:hAnsi="Times New Roman" w:cs="Times New Roman"/>
          <w:i/>
          <w:iCs/>
          <w:lang w:val="en-US"/>
        </w:rPr>
        <w:t>et al.,</w:t>
      </w:r>
      <w:r w:rsidRPr="00733B8F">
        <w:rPr>
          <w:rFonts w:ascii="Times New Roman" w:hAnsi="Times New Roman" w:cs="Times New Roman"/>
          <w:lang w:val="en-US"/>
        </w:rPr>
        <w:t xml:space="preserve">” </w:t>
      </w:r>
      <w:r w:rsidRPr="00372E77">
        <w:rPr>
          <w:rFonts w:ascii="Times New Roman" w:hAnsi="Times New Roman" w:cs="Times New Roman"/>
          <w:i/>
          <w:iCs/>
        </w:rPr>
        <w:t>The Swot Analysis Of Waqf Governance In Brunei Darussalam</w:t>
      </w:r>
      <w:r w:rsidRPr="00733B8F">
        <w:rPr>
          <w:rFonts w:ascii="Times New Roman" w:hAnsi="Times New Roman" w:cs="Times New Roman"/>
          <w:lang w:val="en-US"/>
        </w:rPr>
        <w:t xml:space="preserve">”, </w:t>
      </w:r>
      <w:r w:rsidRPr="00733B8F">
        <w:rPr>
          <w:rFonts w:ascii="Times New Roman" w:hAnsi="Times New Roman" w:cs="Times New Roman"/>
        </w:rPr>
        <w:t>International Research Journal of Shariah, Muamalat and Islam (IRJSMI)</w:t>
      </w:r>
      <w:r w:rsidRPr="00733B8F">
        <w:rPr>
          <w:rFonts w:ascii="Times New Roman" w:hAnsi="Times New Roman" w:cs="Times New Roman"/>
          <w:lang w:val="en-US"/>
        </w:rPr>
        <w:t xml:space="preserve">, Vol 2, Maret 2020, </w:t>
      </w:r>
      <w:proofErr w:type="spellStart"/>
      <w:r w:rsidRPr="00733B8F">
        <w:rPr>
          <w:rFonts w:ascii="Times New Roman" w:hAnsi="Times New Roman" w:cs="Times New Roman"/>
          <w:lang w:val="en-US"/>
        </w:rPr>
        <w:t>hlm</w:t>
      </w:r>
      <w:proofErr w:type="spellEnd"/>
      <w:r w:rsidRPr="00733B8F">
        <w:rPr>
          <w:rFonts w:ascii="Times New Roman" w:hAnsi="Times New Roman" w:cs="Times New Roman"/>
          <w:lang w:val="en-US"/>
        </w:rPr>
        <w:t>. 3</w:t>
      </w:r>
      <w:r>
        <w:rPr>
          <w:rFonts w:ascii="Times New Roman" w:hAnsi="Times New Roman" w:cs="Times New Roman"/>
          <w:lang w:val="en-US"/>
        </w:rPr>
        <w:t>-22.</w:t>
      </w:r>
    </w:p>
  </w:footnote>
  <w:footnote w:id="10">
    <w:p w14:paraId="0D37D644" w14:textId="77777777" w:rsidR="00450B4E" w:rsidRPr="00733B8F" w:rsidRDefault="00450B4E" w:rsidP="00450B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733B8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3B8F">
        <w:rPr>
          <w:rFonts w:ascii="Times New Roman" w:hAnsi="Times New Roman" w:cs="Times New Roman"/>
          <w:i/>
          <w:iCs/>
          <w:sz w:val="20"/>
          <w:szCs w:val="20"/>
          <w:lang w:val="en-US"/>
        </w:rPr>
        <w:t>Ibid</w:t>
      </w:r>
      <w:r w:rsidRPr="00733B8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33B8F">
        <w:rPr>
          <w:rStyle w:val="markedcontent"/>
          <w:rFonts w:ascii="Times New Roman" w:hAnsi="Times New Roman" w:cs="Times New Roman"/>
          <w:sz w:val="20"/>
          <w:szCs w:val="20"/>
        </w:rPr>
        <w:t>hlm</w:t>
      </w:r>
      <w:proofErr w:type="spellEnd"/>
      <w:r w:rsidRPr="00733B8F">
        <w:rPr>
          <w:rStyle w:val="markedcontent"/>
          <w:rFonts w:ascii="Times New Roman" w:hAnsi="Times New Roman" w:cs="Times New Roman"/>
          <w:sz w:val="20"/>
          <w:szCs w:val="20"/>
        </w:rPr>
        <w:t>. 5</w:t>
      </w:r>
      <w:r>
        <w:rPr>
          <w:rStyle w:val="markedcontent"/>
          <w:rFonts w:ascii="Times New Roman" w:hAnsi="Times New Roman" w:cs="Times New Roman"/>
          <w:sz w:val="20"/>
          <w:szCs w:val="20"/>
        </w:rPr>
        <w:t>-22.</w:t>
      </w:r>
    </w:p>
    <w:p w14:paraId="3223B4FD" w14:textId="77777777" w:rsidR="00450B4E" w:rsidRDefault="00450B4E" w:rsidP="00450B4E">
      <w:pPr>
        <w:spacing w:line="240" w:lineRule="auto"/>
        <w:jc w:val="both"/>
      </w:pPr>
    </w:p>
  </w:footnote>
  <w:footnote w:id="11">
    <w:p w14:paraId="1EE30FED" w14:textId="77777777" w:rsidR="00450B4E" w:rsidRPr="0050323E" w:rsidRDefault="00450B4E" w:rsidP="00450B4E">
      <w:pPr>
        <w:pStyle w:val="FootnoteTex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50323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bookmarkStart w:id="4" w:name="_Hlk107947808"/>
      <w:r w:rsidRPr="0050323E">
        <w:rPr>
          <w:rFonts w:ascii="Times New Roman" w:hAnsi="Times New Roman" w:cs="Times New Roman"/>
          <w:lang w:val="en-US"/>
        </w:rPr>
        <w:t xml:space="preserve">Jauhar </w:t>
      </w:r>
      <w:proofErr w:type="spellStart"/>
      <w:r w:rsidRPr="0050323E">
        <w:rPr>
          <w:rFonts w:ascii="Times New Roman" w:hAnsi="Times New Roman" w:cs="Times New Roman"/>
          <w:lang w:val="en-US"/>
        </w:rPr>
        <w:t>Faradis</w:t>
      </w:r>
      <w:proofErr w:type="spellEnd"/>
      <w:r w:rsidRPr="0050323E">
        <w:rPr>
          <w:rFonts w:ascii="Times New Roman" w:hAnsi="Times New Roman" w:cs="Times New Roman"/>
          <w:lang w:val="en-US"/>
        </w:rPr>
        <w:t>, “</w:t>
      </w:r>
      <w:r w:rsidRPr="0050323E">
        <w:rPr>
          <w:rStyle w:val="markedcontent"/>
          <w:rFonts w:ascii="Times New Roman" w:hAnsi="Times New Roman" w:cs="Times New Roman"/>
          <w:i/>
          <w:iCs/>
        </w:rPr>
        <w:t>Manajemen Fundraising Wakaf Produktif:</w:t>
      </w:r>
      <w:r w:rsidRPr="0050323E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0323E">
        <w:rPr>
          <w:rStyle w:val="markedcontent"/>
          <w:rFonts w:ascii="Times New Roman" w:hAnsi="Times New Roman" w:cs="Times New Roman"/>
          <w:i/>
          <w:iCs/>
        </w:rPr>
        <w:t>Perbandingan Wakaf Selangor (PWS) Malaysia dan</w:t>
      </w:r>
      <w:r w:rsidRPr="0050323E">
        <w:rPr>
          <w:rStyle w:val="markedcontent"/>
          <w:rFonts w:ascii="Times New Roman" w:hAnsi="Times New Roman" w:cs="Times New Roman"/>
          <w:i/>
          <w:iCs/>
          <w:lang w:val="en-US"/>
        </w:rPr>
        <w:t xml:space="preserve"> </w:t>
      </w:r>
      <w:r w:rsidRPr="0050323E">
        <w:rPr>
          <w:rStyle w:val="markedcontent"/>
          <w:rFonts w:ascii="Times New Roman" w:hAnsi="Times New Roman" w:cs="Times New Roman"/>
          <w:i/>
          <w:iCs/>
        </w:rPr>
        <w:t>Badan</w:t>
      </w:r>
      <w:r w:rsidRPr="0050323E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0323E">
        <w:rPr>
          <w:rStyle w:val="markedcontent"/>
          <w:rFonts w:ascii="Times New Roman" w:hAnsi="Times New Roman" w:cs="Times New Roman"/>
          <w:i/>
          <w:iCs/>
        </w:rPr>
        <w:t>Wakaf Indonesia</w:t>
      </w:r>
      <w:r w:rsidRPr="0050323E">
        <w:rPr>
          <w:rStyle w:val="markedcontent"/>
          <w:rFonts w:ascii="Times New Roman" w:hAnsi="Times New Roman" w:cs="Times New Roman"/>
          <w:lang w:val="en-US"/>
        </w:rPr>
        <w:t xml:space="preserve">” </w:t>
      </w:r>
      <w:proofErr w:type="spellStart"/>
      <w:r w:rsidRPr="0050323E">
        <w:rPr>
          <w:rStyle w:val="markedcontent"/>
          <w:rFonts w:ascii="Times New Roman" w:hAnsi="Times New Roman" w:cs="Times New Roman"/>
          <w:lang w:val="en-US"/>
        </w:rPr>
        <w:t>Jurnal</w:t>
      </w:r>
      <w:proofErr w:type="spellEnd"/>
      <w:r w:rsidRPr="0050323E">
        <w:rPr>
          <w:rStyle w:val="markedcontent"/>
          <w:rFonts w:ascii="Times New Roman" w:hAnsi="Times New Roman" w:cs="Times New Roman"/>
          <w:lang w:val="en-US"/>
        </w:rPr>
        <w:t xml:space="preserve"> </w:t>
      </w:r>
      <w:proofErr w:type="spellStart"/>
      <w:r w:rsidRPr="0050323E">
        <w:rPr>
          <w:rStyle w:val="markedcontent"/>
          <w:rFonts w:ascii="Times New Roman" w:hAnsi="Times New Roman" w:cs="Times New Roman"/>
          <w:lang w:val="en-US"/>
        </w:rPr>
        <w:t>Ilmu</w:t>
      </w:r>
      <w:proofErr w:type="spellEnd"/>
      <w:r w:rsidRPr="0050323E">
        <w:rPr>
          <w:rStyle w:val="markedcontent"/>
          <w:rFonts w:ascii="Times New Roman" w:hAnsi="Times New Roman" w:cs="Times New Roman"/>
          <w:lang w:val="en-US"/>
        </w:rPr>
        <w:t xml:space="preserve"> </w:t>
      </w:r>
      <w:proofErr w:type="spellStart"/>
      <w:r w:rsidRPr="0050323E">
        <w:rPr>
          <w:rStyle w:val="markedcontent"/>
          <w:rFonts w:ascii="Times New Roman" w:hAnsi="Times New Roman" w:cs="Times New Roman"/>
          <w:lang w:val="en-US"/>
        </w:rPr>
        <w:t>Syari’ah</w:t>
      </w:r>
      <w:proofErr w:type="spellEnd"/>
      <w:r w:rsidRPr="0050323E">
        <w:rPr>
          <w:rStyle w:val="markedcontent"/>
          <w:rFonts w:ascii="Times New Roman" w:hAnsi="Times New Roman" w:cs="Times New Roman"/>
          <w:lang w:val="en-US"/>
        </w:rPr>
        <w:t xml:space="preserve"> dan Hukum, Vol. 49 </w:t>
      </w:r>
      <w:proofErr w:type="spellStart"/>
      <w:r w:rsidRPr="0050323E">
        <w:rPr>
          <w:rStyle w:val="markedcontent"/>
          <w:rFonts w:ascii="Times New Roman" w:hAnsi="Times New Roman" w:cs="Times New Roman"/>
          <w:lang w:val="en-US"/>
        </w:rPr>
        <w:t>Nomor</w:t>
      </w:r>
      <w:proofErr w:type="spellEnd"/>
      <w:r w:rsidRPr="0050323E">
        <w:rPr>
          <w:rStyle w:val="markedcontent"/>
          <w:rFonts w:ascii="Times New Roman" w:hAnsi="Times New Roman" w:cs="Times New Roman"/>
          <w:lang w:val="en-US"/>
        </w:rPr>
        <w:t xml:space="preserve"> 2, </w:t>
      </w:r>
      <w:proofErr w:type="spellStart"/>
      <w:r w:rsidRPr="0050323E">
        <w:rPr>
          <w:rStyle w:val="markedcontent"/>
          <w:rFonts w:ascii="Times New Roman" w:hAnsi="Times New Roman" w:cs="Times New Roman"/>
          <w:lang w:val="en-US"/>
        </w:rPr>
        <w:t>Desember</w:t>
      </w:r>
      <w:proofErr w:type="spellEnd"/>
      <w:r w:rsidRPr="0050323E">
        <w:rPr>
          <w:rStyle w:val="markedcontent"/>
          <w:rFonts w:ascii="Times New Roman" w:hAnsi="Times New Roman" w:cs="Times New Roman"/>
          <w:lang w:val="en-US"/>
        </w:rPr>
        <w:t xml:space="preserve"> 2015, </w:t>
      </w:r>
      <w:proofErr w:type="spellStart"/>
      <w:r w:rsidRPr="0050323E">
        <w:rPr>
          <w:rStyle w:val="markedcontent"/>
          <w:rFonts w:ascii="Times New Roman" w:hAnsi="Times New Roman" w:cs="Times New Roman"/>
          <w:lang w:val="en-US"/>
        </w:rPr>
        <w:t>hlm</w:t>
      </w:r>
      <w:proofErr w:type="spellEnd"/>
      <w:r w:rsidRPr="0050323E">
        <w:rPr>
          <w:rStyle w:val="markedcontent"/>
          <w:rFonts w:ascii="Times New Roman" w:hAnsi="Times New Roman" w:cs="Times New Roman"/>
          <w:lang w:val="en-US"/>
        </w:rPr>
        <w:t>. 501.</w:t>
      </w:r>
      <w:bookmarkEnd w:id="4"/>
    </w:p>
  </w:footnote>
  <w:footnote w:id="12">
    <w:p w14:paraId="07E6AB8D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50323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50323E">
        <w:rPr>
          <w:rFonts w:ascii="Times New Roman" w:hAnsi="Times New Roman" w:cs="Times New Roman"/>
          <w:lang w:val="en-US"/>
        </w:rPr>
        <w:t xml:space="preserve">Lutfi </w:t>
      </w:r>
      <w:proofErr w:type="spellStart"/>
      <w:r w:rsidRPr="0050323E">
        <w:rPr>
          <w:rFonts w:ascii="Times New Roman" w:hAnsi="Times New Roman" w:cs="Times New Roman"/>
          <w:lang w:val="en-US"/>
        </w:rPr>
        <w:t>Dwi</w:t>
      </w:r>
      <w:proofErr w:type="spellEnd"/>
      <w:r w:rsidRPr="0050323E">
        <w:rPr>
          <w:rFonts w:ascii="Times New Roman" w:hAnsi="Times New Roman" w:cs="Times New Roman"/>
          <w:lang w:val="en-US"/>
        </w:rPr>
        <w:t xml:space="preserve"> Puji Astuti, Donny </w:t>
      </w:r>
      <w:proofErr w:type="spellStart"/>
      <w:r w:rsidRPr="0050323E">
        <w:rPr>
          <w:rFonts w:ascii="Times New Roman" w:hAnsi="Times New Roman" w:cs="Times New Roman"/>
          <w:lang w:val="en-US"/>
        </w:rPr>
        <w:t>Ardhiasa</w:t>
      </w:r>
      <w:proofErr w:type="spellEnd"/>
      <w:r w:rsidRPr="0050323E">
        <w:rPr>
          <w:rFonts w:ascii="Times New Roman" w:hAnsi="Times New Roman" w:cs="Times New Roman"/>
          <w:lang w:val="en-US"/>
        </w:rPr>
        <w:t xml:space="preserve">, 10 Negara </w:t>
      </w:r>
      <w:proofErr w:type="spellStart"/>
      <w:r w:rsidRPr="0050323E">
        <w:rPr>
          <w:rFonts w:ascii="Times New Roman" w:hAnsi="Times New Roman" w:cs="Times New Roman"/>
          <w:lang w:val="en-US"/>
        </w:rPr>
        <w:t>dengan</w:t>
      </w:r>
      <w:proofErr w:type="spellEnd"/>
      <w:r w:rsidRPr="0050323E">
        <w:rPr>
          <w:rFonts w:ascii="Times New Roman" w:hAnsi="Times New Roman" w:cs="Times New Roman"/>
          <w:lang w:val="en-US"/>
        </w:rPr>
        <w:t xml:space="preserve"> Muslim </w:t>
      </w:r>
      <w:proofErr w:type="spellStart"/>
      <w:r w:rsidRPr="0050323E">
        <w:rPr>
          <w:rFonts w:ascii="Times New Roman" w:hAnsi="Times New Roman" w:cs="Times New Roman"/>
          <w:lang w:val="en-US"/>
        </w:rPr>
        <w:t>Terbanyak</w:t>
      </w:r>
      <w:proofErr w:type="spellEnd"/>
      <w:r w:rsidRPr="0050323E">
        <w:rPr>
          <w:rFonts w:ascii="Times New Roman" w:hAnsi="Times New Roman" w:cs="Times New Roman"/>
          <w:lang w:val="en-US"/>
        </w:rPr>
        <w:t xml:space="preserve"> di Dunia, </w:t>
      </w:r>
      <w:hyperlink r:id="rId2" w:history="1">
        <w:r w:rsidRPr="0050323E">
          <w:rPr>
            <w:rStyle w:val="Hyperlink"/>
            <w:rFonts w:ascii="Times New Roman" w:eastAsiaTheme="majorEastAsia" w:hAnsi="Times New Roman" w:cs="Times New Roman"/>
            <w:lang w:val="en-US"/>
          </w:rPr>
          <w:t>https://www.viva.co.id/ramadan/doa-dan-inspirasi/1361009-10-negara-dengan-muslim-terbanyak-di-dunia</w:t>
        </w:r>
      </w:hyperlink>
      <w:r w:rsidRPr="00503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23E">
        <w:rPr>
          <w:rFonts w:ascii="Times New Roman" w:hAnsi="Times New Roman" w:cs="Times New Roman"/>
          <w:lang w:val="en-US"/>
        </w:rPr>
        <w:t>diakses</w:t>
      </w:r>
      <w:proofErr w:type="spellEnd"/>
      <w:r w:rsidRPr="0050323E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50323E">
        <w:rPr>
          <w:rFonts w:ascii="Times New Roman" w:hAnsi="Times New Roman" w:cs="Times New Roman"/>
          <w:lang w:val="en-US"/>
        </w:rPr>
        <w:t>tanggal</w:t>
      </w:r>
      <w:proofErr w:type="spellEnd"/>
      <w:r w:rsidRPr="0050323E">
        <w:rPr>
          <w:rFonts w:ascii="Times New Roman" w:hAnsi="Times New Roman" w:cs="Times New Roman"/>
          <w:lang w:val="en-US"/>
        </w:rPr>
        <w:t xml:space="preserve"> 4 </w:t>
      </w:r>
      <w:proofErr w:type="spellStart"/>
      <w:r w:rsidRPr="0050323E">
        <w:rPr>
          <w:rFonts w:ascii="Times New Roman" w:hAnsi="Times New Roman" w:cs="Times New Roman"/>
          <w:lang w:val="en-US"/>
        </w:rPr>
        <w:t>Desember</w:t>
      </w:r>
      <w:proofErr w:type="spellEnd"/>
      <w:r w:rsidRPr="0050323E">
        <w:rPr>
          <w:rFonts w:ascii="Times New Roman" w:hAnsi="Times New Roman" w:cs="Times New Roman"/>
          <w:lang w:val="en-US"/>
        </w:rPr>
        <w:t xml:space="preserve"> 2021.</w:t>
      </w:r>
      <w:r w:rsidRPr="001D51E8">
        <w:rPr>
          <w:rFonts w:ascii="Times New Roman" w:hAnsi="Times New Roman" w:cs="Times New Roman"/>
          <w:lang w:val="en-US"/>
        </w:rPr>
        <w:t xml:space="preserve"> </w:t>
      </w:r>
    </w:p>
  </w:footnote>
  <w:footnote w:id="13">
    <w:p w14:paraId="374FF965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595902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595902">
        <w:rPr>
          <w:rFonts w:ascii="Times New Roman" w:hAnsi="Times New Roman" w:cs="Times New Roman"/>
        </w:rPr>
        <w:t>Rahmawati, “</w:t>
      </w:r>
      <w:r w:rsidRPr="00372E77">
        <w:rPr>
          <w:rFonts w:ascii="Times New Roman" w:hAnsi="Times New Roman" w:cs="Times New Roman"/>
          <w:i/>
          <w:iCs/>
        </w:rPr>
        <w:t>Pengelolaan Wakaf Tunai Untuk Peningkatan Kesejahteraan Umat Islam Di Negara ASEAN (Studi Perbandingan Negara Indonesia, Malaysia dan Brunei Darussalam)</w:t>
      </w:r>
      <w:r w:rsidRPr="00595902">
        <w:rPr>
          <w:rFonts w:ascii="Times New Roman" w:hAnsi="Times New Roman" w:cs="Times New Roman"/>
        </w:rPr>
        <w:t>, Skripsi Sarjana Hukum, Makassar: Perpustakaan Syari’ah dan Huk</w:t>
      </w:r>
      <w:r>
        <w:rPr>
          <w:rFonts w:ascii="Times New Roman" w:hAnsi="Times New Roman" w:cs="Times New Roman"/>
        </w:rPr>
        <w:t>um UIN Alauddin Makassar, 2016.</w:t>
      </w:r>
    </w:p>
  </w:footnote>
  <w:footnote w:id="14">
    <w:p w14:paraId="121F61E0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C208A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C208A9">
        <w:rPr>
          <w:rFonts w:ascii="Times New Roman" w:hAnsi="Times New Roman" w:cs="Times New Roman"/>
        </w:rPr>
        <w:t xml:space="preserve">Yatiningrum, </w:t>
      </w:r>
      <w:r w:rsidRPr="00C208A9">
        <w:rPr>
          <w:rFonts w:ascii="Times New Roman" w:hAnsi="Times New Roman" w:cs="Times New Roman"/>
        </w:rPr>
        <w:t>Ulfah Sisi, “</w:t>
      </w:r>
      <w:r w:rsidRPr="00372E77">
        <w:rPr>
          <w:rFonts w:ascii="Times New Roman" w:hAnsi="Times New Roman" w:cs="Times New Roman"/>
          <w:i/>
          <w:iCs/>
        </w:rPr>
        <w:t>Praktek Pengelolaan Wakaf Di Negara Muslim (Studi Pada Negara Brunei Darussalam)</w:t>
      </w:r>
      <w:r w:rsidRPr="00C208A9">
        <w:rPr>
          <w:rFonts w:ascii="Times New Roman" w:hAnsi="Times New Roman" w:cs="Times New Roman"/>
        </w:rPr>
        <w:t>”, Skripsi Sarjana Ekonomi dan Bisnis, Jakarta: Perpustakaan Syarif Hidayatullah Jakarta, 2017.</w:t>
      </w:r>
    </w:p>
  </w:footnote>
  <w:footnote w:id="15">
    <w:p w14:paraId="58FA7B1B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C0368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C0368E">
        <w:rPr>
          <w:rFonts w:ascii="Times New Roman" w:hAnsi="Times New Roman" w:cs="Times New Roman"/>
          <w:lang w:val="en-US"/>
        </w:rPr>
        <w:t>Arief Wibawa Mukti, “</w:t>
      </w:r>
      <w:r w:rsidRPr="00372E77">
        <w:rPr>
          <w:rFonts w:ascii="Times New Roman" w:hAnsi="Times New Roman" w:cs="Times New Roman"/>
          <w:i/>
          <w:iCs/>
        </w:rPr>
        <w:t>Strategi Pengelolaan Wakaf Tunai Pada Tabung Wakaf Indonesia</w:t>
      </w:r>
      <w:r w:rsidRPr="00C0368E">
        <w:rPr>
          <w:rFonts w:ascii="Times New Roman" w:hAnsi="Times New Roman" w:cs="Times New Roman"/>
        </w:rPr>
        <w:t xml:space="preserve">” Skripsi Sarjana Dakwah dan Ilmu Komunikasi Universitas Islam Negeri Syarif Hidayatulah Jakarta: Perpustakaan Sxyarif Hidayatullah </w:t>
      </w:r>
      <w:r w:rsidRPr="00B96256">
        <w:rPr>
          <w:rFonts w:ascii="Times New Roman" w:hAnsi="Times New Roman" w:cs="Times New Roman"/>
        </w:rPr>
        <w:t>Jakarta</w:t>
      </w:r>
      <w:r w:rsidRPr="00C0368E">
        <w:rPr>
          <w:rFonts w:ascii="Times New Roman" w:hAnsi="Times New Roman" w:cs="Times New Roman"/>
        </w:rPr>
        <w:t>, 2018.</w:t>
      </w:r>
    </w:p>
  </w:footnote>
  <w:footnote w:id="16">
    <w:p w14:paraId="1C51A582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C403B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C403B7">
        <w:rPr>
          <w:rFonts w:ascii="Times New Roman" w:hAnsi="Times New Roman" w:cs="Times New Roman"/>
          <w:lang w:val="en-US"/>
        </w:rPr>
        <w:t xml:space="preserve">Zainuddin Ali, </w:t>
      </w:r>
      <w:r w:rsidRPr="00372E77">
        <w:rPr>
          <w:rFonts w:ascii="Times New Roman" w:hAnsi="Times New Roman" w:cs="Times New Roman"/>
          <w:i/>
          <w:iCs/>
          <w:lang w:val="en-US"/>
        </w:rPr>
        <w:t xml:space="preserve">Metode </w:t>
      </w:r>
      <w:proofErr w:type="spellStart"/>
      <w:r w:rsidRPr="00372E77"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 w:rsidRPr="00372E77">
        <w:rPr>
          <w:rFonts w:ascii="Times New Roman" w:hAnsi="Times New Roman" w:cs="Times New Roman"/>
          <w:i/>
          <w:iCs/>
          <w:lang w:val="en-US"/>
        </w:rPr>
        <w:t xml:space="preserve"> Hukum</w:t>
      </w:r>
      <w:r w:rsidRPr="00C403B7">
        <w:rPr>
          <w:rFonts w:ascii="Times New Roman" w:hAnsi="Times New Roman" w:cs="Times New Roman"/>
          <w:lang w:val="en-US"/>
        </w:rPr>
        <w:t xml:space="preserve">, Jakarta: </w:t>
      </w:r>
      <w:proofErr w:type="spellStart"/>
      <w:r w:rsidRPr="00C403B7">
        <w:rPr>
          <w:rFonts w:ascii="Times New Roman" w:hAnsi="Times New Roman" w:cs="Times New Roman"/>
          <w:lang w:val="en-US"/>
        </w:rPr>
        <w:t>Sinar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3B7">
        <w:rPr>
          <w:rFonts w:ascii="Times New Roman" w:hAnsi="Times New Roman" w:cs="Times New Roman"/>
          <w:lang w:val="en-US"/>
        </w:rPr>
        <w:t>Grafika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, 2017, </w:t>
      </w:r>
      <w:proofErr w:type="spellStart"/>
      <w:r w:rsidRPr="00C403B7">
        <w:rPr>
          <w:rFonts w:ascii="Times New Roman" w:hAnsi="Times New Roman" w:cs="Times New Roman"/>
          <w:lang w:val="en-US"/>
        </w:rPr>
        <w:t>hlm</w:t>
      </w:r>
      <w:proofErr w:type="spellEnd"/>
      <w:r w:rsidRPr="00C403B7">
        <w:rPr>
          <w:rFonts w:ascii="Times New Roman" w:hAnsi="Times New Roman" w:cs="Times New Roman"/>
          <w:lang w:val="en-US"/>
        </w:rPr>
        <w:t>. 107</w:t>
      </w:r>
      <w:r>
        <w:rPr>
          <w:rFonts w:ascii="Times New Roman" w:hAnsi="Times New Roman" w:cs="Times New Roman"/>
          <w:lang w:val="en-US"/>
        </w:rPr>
        <w:t>-231.</w:t>
      </w:r>
    </w:p>
  </w:footnote>
  <w:footnote w:id="17">
    <w:p w14:paraId="034738E2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C403B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bookmarkStart w:id="13" w:name="_Hlk107949465"/>
      <w:r w:rsidRPr="00C403B7">
        <w:rPr>
          <w:rFonts w:ascii="Times New Roman" w:hAnsi="Times New Roman" w:cs="Times New Roman"/>
          <w:lang w:val="en-US"/>
        </w:rPr>
        <w:t xml:space="preserve">Tim </w:t>
      </w:r>
      <w:proofErr w:type="spellStart"/>
      <w:r w:rsidRPr="00C403B7">
        <w:rPr>
          <w:rFonts w:ascii="Times New Roman" w:hAnsi="Times New Roman" w:cs="Times New Roman"/>
          <w:lang w:val="en-US"/>
        </w:rPr>
        <w:t>Penulis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3B7">
        <w:rPr>
          <w:rFonts w:ascii="Times New Roman" w:hAnsi="Times New Roman" w:cs="Times New Roman"/>
          <w:lang w:val="en-US"/>
        </w:rPr>
        <w:t>Fakultas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3B7">
        <w:rPr>
          <w:rFonts w:ascii="Times New Roman" w:hAnsi="Times New Roman" w:cs="Times New Roman"/>
          <w:lang w:val="en-US"/>
        </w:rPr>
        <w:t>HukumUniversitas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3B7">
        <w:rPr>
          <w:rFonts w:ascii="Times New Roman" w:hAnsi="Times New Roman" w:cs="Times New Roman"/>
          <w:lang w:val="en-US"/>
        </w:rPr>
        <w:t>Pancasakti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 Tegal</w:t>
      </w:r>
      <w:r w:rsidRPr="00C403B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C403B7">
        <w:rPr>
          <w:rFonts w:ascii="Times New Roman" w:hAnsi="Times New Roman" w:cs="Times New Roman"/>
          <w:i/>
          <w:iCs/>
          <w:lang w:val="en-US"/>
        </w:rPr>
        <w:t>Buku</w:t>
      </w:r>
      <w:proofErr w:type="spellEnd"/>
      <w:r w:rsidRPr="00C403B7">
        <w:rPr>
          <w:rFonts w:ascii="Times New Roman" w:hAnsi="Times New Roman" w:cs="Times New Roman"/>
          <w:i/>
          <w:iCs/>
          <w:lang w:val="en-US"/>
        </w:rPr>
        <w:t xml:space="preserve"> Panduan </w:t>
      </w:r>
      <w:proofErr w:type="spellStart"/>
      <w:r w:rsidRPr="00C403B7">
        <w:rPr>
          <w:rFonts w:ascii="Times New Roman" w:hAnsi="Times New Roman" w:cs="Times New Roman"/>
          <w:i/>
          <w:iCs/>
          <w:lang w:val="en-US"/>
        </w:rPr>
        <w:t>Penulisan</w:t>
      </w:r>
      <w:proofErr w:type="spellEnd"/>
      <w:r w:rsidRPr="00C403B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403B7">
        <w:rPr>
          <w:rFonts w:ascii="Times New Roman" w:hAnsi="Times New Roman" w:cs="Times New Roman"/>
          <w:i/>
          <w:iCs/>
          <w:lang w:val="en-US"/>
        </w:rPr>
        <w:t>Skripsi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, Tegal: </w:t>
      </w:r>
      <w:proofErr w:type="spellStart"/>
      <w:r w:rsidRPr="00C403B7">
        <w:rPr>
          <w:rFonts w:ascii="Times New Roman" w:hAnsi="Times New Roman" w:cs="Times New Roman"/>
          <w:lang w:val="en-US"/>
        </w:rPr>
        <w:t>Fakultas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 Hukum, 2019, </w:t>
      </w:r>
      <w:proofErr w:type="spellStart"/>
      <w:r w:rsidRPr="00C403B7">
        <w:rPr>
          <w:rFonts w:ascii="Times New Roman" w:hAnsi="Times New Roman" w:cs="Times New Roman"/>
          <w:lang w:val="en-US"/>
        </w:rPr>
        <w:t>hlm</w:t>
      </w:r>
      <w:proofErr w:type="spellEnd"/>
      <w:r w:rsidRPr="00C403B7">
        <w:rPr>
          <w:rFonts w:ascii="Times New Roman" w:hAnsi="Times New Roman" w:cs="Times New Roman"/>
          <w:lang w:val="en-US"/>
        </w:rPr>
        <w:t>. 3</w:t>
      </w:r>
      <w:r>
        <w:rPr>
          <w:rFonts w:ascii="Times New Roman" w:hAnsi="Times New Roman" w:cs="Times New Roman"/>
          <w:lang w:val="en-US"/>
        </w:rPr>
        <w:t>-74.</w:t>
      </w:r>
      <w:bookmarkEnd w:id="13"/>
    </w:p>
  </w:footnote>
  <w:footnote w:id="18">
    <w:p w14:paraId="5E5DE29C" w14:textId="77777777" w:rsidR="00450B4E" w:rsidRPr="00EB5B2F" w:rsidRDefault="00450B4E" w:rsidP="00450B4E">
      <w:pPr>
        <w:pStyle w:val="FootnoteText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C403B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C403B7">
        <w:rPr>
          <w:rFonts w:ascii="Times New Roman" w:hAnsi="Times New Roman" w:cs="Times New Roman"/>
          <w:lang w:val="en-US"/>
        </w:rPr>
        <w:t xml:space="preserve">J. </w:t>
      </w:r>
      <w:proofErr w:type="spellStart"/>
      <w:r w:rsidRPr="00C403B7">
        <w:rPr>
          <w:rFonts w:ascii="Times New Roman" w:hAnsi="Times New Roman" w:cs="Times New Roman"/>
          <w:lang w:val="en-US"/>
        </w:rPr>
        <w:t>Supranto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, </w:t>
      </w:r>
      <w:r w:rsidRPr="00C403B7">
        <w:rPr>
          <w:rFonts w:ascii="Times New Roman" w:hAnsi="Times New Roman" w:cs="Times New Roman"/>
          <w:i/>
          <w:iCs/>
          <w:lang w:val="en-US"/>
        </w:rPr>
        <w:t xml:space="preserve">Metode </w:t>
      </w:r>
      <w:proofErr w:type="spellStart"/>
      <w:r w:rsidRPr="00C403B7"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 w:rsidRPr="00C403B7">
        <w:rPr>
          <w:rFonts w:ascii="Times New Roman" w:hAnsi="Times New Roman" w:cs="Times New Roman"/>
          <w:i/>
          <w:iCs/>
          <w:lang w:val="en-US"/>
        </w:rPr>
        <w:t xml:space="preserve"> Hukum dan </w:t>
      </w:r>
      <w:proofErr w:type="spellStart"/>
      <w:r w:rsidRPr="00C403B7">
        <w:rPr>
          <w:rFonts w:ascii="Times New Roman" w:hAnsi="Times New Roman" w:cs="Times New Roman"/>
          <w:i/>
          <w:iCs/>
          <w:lang w:val="en-US"/>
        </w:rPr>
        <w:t>Statistik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, Jakarta: </w:t>
      </w:r>
      <w:proofErr w:type="spellStart"/>
      <w:r w:rsidRPr="00C403B7">
        <w:rPr>
          <w:rFonts w:ascii="Times New Roman" w:hAnsi="Times New Roman" w:cs="Times New Roman"/>
          <w:lang w:val="en-US"/>
        </w:rPr>
        <w:t>Rineka</w:t>
      </w:r>
      <w:proofErr w:type="spellEnd"/>
      <w:r w:rsidRPr="00C403B7">
        <w:rPr>
          <w:rFonts w:ascii="Times New Roman" w:hAnsi="Times New Roman" w:cs="Times New Roman"/>
          <w:lang w:val="en-US"/>
        </w:rPr>
        <w:t xml:space="preserve"> Cipta, 2003, </w:t>
      </w:r>
      <w:proofErr w:type="spellStart"/>
      <w:r w:rsidRPr="00C403B7">
        <w:rPr>
          <w:rFonts w:ascii="Times New Roman" w:hAnsi="Times New Roman" w:cs="Times New Roman"/>
          <w:lang w:val="en-US"/>
        </w:rPr>
        <w:t>hlm</w:t>
      </w:r>
      <w:proofErr w:type="spellEnd"/>
      <w:r w:rsidRPr="00C403B7">
        <w:rPr>
          <w:rFonts w:ascii="Times New Roman" w:hAnsi="Times New Roman" w:cs="Times New Roman"/>
          <w:lang w:val="en-US"/>
        </w:rPr>
        <w:t>. 3</w:t>
      </w:r>
      <w:r>
        <w:rPr>
          <w:rFonts w:ascii="Times New Roman" w:hAnsi="Times New Roman" w:cs="Times New Roman"/>
          <w:lang w:val="en-US"/>
        </w:rPr>
        <w:t>-262.</w:t>
      </w:r>
    </w:p>
  </w:footnote>
  <w:footnote w:id="19">
    <w:p w14:paraId="52CB5077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lang w:val="en-US"/>
        </w:rPr>
        <w:t xml:space="preserve">      </w:t>
      </w: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831E9A">
        <w:rPr>
          <w:rFonts w:ascii="Times New Roman" w:hAnsi="Times New Roman" w:cs="Times New Roman"/>
          <w:lang w:val="en-US"/>
        </w:rPr>
        <w:t xml:space="preserve">Zainuddin Ali, </w:t>
      </w:r>
      <w:proofErr w:type="spellStart"/>
      <w:r w:rsidRPr="00831E9A">
        <w:rPr>
          <w:rFonts w:ascii="Times New Roman" w:hAnsi="Times New Roman" w:cs="Times New Roman"/>
          <w:i/>
          <w:iCs/>
          <w:lang w:val="en-US"/>
        </w:rPr>
        <w:t>Op.cit</w:t>
      </w:r>
      <w:proofErr w:type="spellEnd"/>
      <w:r w:rsidRPr="00831E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1E9A">
        <w:rPr>
          <w:rFonts w:ascii="Times New Roman" w:hAnsi="Times New Roman" w:cs="Times New Roman"/>
          <w:lang w:val="en-US"/>
        </w:rPr>
        <w:t>hlm</w:t>
      </w:r>
      <w:proofErr w:type="spellEnd"/>
      <w:r w:rsidRPr="00831E9A">
        <w:rPr>
          <w:rFonts w:ascii="Times New Roman" w:hAnsi="Times New Roman" w:cs="Times New Roman"/>
          <w:lang w:val="en-US"/>
        </w:rPr>
        <w:t>. 106</w:t>
      </w:r>
      <w:r>
        <w:rPr>
          <w:rFonts w:ascii="Times New Roman" w:hAnsi="Times New Roman" w:cs="Times New Roman"/>
          <w:lang w:val="en-US"/>
        </w:rPr>
        <w:t>-231.</w:t>
      </w:r>
    </w:p>
  </w:footnote>
  <w:footnote w:id="20">
    <w:p w14:paraId="5CDAD53F" w14:textId="77777777" w:rsidR="00450B4E" w:rsidRDefault="00450B4E" w:rsidP="00450B4E">
      <w:pPr>
        <w:pStyle w:val="FootnoteText"/>
        <w:spacing w:line="240" w:lineRule="auto"/>
        <w:jc w:val="both"/>
      </w:pPr>
      <w:r>
        <w:rPr>
          <w:rFonts w:ascii="Times New Roman" w:hAnsi="Times New Roman" w:cs="Times New Roman"/>
          <w:lang w:val="en-US"/>
        </w:rPr>
        <w:t xml:space="preserve">      </w:t>
      </w:r>
      <w:r w:rsidRPr="00831E9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1E9A">
        <w:rPr>
          <w:rFonts w:ascii="Times New Roman" w:hAnsi="Times New Roman" w:cs="Times New Roman"/>
          <w:lang w:val="en-US"/>
        </w:rPr>
        <w:t>Suteki</w:t>
      </w:r>
      <w:proofErr w:type="spellEnd"/>
      <w:r w:rsidRPr="00831E9A">
        <w:rPr>
          <w:rFonts w:ascii="Times New Roman" w:hAnsi="Times New Roman" w:cs="Times New Roman"/>
          <w:lang w:val="en-US"/>
        </w:rPr>
        <w:t xml:space="preserve"> dan Galang Taufan, </w:t>
      </w:r>
      <w:proofErr w:type="spellStart"/>
      <w:r w:rsidRPr="00831E9A">
        <w:rPr>
          <w:rFonts w:ascii="Times New Roman" w:hAnsi="Times New Roman" w:cs="Times New Roman"/>
          <w:i/>
          <w:iCs/>
          <w:lang w:val="en-US"/>
        </w:rPr>
        <w:t>Metodologi</w:t>
      </w:r>
      <w:proofErr w:type="spellEnd"/>
      <w:r w:rsidRPr="00831E9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31E9A"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 w:rsidRPr="00831E9A">
        <w:rPr>
          <w:rFonts w:ascii="Times New Roman" w:hAnsi="Times New Roman" w:cs="Times New Roman"/>
          <w:i/>
          <w:iCs/>
          <w:lang w:val="en-US"/>
        </w:rPr>
        <w:t xml:space="preserve"> Hukum</w:t>
      </w:r>
      <w:r w:rsidRPr="00831E9A">
        <w:rPr>
          <w:rFonts w:ascii="Times New Roman" w:hAnsi="Times New Roman" w:cs="Times New Roman"/>
          <w:lang w:val="en-US"/>
        </w:rPr>
        <w:t xml:space="preserve">, Depok: Raja </w:t>
      </w:r>
      <w:proofErr w:type="spellStart"/>
      <w:r w:rsidRPr="00831E9A">
        <w:rPr>
          <w:rFonts w:ascii="Times New Roman" w:hAnsi="Times New Roman" w:cs="Times New Roman"/>
          <w:lang w:val="en-US"/>
        </w:rPr>
        <w:t>Grafindo</w:t>
      </w:r>
      <w:proofErr w:type="spellEnd"/>
      <w:r w:rsidRPr="00831E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1E9A">
        <w:rPr>
          <w:rFonts w:ascii="Times New Roman" w:hAnsi="Times New Roman" w:cs="Times New Roman"/>
          <w:lang w:val="en-US"/>
        </w:rPr>
        <w:t>Persada</w:t>
      </w:r>
      <w:proofErr w:type="spellEnd"/>
      <w:r w:rsidRPr="00831E9A">
        <w:rPr>
          <w:rFonts w:ascii="Times New Roman" w:hAnsi="Times New Roman" w:cs="Times New Roman"/>
          <w:lang w:val="en-US"/>
        </w:rPr>
        <w:t xml:space="preserve">, 2018, </w:t>
      </w:r>
      <w:proofErr w:type="spellStart"/>
      <w:r w:rsidRPr="00831E9A">
        <w:rPr>
          <w:rFonts w:ascii="Times New Roman" w:hAnsi="Times New Roman" w:cs="Times New Roman"/>
          <w:lang w:val="en-US"/>
        </w:rPr>
        <w:t>hlm</w:t>
      </w:r>
      <w:proofErr w:type="spellEnd"/>
      <w:r w:rsidRPr="00831E9A">
        <w:rPr>
          <w:rFonts w:ascii="Times New Roman" w:hAnsi="Times New Roman" w:cs="Times New Roman"/>
          <w:lang w:val="en-US"/>
        </w:rPr>
        <w:t>. 217</w:t>
      </w:r>
      <w:r>
        <w:rPr>
          <w:rFonts w:ascii="Times New Roman" w:hAnsi="Times New Roman" w:cs="Times New Roman"/>
          <w:lang w:val="en-US"/>
        </w:rPr>
        <w:t>-418.</w:t>
      </w:r>
    </w:p>
  </w:footnote>
  <w:footnote w:id="21">
    <w:p w14:paraId="5233C0EE" w14:textId="77777777" w:rsidR="00450B4E" w:rsidRPr="00886AE4" w:rsidRDefault="00450B4E" w:rsidP="00450B4E">
      <w:pPr>
        <w:pStyle w:val="FootnoteText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886AE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886AE4">
        <w:rPr>
          <w:rFonts w:ascii="Times New Roman" w:hAnsi="Times New Roman" w:cs="Times New Roman"/>
          <w:lang w:val="en-US"/>
        </w:rPr>
        <w:t xml:space="preserve">Elizabeth </w:t>
      </w:r>
      <w:proofErr w:type="spellStart"/>
      <w:r w:rsidRPr="00886AE4">
        <w:rPr>
          <w:rFonts w:ascii="Times New Roman" w:hAnsi="Times New Roman" w:cs="Times New Roman"/>
          <w:lang w:val="en-US"/>
        </w:rPr>
        <w:t>Nurhaini</w:t>
      </w:r>
      <w:proofErr w:type="spellEnd"/>
      <w:r w:rsidRPr="00886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6AE4">
        <w:rPr>
          <w:rFonts w:ascii="Times New Roman" w:hAnsi="Times New Roman" w:cs="Times New Roman"/>
          <w:lang w:val="en-US"/>
        </w:rPr>
        <w:t>Butarbutar</w:t>
      </w:r>
      <w:proofErr w:type="spellEnd"/>
      <w:r w:rsidRPr="00886AE4">
        <w:rPr>
          <w:rFonts w:ascii="Times New Roman" w:hAnsi="Times New Roman" w:cs="Times New Roman"/>
          <w:lang w:val="en-US"/>
        </w:rPr>
        <w:t xml:space="preserve">, Metode </w:t>
      </w:r>
      <w:proofErr w:type="spellStart"/>
      <w:r w:rsidRPr="00886AE4">
        <w:rPr>
          <w:rFonts w:ascii="Times New Roman" w:hAnsi="Times New Roman" w:cs="Times New Roman"/>
          <w:lang w:val="en-US"/>
        </w:rPr>
        <w:t>Penelitian</w:t>
      </w:r>
      <w:proofErr w:type="spellEnd"/>
      <w:r w:rsidRPr="00886AE4">
        <w:rPr>
          <w:rFonts w:ascii="Times New Roman" w:hAnsi="Times New Roman" w:cs="Times New Roman"/>
          <w:lang w:val="en-US"/>
        </w:rPr>
        <w:t xml:space="preserve"> Hukum, Bandung: PT Refika </w:t>
      </w:r>
      <w:proofErr w:type="spellStart"/>
      <w:r w:rsidRPr="00886AE4">
        <w:rPr>
          <w:rFonts w:ascii="Times New Roman" w:hAnsi="Times New Roman" w:cs="Times New Roman"/>
          <w:lang w:val="en-US"/>
        </w:rPr>
        <w:t>Aditama</w:t>
      </w:r>
      <w:proofErr w:type="spellEnd"/>
      <w:r w:rsidRPr="00886AE4">
        <w:rPr>
          <w:rFonts w:ascii="Times New Roman" w:hAnsi="Times New Roman" w:cs="Times New Roman"/>
          <w:lang w:val="en-US"/>
        </w:rPr>
        <w:t xml:space="preserve">, 2018, </w:t>
      </w:r>
      <w:proofErr w:type="spellStart"/>
      <w:r w:rsidRPr="00886AE4">
        <w:rPr>
          <w:rFonts w:ascii="Times New Roman" w:hAnsi="Times New Roman" w:cs="Times New Roman"/>
          <w:lang w:val="en-US"/>
        </w:rPr>
        <w:t>hlm</w:t>
      </w:r>
      <w:proofErr w:type="spellEnd"/>
      <w:r w:rsidRPr="00886AE4">
        <w:rPr>
          <w:rFonts w:ascii="Times New Roman" w:hAnsi="Times New Roman" w:cs="Times New Roman"/>
          <w:lang w:val="en-US"/>
        </w:rPr>
        <w:t>. 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457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D4BA5" w14:textId="77777777" w:rsidR="00450B4E" w:rsidRDefault="00450B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FCBC2F9" w14:textId="77777777" w:rsidR="00450B4E" w:rsidRDefault="00450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0EE"/>
    <w:multiLevelType w:val="hybridMultilevel"/>
    <w:tmpl w:val="3B405A2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2495"/>
    <w:multiLevelType w:val="hybridMultilevel"/>
    <w:tmpl w:val="44D61772"/>
    <w:lvl w:ilvl="0" w:tplc="E3EC7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702AF9"/>
    <w:multiLevelType w:val="hybridMultilevel"/>
    <w:tmpl w:val="D27214A6"/>
    <w:lvl w:ilvl="0" w:tplc="B9E40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42675B"/>
    <w:multiLevelType w:val="hybridMultilevel"/>
    <w:tmpl w:val="30EAE502"/>
    <w:lvl w:ilvl="0" w:tplc="3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C0AFDB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8E1FAC"/>
    <w:multiLevelType w:val="hybridMultilevel"/>
    <w:tmpl w:val="B982344E"/>
    <w:lvl w:ilvl="0" w:tplc="31F049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3711A5"/>
    <w:multiLevelType w:val="hybridMultilevel"/>
    <w:tmpl w:val="FAA88646"/>
    <w:lvl w:ilvl="0" w:tplc="42DEB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4417861">
    <w:abstractNumId w:val="2"/>
  </w:num>
  <w:num w:numId="2" w16cid:durableId="771173247">
    <w:abstractNumId w:val="1"/>
  </w:num>
  <w:num w:numId="3" w16cid:durableId="1640577480">
    <w:abstractNumId w:val="4"/>
  </w:num>
  <w:num w:numId="4" w16cid:durableId="1644701753">
    <w:abstractNumId w:val="5"/>
  </w:num>
  <w:num w:numId="5" w16cid:durableId="1069383640">
    <w:abstractNumId w:val="3"/>
  </w:num>
  <w:num w:numId="6" w16cid:durableId="167595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4E"/>
    <w:rsid w:val="00005433"/>
    <w:rsid w:val="000868E0"/>
    <w:rsid w:val="00450B4E"/>
    <w:rsid w:val="004C79AC"/>
    <w:rsid w:val="007E3DB9"/>
    <w:rsid w:val="00953F7E"/>
    <w:rsid w:val="00C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7CB6"/>
  <w15:chartTrackingRefBased/>
  <w15:docId w15:val="{CA4EB89F-E567-434D-8760-9838ABF4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4E"/>
  </w:style>
  <w:style w:type="paragraph" w:styleId="Heading1">
    <w:name w:val="heading 1"/>
    <w:basedOn w:val="Normal"/>
    <w:next w:val="Normal"/>
    <w:link w:val="Heading1Char"/>
    <w:uiPriority w:val="9"/>
    <w:qFormat/>
    <w:rsid w:val="0045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0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rsid w:val="00450B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50B4E"/>
    <w:pPr>
      <w:spacing w:after="200" w:line="276" w:lineRule="auto"/>
    </w:pPr>
    <w:rPr>
      <w:rFonts w:ascii="Calibri" w:eastAsia="Times New Roman" w:hAnsi="Calibri" w:cs="Calibr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B4E"/>
    <w:rPr>
      <w:rFonts w:ascii="Calibri" w:eastAsia="Times New Roman" w:hAnsi="Calibri" w:cs="Calibr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rsid w:val="00450B4E"/>
    <w:rPr>
      <w:vertAlign w:val="superscript"/>
    </w:rPr>
  </w:style>
  <w:style w:type="character" w:customStyle="1" w:styleId="jlqj4b">
    <w:name w:val="jlqj4b"/>
    <w:basedOn w:val="DefaultParagraphFont"/>
    <w:rsid w:val="00450B4E"/>
  </w:style>
  <w:style w:type="character" w:customStyle="1" w:styleId="markedcontent">
    <w:name w:val="markedcontent"/>
    <w:basedOn w:val="DefaultParagraphFont"/>
    <w:rsid w:val="00450B4E"/>
  </w:style>
  <w:style w:type="character" w:customStyle="1" w:styleId="viiyi">
    <w:name w:val="viiyi"/>
    <w:basedOn w:val="DefaultParagraphFont"/>
    <w:rsid w:val="00450B4E"/>
  </w:style>
  <w:style w:type="character" w:customStyle="1" w:styleId="jlqj4bchmk0b">
    <w:name w:val="jlqj4b chmk0b"/>
    <w:basedOn w:val="DefaultParagraphFont"/>
    <w:uiPriority w:val="99"/>
    <w:rsid w:val="00450B4E"/>
  </w:style>
  <w:style w:type="paragraph" w:styleId="Header">
    <w:name w:val="header"/>
    <w:basedOn w:val="Normal"/>
    <w:link w:val="HeaderChar"/>
    <w:uiPriority w:val="99"/>
    <w:unhideWhenUsed/>
    <w:rsid w:val="0045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4E"/>
  </w:style>
  <w:style w:type="character" w:customStyle="1" w:styleId="q4iawc">
    <w:name w:val="q4iawc"/>
    <w:basedOn w:val="DefaultParagraphFont"/>
    <w:rsid w:val="00450B4E"/>
  </w:style>
  <w:style w:type="paragraph" w:styleId="Footer">
    <w:name w:val="footer"/>
    <w:basedOn w:val="Normal"/>
    <w:link w:val="FooterChar"/>
    <w:uiPriority w:val="99"/>
    <w:unhideWhenUsed/>
    <w:rsid w:val="0045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va.co.id/ramadan/doa-dan-inspirasi/1361009-10-negara-dengan-muslim-terbanyak-di-dunia" TargetMode="External"/><Relationship Id="rId1" Type="http://schemas.openxmlformats.org/officeDocument/2006/relationships/hyperlink" Target="https://knks.go.id/isuutama/29/pengembangan-digitalisasi-dan-integrasi-data-wakaf-nas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3396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 Aulia</dc:creator>
  <cp:keywords/>
  <dc:description/>
  <cp:lastModifiedBy>Salsabila Aulia</cp:lastModifiedBy>
  <cp:revision>2</cp:revision>
  <dcterms:created xsi:type="dcterms:W3CDTF">2022-08-14T14:47:00Z</dcterms:created>
  <dcterms:modified xsi:type="dcterms:W3CDTF">2022-08-14T14:52:00Z</dcterms:modified>
</cp:coreProperties>
</file>