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53" w:rsidRPr="00466A53" w:rsidRDefault="00466A53" w:rsidP="00466A53">
      <w:pPr>
        <w:jc w:val="center"/>
        <w:rPr>
          <w:rFonts w:ascii="Times New Roman" w:hAnsi="Times New Roman" w:cs="Times New Roman"/>
          <w:b/>
          <w:sz w:val="24"/>
          <w:szCs w:val="24"/>
        </w:rPr>
      </w:pPr>
      <w:r w:rsidRPr="00466A53">
        <w:rPr>
          <w:rFonts w:ascii="Times New Roman" w:hAnsi="Times New Roman" w:cs="Times New Roman"/>
          <w:b/>
          <w:sz w:val="24"/>
          <w:szCs w:val="24"/>
        </w:rPr>
        <w:t>DAFTAR PUSTAKA</w:t>
      </w:r>
    </w:p>
    <w:p w:rsidR="00466A53" w:rsidRPr="00466A53" w:rsidRDefault="00466A53" w:rsidP="00466A53">
      <w:pPr>
        <w:rPr>
          <w:rFonts w:ascii="Times New Roman" w:hAnsi="Times New Roman" w:cs="Times New Roman"/>
          <w:b/>
          <w:sz w:val="24"/>
          <w:szCs w:val="24"/>
        </w:rPr>
      </w:pPr>
      <w:bookmarkStart w:id="0" w:name="_GoBack"/>
      <w:r w:rsidRPr="00466A53">
        <w:rPr>
          <w:rFonts w:ascii="Times New Roman" w:hAnsi="Times New Roman" w:cs="Times New Roman"/>
          <w:b/>
          <w:sz w:val="24"/>
          <w:szCs w:val="24"/>
        </w:rPr>
        <w:t>Buku</w:t>
      </w:r>
    </w:p>
    <w:bookmarkEnd w:id="0"/>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Ali Muhammad, Penelitian Kependidikan Prosedur dan Strategi, Bandung: Angkasa, (2015), hlm.42.</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Amin Rahman, Pengantar Hukum Indonesia, Yogyakarta : Deepublish Cv Budi Utama, 2019.</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A.S. Sugeng Bambang dan Sujayadi, Pengantar Hukum Acara Perdata Dan Contoh Dokumen Litigasi, Jakarta :  Kencana Prenamedia Group, 2012,  hlm 64.</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Efendi, Jonaedi dan Johnny Ibrahim, Metode Penelitian Hukum Normatif dan Empiris, Cet II ; Depok : Pranadamedia Group, 2018.</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Harahap Yahya, Hukum pembuktian dalam acara perdata,  Jakarta : Sinar  Grafika, 2017, Hlm.1</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Harahap Yahya, Pembahasan Permasalahan dan Penerapan KUHAP : Pemeriksaan Sidang Pengadilan, Banding, Kasasi, dan Peninjauan Kembali, Jakarta :  Sinar Grafika,  2009, hlm. 279.</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 Ishaq, Pengantar Hukum Indonesia (PHI), Jakarta : PT. RajaGrafindo Persada, 2014, h. 239.</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Jhonny Ibrahim, Teori dan Metodelogi Penelitian Hukim Normatif, Malang : Banyumedia Publishing, 2006, hlm.242.</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Manan Abdul, Penerapan hukum acara perdata di lingkungan peradilan agama, Jakarta :  Prenada media, 2016, hlm. 227.</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Makarim Edmon, Pengantar Hukum Telematika Suatu Kompilasi Kajian, Jakarta : PT. RajaGrafindo Persada, 2005, hlm. 415.</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M. Burhan Bungin, Penelitian kualitatif: Komunikasi, Ekonomi, Kebijakan Publik, dan Ilmu sosial lainnya, Jakarta : Kencana Prenada Media Group,2017, hlm .26.</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Mertokusumo Sudikno, Hukum Acara Perdata Indonesia, Yogyakarta : Liberty, 2006, hlm 135.</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Panggabean H.P, Pemulihan Aset Tindak Pidana Korupsi Hukum Pembuktian Teori Praktik dan Yurisprudensi Indonesia,  Jakarta :  Bhuana Ilmu Populer, 2020.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Subekti, Hukum Pembuktian,  Jakarta : Pradnya Paramitha, 2001,  hlm 1.</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lastRenderedPageBreak/>
        <w:t>Syahrani Riduan H, Buku Materi Dasar Hukum Acara Perdata, Bandung : PT. Citra Aditya Bakti, 2004, hlm. 83.</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Jurnal</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Agustine Dwi, Pembaharuan Sistem Hukum Acara Perdata, Rechts Vinding Online, 15 Juni, 2017.</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Asimah Dewi, Menjawab Kendala Pembuktian Dalam Penerapan Alat Bukti Elektronik ,Vol 3, No 2, Agustus, 2020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Benuf Kornelius, Azhar Muhamad, Metodologi Penelitian Hukum sebagai Instrumen Mengurai Permasalahan Hukum Kontemporer, Jurnal Gema Keadilan, Vol 7,  I, Juni, 2020.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Damanik Janner, eksistensi bukti email dalam perkara perdata, Jurnal Insitusi Politeknik Ganesha Medan Juripol, Vol 4, No 2, Maret, 2021</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Fakhrihah Laela Efa, Perkembangan Alat Bukti Dalam Penyelesaian Perkara Perdata Di Pengadilan Mennuju Pembaruan Hukum Acara Perdata, Vol 1, No  2, Juli-Desember,2015, 135-153.</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Handayani Dwi, Kajian Filosofis Prinsip Audi Et AlteramPartem Dalam Perkara Perdata (Philosophical Study of The Principle of Audi et Alteram Partem in Civil Cases), Jurnal Ilmiah Kebijakan Hukum, Vol 14, No 2, Juli, 2020.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Hanim Lathifah, Pengaruh Perkembangan Teknologi Informasi Terhadap keabsahan Perjanjian Dalam Perdagangan Secara Elektronik (E-Commerce) Di Era Globalisasi, Jurnal Dinamika Hukum, Vol 11, Februari, 2011.</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Isma Laili Nur dan Koyimatun Arina, Kekuatan Pembuktian Alat Bukti Informasi Elektronik Serta Hasil Cetaknya Dalam Pembuktian Tindak Pidana, Jurnal Penelitian Hukum, Vol 1, No 2, Juli, 2014, 109-116.</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Kisworo Windu, Aplikasi prinsip-prinsip terkait bukti-bukti ilmiah di Amerika Serikat dalam pembuktian perkara perdata lingkungan di Indonesia, Jurnal hukum lingkungan Indonesia, Vol 5, No 1, Tahun 2018, hlm 24-59</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Listyana Sukma Dini, et al., Kekuatan Pembuktian Tanda Tangan Elektronik Dalam Sebagai Alat Bukti Yang Sah dalam Prespektif Hukum Acara Di Indonesia Dan Belanda, Jurnal Verstek, Vol 2, No 2, 2014.</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Maulidiyah Nurfauzah, Yustria Novi Satriana, Eksistensi Digital Evidence Dalam Hukum Acara Perdata, Jurnal cakrawala hukum, Vol 10,  No ,1 Juni, 2019.</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lastRenderedPageBreak/>
        <w:t>Meliala Sembiring Aloina, Analisis Yuridis terhadap legalitas dokumen elektronik sebagai alat bukti dalam pernyelesaian sengketa, Jurnal Wawasan Hukum, Vol 32, No 1, Februari 2015.</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Nugroho Muchti Dedy, Eksistensi Alat Bukti Elektronik Dalam Sistem Hukum Pembuktian Di Indonesia Dari Prespektif Hakim, Jurnal Ilmiah Ilmu Hukum QISTIE, Vol 8, No 1, Mei, 2015.</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Pramono Dedy, Kekuatan pembuktian akta yang dibuat oleh notaris selaku pejabat umum menurut hukum acara perdata di Indonesia, Lex Jurnalica, Vol 12, No 3, Desember, 2015.</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Prasetya Untung, Analisis Asas Audi Et Alteram Partem Dalam Proses Persidangan Perkara Perdata (Perkara Nomor 20/Pdt.G/2019/PN Pwr), Jurnal Hukum, Vol 2, No 2 , 2020.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Putra Grahadi Agus Wayan I, et al, Asas Itikad Baik dalam Perjanjian Jual Beli Barang Melalui Media Elektronik (E-Commerce),  Jurnal Analogi Hukum, Vol 2, No 3, 2020.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Putri Visky Saruji, Nyoman A. Martana, Kekuatan Hukum Pembuktian Tanda Tangan Pada Dokumen  Elektronik Sebagai Alat Bukti Dalam Hukum Acara Perdata, Journal Ilmu Hukum, Vol 4, No 2, Sep, 2015.</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Rifai Achmad, Penafsiran Hukum Sistem Beban Pembuktian Dalam Perkara Perdata(Studi Kasus Perkara Perdata No.: 12/Pidt.G/2019/PN.Pmk) , Jurnal Yustitia, Vol 21, No 1, Mei, 2020, hlm.2.</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Runtung Tarigan Iqbal Muhammad, et al., Dokumen Elektronik Sebagai Alat Bukti Dalam Prespektif Pembaruan Hukum Acara Perdata di Indonesia, USU Law Journal, Vol 4, No 1, Januari, 2016.</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Tinring Daeng Anisah, Dachran Bustahmi &amp; Ahyuni Yunus, Kedudukan Dokumen Elektronik sebagai Alat Bukti Dalam Hukum Acara Perdata di Indonesia, Celebes Cyber Crime Journal, Vol 1, No 2, Desember, 2019.</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Wahyudi Johan , “Dokumen Elektronik Sebagai Alat Bukti Pada Pembuktian Di Pengadilan”, Vol 17, No. 2 Mei,2012.</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Wantu M Fence, Kendala Hakim Dalam Menciptakan Kepastian Hukum, Keadilan, dan Kemanfaatan di Peradilan Perdata, Mimbar Hukum, Volume 25, Nomor 2, Juni, 2013</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lastRenderedPageBreak/>
        <w:t>Wulandari Sri Yudha, Perlindungan Hukum Bagi Konsumen Terhadap Transaksi Jual Beli E-Commerce, Jurnal Ilmu Hukum, Vol 2, No 2, Desember, 2018, 199-210.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Yusandy Trio, Kedudukan dan Kekuatan Pembuktian Alat Bukti Elektronik dalam Hukum Acara Perdata Indonesia, Jurnal Pendidikan, Sains dan Humaniora, Vol 7, No 4, Oktober, 2019.</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Skripsi</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Hantoro Supri Heru, Kekuatan e-mail sebagai alat bukti dalam proses persidangan perkara perdata, Skripsi Fakutas Hukum Muhammadiyah Surakarta, 2011.</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Romis Sabrina, Kedudukan Alat Bukti Elektronik Dalam Sistem pembuktian perkara perdata, Skripsi Fakultas Hukum Universitas Pancasakti Tegal, 2021</w:t>
      </w:r>
    </w:p>
    <w:p w:rsidR="00466A53" w:rsidRPr="00466A53" w:rsidRDefault="00466A53" w:rsidP="00466A53">
      <w:pPr>
        <w:rPr>
          <w:rFonts w:ascii="Times New Roman" w:hAnsi="Times New Roman" w:cs="Times New Roman"/>
          <w:sz w:val="24"/>
          <w:szCs w:val="24"/>
        </w:rPr>
      </w:pPr>
    </w:p>
    <w:p w:rsidR="00466A53" w:rsidRPr="00466A53" w:rsidRDefault="00466A53" w:rsidP="00466A53">
      <w:pPr>
        <w:rPr>
          <w:rFonts w:ascii="Times New Roman" w:hAnsi="Times New Roman" w:cs="Times New Roman"/>
          <w:sz w:val="24"/>
          <w:szCs w:val="24"/>
        </w:rPr>
      </w:pPr>
    </w:p>
    <w:p w:rsidR="00466A53" w:rsidRPr="00466A53" w:rsidRDefault="00466A53" w:rsidP="00466A53">
      <w:pPr>
        <w:rPr>
          <w:rFonts w:ascii="Times New Roman" w:hAnsi="Times New Roman" w:cs="Times New Roman"/>
          <w:b/>
          <w:sz w:val="24"/>
          <w:szCs w:val="24"/>
        </w:rPr>
      </w:pPr>
      <w:r w:rsidRPr="00466A53">
        <w:rPr>
          <w:rFonts w:ascii="Times New Roman" w:hAnsi="Times New Roman" w:cs="Times New Roman"/>
          <w:b/>
          <w:sz w:val="24"/>
          <w:szCs w:val="24"/>
        </w:rPr>
        <w:t>Internet</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Admin, Prinsip-Prinsip Dasar Pembuktian Dalam Hukum Acara  Perdata, 18 September, 2018, https://manplawyers.co/2019/09/18/prinsip-prinsip-dasar-pembuktian-dalam-hukum-acara-perdata/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Patrialis Akbar, Pembangunan Hukum Nasional Menurut Undang undang, Fakultas Hukum Universitas Muhammadiyah Jakarta, https://fh.umj.ac.id/arah-pembangunan-hukum-nasional-menurut-undang-undang-dasar-negara-republik-indonesia-tahun-1945/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DawatySyafni, ”Data Sekunder”, 8,  November, 2020. https://raharja.ac.id/2020/11/08/data-sekunder/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https://ngobrolinhukum.wordpress.com/2013/12/16/pendekatan-dalam-penelitian-hukum/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https://kbbi.web.id/bukti, diakses : tanggal 11 januari 2022, 19.30.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https://kbbi.web.id/bukti, diakses : tanggal 19 januari 2022.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https://litigasi.co.id/posts/beban-pembuktian-dalam-perkara-perdata, 13 April, 2020</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Irawan Adi Sofyan, Eksistensi Dokumen Elektronik Di Persidangan Perdata, Artikel Senin, 4 Juni, 2018, </w:t>
      </w:r>
      <w:r w:rsidRPr="00466A53">
        <w:rPr>
          <w:rFonts w:ascii="Times New Roman" w:hAnsi="Times New Roman" w:cs="Times New Roman"/>
          <w:sz w:val="24"/>
          <w:szCs w:val="24"/>
        </w:rPr>
        <w:lastRenderedPageBreak/>
        <w:t xml:space="preserve">https://www.mahkamahagung.go.id/id/artikel/3048/eksistensi-dokumen-elektronik-di-persidangan-perdata.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Muhammad Ubayyu Rikza,Alat Bukti Elektronik dan Implikasinya Terhadap Pembuktian Perdata Di Pengadilan,  24 March 2021, https://pa-raha.go.id/artikel-pengadilan/377-alat-bukti-elektronik-dan-implikasinya-terhadap-pembuktian-perdata-di-pengadilan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 xml:space="preserve">Sitompul Josua, Syarat dan Kekuatan Hukum Alat Bukti Eletronik, diakses pada pada tanggal 23 Januari 2022,  http://www.hukumonline.com/klinik/detail/cl5461/syarat-dan-kekuatan-hukum-alat-bukti elektronik     </w:t>
      </w:r>
    </w:p>
    <w:p w:rsidR="00466A53" w:rsidRPr="00466A53" w:rsidRDefault="00466A53" w:rsidP="00466A53">
      <w:pPr>
        <w:rPr>
          <w:rFonts w:ascii="Times New Roman" w:hAnsi="Times New Roman" w:cs="Times New Roman"/>
          <w:b/>
          <w:sz w:val="24"/>
          <w:szCs w:val="24"/>
        </w:rPr>
      </w:pPr>
      <w:r w:rsidRPr="00466A53">
        <w:rPr>
          <w:rFonts w:ascii="Times New Roman" w:hAnsi="Times New Roman" w:cs="Times New Roman"/>
          <w:b/>
          <w:sz w:val="24"/>
          <w:szCs w:val="24"/>
        </w:rPr>
        <w:t xml:space="preserve">Undang-Undang </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Undang-Undang Dasar Negara Republik Indonesia tahun 1945</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Herzien Inlandsch Reglement (HIR)</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Kitab Undang-undang Hukum Perdata</w:t>
      </w:r>
    </w:p>
    <w:p w:rsidR="00466A53"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PP No. 82 Tahun 2012 dan ISO 27037-2.</w:t>
      </w:r>
    </w:p>
    <w:p w:rsidR="00575C89" w:rsidRPr="00466A53" w:rsidRDefault="00466A53" w:rsidP="00466A53">
      <w:pPr>
        <w:rPr>
          <w:rFonts w:ascii="Times New Roman" w:hAnsi="Times New Roman" w:cs="Times New Roman"/>
          <w:sz w:val="24"/>
          <w:szCs w:val="24"/>
        </w:rPr>
      </w:pPr>
      <w:r w:rsidRPr="00466A53">
        <w:rPr>
          <w:rFonts w:ascii="Times New Roman" w:hAnsi="Times New Roman" w:cs="Times New Roman"/>
          <w:sz w:val="24"/>
          <w:szCs w:val="24"/>
        </w:rPr>
        <w:t>Undang-Undang Nomor 11 Tahun 2008 tentang Informasi dan Transaksi Elektroniksebagaimana diubah dengan Undang-Undang Nomor 19 Tahun 2016 tentang Perubahan Atas Undang-Undang Nomor 11 Tahun 2008 tentang Informasi dan Transaksi Elektronik.</w:t>
      </w:r>
    </w:p>
    <w:sectPr w:rsidR="00575C89" w:rsidRPr="00466A53" w:rsidSect="00466A53">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53"/>
    <w:rsid w:val="00466A53"/>
    <w:rsid w:val="00575C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2022-08-17T04:26:00Z</dcterms:created>
  <dcterms:modified xsi:type="dcterms:W3CDTF">2022-08-17T04:29:00Z</dcterms:modified>
</cp:coreProperties>
</file>