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72" w:rsidRDefault="006A5F72" w:rsidP="006A5F72">
      <w:pPr>
        <w:tabs>
          <w:tab w:val="left" w:pos="92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DAFTAR PUSTAKA</w:t>
      </w:r>
    </w:p>
    <w:p w:rsidR="006A5F72" w:rsidRDefault="006A5F72" w:rsidP="006A5F72">
      <w:pPr>
        <w:tabs>
          <w:tab w:val="left" w:pos="92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6A5F72" w:rsidRDefault="006A5F72" w:rsidP="006A5F72">
      <w:pPr>
        <w:spacing w:after="0" w:line="240" w:lineRule="auto"/>
        <w:ind w:left="992" w:hanging="552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Buku</w:t>
      </w:r>
    </w:p>
    <w:p w:rsidR="006A5F72" w:rsidRDefault="006A5F72" w:rsidP="006A5F72">
      <w:pPr>
        <w:spacing w:after="0" w:line="240" w:lineRule="auto"/>
        <w:ind w:left="992" w:hanging="552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Bisri, Cik Hasan, t.t, </w:t>
      </w:r>
      <w:r>
        <w:rPr>
          <w:rFonts w:ascii="Times New Roman" w:hAnsi="Times New Roman"/>
          <w:i/>
          <w:sz w:val="24"/>
          <w:szCs w:val="24"/>
          <w:lang w:val="id-ID"/>
        </w:rPr>
        <w:t>Kompilasi Hukum Islam Dan Peradilan Agama</w:t>
      </w:r>
      <w:r>
        <w:rPr>
          <w:rFonts w:ascii="Times New Roman" w:hAnsi="Times New Roman"/>
          <w:sz w:val="24"/>
          <w:szCs w:val="24"/>
          <w:lang w:val="id-ID"/>
        </w:rPr>
        <w:t>, PT. Logos Wacana Islam.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Faesal, Sanafiah,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Dasar dan Teknik Penelitian Keilmuan Sosial</w:t>
      </w:r>
      <w:r>
        <w:rPr>
          <w:rFonts w:ascii="Times New Roman" w:hAnsi="Times New Roman"/>
          <w:sz w:val="24"/>
          <w:szCs w:val="24"/>
          <w:lang w:val="id-ID"/>
        </w:rPr>
        <w:t>, Surabaya: Usaha Nasional, 2002.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Fajar, Mukti dan Yulianto Achmad,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Dualisme Penelitian Hukum Normatif &amp; Empiris, </w:t>
      </w:r>
      <w:r>
        <w:rPr>
          <w:rFonts w:ascii="Times New Roman" w:hAnsi="Times New Roman"/>
          <w:sz w:val="24"/>
          <w:szCs w:val="24"/>
          <w:lang w:val="id-ID"/>
        </w:rPr>
        <w:t>Yogyakarta: Pustaka Pelajar, 2010.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Fatoni, Abdurrahman,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Metodologi Penelitian dan Teknik Penyususna Skripsi</w:t>
      </w:r>
      <w:r>
        <w:rPr>
          <w:rFonts w:ascii="Times New Roman" w:hAnsi="Times New Roman"/>
          <w:sz w:val="24"/>
          <w:szCs w:val="24"/>
          <w:lang w:val="id-ID"/>
        </w:rPr>
        <w:t>, Jakarta: Rineka Cipta,2011.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Hadi, Sutrisno,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Metode Research II</w:t>
      </w:r>
      <w:r>
        <w:rPr>
          <w:rFonts w:ascii="Times New Roman" w:hAnsi="Times New Roman"/>
          <w:sz w:val="24"/>
          <w:szCs w:val="24"/>
          <w:lang w:val="id-ID"/>
        </w:rPr>
        <w:t>, Jogjakarta: Andi Ofset, cet. XIX, 1989.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Irawan, Julianto James, Surat Berharga : Suatu Tinjauan Yuridis dan Praktis, Jakarta : Kencana, Cetakan II, 2016.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Khosyiah, Siah Wakaf dan Hibah Perspektif Ulama Fiqh, Bandung : Pustaka Setia, 2010.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Lubis, Suhrawardi K.,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Wakaf dan Pemberdayaan Umat</w:t>
      </w:r>
      <w:r>
        <w:rPr>
          <w:rFonts w:ascii="Times New Roman" w:hAnsi="Times New Roman"/>
          <w:sz w:val="24"/>
          <w:szCs w:val="24"/>
          <w:lang w:val="id-ID"/>
        </w:rPr>
        <w:t>, Jakarta: Sinar Grafika, 2010.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Mudjiono,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Politik dan Hukum Agraria</w:t>
      </w:r>
      <w:r>
        <w:rPr>
          <w:rFonts w:ascii="Times New Roman" w:hAnsi="Times New Roman"/>
          <w:sz w:val="24"/>
          <w:szCs w:val="24"/>
          <w:lang w:val="id-ID"/>
        </w:rPr>
        <w:t>, Cet 1, Yogyakarta : Liberty : 1977.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Soekanto, Soerjono dan Sri Mamudji,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Penelitian Hukum Normatif Tinjauan Singkat, </w:t>
      </w:r>
      <w:r>
        <w:rPr>
          <w:rFonts w:ascii="Times New Roman" w:hAnsi="Times New Roman"/>
          <w:sz w:val="24"/>
          <w:szCs w:val="24"/>
          <w:lang w:val="id-ID"/>
        </w:rPr>
        <w:t>Jakarta: Rajawali Press, 2006.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Sudjana, Nana,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Penelitian dan Penilaian</w:t>
      </w:r>
      <w:r>
        <w:rPr>
          <w:rFonts w:ascii="Times New Roman" w:hAnsi="Times New Roman"/>
          <w:sz w:val="24"/>
          <w:szCs w:val="24"/>
          <w:lang w:val="id-ID"/>
        </w:rPr>
        <w:t>, Bandung: Sinar Baru,1989.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Yusuf, A. Muri,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Metode Penelitian Kualitatif, Kualitatif dan Penelitian Gabungan, </w:t>
      </w:r>
      <w:r>
        <w:rPr>
          <w:rFonts w:ascii="Times New Roman" w:hAnsi="Times New Roman"/>
          <w:sz w:val="24"/>
          <w:szCs w:val="24"/>
          <w:lang w:val="id-ID"/>
        </w:rPr>
        <w:t>Jakarta: Prenadamedia Group, 2014.</w:t>
      </w:r>
    </w:p>
    <w:p w:rsidR="006A5F72" w:rsidRDefault="006A5F72" w:rsidP="006A5F72">
      <w:pPr>
        <w:spacing w:after="0"/>
        <w:ind w:left="992" w:hanging="55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Jurnal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Abdullah, Junaidi, “Tata Cara Wakaf Hak Milik Setelah Berlakunya Undang-Undang Nomor 41 Tahun 2004 Tentang Wakaf”, ZISWAF : Jurnal Zakat dan Wakaf, 2018.</w:t>
      </w:r>
    </w:p>
    <w:p w:rsidR="006A5F72" w:rsidRDefault="006A5F72" w:rsidP="006A5F72">
      <w:pPr>
        <w:spacing w:before="240" w:after="240"/>
        <w:ind w:left="992" w:hanging="552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>Achmad Irwan Hamzani, Perkembangan Hukum Wakaf Di Indonesia, Brebes : Diya Media Group, 2015.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Anggi Saputri,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“Pemanfaatan Tanah Wakaf Dengan Cara Bagi Hasil Ditinjau Dari Hukum Ekonomi Syariah (Studi Kasus di Desa Bumimas Kecamatan Batanghari Kabupaten Lampung Timur)”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IAIN Metro tahun 2019.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Aziz, Muhammad, “Peran Badan Wakaf Indonesia (Bwi) Dalam Mengembangkan Prospek Wakaf Uang Di Indonesia”, Jurnal Ekonomi Syariah, Volume 2, Nomor 1, Maret 2017.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Halim, Abdul, “Perlindungan Hukum Bagi Pemegang Hak Gadai Pertanian”, Fenomena, Volume 18, Nomor 1, Mei, 2020.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Indah Piliyanti, “Pendidikan Ekonomi Islam Di Indonesia: Pengalaman Pesantren Sidogiri Pasuruan Jawa Timur”, </w:t>
      </w:r>
      <w:r>
        <w:rPr>
          <w:rFonts w:ascii="Times New Roman" w:hAnsi="Times New Roman"/>
          <w:i/>
          <w:sz w:val="24"/>
          <w:szCs w:val="24"/>
          <w:lang w:val="id-ID"/>
        </w:rPr>
        <w:t>Jurnal Hukum Islam (JHI)</w:t>
      </w:r>
      <w:r>
        <w:rPr>
          <w:rFonts w:ascii="Times New Roman" w:hAnsi="Times New Roman"/>
          <w:sz w:val="24"/>
          <w:szCs w:val="24"/>
          <w:lang w:val="id-ID"/>
        </w:rPr>
        <w:t xml:space="preserve"> Volume 10, Nomor 1, Juni 2012 http: e-journal.stain-pekalongan.ac.id/index.php/jhi ISSN (P): 1829-7382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Jubaedah, “Dasar Hukum Wakaf”, Jurnal Keislaman, Kemasyarakatan &amp; Kebudayaan : Takziya, Volume 8, No. 2, (Juli-Desember) 2017, hlm.259-261.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Moh. Rosyid, “Peran Sertifikat Tanah Wakaf dalam Mengantisipasi dinamika zaman: Studi Kasus Madrasah Diniyah Muawanatul Muslimin di Kudus”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ZISWAF, </w:t>
      </w:r>
      <w:r>
        <w:rPr>
          <w:rFonts w:ascii="Times New Roman" w:hAnsi="Times New Roman"/>
          <w:sz w:val="24"/>
          <w:szCs w:val="24"/>
          <w:lang w:val="id-ID"/>
        </w:rPr>
        <w:t>Vol. 3, No. 1, Juni, 2016.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Nurmadany, Rizka, “Pelaksanaan Perjanjian Bagi Hasil Tanah Pertanian Antara Pemilik Tanah dan Penggarap di Kabupaten Sleman”, E-jurnal UAJY, Volume 1, Nomor 10, April, 2017.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Nur Arifah,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“</w:t>
      </w:r>
      <w:r>
        <w:rPr>
          <w:rFonts w:ascii="Times New Roman" w:hAnsi="Times New Roman"/>
          <w:sz w:val="24"/>
          <w:szCs w:val="24"/>
          <w:lang w:val="id-ID"/>
        </w:rPr>
        <w:t>Pensertipikatan Tanah Wakaf Melalui Pendaftaran Tanah Sistematis Lengkap (PTSL) Di Kantor Pertanahan Kabupaten Temnggung” Progam Studi Ilmu Hukum Fakultas Hukum Universitas Muhammadiyah Magelang tahun 2017.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Rahma, Dahlan, “Analisis Kelembagaan Badan Wakaf Indonesia”, Esensi: Jurnal Bisnis dan Manajemen, Volume 6, Nomor, April 2016.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Santoso, Urip, “Kepastian Hukum Wakaf Tanah Hak Milik”, Perspektif, Volume 19,  No. 2 , Mei 2014.</w:t>
      </w:r>
    </w:p>
    <w:p w:rsidR="006A5F72" w:rsidRDefault="006A5F72" w:rsidP="006A5F72">
      <w:pPr>
        <w:pStyle w:val="FootnoteText"/>
        <w:spacing w:before="240" w:after="240" w:line="276" w:lineRule="auto"/>
        <w:ind w:left="992" w:hanging="55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Sandia, Mohammad, “Analisis Kepastian Hukum Hak Milik Atas Tanah Wakaf Dalam Konsepsi Hukum Agraria Dan Hukum Islam”, Jurnal Hukum Dan Pranata Sosial Islam, Volume 2, Nomor 1, Maret 2018.</w:t>
      </w:r>
    </w:p>
    <w:p w:rsidR="00277DF9" w:rsidRDefault="00277DF9"/>
    <w:sectPr w:rsidR="00277DF9" w:rsidSect="006A5F72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AA" w:rsidRDefault="001F5DAA" w:rsidP="006A5F72">
      <w:pPr>
        <w:spacing w:after="0" w:line="240" w:lineRule="auto"/>
      </w:pPr>
      <w:r>
        <w:separator/>
      </w:r>
    </w:p>
  </w:endnote>
  <w:endnote w:type="continuationSeparator" w:id="0">
    <w:p w:rsidR="001F5DAA" w:rsidRDefault="001F5DAA" w:rsidP="006A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92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F72" w:rsidRDefault="006A5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6A5F72" w:rsidRDefault="006A5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AA" w:rsidRDefault="001F5DAA" w:rsidP="006A5F72">
      <w:pPr>
        <w:spacing w:after="0" w:line="240" w:lineRule="auto"/>
      </w:pPr>
      <w:r>
        <w:separator/>
      </w:r>
    </w:p>
  </w:footnote>
  <w:footnote w:type="continuationSeparator" w:id="0">
    <w:p w:rsidR="001F5DAA" w:rsidRDefault="001F5DAA" w:rsidP="006A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2" w:rsidRDefault="006A5F72">
    <w:pPr>
      <w:pStyle w:val="Header"/>
      <w:jc w:val="right"/>
    </w:pPr>
  </w:p>
  <w:p w:rsidR="006A5F72" w:rsidRDefault="006A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72"/>
    <w:rsid w:val="001F5DAA"/>
    <w:rsid w:val="00277DF9"/>
    <w:rsid w:val="006A5F72"/>
    <w:rsid w:val="00C342F5"/>
    <w:rsid w:val="00C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6A5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A5F72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7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6A5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A5F72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7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Rizka</dc:creator>
  <cp:lastModifiedBy>Ade Rizka</cp:lastModifiedBy>
  <cp:revision>1</cp:revision>
  <dcterms:created xsi:type="dcterms:W3CDTF">2022-08-15T09:39:00Z</dcterms:created>
  <dcterms:modified xsi:type="dcterms:W3CDTF">2022-08-15T09:43:00Z</dcterms:modified>
</cp:coreProperties>
</file>