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154D" w14:textId="77777777" w:rsidR="009B67FA" w:rsidRPr="00FD0BA1" w:rsidRDefault="009B67FA" w:rsidP="00FD0BA1">
      <w:pPr>
        <w:pStyle w:val="Heading1"/>
        <w:spacing w:line="480" w:lineRule="auto"/>
        <w:contextualSpacing/>
        <w:rPr>
          <w:noProof/>
          <w:lang w:val="id-ID"/>
        </w:rPr>
      </w:pPr>
      <w:bookmarkStart w:id="0" w:name="_Toc106005434"/>
      <w:r w:rsidRPr="00FD0BA1">
        <w:rPr>
          <w:noProof/>
          <w:lang w:val="id-ID"/>
        </w:rPr>
        <w:t>BAB II</w:t>
      </w:r>
      <w:bookmarkEnd w:id="0"/>
    </w:p>
    <w:p w14:paraId="0EB118BF" w14:textId="77777777" w:rsidR="009B67FA" w:rsidRPr="00FD0BA1" w:rsidRDefault="009B67FA" w:rsidP="00FD0BA1">
      <w:pPr>
        <w:contextualSpacing/>
        <w:jc w:val="center"/>
        <w:rPr>
          <w:b/>
          <w:bCs/>
          <w:noProof/>
          <w:lang w:val="id-ID"/>
        </w:rPr>
      </w:pPr>
      <w:r w:rsidRPr="00FD0BA1">
        <w:rPr>
          <w:b/>
          <w:bCs/>
          <w:noProof/>
          <w:lang w:val="id-ID"/>
        </w:rPr>
        <w:t xml:space="preserve">TINJAUAN </w:t>
      </w:r>
      <w:r w:rsidR="00E2662C" w:rsidRPr="00FD0BA1">
        <w:rPr>
          <w:b/>
          <w:bCs/>
          <w:noProof/>
          <w:lang w:val="id-ID"/>
        </w:rPr>
        <w:t>KONSEPTUAL</w:t>
      </w:r>
    </w:p>
    <w:p w14:paraId="3B0F0ED6" w14:textId="77777777" w:rsidR="00F548D2" w:rsidRPr="00FD0BA1" w:rsidRDefault="00F548D2" w:rsidP="00FD0BA1">
      <w:pPr>
        <w:contextualSpacing/>
        <w:rPr>
          <w:noProof/>
          <w:lang w:val="id-ID"/>
        </w:rPr>
      </w:pPr>
    </w:p>
    <w:p w14:paraId="4BB8EB1A" w14:textId="77777777" w:rsidR="00F548D2" w:rsidRPr="00FD0BA1" w:rsidRDefault="00A95B42" w:rsidP="00D551DC">
      <w:pPr>
        <w:pStyle w:val="Heading2"/>
        <w:numPr>
          <w:ilvl w:val="0"/>
          <w:numId w:val="12"/>
        </w:numPr>
        <w:spacing w:line="480" w:lineRule="auto"/>
        <w:ind w:left="567" w:hanging="567"/>
        <w:rPr>
          <w:noProof/>
          <w:lang w:val="id-ID"/>
        </w:rPr>
      </w:pPr>
      <w:bookmarkStart w:id="1" w:name="_Toc106005435"/>
      <w:r w:rsidRPr="00FD0BA1">
        <w:rPr>
          <w:noProof/>
          <w:lang w:val="id-ID"/>
        </w:rPr>
        <w:t>Tinjauan Umum Tentang Bank</w:t>
      </w:r>
      <w:bookmarkEnd w:id="1"/>
    </w:p>
    <w:p w14:paraId="1020299A" w14:textId="77777777" w:rsidR="00817E37" w:rsidRPr="00FD0BA1" w:rsidRDefault="00A95B42" w:rsidP="00FD0BA1">
      <w:pPr>
        <w:pStyle w:val="Heading3"/>
        <w:spacing w:line="480" w:lineRule="auto"/>
        <w:ind w:left="1134" w:hanging="567"/>
        <w:rPr>
          <w:noProof/>
          <w:lang w:val="id-ID"/>
        </w:rPr>
      </w:pPr>
      <w:bookmarkStart w:id="2" w:name="_Toc106005436"/>
      <w:r w:rsidRPr="00FD0BA1">
        <w:rPr>
          <w:noProof/>
          <w:lang w:val="id-ID"/>
        </w:rPr>
        <w:t>Pengertian Bank</w:t>
      </w:r>
      <w:bookmarkEnd w:id="2"/>
    </w:p>
    <w:p w14:paraId="3CE8B4AA" w14:textId="77777777" w:rsidR="00FD0BA1" w:rsidRDefault="00817E37" w:rsidP="00FD0BA1">
      <w:pPr>
        <w:pStyle w:val="ListParagraph"/>
        <w:ind w:left="567" w:firstLine="567"/>
        <w:jc w:val="both"/>
        <w:rPr>
          <w:noProof/>
          <w:color w:val="000000" w:themeColor="text1"/>
          <w:lang w:val="id-ID"/>
        </w:rPr>
      </w:pPr>
      <w:r w:rsidRPr="00FD0BA1">
        <w:rPr>
          <w:noProof/>
          <w:lang w:val="id-ID"/>
        </w:rPr>
        <w:t>Apabila</w:t>
      </w:r>
      <w:r w:rsidRPr="00FD0BA1">
        <w:rPr>
          <w:noProof/>
          <w:color w:val="000000" w:themeColor="text1"/>
          <w:lang w:val="id-ID"/>
        </w:rPr>
        <w:t xml:space="preserve"> kita mendengar kata bank pasti tidak asing lagi bagi telinga kita, ada anggapan bahwa bank sendiri identik dengan penyimpanan uang. Baik di Kota maupun di desa kita tidak asing dengan Bank karena bank sudah terkenal dan keberadaannya sangat membantu kita dalam bertransaksi. Adapun pengertian bank menurut Undang Undang perbankan RI Nomor 10 tahun 1998 yaitu bahwa bank merupakan badan usaha yang bergerak dalam bidang keuangan, sehingga aktivitas perbankan selalu berhubungan dengan uang. Awal mula bank hanya bertugas m</w:t>
      </w:r>
      <w:r w:rsidR="00950C32" w:rsidRPr="00FD0BA1">
        <w:rPr>
          <w:noProof/>
          <w:color w:val="000000" w:themeColor="text1"/>
          <w:lang w:val="id-ID"/>
        </w:rPr>
        <w:t>e</w:t>
      </w:r>
      <w:r w:rsidRPr="00FD0BA1">
        <w:rPr>
          <w:noProof/>
          <w:color w:val="000000" w:themeColor="text1"/>
          <w:lang w:val="id-ID"/>
        </w:rPr>
        <w:t>nghimpun atau menyimpan da</w:t>
      </w:r>
      <w:r w:rsidR="00FD0BA1" w:rsidRPr="00FD0BA1">
        <w:rPr>
          <w:noProof/>
          <w:color w:val="000000" w:themeColor="text1"/>
          <w:lang w:val="id-ID"/>
        </w:rPr>
        <w:t xml:space="preserve">na dari masyarakat. </w:t>
      </w:r>
    </w:p>
    <w:p w14:paraId="4667AEAE" w14:textId="77777777" w:rsidR="00510472" w:rsidRPr="00510472" w:rsidRDefault="00146440" w:rsidP="00510472">
      <w:pPr>
        <w:pStyle w:val="ListParagraph"/>
        <w:ind w:left="567" w:firstLine="567"/>
        <w:jc w:val="both"/>
        <w:rPr>
          <w:noProof/>
          <w:color w:val="000000" w:themeColor="text1"/>
          <w:lang w:val="id-ID"/>
        </w:rPr>
      </w:pPr>
      <w:r w:rsidRPr="00146440">
        <w:rPr>
          <w:noProof/>
          <w:color w:val="000000" w:themeColor="text1"/>
          <w:lang w:val="id-ID"/>
        </w:rPr>
        <w:t>Menurut Kuncoro dalam bukunya Manajemen Perbankan, Teori dan Aplikasi</w:t>
      </w:r>
      <w:r>
        <w:rPr>
          <w:noProof/>
          <w:color w:val="000000" w:themeColor="text1"/>
          <w:lang w:val="en-US"/>
        </w:rPr>
        <w:t xml:space="preserve">, </w:t>
      </w:r>
      <w:r w:rsidRPr="00146440">
        <w:rPr>
          <w:noProof/>
          <w:color w:val="000000" w:themeColor="text1"/>
          <w:lang w:val="id-ID"/>
        </w:rPr>
        <w:t>defiinisi dari Bank adalah lembaga keuangan yang usaha pokoknya adalah menghimpun dana dan menyalurkan kembali dana tersebut ke masyarakat dalam bentuk kredit serta memberikan jasa-jasa lalu lintas pembayaran dan peredaran uang.</w:t>
      </w:r>
      <w:r>
        <w:rPr>
          <w:rStyle w:val="FootnoteReference"/>
          <w:noProof/>
          <w:color w:val="000000" w:themeColor="text1"/>
          <w:lang w:val="id-ID"/>
        </w:rPr>
        <w:footnoteReference w:id="1"/>
      </w:r>
    </w:p>
    <w:p w14:paraId="12A529A6" w14:textId="77777777" w:rsidR="00510472" w:rsidRPr="00146440" w:rsidRDefault="00510472" w:rsidP="00510472">
      <w:pPr>
        <w:pStyle w:val="ListParagraph"/>
        <w:ind w:left="567" w:firstLine="567"/>
        <w:jc w:val="both"/>
        <w:rPr>
          <w:noProof/>
          <w:color w:val="000000" w:themeColor="text1"/>
          <w:lang w:val="id-ID"/>
        </w:rPr>
      </w:pPr>
      <w:r w:rsidRPr="00510472">
        <w:rPr>
          <w:noProof/>
          <w:color w:val="000000" w:themeColor="text1"/>
        </w:rPr>
        <w:t xml:space="preserve"> Menurut A, Abdurrachman “ Bank adalah suatu jenis lembaga keuangan yang melaksanakan berbagai macam jasa, seperti memberikan </w:t>
      </w:r>
      <w:r w:rsidRPr="00510472">
        <w:rPr>
          <w:noProof/>
          <w:color w:val="000000" w:themeColor="text1"/>
        </w:rPr>
        <w:lastRenderedPageBreak/>
        <w:t>pinjaman, mengedarkan mata uang, pengawasan terhadap mata uang, bertindak sebagai tempat penyimpanan benda-benda berharga, membiayai usaha perusahaan-perusahaan</w:t>
      </w:r>
      <w:r>
        <w:rPr>
          <w:rStyle w:val="FootnoteReference"/>
          <w:noProof/>
          <w:color w:val="000000" w:themeColor="text1"/>
        </w:rPr>
        <w:footnoteReference w:id="2"/>
      </w:r>
    </w:p>
    <w:p w14:paraId="653B7003" w14:textId="77777777" w:rsidR="00823C42" w:rsidRPr="00FD0BA1" w:rsidRDefault="00823C42" w:rsidP="00FD0BA1">
      <w:pPr>
        <w:pStyle w:val="ListParagraph"/>
        <w:ind w:left="567" w:firstLine="567"/>
        <w:jc w:val="both"/>
        <w:rPr>
          <w:noProof/>
          <w:color w:val="000000" w:themeColor="text1"/>
          <w:lang w:val="id-ID"/>
        </w:rPr>
      </w:pPr>
      <w:r w:rsidRPr="00823C42">
        <w:rPr>
          <w:noProof/>
          <w:color w:val="000000" w:themeColor="text1"/>
          <w:lang w:val="id"/>
        </w:rPr>
        <w:t>Menurut Muhammad Djumhana, hukum perbankan adalah sebagai kumpulan peraturan hukum yang mengatur kegiatan lembaga keuangan bank yang meliputi segala aspek, dilihat dari segi esensi, dan eksistensinya, serta hubungannya dengan bidang kehidupan yang lain</w:t>
      </w:r>
      <w:r>
        <w:rPr>
          <w:rStyle w:val="FootnoteReference"/>
          <w:noProof/>
          <w:color w:val="000000" w:themeColor="text1"/>
          <w:lang w:val="id"/>
        </w:rPr>
        <w:footnoteReference w:id="3"/>
      </w:r>
    </w:p>
    <w:p w14:paraId="34451176" w14:textId="77777777" w:rsidR="00FD0BA1" w:rsidRDefault="00FD0BA1" w:rsidP="00FD0BA1">
      <w:pPr>
        <w:pStyle w:val="ListParagraph"/>
        <w:ind w:left="567" w:firstLine="567"/>
        <w:jc w:val="both"/>
        <w:rPr>
          <w:noProof/>
          <w:color w:val="000000" w:themeColor="text1"/>
          <w:lang w:val="id-ID"/>
        </w:rPr>
      </w:pPr>
      <w:r w:rsidRPr="00FD0BA1">
        <w:rPr>
          <w:noProof/>
          <w:color w:val="000000" w:themeColor="text1"/>
          <w:lang w:val="en-US"/>
        </w:rPr>
        <w:t>P</w:t>
      </w:r>
      <w:r w:rsidR="00817E37" w:rsidRPr="00FD0BA1">
        <w:rPr>
          <w:noProof/>
          <w:color w:val="000000" w:themeColor="text1"/>
          <w:lang w:val="id-ID"/>
        </w:rPr>
        <w:t>engertian bank menurut para ahli seperti yang dikemukakan oleh Verryn Stuart dalam bukunya Bank Politik, Bank merupakan salah satu badan usaha lembaga keuangan yang bertujuan untuk memberikan kredit, baik dengan alat pembayaran sendiri, dengan uang yang diperoleh dari orang lain, dengan jalan mengedarkan alat alat pembayaran baru berupa giral.</w:t>
      </w:r>
      <w:r w:rsidR="00BC7701" w:rsidRPr="00FD0BA1">
        <w:rPr>
          <w:noProof/>
          <w:color w:val="000000" w:themeColor="text1"/>
          <w:lang w:val="id-ID"/>
        </w:rPr>
        <w:t xml:space="preserve"> </w:t>
      </w:r>
      <w:r w:rsidR="00817E37" w:rsidRPr="00FD0BA1">
        <w:rPr>
          <w:noProof/>
          <w:color w:val="000000" w:themeColor="text1"/>
          <w:lang w:val="id-ID"/>
        </w:rPr>
        <w:t xml:space="preserve">Bank dapat diartikan sebagai lembaga keuangan yang usaha pokoknya adalah </w:t>
      </w:r>
      <w:r w:rsidRPr="00FD0BA1">
        <w:rPr>
          <w:noProof/>
          <w:color w:val="000000" w:themeColor="text1"/>
          <w:lang w:val="id-ID"/>
        </w:rPr>
        <w:t>memberikan kredit dan jasa-</w:t>
      </w:r>
      <w:r w:rsidR="00817E37" w:rsidRPr="00FD0BA1">
        <w:rPr>
          <w:noProof/>
          <w:color w:val="000000" w:themeColor="text1"/>
          <w:lang w:val="id-ID"/>
        </w:rPr>
        <w:t>jasa dalam lalu lintas pembayaran dan peredaran uang</w:t>
      </w:r>
      <w:r w:rsidR="00692A30" w:rsidRPr="00FD0BA1">
        <w:rPr>
          <w:rStyle w:val="FootnoteReference"/>
          <w:noProof/>
          <w:color w:val="000000" w:themeColor="text1"/>
          <w:lang w:val="id-ID"/>
        </w:rPr>
        <w:footnoteReference w:id="4"/>
      </w:r>
      <w:r w:rsidR="00817E37" w:rsidRPr="00FD0BA1">
        <w:rPr>
          <w:noProof/>
          <w:color w:val="000000" w:themeColor="text1"/>
          <w:lang w:val="id-ID"/>
        </w:rPr>
        <w:t xml:space="preserve">. </w:t>
      </w:r>
    </w:p>
    <w:p w14:paraId="58BBA4B2" w14:textId="77777777" w:rsidR="00FD0BA1" w:rsidRDefault="00817E37" w:rsidP="00FD0BA1">
      <w:pPr>
        <w:pStyle w:val="ListParagraph"/>
        <w:ind w:left="567" w:firstLine="567"/>
        <w:jc w:val="both"/>
        <w:rPr>
          <w:noProof/>
          <w:color w:val="000000" w:themeColor="text1"/>
          <w:lang w:val="id-ID"/>
        </w:rPr>
      </w:pPr>
      <w:r w:rsidRPr="00FD0BA1">
        <w:rPr>
          <w:noProof/>
          <w:color w:val="000000" w:themeColor="text1"/>
          <w:lang w:val="id-ID"/>
        </w:rPr>
        <w:t>Definisi atau pengertian bank menurut Kasmir dalam</w:t>
      </w:r>
      <w:r w:rsidR="00FD0BA1" w:rsidRPr="00FD0BA1">
        <w:rPr>
          <w:noProof/>
          <w:color w:val="000000" w:themeColor="text1"/>
          <w:lang w:val="id-ID"/>
        </w:rPr>
        <w:t xml:space="preserve"> bukunya yang berjudul “Dasar-</w:t>
      </w:r>
      <w:r w:rsidRPr="00FD0BA1">
        <w:rPr>
          <w:noProof/>
          <w:color w:val="000000" w:themeColor="text1"/>
          <w:lang w:val="id-ID"/>
        </w:rPr>
        <w:t>Dasar Perbankan” mengemukakan bahwa: Bank diartikan sebagai lembaga keuangan yang kegiatan usahanya adalah menghimpun dana dari masyarakat dan menyalurkan kembali dana tersebut ke mas</w:t>
      </w:r>
      <w:r w:rsidR="00FD0BA1" w:rsidRPr="00FD0BA1">
        <w:rPr>
          <w:noProof/>
          <w:color w:val="000000" w:themeColor="text1"/>
          <w:lang w:val="id-ID"/>
        </w:rPr>
        <w:t xml:space="preserve">yarakat serta </w:t>
      </w:r>
      <w:r w:rsidR="00FD0BA1" w:rsidRPr="00FD0BA1">
        <w:rPr>
          <w:noProof/>
          <w:color w:val="000000" w:themeColor="text1"/>
          <w:lang w:val="id-ID"/>
        </w:rPr>
        <w:lastRenderedPageBreak/>
        <w:t>memberikan jasa-</w:t>
      </w:r>
      <w:r w:rsidRPr="00FD0BA1">
        <w:rPr>
          <w:noProof/>
          <w:color w:val="000000" w:themeColor="text1"/>
          <w:lang w:val="id-ID"/>
        </w:rPr>
        <w:t>jasa bank lainnya</w:t>
      </w:r>
      <w:r w:rsidR="00E1112A" w:rsidRPr="00FD0BA1">
        <w:rPr>
          <w:rStyle w:val="FootnoteReference"/>
          <w:noProof/>
          <w:color w:val="000000" w:themeColor="text1"/>
          <w:lang w:val="id-ID"/>
        </w:rPr>
        <w:footnoteReference w:id="5"/>
      </w:r>
      <w:r w:rsidRPr="00FD0BA1">
        <w:rPr>
          <w:noProof/>
          <w:color w:val="000000" w:themeColor="text1"/>
          <w:lang w:val="id-ID"/>
        </w:rPr>
        <w:t xml:space="preserve">. Pengertian perbankan menurut </w:t>
      </w:r>
      <w:r w:rsidR="00F712F9" w:rsidRPr="00FD0BA1">
        <w:rPr>
          <w:noProof/>
          <w:color w:val="000000" w:themeColor="text1"/>
          <w:lang w:val="id-ID"/>
        </w:rPr>
        <w:t xml:space="preserve">Herman Darmawi </w:t>
      </w:r>
      <w:r w:rsidRPr="00FD0BA1">
        <w:rPr>
          <w:noProof/>
          <w:color w:val="000000" w:themeColor="text1"/>
          <w:lang w:val="id-ID"/>
        </w:rPr>
        <w:t>adalah ‘Perbankan adalah segala sesuatu yang menyangkut Bank,</w:t>
      </w:r>
      <w:r w:rsidR="00C465C5" w:rsidRPr="00FD0BA1">
        <w:rPr>
          <w:noProof/>
          <w:color w:val="000000" w:themeColor="text1"/>
          <w:lang w:val="id-ID"/>
        </w:rPr>
        <w:t xml:space="preserve"> </w:t>
      </w:r>
      <w:r w:rsidRPr="00FD0BA1">
        <w:rPr>
          <w:noProof/>
          <w:color w:val="000000" w:themeColor="text1"/>
          <w:lang w:val="id-ID"/>
        </w:rPr>
        <w:t>mencakup Kelembagaan,</w:t>
      </w:r>
      <w:r w:rsidR="00C465C5" w:rsidRPr="00FD0BA1">
        <w:rPr>
          <w:noProof/>
          <w:color w:val="000000" w:themeColor="text1"/>
          <w:lang w:val="id-ID"/>
        </w:rPr>
        <w:t xml:space="preserve"> </w:t>
      </w:r>
      <w:r w:rsidRPr="00FD0BA1">
        <w:rPr>
          <w:noProof/>
          <w:color w:val="000000" w:themeColor="text1"/>
          <w:lang w:val="id-ID"/>
        </w:rPr>
        <w:t>kegiatan usaha,</w:t>
      </w:r>
      <w:r w:rsidR="00C465C5" w:rsidRPr="00FD0BA1">
        <w:rPr>
          <w:noProof/>
          <w:color w:val="000000" w:themeColor="text1"/>
          <w:lang w:val="id-ID"/>
        </w:rPr>
        <w:t xml:space="preserve"> </w:t>
      </w:r>
      <w:r w:rsidRPr="00FD0BA1">
        <w:rPr>
          <w:noProof/>
          <w:color w:val="000000" w:themeColor="text1"/>
          <w:lang w:val="id-ID"/>
        </w:rPr>
        <w:t>serta cara dan proses dalam melaksanakan kegiatan usahanya’</w:t>
      </w:r>
      <w:r w:rsidR="00FD0BA1">
        <w:rPr>
          <w:rStyle w:val="FootnoteReference"/>
          <w:noProof/>
          <w:color w:val="000000" w:themeColor="text1"/>
          <w:lang w:val="id-ID"/>
        </w:rPr>
        <w:footnoteReference w:id="6"/>
      </w:r>
      <w:r w:rsidRPr="00FD0BA1">
        <w:rPr>
          <w:noProof/>
          <w:color w:val="000000" w:themeColor="text1"/>
          <w:lang w:val="id-ID"/>
        </w:rPr>
        <w:t>.</w:t>
      </w:r>
    </w:p>
    <w:p w14:paraId="68F7F3CE" w14:textId="50977B8F" w:rsidR="00F74C26" w:rsidRPr="00FD0BA1" w:rsidRDefault="00817E37" w:rsidP="00963EFD">
      <w:pPr>
        <w:pStyle w:val="ListParagraph"/>
        <w:ind w:left="567" w:firstLine="567"/>
        <w:jc w:val="both"/>
        <w:rPr>
          <w:noProof/>
          <w:color w:val="000000" w:themeColor="text1"/>
          <w:lang w:val="id-ID"/>
        </w:rPr>
      </w:pPr>
      <w:r w:rsidRPr="00FD0BA1">
        <w:rPr>
          <w:noProof/>
          <w:color w:val="000000" w:themeColor="text1"/>
          <w:lang w:val="id-ID"/>
        </w:rPr>
        <w:t>Dari beberapa pengertian di atas dapat disimpulkan bahwa pengertian bank meliputi penghimpunan dana, penyaluran dana dan pemberian jasa-jasa perbankan lainnya. Penghimpunan dan penyaluran dana merupakan kegiatan utama bank sedangkan penyediaan jasa perbankan lainnya hanya kegiatan penunjang Kegiatan penggalangan dana berupa penghimpunan dana dari masyarakat berupa simpanan gratis, tabungan dan akhirnya simpanan. mencatat kegiatan penyaluran dana, berupa pinjaman masyarakat. Pada saat yang sama, layanan perbankan tambahan disediakan untuk mendukung berfungsinya bank dengan baik.</w:t>
      </w:r>
    </w:p>
    <w:p w14:paraId="0B51121C" w14:textId="77777777" w:rsidR="006C0F99" w:rsidRPr="00FD0BA1" w:rsidRDefault="006C0F99" w:rsidP="00FD0BA1">
      <w:pPr>
        <w:contextualSpacing/>
        <w:jc w:val="both"/>
        <w:rPr>
          <w:noProof/>
          <w:color w:val="000000" w:themeColor="text1"/>
          <w:lang w:val="id-ID"/>
        </w:rPr>
      </w:pPr>
    </w:p>
    <w:p w14:paraId="403081B5" w14:textId="77777777" w:rsidR="00F74C26" w:rsidRPr="00FD0BA1" w:rsidRDefault="00F955BE" w:rsidP="00FD0BA1">
      <w:pPr>
        <w:pStyle w:val="Heading3"/>
        <w:spacing w:line="480" w:lineRule="auto"/>
        <w:ind w:left="1134" w:hanging="567"/>
        <w:rPr>
          <w:noProof/>
          <w:lang w:val="id-ID"/>
        </w:rPr>
      </w:pPr>
      <w:bookmarkStart w:id="6" w:name="_Toc106005437"/>
      <w:r w:rsidRPr="00FD0BA1">
        <w:rPr>
          <w:noProof/>
          <w:lang w:val="id-ID"/>
        </w:rPr>
        <w:t>Jenis Bank</w:t>
      </w:r>
      <w:bookmarkEnd w:id="6"/>
    </w:p>
    <w:p w14:paraId="1FECC5D0" w14:textId="77777777" w:rsidR="00C465C5" w:rsidRPr="00FD0BA1" w:rsidRDefault="00C465C5" w:rsidP="00FD0BA1">
      <w:pPr>
        <w:ind w:left="567" w:firstLine="567"/>
        <w:contextualSpacing/>
        <w:jc w:val="both"/>
        <w:rPr>
          <w:noProof/>
          <w:lang w:val="id-ID"/>
        </w:rPr>
      </w:pPr>
      <w:r w:rsidRPr="00FD0BA1">
        <w:rPr>
          <w:noProof/>
          <w:color w:val="000000" w:themeColor="text1"/>
          <w:lang w:val="id-ID"/>
        </w:rPr>
        <w:t>Dalam</w:t>
      </w:r>
      <w:r w:rsidRPr="00FD0BA1">
        <w:rPr>
          <w:noProof/>
          <w:lang w:val="id-ID"/>
        </w:rPr>
        <w:t xml:space="preserve"> Undang-undang Nomor 10 Tahun 1998 tentang Perubahan Atau UU Nomor 7 Tahun 1992 tentang Perbankan sebagai badan komersial yang menghimpun dana dari masyarakat dalam bentuk simpanan dan menggunakannya dalam bentuk pinjaman dan/atau untuk disalurkan kepada publik. Atau cara lain untuk meningkatkan taraf hidup masyarakat Klasifikasi bank tidak hanya berdasarkan kegiatan usahanya, tetapi juga mencakup </w:t>
      </w:r>
      <w:r w:rsidRPr="00FD0BA1">
        <w:rPr>
          <w:noProof/>
          <w:lang w:val="id-ID"/>
        </w:rPr>
        <w:lastRenderedPageBreak/>
        <w:t xml:space="preserve">bentuk badan hukum, pendirian dan kepemilikannya, serta target pasar. Jenis produk bank dasar dapat dibedakan menjadi produk bank dasar bank umum konvensional dan produk </w:t>
      </w:r>
      <w:r w:rsidR="00FD0BA1">
        <w:rPr>
          <w:noProof/>
          <w:lang w:val="id-ID"/>
        </w:rPr>
        <w:t>bank dasar bank umum Syariah.</w:t>
      </w:r>
      <w:r w:rsidR="00F74C26" w:rsidRPr="00FD0BA1">
        <w:rPr>
          <w:rStyle w:val="FootnoteReference"/>
          <w:noProof/>
          <w:lang w:val="id-ID"/>
        </w:rPr>
        <w:footnoteReference w:id="7"/>
      </w:r>
      <w:r w:rsidR="00FD0BA1">
        <w:rPr>
          <w:noProof/>
          <w:lang w:val="en-US"/>
        </w:rPr>
        <w:t xml:space="preserve"> </w:t>
      </w:r>
      <w:r w:rsidR="00905F83" w:rsidRPr="00FD0BA1">
        <w:rPr>
          <w:noProof/>
          <w:lang w:val="id-ID"/>
        </w:rPr>
        <w:t>Berikut jenis Bank berdasarkan klasifikasinya:</w:t>
      </w:r>
    </w:p>
    <w:p w14:paraId="596D73DC" w14:textId="77777777" w:rsidR="00C465C5" w:rsidRPr="00FD0BA1" w:rsidRDefault="00613AC4" w:rsidP="00D551DC">
      <w:pPr>
        <w:numPr>
          <w:ilvl w:val="0"/>
          <w:numId w:val="18"/>
        </w:numPr>
        <w:ind w:left="1701" w:hanging="567"/>
        <w:contextualSpacing/>
        <w:rPr>
          <w:noProof/>
          <w:lang w:val="id-ID"/>
        </w:rPr>
      </w:pPr>
      <w:r w:rsidRPr="00FD0BA1">
        <w:rPr>
          <w:noProof/>
          <w:lang w:val="id-ID"/>
        </w:rPr>
        <w:t>Menurut kegiatan usaha</w:t>
      </w:r>
    </w:p>
    <w:p w14:paraId="57029AB5" w14:textId="77777777" w:rsidR="00F74C26" w:rsidRPr="00FD0BA1" w:rsidRDefault="00C465C5" w:rsidP="00D551DC">
      <w:pPr>
        <w:numPr>
          <w:ilvl w:val="1"/>
          <w:numId w:val="18"/>
        </w:numPr>
        <w:tabs>
          <w:tab w:val="left" w:pos="2268"/>
        </w:tabs>
        <w:ind w:left="2268" w:hanging="283"/>
        <w:contextualSpacing/>
        <w:rPr>
          <w:noProof/>
          <w:lang w:val="id-ID"/>
        </w:rPr>
      </w:pPr>
      <w:r w:rsidRPr="00FD0BA1">
        <w:rPr>
          <w:noProof/>
          <w:lang w:val="id-ID"/>
        </w:rPr>
        <w:t>Bank Umum</w:t>
      </w:r>
    </w:p>
    <w:p w14:paraId="231F5A7E" w14:textId="5E6C0985" w:rsidR="005D6911" w:rsidRDefault="00C465C5" w:rsidP="00963EFD">
      <w:pPr>
        <w:ind w:left="1701"/>
        <w:contextualSpacing/>
        <w:jc w:val="both"/>
        <w:rPr>
          <w:noProof/>
          <w:lang w:val="id-ID"/>
        </w:rPr>
      </w:pPr>
      <w:r w:rsidRPr="00FD0BA1">
        <w:rPr>
          <w:noProof/>
          <w:lang w:val="id-ID"/>
        </w:rPr>
        <w:t xml:space="preserve">Bank Umum didefinisikan oleh Undang-undang Nomor 10 Tahun 1998 Sebagai bank yang melaksanakan kegiatan usaha secara konvensional dan / atau berdasarkan prinsip syariah yang dalam kegiatannya memberikan jasa dalam lalu-lintas pembayaran. </w:t>
      </w:r>
    </w:p>
    <w:p w14:paraId="04DF612E" w14:textId="77777777" w:rsidR="00C465C5" w:rsidRPr="00FD0BA1" w:rsidRDefault="00C465C5" w:rsidP="005D6911">
      <w:pPr>
        <w:ind w:left="1701"/>
        <w:contextualSpacing/>
        <w:jc w:val="both"/>
        <w:rPr>
          <w:noProof/>
          <w:lang w:val="id-ID"/>
        </w:rPr>
      </w:pPr>
      <w:r w:rsidRPr="00FD0BA1">
        <w:rPr>
          <w:noProof/>
          <w:lang w:val="id-ID"/>
        </w:rPr>
        <w:t>Kegiatan-kegiatan usaha yang dapat dilakukan oleh bank umum secara lengkap</w:t>
      </w:r>
      <w:r w:rsidR="00F74C26" w:rsidRPr="00FD0BA1">
        <w:rPr>
          <w:noProof/>
          <w:lang w:val="id-ID"/>
        </w:rPr>
        <w:t xml:space="preserve"> </w:t>
      </w:r>
      <w:r w:rsidRPr="00FD0BA1">
        <w:rPr>
          <w:noProof/>
          <w:lang w:val="id-ID"/>
        </w:rPr>
        <w:t>adalah:</w:t>
      </w:r>
    </w:p>
    <w:p w14:paraId="089FC72E"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Mengumpulkan dana dari masyarakat dalam bentuk simpanan, giro, deposito berjangka, sertifikat deposito, tabungan dalam bentuk lain yang sama.</w:t>
      </w:r>
    </w:p>
    <w:p w14:paraId="74A8DC4A"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Memberikan kredit. </w:t>
      </w:r>
    </w:p>
    <w:p w14:paraId="0D180603"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Menerbitkan surat pengakuan utang. </w:t>
      </w:r>
    </w:p>
    <w:p w14:paraId="6DAB4FC5"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Membeli, menjual atau menjamin atas risiko Anda sendiri atau untuk kepentingan dan atas perintah nasabah. </w:t>
      </w:r>
    </w:p>
    <w:p w14:paraId="6020189F"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Transfer uang untuk kepentingan sendiri atau untuk kepentingan nasabah (transfer) </w:t>
      </w:r>
    </w:p>
    <w:p w14:paraId="4A5D86DE"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Memasukkan dana, meminjamkan dana atau meminjamkan dana kepada pihak lain, baik dengan surat, </w:t>
      </w:r>
      <w:r w:rsidR="002B38CF" w:rsidRPr="00FD0BA1">
        <w:rPr>
          <w:noProof/>
          <w:lang w:val="id-ID"/>
        </w:rPr>
        <w:t>s</w:t>
      </w:r>
      <w:r w:rsidRPr="00FD0BA1">
        <w:rPr>
          <w:noProof/>
          <w:lang w:val="id-ID"/>
        </w:rPr>
        <w:t xml:space="preserve">arana telekomunikasi maupun dengan wesel, cek atau sarana lainnya. </w:t>
      </w:r>
    </w:p>
    <w:p w14:paraId="010BDD33"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lastRenderedPageBreak/>
        <w:t xml:space="preserve">Menerima pembayaran piutang surat berharga dan melakukan perhitungan dengan atau antar pihak ketiga </w:t>
      </w:r>
    </w:p>
    <w:p w14:paraId="3F31AC3E" w14:textId="77777777" w:rsidR="006E7350"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Menyediakan tempat untuk menyimpan barang dan barang berharga (</w:t>
      </w:r>
      <w:r w:rsidRPr="00FD0BA1">
        <w:rPr>
          <w:i/>
          <w:iCs/>
          <w:noProof/>
          <w:lang w:val="id-ID"/>
        </w:rPr>
        <w:t>safe</w:t>
      </w:r>
      <w:r w:rsidRPr="00FD0BA1">
        <w:rPr>
          <w:noProof/>
          <w:lang w:val="id-ID"/>
        </w:rPr>
        <w:t xml:space="preserve">) </w:t>
      </w:r>
    </w:p>
    <w:p w14:paraId="6FA9A1A3"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Melakukan kegiatan penitipan untuk kepentingan sub</w:t>
      </w:r>
      <w:r w:rsidR="00950C32" w:rsidRPr="00FD0BA1">
        <w:rPr>
          <w:noProof/>
          <w:lang w:val="id-ID"/>
        </w:rPr>
        <w:t>j</w:t>
      </w:r>
      <w:r w:rsidRPr="00FD0BA1">
        <w:rPr>
          <w:noProof/>
          <w:lang w:val="id-ID"/>
        </w:rPr>
        <w:t xml:space="preserve">ek lain berdasarkan kontrak </w:t>
      </w:r>
    </w:p>
    <w:p w14:paraId="59AACAB9"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Menempatkan dana klien dengan klien lain dalam bentuk sekuritas </w:t>
      </w:r>
    </w:p>
    <w:p w14:paraId="082FF340"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Melaksanakan kegiatan anjak piutang, kartu kredit dan fidusia amanat </w:t>
      </w:r>
    </w:p>
    <w:p w14:paraId="3293A223"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Memberikan pembiayaan dan/atau melakukan kegiatan lain berdasarkan prinsip Syariah, sesuai dengan ketentuan yang ditetapkan oleh Bank Indonesia </w:t>
      </w:r>
    </w:p>
    <w:p w14:paraId="64BFE1EB"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Melakukan kegiatan valuta asing sesuai dengan ketentuan yang ditetapkan oleh Bank Indonesia</w:t>
      </w:r>
    </w:p>
    <w:p w14:paraId="304ADFF8"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Melakukan kegiatan penyertaan modal pada bank atau perusahaan lain dibidang keuangan seperti sewa guna usaha, modal ventura, perusahaan efek, asuransi, serta lembaga kliring penyelesaian dan penyimpanan, dengan memenuhi ketentuan yang ditetapkan oleh Bank Indonesia. </w:t>
      </w:r>
    </w:p>
    <w:p w14:paraId="437F00A4"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 xml:space="preserve">Melakukan kegiatan penyertaan modal sementara untuk mengatasi akibat kredit atau gagal bayar berdasarkan prinsip Syariah, dengan ketentuan penarikan kembali penyertaan, dengan cara memenuhi ketentuan yang ditetapkan oleh Bank Indonesia. </w:t>
      </w:r>
    </w:p>
    <w:p w14:paraId="7A485B5B" w14:textId="77777777" w:rsidR="00FA6A5A" w:rsidRPr="00FD0BA1" w:rsidRDefault="00C465C5" w:rsidP="00D551DC">
      <w:pPr>
        <w:pStyle w:val="ListParagraph"/>
        <w:numPr>
          <w:ilvl w:val="2"/>
          <w:numId w:val="18"/>
        </w:numPr>
        <w:spacing w:line="276" w:lineRule="auto"/>
        <w:ind w:left="2835" w:hanging="567"/>
        <w:jc w:val="both"/>
        <w:rPr>
          <w:noProof/>
          <w:lang w:val="id-ID"/>
        </w:rPr>
      </w:pPr>
      <w:r w:rsidRPr="00FD0BA1">
        <w:rPr>
          <w:noProof/>
          <w:lang w:val="id-ID"/>
        </w:rPr>
        <w:t>Bertindak sebagai pendiri dana pensiun dan mengelola dana pensiun sesuai dengan Pasal dengan ketentuan peraturan perundang-undangan yang berlaku</w:t>
      </w:r>
      <w:r w:rsidR="00F74C26" w:rsidRPr="00FD0BA1">
        <w:rPr>
          <w:noProof/>
          <w:lang w:val="id-ID"/>
        </w:rPr>
        <w:t xml:space="preserve"> </w:t>
      </w:r>
      <w:r w:rsidRPr="00FD0BA1">
        <w:rPr>
          <w:noProof/>
          <w:lang w:val="id-ID"/>
        </w:rPr>
        <w:t xml:space="preserve">tentang dana pensiun.  </w:t>
      </w:r>
    </w:p>
    <w:p w14:paraId="44E5B2B6" w14:textId="77777777" w:rsidR="00C465C5" w:rsidRDefault="00C465C5" w:rsidP="00D551DC">
      <w:pPr>
        <w:pStyle w:val="ListParagraph"/>
        <w:numPr>
          <w:ilvl w:val="2"/>
          <w:numId w:val="18"/>
        </w:numPr>
        <w:spacing w:line="276" w:lineRule="auto"/>
        <w:ind w:left="2835" w:hanging="567"/>
        <w:jc w:val="both"/>
        <w:rPr>
          <w:noProof/>
          <w:lang w:val="id-ID"/>
        </w:rPr>
      </w:pPr>
      <w:r w:rsidRPr="00FD0BA1">
        <w:rPr>
          <w:noProof/>
          <w:lang w:val="id-ID"/>
        </w:rPr>
        <w:t>Pembelian sebagian atau seluruh barang yang digadaikan, baik melalui pelelangan atau di luar pelelangan berdasarkan penyerahan secara sukarela dari pemegang hipotek atau atas kuasa penjamin untuk menjual di luar pelelangan pemilik dalam kasus nasabah yang berutang. gagal memenuhi kewajibannya kepada bank, dengan</w:t>
      </w:r>
      <w:r w:rsidR="00950C32" w:rsidRPr="00FD0BA1">
        <w:rPr>
          <w:noProof/>
          <w:lang w:val="id-ID"/>
        </w:rPr>
        <w:t xml:space="preserve"> </w:t>
      </w:r>
      <w:r w:rsidRPr="00FD0BA1">
        <w:rPr>
          <w:noProof/>
          <w:lang w:val="id-ID"/>
        </w:rPr>
        <w:t xml:space="preserve">jaminan yang </w:t>
      </w:r>
      <w:r w:rsidRPr="00FD0BA1">
        <w:rPr>
          <w:noProof/>
          <w:lang w:val="id-ID"/>
        </w:rPr>
        <w:lastRenderedPageBreak/>
        <w:t>dibeli harus dicairkan segera setelah melakukan kegiatan lain yang biasa dilakukan oleh bank sepanjang tidak bertentangan dengan peraturan perundang-undangan yang berlaku.</w:t>
      </w:r>
    </w:p>
    <w:p w14:paraId="3B05C550" w14:textId="77777777" w:rsidR="00CC7E4B" w:rsidRPr="00FD0BA1" w:rsidRDefault="00CC7E4B" w:rsidP="00CC7E4B">
      <w:pPr>
        <w:pStyle w:val="ListParagraph"/>
        <w:spacing w:line="276" w:lineRule="auto"/>
        <w:ind w:left="2835"/>
        <w:jc w:val="both"/>
        <w:rPr>
          <w:noProof/>
          <w:lang w:val="id-ID"/>
        </w:rPr>
      </w:pPr>
    </w:p>
    <w:p w14:paraId="676F55B1" w14:textId="77777777" w:rsidR="00C465C5" w:rsidRPr="00FD0BA1" w:rsidRDefault="00C465C5" w:rsidP="00D551DC">
      <w:pPr>
        <w:numPr>
          <w:ilvl w:val="1"/>
          <w:numId w:val="18"/>
        </w:numPr>
        <w:ind w:left="2268" w:hanging="425"/>
        <w:contextualSpacing/>
        <w:rPr>
          <w:noProof/>
          <w:lang w:val="id-ID"/>
        </w:rPr>
      </w:pPr>
      <w:r w:rsidRPr="00FD0BA1">
        <w:rPr>
          <w:noProof/>
          <w:lang w:val="id-ID"/>
        </w:rPr>
        <w:t>Bank Perkreditan Rakyat</w:t>
      </w:r>
      <w:r w:rsidR="00291AC7" w:rsidRPr="00FD0BA1">
        <w:rPr>
          <w:noProof/>
          <w:lang w:val="id-ID"/>
        </w:rPr>
        <w:t xml:space="preserve"> (BPR)</w:t>
      </w:r>
    </w:p>
    <w:p w14:paraId="35375A04" w14:textId="77777777" w:rsidR="00C465C5" w:rsidRPr="00FD0BA1" w:rsidRDefault="00EC41AD" w:rsidP="00F71DF3">
      <w:pPr>
        <w:ind w:left="1701"/>
        <w:contextualSpacing/>
        <w:jc w:val="both"/>
        <w:rPr>
          <w:noProof/>
          <w:lang w:val="id-ID"/>
        </w:rPr>
      </w:pPr>
      <w:r w:rsidRPr="00FD0BA1">
        <w:rPr>
          <w:noProof/>
          <w:lang w:val="id-ID"/>
        </w:rPr>
        <w:t>Bank Perkreditan Rakyat (BPR) adalah bank yang melaksanakan kegiatan usaha secara konvensional atau berdasarkan prinsip syariah yang dalam kegiatannya tidak memberikan jasa dalam lalulintas pembayaran</w:t>
      </w:r>
      <w:r w:rsidRPr="00FD0BA1">
        <w:rPr>
          <w:rStyle w:val="FootnoteReference"/>
          <w:noProof/>
          <w:lang w:val="id-ID"/>
        </w:rPr>
        <w:footnoteReference w:id="8"/>
      </w:r>
      <w:r w:rsidR="00CC7E4B">
        <w:rPr>
          <w:noProof/>
          <w:lang w:val="en-US"/>
        </w:rPr>
        <w:t xml:space="preserve">. </w:t>
      </w:r>
      <w:r w:rsidR="00C465C5" w:rsidRPr="00FD0BA1">
        <w:rPr>
          <w:noProof/>
          <w:lang w:val="id-ID"/>
        </w:rPr>
        <w:t>Kegiatan-kegiatan usaha yang dapat dilakukan Oleh Bank Perkreditan Rakyat secara</w:t>
      </w:r>
      <w:r w:rsidR="00FD5491" w:rsidRPr="00FD0BA1">
        <w:rPr>
          <w:noProof/>
          <w:lang w:val="id-ID"/>
        </w:rPr>
        <w:t xml:space="preserve"> </w:t>
      </w:r>
      <w:r w:rsidR="00C465C5" w:rsidRPr="00FD0BA1">
        <w:rPr>
          <w:noProof/>
          <w:lang w:val="id-ID"/>
        </w:rPr>
        <w:t>lengkap adalah</w:t>
      </w:r>
      <w:r w:rsidRPr="00FD0BA1">
        <w:rPr>
          <w:noProof/>
          <w:lang w:val="id-ID"/>
        </w:rPr>
        <w:t>:</w:t>
      </w:r>
    </w:p>
    <w:p w14:paraId="278528D1" w14:textId="77777777" w:rsidR="00FC3CFD" w:rsidRPr="00FD0BA1" w:rsidRDefault="00C465C5" w:rsidP="00D551DC">
      <w:pPr>
        <w:pStyle w:val="ListParagraph"/>
        <w:numPr>
          <w:ilvl w:val="0"/>
          <w:numId w:val="19"/>
        </w:numPr>
        <w:ind w:left="2835" w:hanging="567"/>
        <w:jc w:val="both"/>
        <w:rPr>
          <w:noProof/>
          <w:lang w:val="id-ID"/>
        </w:rPr>
      </w:pPr>
      <w:r w:rsidRPr="00FD0BA1">
        <w:rPr>
          <w:noProof/>
          <w:lang w:val="id-ID"/>
        </w:rPr>
        <w:t>Menghimpun dana dari masyarakat dalam bentuk simpanan berupa depo</w:t>
      </w:r>
      <w:r w:rsidR="00F71DF3">
        <w:rPr>
          <w:noProof/>
          <w:lang w:val="id-ID"/>
        </w:rPr>
        <w:t>sito berjangka, tabungan, dan/</w:t>
      </w:r>
      <w:r w:rsidRPr="00FD0BA1">
        <w:rPr>
          <w:noProof/>
          <w:lang w:val="id-ID"/>
        </w:rPr>
        <w:t>atau bentuk lainnya yang dipersamakan dengan itu</w:t>
      </w:r>
      <w:r w:rsidR="00F71DF3">
        <w:rPr>
          <w:noProof/>
          <w:lang w:val="en-US"/>
        </w:rPr>
        <w:t>.</w:t>
      </w:r>
    </w:p>
    <w:p w14:paraId="3A7B99D7" w14:textId="77777777" w:rsidR="00FC3CFD" w:rsidRPr="00FD0BA1" w:rsidRDefault="00C465C5" w:rsidP="00D551DC">
      <w:pPr>
        <w:pStyle w:val="ListParagraph"/>
        <w:numPr>
          <w:ilvl w:val="0"/>
          <w:numId w:val="19"/>
        </w:numPr>
        <w:ind w:left="2835" w:hanging="567"/>
        <w:jc w:val="both"/>
        <w:rPr>
          <w:noProof/>
          <w:lang w:val="id-ID"/>
        </w:rPr>
      </w:pPr>
      <w:r w:rsidRPr="00FD0BA1">
        <w:rPr>
          <w:noProof/>
          <w:lang w:val="id-ID"/>
        </w:rPr>
        <w:t>Memberikan kredit</w:t>
      </w:r>
      <w:r w:rsidR="00F71DF3">
        <w:rPr>
          <w:noProof/>
          <w:lang w:val="en-US"/>
        </w:rPr>
        <w:t>;</w:t>
      </w:r>
    </w:p>
    <w:p w14:paraId="32C9A49F" w14:textId="77777777" w:rsidR="00FC3CFD" w:rsidRPr="00FD0BA1" w:rsidRDefault="00C465C5" w:rsidP="00D551DC">
      <w:pPr>
        <w:pStyle w:val="ListParagraph"/>
        <w:numPr>
          <w:ilvl w:val="0"/>
          <w:numId w:val="19"/>
        </w:numPr>
        <w:ind w:left="2835" w:hanging="567"/>
        <w:jc w:val="both"/>
        <w:rPr>
          <w:noProof/>
          <w:lang w:val="id-ID"/>
        </w:rPr>
      </w:pPr>
      <w:r w:rsidRPr="00FD0BA1">
        <w:rPr>
          <w:noProof/>
          <w:lang w:val="id-ID"/>
        </w:rPr>
        <w:t>Menyediakan pembiayaan dan penempatan dana berdasarkan prinsip syariah sesuai dengan ketentuan yang ditetapkan oleh Bank Indonesia</w:t>
      </w:r>
      <w:r w:rsidR="00F71DF3">
        <w:rPr>
          <w:noProof/>
          <w:lang w:val="en-US"/>
        </w:rPr>
        <w:t>;</w:t>
      </w:r>
    </w:p>
    <w:p w14:paraId="7CBD4797" w14:textId="77777777" w:rsidR="00FB0ED8" w:rsidRPr="00CC7E4B" w:rsidRDefault="00C465C5" w:rsidP="00D551DC">
      <w:pPr>
        <w:pStyle w:val="ListParagraph"/>
        <w:numPr>
          <w:ilvl w:val="0"/>
          <w:numId w:val="19"/>
        </w:numPr>
        <w:ind w:left="2835" w:hanging="567"/>
        <w:jc w:val="both"/>
        <w:rPr>
          <w:noProof/>
          <w:lang w:val="id-ID"/>
        </w:rPr>
      </w:pPr>
      <w:r w:rsidRPr="00FD0BA1">
        <w:rPr>
          <w:noProof/>
          <w:lang w:val="id-ID"/>
        </w:rPr>
        <w:t>Menempatkan dananya dalam bentuk Ser</w:t>
      </w:r>
      <w:r w:rsidR="00950C32" w:rsidRPr="00FD0BA1">
        <w:rPr>
          <w:noProof/>
          <w:lang w:val="id-ID"/>
        </w:rPr>
        <w:t>t</w:t>
      </w:r>
      <w:r w:rsidRPr="00FD0BA1">
        <w:rPr>
          <w:noProof/>
          <w:lang w:val="id-ID"/>
        </w:rPr>
        <w:t>ifikat Bank Indonesia</w:t>
      </w:r>
      <w:r w:rsidR="00F71DF3">
        <w:rPr>
          <w:noProof/>
          <w:lang w:val="id-ID"/>
        </w:rPr>
        <w:t xml:space="preserve"> (SBI), deposito berjangka, dan/</w:t>
      </w:r>
      <w:r w:rsidRPr="00FD0BA1">
        <w:rPr>
          <w:noProof/>
          <w:lang w:val="id-ID"/>
        </w:rPr>
        <w:t>atau tabungan pada bank lain</w:t>
      </w:r>
      <w:r w:rsidR="00F71DF3">
        <w:rPr>
          <w:noProof/>
          <w:lang w:val="en-US"/>
        </w:rPr>
        <w:t>.</w:t>
      </w:r>
    </w:p>
    <w:p w14:paraId="04707846" w14:textId="77777777" w:rsidR="00FC3CFD" w:rsidRPr="00FD0BA1" w:rsidRDefault="00C465C5" w:rsidP="00F71DF3">
      <w:pPr>
        <w:ind w:left="1701"/>
        <w:contextualSpacing/>
        <w:jc w:val="both"/>
        <w:rPr>
          <w:noProof/>
          <w:lang w:val="id-ID"/>
        </w:rPr>
      </w:pPr>
      <w:r w:rsidRPr="00FD0BA1">
        <w:rPr>
          <w:noProof/>
          <w:lang w:val="id-ID"/>
        </w:rPr>
        <w:lastRenderedPageBreak/>
        <w:t>Disamping kegiatan-kegiatan yang dapat dilaksanakan oleh BPR di atas, terdapat juga kegiatan-kegiatan yang merupakan larangan bagi BPR sebagai berikut:</w:t>
      </w:r>
    </w:p>
    <w:p w14:paraId="69C2D830" w14:textId="77777777" w:rsidR="00FC3CFD" w:rsidRPr="00FD0BA1" w:rsidRDefault="00C465C5" w:rsidP="00D551DC">
      <w:pPr>
        <w:pStyle w:val="ListParagraph"/>
        <w:numPr>
          <w:ilvl w:val="0"/>
          <w:numId w:val="20"/>
        </w:numPr>
        <w:ind w:left="2835" w:hanging="567"/>
        <w:jc w:val="both"/>
        <w:rPr>
          <w:noProof/>
          <w:lang w:val="id-ID"/>
        </w:rPr>
      </w:pPr>
      <w:r w:rsidRPr="00FD0BA1">
        <w:rPr>
          <w:noProof/>
          <w:lang w:val="id-ID"/>
        </w:rPr>
        <w:t>Menerima simpanan berupa giro dan ikut serta dalam lalu-lintas pembayaran</w:t>
      </w:r>
    </w:p>
    <w:p w14:paraId="72ECA391" w14:textId="77777777" w:rsidR="00FC3CFD" w:rsidRPr="00FD0BA1" w:rsidRDefault="00C465C5" w:rsidP="00D551DC">
      <w:pPr>
        <w:pStyle w:val="ListParagraph"/>
        <w:numPr>
          <w:ilvl w:val="0"/>
          <w:numId w:val="20"/>
        </w:numPr>
        <w:ind w:left="2835" w:hanging="567"/>
        <w:jc w:val="both"/>
        <w:rPr>
          <w:noProof/>
          <w:lang w:val="id-ID"/>
        </w:rPr>
      </w:pPr>
      <w:r w:rsidRPr="00FD0BA1">
        <w:rPr>
          <w:noProof/>
          <w:lang w:val="id-ID"/>
        </w:rPr>
        <w:t>Melakukan kegiatan usaha dalam valuta asing</w:t>
      </w:r>
    </w:p>
    <w:p w14:paraId="7B4BF4B9" w14:textId="77777777" w:rsidR="00FC3CFD" w:rsidRPr="00FD0BA1" w:rsidRDefault="00C465C5" w:rsidP="00D551DC">
      <w:pPr>
        <w:pStyle w:val="ListParagraph"/>
        <w:numPr>
          <w:ilvl w:val="0"/>
          <w:numId w:val="20"/>
        </w:numPr>
        <w:ind w:left="2835" w:hanging="567"/>
        <w:jc w:val="both"/>
        <w:rPr>
          <w:noProof/>
          <w:lang w:val="id-ID"/>
        </w:rPr>
      </w:pPr>
      <w:r w:rsidRPr="00FD0BA1">
        <w:rPr>
          <w:noProof/>
          <w:lang w:val="id-ID"/>
        </w:rPr>
        <w:t>Melakukan penyertaan modal</w:t>
      </w:r>
    </w:p>
    <w:p w14:paraId="2BF85192" w14:textId="77777777" w:rsidR="00F71DF3" w:rsidRDefault="00C465C5" w:rsidP="00D551DC">
      <w:pPr>
        <w:pStyle w:val="ListParagraph"/>
        <w:numPr>
          <w:ilvl w:val="0"/>
          <w:numId w:val="20"/>
        </w:numPr>
        <w:ind w:left="2835" w:hanging="567"/>
        <w:jc w:val="both"/>
        <w:rPr>
          <w:noProof/>
          <w:lang w:val="id-ID"/>
        </w:rPr>
      </w:pPr>
      <w:r w:rsidRPr="00FD0BA1">
        <w:rPr>
          <w:noProof/>
          <w:lang w:val="id-ID"/>
        </w:rPr>
        <w:t xml:space="preserve">Melakukan usaha perasuransian </w:t>
      </w:r>
    </w:p>
    <w:p w14:paraId="705E2B52" w14:textId="77777777" w:rsidR="00781056" w:rsidRPr="00F71DF3" w:rsidRDefault="00C465C5" w:rsidP="00D551DC">
      <w:pPr>
        <w:pStyle w:val="ListParagraph"/>
        <w:numPr>
          <w:ilvl w:val="0"/>
          <w:numId w:val="20"/>
        </w:numPr>
        <w:ind w:left="2835" w:hanging="567"/>
        <w:jc w:val="both"/>
        <w:rPr>
          <w:noProof/>
          <w:lang w:val="id-ID"/>
        </w:rPr>
      </w:pPr>
      <w:r w:rsidRPr="00F71DF3">
        <w:rPr>
          <w:noProof/>
          <w:lang w:val="id-ID"/>
        </w:rPr>
        <w:t>Melakukan usaha lain di luar kegiatan usaha sebagaimana dimaksud di atas</w:t>
      </w:r>
    </w:p>
    <w:p w14:paraId="67B0EE76" w14:textId="77777777" w:rsidR="00C465C5" w:rsidRPr="00FD0BA1" w:rsidRDefault="00360E7B" w:rsidP="00D551DC">
      <w:pPr>
        <w:numPr>
          <w:ilvl w:val="0"/>
          <w:numId w:val="18"/>
        </w:numPr>
        <w:ind w:left="1701" w:hanging="567"/>
        <w:contextualSpacing/>
        <w:rPr>
          <w:noProof/>
          <w:lang w:val="id-ID"/>
        </w:rPr>
      </w:pPr>
      <w:r w:rsidRPr="00FD0BA1">
        <w:rPr>
          <w:noProof/>
          <w:lang w:val="id-ID"/>
        </w:rPr>
        <w:t>Menurut badan usaha</w:t>
      </w:r>
    </w:p>
    <w:p w14:paraId="09B90082" w14:textId="77777777" w:rsidR="00F71DF3" w:rsidRDefault="00C465C5" w:rsidP="00F71DF3">
      <w:pPr>
        <w:ind w:left="1701"/>
        <w:contextualSpacing/>
        <w:jc w:val="both"/>
        <w:rPr>
          <w:noProof/>
          <w:lang w:val="en-US"/>
        </w:rPr>
      </w:pPr>
      <w:r w:rsidRPr="00FD0BA1">
        <w:rPr>
          <w:noProof/>
          <w:lang w:val="id-ID"/>
        </w:rPr>
        <w:t>Untuk memperoleh izin usaha sebagai Bank Umum atau Bank Perkreditan Rakyat, suatu lembaga keuangan waji</w:t>
      </w:r>
      <w:r w:rsidR="00F71DF3">
        <w:rPr>
          <w:noProof/>
          <w:lang w:val="id-ID"/>
        </w:rPr>
        <w:t xml:space="preserve">b memenuhi persyaratan mengenai </w:t>
      </w:r>
      <w:r w:rsidR="00F71DF3">
        <w:rPr>
          <w:noProof/>
          <w:lang w:val="en-US"/>
        </w:rPr>
        <w:t>(1) s</w:t>
      </w:r>
      <w:r w:rsidRPr="00F71DF3">
        <w:rPr>
          <w:noProof/>
          <w:lang w:val="id-ID"/>
        </w:rPr>
        <w:t>usunan organisasi dan permodalan</w:t>
      </w:r>
      <w:r w:rsidR="00F71DF3">
        <w:rPr>
          <w:noProof/>
          <w:lang w:val="en-US"/>
        </w:rPr>
        <w:t>; (2) p</w:t>
      </w:r>
      <w:r w:rsidR="00F71DF3">
        <w:rPr>
          <w:noProof/>
          <w:lang w:val="id-ID"/>
        </w:rPr>
        <w:t xml:space="preserve">ermodalan; </w:t>
      </w:r>
      <w:r w:rsidR="00F71DF3">
        <w:rPr>
          <w:noProof/>
          <w:lang w:val="en-US"/>
        </w:rPr>
        <w:t xml:space="preserve">(3) </w:t>
      </w:r>
      <w:r w:rsidR="00F71DF3">
        <w:rPr>
          <w:noProof/>
          <w:lang w:val="id-ID"/>
        </w:rPr>
        <w:t>k</w:t>
      </w:r>
      <w:r w:rsidRPr="00F71DF3">
        <w:rPr>
          <w:noProof/>
          <w:lang w:val="id-ID"/>
        </w:rPr>
        <w:t>epemilikan</w:t>
      </w:r>
      <w:r w:rsidR="00F71DF3">
        <w:rPr>
          <w:noProof/>
          <w:lang w:val="en-US"/>
        </w:rPr>
        <w:t>; (4) k</w:t>
      </w:r>
      <w:r w:rsidRPr="00F71DF3">
        <w:rPr>
          <w:noProof/>
          <w:lang w:val="id-ID"/>
        </w:rPr>
        <w:t>eahlian di bidang perbankan</w:t>
      </w:r>
      <w:r w:rsidR="00F71DF3">
        <w:rPr>
          <w:noProof/>
          <w:lang w:val="en-US"/>
        </w:rPr>
        <w:t xml:space="preserve"> dan (5) </w:t>
      </w:r>
      <w:r w:rsidR="00F71DF3">
        <w:rPr>
          <w:noProof/>
          <w:lang w:val="id-ID"/>
        </w:rPr>
        <w:t>k</w:t>
      </w:r>
      <w:r w:rsidRPr="00F71DF3">
        <w:rPr>
          <w:noProof/>
          <w:lang w:val="id-ID"/>
        </w:rPr>
        <w:t>elayakan rencana kerja</w:t>
      </w:r>
      <w:r w:rsidR="00F71DF3" w:rsidRPr="00F71DF3">
        <w:rPr>
          <w:noProof/>
          <w:lang w:val="en-US"/>
        </w:rPr>
        <w:t>.</w:t>
      </w:r>
    </w:p>
    <w:p w14:paraId="19553453" w14:textId="77777777" w:rsidR="00C465C5" w:rsidRPr="00F71DF3" w:rsidRDefault="00C465C5" w:rsidP="00F71DF3">
      <w:pPr>
        <w:ind w:left="1701"/>
        <w:contextualSpacing/>
        <w:jc w:val="both"/>
        <w:rPr>
          <w:noProof/>
          <w:lang w:val="en-US"/>
        </w:rPr>
      </w:pPr>
      <w:r w:rsidRPr="00FD0BA1">
        <w:rPr>
          <w:noProof/>
          <w:lang w:val="id-ID"/>
        </w:rPr>
        <w:t>Badan hukum suatu Bank Umum dapat berupa:</w:t>
      </w:r>
      <w:r w:rsidR="00F71DF3">
        <w:rPr>
          <w:noProof/>
          <w:lang w:val="en-US"/>
        </w:rPr>
        <w:t xml:space="preserve"> (1) </w:t>
      </w:r>
      <w:r w:rsidR="00F71DF3">
        <w:rPr>
          <w:noProof/>
          <w:lang w:val="id-ID"/>
        </w:rPr>
        <w:t>p</w:t>
      </w:r>
      <w:r w:rsidRPr="00F71DF3">
        <w:rPr>
          <w:noProof/>
          <w:lang w:val="id-ID"/>
        </w:rPr>
        <w:t>erseroan terbatas</w:t>
      </w:r>
      <w:r w:rsidR="00F71DF3">
        <w:rPr>
          <w:noProof/>
          <w:lang w:val="en-US"/>
        </w:rPr>
        <w:t xml:space="preserve">; (b) </w:t>
      </w:r>
      <w:r w:rsidR="00F71DF3">
        <w:rPr>
          <w:noProof/>
          <w:lang w:val="id-ID"/>
        </w:rPr>
        <w:t>k</w:t>
      </w:r>
      <w:r w:rsidRPr="00F71DF3">
        <w:rPr>
          <w:noProof/>
          <w:lang w:val="id-ID"/>
        </w:rPr>
        <w:t>operasi</w:t>
      </w:r>
      <w:r w:rsidR="00F71DF3">
        <w:rPr>
          <w:noProof/>
          <w:lang w:val="en-US"/>
        </w:rPr>
        <w:t xml:space="preserve"> dan (c) </w:t>
      </w:r>
      <w:r w:rsidR="00F71DF3">
        <w:rPr>
          <w:noProof/>
          <w:lang w:val="id-ID"/>
        </w:rPr>
        <w:t>perusahaan d</w:t>
      </w:r>
      <w:r w:rsidRPr="00F71DF3">
        <w:rPr>
          <w:noProof/>
          <w:lang w:val="id-ID"/>
        </w:rPr>
        <w:t>aerah</w:t>
      </w:r>
      <w:r w:rsidR="00F71DF3">
        <w:rPr>
          <w:noProof/>
          <w:lang w:val="en-US"/>
        </w:rPr>
        <w:t xml:space="preserve">. </w:t>
      </w:r>
      <w:r w:rsidRPr="00FD0BA1">
        <w:rPr>
          <w:noProof/>
          <w:lang w:val="id-ID"/>
        </w:rPr>
        <w:t>Sedangkan badan hukum Bank Perkreditan rakyat dapat berupa:</w:t>
      </w:r>
      <w:r w:rsidR="00F71DF3">
        <w:rPr>
          <w:noProof/>
          <w:lang w:val="en-US"/>
        </w:rPr>
        <w:t xml:space="preserve"> (1) </w:t>
      </w:r>
      <w:r w:rsidR="00F71DF3" w:rsidRPr="00F71DF3">
        <w:rPr>
          <w:noProof/>
          <w:lang w:val="id-ID"/>
        </w:rPr>
        <w:t>p</w:t>
      </w:r>
      <w:r w:rsidRPr="00F71DF3">
        <w:rPr>
          <w:noProof/>
          <w:lang w:val="id-ID"/>
        </w:rPr>
        <w:t>erusahaan</w:t>
      </w:r>
      <w:r w:rsidR="00F71DF3" w:rsidRPr="00F71DF3">
        <w:rPr>
          <w:noProof/>
          <w:lang w:val="id-ID"/>
        </w:rPr>
        <w:t xml:space="preserve"> d</w:t>
      </w:r>
      <w:r w:rsidRPr="00F71DF3">
        <w:rPr>
          <w:noProof/>
          <w:lang w:val="id-ID"/>
        </w:rPr>
        <w:t>aerah</w:t>
      </w:r>
      <w:r w:rsidR="00F71DF3" w:rsidRPr="00F71DF3">
        <w:rPr>
          <w:noProof/>
          <w:lang w:val="en-US"/>
        </w:rPr>
        <w:t>; (</w:t>
      </w:r>
      <w:r w:rsidR="00F71DF3">
        <w:rPr>
          <w:noProof/>
          <w:lang w:val="en-US"/>
        </w:rPr>
        <w:t>2</w:t>
      </w:r>
      <w:r w:rsidR="00F71DF3" w:rsidRPr="00F71DF3">
        <w:rPr>
          <w:noProof/>
          <w:lang w:val="en-US"/>
        </w:rPr>
        <w:t xml:space="preserve">) </w:t>
      </w:r>
      <w:r w:rsidR="00F71DF3" w:rsidRPr="00F71DF3">
        <w:rPr>
          <w:noProof/>
          <w:lang w:val="id-ID"/>
        </w:rPr>
        <w:t>k</w:t>
      </w:r>
      <w:r w:rsidRPr="00F71DF3">
        <w:rPr>
          <w:noProof/>
          <w:lang w:val="id-ID"/>
        </w:rPr>
        <w:t>operasi</w:t>
      </w:r>
      <w:r w:rsidR="00F71DF3" w:rsidRPr="00F71DF3">
        <w:rPr>
          <w:noProof/>
          <w:lang w:val="en-US"/>
        </w:rPr>
        <w:t xml:space="preserve">; (3) </w:t>
      </w:r>
      <w:r w:rsidR="00F71DF3" w:rsidRPr="00F71DF3">
        <w:rPr>
          <w:noProof/>
          <w:lang w:val="id-ID"/>
        </w:rPr>
        <w:t>perseroan t</w:t>
      </w:r>
      <w:r w:rsidRPr="00F71DF3">
        <w:rPr>
          <w:noProof/>
          <w:lang w:val="id-ID"/>
        </w:rPr>
        <w:t>erbatas</w:t>
      </w:r>
      <w:r w:rsidR="00F71DF3" w:rsidRPr="00F71DF3">
        <w:rPr>
          <w:noProof/>
          <w:lang w:val="en-US"/>
        </w:rPr>
        <w:t xml:space="preserve"> dan (4) </w:t>
      </w:r>
      <w:r w:rsidR="00F71DF3" w:rsidRPr="00F71DF3">
        <w:rPr>
          <w:noProof/>
          <w:lang w:val="id-ID"/>
        </w:rPr>
        <w:t>b</w:t>
      </w:r>
      <w:r w:rsidRPr="00F71DF3">
        <w:rPr>
          <w:noProof/>
          <w:lang w:val="id-ID"/>
        </w:rPr>
        <w:t>entuk lain yang ditetapkan dengan Peraturan Pemerintah</w:t>
      </w:r>
    </w:p>
    <w:p w14:paraId="74C5175C" w14:textId="77777777" w:rsidR="00CE231C" w:rsidRPr="00FD0BA1" w:rsidRDefault="00E74A47" w:rsidP="00D551DC">
      <w:pPr>
        <w:numPr>
          <w:ilvl w:val="0"/>
          <w:numId w:val="18"/>
        </w:numPr>
        <w:ind w:left="1701" w:hanging="567"/>
        <w:contextualSpacing/>
        <w:rPr>
          <w:noProof/>
          <w:lang w:val="id-ID"/>
        </w:rPr>
      </w:pPr>
      <w:r w:rsidRPr="00FD0BA1">
        <w:rPr>
          <w:noProof/>
          <w:lang w:val="id-ID"/>
        </w:rPr>
        <w:t>Menurut pendirian dan kepemilikannya</w:t>
      </w:r>
    </w:p>
    <w:p w14:paraId="481E2200" w14:textId="77777777" w:rsidR="00F71DF3" w:rsidRDefault="00C465C5" w:rsidP="00CC7E4B">
      <w:pPr>
        <w:ind w:left="1701"/>
        <w:contextualSpacing/>
        <w:jc w:val="both"/>
        <w:rPr>
          <w:noProof/>
          <w:lang w:val="id-ID"/>
        </w:rPr>
      </w:pPr>
      <w:r w:rsidRPr="00FD0BA1">
        <w:rPr>
          <w:noProof/>
          <w:lang w:val="id-ID"/>
        </w:rPr>
        <w:lastRenderedPageBreak/>
        <w:t>Undang-undang Nomor 10 Tahun 1998 dan Surat Keputusan Direktur BI Nomor 32/33/KEP/DIR tanggal 12 Mei 1999 tentang Bank Umum menetapkan ketentuan-ketentuan tentang pendirian dan kepemilikan bank</w:t>
      </w:r>
      <w:r w:rsidR="00F71DF3">
        <w:rPr>
          <w:noProof/>
          <w:lang w:val="id-ID"/>
        </w:rPr>
        <w:t>.</w:t>
      </w:r>
    </w:p>
    <w:p w14:paraId="470B4453" w14:textId="77777777" w:rsidR="00CE231C" w:rsidRPr="00F71DF3" w:rsidRDefault="00E74A47" w:rsidP="00D551DC">
      <w:pPr>
        <w:pStyle w:val="ListParagraph"/>
        <w:numPr>
          <w:ilvl w:val="0"/>
          <w:numId w:val="18"/>
        </w:numPr>
        <w:ind w:left="1701" w:hanging="567"/>
        <w:jc w:val="both"/>
        <w:rPr>
          <w:noProof/>
          <w:lang w:val="id-ID"/>
        </w:rPr>
      </w:pPr>
      <w:r w:rsidRPr="00F71DF3">
        <w:rPr>
          <w:noProof/>
          <w:lang w:val="id-ID"/>
        </w:rPr>
        <w:t>Menurut target pasar</w:t>
      </w:r>
    </w:p>
    <w:p w14:paraId="1648F454" w14:textId="77777777" w:rsidR="00C465C5" w:rsidRPr="00FD0BA1" w:rsidRDefault="00C465C5" w:rsidP="00F71DF3">
      <w:pPr>
        <w:ind w:left="1701"/>
        <w:contextualSpacing/>
        <w:jc w:val="both"/>
        <w:rPr>
          <w:noProof/>
          <w:lang w:val="id-ID"/>
        </w:rPr>
      </w:pPr>
      <w:r w:rsidRPr="00FD0BA1">
        <w:rPr>
          <w:noProof/>
          <w:lang w:val="id-ID"/>
        </w:rPr>
        <w:t>Secara umum, jenis bank atas dasar target pasarnya dapat digolongkan menjadi tiga:</w:t>
      </w:r>
    </w:p>
    <w:p w14:paraId="07D1FBA2" w14:textId="77777777" w:rsidR="00CE231C" w:rsidRPr="00FD0BA1" w:rsidRDefault="00C465C5" w:rsidP="00D551DC">
      <w:pPr>
        <w:pStyle w:val="ListParagraph"/>
        <w:numPr>
          <w:ilvl w:val="1"/>
          <w:numId w:val="18"/>
        </w:numPr>
        <w:ind w:left="2268" w:hanging="283"/>
        <w:rPr>
          <w:noProof/>
          <w:lang w:val="id-ID"/>
        </w:rPr>
      </w:pPr>
      <w:r w:rsidRPr="00FD0BA1">
        <w:rPr>
          <w:noProof/>
          <w:lang w:val="id-ID"/>
        </w:rPr>
        <w:t>Retail Bank</w:t>
      </w:r>
    </w:p>
    <w:p w14:paraId="1DAF2369" w14:textId="77777777" w:rsidR="00C465C5" w:rsidRPr="00FD0BA1" w:rsidRDefault="00C465C5" w:rsidP="00F71DF3">
      <w:pPr>
        <w:ind w:left="2268"/>
        <w:contextualSpacing/>
        <w:jc w:val="both"/>
        <w:rPr>
          <w:noProof/>
          <w:lang w:val="id-ID"/>
        </w:rPr>
      </w:pPr>
      <w:r w:rsidRPr="00FD0BA1">
        <w:rPr>
          <w:noProof/>
          <w:lang w:val="id-ID"/>
        </w:rPr>
        <w:t>Bank jenis ini memfokuskan pelayanan dan transaksi kepada nasabah-nasabah Retail. Pengertian retail di sini adalah nasabah-nasabah individual, perusahaan, dan Lembaga lain yang skalanya kecil. Meskipun pengertian dari kata ’kecil’ atau ’ret</w:t>
      </w:r>
      <w:r w:rsidR="00950C32" w:rsidRPr="00FD0BA1">
        <w:rPr>
          <w:noProof/>
          <w:lang w:val="id-ID"/>
        </w:rPr>
        <w:t>e</w:t>
      </w:r>
      <w:r w:rsidRPr="00FD0BA1">
        <w:rPr>
          <w:noProof/>
          <w:lang w:val="id-ID"/>
        </w:rPr>
        <w:t>l’ (</w:t>
      </w:r>
      <w:r w:rsidRPr="00FD0BA1">
        <w:rPr>
          <w:i/>
          <w:iCs/>
          <w:noProof/>
          <w:lang w:val="id-ID"/>
        </w:rPr>
        <w:t>retail</w:t>
      </w:r>
      <w:r w:rsidRPr="00FD0BA1">
        <w:rPr>
          <w:noProof/>
          <w:lang w:val="id-ID"/>
        </w:rPr>
        <w:t>) adalah relatif, namun biasanya apabila ditinjau dari jasa kredit yang Diberikan, nasabah debit</w:t>
      </w:r>
      <w:r w:rsidR="00950C32" w:rsidRPr="00FD0BA1">
        <w:rPr>
          <w:noProof/>
          <w:lang w:val="id-ID"/>
        </w:rPr>
        <w:t>u</w:t>
      </w:r>
      <w:r w:rsidRPr="00FD0BA1">
        <w:rPr>
          <w:noProof/>
          <w:lang w:val="id-ID"/>
        </w:rPr>
        <w:t>r yang dilayani adalah yang memerlukan fasilitas kredit Tidak lebih besar daripada Rp 20 miliar. Angka tersebut bukan merupakan angka Yang standar atau baku, tapi setidaknya dapat memberikan gambaran tentang Kelompok nasabah yang dilayani oleh bank jenis ini.</w:t>
      </w:r>
    </w:p>
    <w:p w14:paraId="62EE3767" w14:textId="77777777" w:rsidR="00CE231C" w:rsidRPr="00FD0BA1" w:rsidRDefault="00C465C5" w:rsidP="00D551DC">
      <w:pPr>
        <w:pStyle w:val="ListParagraph"/>
        <w:numPr>
          <w:ilvl w:val="1"/>
          <w:numId w:val="18"/>
        </w:numPr>
        <w:ind w:left="2268" w:hanging="283"/>
        <w:rPr>
          <w:i/>
          <w:iCs/>
          <w:noProof/>
          <w:lang w:val="id-ID"/>
        </w:rPr>
      </w:pPr>
      <w:r w:rsidRPr="00FD0BA1">
        <w:rPr>
          <w:i/>
          <w:iCs/>
          <w:noProof/>
          <w:lang w:val="id-ID"/>
        </w:rPr>
        <w:t>Corporate Bank</w:t>
      </w:r>
    </w:p>
    <w:p w14:paraId="67D05676" w14:textId="77777777" w:rsidR="00CE231C" w:rsidRPr="00FD0BA1" w:rsidRDefault="00C465C5" w:rsidP="00F71DF3">
      <w:pPr>
        <w:ind w:left="2268"/>
        <w:contextualSpacing/>
        <w:jc w:val="both"/>
        <w:rPr>
          <w:noProof/>
          <w:lang w:val="id-ID"/>
        </w:rPr>
      </w:pPr>
      <w:r w:rsidRPr="00FD0BA1">
        <w:rPr>
          <w:noProof/>
          <w:lang w:val="id-ID"/>
        </w:rPr>
        <w:t xml:space="preserve">Bank jenis ini memfokuskan pelayanan dan transaksi kepada nasabah-nasabah Yang berskala besar. Mengingat nasabah yang berskala besar ini biasanya Berbentuk </w:t>
      </w:r>
      <w:r w:rsidRPr="00FD0BA1">
        <w:rPr>
          <w:noProof/>
          <w:lang w:val="id-ID"/>
        </w:rPr>
        <w:lastRenderedPageBreak/>
        <w:t>korporasi, maka bank kelompok ini disebut corporate bank</w:t>
      </w:r>
      <w:r w:rsidR="00CE231C" w:rsidRPr="00FD0BA1">
        <w:rPr>
          <w:noProof/>
          <w:lang w:val="id-ID"/>
        </w:rPr>
        <w:t xml:space="preserve"> </w:t>
      </w:r>
      <w:r w:rsidRPr="00FD0BA1">
        <w:rPr>
          <w:noProof/>
          <w:lang w:val="id-ID"/>
        </w:rPr>
        <w:t>meskipun Namanya adalah bank korporat (</w:t>
      </w:r>
      <w:r w:rsidRPr="00FD0BA1">
        <w:rPr>
          <w:i/>
          <w:iCs/>
          <w:noProof/>
          <w:lang w:val="id-ID"/>
        </w:rPr>
        <w:t>corporate bank</w:t>
      </w:r>
      <w:r w:rsidRPr="00FD0BA1">
        <w:rPr>
          <w:noProof/>
          <w:lang w:val="id-ID"/>
        </w:rPr>
        <w:t>) tidak berarti seluruh nasabahnya Berbentuk suatu perusahaan. Pelayanan dan transaksi yang diberikan kepada suatu perusahaan seringkali membawa konsekuensi berupa pelayanan yang harus diberikan juga kepada karyawan, direksi dan komisaris dari perusahaan tersebut secara individual. Pelayanan yang diberikan secara perorangan di sini diarahkan untuk menjalin kerja sama yang lebih baik dengan nasabah-nasabah korporasi.</w:t>
      </w:r>
    </w:p>
    <w:p w14:paraId="3E91EA39" w14:textId="77777777" w:rsidR="00C465C5" w:rsidRPr="00FD0BA1" w:rsidRDefault="00C465C5" w:rsidP="00D551DC">
      <w:pPr>
        <w:pStyle w:val="ListParagraph"/>
        <w:numPr>
          <w:ilvl w:val="1"/>
          <w:numId w:val="18"/>
        </w:numPr>
        <w:ind w:left="2268" w:hanging="283"/>
        <w:rPr>
          <w:i/>
          <w:iCs/>
          <w:noProof/>
          <w:lang w:val="id-ID"/>
        </w:rPr>
      </w:pPr>
      <w:r w:rsidRPr="00FD0BA1">
        <w:rPr>
          <w:i/>
          <w:iCs/>
          <w:noProof/>
          <w:lang w:val="id-ID"/>
        </w:rPr>
        <w:t>Retail-Corporate Bank</w:t>
      </w:r>
    </w:p>
    <w:p w14:paraId="7ED3621F" w14:textId="77777777" w:rsidR="00C465C5" w:rsidRDefault="00C465C5" w:rsidP="00F71DF3">
      <w:pPr>
        <w:ind w:left="2268"/>
        <w:contextualSpacing/>
        <w:jc w:val="both"/>
        <w:rPr>
          <w:noProof/>
          <w:lang w:val="id-ID"/>
        </w:rPr>
      </w:pPr>
      <w:r w:rsidRPr="00FD0BA1">
        <w:rPr>
          <w:noProof/>
          <w:lang w:val="id-ID"/>
        </w:rPr>
        <w:t xml:space="preserve">Disamping kedua jenis bank di atas, terdapat juga bank yang tidak memfokuskan pada kedua pilihan jenis nasabah di atas. Bank jenis ini memberikan pelayanannya tidak hanya kepada nasabah retail juga kepada nasabah korporasi. Penyebab munculnya bank jenis ini tidaklah seragam. Ada bank yang sejak awal sudah menentukan untuk menjadi bank yang melayani baik nasabah retail maupun korporasi. Bank jenis ini memandang bahwa potensi baik pasar ritel dan korporasi harus dimanfaatkan untuk mengoptimalkan keuntungan maksimal, meskipun terdapat kemungkinan penurunan efisiensi. Ada juga bank yang semula memfokuskan pada nasabah korporasi, tapi kemudian juga </w:t>
      </w:r>
      <w:r w:rsidRPr="00FD0BA1">
        <w:rPr>
          <w:noProof/>
          <w:lang w:val="id-ID"/>
        </w:rPr>
        <w:lastRenderedPageBreak/>
        <w:t>memberikan pelayanan kepada nasabah ritel atau sebaliknya karena berbagai alasan. Hal tersebut bisa terjadi karena manajemen memandang telah terjadi perubahan kondisi pasar atau karena terjadi penggantian manajemen sehingga terjadi perubahan strategi pemasaran. Hal tersebut bisa juga terjadi karena adanya program pemerintah yang menghendaki agar bank-bank tertentu melaksanakan program pemerintah tertentu.</w:t>
      </w:r>
    </w:p>
    <w:p w14:paraId="0E68422A" w14:textId="77777777" w:rsidR="00CC7E4B" w:rsidRPr="00FD0BA1" w:rsidRDefault="00CC7E4B" w:rsidP="00F71DF3">
      <w:pPr>
        <w:ind w:left="2268"/>
        <w:contextualSpacing/>
        <w:jc w:val="both"/>
        <w:rPr>
          <w:noProof/>
          <w:lang w:val="id-ID"/>
        </w:rPr>
      </w:pPr>
    </w:p>
    <w:p w14:paraId="50BF0552" w14:textId="77777777" w:rsidR="00CE231C" w:rsidRPr="00FD0BA1" w:rsidRDefault="00F955BE" w:rsidP="00F71DF3">
      <w:pPr>
        <w:pStyle w:val="Heading3"/>
        <w:spacing w:line="480" w:lineRule="auto"/>
        <w:ind w:left="1134" w:hanging="567"/>
        <w:rPr>
          <w:noProof/>
          <w:lang w:val="id-ID"/>
        </w:rPr>
      </w:pPr>
      <w:bookmarkStart w:id="7" w:name="_Toc106005438"/>
      <w:r w:rsidRPr="00FD0BA1">
        <w:rPr>
          <w:noProof/>
          <w:lang w:val="id-ID"/>
        </w:rPr>
        <w:t>Produk Bank</w:t>
      </w:r>
      <w:bookmarkEnd w:id="7"/>
    </w:p>
    <w:p w14:paraId="4B3C003E" w14:textId="77777777" w:rsidR="00CE231C" w:rsidRPr="00FD0BA1" w:rsidRDefault="00CE231C" w:rsidP="00F71DF3">
      <w:pPr>
        <w:ind w:left="1134" w:firstLine="567"/>
        <w:contextualSpacing/>
        <w:jc w:val="both"/>
        <w:rPr>
          <w:noProof/>
          <w:lang w:val="id-ID"/>
        </w:rPr>
      </w:pPr>
      <w:r w:rsidRPr="00FD0BA1">
        <w:rPr>
          <w:noProof/>
          <w:color w:val="000000" w:themeColor="text1"/>
          <w:lang w:val="id-ID"/>
        </w:rPr>
        <w:t>Produk bank merupakan Produk jasa yang dijual oleh bank dalam dunia perbankan di Indonesia. Agar terjamin kepastian hukum dalam penyelenggaraan produk bank, pemerintah mengaturnya dalam Peraturan Otoritas Jasa Keuangan Nomor 13/POJK. 03/2021 tentang Penyelenggaraan Produk Bank Umum. Pengelompokan produk bank diatur dalam ketentuan Pasal 4 – Pasal 5 Peraturan Otoritas Jasa Keuangan Nomor 13/POJK.03/2021 tentang Penyelenggaraan Produk Bank Umum. Menurut ketentuan peraturan perundang-undangan tersebut di atas, produk bank dikelompokan menjadi</w:t>
      </w:r>
      <w:r w:rsidRPr="00FD0BA1">
        <w:rPr>
          <w:noProof/>
          <w:lang w:val="id-ID"/>
        </w:rPr>
        <w:t>:</w:t>
      </w:r>
    </w:p>
    <w:p w14:paraId="57E2221D" w14:textId="77777777" w:rsidR="00CE231C" w:rsidRPr="00F71DF3" w:rsidRDefault="00CE231C" w:rsidP="00D551DC">
      <w:pPr>
        <w:pStyle w:val="ListParagraph"/>
        <w:numPr>
          <w:ilvl w:val="4"/>
          <w:numId w:val="18"/>
        </w:numPr>
        <w:ind w:left="1701" w:hanging="567"/>
        <w:rPr>
          <w:noProof/>
          <w:lang w:val="id-ID"/>
        </w:rPr>
      </w:pPr>
      <w:r w:rsidRPr="00F71DF3">
        <w:rPr>
          <w:noProof/>
          <w:lang w:val="id-ID"/>
        </w:rPr>
        <w:t>Produk Bank Dasar</w:t>
      </w:r>
    </w:p>
    <w:p w14:paraId="19439957" w14:textId="77777777" w:rsidR="00CE231C" w:rsidRPr="00BB6528" w:rsidRDefault="00CE231C" w:rsidP="00BB6528">
      <w:pPr>
        <w:ind w:left="1701"/>
        <w:contextualSpacing/>
        <w:jc w:val="both"/>
        <w:rPr>
          <w:noProof/>
          <w:lang w:val="en-US"/>
        </w:rPr>
      </w:pPr>
      <w:r w:rsidRPr="00FD0BA1">
        <w:rPr>
          <w:noProof/>
          <w:lang w:val="id-ID"/>
        </w:rPr>
        <w:t xml:space="preserve">Produk bank dasar adalah produk, layanan, dan/atau jasa dengan berupa kegiatan (giro, tabungan, deposito) </w:t>
      </w:r>
      <w:r w:rsidR="00BB6528">
        <w:rPr>
          <w:noProof/>
          <w:lang w:val="en-US"/>
        </w:rPr>
        <w:t xml:space="preserve">: (1) </w:t>
      </w:r>
      <w:r w:rsidRPr="00F71DF3">
        <w:rPr>
          <w:noProof/>
          <w:lang w:val="id-ID"/>
        </w:rPr>
        <w:t>en</w:t>
      </w:r>
      <w:r w:rsidR="00BB6528">
        <w:rPr>
          <w:noProof/>
          <w:lang w:val="id-ID"/>
        </w:rPr>
        <w:t xml:space="preserve">ghimpunan </w:t>
      </w:r>
      <w:r w:rsidR="00BB6528">
        <w:rPr>
          <w:noProof/>
          <w:lang w:val="id-ID"/>
        </w:rPr>
        <w:lastRenderedPageBreak/>
        <w:t xml:space="preserve">dana; </w:t>
      </w:r>
      <w:r w:rsidR="00BB6528">
        <w:rPr>
          <w:noProof/>
          <w:lang w:val="en-US"/>
        </w:rPr>
        <w:t xml:space="preserve">(2) </w:t>
      </w:r>
      <w:r w:rsidR="00BB6528">
        <w:rPr>
          <w:noProof/>
          <w:lang w:val="id-ID"/>
        </w:rPr>
        <w:t xml:space="preserve">penyaluran dana dan </w:t>
      </w:r>
      <w:r w:rsidR="00BB6528">
        <w:rPr>
          <w:noProof/>
          <w:lang w:val="en-US"/>
        </w:rPr>
        <w:t>(3) S</w:t>
      </w:r>
      <w:r w:rsidRPr="00FD0BA1">
        <w:rPr>
          <w:noProof/>
          <w:lang w:val="id-ID"/>
        </w:rPr>
        <w:t>ederhana lain yang ditetapkan oleh Otoritas Jasa Keuangan.</w:t>
      </w:r>
    </w:p>
    <w:p w14:paraId="515E5A2C" w14:textId="77777777" w:rsidR="00BC3FCD" w:rsidRPr="00BB6528" w:rsidRDefault="00CE231C" w:rsidP="00D551DC">
      <w:pPr>
        <w:pStyle w:val="ListParagraph"/>
        <w:numPr>
          <w:ilvl w:val="4"/>
          <w:numId w:val="18"/>
        </w:numPr>
        <w:ind w:left="1701" w:hanging="567"/>
        <w:rPr>
          <w:noProof/>
          <w:lang w:val="id-ID"/>
        </w:rPr>
      </w:pPr>
      <w:r w:rsidRPr="00BB6528">
        <w:rPr>
          <w:noProof/>
          <w:lang w:val="id-ID"/>
        </w:rPr>
        <w:t>Produk Bank Lanjutan</w:t>
      </w:r>
    </w:p>
    <w:p w14:paraId="2BB63356" w14:textId="77777777" w:rsidR="00CE231C" w:rsidRDefault="00CE231C" w:rsidP="00BB6528">
      <w:pPr>
        <w:ind w:left="1701"/>
        <w:contextualSpacing/>
        <w:jc w:val="both"/>
        <w:rPr>
          <w:noProof/>
          <w:lang w:val="id-ID"/>
        </w:rPr>
      </w:pPr>
      <w:r w:rsidRPr="00FD0BA1">
        <w:rPr>
          <w:noProof/>
          <w:lang w:val="id-ID"/>
        </w:rPr>
        <w:t>Produk bank lanjutan dapat berupa pengembangan dari produk bank dasar atau produk baru dengan kriteria sebagai berikut (kredit, anjak piutang, pemberian garansi, pembiayaan perdaganga</w:t>
      </w:r>
      <w:r w:rsidR="00AB66A2" w:rsidRPr="00FD0BA1">
        <w:rPr>
          <w:noProof/>
          <w:lang w:val="id-ID"/>
        </w:rPr>
        <w:t>n</w:t>
      </w:r>
      <w:r w:rsidRPr="00FD0BA1">
        <w:rPr>
          <w:noProof/>
          <w:lang w:val="id-ID"/>
        </w:rPr>
        <w:t>, jual beli uang kertas asing, Transaksi Derivatif yang Bersifat </w:t>
      </w:r>
      <w:r w:rsidRPr="00FD0BA1">
        <w:rPr>
          <w:i/>
          <w:iCs/>
          <w:noProof/>
          <w:lang w:val="id-ID"/>
        </w:rPr>
        <w:t xml:space="preserve">plain vanilla, </w:t>
      </w:r>
      <w:r w:rsidRPr="00FD0BA1">
        <w:rPr>
          <w:noProof/>
          <w:lang w:val="id-ID"/>
        </w:rPr>
        <w:t xml:space="preserve">Agen Penjualan  Surat Berharga Negara (SBN), transfer dana, Alat pembayaran menggunakan kartu, uang elektronik, Layanan keuangan digital, </w:t>
      </w:r>
      <w:r w:rsidRPr="00FD0BA1">
        <w:rPr>
          <w:i/>
          <w:iCs/>
          <w:noProof/>
          <w:lang w:val="id-ID"/>
        </w:rPr>
        <w:t xml:space="preserve">Safe deposit box, Traveller’s cheque, Cash management, </w:t>
      </w:r>
      <w:r w:rsidRPr="00FD0BA1">
        <w:rPr>
          <w:noProof/>
          <w:lang w:val="id-ID"/>
        </w:rPr>
        <w:t>Layanan nasabah prima</w:t>
      </w:r>
      <w:r w:rsidRPr="00FD0BA1">
        <w:rPr>
          <w:i/>
          <w:iCs/>
          <w:noProof/>
          <w:lang w:val="id-ID"/>
        </w:rPr>
        <w:t xml:space="preserve">, </w:t>
      </w:r>
      <w:r w:rsidRPr="00FD0BA1">
        <w:rPr>
          <w:noProof/>
          <w:lang w:val="id-ID"/>
        </w:rPr>
        <w:t>Kerja sama pemasaran produk asuransi</w:t>
      </w:r>
      <w:r w:rsidRPr="00FD0BA1">
        <w:rPr>
          <w:i/>
          <w:iCs/>
          <w:noProof/>
          <w:lang w:val="id-ID"/>
        </w:rPr>
        <w:t xml:space="preserve"> (bancassurance) </w:t>
      </w:r>
      <w:r w:rsidRPr="00FD0BA1">
        <w:rPr>
          <w:noProof/>
          <w:lang w:val="id-ID"/>
        </w:rPr>
        <w:t>model bisnis referensi</w:t>
      </w:r>
      <w:r w:rsidR="00BB6528">
        <w:rPr>
          <w:i/>
          <w:iCs/>
          <w:noProof/>
          <w:lang w:val="id-ID"/>
        </w:rPr>
        <w:t xml:space="preserve">; </w:t>
      </w:r>
      <w:r w:rsidR="00BB6528" w:rsidRPr="00BB6528">
        <w:rPr>
          <w:iCs/>
          <w:noProof/>
          <w:lang w:val="en-US"/>
        </w:rPr>
        <w:t>(1)</w:t>
      </w:r>
      <w:r w:rsidR="00BB6528">
        <w:rPr>
          <w:i/>
          <w:iCs/>
          <w:noProof/>
          <w:lang w:val="en-US"/>
        </w:rPr>
        <w:t xml:space="preserve"> </w:t>
      </w:r>
      <w:r w:rsidR="00BB6528">
        <w:rPr>
          <w:noProof/>
          <w:lang w:val="id-ID"/>
        </w:rPr>
        <w:t xml:space="preserve">berbasis teknologi informasi; </w:t>
      </w:r>
      <w:r w:rsidR="00BB6528">
        <w:rPr>
          <w:noProof/>
          <w:lang w:val="en-US"/>
        </w:rPr>
        <w:t xml:space="preserve">(2) </w:t>
      </w:r>
      <w:r w:rsidR="00BB6528">
        <w:rPr>
          <w:noProof/>
          <w:lang w:val="id-ID"/>
        </w:rPr>
        <w:t>b</w:t>
      </w:r>
      <w:r w:rsidRPr="00FD0BA1">
        <w:rPr>
          <w:noProof/>
          <w:lang w:val="id-ID"/>
        </w:rPr>
        <w:t>erkaitan dengan penyelenggaraan kegiatan atau pr</w:t>
      </w:r>
      <w:r w:rsidR="00AB66A2" w:rsidRPr="00FD0BA1">
        <w:rPr>
          <w:noProof/>
          <w:lang w:val="id-ID"/>
        </w:rPr>
        <w:t>o</w:t>
      </w:r>
      <w:r w:rsidRPr="00FD0BA1">
        <w:rPr>
          <w:noProof/>
          <w:lang w:val="id-ID"/>
        </w:rPr>
        <w:t>d</w:t>
      </w:r>
      <w:r w:rsidR="00AB66A2" w:rsidRPr="00FD0BA1">
        <w:rPr>
          <w:noProof/>
          <w:lang w:val="id-ID"/>
        </w:rPr>
        <w:t>u</w:t>
      </w:r>
      <w:r w:rsidRPr="00FD0BA1">
        <w:rPr>
          <w:noProof/>
          <w:lang w:val="id-ID"/>
        </w:rPr>
        <w:t>k lembaga j</w:t>
      </w:r>
      <w:r w:rsidR="00BB6528">
        <w:rPr>
          <w:noProof/>
          <w:lang w:val="id-ID"/>
        </w:rPr>
        <w:t xml:space="preserve">asa keuangan selain bank; </w:t>
      </w:r>
      <w:r w:rsidR="00BB6528">
        <w:rPr>
          <w:noProof/>
          <w:lang w:val="en-US"/>
        </w:rPr>
        <w:t>(3) m</w:t>
      </w:r>
      <w:r w:rsidRPr="00FD0BA1">
        <w:rPr>
          <w:noProof/>
          <w:lang w:val="id-ID"/>
        </w:rPr>
        <w:t>emerlukan persetujuan atau pe</w:t>
      </w:r>
      <w:r w:rsidR="00AB66A2" w:rsidRPr="00FD0BA1">
        <w:rPr>
          <w:noProof/>
          <w:lang w:val="id-ID"/>
        </w:rPr>
        <w:t>r</w:t>
      </w:r>
      <w:r w:rsidR="00BB6528">
        <w:rPr>
          <w:noProof/>
          <w:lang w:val="id-ID"/>
        </w:rPr>
        <w:t xml:space="preserve">izinan dari otoritas lain dan </w:t>
      </w:r>
      <w:r w:rsidR="00BB6528">
        <w:rPr>
          <w:noProof/>
          <w:lang w:val="en-US"/>
        </w:rPr>
        <w:t>(4) b</w:t>
      </w:r>
      <w:r w:rsidRPr="00FD0BA1">
        <w:rPr>
          <w:noProof/>
          <w:lang w:val="id-ID"/>
        </w:rPr>
        <w:t>ersifat kompleks.</w:t>
      </w:r>
      <w:r w:rsidR="00BC3FCD" w:rsidRPr="00FD0BA1">
        <w:rPr>
          <w:rStyle w:val="FootnoteReference"/>
          <w:noProof/>
          <w:lang w:val="id-ID"/>
        </w:rPr>
        <w:footnoteReference w:id="9"/>
      </w:r>
    </w:p>
    <w:p w14:paraId="07DC2C8F" w14:textId="77777777" w:rsidR="00CC7E4B" w:rsidRPr="00BB6528" w:rsidRDefault="00CC7E4B" w:rsidP="00BB6528">
      <w:pPr>
        <w:ind w:left="1701"/>
        <w:contextualSpacing/>
        <w:jc w:val="both"/>
        <w:rPr>
          <w:noProof/>
          <w:lang w:val="en-US"/>
        </w:rPr>
      </w:pPr>
    </w:p>
    <w:p w14:paraId="24A613E9" w14:textId="77777777" w:rsidR="00F955BE" w:rsidRPr="00FD0BA1" w:rsidRDefault="00BB6528" w:rsidP="00BB6528">
      <w:pPr>
        <w:pStyle w:val="Heading3"/>
        <w:spacing w:line="480" w:lineRule="auto"/>
        <w:ind w:left="1134" w:hanging="567"/>
        <w:rPr>
          <w:noProof/>
          <w:lang w:val="id-ID"/>
        </w:rPr>
      </w:pPr>
      <w:bookmarkStart w:id="8" w:name="_Toc106005439"/>
      <w:r>
        <w:rPr>
          <w:noProof/>
          <w:lang w:val="en-US"/>
        </w:rPr>
        <w:t xml:space="preserve">Perkembangan </w:t>
      </w:r>
      <w:r w:rsidR="00F955BE" w:rsidRPr="00FD0BA1">
        <w:rPr>
          <w:noProof/>
          <w:lang w:val="id-ID"/>
        </w:rPr>
        <w:t>Sejarah BRI</w:t>
      </w:r>
      <w:bookmarkEnd w:id="8"/>
    </w:p>
    <w:p w14:paraId="1256A0B2" w14:textId="77777777" w:rsidR="00BB6528" w:rsidRDefault="000D52F2" w:rsidP="00BB6528">
      <w:pPr>
        <w:ind w:left="1134" w:firstLine="567"/>
        <w:contextualSpacing/>
        <w:jc w:val="both"/>
        <w:rPr>
          <w:noProof/>
          <w:lang w:val="id-ID"/>
        </w:rPr>
      </w:pPr>
      <w:r w:rsidRPr="00FD0BA1">
        <w:rPr>
          <w:noProof/>
          <w:lang w:val="id-ID"/>
        </w:rPr>
        <w:t xml:space="preserve">Bank Rakyat Indonesia (BRI), pada awalnya adalah lembaga yang mengelola dana kas masjid untuk disalurkan kepada masyarakat. Namun saat ini menjadi salah satu bank milik pemerintah yang terbesar </w:t>
      </w:r>
      <w:r w:rsidRPr="00FD0BA1">
        <w:rPr>
          <w:noProof/>
          <w:lang w:val="id-ID"/>
        </w:rPr>
        <w:lastRenderedPageBreak/>
        <w:t xml:space="preserve">di Indonesia. Bank Rakyat Indonesia (BRI) didirikan di Purwokerto, Jawa Tengah oleh Raden Bei Aria Wirjaatmadja tanggal 16 Desember 1895, dikenal sebagai “Bank Perkreditan Rakyat” yang pertama di Indonesia. Kemudian mengalami beberapa kali perubahan nama, seperti pada tahun 1897 berganti nama menjadi </w:t>
      </w:r>
      <w:r w:rsidRPr="00FD0BA1">
        <w:rPr>
          <w:i/>
          <w:iCs/>
          <w:noProof/>
          <w:lang w:val="id-ID"/>
        </w:rPr>
        <w:t>De Poerwokertosche Hulpen Spaar-en Landbouw Credietbank (Volksbank)</w:t>
      </w:r>
      <w:r w:rsidRPr="00FD0BA1">
        <w:rPr>
          <w:noProof/>
          <w:lang w:val="id-ID"/>
        </w:rPr>
        <w:t xml:space="preserve"> atau dikenal dengan “Bank Rakyat”, pada tahun 1912 menjadi </w:t>
      </w:r>
      <w:r w:rsidRPr="00FD0BA1">
        <w:rPr>
          <w:i/>
          <w:iCs/>
          <w:noProof/>
          <w:lang w:val="id-ID"/>
        </w:rPr>
        <w:t>Centrale Kas Voor Volkscredietwezen Algemene</w:t>
      </w:r>
      <w:r w:rsidRPr="00FD0BA1">
        <w:rPr>
          <w:noProof/>
          <w:lang w:val="id-ID"/>
        </w:rPr>
        <w:t xml:space="preserve"> dan pada 1934 menjadi </w:t>
      </w:r>
      <w:r w:rsidRPr="00FD0BA1">
        <w:rPr>
          <w:i/>
          <w:iCs/>
          <w:noProof/>
          <w:lang w:val="id-ID"/>
        </w:rPr>
        <w:t>Algemene Volkscredietbank (AVB).</w:t>
      </w:r>
      <w:r w:rsidRPr="00FD0BA1">
        <w:rPr>
          <w:noProof/>
          <w:lang w:val="id-ID"/>
        </w:rPr>
        <w:t xml:space="preserve"> Pada masa pendudukan Jepang di tahun 1942, AVB berubah menjadi </w:t>
      </w:r>
      <w:r w:rsidRPr="00FD0BA1">
        <w:rPr>
          <w:i/>
          <w:iCs/>
          <w:noProof/>
          <w:lang w:val="id-ID"/>
        </w:rPr>
        <w:t>Syomin Ginko</w:t>
      </w:r>
      <w:r w:rsidRPr="00FD0BA1">
        <w:rPr>
          <w:noProof/>
          <w:lang w:val="id-ID"/>
        </w:rPr>
        <w:t xml:space="preserve">. </w:t>
      </w:r>
    </w:p>
    <w:p w14:paraId="205F9858" w14:textId="77777777" w:rsidR="00BB6528" w:rsidRDefault="000D52F2" w:rsidP="00BB6528">
      <w:pPr>
        <w:ind w:left="1134" w:firstLine="567"/>
        <w:contextualSpacing/>
        <w:jc w:val="both"/>
        <w:rPr>
          <w:noProof/>
          <w:lang w:val="id-ID"/>
        </w:rPr>
      </w:pPr>
      <w:r w:rsidRPr="00FD0BA1">
        <w:rPr>
          <w:noProof/>
          <w:lang w:val="id-ID"/>
        </w:rPr>
        <w:t>Tanggal 22 Februari 1946, Pemerintah Indonesia mengubah lembaga ini menjadi Bank Rakjat Indonesia (BRI) berdasarkan Peraturan Pemerintah No.1 tahun 1946 dan BRI menjadi bank pertama yang dimiliki Pemerintah Republik Indonesia. Pada tahun 1960, Pemerintah sempat mengubah nama BRI menjadi Bank Koperasi Tani dan Nelayan (BKTN) yang merupakan peleburan dari BRI, Bank Tani dan Nelayan (BTN) dan Nederlandsche Handels Maatschappij (NHM). Tahun 1965 diintegrasi ke dalam Bank Indonesia dengan nama Bank Indonesia Urusan Koperasi, Tani dan Nelayan (BIUKTN) dan Bank Negara Indonesia Unit II Bidang Ekspor-Impor. Berdasarkan Undang-Undang No.21 Tahun 1968, Pemerintah menetapkan kembali nama Bank Rakya</w:t>
      </w:r>
      <w:r w:rsidR="00BB6528">
        <w:rPr>
          <w:noProof/>
          <w:lang w:val="id-ID"/>
        </w:rPr>
        <w:t xml:space="preserve">t Indonesia sebagai Bank Umum. </w:t>
      </w:r>
    </w:p>
    <w:p w14:paraId="0E642CFB" w14:textId="77777777" w:rsidR="00BB6528" w:rsidRDefault="000D52F2" w:rsidP="00BB6528">
      <w:pPr>
        <w:ind w:left="1134" w:firstLine="567"/>
        <w:contextualSpacing/>
        <w:jc w:val="both"/>
        <w:rPr>
          <w:noProof/>
          <w:lang w:val="id-ID"/>
        </w:rPr>
      </w:pPr>
      <w:r w:rsidRPr="00FD0BA1">
        <w:rPr>
          <w:noProof/>
          <w:lang w:val="id-ID"/>
        </w:rPr>
        <w:lastRenderedPageBreak/>
        <w:t>Kemudian, pada tahun 1992 Bank BRI berubah status hukum menjadi PT. Bank Rakyat Indonesia (Persero) berdasarkan Undang-Undang Perbankan No.7 tahun 1992. Lalu Bank BRI menjadi Perseroan Terbuka pada tanggal 10 November 2003 dengan mencatatkan sahamnya di Burs</w:t>
      </w:r>
      <w:r w:rsidR="0068472D" w:rsidRPr="00FD0BA1">
        <w:rPr>
          <w:noProof/>
          <w:lang w:val="id-ID"/>
        </w:rPr>
        <w:t>a</w:t>
      </w:r>
      <w:r w:rsidRPr="00FD0BA1">
        <w:rPr>
          <w:noProof/>
          <w:lang w:val="id-ID"/>
        </w:rPr>
        <w:t xml:space="preserve"> Efek Jakarta, kini Bursa Efek Indonesia, dengan kode saham BBRI. Sebuah langkah strategis dengan mengakuisisi Bank Jasa Artha (BJA) pada tahun 2007, yang kemudian dikonversi menjadi PT. Bank Syariah BRI. Unit Usaha Syariah BRI kemudian dipisahkan (spin off) dari Bank BRI dan digabungkan ke dalam PT. Bank Syariah BRI pada 1 Januari 2009. Pada tahun 2013, Bank BRI menjadi yang pertama menyediakan layanan </w:t>
      </w:r>
      <w:r w:rsidRPr="00FD0BA1">
        <w:rPr>
          <w:i/>
          <w:iCs/>
          <w:noProof/>
          <w:lang w:val="id-ID"/>
        </w:rPr>
        <w:t>self-service banking</w:t>
      </w:r>
      <w:r w:rsidRPr="00FD0BA1">
        <w:rPr>
          <w:noProof/>
          <w:lang w:val="id-ID"/>
        </w:rPr>
        <w:t xml:space="preserve"> di Indonesia melalui BRI Hybrid Banking. Di tahun 2014, untuk memberikan pelayanan terbaik kepada nasabah, Bank BRI terus meningkatkan pertumbuhan jumlah ATM hingga mencapai 20.792unit ATM serta mesin </w:t>
      </w:r>
      <w:r w:rsidR="00E22B93" w:rsidRPr="00FD0BA1">
        <w:rPr>
          <w:i/>
          <w:iCs/>
          <w:noProof/>
          <w:lang w:val="id-ID"/>
        </w:rPr>
        <w:t>Electronic Data Capture (</w:t>
      </w:r>
      <w:r w:rsidRPr="00FD0BA1">
        <w:rPr>
          <w:i/>
          <w:iCs/>
          <w:noProof/>
          <w:lang w:val="id-ID"/>
        </w:rPr>
        <w:t>EDC</w:t>
      </w:r>
      <w:r w:rsidR="00E22B93" w:rsidRPr="00FD0BA1">
        <w:rPr>
          <w:i/>
          <w:iCs/>
          <w:noProof/>
          <w:lang w:val="id-ID"/>
        </w:rPr>
        <w:t>)</w:t>
      </w:r>
      <w:r w:rsidRPr="00FD0BA1">
        <w:rPr>
          <w:noProof/>
          <w:lang w:val="id-ID"/>
        </w:rPr>
        <w:t xml:space="preserve"> yang menembus angka 131.204 unit. Pencapaian tersebut membawa Bank BRI menjadi Bank dengan jaringan ATM dan EDC terbesar di Indonesia. </w:t>
      </w:r>
    </w:p>
    <w:p w14:paraId="341E57D3" w14:textId="71B614B8" w:rsidR="00CC7E4B" w:rsidRDefault="000D52F2" w:rsidP="00CC7E4B">
      <w:pPr>
        <w:ind w:left="1134" w:firstLine="567"/>
        <w:contextualSpacing/>
        <w:jc w:val="both"/>
        <w:rPr>
          <w:noProof/>
          <w:lang w:val="id-ID"/>
        </w:rPr>
      </w:pPr>
      <w:r w:rsidRPr="00FD0BA1">
        <w:rPr>
          <w:noProof/>
          <w:lang w:val="id-ID"/>
        </w:rPr>
        <w:t xml:space="preserve">Selain itu, di tahun ini tepatnya pada tanggal 28 April 2014, Bank BRI melakukan sebuah langkah besar, tidak hanya bagi Bank BRI tetapi juga bangsa Indonesia. Bank BRI melakukan penandatanganan Kontrak Pengadaan Satelit dan Peluncuran Satelit BRI (BRIsat) dengan Space Systems/Loral (SSL) dan Arianespace. Nantinya Bank BRI akan menjadi Bank pertama dan satu-satunya di dunia yang mengoperasikan </w:t>
      </w:r>
      <w:r w:rsidRPr="00FD0BA1">
        <w:rPr>
          <w:noProof/>
          <w:lang w:val="id-ID"/>
        </w:rPr>
        <w:lastRenderedPageBreak/>
        <w:t>satelit sendiri. Bank BRI akan mengukir sejarah besar pada tahun 2016, tepatnya tanggal 9 Juni 2016 Bank BRI meluncurkan satelit bernama BRIsat yang menjadikan Bank BRI sebagai bank pertama dan satu-satunya di dunia yang memiliki dan men</w:t>
      </w:r>
      <w:r w:rsidR="00BB6528">
        <w:rPr>
          <w:noProof/>
          <w:lang w:val="id-ID"/>
        </w:rPr>
        <w:t>goperasikan satelitnya sendiri.</w:t>
      </w:r>
    </w:p>
    <w:p w14:paraId="7145DC23" w14:textId="77777777" w:rsidR="00963EFD" w:rsidRPr="00FD0BA1" w:rsidRDefault="00963EFD" w:rsidP="00CC7E4B">
      <w:pPr>
        <w:ind w:left="1134" w:firstLine="567"/>
        <w:contextualSpacing/>
        <w:jc w:val="both"/>
        <w:rPr>
          <w:noProof/>
          <w:lang w:val="id-ID"/>
        </w:rPr>
      </w:pPr>
    </w:p>
    <w:p w14:paraId="0B1C0DCD" w14:textId="77777777" w:rsidR="000D52F2" w:rsidRPr="00FD0BA1" w:rsidRDefault="000D52F2" w:rsidP="00BB6528">
      <w:pPr>
        <w:pStyle w:val="Heading3"/>
        <w:spacing w:line="480" w:lineRule="auto"/>
        <w:ind w:left="1134" w:hanging="567"/>
        <w:rPr>
          <w:noProof/>
          <w:lang w:val="id-ID"/>
        </w:rPr>
      </w:pPr>
      <w:bookmarkStart w:id="9" w:name="_Toc106005440"/>
      <w:r w:rsidRPr="00FD0BA1">
        <w:rPr>
          <w:noProof/>
          <w:lang w:val="id-ID"/>
        </w:rPr>
        <w:t>Visi Dan Misi BRI</w:t>
      </w:r>
      <w:bookmarkEnd w:id="9"/>
    </w:p>
    <w:p w14:paraId="4E4A2446" w14:textId="77777777" w:rsidR="000D52F2" w:rsidRPr="00FD0BA1" w:rsidRDefault="004571BA" w:rsidP="00BB6528">
      <w:pPr>
        <w:ind w:left="1134" w:firstLine="567"/>
        <w:contextualSpacing/>
        <w:jc w:val="both"/>
        <w:rPr>
          <w:noProof/>
          <w:lang w:val="id-ID"/>
        </w:rPr>
      </w:pPr>
      <w:r w:rsidRPr="00FD0BA1">
        <w:rPr>
          <w:noProof/>
          <w:lang w:val="id-ID"/>
        </w:rPr>
        <w:t xml:space="preserve">Adapun </w:t>
      </w:r>
      <w:r w:rsidR="000D52F2" w:rsidRPr="00FD0BA1">
        <w:rPr>
          <w:noProof/>
          <w:lang w:val="id-ID"/>
        </w:rPr>
        <w:t>Visi</w:t>
      </w:r>
      <w:r w:rsidRPr="00FD0BA1">
        <w:rPr>
          <w:noProof/>
          <w:lang w:val="id-ID"/>
        </w:rPr>
        <w:t xml:space="preserve"> dari Bank Rakyat Indonesia adalah </w:t>
      </w:r>
      <w:r w:rsidR="000D52F2" w:rsidRPr="00FD0BA1">
        <w:rPr>
          <w:noProof/>
          <w:lang w:val="id-ID"/>
        </w:rPr>
        <w:t xml:space="preserve"> Menjadi </w:t>
      </w:r>
      <w:r w:rsidR="000D52F2" w:rsidRPr="00FD0BA1">
        <w:rPr>
          <w:i/>
          <w:iCs/>
          <w:noProof/>
          <w:lang w:val="id-ID"/>
        </w:rPr>
        <w:t>The Most Valuable Banking Group</w:t>
      </w:r>
      <w:r w:rsidR="000D52F2" w:rsidRPr="00FD0BA1">
        <w:rPr>
          <w:noProof/>
          <w:lang w:val="id-ID"/>
        </w:rPr>
        <w:t xml:space="preserve"> di Asia Tenggara dan </w:t>
      </w:r>
      <w:r w:rsidR="000D52F2" w:rsidRPr="00FD0BA1">
        <w:rPr>
          <w:i/>
          <w:iCs/>
          <w:noProof/>
          <w:lang w:val="id-ID"/>
        </w:rPr>
        <w:t xml:space="preserve">Champion of </w:t>
      </w:r>
      <w:r w:rsidR="00BB6528">
        <w:rPr>
          <w:i/>
          <w:iCs/>
          <w:noProof/>
          <w:lang w:val="id-ID"/>
        </w:rPr>
        <w:t xml:space="preserve">Financial Inclusion. </w:t>
      </w:r>
      <w:r w:rsidRPr="00FD0BA1">
        <w:rPr>
          <w:noProof/>
          <w:lang w:val="id-ID"/>
        </w:rPr>
        <w:t xml:space="preserve">Sedangkan untuk </w:t>
      </w:r>
      <w:r w:rsidR="000D52F2" w:rsidRPr="00FD0BA1">
        <w:rPr>
          <w:noProof/>
          <w:lang w:val="id-ID"/>
        </w:rPr>
        <w:t>Misi</w:t>
      </w:r>
      <w:r w:rsidRPr="00FD0BA1">
        <w:rPr>
          <w:noProof/>
          <w:lang w:val="id-ID"/>
        </w:rPr>
        <w:t xml:space="preserve"> dari Bank Rakyat Indonesia adalah </w:t>
      </w:r>
    </w:p>
    <w:p w14:paraId="0D5E711E" w14:textId="77777777" w:rsidR="00780C8E" w:rsidRPr="00FD0BA1" w:rsidRDefault="000D52F2" w:rsidP="00D551DC">
      <w:pPr>
        <w:pStyle w:val="ListParagraph"/>
        <w:numPr>
          <w:ilvl w:val="0"/>
          <w:numId w:val="28"/>
        </w:numPr>
        <w:ind w:left="1701" w:hanging="567"/>
        <w:jc w:val="both"/>
        <w:rPr>
          <w:noProof/>
          <w:lang w:val="id-ID"/>
        </w:rPr>
      </w:pPr>
      <w:r w:rsidRPr="00FD0BA1">
        <w:rPr>
          <w:noProof/>
          <w:lang w:val="id-ID"/>
        </w:rPr>
        <w:t>Melakukan kegiatan perbankan yang terbaik dengan mengutamakan pelayanan kepada usaha Mikro, Kecil dan Menengah untuk menunjang peningkatan ekonomi masyarakat</w:t>
      </w:r>
    </w:p>
    <w:p w14:paraId="7B263DA6" w14:textId="77777777" w:rsidR="00780C8E" w:rsidRPr="00FD0BA1" w:rsidRDefault="000D52F2" w:rsidP="00D551DC">
      <w:pPr>
        <w:pStyle w:val="ListParagraph"/>
        <w:numPr>
          <w:ilvl w:val="0"/>
          <w:numId w:val="28"/>
        </w:numPr>
        <w:ind w:left="1701" w:hanging="567"/>
        <w:jc w:val="both"/>
        <w:rPr>
          <w:noProof/>
          <w:lang w:val="id-ID"/>
        </w:rPr>
      </w:pPr>
      <w:r w:rsidRPr="00FD0BA1">
        <w:rPr>
          <w:noProof/>
          <w:lang w:val="id-ID"/>
        </w:rPr>
        <w:t xml:space="preserve">Memberikan pelayanan prima kepada nasabah melalui jaringan kerja yang tersebar luas didukung oleh sumber daya manusia yang profesional dan teknologi informasi yang handal dengan menerapkan manajemen risiko yang tepat dan praktik </w:t>
      </w:r>
      <w:r w:rsidRPr="00FD0BA1">
        <w:rPr>
          <w:i/>
          <w:iCs/>
          <w:noProof/>
          <w:lang w:val="id-ID"/>
        </w:rPr>
        <w:t>good corporate governance</w:t>
      </w:r>
    </w:p>
    <w:p w14:paraId="0517FA86" w14:textId="201B3050" w:rsidR="00F97A7A" w:rsidRPr="00963EFD" w:rsidRDefault="000D52F2" w:rsidP="00D551DC">
      <w:pPr>
        <w:pStyle w:val="ListParagraph"/>
        <w:numPr>
          <w:ilvl w:val="0"/>
          <w:numId w:val="28"/>
        </w:numPr>
        <w:ind w:left="1701" w:hanging="567"/>
        <w:jc w:val="both"/>
        <w:rPr>
          <w:noProof/>
          <w:lang w:val="id-ID"/>
        </w:rPr>
      </w:pPr>
      <w:r w:rsidRPr="00FD0BA1">
        <w:rPr>
          <w:noProof/>
          <w:lang w:val="id-ID"/>
        </w:rPr>
        <w:t>Memberikan keuntungan dan manfaat yang optimal kepada pihak-pihak yan</w:t>
      </w:r>
      <w:r w:rsidR="001168F2" w:rsidRPr="00FD0BA1">
        <w:rPr>
          <w:noProof/>
          <w:lang w:val="id-ID"/>
        </w:rPr>
        <w:t>g</w:t>
      </w:r>
      <w:r w:rsidRPr="00FD0BA1">
        <w:rPr>
          <w:noProof/>
          <w:lang w:val="id-ID"/>
        </w:rPr>
        <w:t xml:space="preserve"> berkepentingan (</w:t>
      </w:r>
      <w:r w:rsidRPr="00FD0BA1">
        <w:rPr>
          <w:i/>
          <w:iCs/>
          <w:noProof/>
          <w:lang w:val="id-ID"/>
        </w:rPr>
        <w:t>stakeholders</w:t>
      </w:r>
      <w:r w:rsidRPr="00FD0BA1">
        <w:rPr>
          <w:noProof/>
          <w:lang w:val="id-ID"/>
        </w:rPr>
        <w:t>)</w:t>
      </w:r>
      <w:r w:rsidR="00BB6528">
        <w:rPr>
          <w:noProof/>
          <w:lang w:val="en-US"/>
        </w:rPr>
        <w:t>.</w:t>
      </w:r>
    </w:p>
    <w:p w14:paraId="4E1941CE" w14:textId="3B34A475" w:rsidR="00963EFD" w:rsidRDefault="00963EFD" w:rsidP="00963EFD">
      <w:pPr>
        <w:jc w:val="both"/>
        <w:rPr>
          <w:noProof/>
          <w:lang w:val="id-ID"/>
        </w:rPr>
      </w:pPr>
    </w:p>
    <w:p w14:paraId="6D95F212" w14:textId="2C748704" w:rsidR="00963EFD" w:rsidRDefault="00963EFD" w:rsidP="00963EFD">
      <w:pPr>
        <w:jc w:val="both"/>
        <w:rPr>
          <w:noProof/>
          <w:lang w:val="id-ID"/>
        </w:rPr>
      </w:pPr>
    </w:p>
    <w:p w14:paraId="0D6C5C47" w14:textId="111CCFA3" w:rsidR="00963EFD" w:rsidRDefault="00963EFD" w:rsidP="00963EFD">
      <w:pPr>
        <w:jc w:val="both"/>
        <w:rPr>
          <w:noProof/>
          <w:lang w:val="id-ID"/>
        </w:rPr>
      </w:pPr>
    </w:p>
    <w:p w14:paraId="19564A67" w14:textId="77777777" w:rsidR="00963EFD" w:rsidRPr="00963EFD" w:rsidRDefault="00963EFD" w:rsidP="00963EFD">
      <w:pPr>
        <w:jc w:val="both"/>
        <w:rPr>
          <w:noProof/>
          <w:lang w:val="id-ID"/>
        </w:rPr>
      </w:pPr>
    </w:p>
    <w:p w14:paraId="03F2ABD8" w14:textId="77777777" w:rsidR="00CC7E4B" w:rsidRPr="00BB6528" w:rsidRDefault="00CC7E4B" w:rsidP="00CC7E4B">
      <w:pPr>
        <w:pStyle w:val="ListParagraph"/>
        <w:ind w:left="1701"/>
        <w:jc w:val="both"/>
        <w:rPr>
          <w:noProof/>
          <w:lang w:val="id-ID"/>
        </w:rPr>
      </w:pPr>
    </w:p>
    <w:p w14:paraId="0FB723AF" w14:textId="77777777" w:rsidR="00FB0ED8" w:rsidRPr="00FD0BA1" w:rsidRDefault="000B656B" w:rsidP="00D551DC">
      <w:pPr>
        <w:pStyle w:val="Heading2"/>
        <w:numPr>
          <w:ilvl w:val="0"/>
          <w:numId w:val="12"/>
        </w:numPr>
        <w:spacing w:line="480" w:lineRule="auto"/>
        <w:ind w:left="567" w:hanging="567"/>
        <w:rPr>
          <w:noProof/>
          <w:lang w:val="id-ID"/>
        </w:rPr>
      </w:pPr>
      <w:bookmarkStart w:id="10" w:name="_Toc106005441"/>
      <w:r w:rsidRPr="00FD0BA1">
        <w:rPr>
          <w:noProof/>
          <w:lang w:val="id-ID"/>
        </w:rPr>
        <w:t>Tinjauan Umum Tentang Bank Indonesia Sebagai Pihak Regulator</w:t>
      </w:r>
      <w:bookmarkEnd w:id="10"/>
    </w:p>
    <w:p w14:paraId="7FE0BC79" w14:textId="77777777" w:rsidR="00FB0ED8" w:rsidRPr="00FD0BA1" w:rsidRDefault="000B656B" w:rsidP="00D551DC">
      <w:pPr>
        <w:pStyle w:val="Heading3"/>
        <w:numPr>
          <w:ilvl w:val="5"/>
          <w:numId w:val="18"/>
        </w:numPr>
        <w:spacing w:line="480" w:lineRule="auto"/>
        <w:ind w:left="1134" w:hanging="567"/>
        <w:rPr>
          <w:noProof/>
          <w:lang w:val="id-ID"/>
        </w:rPr>
      </w:pPr>
      <w:bookmarkStart w:id="11" w:name="_Toc106005442"/>
      <w:r w:rsidRPr="00FD0BA1">
        <w:rPr>
          <w:noProof/>
          <w:lang w:val="id-ID"/>
        </w:rPr>
        <w:t>Dasar Hukum Bank Indonesia</w:t>
      </w:r>
      <w:bookmarkEnd w:id="11"/>
    </w:p>
    <w:p w14:paraId="6BAB6E3B" w14:textId="77777777" w:rsidR="00FB0ED8" w:rsidRPr="00FD0BA1" w:rsidRDefault="006C1F7F" w:rsidP="00BB6528">
      <w:pPr>
        <w:ind w:left="1134" w:firstLine="567"/>
        <w:contextualSpacing/>
        <w:jc w:val="both"/>
        <w:rPr>
          <w:noProof/>
          <w:color w:val="000000" w:themeColor="text1"/>
          <w:vertAlign w:val="superscript"/>
          <w:lang w:val="id-ID"/>
        </w:rPr>
      </w:pPr>
      <w:r w:rsidRPr="00FD0BA1">
        <w:rPr>
          <w:noProof/>
          <w:color w:val="000000" w:themeColor="text1"/>
          <w:lang w:val="id-ID"/>
        </w:rPr>
        <w:t xml:space="preserve">Undang undang </w:t>
      </w:r>
      <w:r w:rsidR="000259C6" w:rsidRPr="00FD0BA1">
        <w:rPr>
          <w:noProof/>
          <w:color w:val="000000" w:themeColor="text1"/>
          <w:lang w:val="id-ID"/>
        </w:rPr>
        <w:t>saat ini yang menjadi dasar hukum Bank Indonesia adalah UU Nomor 23 Tahun 1999 Tentang Bank Indonesia (yang telah beberapa kali mengalami penyempurnaan, terakhir dengan UU No. 6 Tahun 2009).</w:t>
      </w:r>
      <w:r w:rsidR="000259C6" w:rsidRPr="00FD0BA1">
        <w:rPr>
          <w:rStyle w:val="FootnoteReference"/>
          <w:noProof/>
          <w:color w:val="000000" w:themeColor="text1"/>
          <w:lang w:val="id-ID"/>
        </w:rPr>
        <w:footnoteReference w:id="10"/>
      </w:r>
    </w:p>
    <w:p w14:paraId="2AB0CC70" w14:textId="77777777" w:rsidR="00AF5C62" w:rsidRPr="00FD0BA1" w:rsidRDefault="000B656B" w:rsidP="00D551DC">
      <w:pPr>
        <w:pStyle w:val="Heading3"/>
        <w:numPr>
          <w:ilvl w:val="5"/>
          <w:numId w:val="18"/>
        </w:numPr>
        <w:spacing w:line="480" w:lineRule="auto"/>
        <w:ind w:left="1134" w:hanging="567"/>
        <w:rPr>
          <w:noProof/>
          <w:lang w:val="id-ID"/>
        </w:rPr>
      </w:pPr>
      <w:bookmarkStart w:id="12" w:name="_Toc106005443"/>
      <w:r w:rsidRPr="00FD0BA1">
        <w:rPr>
          <w:noProof/>
          <w:lang w:val="id-ID"/>
        </w:rPr>
        <w:t>Tugas Pokok Dan Fungsi Bank Indonesia</w:t>
      </w:r>
      <w:bookmarkEnd w:id="12"/>
    </w:p>
    <w:p w14:paraId="5B9FBA08" w14:textId="77777777" w:rsidR="000259C6" w:rsidRPr="00FD0BA1" w:rsidRDefault="000259C6" w:rsidP="00BB6528">
      <w:pPr>
        <w:ind w:left="1134" w:firstLine="567"/>
        <w:contextualSpacing/>
        <w:jc w:val="both"/>
        <w:rPr>
          <w:noProof/>
          <w:lang w:val="id-ID"/>
        </w:rPr>
      </w:pPr>
      <w:r w:rsidRPr="00FD0BA1">
        <w:rPr>
          <w:noProof/>
          <w:color w:val="000000" w:themeColor="text1"/>
          <w:lang w:val="id-ID"/>
        </w:rPr>
        <w:t>Bank</w:t>
      </w:r>
      <w:r w:rsidRPr="00FD0BA1">
        <w:rPr>
          <w:noProof/>
          <w:lang w:val="id-ID"/>
        </w:rPr>
        <w:t xml:space="preserve"> Indonesia memiliki satu tujuan dan tiga pilar utama untuk mendukung pencapaian tujuan tersebut. Mengingat peran dan kapasitasnya sebagai bank sentral, Bank Indonesia memiliki mandat untuk mencapai dan menjaga stabilitas nilai tukar rupiah. Oleh karena itu, Bank Indonesia memiliki beberapa tugas, seperti:</w:t>
      </w:r>
    </w:p>
    <w:p w14:paraId="19B09A7A" w14:textId="77777777" w:rsidR="000259C6" w:rsidRPr="00FD0BA1" w:rsidRDefault="000259C6" w:rsidP="00D551DC">
      <w:pPr>
        <w:pStyle w:val="ListParagraph"/>
        <w:numPr>
          <w:ilvl w:val="0"/>
          <w:numId w:val="22"/>
        </w:numPr>
        <w:ind w:left="1701" w:hanging="567"/>
        <w:jc w:val="both"/>
        <w:rPr>
          <w:noProof/>
          <w:lang w:val="id-ID"/>
        </w:rPr>
      </w:pPr>
      <w:r w:rsidRPr="00FD0BA1">
        <w:rPr>
          <w:noProof/>
          <w:lang w:val="id-ID"/>
        </w:rPr>
        <w:t xml:space="preserve">Menjaga nilai rupiah stabil terhadap barang dan jasa </w:t>
      </w:r>
    </w:p>
    <w:p w14:paraId="2722FE6F" w14:textId="77777777" w:rsidR="000259C6" w:rsidRPr="00FD0BA1" w:rsidRDefault="000259C6" w:rsidP="00D551DC">
      <w:pPr>
        <w:numPr>
          <w:ilvl w:val="0"/>
          <w:numId w:val="22"/>
        </w:numPr>
        <w:ind w:left="1701" w:hanging="567"/>
        <w:contextualSpacing/>
        <w:jc w:val="both"/>
        <w:rPr>
          <w:noProof/>
          <w:lang w:val="id-ID"/>
        </w:rPr>
      </w:pPr>
      <w:r w:rsidRPr="00FD0BA1">
        <w:rPr>
          <w:noProof/>
          <w:lang w:val="id-ID"/>
        </w:rPr>
        <w:t xml:space="preserve">Menjaga nilai rupiah stabil terhadap mata uang negara lain </w:t>
      </w:r>
    </w:p>
    <w:p w14:paraId="0487A013" w14:textId="77777777" w:rsidR="000259C6" w:rsidRPr="00FD0BA1" w:rsidRDefault="000259C6" w:rsidP="00D551DC">
      <w:pPr>
        <w:numPr>
          <w:ilvl w:val="0"/>
          <w:numId w:val="22"/>
        </w:numPr>
        <w:ind w:left="1701" w:hanging="567"/>
        <w:contextualSpacing/>
        <w:jc w:val="both"/>
        <w:rPr>
          <w:noProof/>
          <w:lang w:val="id-ID"/>
        </w:rPr>
      </w:pPr>
      <w:r w:rsidRPr="00FD0BA1">
        <w:rPr>
          <w:noProof/>
          <w:lang w:val="id-ID"/>
        </w:rPr>
        <w:t xml:space="preserve">Mengembangkan dan mengawasi regulasi untuk semua bank di Indonesia </w:t>
      </w:r>
    </w:p>
    <w:p w14:paraId="6214B1C5" w14:textId="77777777" w:rsidR="000259C6" w:rsidRPr="00FD0BA1" w:rsidRDefault="000259C6" w:rsidP="00D551DC">
      <w:pPr>
        <w:numPr>
          <w:ilvl w:val="0"/>
          <w:numId w:val="22"/>
        </w:numPr>
        <w:ind w:left="1701" w:hanging="567"/>
        <w:contextualSpacing/>
        <w:jc w:val="both"/>
        <w:rPr>
          <w:noProof/>
          <w:lang w:val="id-ID"/>
        </w:rPr>
      </w:pPr>
      <w:r w:rsidRPr="00FD0BA1">
        <w:rPr>
          <w:noProof/>
          <w:lang w:val="id-ID"/>
        </w:rPr>
        <w:t xml:space="preserve">Melakukan penelitian dan pemantauan </w:t>
      </w:r>
    </w:p>
    <w:p w14:paraId="4EF4CD99" w14:textId="77777777" w:rsidR="000259C6" w:rsidRPr="00BB6528" w:rsidRDefault="000259C6" w:rsidP="00D551DC">
      <w:pPr>
        <w:numPr>
          <w:ilvl w:val="0"/>
          <w:numId w:val="22"/>
        </w:numPr>
        <w:ind w:left="1701" w:hanging="567"/>
        <w:contextualSpacing/>
        <w:jc w:val="both"/>
        <w:rPr>
          <w:noProof/>
          <w:lang w:val="id-ID"/>
        </w:rPr>
      </w:pPr>
      <w:r w:rsidRPr="00FD0BA1">
        <w:rPr>
          <w:noProof/>
          <w:lang w:val="id-ID"/>
        </w:rPr>
        <w:t>Menyimpan uang kas negara dan memberikan bantuan keuangan kepada bank di Indonesia yang sedang mengalami krisis.</w:t>
      </w:r>
    </w:p>
    <w:p w14:paraId="20804A2A" w14:textId="77777777" w:rsidR="00BB6528" w:rsidRDefault="000259C6" w:rsidP="00BB6528">
      <w:pPr>
        <w:ind w:left="1134" w:firstLine="567"/>
        <w:contextualSpacing/>
        <w:jc w:val="both"/>
        <w:rPr>
          <w:noProof/>
          <w:lang w:val="id-ID"/>
        </w:rPr>
      </w:pPr>
      <w:r w:rsidRPr="00FD0BA1">
        <w:rPr>
          <w:noProof/>
          <w:color w:val="000000" w:themeColor="text1"/>
          <w:lang w:val="id-ID"/>
        </w:rPr>
        <w:lastRenderedPageBreak/>
        <w:t>Untuk</w:t>
      </w:r>
      <w:r w:rsidRPr="00FD0BA1">
        <w:rPr>
          <w:noProof/>
          <w:lang w:val="id-ID"/>
        </w:rPr>
        <w:t xml:space="preserve"> mengukur aspek pertama dapat dilihat melalui perkembangan laju inflasi, sedangkan aspek kedua dapat dilihat dari nilai tukar rupiah terhadap mata uang negara lain. Dengan tujuan tunggal ini, diharapkan Bank Indonesia dapat n upayanya dan memperjelas batas-batas tanggung jawab yang harus dipenuhi, sehingga masyarakat dan pemerintah dapat dengan mudah melihat bagaimana kinerja Bank Indonesia. </w:t>
      </w:r>
    </w:p>
    <w:p w14:paraId="74A9F017" w14:textId="77777777" w:rsidR="000259C6" w:rsidRPr="00FD0BA1" w:rsidRDefault="000259C6" w:rsidP="00BB6528">
      <w:pPr>
        <w:ind w:left="1134" w:firstLine="567"/>
        <w:contextualSpacing/>
        <w:jc w:val="both"/>
        <w:rPr>
          <w:noProof/>
          <w:lang w:val="id-ID"/>
        </w:rPr>
      </w:pPr>
      <w:r w:rsidRPr="00FD0BA1">
        <w:rPr>
          <w:noProof/>
          <w:lang w:val="id-ID"/>
        </w:rPr>
        <w:t>Dalam mencapai satu-satunya tujuan Bank Indonesia yaitu menjaga nilai rupiah, Bank Indonesia bertumpu pada tiga pilar utama yang juga merupakan ruang lingkup fungsinya. Ketiga pilar tersebut adalah:</w:t>
      </w:r>
    </w:p>
    <w:p w14:paraId="366CA375" w14:textId="77777777" w:rsidR="000259C6" w:rsidRPr="00FD0BA1" w:rsidRDefault="000259C6" w:rsidP="00D551DC">
      <w:pPr>
        <w:pStyle w:val="ListParagraph"/>
        <w:numPr>
          <w:ilvl w:val="0"/>
          <w:numId w:val="23"/>
        </w:numPr>
        <w:ind w:left="1701" w:hanging="567"/>
        <w:jc w:val="both"/>
        <w:rPr>
          <w:noProof/>
          <w:lang w:val="id-ID"/>
        </w:rPr>
      </w:pPr>
      <w:r w:rsidRPr="00FD0BA1">
        <w:rPr>
          <w:noProof/>
          <w:lang w:val="id-ID"/>
        </w:rPr>
        <w:t xml:space="preserve">Menetapkan dan melaksanakan kebijakan moneter </w:t>
      </w:r>
    </w:p>
    <w:p w14:paraId="00C79826" w14:textId="77777777" w:rsidR="00BB6528" w:rsidRDefault="000259C6" w:rsidP="00D551DC">
      <w:pPr>
        <w:numPr>
          <w:ilvl w:val="0"/>
          <w:numId w:val="23"/>
        </w:numPr>
        <w:ind w:left="1701" w:hanging="567"/>
        <w:contextualSpacing/>
        <w:jc w:val="both"/>
        <w:rPr>
          <w:noProof/>
          <w:lang w:val="id-ID"/>
        </w:rPr>
      </w:pPr>
      <w:r w:rsidRPr="00FD0BA1">
        <w:rPr>
          <w:noProof/>
          <w:lang w:val="id-ID"/>
        </w:rPr>
        <w:t>Mengatur dan memelihara</w:t>
      </w:r>
      <w:r w:rsidR="00BB6528">
        <w:rPr>
          <w:noProof/>
          <w:lang w:val="id-ID"/>
        </w:rPr>
        <w:t xml:space="preserve"> sistem pembayaran yang teratur;</w:t>
      </w:r>
    </w:p>
    <w:p w14:paraId="042498B7" w14:textId="77777777" w:rsidR="000259C6" w:rsidRPr="00BB6528" w:rsidRDefault="000259C6" w:rsidP="00D551DC">
      <w:pPr>
        <w:numPr>
          <w:ilvl w:val="0"/>
          <w:numId w:val="23"/>
        </w:numPr>
        <w:ind w:left="1701" w:hanging="567"/>
        <w:contextualSpacing/>
        <w:jc w:val="both"/>
        <w:rPr>
          <w:noProof/>
          <w:lang w:val="id-ID"/>
        </w:rPr>
      </w:pPr>
      <w:r w:rsidRPr="00BB6528">
        <w:rPr>
          <w:noProof/>
          <w:lang w:val="id-ID"/>
        </w:rPr>
        <w:t>Menjaga stabilitas sistem keuangan</w:t>
      </w:r>
    </w:p>
    <w:p w14:paraId="0B034CB9" w14:textId="77777777" w:rsidR="00D757F3" w:rsidRDefault="000259C6" w:rsidP="00BB6528">
      <w:pPr>
        <w:ind w:left="1134" w:firstLine="567"/>
        <w:contextualSpacing/>
        <w:jc w:val="both"/>
        <w:rPr>
          <w:noProof/>
          <w:lang w:val="id-ID"/>
        </w:rPr>
      </w:pPr>
      <w:r w:rsidRPr="00FD0BA1">
        <w:rPr>
          <w:noProof/>
          <w:color w:val="000000" w:themeColor="text1"/>
          <w:lang w:val="id-ID"/>
        </w:rPr>
        <w:t>Mewujudkan</w:t>
      </w:r>
      <w:r w:rsidRPr="00FD0BA1">
        <w:rPr>
          <w:noProof/>
          <w:lang w:val="id-ID"/>
        </w:rPr>
        <w:t xml:space="preserve"> Fungsi dan Tugas untuk mencapai perekonomian Indonesia yang lebih baik sambil mempertahankan nilai rup</w:t>
      </w:r>
      <w:r w:rsidR="00F93BE1" w:rsidRPr="00FD0BA1">
        <w:rPr>
          <w:noProof/>
          <w:lang w:val="id-ID"/>
        </w:rPr>
        <w:t>iah</w:t>
      </w:r>
      <w:r w:rsidRPr="00FD0BA1">
        <w:rPr>
          <w:noProof/>
          <w:lang w:val="id-ID"/>
        </w:rPr>
        <w:t xml:space="preserve"> untuk tetap stabil, itu untuk mencintai rup</w:t>
      </w:r>
      <w:r w:rsidR="00F93BE1" w:rsidRPr="00FD0BA1">
        <w:rPr>
          <w:noProof/>
          <w:lang w:val="id-ID"/>
        </w:rPr>
        <w:t>iah</w:t>
      </w:r>
      <w:r w:rsidRPr="00FD0BA1">
        <w:rPr>
          <w:noProof/>
          <w:lang w:val="id-ID"/>
        </w:rPr>
        <w:t xml:space="preserve"> (tidak pernah transaksi dengan mata uang asing) dan menggunakan produk lokal negara tersebut.</w:t>
      </w:r>
      <w:r w:rsidR="0011310F" w:rsidRPr="00FD0BA1">
        <w:rPr>
          <w:rStyle w:val="FootnoteReference"/>
          <w:noProof/>
          <w:lang w:val="id-ID"/>
        </w:rPr>
        <w:footnoteReference w:id="11"/>
      </w:r>
    </w:p>
    <w:p w14:paraId="18A30293" w14:textId="77777777" w:rsidR="00443357" w:rsidRPr="00FD0BA1" w:rsidRDefault="00443357" w:rsidP="00BB6528">
      <w:pPr>
        <w:ind w:left="1134" w:firstLine="567"/>
        <w:contextualSpacing/>
        <w:jc w:val="both"/>
        <w:rPr>
          <w:noProof/>
          <w:lang w:val="id-ID"/>
        </w:rPr>
      </w:pPr>
    </w:p>
    <w:p w14:paraId="40A67FCD" w14:textId="77777777" w:rsidR="0011310F" w:rsidRPr="00FD0BA1" w:rsidRDefault="00D757F3" w:rsidP="00D551DC">
      <w:pPr>
        <w:pStyle w:val="Heading2"/>
        <w:numPr>
          <w:ilvl w:val="0"/>
          <w:numId w:val="12"/>
        </w:numPr>
        <w:spacing w:line="480" w:lineRule="auto"/>
        <w:ind w:left="567" w:hanging="567"/>
        <w:rPr>
          <w:noProof/>
          <w:lang w:val="id-ID"/>
        </w:rPr>
      </w:pPr>
      <w:bookmarkStart w:id="13" w:name="_Toc106005444"/>
      <w:r w:rsidRPr="00FD0BA1">
        <w:rPr>
          <w:noProof/>
          <w:lang w:val="id-ID"/>
        </w:rPr>
        <w:t>Tinjauan Umum Tentang Reformasi Sistem Pembayaran</w:t>
      </w:r>
      <w:bookmarkEnd w:id="13"/>
    </w:p>
    <w:p w14:paraId="4E81A28F" w14:textId="77777777" w:rsidR="00B23EF7" w:rsidRPr="00B23EF7" w:rsidRDefault="00D757F3" w:rsidP="00B23EF7">
      <w:pPr>
        <w:pStyle w:val="Heading2"/>
        <w:numPr>
          <w:ilvl w:val="0"/>
          <w:numId w:val="29"/>
        </w:numPr>
        <w:spacing w:line="480" w:lineRule="auto"/>
        <w:ind w:left="1134" w:hanging="567"/>
        <w:rPr>
          <w:noProof/>
          <w:lang w:val="id-ID"/>
        </w:rPr>
      </w:pPr>
      <w:bookmarkStart w:id="14" w:name="_Toc106005445"/>
      <w:r w:rsidRPr="00BB6528">
        <w:rPr>
          <w:noProof/>
          <w:lang w:val="id-ID"/>
        </w:rPr>
        <w:t>Pengertian Sistem Pembayaran</w:t>
      </w:r>
      <w:bookmarkEnd w:id="14"/>
    </w:p>
    <w:p w14:paraId="5E46381E" w14:textId="77777777" w:rsidR="00B23EF7" w:rsidRPr="00B23EF7" w:rsidRDefault="00B23EF7" w:rsidP="00B23EF7">
      <w:pPr>
        <w:ind w:left="1134" w:firstLine="567"/>
        <w:contextualSpacing/>
        <w:jc w:val="both"/>
        <w:rPr>
          <w:lang w:val="id-ID"/>
        </w:rPr>
      </w:pPr>
      <w:r>
        <w:lastRenderedPageBreak/>
        <w:t xml:space="preserve"> </w:t>
      </w:r>
      <w:r w:rsidRPr="00B23EF7">
        <w:rPr>
          <w:noProof/>
          <w:color w:val="000000" w:themeColor="text1"/>
          <w:lang w:val="id-ID"/>
        </w:rPr>
        <w:t>Sistem</w:t>
      </w:r>
      <w:r w:rsidRPr="00B23EF7">
        <w:rPr>
          <w:sz w:val="23"/>
          <w:szCs w:val="23"/>
        </w:rPr>
        <w:t xml:space="preserve"> pembayaran adalah “suatu sistem yang melakukan pengaturan kontrak, fasilitas pengoperasian dan mekanisme teknis yang digunakan untuk penyampaian, pengesahan, dan penerimaan instruksi pembayaran, serta pemenuhan kewajiban pembayaran yang dikumpulkan melalui pertukaran “nilai” antar perorangan, bank dan lembaga lainnya baik domestik maupun antar negara”</w:t>
      </w:r>
      <w:r>
        <w:rPr>
          <w:rStyle w:val="FootnoteReference"/>
          <w:sz w:val="23"/>
          <w:szCs w:val="23"/>
        </w:rPr>
        <w:footnoteReference w:id="12"/>
      </w:r>
    </w:p>
    <w:p w14:paraId="46E3AD84" w14:textId="77777777" w:rsidR="0011310F" w:rsidRPr="00FD0BA1" w:rsidRDefault="0011310F" w:rsidP="00BB6528">
      <w:pPr>
        <w:ind w:left="1134"/>
        <w:contextualSpacing/>
        <w:jc w:val="both"/>
        <w:rPr>
          <w:noProof/>
          <w:color w:val="000000" w:themeColor="text1"/>
          <w:lang w:val="id-ID"/>
        </w:rPr>
      </w:pPr>
      <w:r w:rsidRPr="00FD0BA1">
        <w:rPr>
          <w:noProof/>
          <w:color w:val="000000" w:themeColor="text1"/>
          <w:lang w:val="id-ID"/>
        </w:rPr>
        <w:t xml:space="preserve">Sistem pembayaran </w:t>
      </w:r>
      <w:r w:rsidR="00B23EF7">
        <w:rPr>
          <w:noProof/>
          <w:color w:val="000000" w:themeColor="text1"/>
          <w:lang w:val="en-US"/>
        </w:rPr>
        <w:t>merupakan</w:t>
      </w:r>
      <w:r w:rsidRPr="00FD0BA1">
        <w:rPr>
          <w:noProof/>
          <w:color w:val="000000" w:themeColor="text1"/>
          <w:lang w:val="id-ID"/>
        </w:rPr>
        <w:t xml:space="preserve"> sebuah sistem yang di dalamnya terdapat:</w:t>
      </w:r>
    </w:p>
    <w:p w14:paraId="278479E5" w14:textId="77777777" w:rsidR="0011310F" w:rsidRPr="00FD0BA1" w:rsidRDefault="004D1ED3" w:rsidP="00D551DC">
      <w:pPr>
        <w:pStyle w:val="ListParagraph"/>
        <w:numPr>
          <w:ilvl w:val="0"/>
          <w:numId w:val="24"/>
        </w:numPr>
        <w:ind w:left="1701" w:hanging="567"/>
        <w:jc w:val="both"/>
        <w:rPr>
          <w:noProof/>
          <w:color w:val="000000" w:themeColor="text1"/>
          <w:lang w:val="id-ID"/>
        </w:rPr>
      </w:pPr>
      <w:r w:rsidRPr="00FD0BA1">
        <w:rPr>
          <w:noProof/>
          <w:color w:val="000000" w:themeColor="text1"/>
          <w:lang w:val="id-ID"/>
        </w:rPr>
        <w:t>S</w:t>
      </w:r>
      <w:r w:rsidR="0011310F" w:rsidRPr="00FD0BA1">
        <w:rPr>
          <w:noProof/>
          <w:color w:val="000000" w:themeColor="text1"/>
          <w:lang w:val="id-ID"/>
        </w:rPr>
        <w:t>eperagkat aturan</w:t>
      </w:r>
    </w:p>
    <w:p w14:paraId="204510F9" w14:textId="77777777" w:rsidR="0011310F" w:rsidRPr="00FD0BA1" w:rsidRDefault="004D1ED3" w:rsidP="00D551DC">
      <w:pPr>
        <w:pStyle w:val="ListParagraph"/>
        <w:numPr>
          <w:ilvl w:val="0"/>
          <w:numId w:val="24"/>
        </w:numPr>
        <w:ind w:left="1701" w:hanging="567"/>
        <w:jc w:val="both"/>
        <w:rPr>
          <w:noProof/>
          <w:color w:val="000000" w:themeColor="text1"/>
          <w:lang w:val="id-ID"/>
        </w:rPr>
      </w:pPr>
      <w:r w:rsidRPr="00FD0BA1">
        <w:rPr>
          <w:noProof/>
          <w:color w:val="000000" w:themeColor="text1"/>
          <w:lang w:val="id-ID"/>
        </w:rPr>
        <w:t>K</w:t>
      </w:r>
      <w:r w:rsidR="0011310F" w:rsidRPr="00FD0BA1">
        <w:rPr>
          <w:noProof/>
          <w:color w:val="000000" w:themeColor="text1"/>
          <w:lang w:val="id-ID"/>
        </w:rPr>
        <w:t>ontrak/perjanjian</w:t>
      </w:r>
    </w:p>
    <w:p w14:paraId="14A8DE93" w14:textId="77777777" w:rsidR="0011310F" w:rsidRPr="00FD0BA1" w:rsidRDefault="00E34413" w:rsidP="00D551DC">
      <w:pPr>
        <w:pStyle w:val="ListParagraph"/>
        <w:numPr>
          <w:ilvl w:val="0"/>
          <w:numId w:val="24"/>
        </w:numPr>
        <w:ind w:left="1701" w:hanging="567"/>
        <w:jc w:val="both"/>
        <w:rPr>
          <w:noProof/>
          <w:color w:val="000000" w:themeColor="text1"/>
          <w:lang w:val="id-ID"/>
        </w:rPr>
      </w:pPr>
      <w:r w:rsidRPr="00FD0BA1">
        <w:rPr>
          <w:noProof/>
          <w:color w:val="000000" w:themeColor="text1"/>
          <w:lang w:val="id-ID"/>
        </w:rPr>
        <w:t>F</w:t>
      </w:r>
      <w:r w:rsidR="0011310F" w:rsidRPr="00FD0BA1">
        <w:rPr>
          <w:noProof/>
          <w:color w:val="000000" w:themeColor="text1"/>
          <w:lang w:val="id-ID"/>
        </w:rPr>
        <w:t>asilitas dan</w:t>
      </w:r>
    </w:p>
    <w:p w14:paraId="2D6F7722" w14:textId="77777777" w:rsidR="0011310F" w:rsidRPr="00BB6528" w:rsidRDefault="00E34413" w:rsidP="00D551DC">
      <w:pPr>
        <w:pStyle w:val="ListParagraph"/>
        <w:numPr>
          <w:ilvl w:val="0"/>
          <w:numId w:val="24"/>
        </w:numPr>
        <w:ind w:left="1701" w:hanging="567"/>
        <w:jc w:val="both"/>
        <w:rPr>
          <w:noProof/>
          <w:color w:val="000000" w:themeColor="text1"/>
          <w:lang w:val="id-ID"/>
        </w:rPr>
      </w:pPr>
      <w:r w:rsidRPr="00FD0BA1">
        <w:rPr>
          <w:noProof/>
          <w:color w:val="000000" w:themeColor="text1"/>
          <w:lang w:val="id-ID"/>
        </w:rPr>
        <w:t>M</w:t>
      </w:r>
      <w:r w:rsidR="00BB6528">
        <w:rPr>
          <w:noProof/>
          <w:color w:val="000000" w:themeColor="text1"/>
          <w:lang w:val="id-ID"/>
        </w:rPr>
        <w:t>ekanisme operasional y</w:t>
      </w:r>
      <w:r w:rsidR="0011310F" w:rsidRPr="00FD0BA1">
        <w:rPr>
          <w:noProof/>
          <w:color w:val="000000" w:themeColor="text1"/>
          <w:lang w:val="id-ID"/>
        </w:rPr>
        <w:t>ang digunakan untuk:</w:t>
      </w:r>
      <w:r w:rsidR="00BB6528">
        <w:rPr>
          <w:noProof/>
          <w:color w:val="000000" w:themeColor="text1"/>
          <w:lang w:val="en-US"/>
        </w:rPr>
        <w:t xml:space="preserve"> (1)</w:t>
      </w:r>
      <w:r w:rsidR="00BB6528">
        <w:rPr>
          <w:noProof/>
          <w:color w:val="000000" w:themeColor="text1"/>
          <w:lang w:val="id-ID"/>
        </w:rPr>
        <w:t xml:space="preserve"> m</w:t>
      </w:r>
      <w:r w:rsidR="0011310F" w:rsidRPr="00BB6528">
        <w:rPr>
          <w:noProof/>
          <w:color w:val="000000" w:themeColor="text1"/>
          <w:lang w:val="id-ID"/>
        </w:rPr>
        <w:t>engirim</w:t>
      </w:r>
      <w:r w:rsidR="00BB6528">
        <w:rPr>
          <w:noProof/>
          <w:color w:val="000000" w:themeColor="text1"/>
          <w:lang w:val="en-US"/>
        </w:rPr>
        <w:t>; (2) m</w:t>
      </w:r>
      <w:r w:rsidR="0011310F" w:rsidRPr="00BB6528">
        <w:rPr>
          <w:noProof/>
          <w:color w:val="000000" w:themeColor="text1"/>
          <w:lang w:val="id-ID"/>
        </w:rPr>
        <w:t>eratifikasi dan menerima pembayaran, serta</w:t>
      </w:r>
      <w:r w:rsidR="00BB6528">
        <w:rPr>
          <w:noProof/>
          <w:color w:val="000000" w:themeColor="text1"/>
          <w:lang w:val="en-US"/>
        </w:rPr>
        <w:t xml:space="preserve"> (3) </w:t>
      </w:r>
      <w:r w:rsidR="00BB6528">
        <w:rPr>
          <w:noProof/>
          <w:color w:val="000000" w:themeColor="text1"/>
          <w:lang w:val="id-ID"/>
        </w:rPr>
        <w:t xml:space="preserve">memenuhi kewajiban pembayaran dan </w:t>
      </w:r>
      <w:r w:rsidR="00BB6528">
        <w:rPr>
          <w:noProof/>
          <w:color w:val="000000" w:themeColor="text1"/>
          <w:lang w:val="en-US"/>
        </w:rPr>
        <w:t>(4) m</w:t>
      </w:r>
      <w:r w:rsidR="0011310F" w:rsidRPr="00BB6528">
        <w:rPr>
          <w:noProof/>
          <w:color w:val="000000" w:themeColor="text1"/>
          <w:lang w:val="id-ID"/>
        </w:rPr>
        <w:t>elalui pertukaran nilai antara individu, bank dan institusi lainnya baik domestik maupun lintas batas "antar negara”.</w:t>
      </w:r>
    </w:p>
    <w:p w14:paraId="283A2301" w14:textId="77777777" w:rsidR="00AF056D" w:rsidRDefault="0011310F" w:rsidP="00BB6528">
      <w:pPr>
        <w:ind w:left="1134"/>
        <w:contextualSpacing/>
        <w:jc w:val="both"/>
        <w:rPr>
          <w:noProof/>
          <w:color w:val="000000" w:themeColor="text1"/>
          <w:lang w:val="id-ID"/>
        </w:rPr>
      </w:pPr>
      <w:r w:rsidRPr="00FD0BA1">
        <w:rPr>
          <w:noProof/>
          <w:color w:val="000000" w:themeColor="text1"/>
          <w:lang w:val="id-ID"/>
        </w:rPr>
        <w:t>Tujuan umum dari sistem pembayaran adalah memungkinkan orang untuk memindahkan account dari satu bank ke bank lainnya.</w:t>
      </w:r>
      <w:r w:rsidRPr="00FD0BA1">
        <w:rPr>
          <w:rStyle w:val="FootnoteReference"/>
          <w:noProof/>
          <w:color w:val="000000" w:themeColor="text1"/>
          <w:lang w:val="id-ID"/>
        </w:rPr>
        <w:footnoteReference w:id="13"/>
      </w:r>
    </w:p>
    <w:p w14:paraId="595D940F" w14:textId="77777777" w:rsidR="00BB6528" w:rsidRPr="00FD0BA1" w:rsidRDefault="00BB6528" w:rsidP="00443357">
      <w:pPr>
        <w:contextualSpacing/>
        <w:jc w:val="both"/>
        <w:rPr>
          <w:noProof/>
          <w:color w:val="000000" w:themeColor="text1"/>
          <w:lang w:val="id-ID"/>
        </w:rPr>
      </w:pPr>
    </w:p>
    <w:p w14:paraId="7605F437" w14:textId="77777777" w:rsidR="00AF056D" w:rsidRPr="00FD0BA1" w:rsidRDefault="00D757F3" w:rsidP="00D551DC">
      <w:pPr>
        <w:pStyle w:val="Heading3"/>
        <w:numPr>
          <w:ilvl w:val="0"/>
          <w:numId w:val="29"/>
        </w:numPr>
        <w:spacing w:line="480" w:lineRule="auto"/>
        <w:ind w:left="1134" w:hanging="567"/>
        <w:jc w:val="both"/>
        <w:rPr>
          <w:noProof/>
          <w:lang w:val="id-ID"/>
        </w:rPr>
      </w:pPr>
      <w:bookmarkStart w:id="15" w:name="_Toc106005446"/>
      <w:r w:rsidRPr="00FD0BA1">
        <w:rPr>
          <w:noProof/>
          <w:lang w:val="id-ID"/>
        </w:rPr>
        <w:t xml:space="preserve">Pengertian </w:t>
      </w:r>
      <w:r w:rsidR="00E77D38" w:rsidRPr="00FD0BA1">
        <w:rPr>
          <w:i/>
          <w:iCs/>
          <w:noProof/>
          <w:lang w:val="id-ID"/>
        </w:rPr>
        <w:t xml:space="preserve">Blue Print </w:t>
      </w:r>
      <w:r w:rsidR="00E77D38" w:rsidRPr="00FD0BA1">
        <w:rPr>
          <w:noProof/>
          <w:lang w:val="id-ID"/>
        </w:rPr>
        <w:t>Sistem Pembayaran Indonesia (</w:t>
      </w:r>
      <w:r w:rsidRPr="00FD0BA1">
        <w:rPr>
          <w:noProof/>
          <w:lang w:val="id-ID"/>
        </w:rPr>
        <w:t>BSPI</w:t>
      </w:r>
      <w:r w:rsidR="00E77D38" w:rsidRPr="00FD0BA1">
        <w:rPr>
          <w:noProof/>
          <w:lang w:val="id-ID"/>
        </w:rPr>
        <w:t>)</w:t>
      </w:r>
      <w:r w:rsidRPr="00FD0BA1">
        <w:rPr>
          <w:noProof/>
          <w:lang w:val="id-ID"/>
        </w:rPr>
        <w:t xml:space="preserve"> 2025</w:t>
      </w:r>
      <w:bookmarkEnd w:id="15"/>
    </w:p>
    <w:p w14:paraId="5D76C9FB" w14:textId="77777777" w:rsidR="00781056" w:rsidRDefault="00AF056D" w:rsidP="00443357">
      <w:pPr>
        <w:ind w:left="1134"/>
        <w:contextualSpacing/>
        <w:jc w:val="both"/>
        <w:rPr>
          <w:noProof/>
          <w:color w:val="000000" w:themeColor="text1"/>
          <w:vertAlign w:val="superscript"/>
          <w:lang w:val="id-ID"/>
        </w:rPr>
      </w:pPr>
      <w:r w:rsidRPr="00FD0BA1">
        <w:rPr>
          <w:noProof/>
          <w:color w:val="000000" w:themeColor="text1"/>
          <w:lang w:val="id-ID"/>
        </w:rPr>
        <w:lastRenderedPageBreak/>
        <w:t>BSPI</w:t>
      </w:r>
      <w:r w:rsidRPr="00FD0BA1">
        <w:rPr>
          <w:noProof/>
          <w:color w:val="000000" w:themeColor="text1"/>
          <w:shd w:val="clear" w:color="auto" w:fill="FFFFFF"/>
          <w:lang w:val="id-ID"/>
        </w:rPr>
        <w:t xml:space="preserve"> 2025 merupakan arah kebijakan sistem pembayaran Bank Indonesia untuk menggali peran industri sistem pembayaran di era ekonomi dan keuangan digital Proyek tersebut memuat 5 (lima) visi sistem pembayaran Indonesia 2025 yang dilaksanakan oleh 5 (lima) kelompok kerja, yaitu perbankan terbuka, sistem pembayaran ritel, sistem pembayaran bernilai tinggi dan infrastruktur pembayaran, pasar keuangan, data dan digitalisasi dan regulasi, perizinan dan reformasi pengawasan. BSPI 2025 akan dicapai melalui 23 hasil utama yang akan dilaksanakan secara bertahap selama periode 2019-2025.</w:t>
      </w:r>
      <w:r w:rsidRPr="00FD0BA1">
        <w:rPr>
          <w:rStyle w:val="FootnoteReference"/>
          <w:noProof/>
          <w:color w:val="000000" w:themeColor="text1"/>
          <w:shd w:val="clear" w:color="auto" w:fill="FFFFFF"/>
          <w:lang w:val="id-ID"/>
        </w:rPr>
        <w:footnoteReference w:id="14"/>
      </w:r>
    </w:p>
    <w:p w14:paraId="312F8085" w14:textId="77777777" w:rsidR="00443357" w:rsidRPr="00FD0BA1" w:rsidRDefault="00443357" w:rsidP="00443357">
      <w:pPr>
        <w:ind w:left="1134"/>
        <w:contextualSpacing/>
        <w:jc w:val="both"/>
        <w:rPr>
          <w:noProof/>
          <w:color w:val="000000" w:themeColor="text1"/>
          <w:vertAlign w:val="superscript"/>
          <w:lang w:val="id-ID"/>
        </w:rPr>
      </w:pPr>
    </w:p>
    <w:p w14:paraId="06623C19" w14:textId="77777777" w:rsidR="00AF056D" w:rsidRPr="00FD0BA1" w:rsidRDefault="00D757F3" w:rsidP="00D551DC">
      <w:pPr>
        <w:pStyle w:val="Heading2"/>
        <w:numPr>
          <w:ilvl w:val="0"/>
          <w:numId w:val="12"/>
        </w:numPr>
        <w:spacing w:line="480" w:lineRule="auto"/>
        <w:ind w:left="567" w:hanging="567"/>
        <w:rPr>
          <w:noProof/>
          <w:lang w:val="id-ID"/>
        </w:rPr>
      </w:pPr>
      <w:bookmarkStart w:id="16" w:name="_Toc106005447"/>
      <w:r w:rsidRPr="00FD0BA1">
        <w:rPr>
          <w:noProof/>
          <w:lang w:val="id-ID"/>
        </w:rPr>
        <w:t>Tinjauan Umum Tentang Penyedia Jasa Pembayaran</w:t>
      </w:r>
      <w:bookmarkEnd w:id="16"/>
    </w:p>
    <w:p w14:paraId="01A82D07" w14:textId="77777777" w:rsidR="00AF056D" w:rsidRPr="00443357" w:rsidRDefault="00D757F3" w:rsidP="00D551DC">
      <w:pPr>
        <w:pStyle w:val="Heading2"/>
        <w:numPr>
          <w:ilvl w:val="0"/>
          <w:numId w:val="30"/>
        </w:numPr>
        <w:spacing w:line="480" w:lineRule="auto"/>
        <w:ind w:left="1134" w:hanging="567"/>
        <w:rPr>
          <w:noProof/>
          <w:lang w:val="id-ID"/>
        </w:rPr>
      </w:pPr>
      <w:bookmarkStart w:id="17" w:name="_Toc106005448"/>
      <w:r w:rsidRPr="00443357">
        <w:rPr>
          <w:noProof/>
          <w:lang w:val="id-ID"/>
        </w:rPr>
        <w:t>Pengertian Penyedia Jasa Pembayaran</w:t>
      </w:r>
      <w:bookmarkEnd w:id="17"/>
    </w:p>
    <w:p w14:paraId="2BD423E3" w14:textId="77777777" w:rsidR="009C4328" w:rsidRPr="00FD0BA1" w:rsidRDefault="00AF056D" w:rsidP="00443357">
      <w:pPr>
        <w:ind w:left="1134" w:firstLine="567"/>
        <w:contextualSpacing/>
        <w:jc w:val="both"/>
        <w:rPr>
          <w:noProof/>
          <w:color w:val="000000" w:themeColor="text1"/>
          <w:lang w:val="id-ID"/>
        </w:rPr>
      </w:pPr>
      <w:r w:rsidRPr="00FD0BA1">
        <w:rPr>
          <w:noProof/>
          <w:color w:val="000000" w:themeColor="text1"/>
          <w:shd w:val="clear" w:color="auto" w:fill="FFFFFF"/>
          <w:lang w:val="id-ID"/>
        </w:rPr>
        <w:t>Penyedia</w:t>
      </w:r>
      <w:r w:rsidRPr="00FD0BA1">
        <w:rPr>
          <w:noProof/>
          <w:color w:val="000000" w:themeColor="text1"/>
          <w:lang w:val="id-ID"/>
        </w:rPr>
        <w:t xml:space="preserve"> Jasa Pembayaran (PJP) adalah bank atau lembaga lain selain bank yang menyediakan jasa untuk memfasilitasi transaksi pembayaran kepada pengguna jasa (Pasal 1 angka 4 Peraturan Bank Indonesia Nomor 23/6/PBI/2021 tentang Penyedia Jasa Pembayaran (PBI No</w:t>
      </w:r>
      <w:r w:rsidR="00443357">
        <w:rPr>
          <w:noProof/>
          <w:color w:val="000000" w:themeColor="text1"/>
          <w:lang w:val="en-US"/>
        </w:rPr>
        <w:t>mor</w:t>
      </w:r>
      <w:r w:rsidRPr="00FD0BA1">
        <w:rPr>
          <w:noProof/>
          <w:color w:val="000000" w:themeColor="text1"/>
          <w:lang w:val="id-ID"/>
        </w:rPr>
        <w:t xml:space="preserve">. 23/2021). Beberapa PJP yang terkenal di Indonesia adalah bank dan perusahaan fintech, seperti OVO, GoPay, ShopeePay, dll. Kegiatan PJP beragam, antara lain memberikan informasi sumber pendanaan, memulai pembayaran dan/atau memperoleh layanan, mengadministrasikan sumber dana dan/atau layanan transfer dana. </w:t>
      </w:r>
      <w:r w:rsidRPr="00FD0BA1">
        <w:rPr>
          <w:noProof/>
          <w:color w:val="000000" w:themeColor="text1"/>
          <w:lang w:val="id-ID"/>
        </w:rPr>
        <w:lastRenderedPageBreak/>
        <w:t xml:space="preserve">(Pasal 2 ayat (1) PBI Nomor 23 Tahun 2021. Pasal 2 ayat (1) PBI Nomor 23 Tahun 2021 diatur bahwa Bank Indonesia juga dapat menetapkan kegiatan lain selain yang diatur dalam PBI Nomor 23 Tahun 2021 PJP harus merupakan bank atau lembaga selain </w:t>
      </w:r>
      <w:r w:rsidR="00443357">
        <w:rPr>
          <w:noProof/>
          <w:color w:val="000000" w:themeColor="text1"/>
          <w:lang w:val="id-ID"/>
        </w:rPr>
        <w:t>bank (Pasal 16 PBI No. 23/2021).</w:t>
      </w:r>
    </w:p>
    <w:p w14:paraId="047173BE" w14:textId="77777777" w:rsidR="00D757F3" w:rsidRPr="00FD0BA1" w:rsidRDefault="00D757F3" w:rsidP="00D551DC">
      <w:pPr>
        <w:pStyle w:val="Heading3"/>
        <w:numPr>
          <w:ilvl w:val="0"/>
          <w:numId w:val="30"/>
        </w:numPr>
        <w:spacing w:line="480" w:lineRule="auto"/>
        <w:ind w:left="1134" w:hanging="567"/>
        <w:rPr>
          <w:noProof/>
          <w:lang w:val="id-ID"/>
        </w:rPr>
      </w:pPr>
      <w:bookmarkStart w:id="18" w:name="_Toc106005449"/>
      <w:r w:rsidRPr="00FD0BA1">
        <w:rPr>
          <w:noProof/>
          <w:lang w:val="id-ID"/>
        </w:rPr>
        <w:t>Dasar Hukum Pen</w:t>
      </w:r>
      <w:r w:rsidR="00B856FB" w:rsidRPr="00FD0BA1">
        <w:rPr>
          <w:noProof/>
          <w:lang w:val="id-ID"/>
        </w:rPr>
        <w:t>yedia Jasa Pembayaran</w:t>
      </w:r>
      <w:bookmarkEnd w:id="18"/>
    </w:p>
    <w:p w14:paraId="0F71E873" w14:textId="77777777" w:rsidR="00AF056D" w:rsidRPr="00FD0BA1" w:rsidRDefault="00443357" w:rsidP="00443357">
      <w:pPr>
        <w:ind w:left="1134" w:firstLine="567"/>
        <w:contextualSpacing/>
        <w:jc w:val="both"/>
        <w:rPr>
          <w:noProof/>
          <w:lang w:val="id-ID"/>
        </w:rPr>
      </w:pPr>
      <w:r>
        <w:rPr>
          <w:noProof/>
          <w:color w:val="000000" w:themeColor="text1"/>
          <w:shd w:val="clear" w:color="auto" w:fill="FFFFFF"/>
          <w:lang w:val="en-US"/>
        </w:rPr>
        <w:t xml:space="preserve">Menurut Pasal 11 PBI Nomor 23 Tahun 2021, </w:t>
      </w:r>
      <w:r>
        <w:rPr>
          <w:noProof/>
          <w:color w:val="000000" w:themeColor="text1"/>
          <w:shd w:val="clear" w:color="auto" w:fill="FFFFFF"/>
          <w:lang w:val="id-ID"/>
        </w:rPr>
        <w:t>b</w:t>
      </w:r>
      <w:r w:rsidR="00AF056D" w:rsidRPr="00FD0BA1">
        <w:rPr>
          <w:noProof/>
          <w:color w:val="000000" w:themeColor="text1"/>
          <w:shd w:val="clear" w:color="auto" w:fill="FFFFFF"/>
          <w:lang w:val="id-ID"/>
        </w:rPr>
        <w:t>agi</w:t>
      </w:r>
      <w:r w:rsidR="00AF056D" w:rsidRPr="00FD0BA1">
        <w:rPr>
          <w:noProof/>
          <w:lang w:val="id-ID"/>
        </w:rPr>
        <w:t xml:space="preserve"> PJP yang ingin menjalankan aktivitas tersebut dan bertindak sebagai PJP harus memperoleh izin dari Ba</w:t>
      </w:r>
      <w:r>
        <w:rPr>
          <w:noProof/>
          <w:lang w:val="id-ID"/>
        </w:rPr>
        <w:t>nk Indonesia</w:t>
      </w:r>
      <w:r w:rsidR="00AF056D" w:rsidRPr="00FD0BA1">
        <w:rPr>
          <w:noProof/>
          <w:lang w:val="id-ID"/>
        </w:rPr>
        <w:t>.</w:t>
      </w:r>
      <w:r>
        <w:rPr>
          <w:noProof/>
          <w:lang w:val="en-US"/>
        </w:rPr>
        <w:t xml:space="preserve"> Sedangkan</w:t>
      </w:r>
      <w:r w:rsidR="00AF056D" w:rsidRPr="00FD0BA1">
        <w:rPr>
          <w:noProof/>
          <w:lang w:val="id-ID"/>
        </w:rPr>
        <w:t xml:space="preserve"> Izin PJP </w:t>
      </w:r>
      <w:r>
        <w:rPr>
          <w:noProof/>
          <w:lang w:val="en-US"/>
        </w:rPr>
        <w:t xml:space="preserve">menurut Pasal 12 PBI Nomor 23 Tahun 2021 </w:t>
      </w:r>
      <w:r w:rsidR="00AF056D" w:rsidRPr="00FD0BA1">
        <w:rPr>
          <w:noProof/>
          <w:lang w:val="id-ID"/>
        </w:rPr>
        <w:t>diberikan berdasarkan kategori izin yang terdiri</w:t>
      </w:r>
      <w:r>
        <w:rPr>
          <w:noProof/>
          <w:lang w:val="id-ID"/>
        </w:rPr>
        <w:t xml:space="preserve"> atas </w:t>
      </w:r>
      <w:r w:rsidR="00AF056D" w:rsidRPr="00FD0BA1">
        <w:rPr>
          <w:noProof/>
          <w:lang w:val="id-ID"/>
        </w:rPr>
        <w:t>:</w:t>
      </w:r>
    </w:p>
    <w:p w14:paraId="1FEF4A40" w14:textId="77777777" w:rsidR="00193779" w:rsidRPr="00193779" w:rsidRDefault="00AF056D" w:rsidP="00D551DC">
      <w:pPr>
        <w:pStyle w:val="ListParagraph"/>
        <w:numPr>
          <w:ilvl w:val="0"/>
          <w:numId w:val="25"/>
        </w:numPr>
        <w:ind w:left="1701" w:hanging="567"/>
        <w:jc w:val="both"/>
        <w:rPr>
          <w:noProof/>
          <w:lang w:val="id-ID"/>
        </w:rPr>
      </w:pPr>
      <w:r w:rsidRPr="00443357">
        <w:rPr>
          <w:noProof/>
          <w:lang w:val="id-ID"/>
        </w:rPr>
        <w:t xml:space="preserve">Kategori izin satu dengan modal disetor minimum Rp15 Miliar (Pasal 24 ayat (2) huruf a PBI No. 23/2021) yang meliputi aktivitas: penatausahaan sumber dana; penyediaan informasi sumber dana; </w:t>
      </w:r>
      <w:r w:rsidRPr="00443357">
        <w:rPr>
          <w:i/>
          <w:iCs/>
          <w:noProof/>
          <w:lang w:val="id-ID"/>
        </w:rPr>
        <w:t>payment initiation</w:t>
      </w:r>
      <w:r w:rsidRPr="00443357">
        <w:rPr>
          <w:noProof/>
          <w:lang w:val="id-ID"/>
        </w:rPr>
        <w:t xml:space="preserve"> dan/atau </w:t>
      </w:r>
      <w:r w:rsidRPr="00443357">
        <w:rPr>
          <w:i/>
          <w:iCs/>
          <w:noProof/>
          <w:lang w:val="id-ID"/>
        </w:rPr>
        <w:t>acquiring services</w:t>
      </w:r>
      <w:r w:rsidRPr="00443357">
        <w:rPr>
          <w:noProof/>
          <w:lang w:val="id-ID"/>
        </w:rPr>
        <w:t>; dan layanan remitansi</w:t>
      </w:r>
      <w:r w:rsidR="00193779">
        <w:rPr>
          <w:noProof/>
          <w:lang w:val="en-US"/>
        </w:rPr>
        <w:t>;</w:t>
      </w:r>
    </w:p>
    <w:p w14:paraId="3A003980" w14:textId="77777777" w:rsidR="00193779" w:rsidRDefault="00AF056D" w:rsidP="00D551DC">
      <w:pPr>
        <w:pStyle w:val="ListParagraph"/>
        <w:numPr>
          <w:ilvl w:val="0"/>
          <w:numId w:val="25"/>
        </w:numPr>
        <w:ind w:left="1701" w:hanging="567"/>
        <w:jc w:val="both"/>
        <w:rPr>
          <w:noProof/>
          <w:lang w:val="id-ID"/>
        </w:rPr>
      </w:pPr>
      <w:r w:rsidRPr="00193779">
        <w:rPr>
          <w:noProof/>
          <w:lang w:val="id-ID"/>
        </w:rPr>
        <w:t xml:space="preserve">Kategori izin dua dengan modal disetor minimum Rp5 Miliar (Pasal 24 ayat (2) huruf b PBI No. 23/2021) yang meliputi aktivitas: penyediaan informasi sumber dana; dan </w:t>
      </w:r>
      <w:r w:rsidRPr="00193779">
        <w:rPr>
          <w:i/>
          <w:iCs/>
          <w:noProof/>
          <w:lang w:val="id-ID"/>
        </w:rPr>
        <w:t>payment initiation</w:t>
      </w:r>
      <w:r w:rsidRPr="00193779">
        <w:rPr>
          <w:noProof/>
          <w:lang w:val="id-ID"/>
        </w:rPr>
        <w:t xml:space="preserve"> dan/atau </w:t>
      </w:r>
      <w:r w:rsidRPr="00193779">
        <w:rPr>
          <w:i/>
          <w:iCs/>
          <w:noProof/>
          <w:lang w:val="id-ID"/>
        </w:rPr>
        <w:t>acquiring services</w:t>
      </w:r>
      <w:r w:rsidR="00193779">
        <w:rPr>
          <w:noProof/>
          <w:lang w:val="id-ID"/>
        </w:rPr>
        <w:t>;</w:t>
      </w:r>
    </w:p>
    <w:p w14:paraId="35AAC731" w14:textId="77777777" w:rsidR="00AF056D" w:rsidRPr="00193779" w:rsidRDefault="00AF056D" w:rsidP="00D551DC">
      <w:pPr>
        <w:pStyle w:val="ListParagraph"/>
        <w:numPr>
          <w:ilvl w:val="0"/>
          <w:numId w:val="25"/>
        </w:numPr>
        <w:ind w:left="1701" w:hanging="567"/>
        <w:jc w:val="both"/>
        <w:rPr>
          <w:noProof/>
          <w:lang w:val="id-ID"/>
        </w:rPr>
      </w:pPr>
      <w:r w:rsidRPr="00193779">
        <w:rPr>
          <w:noProof/>
          <w:lang w:val="id-ID"/>
        </w:rPr>
        <w:t xml:space="preserve">Kategori izin tiga dengan modal disetor minimum Rp500 Juta (Pasal 24 ayat (2) huruf c PBI No. 23/2021) bagi calon PJP yang tidak menyediakan sistem yang dapat digunakan oleh PJP </w:t>
      </w:r>
      <w:r w:rsidRPr="00193779">
        <w:rPr>
          <w:noProof/>
          <w:lang w:val="id-ID"/>
        </w:rPr>
        <w:lastRenderedPageBreak/>
        <w:t>kategori izin tiga lain atau Rp 1 Miliar bagi calon PJP yang menyediakan sistem yang dapat digunakan oleh PJP kategori izin tiga lain yang meliputi aktivitas: layanan remitansi; dan/atau lainnya yang ditetapkan Bank Indonesia.</w:t>
      </w:r>
    </w:p>
    <w:p w14:paraId="73A8834E" w14:textId="77777777" w:rsidR="00AF056D" w:rsidRPr="00FD0BA1" w:rsidRDefault="00AF056D" w:rsidP="00193779">
      <w:pPr>
        <w:ind w:left="1134" w:firstLine="567"/>
        <w:contextualSpacing/>
        <w:jc w:val="both"/>
        <w:rPr>
          <w:noProof/>
          <w:lang w:val="id-ID"/>
        </w:rPr>
      </w:pPr>
      <w:r w:rsidRPr="00FD0BA1">
        <w:rPr>
          <w:noProof/>
          <w:color w:val="000000" w:themeColor="text1"/>
          <w:shd w:val="clear" w:color="auto" w:fill="FFFFFF"/>
          <w:lang w:val="id-ID"/>
        </w:rPr>
        <w:t>Pihak</w:t>
      </w:r>
      <w:r w:rsidRPr="00FD0BA1">
        <w:rPr>
          <w:noProof/>
          <w:lang w:val="id-ID"/>
        </w:rPr>
        <w:t xml:space="preserve"> yang mengajukan permohonan izin untuk menjadi PJP harus memenuhi persyaratan izin yang ditetapkan Bank Indonesia meliputi aspek (Pasal 15 PBI No. 23/2021): </w:t>
      </w:r>
    </w:p>
    <w:p w14:paraId="22C245BE" w14:textId="77777777" w:rsidR="000615CB" w:rsidRPr="00FD0BA1" w:rsidRDefault="007D6D21" w:rsidP="00D551DC">
      <w:pPr>
        <w:pStyle w:val="ListParagraph"/>
        <w:numPr>
          <w:ilvl w:val="0"/>
          <w:numId w:val="26"/>
        </w:numPr>
        <w:ind w:left="1701" w:hanging="567"/>
        <w:jc w:val="both"/>
        <w:rPr>
          <w:noProof/>
          <w:lang w:val="id-ID"/>
        </w:rPr>
      </w:pPr>
      <w:r w:rsidRPr="00FD0BA1">
        <w:rPr>
          <w:noProof/>
          <w:lang w:val="id-ID"/>
        </w:rPr>
        <w:t xml:space="preserve"> </w:t>
      </w:r>
      <w:r w:rsidR="00AF056D" w:rsidRPr="00FD0BA1">
        <w:rPr>
          <w:noProof/>
          <w:lang w:val="id-ID"/>
        </w:rPr>
        <w:t>Kelembagaan</w:t>
      </w:r>
    </w:p>
    <w:p w14:paraId="11FA4DFD" w14:textId="77777777" w:rsidR="000615CB" w:rsidRPr="00FD0BA1" w:rsidRDefault="007D6D21" w:rsidP="00D551DC">
      <w:pPr>
        <w:numPr>
          <w:ilvl w:val="0"/>
          <w:numId w:val="26"/>
        </w:numPr>
        <w:ind w:left="1701" w:hanging="567"/>
        <w:contextualSpacing/>
        <w:jc w:val="both"/>
        <w:rPr>
          <w:noProof/>
          <w:lang w:val="id-ID"/>
        </w:rPr>
      </w:pPr>
      <w:r w:rsidRPr="00FD0BA1">
        <w:rPr>
          <w:noProof/>
          <w:lang w:val="id-ID"/>
        </w:rPr>
        <w:t xml:space="preserve"> </w:t>
      </w:r>
      <w:r w:rsidR="00AF056D" w:rsidRPr="00FD0BA1">
        <w:rPr>
          <w:noProof/>
          <w:lang w:val="id-ID"/>
        </w:rPr>
        <w:t>Permodalan dan keuangan</w:t>
      </w:r>
    </w:p>
    <w:p w14:paraId="4A8E8CB8" w14:textId="77777777" w:rsidR="000615CB" w:rsidRPr="00FD0BA1" w:rsidRDefault="007D6D21" w:rsidP="00D551DC">
      <w:pPr>
        <w:numPr>
          <w:ilvl w:val="0"/>
          <w:numId w:val="26"/>
        </w:numPr>
        <w:ind w:left="1701" w:hanging="567"/>
        <w:contextualSpacing/>
        <w:jc w:val="both"/>
        <w:rPr>
          <w:noProof/>
          <w:lang w:val="id-ID"/>
        </w:rPr>
      </w:pPr>
      <w:r w:rsidRPr="00FD0BA1">
        <w:rPr>
          <w:noProof/>
          <w:lang w:val="id-ID"/>
        </w:rPr>
        <w:t xml:space="preserve"> </w:t>
      </w:r>
      <w:r w:rsidR="00AF056D" w:rsidRPr="00FD0BA1">
        <w:rPr>
          <w:noProof/>
          <w:lang w:val="id-ID"/>
        </w:rPr>
        <w:t>Manajemen risiko dan </w:t>
      </w:r>
    </w:p>
    <w:p w14:paraId="59B95652" w14:textId="77777777" w:rsidR="000615CB" w:rsidRPr="00FD0BA1" w:rsidRDefault="007D6D21" w:rsidP="00D551DC">
      <w:pPr>
        <w:numPr>
          <w:ilvl w:val="0"/>
          <w:numId w:val="26"/>
        </w:numPr>
        <w:ind w:left="1701" w:hanging="567"/>
        <w:contextualSpacing/>
        <w:jc w:val="both"/>
        <w:rPr>
          <w:noProof/>
          <w:lang w:val="id-ID"/>
        </w:rPr>
      </w:pPr>
      <w:r w:rsidRPr="00FD0BA1">
        <w:rPr>
          <w:noProof/>
          <w:lang w:val="id-ID"/>
        </w:rPr>
        <w:t xml:space="preserve"> </w:t>
      </w:r>
      <w:r w:rsidR="00AF056D" w:rsidRPr="00FD0BA1">
        <w:rPr>
          <w:noProof/>
          <w:lang w:val="id-ID"/>
        </w:rPr>
        <w:t xml:space="preserve">Kapabilitas sistem informasi </w:t>
      </w:r>
    </w:p>
    <w:p w14:paraId="36315BB6" w14:textId="77777777" w:rsidR="000615CB" w:rsidRPr="00FD0BA1" w:rsidRDefault="007D6D21" w:rsidP="00D551DC">
      <w:pPr>
        <w:numPr>
          <w:ilvl w:val="0"/>
          <w:numId w:val="26"/>
        </w:numPr>
        <w:ind w:left="1701" w:hanging="567"/>
        <w:contextualSpacing/>
        <w:jc w:val="both"/>
        <w:rPr>
          <w:noProof/>
          <w:lang w:val="id-ID"/>
        </w:rPr>
      </w:pPr>
      <w:r w:rsidRPr="00FD0BA1">
        <w:rPr>
          <w:noProof/>
          <w:lang w:val="id-ID"/>
        </w:rPr>
        <w:t xml:space="preserve"> </w:t>
      </w:r>
      <w:r w:rsidR="00AF056D" w:rsidRPr="00FD0BA1">
        <w:rPr>
          <w:noProof/>
          <w:lang w:val="id-ID"/>
        </w:rPr>
        <w:t xml:space="preserve">Lebih lanjut, mekanisme dan tata cara pengajuan izin mendirikan usaha penyedia jasa pembayaran adalah sebagai berikut: </w:t>
      </w:r>
    </w:p>
    <w:p w14:paraId="1E981961" w14:textId="77777777" w:rsidR="00193779" w:rsidRDefault="00AF056D" w:rsidP="00D551DC">
      <w:pPr>
        <w:pStyle w:val="ListParagraph"/>
        <w:numPr>
          <w:ilvl w:val="3"/>
          <w:numId w:val="7"/>
        </w:numPr>
        <w:ind w:left="2268" w:hanging="567"/>
        <w:jc w:val="both"/>
        <w:rPr>
          <w:noProof/>
          <w:lang w:val="id-ID"/>
        </w:rPr>
      </w:pPr>
      <w:r w:rsidRPr="00FD0BA1">
        <w:rPr>
          <w:noProof/>
          <w:lang w:val="id-ID"/>
        </w:rPr>
        <w:t xml:space="preserve">Pihak yang mengajukan permohonan izin sebagai PJP harus (Pasal 30 PBI No. 23/2021): mematuhi mekanisme dan tata cara pengajuan izin yang ditetapkan oleh Bank Indonesia; melakukan asesmen mandiri </w:t>
      </w:r>
      <w:r w:rsidRPr="00FD0BA1">
        <w:rPr>
          <w:i/>
          <w:iCs/>
          <w:noProof/>
          <w:lang w:val="id-ID"/>
        </w:rPr>
        <w:t>(self-assessment)</w:t>
      </w:r>
      <w:r w:rsidRPr="00FD0BA1">
        <w:rPr>
          <w:noProof/>
          <w:lang w:val="id-ID"/>
        </w:rPr>
        <w:t xml:space="preserve"> dalam pemenuhan kelengkapan dokumen persyaratan perizinan; dan Menyampaikan dokumen persyaratan perizinan terkait aspek perizinan yang diminta oleh Bank Indonesia. Mekanisme dan tata cara pengajuan izin dilakukan melalui sistem elektronik sesuai dengan PBI mengenai perizinan terpadu Bank Indonesia melalui </w:t>
      </w:r>
      <w:r w:rsidRPr="00FD0BA1">
        <w:rPr>
          <w:i/>
          <w:iCs/>
          <w:noProof/>
          <w:lang w:val="id-ID"/>
        </w:rPr>
        <w:t>front office</w:t>
      </w:r>
      <w:r w:rsidRPr="00FD0BA1">
        <w:rPr>
          <w:noProof/>
          <w:lang w:val="id-ID"/>
        </w:rPr>
        <w:t xml:space="preserve"> perizinan </w:t>
      </w:r>
      <w:r w:rsidRPr="00FD0BA1">
        <w:rPr>
          <w:noProof/>
          <w:lang w:val="id-ID"/>
        </w:rPr>
        <w:lastRenderedPageBreak/>
        <w:t xml:space="preserve">(Pasal 31 PBI No. 23/2021). Bank Indonesia melakukan penelitian pemenuhan persyaratan perizinan PJP dan akan melakukan pemeriksaan lapangan bagi calon PJP atau tidak melakukan pemeriksaan lapangan karena kondisi tertentu dengan meminta dokumen tambahan yang menunjukkan kesiapan operasional (Pasal 33 PBI No. 23/2021). </w:t>
      </w:r>
    </w:p>
    <w:p w14:paraId="4C1263EC" w14:textId="77777777" w:rsidR="00B856FB" w:rsidRPr="00193779" w:rsidRDefault="00AF056D" w:rsidP="00D551DC">
      <w:pPr>
        <w:pStyle w:val="ListParagraph"/>
        <w:numPr>
          <w:ilvl w:val="3"/>
          <w:numId w:val="7"/>
        </w:numPr>
        <w:ind w:left="2268" w:hanging="567"/>
        <w:jc w:val="both"/>
        <w:rPr>
          <w:noProof/>
          <w:lang w:val="id-ID"/>
        </w:rPr>
      </w:pPr>
      <w:r w:rsidRPr="00193779">
        <w:rPr>
          <w:noProof/>
          <w:lang w:val="id-ID"/>
        </w:rPr>
        <w:t>Apabila semua mekanisme dan tata cara pengajuan izin di atas telah terpenuhi, maka Bank Indonesia akan memberikan izin bagi PJP (Pasal 41 PBI No. 23/2021). PJP yang telah memperoleh izin harus menyelenggarakan aktivitasnya paling lambat 120 hari kerja sejak tanggal surat pemberian izin dari Bank Indonesia (Pasal 42 ayat (1) PBI No. 23/2021). Bank Indonesia mencantumkan daftar nama Bank dan Lembaga Selain Bank yang telah memperoleh izin dan telah efektif melakukan aktivitas sebagai PJP dalam laman Bank Indonesia (Pasal 43 PBI No. 23/2021).</w:t>
      </w:r>
      <w:r w:rsidR="000615CB" w:rsidRPr="00FD0BA1">
        <w:rPr>
          <w:rStyle w:val="FootnoteReference"/>
          <w:noProof/>
          <w:lang w:val="id-ID"/>
        </w:rPr>
        <w:footnoteReference w:id="15"/>
      </w:r>
    </w:p>
    <w:p w14:paraId="78902BB9" w14:textId="77777777" w:rsidR="00B856FB" w:rsidRPr="00A86126" w:rsidRDefault="00B856FB" w:rsidP="00734FEC">
      <w:pPr>
        <w:contextualSpacing/>
        <w:rPr>
          <w:noProof/>
          <w:lang w:val="id-ID"/>
        </w:rPr>
      </w:pPr>
    </w:p>
    <w:p w14:paraId="4DEA53FD" w14:textId="77777777" w:rsidR="00B856FB" w:rsidRPr="00A86126" w:rsidRDefault="00B856FB" w:rsidP="00734FEC">
      <w:pPr>
        <w:contextualSpacing/>
        <w:rPr>
          <w:noProof/>
          <w:lang w:val="id-ID"/>
        </w:rPr>
      </w:pPr>
    </w:p>
    <w:p w14:paraId="5B2BF3BB" w14:textId="371436CC" w:rsidR="00D462B4" w:rsidRPr="00A86126" w:rsidRDefault="00D462B4" w:rsidP="00DE7D66">
      <w:pPr>
        <w:pStyle w:val="Heading1"/>
        <w:contextualSpacing/>
        <w:jc w:val="left"/>
        <w:rPr>
          <w:noProof/>
          <w:lang w:val="id-ID"/>
        </w:rPr>
      </w:pPr>
    </w:p>
    <w:sectPr w:rsidR="00D462B4" w:rsidRPr="00A86126" w:rsidSect="00F906CB">
      <w:headerReference w:type="default" r:id="rId8"/>
      <w:footerReference w:type="default" r:id="rId9"/>
      <w:footerReference w:type="first" r:id="rId10"/>
      <w:pgSz w:w="11906" w:h="16838" w:code="9"/>
      <w:pgMar w:top="2268" w:right="1701" w:bottom="1701" w:left="2268" w:header="15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680F" w14:textId="77777777" w:rsidR="00453DB4" w:rsidRDefault="00453DB4" w:rsidP="00A36A44">
      <w:pPr>
        <w:spacing w:line="240" w:lineRule="auto"/>
      </w:pPr>
      <w:r>
        <w:separator/>
      </w:r>
    </w:p>
  </w:endnote>
  <w:endnote w:type="continuationSeparator" w:id="0">
    <w:p w14:paraId="680693CB" w14:textId="77777777" w:rsidR="00453DB4" w:rsidRDefault="00453DB4" w:rsidP="00A3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8895" w14:textId="77777777" w:rsidR="00452978" w:rsidRDefault="00452978">
    <w:pPr>
      <w:pStyle w:val="Footer"/>
      <w:jc w:val="center"/>
    </w:pPr>
  </w:p>
  <w:p w14:paraId="3E8E7FF0" w14:textId="77777777" w:rsidR="00452978" w:rsidRDefault="00452978" w:rsidP="00B504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C8BD" w14:textId="77777777" w:rsidR="00452978" w:rsidRDefault="00452978">
    <w:pPr>
      <w:pStyle w:val="Footer"/>
      <w:jc w:val="center"/>
    </w:pPr>
    <w:r>
      <w:fldChar w:fldCharType="begin"/>
    </w:r>
    <w:r>
      <w:instrText xml:space="preserve"> PAGE   \* MERGEFORMAT </w:instrText>
    </w:r>
    <w:r>
      <w:fldChar w:fldCharType="separate"/>
    </w:r>
    <w:r w:rsidR="00F906CB">
      <w:rPr>
        <w:noProof/>
      </w:rPr>
      <w:t>75</w:t>
    </w:r>
    <w:r>
      <w:fldChar w:fldCharType="end"/>
    </w:r>
  </w:p>
  <w:p w14:paraId="65E3CDE7" w14:textId="77777777" w:rsidR="00452978" w:rsidRDefault="0045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3E01" w14:textId="77777777" w:rsidR="00453DB4" w:rsidRDefault="00453DB4" w:rsidP="00A36A44">
      <w:pPr>
        <w:spacing w:line="240" w:lineRule="auto"/>
      </w:pPr>
      <w:r>
        <w:separator/>
      </w:r>
    </w:p>
  </w:footnote>
  <w:footnote w:type="continuationSeparator" w:id="0">
    <w:p w14:paraId="489F4360" w14:textId="77777777" w:rsidR="00453DB4" w:rsidRDefault="00453DB4" w:rsidP="00A36A44">
      <w:pPr>
        <w:spacing w:line="240" w:lineRule="auto"/>
      </w:pPr>
      <w:r>
        <w:continuationSeparator/>
      </w:r>
    </w:p>
  </w:footnote>
  <w:footnote w:id="1">
    <w:p w14:paraId="55589483" w14:textId="77777777" w:rsidR="00831DE4" w:rsidRDefault="00146440">
      <w:pPr>
        <w:pStyle w:val="FootnoteText"/>
      </w:pPr>
      <w:r>
        <w:rPr>
          <w:rStyle w:val="FootnoteReference"/>
        </w:rPr>
        <w:footnoteRef/>
      </w:r>
      <w:r>
        <w:t xml:space="preserve"> </w:t>
      </w:r>
      <w:r w:rsidR="0028361D" w:rsidRPr="0028361D">
        <w:t>Kuncoro,</w:t>
      </w:r>
      <w:r w:rsidR="0028361D">
        <w:t xml:space="preserve"> </w:t>
      </w:r>
      <w:r w:rsidR="0028361D" w:rsidRPr="0028361D">
        <w:t>Mudrajad</w:t>
      </w:r>
      <w:r w:rsidR="0028361D">
        <w:t xml:space="preserve"> dan </w:t>
      </w:r>
      <w:r w:rsidR="0028361D" w:rsidRPr="0028361D">
        <w:t>Suhardjono</w:t>
      </w:r>
      <w:r w:rsidRPr="00744F53">
        <w:rPr>
          <w:iCs/>
          <w:noProof/>
          <w:lang w:val="id-ID"/>
        </w:rPr>
        <w:t xml:space="preserve">, </w:t>
      </w:r>
      <w:r>
        <w:rPr>
          <w:i/>
          <w:noProof/>
          <w:lang w:val="en-US"/>
        </w:rPr>
        <w:t>Manajemen Perbankan</w:t>
      </w:r>
      <w:r w:rsidRPr="00744F53">
        <w:rPr>
          <w:i/>
          <w:noProof/>
          <w:lang w:val="id-ID"/>
        </w:rPr>
        <w:t xml:space="preserve">, </w:t>
      </w:r>
      <w:r w:rsidR="007F71FA">
        <w:rPr>
          <w:i/>
          <w:noProof/>
          <w:lang w:val="en-US"/>
        </w:rPr>
        <w:t xml:space="preserve">Teori dan Aplikasi, </w:t>
      </w:r>
      <w:r>
        <w:rPr>
          <w:iCs/>
          <w:noProof/>
          <w:lang w:val="en-US"/>
        </w:rPr>
        <w:t>Yogyakarta</w:t>
      </w:r>
      <w:r>
        <w:rPr>
          <w:iCs/>
          <w:noProof/>
          <w:lang w:val="id-ID"/>
        </w:rPr>
        <w:t xml:space="preserve">: </w:t>
      </w:r>
      <w:r w:rsidR="0028361D">
        <w:rPr>
          <w:iCs/>
          <w:noProof/>
          <w:lang w:val="en-US"/>
        </w:rPr>
        <w:t>BPFE</w:t>
      </w:r>
      <w:r w:rsidRPr="00744F53">
        <w:rPr>
          <w:iCs/>
          <w:noProof/>
          <w:lang w:val="id-ID"/>
        </w:rPr>
        <w:t>, 201</w:t>
      </w:r>
      <w:r w:rsidR="0028361D">
        <w:rPr>
          <w:iCs/>
          <w:noProof/>
          <w:lang w:val="en-US"/>
        </w:rPr>
        <w:t>0</w:t>
      </w:r>
      <w:r w:rsidRPr="00744F53">
        <w:rPr>
          <w:iCs/>
          <w:noProof/>
          <w:lang w:val="id-ID"/>
        </w:rPr>
        <w:t xml:space="preserve">, hlm. </w:t>
      </w:r>
      <w:r w:rsidR="0028361D">
        <w:rPr>
          <w:iCs/>
          <w:noProof/>
          <w:lang w:val="en-US"/>
        </w:rPr>
        <w:t>68</w:t>
      </w:r>
    </w:p>
    <w:bookmarkStart w:id="3" w:name="_Hlk107591115"/>
    <w:bookmarkEnd w:id="3"/>
  </w:footnote>
  <w:footnote w:id="2">
    <w:p w14:paraId="42465708" w14:textId="77777777" w:rsidR="00831DE4" w:rsidRDefault="00510472" w:rsidP="00510472">
      <w:pPr>
        <w:pStyle w:val="FootnoteText"/>
        <w:ind w:firstLine="567"/>
        <w:contextualSpacing/>
        <w:jc w:val="both"/>
      </w:pPr>
      <w:bookmarkStart w:id="4" w:name="_Hlk107591115"/>
      <w:bookmarkEnd w:id="4"/>
      <w:r>
        <w:rPr>
          <w:rStyle w:val="FootnoteReference"/>
        </w:rPr>
        <w:footnoteRef/>
      </w:r>
      <w:r>
        <w:t xml:space="preserve"> </w:t>
      </w:r>
      <w:r w:rsidRPr="00510472">
        <w:rPr>
          <w:noProof/>
          <w:color w:val="000000" w:themeColor="text1"/>
          <w:lang w:val="id-ID"/>
        </w:rPr>
        <w:t>Abdurrachman</w:t>
      </w:r>
      <w:r>
        <w:t xml:space="preserve">, </w:t>
      </w:r>
      <w:r w:rsidRPr="00510472">
        <w:rPr>
          <w:i/>
          <w:iCs/>
        </w:rPr>
        <w:t>Ensiklopedia Ekonomi Keuangan Perbankan</w:t>
      </w:r>
      <w:r>
        <w:t xml:space="preserve">, </w:t>
      </w:r>
      <w:r w:rsidRPr="00510472">
        <w:t>Jakarta: PT. Pradya Paramitya</w:t>
      </w:r>
      <w:r>
        <w:t xml:space="preserve">, </w:t>
      </w:r>
      <w:r w:rsidRPr="00510472">
        <w:t>2014</w:t>
      </w:r>
      <w:r>
        <w:t>, hlm 6.</w:t>
      </w:r>
    </w:p>
  </w:footnote>
  <w:footnote w:id="3">
    <w:p w14:paraId="1F85A7E6" w14:textId="77777777" w:rsidR="00831DE4" w:rsidRDefault="00823C42" w:rsidP="00823C42">
      <w:pPr>
        <w:pStyle w:val="FootnoteText"/>
        <w:ind w:firstLine="567"/>
        <w:contextualSpacing/>
        <w:jc w:val="both"/>
      </w:pPr>
      <w:r>
        <w:rPr>
          <w:rStyle w:val="FootnoteReference"/>
        </w:rPr>
        <w:footnoteRef/>
      </w:r>
      <w:r>
        <w:t xml:space="preserve"> </w:t>
      </w:r>
      <w:r w:rsidRPr="00823C42">
        <w:rPr>
          <w:noProof/>
          <w:color w:val="000000" w:themeColor="text1"/>
          <w:lang w:val="id-ID"/>
        </w:rPr>
        <w:t>Chatamarrasjid</w:t>
      </w:r>
      <w:r>
        <w:rPr>
          <w:sz w:val="24"/>
        </w:rPr>
        <w:t xml:space="preserve">, </w:t>
      </w:r>
      <w:r w:rsidRPr="00823C42">
        <w:rPr>
          <w:i/>
          <w:iCs/>
          <w:noProof/>
          <w:color w:val="000000" w:themeColor="text1"/>
          <w:lang w:val="id-ID"/>
        </w:rPr>
        <w:t>Hukum Perbankan Nasional Indonesia</w:t>
      </w:r>
      <w:r w:rsidRPr="00823C42">
        <w:rPr>
          <w:noProof/>
          <w:color w:val="000000" w:themeColor="text1"/>
          <w:lang w:val="id-ID"/>
        </w:rPr>
        <w:t>, Jakarta: Prenada Media Group, 2005, hlm 39</w:t>
      </w:r>
      <w:r>
        <w:rPr>
          <w:sz w:val="24"/>
        </w:rPr>
        <w:t>.</w:t>
      </w:r>
    </w:p>
  </w:footnote>
  <w:footnote w:id="4">
    <w:p w14:paraId="6586DBCC" w14:textId="77777777" w:rsidR="00831DE4"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r w:rsidRPr="00744F53">
        <w:rPr>
          <w:noProof/>
          <w:color w:val="000000" w:themeColor="text1"/>
          <w:lang w:val="id-ID"/>
        </w:rPr>
        <w:t>Ketut Rindjin</w:t>
      </w:r>
      <w:r w:rsidRPr="00744F53">
        <w:rPr>
          <w:iCs/>
          <w:noProof/>
          <w:lang w:val="id-ID"/>
        </w:rPr>
        <w:t xml:space="preserve">, </w:t>
      </w:r>
      <w:r w:rsidRPr="00744F53">
        <w:rPr>
          <w:i/>
          <w:noProof/>
          <w:lang w:val="id-ID"/>
        </w:rPr>
        <w:t xml:space="preserve">Pengantar Perbankan dan Lembaga Keuangan Bukan Bank, </w:t>
      </w:r>
      <w:r w:rsidRPr="00744F53">
        <w:rPr>
          <w:iCs/>
          <w:noProof/>
          <w:lang w:val="id-ID"/>
        </w:rPr>
        <w:t>Jakarta : Gramedia Pustaka Utama, 2012, hlm. 13</w:t>
      </w:r>
    </w:p>
  </w:footnote>
  <w:footnote w:id="5">
    <w:p w14:paraId="01AB18A0" w14:textId="77777777" w:rsidR="00831DE4"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r w:rsidRPr="00744F53">
        <w:rPr>
          <w:noProof/>
          <w:color w:val="000000" w:themeColor="text1"/>
          <w:lang w:val="id-ID"/>
        </w:rPr>
        <w:t>Kasmir</w:t>
      </w:r>
      <w:r w:rsidRPr="00744F53">
        <w:rPr>
          <w:iCs/>
          <w:noProof/>
          <w:lang w:val="id-ID"/>
        </w:rPr>
        <w:t xml:space="preserve">, </w:t>
      </w:r>
      <w:r>
        <w:rPr>
          <w:i/>
          <w:noProof/>
          <w:lang w:val="id-ID"/>
        </w:rPr>
        <w:t>Dasar – Dasar Perbankan</w:t>
      </w:r>
      <w:r w:rsidRPr="00744F53">
        <w:rPr>
          <w:i/>
          <w:noProof/>
          <w:lang w:val="id-ID"/>
        </w:rPr>
        <w:t xml:space="preserve">, </w:t>
      </w:r>
      <w:r>
        <w:rPr>
          <w:iCs/>
          <w:noProof/>
          <w:lang w:val="id-ID"/>
        </w:rPr>
        <w:t>Depok: Rajawali</w:t>
      </w:r>
      <w:r>
        <w:rPr>
          <w:iCs/>
          <w:noProof/>
          <w:lang w:val="en-US"/>
        </w:rPr>
        <w:t>P</w:t>
      </w:r>
      <w:r w:rsidRPr="00744F53">
        <w:rPr>
          <w:iCs/>
          <w:noProof/>
          <w:lang w:val="id-ID"/>
        </w:rPr>
        <w:t>ers, 2012, hlm. 3</w:t>
      </w:r>
    </w:p>
  </w:footnote>
  <w:footnote w:id="6">
    <w:p w14:paraId="1BDC5ABD" w14:textId="77777777" w:rsidR="00831DE4" w:rsidRDefault="00452978" w:rsidP="00FD741E">
      <w:pPr>
        <w:pStyle w:val="FootnoteText"/>
        <w:ind w:firstLine="567"/>
        <w:contextualSpacing/>
        <w:jc w:val="both"/>
      </w:pPr>
      <w:r>
        <w:rPr>
          <w:rStyle w:val="FootnoteReference"/>
        </w:rPr>
        <w:footnoteRef/>
      </w:r>
      <w:r>
        <w:t xml:space="preserve"> </w:t>
      </w:r>
      <w:bookmarkStart w:id="5" w:name="_Hlk107588742"/>
      <w:r w:rsidR="00FD741E">
        <w:rPr>
          <w:sz w:val="19"/>
          <w:szCs w:val="19"/>
        </w:rPr>
        <w:t xml:space="preserve">Herman Darmawi, </w:t>
      </w:r>
      <w:r w:rsidR="00FD741E">
        <w:rPr>
          <w:rFonts w:ascii="Times New Roman Italic" w:hAnsi="Times New Roman Italic" w:cs="Times New Roman Italic"/>
          <w:i/>
          <w:iCs/>
          <w:sz w:val="19"/>
          <w:szCs w:val="19"/>
        </w:rPr>
        <w:t>Manajemen Perbankan</w:t>
      </w:r>
      <w:r w:rsidR="00FD741E">
        <w:rPr>
          <w:sz w:val="19"/>
          <w:szCs w:val="19"/>
        </w:rPr>
        <w:t>, Jakarta: Bumi Aksara, 2012, hlm. 36</w:t>
      </w:r>
      <w:bookmarkEnd w:id="5"/>
    </w:p>
  </w:footnote>
  <w:footnote w:id="7">
    <w:p w14:paraId="6F91C95F" w14:textId="77777777" w:rsidR="00452978" w:rsidRPr="00744F53" w:rsidRDefault="00452978" w:rsidP="001C008C">
      <w:pPr>
        <w:pStyle w:val="FootnoteText"/>
        <w:ind w:firstLine="567"/>
        <w:contextualSpacing/>
        <w:jc w:val="both"/>
        <w:rPr>
          <w:noProof/>
          <w:lang w:val="id-ID"/>
        </w:rPr>
      </w:pPr>
      <w:r w:rsidRPr="00744F53">
        <w:rPr>
          <w:rStyle w:val="FootnoteReference"/>
          <w:noProof/>
          <w:lang w:val="id-ID"/>
        </w:rPr>
        <w:footnoteRef/>
      </w:r>
      <w:r w:rsidRPr="00744F53">
        <w:rPr>
          <w:noProof/>
          <w:lang w:val="id-ID"/>
        </w:rPr>
        <w:t xml:space="preserve"> Sumartik dan Hariasih, Misti, </w:t>
      </w:r>
      <w:r w:rsidRPr="00744F53">
        <w:rPr>
          <w:i/>
          <w:iCs/>
          <w:noProof/>
          <w:lang w:val="id-ID"/>
        </w:rPr>
        <w:t xml:space="preserve">Buku Ajar: Manajemen Perbankan, </w:t>
      </w:r>
      <w:r w:rsidRPr="00744F53">
        <w:rPr>
          <w:noProof/>
          <w:lang w:val="id-ID"/>
        </w:rPr>
        <w:t>Sidoarjo</w:t>
      </w:r>
      <w:r>
        <w:rPr>
          <w:noProof/>
          <w:lang w:val="en-US"/>
        </w:rPr>
        <w:t>:</w:t>
      </w:r>
      <w:r w:rsidRPr="00744F53">
        <w:rPr>
          <w:noProof/>
          <w:lang w:val="id-ID"/>
        </w:rPr>
        <w:t> UMSIDA Press, 2018, hlm 14</w:t>
      </w:r>
    </w:p>
    <w:p w14:paraId="46E721A5" w14:textId="77777777" w:rsidR="00831DE4" w:rsidRDefault="00831DE4" w:rsidP="001C008C">
      <w:pPr>
        <w:pStyle w:val="FootnoteText"/>
        <w:ind w:firstLine="567"/>
        <w:contextualSpacing/>
        <w:jc w:val="both"/>
      </w:pPr>
    </w:p>
  </w:footnote>
  <w:footnote w:id="8">
    <w:p w14:paraId="2C029295" w14:textId="77777777" w:rsidR="00831DE4"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Undang Undang No.10 Tahun 1998. </w:t>
      </w:r>
      <w:r w:rsidRPr="00744F53">
        <w:rPr>
          <w:i/>
          <w:iCs/>
          <w:noProof/>
          <w:lang w:val="id-ID"/>
        </w:rPr>
        <w:t>Tentang Perbankan.</w:t>
      </w:r>
    </w:p>
  </w:footnote>
  <w:footnote w:id="9">
    <w:p w14:paraId="79BE1739" w14:textId="77777777" w:rsidR="00831DE4"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Rendra Topan. </w:t>
      </w:r>
      <w:r>
        <w:rPr>
          <w:noProof/>
          <w:lang w:val="en-US"/>
        </w:rPr>
        <w:t>“</w:t>
      </w:r>
      <w:r w:rsidRPr="00744F53">
        <w:rPr>
          <w:noProof/>
          <w:lang w:val="id-ID"/>
        </w:rPr>
        <w:t>Produk Bank</w:t>
      </w:r>
      <w:r>
        <w:rPr>
          <w:noProof/>
          <w:lang w:val="en-US"/>
        </w:rPr>
        <w:t>”</w:t>
      </w:r>
      <w:r w:rsidRPr="00744F53">
        <w:rPr>
          <w:noProof/>
          <w:lang w:val="id-ID"/>
        </w:rPr>
        <w:t xml:space="preserve">. </w:t>
      </w:r>
      <w:r>
        <w:rPr>
          <w:noProof/>
          <w:lang w:val="en-US"/>
        </w:rPr>
        <w:t xml:space="preserve">Terbit tanggal </w:t>
      </w:r>
      <w:r w:rsidRPr="00744F53">
        <w:rPr>
          <w:noProof/>
          <w:lang w:val="id-ID"/>
        </w:rPr>
        <w:t xml:space="preserve">8 September 2021. Di akses melalui </w:t>
      </w:r>
      <w:r w:rsidRPr="00BB6528">
        <w:rPr>
          <w:noProof/>
          <w:lang w:val="id-ID"/>
        </w:rPr>
        <w:t>https://rendratopan.com/2021/09/08/produk-bank/</w:t>
      </w:r>
      <w:r w:rsidRPr="00744F53">
        <w:rPr>
          <w:noProof/>
          <w:lang w:val="id-ID"/>
        </w:rPr>
        <w:t xml:space="preserve"> pada tanggal 4 April 2022</w:t>
      </w:r>
    </w:p>
  </w:footnote>
  <w:footnote w:id="10">
    <w:p w14:paraId="0C8DCF49" w14:textId="77777777" w:rsidR="00452978" w:rsidRPr="00744F53" w:rsidRDefault="00452978" w:rsidP="001C008C">
      <w:pPr>
        <w:pStyle w:val="FootnoteText"/>
        <w:ind w:firstLine="567"/>
        <w:contextualSpacing/>
        <w:jc w:val="both"/>
        <w:rPr>
          <w:noProof/>
          <w:lang w:val="id-ID"/>
        </w:rPr>
      </w:pPr>
      <w:r w:rsidRPr="00744F53">
        <w:rPr>
          <w:rStyle w:val="FootnoteReference"/>
          <w:noProof/>
          <w:lang w:val="id-ID"/>
        </w:rPr>
        <w:footnoteRef/>
      </w:r>
      <w:r w:rsidRPr="00744F53">
        <w:rPr>
          <w:noProof/>
          <w:lang w:val="id-ID"/>
        </w:rPr>
        <w:t xml:space="preserve"> Bank Indonesia. Dasar Hukum. Diakses melalui  </w:t>
      </w:r>
      <w:hyperlink r:id="rId1" w:history="1">
        <w:r w:rsidRPr="00744F53">
          <w:rPr>
            <w:rStyle w:val="Hyperlink"/>
            <w:noProof/>
            <w:lang w:val="id-ID"/>
          </w:rPr>
          <w:t>https://www.bi.go.id/id/informasi-publik/dasar-hukum/Default.aspx</w:t>
        </w:r>
      </w:hyperlink>
      <w:r w:rsidRPr="00744F53">
        <w:rPr>
          <w:noProof/>
          <w:lang w:val="id-ID"/>
        </w:rPr>
        <w:t xml:space="preserve"> pada tanggal 4 April 2022</w:t>
      </w:r>
    </w:p>
    <w:p w14:paraId="3755D473" w14:textId="77777777" w:rsidR="00831DE4" w:rsidRDefault="00831DE4" w:rsidP="001C008C">
      <w:pPr>
        <w:pStyle w:val="FootnoteText"/>
        <w:ind w:firstLine="567"/>
        <w:contextualSpacing/>
        <w:jc w:val="both"/>
      </w:pPr>
    </w:p>
  </w:footnote>
  <w:footnote w:id="11">
    <w:p w14:paraId="72C40AB4" w14:textId="77777777" w:rsidR="00831DE4" w:rsidRDefault="00452978" w:rsidP="00BB6528">
      <w:pPr>
        <w:pStyle w:val="FootnoteText"/>
        <w:ind w:firstLine="567"/>
        <w:contextualSpacing/>
        <w:jc w:val="both"/>
      </w:pPr>
      <w:r w:rsidRPr="00744F53">
        <w:rPr>
          <w:rStyle w:val="FootnoteReference"/>
          <w:noProof/>
          <w:lang w:val="id-ID"/>
        </w:rPr>
        <w:footnoteRef/>
      </w:r>
      <w:r w:rsidRPr="00744F53">
        <w:rPr>
          <w:noProof/>
          <w:lang w:val="id-ID"/>
        </w:rPr>
        <w:t xml:space="preserve"> LPS (Lembaga penjamin Simpanan). 2022. Diakses melalui </w:t>
      </w:r>
      <w:r w:rsidRPr="00BB6528">
        <w:rPr>
          <w:noProof/>
          <w:lang w:val="id-ID"/>
        </w:rPr>
        <w:t>https://www.lps.go.id/uu_23_1999#:~:text=Untuk%20mencapai%20tujuan%20tersebut%2C%20BI,mengatur%20dan%20mengawasi%20bank</w:t>
      </w:r>
      <w:r>
        <w:rPr>
          <w:noProof/>
          <w:lang w:val="id-ID"/>
        </w:rPr>
        <w:t xml:space="preserve"> pada tanggal 4 April 2022</w:t>
      </w:r>
    </w:p>
  </w:footnote>
  <w:footnote w:id="12">
    <w:p w14:paraId="65DB8DCE" w14:textId="77777777" w:rsidR="00831DE4" w:rsidRDefault="00B23EF7" w:rsidP="00F21B2C">
      <w:pPr>
        <w:pStyle w:val="FootnoteText"/>
        <w:ind w:firstLine="567"/>
        <w:contextualSpacing/>
        <w:jc w:val="both"/>
      </w:pPr>
      <w:r>
        <w:rPr>
          <w:rStyle w:val="FootnoteReference"/>
        </w:rPr>
        <w:footnoteRef/>
      </w:r>
      <w:r>
        <w:t xml:space="preserve"> </w:t>
      </w:r>
      <w:r w:rsidR="00F21B2C" w:rsidRPr="00F21B2C">
        <w:t>Pohan,</w:t>
      </w:r>
      <w:r w:rsidR="00F21B2C">
        <w:t xml:space="preserve"> </w:t>
      </w:r>
      <w:r w:rsidR="00F21B2C" w:rsidRPr="00F21B2C">
        <w:rPr>
          <w:noProof/>
          <w:lang w:val="id-ID"/>
        </w:rPr>
        <w:t>Aulia</w:t>
      </w:r>
      <w:r w:rsidR="00F21B2C" w:rsidRPr="00F21B2C">
        <w:t xml:space="preserve"> </w:t>
      </w:r>
      <w:r w:rsidR="00F21B2C" w:rsidRPr="00F21B2C">
        <w:rPr>
          <w:i/>
          <w:iCs/>
        </w:rPr>
        <w:t>Kerangka Kebijakan Moneter dan Implementasiya di Indonesia</w:t>
      </w:r>
      <w:r w:rsidR="00F21B2C">
        <w:t xml:space="preserve">, </w:t>
      </w:r>
      <w:r w:rsidR="00F21B2C" w:rsidRPr="00F21B2C">
        <w:t xml:space="preserve">Jakarta: Rajawali Pers, 2008, hlm. 121  </w:t>
      </w:r>
    </w:p>
  </w:footnote>
  <w:footnote w:id="13">
    <w:p w14:paraId="32DBFFC3" w14:textId="77777777" w:rsidR="00831DE4"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Bank Indonesia. Sistem Pembayaran. Diakses melalui  </w:t>
      </w:r>
      <w:r w:rsidRPr="00BB6528">
        <w:rPr>
          <w:noProof/>
          <w:lang w:val="id-ID"/>
        </w:rPr>
        <w:t xml:space="preserve"> https://www.bi.go.id/id/bi-institute/policy-mix/core/Documents/Sistem%20Pembayaran%20I.pdf</w:t>
      </w:r>
      <w:r w:rsidRPr="00744F53">
        <w:rPr>
          <w:noProof/>
          <w:lang w:val="id-ID"/>
        </w:rPr>
        <w:t xml:space="preserve"> pada tanggal 4 April 2022</w:t>
      </w:r>
    </w:p>
  </w:footnote>
  <w:footnote w:id="14">
    <w:p w14:paraId="3CEFB335" w14:textId="77777777" w:rsidR="00452978" w:rsidRPr="00744F53" w:rsidRDefault="00452978" w:rsidP="001C008C">
      <w:pPr>
        <w:pStyle w:val="FootnoteText"/>
        <w:ind w:firstLine="567"/>
        <w:contextualSpacing/>
        <w:jc w:val="both"/>
        <w:rPr>
          <w:noProof/>
          <w:lang w:val="id-ID"/>
        </w:rPr>
      </w:pPr>
      <w:r w:rsidRPr="00744F53">
        <w:rPr>
          <w:rStyle w:val="FootnoteReference"/>
          <w:noProof/>
          <w:lang w:val="id-ID"/>
        </w:rPr>
        <w:footnoteRef/>
      </w:r>
      <w:r w:rsidRPr="00744F53">
        <w:rPr>
          <w:noProof/>
          <w:lang w:val="id-ID"/>
        </w:rPr>
        <w:t xml:space="preserve"> Bank Indonesia. Rasionalitas Blueprint Sistem Pembayaran Indonesia 2025 .Diakses melalui </w:t>
      </w:r>
      <w:r w:rsidRPr="00443357">
        <w:rPr>
          <w:noProof/>
          <w:lang w:val="id-ID"/>
        </w:rPr>
        <w:t>https://www.bi.go.id/id/publikasi/kajian/Documents/BSPI-Presentasi.pdf</w:t>
      </w:r>
      <w:r w:rsidRPr="00744F53">
        <w:rPr>
          <w:noProof/>
          <w:lang w:val="id-ID"/>
        </w:rPr>
        <w:t xml:space="preserve"> pada tanggal 4 April 2022</w:t>
      </w:r>
    </w:p>
    <w:p w14:paraId="52BACA26" w14:textId="77777777" w:rsidR="00831DE4" w:rsidRDefault="00831DE4" w:rsidP="001C008C">
      <w:pPr>
        <w:pStyle w:val="FootnoteText"/>
        <w:ind w:firstLine="567"/>
        <w:contextualSpacing/>
        <w:jc w:val="both"/>
      </w:pPr>
    </w:p>
  </w:footnote>
  <w:footnote w:id="15">
    <w:p w14:paraId="62EA0219" w14:textId="77777777" w:rsidR="00452978" w:rsidRPr="00744F53" w:rsidRDefault="00452978" w:rsidP="001C008C">
      <w:pPr>
        <w:pStyle w:val="FootnoteText"/>
        <w:ind w:firstLine="567"/>
        <w:contextualSpacing/>
        <w:jc w:val="both"/>
        <w:rPr>
          <w:noProof/>
          <w:lang w:val="id-ID"/>
        </w:rPr>
      </w:pPr>
      <w:r w:rsidRPr="00744F53">
        <w:rPr>
          <w:rStyle w:val="FootnoteReference"/>
          <w:noProof/>
          <w:lang w:val="id-ID"/>
        </w:rPr>
        <w:footnoteRef/>
      </w:r>
      <w:r w:rsidRPr="00744F53">
        <w:rPr>
          <w:noProof/>
          <w:lang w:val="id-ID"/>
        </w:rPr>
        <w:t xml:space="preserve"> Diakses melalui  </w:t>
      </w:r>
      <w:r w:rsidRPr="00193779">
        <w:rPr>
          <w:noProof/>
          <w:lang w:val="id-ID"/>
        </w:rPr>
        <w:t>https://www.bi.go.id/id/informasi-publik/dasar-hukum/Default.aspx</w:t>
      </w:r>
      <w:r w:rsidRPr="00744F53">
        <w:rPr>
          <w:noProof/>
          <w:lang w:val="id-ID"/>
        </w:rPr>
        <w:t xml:space="preserve"> pada tanggal 4 April 2022</w:t>
      </w:r>
    </w:p>
    <w:p w14:paraId="465F614F" w14:textId="77777777" w:rsidR="00831DE4" w:rsidRDefault="00831DE4" w:rsidP="001C008C">
      <w:pPr>
        <w:pStyle w:val="FootnoteText"/>
        <w:ind w:firstLine="567"/>
        <w:contextualSpacing/>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4E7" w14:textId="77777777" w:rsidR="00452978" w:rsidRDefault="00452978">
    <w:pPr>
      <w:pStyle w:val="Header"/>
      <w:jc w:val="right"/>
    </w:pPr>
    <w:r>
      <w:fldChar w:fldCharType="begin"/>
    </w:r>
    <w:r>
      <w:instrText xml:space="preserve"> PAGE   \* MERGEFORMAT </w:instrText>
    </w:r>
    <w:r>
      <w:fldChar w:fldCharType="separate"/>
    </w:r>
    <w:r w:rsidR="00F906CB">
      <w:rPr>
        <w:noProof/>
      </w:rPr>
      <w:t>74</w:t>
    </w:r>
    <w:r>
      <w:fldChar w:fldCharType="end"/>
    </w:r>
  </w:p>
  <w:p w14:paraId="779D86F4" w14:textId="77777777" w:rsidR="00452978" w:rsidRDefault="00452978" w:rsidP="00A861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49A"/>
    <w:multiLevelType w:val="hybridMultilevel"/>
    <w:tmpl w:val="FFFFFFFF"/>
    <w:lvl w:ilvl="0" w:tplc="480A2D80">
      <w:start w:val="1"/>
      <w:numFmt w:val="decimal"/>
      <w:lvlText w:val="%1."/>
      <w:lvlJc w:val="left"/>
      <w:pPr>
        <w:ind w:left="1670" w:hanging="360"/>
      </w:pPr>
      <w:rPr>
        <w:rFonts w:ascii="Times New Roman" w:eastAsia="Times New Roman" w:hAnsi="Times New Roman" w:cs="Times New Roman" w:hint="default"/>
        <w:color w:val="auto"/>
        <w:spacing w:val="0"/>
        <w:w w:val="103"/>
        <w:sz w:val="23"/>
        <w:szCs w:val="23"/>
      </w:rPr>
    </w:lvl>
    <w:lvl w:ilvl="1" w:tplc="29F04244">
      <w:numFmt w:val="bullet"/>
      <w:lvlText w:val="•"/>
      <w:lvlJc w:val="left"/>
      <w:pPr>
        <w:ind w:left="2382" w:hanging="360"/>
      </w:pPr>
      <w:rPr>
        <w:rFonts w:hint="default"/>
      </w:rPr>
    </w:lvl>
    <w:lvl w:ilvl="2" w:tplc="A8A8C40E">
      <w:numFmt w:val="bullet"/>
      <w:lvlText w:val="•"/>
      <w:lvlJc w:val="left"/>
      <w:pPr>
        <w:ind w:left="3085" w:hanging="360"/>
      </w:pPr>
      <w:rPr>
        <w:rFonts w:hint="default"/>
      </w:rPr>
    </w:lvl>
    <w:lvl w:ilvl="3" w:tplc="0A189AF6">
      <w:numFmt w:val="bullet"/>
      <w:lvlText w:val="•"/>
      <w:lvlJc w:val="left"/>
      <w:pPr>
        <w:ind w:left="3788" w:hanging="360"/>
      </w:pPr>
      <w:rPr>
        <w:rFonts w:hint="default"/>
      </w:rPr>
    </w:lvl>
    <w:lvl w:ilvl="4" w:tplc="563A60CE">
      <w:numFmt w:val="bullet"/>
      <w:lvlText w:val="•"/>
      <w:lvlJc w:val="left"/>
      <w:pPr>
        <w:ind w:left="4491" w:hanging="360"/>
      </w:pPr>
      <w:rPr>
        <w:rFonts w:hint="default"/>
      </w:rPr>
    </w:lvl>
    <w:lvl w:ilvl="5" w:tplc="5758312A">
      <w:numFmt w:val="bullet"/>
      <w:lvlText w:val="•"/>
      <w:lvlJc w:val="left"/>
      <w:pPr>
        <w:ind w:left="5194" w:hanging="360"/>
      </w:pPr>
      <w:rPr>
        <w:rFonts w:hint="default"/>
      </w:rPr>
    </w:lvl>
    <w:lvl w:ilvl="6" w:tplc="62FE00B6">
      <w:numFmt w:val="bullet"/>
      <w:lvlText w:val="•"/>
      <w:lvlJc w:val="left"/>
      <w:pPr>
        <w:ind w:left="5897" w:hanging="360"/>
      </w:pPr>
      <w:rPr>
        <w:rFonts w:hint="default"/>
      </w:rPr>
    </w:lvl>
    <w:lvl w:ilvl="7" w:tplc="AE9AC016">
      <w:numFmt w:val="bullet"/>
      <w:lvlText w:val="•"/>
      <w:lvlJc w:val="left"/>
      <w:pPr>
        <w:ind w:left="6600" w:hanging="360"/>
      </w:pPr>
      <w:rPr>
        <w:rFonts w:hint="default"/>
      </w:rPr>
    </w:lvl>
    <w:lvl w:ilvl="8" w:tplc="96BE690E">
      <w:numFmt w:val="bullet"/>
      <w:lvlText w:val="•"/>
      <w:lvlJc w:val="left"/>
      <w:pPr>
        <w:ind w:left="7303" w:hanging="360"/>
      </w:pPr>
      <w:rPr>
        <w:rFonts w:hint="default"/>
      </w:rPr>
    </w:lvl>
  </w:abstractNum>
  <w:abstractNum w:abstractNumId="1" w15:restartNumberingAfterBreak="0">
    <w:nsid w:val="0B322C4E"/>
    <w:multiLevelType w:val="multilevel"/>
    <w:tmpl w:val="FFFFFFFF"/>
    <w:lvl w:ilvl="0">
      <w:start w:val="1"/>
      <w:numFmt w:val="lowerLetter"/>
      <w:lvlText w:val="%1)"/>
      <w:lvlJc w:val="left"/>
      <w:pPr>
        <w:ind w:left="720" w:hanging="360"/>
      </w:pPr>
      <w:rPr>
        <w:rFonts w:cs="Times New Roman" w:hint="default"/>
        <w:b w:val="0"/>
        <w:bCs/>
        <w:i w:val="0"/>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Letter"/>
      <w:lvlText w:val="(%3)"/>
      <w:lvlJc w:val="right"/>
      <w:pPr>
        <w:ind w:left="2160" w:hanging="360"/>
      </w:pPr>
      <w:rPr>
        <w:rFonts w:ascii="Times New Roman" w:eastAsia="Times New Roman" w:hAnsi="Times New Roman" w:cs="Times New Roman"/>
        <w:u w:val="none"/>
      </w:rPr>
    </w:lvl>
    <w:lvl w:ilvl="3">
      <w:start w:val="1"/>
      <w:numFmt w:val="lowerLetter"/>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b w:val="0"/>
        <w:bCs w:val="0"/>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 w15:restartNumberingAfterBreak="0">
    <w:nsid w:val="0BB01791"/>
    <w:multiLevelType w:val="hybridMultilevel"/>
    <w:tmpl w:val="FFFFFFFF"/>
    <w:lvl w:ilvl="0" w:tplc="0820093A">
      <w:start w:val="1"/>
      <w:numFmt w:val="lowerLetter"/>
      <w:lvlText w:val="(%1)"/>
      <w:lvlJc w:val="left"/>
      <w:pPr>
        <w:ind w:left="2340" w:hanging="360"/>
      </w:pPr>
      <w:rPr>
        <w:rFonts w:cs="Times New Roman" w:hint="default"/>
        <w:i w:val="0"/>
        <w:i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0C8B69F6"/>
    <w:multiLevelType w:val="hybridMultilevel"/>
    <w:tmpl w:val="FFFFFFFF"/>
    <w:lvl w:ilvl="0" w:tplc="38090019">
      <w:start w:val="1"/>
      <w:numFmt w:val="lowerLetter"/>
      <w:lvlText w:val="%1."/>
      <w:lvlJc w:val="left"/>
      <w:pPr>
        <w:ind w:left="720" w:hanging="360"/>
      </w:pPr>
      <w:rPr>
        <w:rFonts w:cs="Times New Roman" w:hint="default"/>
      </w:rPr>
    </w:lvl>
    <w:lvl w:ilvl="1" w:tplc="D0AC175C">
      <w:start w:val="1"/>
      <w:numFmt w:val="lowerLetter"/>
      <w:lvlText w:val="(%2)"/>
      <w:lvlJc w:val="left"/>
      <w:pPr>
        <w:ind w:left="1440" w:hanging="360"/>
      </w:pPr>
      <w:rPr>
        <w:rFonts w:cs="Times New Roman" w:hint="default"/>
        <w:i w:val="0"/>
      </w:rPr>
    </w:lvl>
    <w:lvl w:ilvl="2" w:tplc="FB7C80BC">
      <w:start w:val="1"/>
      <w:numFmt w:val="decimal"/>
      <w:lvlText w:val="(%3)"/>
      <w:lvlJc w:val="left"/>
      <w:pPr>
        <w:ind w:left="2160" w:hanging="36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372270B"/>
    <w:multiLevelType w:val="hybridMultilevel"/>
    <w:tmpl w:val="FFFFFFFF"/>
    <w:lvl w:ilvl="0" w:tplc="AC18840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27FF3"/>
    <w:multiLevelType w:val="hybridMultilevel"/>
    <w:tmpl w:val="FFFFFFFF"/>
    <w:lvl w:ilvl="0" w:tplc="EB6EA0EA">
      <w:start w:val="1"/>
      <w:numFmt w:val="decimal"/>
      <w:lvlText w:val="(%1)"/>
      <w:lvlJc w:val="left"/>
      <w:pPr>
        <w:ind w:left="720" w:hanging="360"/>
      </w:pPr>
      <w:rPr>
        <w:rFonts w:ascii="Times New Roman" w:eastAsia="Times New Roman" w:hAnsi="Times New Roman" w:cs="Times New Roman"/>
      </w:rPr>
    </w:lvl>
    <w:lvl w:ilvl="1" w:tplc="554814CA">
      <w:start w:val="1"/>
      <w:numFmt w:val="decimal"/>
      <w:lvlText w:val="(%2)"/>
      <w:lvlJc w:val="left"/>
      <w:pPr>
        <w:ind w:left="1515" w:hanging="435"/>
      </w:pPr>
      <w:rPr>
        <w:rFonts w:ascii="Times New Roman" w:eastAsia="Times New Roman" w:hAnsi="Times New Roman" w:cs="Times New Roman"/>
      </w:rPr>
    </w:lvl>
    <w:lvl w:ilvl="2" w:tplc="FFECC5E2">
      <w:start w:val="1"/>
      <w:numFmt w:val="lowerLetter"/>
      <w:lvlText w:val="(%3)"/>
      <w:lvlJc w:val="left"/>
      <w:pPr>
        <w:ind w:left="2205" w:hanging="405"/>
      </w:pPr>
      <w:rPr>
        <w:rFonts w:cs="Times New Roman" w:hint="default"/>
      </w:rPr>
    </w:lvl>
    <w:lvl w:ilvl="3" w:tplc="B712C376">
      <w:start w:val="10"/>
      <w:numFmt w:val="decimal"/>
      <w:lvlText w:val="%4"/>
      <w:lvlJc w:val="left"/>
      <w:pPr>
        <w:ind w:left="2880" w:hanging="360"/>
      </w:pPr>
      <w:rPr>
        <w:rFonts w:cs="Times New Roman" w:hint="default"/>
      </w:rPr>
    </w:lvl>
    <w:lvl w:ilvl="4" w:tplc="B164E63A">
      <w:start w:val="1"/>
      <w:numFmt w:val="decimal"/>
      <w:lvlText w:val="%5)"/>
      <w:lvlJc w:val="left"/>
      <w:pPr>
        <w:ind w:left="3600" w:hanging="360"/>
      </w:pPr>
      <w:rPr>
        <w:rFonts w:cs="Times New Roman"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DB557D6"/>
    <w:multiLevelType w:val="hybridMultilevel"/>
    <w:tmpl w:val="FFFFFFFF"/>
    <w:lvl w:ilvl="0" w:tplc="C01EFA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4F63491"/>
    <w:multiLevelType w:val="hybridMultilevel"/>
    <w:tmpl w:val="FFFFFFFF"/>
    <w:lvl w:ilvl="0" w:tplc="FE1C43D4">
      <w:start w:val="1"/>
      <w:numFmt w:val="decimal"/>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8" w15:restartNumberingAfterBreak="0">
    <w:nsid w:val="29C36419"/>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9" w15:restartNumberingAfterBreak="0">
    <w:nsid w:val="2D8F7B6D"/>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0E91863"/>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1" w15:restartNumberingAfterBreak="0">
    <w:nsid w:val="32720CC9"/>
    <w:multiLevelType w:val="hybridMultilevel"/>
    <w:tmpl w:val="FFFFFFFF"/>
    <w:lvl w:ilvl="0" w:tplc="7554A0BA">
      <w:start w:val="1"/>
      <w:numFmt w:val="upperLetter"/>
      <w:pStyle w:val="Heading2"/>
      <w:lvlText w:val="%1."/>
      <w:lvlJc w:val="left"/>
      <w:rPr>
        <w:rFonts w:cs="Times New Roman" w:hint="default"/>
      </w:rPr>
    </w:lvl>
    <w:lvl w:ilvl="1" w:tplc="97D2F79E">
      <w:start w:val="1"/>
      <w:numFmt w:val="lowerLetter"/>
      <w:lvlText w:val="(%2)"/>
      <w:lvlJc w:val="left"/>
      <w:pPr>
        <w:ind w:left="1455" w:hanging="375"/>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359964CE"/>
    <w:multiLevelType w:val="hybridMultilevel"/>
    <w:tmpl w:val="FFFFFFFF"/>
    <w:lvl w:ilvl="0" w:tplc="33A83CFE">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3" w15:restartNumberingAfterBreak="0">
    <w:nsid w:val="3E3D7546"/>
    <w:multiLevelType w:val="hybridMultilevel"/>
    <w:tmpl w:val="FFFFFFFF"/>
    <w:lvl w:ilvl="0" w:tplc="3809000F">
      <w:start w:val="1"/>
      <w:numFmt w:val="decimal"/>
      <w:lvlText w:val="%1."/>
      <w:lvlJc w:val="left"/>
      <w:pPr>
        <w:ind w:left="720" w:hanging="360"/>
      </w:pPr>
      <w:rPr>
        <w:rFonts w:cs="Times New Roman" w:hint="default"/>
      </w:rPr>
    </w:lvl>
    <w:lvl w:ilvl="1" w:tplc="38090019">
      <w:start w:val="1"/>
      <w:numFmt w:val="lowerLetter"/>
      <w:lvlText w:val="%2."/>
      <w:lvlJc w:val="left"/>
      <w:pPr>
        <w:ind w:left="1440" w:hanging="360"/>
      </w:pPr>
      <w:rPr>
        <w:rFonts w:cs="Times New Roman"/>
      </w:rPr>
    </w:lvl>
    <w:lvl w:ilvl="2" w:tplc="FBCEC274">
      <w:start w:val="1"/>
      <w:numFmt w:val="upperLetter"/>
      <w:lvlText w:val="%3."/>
      <w:lvlJc w:val="left"/>
      <w:pPr>
        <w:ind w:left="2340" w:hanging="360"/>
      </w:pPr>
      <w:rPr>
        <w:rFonts w:cs="Times New Roman" w:hint="default"/>
      </w:rPr>
    </w:lvl>
    <w:lvl w:ilvl="3" w:tplc="197A9B4C">
      <w:start w:val="1"/>
      <w:numFmt w:val="decimal"/>
      <w:lvlText w:val="(%4)"/>
      <w:lvlJc w:val="left"/>
      <w:pPr>
        <w:ind w:left="2880" w:hanging="360"/>
      </w:pPr>
      <w:rPr>
        <w:rFonts w:ascii="Times New Roman" w:eastAsia="Times New Roman" w:hAnsi="Times New Roman"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4" w15:restartNumberingAfterBreak="0">
    <w:nsid w:val="43025569"/>
    <w:multiLevelType w:val="hybridMultilevel"/>
    <w:tmpl w:val="FFFFFFFF"/>
    <w:lvl w:ilvl="0" w:tplc="6DF862D0">
      <w:start w:val="1"/>
      <w:numFmt w:val="lowerLetter"/>
      <w:lvlText w:val="%1."/>
      <w:lvlJc w:val="left"/>
      <w:pPr>
        <w:ind w:left="720" w:hanging="360"/>
      </w:pPr>
      <w:rPr>
        <w:rFonts w:ascii="Times New Roman" w:eastAsia="Times New Roman" w:hAnsi="Times New Roman" w:cs="Times New Roman"/>
      </w:rPr>
    </w:lvl>
    <w:lvl w:ilvl="1" w:tplc="502E74A4">
      <w:start w:val="1"/>
      <w:numFmt w:val="lowerLetter"/>
      <w:lvlText w:val="(%2)"/>
      <w:lvlJc w:val="left"/>
      <w:pPr>
        <w:ind w:left="1440" w:hanging="360"/>
      </w:pPr>
      <w:rPr>
        <w:rFonts w:cs="Times New Roman" w:hint="default"/>
      </w:rPr>
    </w:lvl>
    <w:lvl w:ilvl="2" w:tplc="5C8E232C">
      <w:start w:val="1"/>
      <w:numFmt w:val="lowerLetter"/>
      <w:lvlText w:val="(%3)"/>
      <w:lvlJc w:val="left"/>
      <w:pPr>
        <w:ind w:left="2160" w:hanging="36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64F7EA6"/>
    <w:multiLevelType w:val="hybridMultilevel"/>
    <w:tmpl w:val="FFFFFFFF"/>
    <w:lvl w:ilvl="0" w:tplc="D03E9690">
      <w:start w:val="1"/>
      <w:numFmt w:val="decimal"/>
      <w:pStyle w:val="Heading3"/>
      <w:lvlText w:val="%1."/>
      <w:lvlJc w:val="left"/>
      <w:rPr>
        <w:rFonts w:cs="Times New Roman" w:hint="default"/>
      </w:rPr>
    </w:lvl>
    <w:lvl w:ilvl="1" w:tplc="BDCA9F46">
      <w:start w:val="1"/>
      <w:numFmt w:val="lowerLetter"/>
      <w:lvlText w:val="(%2)"/>
      <w:lvlJc w:val="left"/>
      <w:pPr>
        <w:ind w:left="1440" w:hanging="360"/>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6" w15:restartNumberingAfterBreak="0">
    <w:nsid w:val="47C80189"/>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11F5D35"/>
    <w:multiLevelType w:val="hybridMultilevel"/>
    <w:tmpl w:val="FFFFFFFF"/>
    <w:lvl w:ilvl="0" w:tplc="48B01A82">
      <w:start w:val="1"/>
      <w:numFmt w:val="lowerLetter"/>
      <w:lvlText w:val="%1)"/>
      <w:lvlJc w:val="left"/>
      <w:pPr>
        <w:ind w:left="720" w:hanging="360"/>
      </w:pPr>
      <w:rPr>
        <w:rFonts w:ascii="Times New Roman" w:eastAsia="Times New Roman" w:hAnsi="Times New Roman" w:cs="Times New Roman"/>
      </w:rPr>
    </w:lvl>
    <w:lvl w:ilvl="1" w:tplc="4A38954C">
      <w:start w:val="1"/>
      <w:numFmt w:val="decimal"/>
      <w:lvlText w:val="(%2)"/>
      <w:lvlJc w:val="left"/>
      <w:pPr>
        <w:ind w:left="1455" w:hanging="375"/>
      </w:pPr>
      <w:rPr>
        <w:rFonts w:ascii="Times New Roman" w:eastAsia="Times New Roman" w:hAnsi="Times New Roman" w:cs="Times New Roman"/>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4365D4B"/>
    <w:multiLevelType w:val="hybridMultilevel"/>
    <w:tmpl w:val="FFFFFFFF"/>
    <w:lvl w:ilvl="0" w:tplc="76869856">
      <w:start w:val="1"/>
      <w:numFmt w:val="decimal"/>
      <w:lvlText w:val="%1."/>
      <w:lvlJc w:val="left"/>
      <w:pPr>
        <w:ind w:left="927" w:hanging="360"/>
      </w:pPr>
      <w:rPr>
        <w:rFonts w:cs="Times New Roman" w:hint="default"/>
        <w:w w:val="105"/>
      </w:rPr>
    </w:lvl>
    <w:lvl w:ilvl="1" w:tplc="5D46A60E">
      <w:start w:val="1"/>
      <w:numFmt w:val="decimal"/>
      <w:lvlText w:val="(%2)"/>
      <w:lvlJc w:val="left"/>
      <w:pPr>
        <w:ind w:left="1647" w:hanging="360"/>
      </w:pPr>
      <w:rPr>
        <w:rFonts w:ascii="Times New Roman" w:eastAsia="Times New Roman" w:hAnsi="Times New Roman" w:cs="Times New Roman"/>
      </w:rPr>
    </w:lvl>
    <w:lvl w:ilvl="2" w:tplc="77987088">
      <w:start w:val="1"/>
      <w:numFmt w:val="decimal"/>
      <w:lvlText w:val="%3)"/>
      <w:lvlJc w:val="right"/>
      <w:pPr>
        <w:ind w:left="2367" w:hanging="180"/>
      </w:pPr>
      <w:rPr>
        <w:rFonts w:ascii="Times New Roman" w:eastAsia="Times New Roman" w:hAnsi="Times New Roman"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54767832"/>
    <w:multiLevelType w:val="hybridMultilevel"/>
    <w:tmpl w:val="FFFFFFFF"/>
    <w:lvl w:ilvl="0" w:tplc="38090017">
      <w:start w:val="1"/>
      <w:numFmt w:val="lowerLetter"/>
      <w:lvlText w:val="%1)"/>
      <w:lvlJc w:val="left"/>
      <w:pPr>
        <w:ind w:left="720" w:hanging="360"/>
      </w:pPr>
      <w:rPr>
        <w:rFonts w:cs="Times New Roman" w:hint="default"/>
      </w:rPr>
    </w:lvl>
    <w:lvl w:ilvl="1" w:tplc="9438AD5C">
      <w:start w:val="1"/>
      <w:numFmt w:val="decimal"/>
      <w:lvlText w:val="(%2)"/>
      <w:lvlJc w:val="right"/>
      <w:pPr>
        <w:ind w:left="2547" w:hanging="360"/>
      </w:pPr>
      <w:rPr>
        <w:rFonts w:ascii="Times New Roman" w:eastAsia="Times New Roman" w:hAnsi="Times New Roman" w:cs="Times New Roman"/>
        <w:i w:val="0"/>
      </w:rPr>
    </w:lvl>
    <w:lvl w:ilvl="2" w:tplc="98963468">
      <w:start w:val="1"/>
      <w:numFmt w:val="lowerLetter"/>
      <w:lvlText w:val="(%3)"/>
      <w:lvlJc w:val="left"/>
      <w:pPr>
        <w:ind w:left="2340" w:hanging="360"/>
      </w:pPr>
      <w:rPr>
        <w:rFonts w:cs="Times New Roman" w:hint="default"/>
        <w:i w:val="0"/>
        <w:iCs w:val="0"/>
      </w:rPr>
    </w:lvl>
    <w:lvl w:ilvl="3" w:tplc="CF0EFF86">
      <w:start w:val="1"/>
      <w:numFmt w:val="decimal"/>
      <w:lvlText w:val="%4)"/>
      <w:lvlJc w:val="left"/>
      <w:pPr>
        <w:ind w:left="2880" w:hanging="360"/>
      </w:pPr>
      <w:rPr>
        <w:rFonts w:cs="Times New Roman" w:hint="default"/>
      </w:rPr>
    </w:lvl>
    <w:lvl w:ilvl="4" w:tplc="38090017">
      <w:start w:val="1"/>
      <w:numFmt w:val="lowerLetter"/>
      <w:lvlText w:val="%5)"/>
      <w:lvlJc w:val="left"/>
      <w:pPr>
        <w:ind w:left="720" w:hanging="360"/>
      </w:pPr>
      <w:rPr>
        <w:rFonts w:cs="Times New Roman"/>
      </w:rPr>
    </w:lvl>
    <w:lvl w:ilvl="5" w:tplc="159072DC">
      <w:start w:val="1"/>
      <w:numFmt w:val="decimal"/>
      <w:lvlText w:val="%6."/>
      <w:lvlJc w:val="left"/>
      <w:pPr>
        <w:ind w:left="4500" w:hanging="360"/>
      </w:pPr>
      <w:rPr>
        <w:rFonts w:cs="Times New Roman" w:hint="default"/>
      </w:rPr>
    </w:lvl>
    <w:lvl w:ilvl="6" w:tplc="A35A6008">
      <w:start w:val="1"/>
      <w:numFmt w:val="upperLetter"/>
      <w:lvlText w:val="%7."/>
      <w:lvlJc w:val="left"/>
      <w:pPr>
        <w:ind w:left="5040" w:hanging="360"/>
      </w:pPr>
      <w:rPr>
        <w:rFonts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C0A3C0F"/>
    <w:multiLevelType w:val="hybridMultilevel"/>
    <w:tmpl w:val="FFFFFFFF"/>
    <w:lvl w:ilvl="0" w:tplc="B88A3E0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E9E1B31"/>
    <w:multiLevelType w:val="hybridMultilevel"/>
    <w:tmpl w:val="FFFFFFFF"/>
    <w:lvl w:ilvl="0" w:tplc="1FCE9C6A">
      <w:start w:val="1"/>
      <w:numFmt w:val="decimal"/>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22" w15:restartNumberingAfterBreak="0">
    <w:nsid w:val="62330C78"/>
    <w:multiLevelType w:val="hybridMultilevel"/>
    <w:tmpl w:val="FFFFFFFF"/>
    <w:lvl w:ilvl="0" w:tplc="B88A3E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25A53DE"/>
    <w:multiLevelType w:val="hybridMultilevel"/>
    <w:tmpl w:val="FFFFFFFF"/>
    <w:lvl w:ilvl="0" w:tplc="33A83CFE">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4" w15:restartNumberingAfterBreak="0">
    <w:nsid w:val="625D4735"/>
    <w:multiLevelType w:val="hybridMultilevel"/>
    <w:tmpl w:val="FFFFFFFF"/>
    <w:lvl w:ilvl="0" w:tplc="38090017">
      <w:start w:val="1"/>
      <w:numFmt w:val="lowerLetter"/>
      <w:lvlText w:val="%1)"/>
      <w:lvlJc w:val="left"/>
      <w:pPr>
        <w:ind w:left="720" w:hanging="360"/>
      </w:pPr>
      <w:rPr>
        <w:rFonts w:cs="Times New Roman"/>
      </w:rPr>
    </w:lvl>
    <w:lvl w:ilvl="1" w:tplc="04210003">
      <w:start w:val="1"/>
      <w:numFmt w:val="bullet"/>
      <w:lvlText w:val="o"/>
      <w:lvlJc w:val="left"/>
      <w:pPr>
        <w:ind w:left="1440" w:hanging="360"/>
      </w:pPr>
      <w:rPr>
        <w:rFonts w:ascii="Courier New" w:hAnsi="Courier New" w:hint="default"/>
      </w:rPr>
    </w:lvl>
    <w:lvl w:ilvl="2" w:tplc="7ED8B3CC">
      <w:start w:val="1"/>
      <w:numFmt w:val="lowerLetter"/>
      <w:lvlText w:val="(%3)"/>
      <w:lvlJc w:val="left"/>
      <w:pPr>
        <w:ind w:left="2340" w:hanging="54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5066BBE"/>
    <w:multiLevelType w:val="hybridMultilevel"/>
    <w:tmpl w:val="FFFFFFFF"/>
    <w:lvl w:ilvl="0" w:tplc="61D23C56">
      <w:start w:val="1"/>
      <w:numFmt w:val="lowerLetter"/>
      <w:lvlText w:val="%1."/>
      <w:lvlJc w:val="left"/>
      <w:pPr>
        <w:ind w:left="2034" w:hanging="900"/>
      </w:pPr>
      <w:rPr>
        <w:rFonts w:cs="Times New Roman" w:hint="default"/>
        <w:w w:val="105"/>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6" w15:restartNumberingAfterBreak="0">
    <w:nsid w:val="65F4101B"/>
    <w:multiLevelType w:val="multilevel"/>
    <w:tmpl w:val="FFFFFFFF"/>
    <w:lvl w:ilvl="0">
      <w:start w:val="1"/>
      <w:numFmt w:val="decimal"/>
      <w:lvlText w:val="%1)"/>
      <w:lvlJc w:val="left"/>
      <w:pPr>
        <w:ind w:left="1440" w:hanging="360"/>
      </w:pPr>
      <w:rPr>
        <w:rFonts w:ascii="Times New Roman" w:eastAsia="Times New Roman" w:hAnsi="Times New Roman" w:cs="Times New Roman"/>
        <w:i w:val="0"/>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7" w15:restartNumberingAfterBreak="0">
    <w:nsid w:val="71F21742"/>
    <w:multiLevelType w:val="multilevel"/>
    <w:tmpl w:val="FFFFFFFF"/>
    <w:lvl w:ilvl="0">
      <w:start w:val="10"/>
      <w:numFmt w:val="decimal"/>
      <w:lvlText w:val="%1)"/>
      <w:lvlJc w:val="left"/>
      <w:pPr>
        <w:ind w:left="1440" w:hanging="360"/>
      </w:pPr>
      <w:rPr>
        <w:rFonts w:ascii="Times New Roman" w:eastAsia="Times New Roman" w:hAnsi="Times New Roman" w:cs="Times New Roman" w:hint="default"/>
        <w:u w:val="none"/>
      </w:rPr>
    </w:lvl>
    <w:lvl w:ilvl="1">
      <w:start w:val="1"/>
      <w:numFmt w:val="lowerRoman"/>
      <w:lvlText w:val="%2."/>
      <w:lvlJc w:val="right"/>
      <w:pPr>
        <w:ind w:left="2160" w:hanging="360"/>
      </w:pPr>
      <w:rPr>
        <w:rFonts w:cs="Times New Roman" w:hint="default"/>
        <w:u w:val="none"/>
      </w:rPr>
    </w:lvl>
    <w:lvl w:ilvl="2">
      <w:start w:val="2"/>
      <w:numFmt w:val="decimal"/>
      <w:lvlText w:val="%3."/>
      <w:lvlJc w:val="left"/>
      <w:pPr>
        <w:ind w:left="2880" w:hanging="360"/>
      </w:pPr>
      <w:rPr>
        <w:rFonts w:cs="Times New Roman" w:hint="default"/>
        <w:u w:val="none"/>
      </w:rPr>
    </w:lvl>
    <w:lvl w:ilvl="3">
      <w:start w:val="1"/>
      <w:numFmt w:val="lowerLetter"/>
      <w:lvlText w:val="%4."/>
      <w:lvlJc w:val="left"/>
      <w:pPr>
        <w:ind w:left="3600" w:hanging="360"/>
      </w:pPr>
      <w:rPr>
        <w:rFonts w:cs="Times New Roman" w:hint="default"/>
        <w:u w:val="none"/>
      </w:rPr>
    </w:lvl>
    <w:lvl w:ilvl="4">
      <w:start w:val="1"/>
      <w:numFmt w:val="lowerRoman"/>
      <w:lvlText w:val="%5."/>
      <w:lvlJc w:val="right"/>
      <w:pPr>
        <w:ind w:left="4320" w:hanging="360"/>
      </w:pPr>
      <w:rPr>
        <w:rFonts w:cs="Times New Roman" w:hint="default"/>
        <w:u w:val="none"/>
      </w:rPr>
    </w:lvl>
    <w:lvl w:ilvl="5">
      <w:start w:val="1"/>
      <w:numFmt w:val="decimal"/>
      <w:lvlText w:val="%6)"/>
      <w:lvlJc w:val="left"/>
      <w:pPr>
        <w:ind w:left="5040" w:hanging="360"/>
      </w:pPr>
      <w:rPr>
        <w:rFonts w:cs="Times New Roman" w:hint="default"/>
      </w:rPr>
    </w:lvl>
    <w:lvl w:ilvl="6">
      <w:start w:val="1"/>
      <w:numFmt w:val="lowerLetter"/>
      <w:lvlText w:val="%7."/>
      <w:lvlJc w:val="left"/>
      <w:pPr>
        <w:ind w:left="5760" w:hanging="360"/>
      </w:pPr>
      <w:rPr>
        <w:rFonts w:cs="Times New Roman" w:hint="default"/>
        <w:u w:val="none"/>
      </w:rPr>
    </w:lvl>
    <w:lvl w:ilvl="7">
      <w:start w:val="1"/>
      <w:numFmt w:val="lowerRoman"/>
      <w:lvlText w:val="%8."/>
      <w:lvlJc w:val="right"/>
      <w:pPr>
        <w:ind w:left="6480" w:hanging="360"/>
      </w:pPr>
      <w:rPr>
        <w:rFonts w:cs="Times New Roman" w:hint="default"/>
        <w:u w:val="none"/>
      </w:rPr>
    </w:lvl>
    <w:lvl w:ilvl="8">
      <w:start w:val="1"/>
      <w:numFmt w:val="decimal"/>
      <w:lvlText w:val="%9."/>
      <w:lvlJc w:val="left"/>
      <w:pPr>
        <w:ind w:left="7200" w:hanging="360"/>
      </w:pPr>
      <w:rPr>
        <w:rFonts w:cs="Times New Roman" w:hint="default"/>
        <w:u w:val="none"/>
      </w:rPr>
    </w:lvl>
  </w:abstractNum>
  <w:abstractNum w:abstractNumId="28" w15:restartNumberingAfterBreak="0">
    <w:nsid w:val="72F576C4"/>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9" w15:restartNumberingAfterBreak="0">
    <w:nsid w:val="7ACF1D22"/>
    <w:multiLevelType w:val="hybridMultilevel"/>
    <w:tmpl w:val="FFFFFFFF"/>
    <w:lvl w:ilvl="0" w:tplc="38090019">
      <w:start w:val="1"/>
      <w:numFmt w:val="lowerLetter"/>
      <w:lvlText w:val="%1."/>
      <w:lvlJc w:val="left"/>
      <w:pPr>
        <w:ind w:left="720" w:hanging="360"/>
      </w:pPr>
      <w:rPr>
        <w:rFonts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2088502701">
    <w:abstractNumId w:val="11"/>
  </w:num>
  <w:num w:numId="2" w16cid:durableId="1623346500">
    <w:abstractNumId w:val="11"/>
    <w:lvlOverride w:ilvl="0">
      <w:startOverride w:val="1"/>
    </w:lvlOverride>
  </w:num>
  <w:num w:numId="3" w16cid:durableId="1663509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906897">
    <w:abstractNumId w:val="4"/>
  </w:num>
  <w:num w:numId="5" w16cid:durableId="431438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090564">
    <w:abstractNumId w:val="25"/>
  </w:num>
  <w:num w:numId="7" w16cid:durableId="632059980">
    <w:abstractNumId w:val="13"/>
  </w:num>
  <w:num w:numId="8" w16cid:durableId="1363896304">
    <w:abstractNumId w:val="12"/>
  </w:num>
  <w:num w:numId="9" w16cid:durableId="671110500">
    <w:abstractNumId w:val="23"/>
  </w:num>
  <w:num w:numId="10" w16cid:durableId="677971835">
    <w:abstractNumId w:val="0"/>
  </w:num>
  <w:num w:numId="11" w16cid:durableId="403839399">
    <w:abstractNumId w:val="18"/>
  </w:num>
  <w:num w:numId="12" w16cid:durableId="1294598525">
    <w:abstractNumId w:val="11"/>
    <w:lvlOverride w:ilvl="0">
      <w:startOverride w:val="1"/>
    </w:lvlOverride>
  </w:num>
  <w:num w:numId="13" w16cid:durableId="947659288">
    <w:abstractNumId w:val="28"/>
  </w:num>
  <w:num w:numId="14" w16cid:durableId="995719093">
    <w:abstractNumId w:val="26"/>
  </w:num>
  <w:num w:numId="15" w16cid:durableId="890842430">
    <w:abstractNumId w:val="10"/>
  </w:num>
  <w:num w:numId="16" w16cid:durableId="1851791924">
    <w:abstractNumId w:val="8"/>
  </w:num>
  <w:num w:numId="17" w16cid:durableId="1965113042">
    <w:abstractNumId w:val="1"/>
  </w:num>
  <w:num w:numId="18" w16cid:durableId="1249539882">
    <w:abstractNumId w:val="19"/>
  </w:num>
  <w:num w:numId="19" w16cid:durableId="1252201748">
    <w:abstractNumId w:val="21"/>
  </w:num>
  <w:num w:numId="20" w16cid:durableId="1256747361">
    <w:abstractNumId w:val="7"/>
  </w:num>
  <w:num w:numId="21" w16cid:durableId="2035960627">
    <w:abstractNumId w:val="5"/>
  </w:num>
  <w:num w:numId="22" w16cid:durableId="791480261">
    <w:abstractNumId w:val="29"/>
  </w:num>
  <w:num w:numId="23" w16cid:durableId="907881745">
    <w:abstractNumId w:val="14"/>
  </w:num>
  <w:num w:numId="24" w16cid:durableId="246429137">
    <w:abstractNumId w:val="17"/>
  </w:num>
  <w:num w:numId="25" w16cid:durableId="1299870923">
    <w:abstractNumId w:val="3"/>
  </w:num>
  <w:num w:numId="26" w16cid:durableId="1578902379">
    <w:abstractNumId w:val="24"/>
  </w:num>
  <w:num w:numId="27" w16cid:durableId="2021081096">
    <w:abstractNumId w:val="15"/>
  </w:num>
  <w:num w:numId="28" w16cid:durableId="573317651">
    <w:abstractNumId w:val="2"/>
  </w:num>
  <w:num w:numId="29" w16cid:durableId="1559124948">
    <w:abstractNumId w:val="6"/>
  </w:num>
  <w:num w:numId="30" w16cid:durableId="194005778">
    <w:abstractNumId w:val="22"/>
  </w:num>
  <w:num w:numId="31" w16cid:durableId="1134980120">
    <w:abstractNumId w:val="20"/>
  </w:num>
  <w:num w:numId="32" w16cid:durableId="72568760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5"/>
    <w:rsid w:val="000000B3"/>
    <w:rsid w:val="00005AE0"/>
    <w:rsid w:val="00017706"/>
    <w:rsid w:val="00021DFC"/>
    <w:rsid w:val="00024F8B"/>
    <w:rsid w:val="000259C6"/>
    <w:rsid w:val="000271CD"/>
    <w:rsid w:val="00030542"/>
    <w:rsid w:val="000328FF"/>
    <w:rsid w:val="00036073"/>
    <w:rsid w:val="0004311D"/>
    <w:rsid w:val="00047927"/>
    <w:rsid w:val="00057268"/>
    <w:rsid w:val="00060B01"/>
    <w:rsid w:val="00060DA4"/>
    <w:rsid w:val="000615CB"/>
    <w:rsid w:val="00064EC1"/>
    <w:rsid w:val="000700EE"/>
    <w:rsid w:val="000814D2"/>
    <w:rsid w:val="00082896"/>
    <w:rsid w:val="00090CF4"/>
    <w:rsid w:val="0009134F"/>
    <w:rsid w:val="00092EE1"/>
    <w:rsid w:val="000969FC"/>
    <w:rsid w:val="000A0410"/>
    <w:rsid w:val="000A27A3"/>
    <w:rsid w:val="000B2E6E"/>
    <w:rsid w:val="000B36BB"/>
    <w:rsid w:val="000B656B"/>
    <w:rsid w:val="000B6C53"/>
    <w:rsid w:val="000C1585"/>
    <w:rsid w:val="000D0A22"/>
    <w:rsid w:val="000D52F2"/>
    <w:rsid w:val="000D6045"/>
    <w:rsid w:val="000D7BD2"/>
    <w:rsid w:val="000E3D82"/>
    <w:rsid w:val="000E4FBD"/>
    <w:rsid w:val="000F31AF"/>
    <w:rsid w:val="000F3AF9"/>
    <w:rsid w:val="000F4939"/>
    <w:rsid w:val="001041AD"/>
    <w:rsid w:val="001110EC"/>
    <w:rsid w:val="0011310F"/>
    <w:rsid w:val="00115BAD"/>
    <w:rsid w:val="001168F2"/>
    <w:rsid w:val="0011711C"/>
    <w:rsid w:val="00121ABC"/>
    <w:rsid w:val="00122242"/>
    <w:rsid w:val="00122E4C"/>
    <w:rsid w:val="001235AE"/>
    <w:rsid w:val="001249DB"/>
    <w:rsid w:val="0012505F"/>
    <w:rsid w:val="00126701"/>
    <w:rsid w:val="001279C0"/>
    <w:rsid w:val="00131288"/>
    <w:rsid w:val="0013382D"/>
    <w:rsid w:val="001377A9"/>
    <w:rsid w:val="001406E5"/>
    <w:rsid w:val="00144E10"/>
    <w:rsid w:val="00146440"/>
    <w:rsid w:val="00151C5A"/>
    <w:rsid w:val="0015663F"/>
    <w:rsid w:val="00162F7B"/>
    <w:rsid w:val="00164483"/>
    <w:rsid w:val="00165C3D"/>
    <w:rsid w:val="001704F4"/>
    <w:rsid w:val="00170504"/>
    <w:rsid w:val="001714B1"/>
    <w:rsid w:val="0017312D"/>
    <w:rsid w:val="00176A5E"/>
    <w:rsid w:val="00185DFC"/>
    <w:rsid w:val="00193779"/>
    <w:rsid w:val="001A3AE7"/>
    <w:rsid w:val="001A3DB4"/>
    <w:rsid w:val="001A7436"/>
    <w:rsid w:val="001B393D"/>
    <w:rsid w:val="001B3FA2"/>
    <w:rsid w:val="001B4617"/>
    <w:rsid w:val="001B6A37"/>
    <w:rsid w:val="001C008C"/>
    <w:rsid w:val="001C3243"/>
    <w:rsid w:val="001D05D2"/>
    <w:rsid w:val="001D26FD"/>
    <w:rsid w:val="001D556B"/>
    <w:rsid w:val="001D5BCB"/>
    <w:rsid w:val="001E2226"/>
    <w:rsid w:val="001E2FC4"/>
    <w:rsid w:val="001E7DF1"/>
    <w:rsid w:val="001F2C46"/>
    <w:rsid w:val="001F4F42"/>
    <w:rsid w:val="00204B0F"/>
    <w:rsid w:val="00205EE1"/>
    <w:rsid w:val="002061CC"/>
    <w:rsid w:val="00215482"/>
    <w:rsid w:val="00216709"/>
    <w:rsid w:val="0022144A"/>
    <w:rsid w:val="00221489"/>
    <w:rsid w:val="00223311"/>
    <w:rsid w:val="002269C1"/>
    <w:rsid w:val="00234AF2"/>
    <w:rsid w:val="00242521"/>
    <w:rsid w:val="00253BAF"/>
    <w:rsid w:val="00267ED9"/>
    <w:rsid w:val="002712CE"/>
    <w:rsid w:val="00271D93"/>
    <w:rsid w:val="00271F74"/>
    <w:rsid w:val="00274324"/>
    <w:rsid w:val="00275618"/>
    <w:rsid w:val="0027732C"/>
    <w:rsid w:val="00277F0C"/>
    <w:rsid w:val="0028361D"/>
    <w:rsid w:val="00285233"/>
    <w:rsid w:val="00291AC7"/>
    <w:rsid w:val="00297843"/>
    <w:rsid w:val="00297D26"/>
    <w:rsid w:val="002A22A3"/>
    <w:rsid w:val="002A4420"/>
    <w:rsid w:val="002B11E1"/>
    <w:rsid w:val="002B38CF"/>
    <w:rsid w:val="002C0CEA"/>
    <w:rsid w:val="002C1800"/>
    <w:rsid w:val="002C1BA2"/>
    <w:rsid w:val="002C39A1"/>
    <w:rsid w:val="002C3BC3"/>
    <w:rsid w:val="002C7747"/>
    <w:rsid w:val="002D27F2"/>
    <w:rsid w:val="002D2F0F"/>
    <w:rsid w:val="002D77C6"/>
    <w:rsid w:val="002E1B60"/>
    <w:rsid w:val="002E2813"/>
    <w:rsid w:val="002E2DF8"/>
    <w:rsid w:val="002E3436"/>
    <w:rsid w:val="002E3F34"/>
    <w:rsid w:val="002E770C"/>
    <w:rsid w:val="00302230"/>
    <w:rsid w:val="003039C8"/>
    <w:rsid w:val="0030680E"/>
    <w:rsid w:val="00311CB4"/>
    <w:rsid w:val="00316043"/>
    <w:rsid w:val="003168A1"/>
    <w:rsid w:val="00320A6E"/>
    <w:rsid w:val="00323C17"/>
    <w:rsid w:val="003338DE"/>
    <w:rsid w:val="003356FB"/>
    <w:rsid w:val="00337E1D"/>
    <w:rsid w:val="003407F2"/>
    <w:rsid w:val="00341118"/>
    <w:rsid w:val="0034499A"/>
    <w:rsid w:val="003454EB"/>
    <w:rsid w:val="003473C4"/>
    <w:rsid w:val="00350AA8"/>
    <w:rsid w:val="00356499"/>
    <w:rsid w:val="00360E7B"/>
    <w:rsid w:val="003615EF"/>
    <w:rsid w:val="00363A57"/>
    <w:rsid w:val="00364A93"/>
    <w:rsid w:val="00365771"/>
    <w:rsid w:val="00376BA1"/>
    <w:rsid w:val="00397C45"/>
    <w:rsid w:val="003A644A"/>
    <w:rsid w:val="003A6E45"/>
    <w:rsid w:val="003A7B72"/>
    <w:rsid w:val="003C0F84"/>
    <w:rsid w:val="003C3D9A"/>
    <w:rsid w:val="003C5288"/>
    <w:rsid w:val="003C6EC2"/>
    <w:rsid w:val="003E15AB"/>
    <w:rsid w:val="003E64C2"/>
    <w:rsid w:val="003E7302"/>
    <w:rsid w:val="003F551F"/>
    <w:rsid w:val="004008EC"/>
    <w:rsid w:val="0040209E"/>
    <w:rsid w:val="00404440"/>
    <w:rsid w:val="0041333D"/>
    <w:rsid w:val="00413AD9"/>
    <w:rsid w:val="00420071"/>
    <w:rsid w:val="00425FF4"/>
    <w:rsid w:val="004278BB"/>
    <w:rsid w:val="004362D5"/>
    <w:rsid w:val="00437D01"/>
    <w:rsid w:val="00443357"/>
    <w:rsid w:val="004447D1"/>
    <w:rsid w:val="00452978"/>
    <w:rsid w:val="00453DB4"/>
    <w:rsid w:val="0045519A"/>
    <w:rsid w:val="004570D6"/>
    <w:rsid w:val="004571BA"/>
    <w:rsid w:val="00460E13"/>
    <w:rsid w:val="004619E6"/>
    <w:rsid w:val="00462E76"/>
    <w:rsid w:val="00465ACD"/>
    <w:rsid w:val="004822FB"/>
    <w:rsid w:val="0048421C"/>
    <w:rsid w:val="00484EF1"/>
    <w:rsid w:val="004864C9"/>
    <w:rsid w:val="004A2C60"/>
    <w:rsid w:val="004A34FC"/>
    <w:rsid w:val="004A3906"/>
    <w:rsid w:val="004B1552"/>
    <w:rsid w:val="004B387E"/>
    <w:rsid w:val="004B7946"/>
    <w:rsid w:val="004C2A73"/>
    <w:rsid w:val="004C3BCD"/>
    <w:rsid w:val="004C655C"/>
    <w:rsid w:val="004D1701"/>
    <w:rsid w:val="004D1ED3"/>
    <w:rsid w:val="004D3AD7"/>
    <w:rsid w:val="004D432B"/>
    <w:rsid w:val="004E6B4A"/>
    <w:rsid w:val="004F147C"/>
    <w:rsid w:val="005020E5"/>
    <w:rsid w:val="00510472"/>
    <w:rsid w:val="005134B1"/>
    <w:rsid w:val="0051763D"/>
    <w:rsid w:val="00532CDE"/>
    <w:rsid w:val="00534FDA"/>
    <w:rsid w:val="005352D9"/>
    <w:rsid w:val="005357AC"/>
    <w:rsid w:val="005432DF"/>
    <w:rsid w:val="005447D2"/>
    <w:rsid w:val="00552396"/>
    <w:rsid w:val="00553307"/>
    <w:rsid w:val="00555537"/>
    <w:rsid w:val="00555631"/>
    <w:rsid w:val="00556A67"/>
    <w:rsid w:val="0056287A"/>
    <w:rsid w:val="00567674"/>
    <w:rsid w:val="0057118C"/>
    <w:rsid w:val="00571CD2"/>
    <w:rsid w:val="00576F43"/>
    <w:rsid w:val="00577EF8"/>
    <w:rsid w:val="00582144"/>
    <w:rsid w:val="0058222B"/>
    <w:rsid w:val="0059034A"/>
    <w:rsid w:val="00597CF0"/>
    <w:rsid w:val="005A008B"/>
    <w:rsid w:val="005A1018"/>
    <w:rsid w:val="005A3757"/>
    <w:rsid w:val="005A47F3"/>
    <w:rsid w:val="005C4937"/>
    <w:rsid w:val="005D3B83"/>
    <w:rsid w:val="005D6911"/>
    <w:rsid w:val="005E0B73"/>
    <w:rsid w:val="005E2B13"/>
    <w:rsid w:val="005E4940"/>
    <w:rsid w:val="005F43A5"/>
    <w:rsid w:val="005F4F96"/>
    <w:rsid w:val="00602E9E"/>
    <w:rsid w:val="00603322"/>
    <w:rsid w:val="006076EE"/>
    <w:rsid w:val="00607891"/>
    <w:rsid w:val="00612E49"/>
    <w:rsid w:val="00613AC4"/>
    <w:rsid w:val="006160A0"/>
    <w:rsid w:val="00626F38"/>
    <w:rsid w:val="00630AFE"/>
    <w:rsid w:val="00632886"/>
    <w:rsid w:val="00632ADF"/>
    <w:rsid w:val="00633C7A"/>
    <w:rsid w:val="0063755D"/>
    <w:rsid w:val="00650E56"/>
    <w:rsid w:val="00653414"/>
    <w:rsid w:val="00653861"/>
    <w:rsid w:val="00654E95"/>
    <w:rsid w:val="00656F8B"/>
    <w:rsid w:val="006572B9"/>
    <w:rsid w:val="00666DF0"/>
    <w:rsid w:val="00671A37"/>
    <w:rsid w:val="006774B3"/>
    <w:rsid w:val="0068472D"/>
    <w:rsid w:val="00684B0C"/>
    <w:rsid w:val="00684E23"/>
    <w:rsid w:val="0068716F"/>
    <w:rsid w:val="00692A30"/>
    <w:rsid w:val="00695FFD"/>
    <w:rsid w:val="006A067C"/>
    <w:rsid w:val="006A0DB9"/>
    <w:rsid w:val="006A78C4"/>
    <w:rsid w:val="006A7918"/>
    <w:rsid w:val="006B6918"/>
    <w:rsid w:val="006B7427"/>
    <w:rsid w:val="006C0F99"/>
    <w:rsid w:val="006C1056"/>
    <w:rsid w:val="006C1F7F"/>
    <w:rsid w:val="006D74BB"/>
    <w:rsid w:val="006E0C50"/>
    <w:rsid w:val="006E4204"/>
    <w:rsid w:val="006E7350"/>
    <w:rsid w:val="006F09F7"/>
    <w:rsid w:val="006F1316"/>
    <w:rsid w:val="006F45B2"/>
    <w:rsid w:val="00704610"/>
    <w:rsid w:val="00707B25"/>
    <w:rsid w:val="00715838"/>
    <w:rsid w:val="007203AF"/>
    <w:rsid w:val="00721810"/>
    <w:rsid w:val="00724C87"/>
    <w:rsid w:val="00724F1B"/>
    <w:rsid w:val="007330BB"/>
    <w:rsid w:val="00734FEC"/>
    <w:rsid w:val="0073593B"/>
    <w:rsid w:val="00740409"/>
    <w:rsid w:val="00744F53"/>
    <w:rsid w:val="00752615"/>
    <w:rsid w:val="0075626F"/>
    <w:rsid w:val="00761A90"/>
    <w:rsid w:val="00765BE3"/>
    <w:rsid w:val="00765C32"/>
    <w:rsid w:val="00772CBA"/>
    <w:rsid w:val="0077356C"/>
    <w:rsid w:val="00773AA6"/>
    <w:rsid w:val="00774CEE"/>
    <w:rsid w:val="00780C8E"/>
    <w:rsid w:val="00781056"/>
    <w:rsid w:val="00786E09"/>
    <w:rsid w:val="0079031A"/>
    <w:rsid w:val="0079274B"/>
    <w:rsid w:val="007930E5"/>
    <w:rsid w:val="0079324E"/>
    <w:rsid w:val="00797DC1"/>
    <w:rsid w:val="007A1C8F"/>
    <w:rsid w:val="007A3210"/>
    <w:rsid w:val="007A36B6"/>
    <w:rsid w:val="007A648B"/>
    <w:rsid w:val="007C3E58"/>
    <w:rsid w:val="007C4568"/>
    <w:rsid w:val="007C7A9C"/>
    <w:rsid w:val="007D0048"/>
    <w:rsid w:val="007D6D21"/>
    <w:rsid w:val="007D6F99"/>
    <w:rsid w:val="007E2294"/>
    <w:rsid w:val="007E3FFF"/>
    <w:rsid w:val="007E4C8E"/>
    <w:rsid w:val="007F06C7"/>
    <w:rsid w:val="007F71FA"/>
    <w:rsid w:val="00810E16"/>
    <w:rsid w:val="008152B9"/>
    <w:rsid w:val="00816D40"/>
    <w:rsid w:val="008171FF"/>
    <w:rsid w:val="00817E37"/>
    <w:rsid w:val="008210DF"/>
    <w:rsid w:val="0082308C"/>
    <w:rsid w:val="0082322B"/>
    <w:rsid w:val="00823C42"/>
    <w:rsid w:val="00823CCB"/>
    <w:rsid w:val="008266FC"/>
    <w:rsid w:val="00831DE4"/>
    <w:rsid w:val="00832698"/>
    <w:rsid w:val="008326CE"/>
    <w:rsid w:val="0084366E"/>
    <w:rsid w:val="0084528D"/>
    <w:rsid w:val="008459CB"/>
    <w:rsid w:val="00845CBB"/>
    <w:rsid w:val="008469AC"/>
    <w:rsid w:val="00846FA0"/>
    <w:rsid w:val="00854B33"/>
    <w:rsid w:val="00855107"/>
    <w:rsid w:val="008567B9"/>
    <w:rsid w:val="008572D2"/>
    <w:rsid w:val="00864855"/>
    <w:rsid w:val="00865B8A"/>
    <w:rsid w:val="00866BBB"/>
    <w:rsid w:val="00867FC8"/>
    <w:rsid w:val="0087202E"/>
    <w:rsid w:val="0088146F"/>
    <w:rsid w:val="008838AC"/>
    <w:rsid w:val="00883D56"/>
    <w:rsid w:val="00884DD2"/>
    <w:rsid w:val="00895770"/>
    <w:rsid w:val="008A0E06"/>
    <w:rsid w:val="008A4C43"/>
    <w:rsid w:val="008A4CAA"/>
    <w:rsid w:val="008B3CA1"/>
    <w:rsid w:val="008B65A7"/>
    <w:rsid w:val="008C0197"/>
    <w:rsid w:val="008C0BA2"/>
    <w:rsid w:val="008C0EB7"/>
    <w:rsid w:val="008C1C0E"/>
    <w:rsid w:val="008E1DFE"/>
    <w:rsid w:val="008F0F9E"/>
    <w:rsid w:val="008F43BA"/>
    <w:rsid w:val="008F7139"/>
    <w:rsid w:val="0090338F"/>
    <w:rsid w:val="00905E8F"/>
    <w:rsid w:val="00905F83"/>
    <w:rsid w:val="009141EC"/>
    <w:rsid w:val="009158BD"/>
    <w:rsid w:val="00916722"/>
    <w:rsid w:val="009223F1"/>
    <w:rsid w:val="00922EBC"/>
    <w:rsid w:val="00925082"/>
    <w:rsid w:val="00925BEA"/>
    <w:rsid w:val="00926166"/>
    <w:rsid w:val="009300A3"/>
    <w:rsid w:val="009405E1"/>
    <w:rsid w:val="00940BE0"/>
    <w:rsid w:val="009441A6"/>
    <w:rsid w:val="00944795"/>
    <w:rsid w:val="00950C32"/>
    <w:rsid w:val="009513C9"/>
    <w:rsid w:val="00951EF3"/>
    <w:rsid w:val="0095305A"/>
    <w:rsid w:val="009544E4"/>
    <w:rsid w:val="00954991"/>
    <w:rsid w:val="00960F3B"/>
    <w:rsid w:val="00961921"/>
    <w:rsid w:val="00963EFD"/>
    <w:rsid w:val="009654B7"/>
    <w:rsid w:val="00966186"/>
    <w:rsid w:val="0097590D"/>
    <w:rsid w:val="009759C2"/>
    <w:rsid w:val="00997E06"/>
    <w:rsid w:val="009A4F0F"/>
    <w:rsid w:val="009B5827"/>
    <w:rsid w:val="009B67FA"/>
    <w:rsid w:val="009C4328"/>
    <w:rsid w:val="009C576D"/>
    <w:rsid w:val="009D3779"/>
    <w:rsid w:val="009D38E0"/>
    <w:rsid w:val="009E1D79"/>
    <w:rsid w:val="009E5F66"/>
    <w:rsid w:val="009E63FD"/>
    <w:rsid w:val="009F3F48"/>
    <w:rsid w:val="00A009E5"/>
    <w:rsid w:val="00A0322F"/>
    <w:rsid w:val="00A044B1"/>
    <w:rsid w:val="00A04C28"/>
    <w:rsid w:val="00A06FE9"/>
    <w:rsid w:val="00A12156"/>
    <w:rsid w:val="00A123D2"/>
    <w:rsid w:val="00A12E01"/>
    <w:rsid w:val="00A12F7B"/>
    <w:rsid w:val="00A13635"/>
    <w:rsid w:val="00A13BEF"/>
    <w:rsid w:val="00A1705A"/>
    <w:rsid w:val="00A218A3"/>
    <w:rsid w:val="00A21BB9"/>
    <w:rsid w:val="00A231AD"/>
    <w:rsid w:val="00A23A7D"/>
    <w:rsid w:val="00A270BE"/>
    <w:rsid w:val="00A3102F"/>
    <w:rsid w:val="00A32EC3"/>
    <w:rsid w:val="00A36A44"/>
    <w:rsid w:val="00A4170B"/>
    <w:rsid w:val="00A41E04"/>
    <w:rsid w:val="00A46507"/>
    <w:rsid w:val="00A50A7B"/>
    <w:rsid w:val="00A706B3"/>
    <w:rsid w:val="00A709D4"/>
    <w:rsid w:val="00A711D7"/>
    <w:rsid w:val="00A75CF3"/>
    <w:rsid w:val="00A76F08"/>
    <w:rsid w:val="00A80AD0"/>
    <w:rsid w:val="00A825B4"/>
    <w:rsid w:val="00A86126"/>
    <w:rsid w:val="00A95252"/>
    <w:rsid w:val="00A955B5"/>
    <w:rsid w:val="00A95B42"/>
    <w:rsid w:val="00AA266A"/>
    <w:rsid w:val="00AA77DA"/>
    <w:rsid w:val="00AB66A2"/>
    <w:rsid w:val="00AB7597"/>
    <w:rsid w:val="00AB7A97"/>
    <w:rsid w:val="00AC1E4A"/>
    <w:rsid w:val="00AC24A9"/>
    <w:rsid w:val="00AC5B68"/>
    <w:rsid w:val="00AD10D8"/>
    <w:rsid w:val="00AD4698"/>
    <w:rsid w:val="00AE30FC"/>
    <w:rsid w:val="00AE4CA0"/>
    <w:rsid w:val="00AE4D87"/>
    <w:rsid w:val="00AE6CB2"/>
    <w:rsid w:val="00AF056D"/>
    <w:rsid w:val="00AF129B"/>
    <w:rsid w:val="00AF31D5"/>
    <w:rsid w:val="00AF3AD1"/>
    <w:rsid w:val="00AF4E2F"/>
    <w:rsid w:val="00AF5C62"/>
    <w:rsid w:val="00B00229"/>
    <w:rsid w:val="00B0302A"/>
    <w:rsid w:val="00B05E57"/>
    <w:rsid w:val="00B149B2"/>
    <w:rsid w:val="00B14E8C"/>
    <w:rsid w:val="00B15393"/>
    <w:rsid w:val="00B16112"/>
    <w:rsid w:val="00B17CA9"/>
    <w:rsid w:val="00B23EF7"/>
    <w:rsid w:val="00B313FA"/>
    <w:rsid w:val="00B4065A"/>
    <w:rsid w:val="00B40C8D"/>
    <w:rsid w:val="00B41797"/>
    <w:rsid w:val="00B43351"/>
    <w:rsid w:val="00B47398"/>
    <w:rsid w:val="00B50420"/>
    <w:rsid w:val="00B52B0C"/>
    <w:rsid w:val="00B5327E"/>
    <w:rsid w:val="00B606E1"/>
    <w:rsid w:val="00B648B8"/>
    <w:rsid w:val="00B64DD3"/>
    <w:rsid w:val="00B64DE9"/>
    <w:rsid w:val="00B71A2D"/>
    <w:rsid w:val="00B72986"/>
    <w:rsid w:val="00B8196E"/>
    <w:rsid w:val="00B83461"/>
    <w:rsid w:val="00B83CFB"/>
    <w:rsid w:val="00B84AC8"/>
    <w:rsid w:val="00B856FB"/>
    <w:rsid w:val="00B959A0"/>
    <w:rsid w:val="00BA09C2"/>
    <w:rsid w:val="00BA1456"/>
    <w:rsid w:val="00BA1C68"/>
    <w:rsid w:val="00BA41A2"/>
    <w:rsid w:val="00BB02AD"/>
    <w:rsid w:val="00BB0EB4"/>
    <w:rsid w:val="00BB6528"/>
    <w:rsid w:val="00BC1032"/>
    <w:rsid w:val="00BC3FCD"/>
    <w:rsid w:val="00BC653E"/>
    <w:rsid w:val="00BC7701"/>
    <w:rsid w:val="00BD38F2"/>
    <w:rsid w:val="00BE0683"/>
    <w:rsid w:val="00BE364D"/>
    <w:rsid w:val="00BE6922"/>
    <w:rsid w:val="00BE7123"/>
    <w:rsid w:val="00BE7C9F"/>
    <w:rsid w:val="00BF7D44"/>
    <w:rsid w:val="00C00A15"/>
    <w:rsid w:val="00C0540A"/>
    <w:rsid w:val="00C064A5"/>
    <w:rsid w:val="00C10F15"/>
    <w:rsid w:val="00C14196"/>
    <w:rsid w:val="00C149A6"/>
    <w:rsid w:val="00C17FF5"/>
    <w:rsid w:val="00C2429A"/>
    <w:rsid w:val="00C31856"/>
    <w:rsid w:val="00C40F35"/>
    <w:rsid w:val="00C414BD"/>
    <w:rsid w:val="00C42DC4"/>
    <w:rsid w:val="00C44413"/>
    <w:rsid w:val="00C4453B"/>
    <w:rsid w:val="00C45EE7"/>
    <w:rsid w:val="00C465C5"/>
    <w:rsid w:val="00C47A7E"/>
    <w:rsid w:val="00C501D5"/>
    <w:rsid w:val="00C50D1F"/>
    <w:rsid w:val="00C5191D"/>
    <w:rsid w:val="00C5663A"/>
    <w:rsid w:val="00C57C36"/>
    <w:rsid w:val="00C64051"/>
    <w:rsid w:val="00C65D67"/>
    <w:rsid w:val="00C7797E"/>
    <w:rsid w:val="00C8058D"/>
    <w:rsid w:val="00C815ED"/>
    <w:rsid w:val="00C84E0F"/>
    <w:rsid w:val="00C85225"/>
    <w:rsid w:val="00C87E58"/>
    <w:rsid w:val="00C90F1C"/>
    <w:rsid w:val="00C93299"/>
    <w:rsid w:val="00CA744D"/>
    <w:rsid w:val="00CB0D75"/>
    <w:rsid w:val="00CB16B8"/>
    <w:rsid w:val="00CB1B9D"/>
    <w:rsid w:val="00CB1F0C"/>
    <w:rsid w:val="00CC17B3"/>
    <w:rsid w:val="00CC2747"/>
    <w:rsid w:val="00CC4B2A"/>
    <w:rsid w:val="00CC70DF"/>
    <w:rsid w:val="00CC719C"/>
    <w:rsid w:val="00CC7E4B"/>
    <w:rsid w:val="00CD33C1"/>
    <w:rsid w:val="00CE231C"/>
    <w:rsid w:val="00CE4B64"/>
    <w:rsid w:val="00CE4DF1"/>
    <w:rsid w:val="00CE695D"/>
    <w:rsid w:val="00CF56F7"/>
    <w:rsid w:val="00D001DA"/>
    <w:rsid w:val="00D02DB5"/>
    <w:rsid w:val="00D03D67"/>
    <w:rsid w:val="00D04EEE"/>
    <w:rsid w:val="00D126A5"/>
    <w:rsid w:val="00D149C7"/>
    <w:rsid w:val="00D21A76"/>
    <w:rsid w:val="00D22F5C"/>
    <w:rsid w:val="00D248C3"/>
    <w:rsid w:val="00D24CED"/>
    <w:rsid w:val="00D274FA"/>
    <w:rsid w:val="00D27A24"/>
    <w:rsid w:val="00D27B08"/>
    <w:rsid w:val="00D37682"/>
    <w:rsid w:val="00D443D6"/>
    <w:rsid w:val="00D462B4"/>
    <w:rsid w:val="00D47D9B"/>
    <w:rsid w:val="00D51E56"/>
    <w:rsid w:val="00D52A97"/>
    <w:rsid w:val="00D551DC"/>
    <w:rsid w:val="00D61165"/>
    <w:rsid w:val="00D706AB"/>
    <w:rsid w:val="00D73BD0"/>
    <w:rsid w:val="00D757F3"/>
    <w:rsid w:val="00D77C22"/>
    <w:rsid w:val="00D83DBC"/>
    <w:rsid w:val="00D901CF"/>
    <w:rsid w:val="00D941F0"/>
    <w:rsid w:val="00D96D81"/>
    <w:rsid w:val="00DA3F0B"/>
    <w:rsid w:val="00DA68CB"/>
    <w:rsid w:val="00DB3A43"/>
    <w:rsid w:val="00DB4C72"/>
    <w:rsid w:val="00DC06A0"/>
    <w:rsid w:val="00DC34F3"/>
    <w:rsid w:val="00DC6B9A"/>
    <w:rsid w:val="00DD0A9C"/>
    <w:rsid w:val="00DD5808"/>
    <w:rsid w:val="00DD620A"/>
    <w:rsid w:val="00DE057F"/>
    <w:rsid w:val="00DE1173"/>
    <w:rsid w:val="00DE42B7"/>
    <w:rsid w:val="00DE7D66"/>
    <w:rsid w:val="00DF013F"/>
    <w:rsid w:val="00DF70B5"/>
    <w:rsid w:val="00E000A9"/>
    <w:rsid w:val="00E00206"/>
    <w:rsid w:val="00E02960"/>
    <w:rsid w:val="00E03B7A"/>
    <w:rsid w:val="00E05CBB"/>
    <w:rsid w:val="00E1112A"/>
    <w:rsid w:val="00E11A56"/>
    <w:rsid w:val="00E16ED0"/>
    <w:rsid w:val="00E20C0A"/>
    <w:rsid w:val="00E22B93"/>
    <w:rsid w:val="00E23810"/>
    <w:rsid w:val="00E25D83"/>
    <w:rsid w:val="00E25FD2"/>
    <w:rsid w:val="00E2649C"/>
    <w:rsid w:val="00E2662C"/>
    <w:rsid w:val="00E26CE0"/>
    <w:rsid w:val="00E34413"/>
    <w:rsid w:val="00E34C2B"/>
    <w:rsid w:val="00E36574"/>
    <w:rsid w:val="00E42DD4"/>
    <w:rsid w:val="00E44276"/>
    <w:rsid w:val="00E50CBB"/>
    <w:rsid w:val="00E54AD7"/>
    <w:rsid w:val="00E652E1"/>
    <w:rsid w:val="00E665FB"/>
    <w:rsid w:val="00E6683D"/>
    <w:rsid w:val="00E67BB4"/>
    <w:rsid w:val="00E703EA"/>
    <w:rsid w:val="00E734E7"/>
    <w:rsid w:val="00E74A47"/>
    <w:rsid w:val="00E77D38"/>
    <w:rsid w:val="00E91757"/>
    <w:rsid w:val="00E973CD"/>
    <w:rsid w:val="00E9761F"/>
    <w:rsid w:val="00EB3D08"/>
    <w:rsid w:val="00EC0DED"/>
    <w:rsid w:val="00EC41AD"/>
    <w:rsid w:val="00ED00AA"/>
    <w:rsid w:val="00ED48B7"/>
    <w:rsid w:val="00EE54AF"/>
    <w:rsid w:val="00EE7710"/>
    <w:rsid w:val="00EF17D5"/>
    <w:rsid w:val="00EF3B24"/>
    <w:rsid w:val="00F05905"/>
    <w:rsid w:val="00F05CC3"/>
    <w:rsid w:val="00F06DF0"/>
    <w:rsid w:val="00F127EE"/>
    <w:rsid w:val="00F15356"/>
    <w:rsid w:val="00F21B2C"/>
    <w:rsid w:val="00F353EC"/>
    <w:rsid w:val="00F41D6F"/>
    <w:rsid w:val="00F420AA"/>
    <w:rsid w:val="00F44634"/>
    <w:rsid w:val="00F548D2"/>
    <w:rsid w:val="00F57287"/>
    <w:rsid w:val="00F6679D"/>
    <w:rsid w:val="00F712F9"/>
    <w:rsid w:val="00F71DF3"/>
    <w:rsid w:val="00F73154"/>
    <w:rsid w:val="00F734BB"/>
    <w:rsid w:val="00F74C26"/>
    <w:rsid w:val="00F764AA"/>
    <w:rsid w:val="00F82554"/>
    <w:rsid w:val="00F85677"/>
    <w:rsid w:val="00F8732A"/>
    <w:rsid w:val="00F906CB"/>
    <w:rsid w:val="00F92FA2"/>
    <w:rsid w:val="00F93A9B"/>
    <w:rsid w:val="00F93BE1"/>
    <w:rsid w:val="00F955BE"/>
    <w:rsid w:val="00F955EC"/>
    <w:rsid w:val="00F97A7A"/>
    <w:rsid w:val="00FA1E97"/>
    <w:rsid w:val="00FA328D"/>
    <w:rsid w:val="00FA6A5A"/>
    <w:rsid w:val="00FA6CB7"/>
    <w:rsid w:val="00FB0ED8"/>
    <w:rsid w:val="00FC0D67"/>
    <w:rsid w:val="00FC3CFD"/>
    <w:rsid w:val="00FC5E01"/>
    <w:rsid w:val="00FD0BA1"/>
    <w:rsid w:val="00FD4E25"/>
    <w:rsid w:val="00FD5491"/>
    <w:rsid w:val="00FD5660"/>
    <w:rsid w:val="00FD741E"/>
    <w:rsid w:val="00FE3357"/>
    <w:rsid w:val="00FE5E9B"/>
    <w:rsid w:val="00FF1CB9"/>
    <w:rsid w:val="00FF2B2A"/>
    <w:rsid w:val="00FF49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26125"/>
  <w14:defaultImageDpi w14:val="0"/>
  <w15:docId w15:val="{02271C22-666F-4C2C-8516-94C8D0FB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over"/>
    <w:basedOn w:val="Normal"/>
    <w:next w:val="Normal"/>
    <w:link w:val="Heading1Char"/>
    <w:uiPriority w:val="9"/>
    <w:qFormat/>
    <w:rsid w:val="00F127EE"/>
    <w:pPr>
      <w:spacing w:line="240" w:lineRule="auto"/>
      <w:jc w:val="center"/>
      <w:outlineLvl w:val="0"/>
    </w:pPr>
    <w:rPr>
      <w:b/>
      <w:bCs/>
    </w:rPr>
  </w:style>
  <w:style w:type="paragraph" w:styleId="Heading2">
    <w:name w:val="heading 2"/>
    <w:basedOn w:val="ListParagraph"/>
    <w:next w:val="Normal"/>
    <w:link w:val="Heading2Char"/>
    <w:uiPriority w:val="9"/>
    <w:unhideWhenUsed/>
    <w:qFormat/>
    <w:rsid w:val="00653861"/>
    <w:pPr>
      <w:numPr>
        <w:numId w:val="1"/>
      </w:numPr>
      <w:spacing w:line="240" w:lineRule="auto"/>
      <w:outlineLvl w:val="1"/>
    </w:pPr>
    <w:rPr>
      <w:b/>
      <w:bCs/>
    </w:rPr>
  </w:style>
  <w:style w:type="paragraph" w:styleId="Heading3">
    <w:name w:val="heading 3"/>
    <w:basedOn w:val="ListParagraph"/>
    <w:next w:val="Normal"/>
    <w:link w:val="Heading3Char"/>
    <w:uiPriority w:val="9"/>
    <w:unhideWhenUsed/>
    <w:qFormat/>
    <w:rsid w:val="002D2F0F"/>
    <w:pPr>
      <w:numPr>
        <w:numId w:val="27"/>
      </w:numPr>
      <w:spacing w:line="240" w:lineRule="auto"/>
      <w:outlineLvl w:val="2"/>
    </w:pPr>
    <w:rPr>
      <w:b/>
      <w:bCs/>
    </w:rPr>
  </w:style>
  <w:style w:type="paragraph" w:styleId="Heading4">
    <w:name w:val="heading 4"/>
    <w:basedOn w:val="Normal"/>
    <w:next w:val="Normal"/>
    <w:link w:val="Heading4Char"/>
    <w:uiPriority w:val="9"/>
    <w:unhideWhenUsed/>
    <w:qFormat/>
    <w:rsid w:val="00740409"/>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Char"/>
    <w:basedOn w:val="DefaultParagraphFont"/>
    <w:link w:val="Heading1"/>
    <w:uiPriority w:val="9"/>
    <w:locked/>
    <w:rsid w:val="00F127EE"/>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653861"/>
    <w:rPr>
      <w:rFonts w:cs="Times New Roman"/>
      <w:b/>
      <w:bCs/>
    </w:rPr>
  </w:style>
  <w:style w:type="character" w:customStyle="1" w:styleId="Heading3Char">
    <w:name w:val="Heading 3 Char"/>
    <w:basedOn w:val="DefaultParagraphFont"/>
    <w:link w:val="Heading3"/>
    <w:uiPriority w:val="9"/>
    <w:locked/>
    <w:rsid w:val="002D2F0F"/>
    <w:rPr>
      <w:rFonts w:cs="Times New Roman"/>
      <w:b/>
      <w:bCs/>
    </w:rPr>
  </w:style>
  <w:style w:type="character" w:customStyle="1" w:styleId="Heading4Char">
    <w:name w:val="Heading 4 Char"/>
    <w:basedOn w:val="DefaultParagraphFont"/>
    <w:link w:val="Heading4"/>
    <w:uiPriority w:val="9"/>
    <w:locked/>
    <w:rsid w:val="00740409"/>
    <w:rPr>
      <w:rFonts w:asciiTheme="majorHAnsi" w:eastAsiaTheme="majorEastAsia" w:hAnsiTheme="majorHAnsi" w:cs="Times New Roman"/>
      <w:i/>
      <w:iCs/>
      <w:color w:val="2F5496" w:themeColor="accent1" w:themeShade="BF"/>
    </w:rPr>
  </w:style>
  <w:style w:type="table" w:styleId="TableGrid">
    <w:name w:val="Table Grid"/>
    <w:basedOn w:val="TableNormal"/>
    <w:uiPriority w:val="39"/>
    <w:rsid w:val="003356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6CB2"/>
    <w:pPr>
      <w:ind w:left="720"/>
      <w:contextualSpacing/>
    </w:pPr>
  </w:style>
  <w:style w:type="paragraph" w:styleId="TOCHeading">
    <w:name w:val="TOC Heading"/>
    <w:basedOn w:val="Heading1"/>
    <w:next w:val="Normal"/>
    <w:uiPriority w:val="39"/>
    <w:unhideWhenUsed/>
    <w:qFormat/>
    <w:rsid w:val="00060B01"/>
    <w:pPr>
      <w:keepNext/>
      <w:keepLines/>
      <w:spacing w:before="240" w:line="259" w:lineRule="auto"/>
      <w:jc w:val="left"/>
      <w:outlineLvl w:val="9"/>
    </w:pPr>
    <w:rPr>
      <w:rFonts w:asciiTheme="majorHAnsi" w:eastAsiaTheme="majorEastAsia"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8C1C0E"/>
    <w:pPr>
      <w:spacing w:after="100"/>
    </w:pPr>
  </w:style>
  <w:style w:type="paragraph" w:styleId="TOC2">
    <w:name w:val="toc 2"/>
    <w:basedOn w:val="Normal"/>
    <w:next w:val="Normal"/>
    <w:autoRedefine/>
    <w:uiPriority w:val="39"/>
    <w:unhideWhenUsed/>
    <w:rsid w:val="00D462B4"/>
    <w:pPr>
      <w:tabs>
        <w:tab w:val="left" w:pos="880"/>
        <w:tab w:val="right" w:leader="dot" w:pos="7927"/>
      </w:tabs>
      <w:spacing w:after="100"/>
      <w:ind w:left="567" w:hanging="347"/>
      <w:jc w:val="both"/>
    </w:pPr>
  </w:style>
  <w:style w:type="paragraph" w:styleId="TOC3">
    <w:name w:val="toc 3"/>
    <w:basedOn w:val="Normal"/>
    <w:next w:val="Normal"/>
    <w:autoRedefine/>
    <w:uiPriority w:val="39"/>
    <w:unhideWhenUsed/>
    <w:rsid w:val="00D462B4"/>
    <w:pPr>
      <w:tabs>
        <w:tab w:val="left" w:pos="880"/>
        <w:tab w:val="right" w:leader="dot" w:pos="7927"/>
      </w:tabs>
      <w:spacing w:after="100"/>
      <w:ind w:left="851" w:hanging="283"/>
    </w:pPr>
  </w:style>
  <w:style w:type="character" w:styleId="Hyperlink">
    <w:name w:val="Hyperlink"/>
    <w:basedOn w:val="DefaultParagraphFont"/>
    <w:uiPriority w:val="99"/>
    <w:unhideWhenUsed/>
    <w:rsid w:val="00060B01"/>
    <w:rPr>
      <w:rFonts w:cs="Times New Roman"/>
      <w:color w:val="0563C1" w:themeColor="hyperlink"/>
      <w:u w:val="single"/>
    </w:rPr>
  </w:style>
  <w:style w:type="paragraph" w:styleId="Header">
    <w:name w:val="header"/>
    <w:basedOn w:val="Normal"/>
    <w:link w:val="HeaderChar"/>
    <w:uiPriority w:val="99"/>
    <w:unhideWhenUsed/>
    <w:rsid w:val="00A36A44"/>
    <w:pPr>
      <w:tabs>
        <w:tab w:val="center" w:pos="4513"/>
        <w:tab w:val="right" w:pos="9026"/>
      </w:tabs>
      <w:spacing w:line="240" w:lineRule="auto"/>
    </w:pPr>
  </w:style>
  <w:style w:type="character" w:customStyle="1" w:styleId="HeaderChar">
    <w:name w:val="Header Char"/>
    <w:basedOn w:val="DefaultParagraphFont"/>
    <w:link w:val="Header"/>
    <w:uiPriority w:val="99"/>
    <w:locked/>
    <w:rsid w:val="00A36A44"/>
    <w:rPr>
      <w:rFonts w:cs="Times New Roman"/>
    </w:rPr>
  </w:style>
  <w:style w:type="paragraph" w:styleId="Footer">
    <w:name w:val="footer"/>
    <w:basedOn w:val="Normal"/>
    <w:link w:val="FooterChar"/>
    <w:uiPriority w:val="99"/>
    <w:unhideWhenUsed/>
    <w:rsid w:val="00A36A44"/>
    <w:pPr>
      <w:tabs>
        <w:tab w:val="center" w:pos="4513"/>
        <w:tab w:val="right" w:pos="9026"/>
      </w:tabs>
      <w:spacing w:line="240" w:lineRule="auto"/>
    </w:pPr>
  </w:style>
  <w:style w:type="character" w:customStyle="1" w:styleId="FooterChar">
    <w:name w:val="Footer Char"/>
    <w:basedOn w:val="DefaultParagraphFont"/>
    <w:link w:val="Footer"/>
    <w:uiPriority w:val="99"/>
    <w:locked/>
    <w:rsid w:val="00A36A44"/>
    <w:rPr>
      <w:rFonts w:cs="Times New Roman"/>
    </w:rPr>
  </w:style>
  <w:style w:type="paragraph" w:styleId="FootnoteText">
    <w:name w:val="footnote text"/>
    <w:basedOn w:val="Normal"/>
    <w:link w:val="FootnoteTextChar"/>
    <w:uiPriority w:val="99"/>
    <w:unhideWhenUsed/>
    <w:rsid w:val="002E3436"/>
    <w:pPr>
      <w:spacing w:line="240" w:lineRule="auto"/>
    </w:pPr>
    <w:rPr>
      <w:sz w:val="20"/>
      <w:szCs w:val="20"/>
    </w:rPr>
  </w:style>
  <w:style w:type="character" w:customStyle="1" w:styleId="FootnoteTextChar">
    <w:name w:val="Footnote Text Char"/>
    <w:basedOn w:val="DefaultParagraphFont"/>
    <w:link w:val="FootnoteText"/>
    <w:uiPriority w:val="99"/>
    <w:locked/>
    <w:rsid w:val="002E3436"/>
    <w:rPr>
      <w:rFonts w:cs="Times New Roman"/>
      <w:sz w:val="20"/>
      <w:szCs w:val="20"/>
    </w:rPr>
  </w:style>
  <w:style w:type="character" w:styleId="FootnoteReference">
    <w:name w:val="footnote reference"/>
    <w:basedOn w:val="DefaultParagraphFont"/>
    <w:uiPriority w:val="99"/>
    <w:semiHidden/>
    <w:unhideWhenUsed/>
    <w:rsid w:val="002E3436"/>
    <w:rPr>
      <w:rFonts w:cs="Times New Roman"/>
      <w:vertAlign w:val="superscript"/>
    </w:rPr>
  </w:style>
  <w:style w:type="paragraph" w:styleId="BodyText">
    <w:name w:val="Body Text"/>
    <w:basedOn w:val="Normal"/>
    <w:link w:val="BodyTextChar"/>
    <w:uiPriority w:val="1"/>
    <w:qFormat/>
    <w:rsid w:val="002E3436"/>
    <w:pPr>
      <w:widowControl w:val="0"/>
      <w:autoSpaceDE w:val="0"/>
      <w:autoSpaceDN w:val="0"/>
      <w:spacing w:line="240" w:lineRule="auto"/>
    </w:pPr>
    <w:rPr>
      <w:sz w:val="23"/>
      <w:szCs w:val="23"/>
      <w:lang w:val="en-US"/>
    </w:rPr>
  </w:style>
  <w:style w:type="character" w:customStyle="1" w:styleId="BodyTextChar">
    <w:name w:val="Body Text Char"/>
    <w:basedOn w:val="DefaultParagraphFont"/>
    <w:link w:val="BodyText"/>
    <w:uiPriority w:val="1"/>
    <w:locked/>
    <w:rsid w:val="002E3436"/>
    <w:rPr>
      <w:rFonts w:eastAsia="Times New Roman" w:cs="Times New Roman"/>
      <w:sz w:val="23"/>
      <w:szCs w:val="23"/>
      <w:lang w:val="en-US" w:eastAsia="x-none"/>
    </w:rPr>
  </w:style>
  <w:style w:type="character" w:styleId="UnresolvedMention">
    <w:name w:val="Unresolved Mention"/>
    <w:basedOn w:val="DefaultParagraphFont"/>
    <w:uiPriority w:val="99"/>
    <w:semiHidden/>
    <w:unhideWhenUsed/>
    <w:rsid w:val="003407F2"/>
    <w:rPr>
      <w:rFonts w:cs="Times New Roman"/>
      <w:color w:val="605E5C"/>
      <w:shd w:val="clear" w:color="auto" w:fill="E1DFDD"/>
    </w:rPr>
  </w:style>
  <w:style w:type="character" w:styleId="Emphasis">
    <w:name w:val="Emphasis"/>
    <w:basedOn w:val="DefaultParagraphFont"/>
    <w:uiPriority w:val="20"/>
    <w:qFormat/>
    <w:rsid w:val="001C3243"/>
    <w:rPr>
      <w:rFonts w:cs="Times New Roman"/>
      <w:i/>
      <w:iCs/>
    </w:rPr>
  </w:style>
  <w:style w:type="paragraph" w:styleId="NormalWeb">
    <w:name w:val="Normal (Web)"/>
    <w:basedOn w:val="Normal"/>
    <w:uiPriority w:val="99"/>
    <w:unhideWhenUsed/>
    <w:rsid w:val="00A1705A"/>
    <w:pPr>
      <w:spacing w:before="100" w:beforeAutospacing="1" w:after="100" w:afterAutospacing="1" w:line="240" w:lineRule="auto"/>
    </w:pPr>
    <w:rPr>
      <w:lang w:val="en-US"/>
    </w:rPr>
  </w:style>
  <w:style w:type="character" w:customStyle="1" w:styleId="hgkelc">
    <w:name w:val="hgkelc"/>
    <w:basedOn w:val="DefaultParagraphFont"/>
    <w:rsid w:val="00A1705A"/>
    <w:rPr>
      <w:rFonts w:cs="Times New Roman"/>
    </w:rPr>
  </w:style>
  <w:style w:type="character" w:customStyle="1" w:styleId="footnotemark">
    <w:name w:val="footnote mark"/>
    <w:hidden/>
    <w:rsid w:val="00817E37"/>
    <w:rPr>
      <w:rFonts w:ascii="Times New Roman" w:hAnsi="Times New Roman"/>
      <w:color w:val="000000"/>
      <w:sz w:val="20"/>
      <w:vertAlign w:val="superscript"/>
    </w:rPr>
  </w:style>
  <w:style w:type="paragraph" w:customStyle="1" w:styleId="Default">
    <w:name w:val="Default"/>
    <w:rsid w:val="00B23EF7"/>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8262">
      <w:marLeft w:val="0"/>
      <w:marRight w:val="0"/>
      <w:marTop w:val="0"/>
      <w:marBottom w:val="0"/>
      <w:divBdr>
        <w:top w:val="none" w:sz="0" w:space="0" w:color="auto"/>
        <w:left w:val="none" w:sz="0" w:space="0" w:color="auto"/>
        <w:bottom w:val="none" w:sz="0" w:space="0" w:color="auto"/>
        <w:right w:val="none" w:sz="0" w:space="0" w:color="auto"/>
      </w:divBdr>
    </w:div>
    <w:div w:id="714238264">
      <w:marLeft w:val="0"/>
      <w:marRight w:val="0"/>
      <w:marTop w:val="0"/>
      <w:marBottom w:val="0"/>
      <w:divBdr>
        <w:top w:val="none" w:sz="0" w:space="0" w:color="auto"/>
        <w:left w:val="none" w:sz="0" w:space="0" w:color="auto"/>
        <w:bottom w:val="none" w:sz="0" w:space="0" w:color="auto"/>
        <w:right w:val="none" w:sz="0" w:space="0" w:color="auto"/>
      </w:divBdr>
    </w:div>
    <w:div w:id="714238265">
      <w:marLeft w:val="0"/>
      <w:marRight w:val="0"/>
      <w:marTop w:val="0"/>
      <w:marBottom w:val="0"/>
      <w:divBdr>
        <w:top w:val="none" w:sz="0" w:space="0" w:color="auto"/>
        <w:left w:val="none" w:sz="0" w:space="0" w:color="auto"/>
        <w:bottom w:val="none" w:sz="0" w:space="0" w:color="auto"/>
        <w:right w:val="none" w:sz="0" w:space="0" w:color="auto"/>
      </w:divBdr>
    </w:div>
    <w:div w:id="714238266">
      <w:marLeft w:val="0"/>
      <w:marRight w:val="0"/>
      <w:marTop w:val="0"/>
      <w:marBottom w:val="0"/>
      <w:divBdr>
        <w:top w:val="none" w:sz="0" w:space="0" w:color="auto"/>
        <w:left w:val="none" w:sz="0" w:space="0" w:color="auto"/>
        <w:bottom w:val="none" w:sz="0" w:space="0" w:color="auto"/>
        <w:right w:val="none" w:sz="0" w:space="0" w:color="auto"/>
      </w:divBdr>
      <w:divsChild>
        <w:div w:id="714238276">
          <w:marLeft w:val="0"/>
          <w:marRight w:val="0"/>
          <w:marTop w:val="0"/>
          <w:marBottom w:val="0"/>
          <w:divBdr>
            <w:top w:val="none" w:sz="0" w:space="0" w:color="auto"/>
            <w:left w:val="none" w:sz="0" w:space="0" w:color="auto"/>
            <w:bottom w:val="none" w:sz="0" w:space="0" w:color="auto"/>
            <w:right w:val="none" w:sz="0" w:space="0" w:color="auto"/>
          </w:divBdr>
        </w:div>
      </w:divsChild>
    </w:div>
    <w:div w:id="714238267">
      <w:marLeft w:val="0"/>
      <w:marRight w:val="0"/>
      <w:marTop w:val="0"/>
      <w:marBottom w:val="0"/>
      <w:divBdr>
        <w:top w:val="none" w:sz="0" w:space="0" w:color="auto"/>
        <w:left w:val="none" w:sz="0" w:space="0" w:color="auto"/>
        <w:bottom w:val="none" w:sz="0" w:space="0" w:color="auto"/>
        <w:right w:val="none" w:sz="0" w:space="0" w:color="auto"/>
      </w:divBdr>
    </w:div>
    <w:div w:id="714238268">
      <w:marLeft w:val="0"/>
      <w:marRight w:val="0"/>
      <w:marTop w:val="0"/>
      <w:marBottom w:val="0"/>
      <w:divBdr>
        <w:top w:val="none" w:sz="0" w:space="0" w:color="auto"/>
        <w:left w:val="none" w:sz="0" w:space="0" w:color="auto"/>
        <w:bottom w:val="none" w:sz="0" w:space="0" w:color="auto"/>
        <w:right w:val="none" w:sz="0" w:space="0" w:color="auto"/>
      </w:divBdr>
    </w:div>
    <w:div w:id="714238270">
      <w:marLeft w:val="0"/>
      <w:marRight w:val="0"/>
      <w:marTop w:val="0"/>
      <w:marBottom w:val="0"/>
      <w:divBdr>
        <w:top w:val="none" w:sz="0" w:space="0" w:color="auto"/>
        <w:left w:val="none" w:sz="0" w:space="0" w:color="auto"/>
        <w:bottom w:val="none" w:sz="0" w:space="0" w:color="auto"/>
        <w:right w:val="none" w:sz="0" w:space="0" w:color="auto"/>
      </w:divBdr>
    </w:div>
    <w:div w:id="714238271">
      <w:marLeft w:val="0"/>
      <w:marRight w:val="0"/>
      <w:marTop w:val="0"/>
      <w:marBottom w:val="0"/>
      <w:divBdr>
        <w:top w:val="none" w:sz="0" w:space="0" w:color="auto"/>
        <w:left w:val="none" w:sz="0" w:space="0" w:color="auto"/>
        <w:bottom w:val="none" w:sz="0" w:space="0" w:color="auto"/>
        <w:right w:val="none" w:sz="0" w:space="0" w:color="auto"/>
      </w:divBdr>
    </w:div>
    <w:div w:id="714238272">
      <w:marLeft w:val="0"/>
      <w:marRight w:val="0"/>
      <w:marTop w:val="0"/>
      <w:marBottom w:val="0"/>
      <w:divBdr>
        <w:top w:val="none" w:sz="0" w:space="0" w:color="auto"/>
        <w:left w:val="none" w:sz="0" w:space="0" w:color="auto"/>
        <w:bottom w:val="none" w:sz="0" w:space="0" w:color="auto"/>
        <w:right w:val="none" w:sz="0" w:space="0" w:color="auto"/>
      </w:divBdr>
      <w:divsChild>
        <w:div w:id="714238269">
          <w:marLeft w:val="0"/>
          <w:marRight w:val="0"/>
          <w:marTop w:val="0"/>
          <w:marBottom w:val="0"/>
          <w:divBdr>
            <w:top w:val="none" w:sz="0" w:space="0" w:color="auto"/>
            <w:left w:val="none" w:sz="0" w:space="0" w:color="auto"/>
            <w:bottom w:val="none" w:sz="0" w:space="0" w:color="auto"/>
            <w:right w:val="none" w:sz="0" w:space="0" w:color="auto"/>
          </w:divBdr>
        </w:div>
      </w:divsChild>
    </w:div>
    <w:div w:id="714238273">
      <w:marLeft w:val="0"/>
      <w:marRight w:val="0"/>
      <w:marTop w:val="0"/>
      <w:marBottom w:val="0"/>
      <w:divBdr>
        <w:top w:val="none" w:sz="0" w:space="0" w:color="auto"/>
        <w:left w:val="none" w:sz="0" w:space="0" w:color="auto"/>
        <w:bottom w:val="none" w:sz="0" w:space="0" w:color="auto"/>
        <w:right w:val="none" w:sz="0" w:space="0" w:color="auto"/>
      </w:divBdr>
    </w:div>
    <w:div w:id="714238274">
      <w:marLeft w:val="0"/>
      <w:marRight w:val="0"/>
      <w:marTop w:val="0"/>
      <w:marBottom w:val="0"/>
      <w:divBdr>
        <w:top w:val="none" w:sz="0" w:space="0" w:color="auto"/>
        <w:left w:val="none" w:sz="0" w:space="0" w:color="auto"/>
        <w:bottom w:val="none" w:sz="0" w:space="0" w:color="auto"/>
        <w:right w:val="none" w:sz="0" w:space="0" w:color="auto"/>
      </w:divBdr>
      <w:divsChild>
        <w:div w:id="714238284">
          <w:marLeft w:val="0"/>
          <w:marRight w:val="0"/>
          <w:marTop w:val="0"/>
          <w:marBottom w:val="0"/>
          <w:divBdr>
            <w:top w:val="none" w:sz="0" w:space="0" w:color="auto"/>
            <w:left w:val="none" w:sz="0" w:space="0" w:color="auto"/>
            <w:bottom w:val="none" w:sz="0" w:space="0" w:color="auto"/>
            <w:right w:val="none" w:sz="0" w:space="0" w:color="auto"/>
          </w:divBdr>
        </w:div>
      </w:divsChild>
    </w:div>
    <w:div w:id="714238275">
      <w:marLeft w:val="0"/>
      <w:marRight w:val="0"/>
      <w:marTop w:val="0"/>
      <w:marBottom w:val="0"/>
      <w:divBdr>
        <w:top w:val="none" w:sz="0" w:space="0" w:color="auto"/>
        <w:left w:val="none" w:sz="0" w:space="0" w:color="auto"/>
        <w:bottom w:val="none" w:sz="0" w:space="0" w:color="auto"/>
        <w:right w:val="none" w:sz="0" w:space="0" w:color="auto"/>
      </w:divBdr>
    </w:div>
    <w:div w:id="714238277">
      <w:marLeft w:val="0"/>
      <w:marRight w:val="0"/>
      <w:marTop w:val="0"/>
      <w:marBottom w:val="0"/>
      <w:divBdr>
        <w:top w:val="none" w:sz="0" w:space="0" w:color="auto"/>
        <w:left w:val="none" w:sz="0" w:space="0" w:color="auto"/>
        <w:bottom w:val="none" w:sz="0" w:space="0" w:color="auto"/>
        <w:right w:val="none" w:sz="0" w:space="0" w:color="auto"/>
      </w:divBdr>
    </w:div>
    <w:div w:id="714238278">
      <w:marLeft w:val="0"/>
      <w:marRight w:val="0"/>
      <w:marTop w:val="0"/>
      <w:marBottom w:val="0"/>
      <w:divBdr>
        <w:top w:val="none" w:sz="0" w:space="0" w:color="auto"/>
        <w:left w:val="none" w:sz="0" w:space="0" w:color="auto"/>
        <w:bottom w:val="none" w:sz="0" w:space="0" w:color="auto"/>
        <w:right w:val="none" w:sz="0" w:space="0" w:color="auto"/>
      </w:divBdr>
    </w:div>
    <w:div w:id="714238279">
      <w:marLeft w:val="0"/>
      <w:marRight w:val="0"/>
      <w:marTop w:val="0"/>
      <w:marBottom w:val="0"/>
      <w:divBdr>
        <w:top w:val="none" w:sz="0" w:space="0" w:color="auto"/>
        <w:left w:val="none" w:sz="0" w:space="0" w:color="auto"/>
        <w:bottom w:val="none" w:sz="0" w:space="0" w:color="auto"/>
        <w:right w:val="none" w:sz="0" w:space="0" w:color="auto"/>
      </w:divBdr>
      <w:divsChild>
        <w:div w:id="714238261">
          <w:marLeft w:val="0"/>
          <w:marRight w:val="0"/>
          <w:marTop w:val="0"/>
          <w:marBottom w:val="0"/>
          <w:divBdr>
            <w:top w:val="none" w:sz="0" w:space="0" w:color="auto"/>
            <w:left w:val="none" w:sz="0" w:space="0" w:color="auto"/>
            <w:bottom w:val="none" w:sz="0" w:space="0" w:color="auto"/>
            <w:right w:val="none" w:sz="0" w:space="0" w:color="auto"/>
          </w:divBdr>
        </w:div>
      </w:divsChild>
    </w:div>
    <w:div w:id="714238280">
      <w:marLeft w:val="0"/>
      <w:marRight w:val="0"/>
      <w:marTop w:val="0"/>
      <w:marBottom w:val="0"/>
      <w:divBdr>
        <w:top w:val="none" w:sz="0" w:space="0" w:color="auto"/>
        <w:left w:val="none" w:sz="0" w:space="0" w:color="auto"/>
        <w:bottom w:val="none" w:sz="0" w:space="0" w:color="auto"/>
        <w:right w:val="none" w:sz="0" w:space="0" w:color="auto"/>
      </w:divBdr>
    </w:div>
    <w:div w:id="714238281">
      <w:marLeft w:val="0"/>
      <w:marRight w:val="0"/>
      <w:marTop w:val="0"/>
      <w:marBottom w:val="0"/>
      <w:divBdr>
        <w:top w:val="none" w:sz="0" w:space="0" w:color="auto"/>
        <w:left w:val="none" w:sz="0" w:space="0" w:color="auto"/>
        <w:bottom w:val="none" w:sz="0" w:space="0" w:color="auto"/>
        <w:right w:val="none" w:sz="0" w:space="0" w:color="auto"/>
      </w:divBdr>
    </w:div>
    <w:div w:id="714238282">
      <w:marLeft w:val="0"/>
      <w:marRight w:val="0"/>
      <w:marTop w:val="0"/>
      <w:marBottom w:val="0"/>
      <w:divBdr>
        <w:top w:val="none" w:sz="0" w:space="0" w:color="auto"/>
        <w:left w:val="none" w:sz="0" w:space="0" w:color="auto"/>
        <w:bottom w:val="none" w:sz="0" w:space="0" w:color="auto"/>
        <w:right w:val="none" w:sz="0" w:space="0" w:color="auto"/>
      </w:divBdr>
    </w:div>
    <w:div w:id="714238283">
      <w:marLeft w:val="0"/>
      <w:marRight w:val="0"/>
      <w:marTop w:val="0"/>
      <w:marBottom w:val="0"/>
      <w:divBdr>
        <w:top w:val="none" w:sz="0" w:space="0" w:color="auto"/>
        <w:left w:val="none" w:sz="0" w:space="0" w:color="auto"/>
        <w:bottom w:val="none" w:sz="0" w:space="0" w:color="auto"/>
        <w:right w:val="none" w:sz="0" w:space="0" w:color="auto"/>
      </w:divBdr>
      <w:divsChild>
        <w:div w:id="714238263">
          <w:marLeft w:val="0"/>
          <w:marRight w:val="0"/>
          <w:marTop w:val="0"/>
          <w:marBottom w:val="0"/>
          <w:divBdr>
            <w:top w:val="none" w:sz="0" w:space="0" w:color="auto"/>
            <w:left w:val="none" w:sz="0" w:space="0" w:color="auto"/>
            <w:bottom w:val="none" w:sz="0" w:space="0" w:color="auto"/>
            <w:right w:val="none" w:sz="0" w:space="0" w:color="auto"/>
          </w:divBdr>
        </w:div>
      </w:divsChild>
    </w:div>
    <w:div w:id="714238285">
      <w:marLeft w:val="0"/>
      <w:marRight w:val="0"/>
      <w:marTop w:val="0"/>
      <w:marBottom w:val="0"/>
      <w:divBdr>
        <w:top w:val="none" w:sz="0" w:space="0" w:color="auto"/>
        <w:left w:val="none" w:sz="0" w:space="0" w:color="auto"/>
        <w:bottom w:val="none" w:sz="0" w:space="0" w:color="auto"/>
        <w:right w:val="none" w:sz="0" w:space="0" w:color="auto"/>
      </w:divBdr>
    </w:div>
    <w:div w:id="714238286">
      <w:marLeft w:val="0"/>
      <w:marRight w:val="0"/>
      <w:marTop w:val="0"/>
      <w:marBottom w:val="0"/>
      <w:divBdr>
        <w:top w:val="none" w:sz="0" w:space="0" w:color="auto"/>
        <w:left w:val="none" w:sz="0" w:space="0" w:color="auto"/>
        <w:bottom w:val="none" w:sz="0" w:space="0" w:color="auto"/>
        <w:right w:val="none" w:sz="0" w:space="0" w:color="auto"/>
      </w:divBdr>
      <w:divsChild>
        <w:div w:id="714238289">
          <w:marLeft w:val="0"/>
          <w:marRight w:val="0"/>
          <w:marTop w:val="0"/>
          <w:marBottom w:val="0"/>
          <w:divBdr>
            <w:top w:val="none" w:sz="0" w:space="0" w:color="auto"/>
            <w:left w:val="none" w:sz="0" w:space="0" w:color="auto"/>
            <w:bottom w:val="none" w:sz="0" w:space="0" w:color="auto"/>
            <w:right w:val="none" w:sz="0" w:space="0" w:color="auto"/>
          </w:divBdr>
        </w:div>
      </w:divsChild>
    </w:div>
    <w:div w:id="714238287">
      <w:marLeft w:val="0"/>
      <w:marRight w:val="0"/>
      <w:marTop w:val="0"/>
      <w:marBottom w:val="0"/>
      <w:divBdr>
        <w:top w:val="none" w:sz="0" w:space="0" w:color="auto"/>
        <w:left w:val="none" w:sz="0" w:space="0" w:color="auto"/>
        <w:bottom w:val="none" w:sz="0" w:space="0" w:color="auto"/>
        <w:right w:val="none" w:sz="0" w:space="0" w:color="auto"/>
      </w:divBdr>
    </w:div>
    <w:div w:id="714238288">
      <w:marLeft w:val="0"/>
      <w:marRight w:val="0"/>
      <w:marTop w:val="0"/>
      <w:marBottom w:val="0"/>
      <w:divBdr>
        <w:top w:val="none" w:sz="0" w:space="0" w:color="auto"/>
        <w:left w:val="none" w:sz="0" w:space="0" w:color="auto"/>
        <w:bottom w:val="none" w:sz="0" w:space="0" w:color="auto"/>
        <w:right w:val="none" w:sz="0" w:space="0" w:color="auto"/>
      </w:divBdr>
    </w:div>
    <w:div w:id="714238292">
      <w:marLeft w:val="0"/>
      <w:marRight w:val="0"/>
      <w:marTop w:val="0"/>
      <w:marBottom w:val="0"/>
      <w:divBdr>
        <w:top w:val="none" w:sz="0" w:space="0" w:color="auto"/>
        <w:left w:val="none" w:sz="0" w:space="0" w:color="auto"/>
        <w:bottom w:val="none" w:sz="0" w:space="0" w:color="auto"/>
        <w:right w:val="none" w:sz="0" w:space="0" w:color="auto"/>
      </w:divBdr>
      <w:divsChild>
        <w:div w:id="714238260">
          <w:marLeft w:val="0"/>
          <w:marRight w:val="0"/>
          <w:marTop w:val="0"/>
          <w:marBottom w:val="0"/>
          <w:divBdr>
            <w:top w:val="none" w:sz="0" w:space="0" w:color="auto"/>
            <w:left w:val="none" w:sz="0" w:space="0" w:color="auto"/>
            <w:bottom w:val="none" w:sz="0" w:space="0" w:color="auto"/>
            <w:right w:val="none" w:sz="0" w:space="0" w:color="auto"/>
          </w:divBdr>
        </w:div>
        <w:div w:id="714238291">
          <w:marLeft w:val="0"/>
          <w:marRight w:val="0"/>
          <w:marTop w:val="0"/>
          <w:marBottom w:val="0"/>
          <w:divBdr>
            <w:top w:val="none" w:sz="0" w:space="0" w:color="auto"/>
            <w:left w:val="none" w:sz="0" w:space="0" w:color="auto"/>
            <w:bottom w:val="none" w:sz="0" w:space="0" w:color="auto"/>
            <w:right w:val="none" w:sz="0" w:space="0" w:color="auto"/>
          </w:divBdr>
        </w:div>
      </w:divsChild>
    </w:div>
    <w:div w:id="714238294">
      <w:marLeft w:val="0"/>
      <w:marRight w:val="0"/>
      <w:marTop w:val="0"/>
      <w:marBottom w:val="0"/>
      <w:divBdr>
        <w:top w:val="none" w:sz="0" w:space="0" w:color="auto"/>
        <w:left w:val="none" w:sz="0" w:space="0" w:color="auto"/>
        <w:bottom w:val="none" w:sz="0" w:space="0" w:color="auto"/>
        <w:right w:val="none" w:sz="0" w:space="0" w:color="auto"/>
      </w:divBdr>
      <w:divsChild>
        <w:div w:id="714238290">
          <w:marLeft w:val="0"/>
          <w:marRight w:val="0"/>
          <w:marTop w:val="0"/>
          <w:marBottom w:val="0"/>
          <w:divBdr>
            <w:top w:val="none" w:sz="0" w:space="0" w:color="auto"/>
            <w:left w:val="none" w:sz="0" w:space="0" w:color="auto"/>
            <w:bottom w:val="none" w:sz="0" w:space="0" w:color="auto"/>
            <w:right w:val="none" w:sz="0" w:space="0" w:color="auto"/>
          </w:divBdr>
        </w:div>
        <w:div w:id="71423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i.go.id/id/informasi-publik/dasar-huku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B74F-05AD-4486-A59A-4071ECDC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dwi</dc:creator>
  <cp:keywords/>
  <dc:description/>
  <cp:lastModifiedBy>bagus dwi</cp:lastModifiedBy>
  <cp:revision>3</cp:revision>
  <cp:lastPrinted>2022-06-13T02:39:00Z</cp:lastPrinted>
  <dcterms:created xsi:type="dcterms:W3CDTF">2022-08-07T20:04:00Z</dcterms:created>
  <dcterms:modified xsi:type="dcterms:W3CDTF">2022-08-15T11:07:00Z</dcterms:modified>
</cp:coreProperties>
</file>