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footer6.xml" ContentType="application/vnd.openxmlformats-officedocument.wordprocessingml.footer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480"/>
        <w:jc w:val="center"/>
        <w:rPr>
          <w:b/>
          <w:color w:val="000000"/>
          <w:lang w:val="en-US"/>
        </w:rPr>
      </w:pPr>
      <w:bookmarkStart w:id="0" w:name="_Toc108013005"/>
      <w:r>
        <w:rPr>
          <w:b/>
          <w:color w:val="000000"/>
          <w:lang w:val="en-US"/>
        </w:rPr>
        <w:t>DAFTAR PUSTAKA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lang w:val="en-ID"/>
        </w:rPr>
        <w:fldChar w:fldCharType="begin"/>
      </w:r>
      <w:r>
        <w:rPr>
          <w:lang w:val="en-ID"/>
        </w:rPr>
        <w:instrText xml:space="preserve">ADDIN Mendeley Bibliography CSL_BIBLIOGRAPHY </w:instrText>
      </w:r>
      <w:r>
        <w:rPr>
          <w:lang w:val="en-ID"/>
        </w:rPr>
        <w:fldChar w:fldCharType="separate"/>
      </w:r>
      <w:r>
        <w:rPr>
          <w:noProof/>
        </w:rPr>
        <w:t xml:space="preserve">Abdurrohman, Fauziah, H. N., &amp; Fakhriyah, A. N. (2020). Analisis Risiko Operasional Bank Syariah Pada Masa Pandemi Covid-19. </w:t>
      </w:r>
      <w:r>
        <w:rPr>
          <w:i/>
          <w:iCs/>
          <w:noProof/>
        </w:rPr>
        <w:t>Al Intaj, Jurnal Ekonomi Dan Perbankan Syariah</w:t>
      </w:r>
      <w:r>
        <w:rPr>
          <w:noProof/>
        </w:rPr>
        <w:t xml:space="preserve">, </w:t>
      </w:r>
      <w:r>
        <w:rPr>
          <w:i/>
          <w:iCs/>
          <w:noProof/>
        </w:rPr>
        <w:t>6</w:t>
      </w:r>
      <w:r>
        <w:rPr>
          <w:noProof/>
        </w:rPr>
        <w:t>(2), 38–45. https://ejournal.iainbengkulu.ac.id/index.php/Al-Intaj/article/view/3380/2660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Andriani, V., &amp; Mukhaer, P. (2019). Analisis </w:t>
      </w:r>
      <w:r>
        <w:rPr>
          <w:i/>
          <w:noProof/>
        </w:rPr>
        <w:t>Non Performing Financing</w:t>
      </w:r>
      <w:r>
        <w:rPr>
          <w:noProof/>
        </w:rPr>
        <w:t xml:space="preserve">, Dana Pihak Ketiga, </w:t>
      </w:r>
      <w:r>
        <w:rPr>
          <w:i/>
          <w:noProof/>
        </w:rPr>
        <w:t>Capital Adequacy Ratio</w:t>
      </w:r>
      <w:r>
        <w:rPr>
          <w:noProof/>
        </w:rPr>
        <w:t>, Dan F</w:t>
      </w:r>
      <w:r>
        <w:rPr>
          <w:i/>
          <w:noProof/>
        </w:rPr>
        <w:t>inancing To Deposit</w:t>
      </w:r>
      <w:r>
        <w:rPr>
          <w:noProof/>
        </w:rPr>
        <w:t xml:space="preserve"> Terhadap Total Pembiayaan. </w:t>
      </w:r>
      <w:r>
        <w:rPr>
          <w:i/>
          <w:iCs/>
          <w:noProof/>
        </w:rPr>
        <w:t>Jurnal Ekonomi Syariah Dan Filantropfi Islam</w:t>
      </w:r>
      <w:r>
        <w:rPr>
          <w:noProof/>
        </w:rPr>
        <w:t xml:space="preserve">, </w:t>
      </w:r>
      <w:r>
        <w:rPr>
          <w:i/>
          <w:iCs/>
          <w:noProof/>
        </w:rPr>
        <w:t>3</w:t>
      </w:r>
      <w:r>
        <w:rPr>
          <w:noProof/>
        </w:rPr>
        <w:t>. https://doi.org/10.22236/alurban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Andrianto, &amp; Firmansyah, M. A. (2019). </w:t>
      </w:r>
      <w:r>
        <w:rPr>
          <w:i/>
          <w:iCs/>
          <w:noProof/>
        </w:rPr>
        <w:t>Manajemen Bank Syariah (Implementansi Teori dan Praktek)</w:t>
      </w:r>
      <w:r>
        <w:rPr>
          <w:noProof/>
        </w:rPr>
        <w:t>. Jawa Timur: CV. Penerbit Qiara Media.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>Antonio, M. S. (2001</w:t>
      </w:r>
      <w:r>
        <w:rPr>
          <w:noProof/>
        </w:rPr>
        <w:t xml:space="preserve">). </w:t>
      </w:r>
      <w:r>
        <w:rPr>
          <w:i/>
          <w:iCs/>
          <w:noProof/>
        </w:rPr>
        <w:t>Bank Syariah Dari Teori ke Praktik</w:t>
      </w:r>
      <w:r>
        <w:rPr>
          <w:noProof/>
        </w:rPr>
        <w:t>. Jakarta: Gema Insani Press.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Anwar, C., &amp; Miqdad, M. (2017). Pengaruh Dana Pihak Ketiga (DPK), </w:t>
      </w:r>
      <w:r>
        <w:rPr>
          <w:i/>
          <w:noProof/>
        </w:rPr>
        <w:t>Capital Adequacy Ratio</w:t>
      </w:r>
      <w:r>
        <w:rPr>
          <w:noProof/>
        </w:rPr>
        <w:t xml:space="preserve"> (CAR), </w:t>
      </w:r>
      <w:r>
        <w:rPr>
          <w:i/>
          <w:noProof/>
        </w:rPr>
        <w:t>Return On Asset</w:t>
      </w:r>
      <w:r>
        <w:rPr>
          <w:noProof/>
        </w:rPr>
        <w:t xml:space="preserve"> (ROA) Terahadap Pembiayaan Mudharabah Pada Bank Umum Syariah Tahun 2008-2012. </w:t>
      </w:r>
      <w:r>
        <w:rPr>
          <w:i/>
          <w:iCs/>
          <w:noProof/>
        </w:rPr>
        <w:t>Riset &amp; Jurnal Akuntansi</w:t>
      </w:r>
      <w:r>
        <w:rPr>
          <w:noProof/>
        </w:rPr>
        <w:t xml:space="preserve">, </w:t>
      </w:r>
      <w:r>
        <w:rPr>
          <w:i/>
          <w:iCs/>
          <w:noProof/>
        </w:rPr>
        <w:t>1</w:t>
      </w:r>
      <w:r>
        <w:rPr>
          <w:noProof/>
        </w:rPr>
        <w:t>(1), 42–47. https://owner.polgan.ac.id/index.php/owner/article/view/14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Arifin. (2005). </w:t>
      </w:r>
      <w:r>
        <w:rPr>
          <w:i/>
          <w:iCs/>
          <w:noProof/>
        </w:rPr>
        <w:t>Teori Keuangan dan Pasar Modal</w:t>
      </w:r>
      <w:r>
        <w:rPr>
          <w:noProof/>
        </w:rPr>
        <w:t>. Yogyakarta: Ekosinia.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Atika, &amp; Nasution, M. L. I. (2019). </w:t>
      </w:r>
      <w:r>
        <w:rPr>
          <w:i/>
          <w:iCs/>
          <w:noProof/>
        </w:rPr>
        <w:t xml:space="preserve">Pengaruh Inflasi , Non Performing Financing </w:t>
      </w:r>
      <w:r>
        <w:rPr>
          <w:iCs/>
          <w:noProof/>
        </w:rPr>
        <w:t>(NPF</w:t>
      </w:r>
      <w:r>
        <w:rPr>
          <w:iCs/>
          <w:noProof/>
        </w:rPr>
        <w:t>)</w:t>
      </w:r>
      <w:r>
        <w:rPr>
          <w:i/>
          <w:iCs/>
          <w:noProof/>
        </w:rPr>
        <w:t xml:space="preserve"> </w:t>
      </w:r>
      <w:r>
        <w:rPr>
          <w:iCs/>
          <w:noProof/>
        </w:rPr>
        <w:t>Dan Dana Pihak Ketiga (DPK</w:t>
      </w:r>
      <w:r>
        <w:rPr>
          <w:iCs/>
          <w:noProof/>
        </w:rPr>
        <w:t xml:space="preserve">) </w:t>
      </w:r>
      <w:r>
        <w:rPr>
          <w:i/>
          <w:iCs/>
          <w:noProof/>
        </w:rPr>
        <w:t>Terhadap Pembiayaan Murabahah Pada Bank Syariah Di Indonesia</w:t>
      </w:r>
      <w:r>
        <w:rPr>
          <w:noProof/>
        </w:rPr>
        <w:t xml:space="preserve">. </w:t>
      </w:r>
      <w:r>
        <w:rPr>
          <w:i/>
          <w:iCs/>
          <w:noProof/>
        </w:rPr>
        <w:t>10</w:t>
      </w:r>
      <w:r>
        <w:rPr>
          <w:noProof/>
        </w:rPr>
        <w:t>(1), 206–225. https://jurnal.pancabudi.ac.id/index.php/akuntansibisnisdanpublik/article/view/583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Azzahrah, A. N. A. F. (2018). Determinasi Variabel </w:t>
      </w:r>
      <w:r>
        <w:rPr>
          <w:i/>
          <w:noProof/>
        </w:rPr>
        <w:t>Return On Assets</w:t>
      </w:r>
      <w:r>
        <w:rPr>
          <w:noProof/>
        </w:rPr>
        <w:t xml:space="preserve"> (ROA), Dana Pihak Ketiga (DPK) dan Inflasi Terhadap Pembiayaan BPRS di Indonesia. </w:t>
      </w:r>
      <w:r>
        <w:rPr>
          <w:i/>
          <w:iCs/>
          <w:noProof/>
        </w:rPr>
        <w:t>Jurnal Kajian Ekonomi Syariah</w:t>
      </w:r>
      <w:r>
        <w:rPr>
          <w:noProof/>
        </w:rPr>
        <w:t xml:space="preserve">, </w:t>
      </w:r>
      <w:r>
        <w:rPr>
          <w:i/>
          <w:iCs/>
          <w:noProof/>
        </w:rPr>
        <w:t>2</w:t>
      </w:r>
      <w:r>
        <w:rPr>
          <w:noProof/>
        </w:rPr>
        <w:t>(1). https://journal.parahikma.ac.id/el-iqtishod/article/view/65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  <w:lang w:val="en-ID"/>
        </w:rPr>
      </w:pPr>
      <w:r>
        <w:rPr>
          <w:noProof/>
        </w:rPr>
        <w:t>Bakti, N. S. (2018). An</w:t>
      </w:r>
      <w:r>
        <w:rPr>
          <w:noProof/>
        </w:rPr>
        <w:t>alisis D</w:t>
      </w:r>
      <w:r>
        <w:rPr>
          <w:noProof/>
          <w:lang w:val="en-ID"/>
        </w:rPr>
        <w:t>PK</w:t>
      </w:r>
      <w:r>
        <w:rPr>
          <w:noProof/>
        </w:rPr>
        <w:t>, C</w:t>
      </w:r>
      <w:r>
        <w:rPr>
          <w:noProof/>
          <w:lang w:val="en-ID"/>
        </w:rPr>
        <w:t>AR</w:t>
      </w:r>
      <w:r>
        <w:rPr>
          <w:noProof/>
        </w:rPr>
        <w:t>, R</w:t>
      </w:r>
      <w:r>
        <w:rPr>
          <w:noProof/>
          <w:lang w:val="en-ID"/>
        </w:rPr>
        <w:t>OS</w:t>
      </w:r>
      <w:r>
        <w:rPr>
          <w:noProof/>
        </w:rPr>
        <w:t xml:space="preserve"> Dan N</w:t>
      </w:r>
      <w:r>
        <w:rPr>
          <w:noProof/>
          <w:lang w:val="en-ID"/>
        </w:rPr>
        <w:t>PF</w:t>
      </w:r>
      <w:r>
        <w:rPr>
          <w:noProof/>
        </w:rPr>
        <w:t xml:space="preserve"> Terhadap Pembiayaan Pada Perbankan Syariah. </w:t>
      </w:r>
      <w:r>
        <w:rPr>
          <w:i/>
          <w:iCs/>
          <w:noProof/>
        </w:rPr>
        <w:t>Jurnal Bisnis Dan Manajemen</w:t>
      </w:r>
      <w:r>
        <w:rPr>
          <w:noProof/>
        </w:rPr>
        <w:t xml:space="preserve">, </w:t>
      </w:r>
      <w:r>
        <w:rPr>
          <w:i/>
          <w:iCs/>
          <w:noProof/>
        </w:rPr>
        <w:t>17</w:t>
      </w:r>
      <w:r>
        <w:rPr>
          <w:noProof/>
        </w:rPr>
        <w:t>(2), 15. https://doi.org/10.20961/jbm.v17i2.17180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Citarayani, I., Quintania, M., &amp; Handayani, D. P. (2021). Pengaruh </w:t>
      </w:r>
      <w:r>
        <w:rPr>
          <w:i/>
          <w:noProof/>
        </w:rPr>
        <w:t>Capital Adequacy Ratio</w:t>
      </w:r>
      <w:r>
        <w:rPr>
          <w:noProof/>
        </w:rPr>
        <w:t xml:space="preserve"> (CAR), </w:t>
      </w:r>
      <w:r>
        <w:rPr>
          <w:i/>
          <w:noProof/>
        </w:rPr>
        <w:t>Return On Assets</w:t>
      </w:r>
      <w:r>
        <w:rPr>
          <w:noProof/>
        </w:rPr>
        <w:t xml:space="preserve"> (ROA), dan </w:t>
      </w:r>
      <w:r>
        <w:rPr>
          <w:i/>
          <w:noProof/>
        </w:rPr>
        <w:t xml:space="preserve">Non Performing </w:t>
      </w:r>
      <w:r>
        <w:rPr>
          <w:i/>
          <w:noProof/>
        </w:rPr>
        <w:t>Fin</w:t>
      </w:r>
      <w:r>
        <w:rPr>
          <w:i/>
          <w:noProof/>
          <w:lang w:val="en-ID"/>
        </w:rPr>
        <w:t xml:space="preserve">ancing </w:t>
      </w:r>
      <w:r>
        <w:rPr>
          <w:noProof/>
        </w:rPr>
        <w:t xml:space="preserve">(NPF) Terhadap Penyaluran Pembiayaan pada Bank Umum Syariah yang Terdaftar di Otoritas Jasa Keuangan (OJK) Periode Tahun 2012–2019. </w:t>
      </w:r>
      <w:r>
        <w:rPr>
          <w:i/>
          <w:iCs/>
          <w:noProof/>
        </w:rPr>
        <w:t>Akuisisi: Jurnal Akuntansi</w:t>
      </w:r>
      <w:r>
        <w:rPr>
          <w:noProof/>
        </w:rPr>
        <w:t xml:space="preserve">, </w:t>
      </w:r>
      <w:r>
        <w:rPr>
          <w:i/>
          <w:iCs/>
          <w:noProof/>
        </w:rPr>
        <w:t>17</w:t>
      </w:r>
      <w:r>
        <w:rPr>
          <w:noProof/>
        </w:rPr>
        <w:t>(1), 64–81. https://doi.org/10.24127/akuisisi.v17i1.581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Dendawijaya, L. (2000). </w:t>
      </w:r>
      <w:r>
        <w:rPr>
          <w:i/>
          <w:iCs/>
          <w:noProof/>
        </w:rPr>
        <w:t>Manajemen Perbankan Cetakan Pertama</w:t>
      </w:r>
      <w:r>
        <w:rPr>
          <w:noProof/>
        </w:rPr>
        <w:t>. Jakarta: Ghalia Indonesia.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Erlita, R. R. (2017). Pengaruh DPK, NPF, CAR, Ekuivalen Bagi Hasil, Dan Sertifikat IMA Terhadap Pembiayaan Bank Umum Syariah Tahun 2012-2014. </w:t>
      </w:r>
      <w:r>
        <w:rPr>
          <w:i/>
          <w:iCs/>
          <w:noProof/>
        </w:rPr>
        <w:t>Kajian Bisnis STIE Widya Wiwaha</w:t>
      </w:r>
      <w:r>
        <w:rPr>
          <w:noProof/>
        </w:rPr>
        <w:t xml:space="preserve">, </w:t>
      </w:r>
      <w:r>
        <w:rPr>
          <w:i/>
          <w:iCs/>
          <w:noProof/>
        </w:rPr>
        <w:t>24</w:t>
      </w:r>
      <w:r>
        <w:rPr>
          <w:noProof/>
        </w:rPr>
        <w:t>(2), 167–180. https://doi.org/10.32477/jkb.v24i2.225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Ghozali, I. (2018). </w:t>
      </w:r>
      <w:r>
        <w:rPr>
          <w:i/>
          <w:iCs/>
          <w:noProof/>
        </w:rPr>
        <w:t>Aplikasi Analisis Multivariate Dengan Program IBM SPSS 25 Edisi 9</w:t>
      </w:r>
      <w:r>
        <w:rPr>
          <w:noProof/>
        </w:rPr>
        <w:t>. Semarang: Undip.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Hasanah, U., &amp; Sunarsih, U. (2020). </w:t>
      </w:r>
      <w:r>
        <w:rPr>
          <w:i/>
          <w:iCs/>
          <w:noProof/>
        </w:rPr>
        <w:t>P</w:t>
      </w:r>
      <w:r>
        <w:rPr>
          <w:iCs/>
          <w:noProof/>
        </w:rPr>
        <w:t>engaruh dana pihak ketiga dan non performing financing terhadap penyaluran pembiayaan yang dimoderasi oleh tingkat inflasi pada Bank Umum Syariah</w:t>
      </w:r>
      <w:r>
        <w:rPr>
          <w:i/>
          <w:iCs/>
          <w:noProof/>
        </w:rPr>
        <w:t xml:space="preserve"> </w:t>
      </w:r>
      <w:r>
        <w:rPr>
          <w:iCs/>
          <w:noProof/>
          <w:lang w:val="en-ID"/>
        </w:rPr>
        <w:t>( Periode 20</w:t>
      </w:r>
      <w:r>
        <w:rPr>
          <w:noProof/>
        </w:rPr>
        <w:t>1</w:t>
      </w:r>
      <w:r>
        <w:rPr>
          <w:noProof/>
          <w:lang w:val="en-ID"/>
        </w:rPr>
        <w:t>5</w:t>
      </w:r>
      <w:r>
        <w:rPr>
          <w:noProof/>
        </w:rPr>
        <w:t>–</w:t>
      </w:r>
      <w:r>
        <w:rPr>
          <w:noProof/>
          <w:lang w:val="en-ID"/>
        </w:rPr>
        <w:t>20</w:t>
      </w:r>
      <w:r>
        <w:rPr>
          <w:noProof/>
        </w:rPr>
        <w:t>19</w:t>
      </w:r>
      <w:r>
        <w:rPr>
          <w:noProof/>
          <w:lang w:val="en-ID"/>
        </w:rPr>
        <w:t>)</w:t>
      </w:r>
      <w:r>
        <w:rPr>
          <w:noProof/>
        </w:rPr>
        <w:t>. http://mulok.library.um.ac.id/index3.php/71154.html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Ismail. (2011). </w:t>
      </w:r>
      <w:r>
        <w:rPr>
          <w:i/>
          <w:iCs/>
          <w:noProof/>
        </w:rPr>
        <w:t>Perbankan Syariah</w:t>
      </w:r>
      <w:r>
        <w:rPr>
          <w:noProof/>
        </w:rPr>
        <w:t xml:space="preserve"> (Pertama). Jakarta: Prena Media Group.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Kasmir. (2014). </w:t>
      </w:r>
      <w:r>
        <w:rPr>
          <w:i/>
          <w:iCs/>
          <w:noProof/>
        </w:rPr>
        <w:t>Bank dan Lembaga Keuangan Lainnya. Edisi Revisi 2014</w:t>
      </w:r>
      <w:r>
        <w:rPr>
          <w:noProof/>
        </w:rPr>
        <w:t>. Jakarta: PT RajaGrafindo Persada.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Mizan. (2017). DPK, CAR, NPF, DER, dan ROA Terhadap Pembiayaan Murabahah Pada Bank Umum Syariah. </w:t>
      </w:r>
      <w:r>
        <w:rPr>
          <w:i/>
          <w:iCs/>
          <w:noProof/>
        </w:rPr>
        <w:t>Journal Balance</w:t>
      </w:r>
      <w:r>
        <w:rPr>
          <w:noProof/>
        </w:rPr>
        <w:t xml:space="preserve">, </w:t>
      </w:r>
      <w:r>
        <w:rPr>
          <w:i/>
          <w:iCs/>
          <w:noProof/>
        </w:rPr>
        <w:t>XIV</w:t>
      </w:r>
      <w:r>
        <w:rPr>
          <w:noProof/>
        </w:rPr>
        <w:t>(1), 72–83. https://journal.um-surabaya.ac.id/index.php/balance/article/view/1287/1195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Muhamad. (2014). </w:t>
      </w:r>
      <w:r>
        <w:rPr>
          <w:i/>
          <w:iCs/>
          <w:noProof/>
        </w:rPr>
        <w:t>Manajemen Dana Bank Syariah</w:t>
      </w:r>
      <w:r>
        <w:rPr>
          <w:noProof/>
        </w:rPr>
        <w:t>. Jakarta: Rajawali Pers.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  <w:lang w:val="en-ID"/>
        </w:rPr>
      </w:pPr>
      <w:r>
        <w:rPr>
          <w:noProof/>
        </w:rPr>
        <w:t xml:space="preserve">Nurdiwaty, D., &amp; Faisol, F. (2017). Analisis </w:t>
      </w:r>
      <w:r>
        <w:rPr>
          <w:i/>
          <w:noProof/>
        </w:rPr>
        <w:t>Financing To Deposit Ratio</w:t>
      </w:r>
      <w:r>
        <w:rPr>
          <w:noProof/>
        </w:rPr>
        <w:t xml:space="preserve">, </w:t>
      </w:r>
      <w:r>
        <w:rPr>
          <w:i/>
          <w:noProof/>
        </w:rPr>
        <w:t>Debt To Equity Ratio</w:t>
      </w:r>
      <w:r>
        <w:rPr>
          <w:noProof/>
        </w:rPr>
        <w:t xml:space="preserve">, </w:t>
      </w:r>
      <w:r>
        <w:rPr>
          <w:i/>
          <w:noProof/>
        </w:rPr>
        <w:t>Return On Equity</w:t>
      </w:r>
      <w:r>
        <w:rPr>
          <w:noProof/>
        </w:rPr>
        <w:t xml:space="preserve"> Dan </w:t>
      </w:r>
      <w:r>
        <w:rPr>
          <w:i/>
          <w:noProof/>
        </w:rPr>
        <w:t>Quick Ratio</w:t>
      </w:r>
      <w:r>
        <w:rPr>
          <w:noProof/>
        </w:rPr>
        <w:t xml:space="preserve"> Terhadap Pembiayaan Murabahah Pada Bank Umum Syariah Di Indonesia. </w:t>
      </w:r>
      <w:r>
        <w:rPr>
          <w:i/>
          <w:iCs/>
          <w:noProof/>
        </w:rPr>
        <w:t>J</w:t>
      </w:r>
      <w:r>
        <w:rPr>
          <w:i/>
          <w:iCs/>
          <w:noProof/>
          <w:lang w:val="en-ID"/>
        </w:rPr>
        <w:t xml:space="preserve">AE </w:t>
      </w:r>
      <w:r>
        <w:rPr>
          <w:i/>
          <w:iCs/>
          <w:noProof/>
        </w:rPr>
        <w:t>(Jurnal Akuntansi Dan Ekonomi)</w:t>
      </w:r>
      <w:r>
        <w:rPr>
          <w:noProof/>
        </w:rPr>
        <w:t xml:space="preserve">, </w:t>
      </w:r>
      <w:r>
        <w:rPr>
          <w:i/>
          <w:iCs/>
          <w:noProof/>
        </w:rPr>
        <w:t>2</w:t>
      </w:r>
      <w:r>
        <w:rPr>
          <w:noProof/>
        </w:rPr>
        <w:t>(2), 34. https://doi.org/10.29407/jae.v2i2.865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Pandia, F. (2017). </w:t>
      </w:r>
      <w:r>
        <w:rPr>
          <w:i/>
          <w:iCs/>
          <w:noProof/>
        </w:rPr>
        <w:t>Manajemen Dana dan Kesehatan Bank</w:t>
      </w:r>
      <w:r>
        <w:rPr>
          <w:noProof/>
        </w:rPr>
        <w:t>. Jakarta: PT Rineka Cipta.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Perdani, P., Maskudi, &amp; Lia, S. R. (2019). Analisis Faktor-Faktor Yang Mempengaruhi </w:t>
      </w:r>
      <w:r>
        <w:rPr>
          <w:i/>
          <w:noProof/>
        </w:rPr>
        <w:t>Non Performing Financing</w:t>
      </w:r>
      <w:r>
        <w:rPr>
          <w:noProof/>
        </w:rPr>
        <w:t xml:space="preserve"> (NPF) Di Industri Bank Pembiayaan Rakyat (BPR) Syariah Di Indonesia. </w:t>
      </w:r>
      <w:r>
        <w:rPr>
          <w:i/>
          <w:iCs/>
          <w:noProof/>
        </w:rPr>
        <w:t>Jurnal Ekonomi Dan Bisnis</w:t>
      </w:r>
      <w:r>
        <w:rPr>
          <w:noProof/>
        </w:rPr>
        <w:t xml:space="preserve">, </w:t>
      </w:r>
      <w:r>
        <w:rPr>
          <w:i/>
          <w:iCs/>
          <w:noProof/>
        </w:rPr>
        <w:t>14</w:t>
      </w:r>
      <w:r>
        <w:rPr>
          <w:noProof/>
        </w:rPr>
        <w:t>, 205. https://doi.org/10.26740/jaj.v5n2.p205-225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>Pujiana, A. (2018). Pengaruh Dana Pihak Ketiga (DPK),</w:t>
      </w:r>
      <w:r>
        <w:rPr>
          <w:noProof/>
          <w:lang w:val="en-ID"/>
        </w:rPr>
        <w:t xml:space="preserve"> </w:t>
      </w:r>
      <w:r>
        <w:rPr>
          <w:i/>
          <w:noProof/>
        </w:rPr>
        <w:t xml:space="preserve">Capital Adequacy Ratio </w:t>
      </w:r>
      <w:r>
        <w:rPr>
          <w:noProof/>
        </w:rPr>
        <w:t xml:space="preserve">(CAR), </w:t>
      </w:r>
      <w:r>
        <w:rPr>
          <w:i/>
          <w:noProof/>
        </w:rPr>
        <w:t>Non Performing Financing</w:t>
      </w:r>
      <w:r>
        <w:rPr>
          <w:noProof/>
        </w:rPr>
        <w:t xml:space="preserve"> (NPF), </w:t>
      </w:r>
      <w:r>
        <w:rPr>
          <w:i/>
          <w:noProof/>
        </w:rPr>
        <w:t>Return On Asset</w:t>
      </w:r>
      <w:r>
        <w:rPr>
          <w:noProof/>
        </w:rPr>
        <w:t xml:space="preserve"> (ROA) Terhadap Pembiayaan Perbankan Syariah Di Indonesia Periode 2012-2016 Asri. </w:t>
      </w:r>
      <w:r>
        <w:rPr>
          <w:i/>
          <w:iCs/>
          <w:noProof/>
        </w:rPr>
        <w:t>Journal of Applied Polymer Science</w:t>
      </w:r>
      <w:r>
        <w:rPr>
          <w:noProof/>
        </w:rPr>
        <w:t xml:space="preserve">, </w:t>
      </w:r>
      <w:r>
        <w:rPr>
          <w:i/>
          <w:iCs/>
          <w:noProof/>
        </w:rPr>
        <w:t>3</w:t>
      </w:r>
      <w:r>
        <w:rPr>
          <w:noProof/>
        </w:rPr>
        <w:t>(4), 2748–2755. https://journal.feb.unmul.ac.id/index.php/JIMM/article/view/2258/826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Putri, A., &amp; Wirman, W. (2021). Pengaruh CAR, ROA dan NPF Terhadap Pembiayaan Murabahah. </w:t>
      </w:r>
      <w:r>
        <w:rPr>
          <w:i/>
          <w:iCs/>
          <w:noProof/>
        </w:rPr>
        <w:t>C</w:t>
      </w:r>
      <w:r>
        <w:rPr>
          <w:i/>
          <w:iCs/>
          <w:noProof/>
          <w:lang w:val="en-ID"/>
        </w:rPr>
        <w:t>ompotitive</w:t>
      </w:r>
      <w:r>
        <w:rPr>
          <w:i/>
          <w:iCs/>
          <w:noProof/>
        </w:rPr>
        <w:t xml:space="preserve"> Jurnal Akuntansi Dan Keuangan</w:t>
      </w:r>
      <w:r>
        <w:rPr>
          <w:noProof/>
        </w:rPr>
        <w:t xml:space="preserve">, </w:t>
      </w:r>
      <w:r>
        <w:rPr>
          <w:i/>
          <w:iCs/>
          <w:noProof/>
        </w:rPr>
        <w:t>5</w:t>
      </w:r>
      <w:r>
        <w:rPr>
          <w:noProof/>
        </w:rPr>
        <w:t>(2), 83. https://doi.org/10.31000/competitive.v5i2.4237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Rezeki, A. D., &amp; Hendratno. (2021). Pengaruh </w:t>
      </w:r>
      <w:r>
        <w:rPr>
          <w:i/>
          <w:noProof/>
        </w:rPr>
        <w:t>Financing Deposit Ratio</w:t>
      </w:r>
      <w:r>
        <w:rPr>
          <w:noProof/>
        </w:rPr>
        <w:t xml:space="preserve"> (FDR), </w:t>
      </w:r>
      <w:r>
        <w:rPr>
          <w:i/>
          <w:noProof/>
        </w:rPr>
        <w:t xml:space="preserve">Return </w:t>
      </w:r>
      <w:r>
        <w:rPr>
          <w:i/>
          <w:noProof/>
          <w:lang w:val="en-ID"/>
        </w:rPr>
        <w:t>O</w:t>
      </w:r>
      <w:r>
        <w:rPr>
          <w:i/>
          <w:noProof/>
        </w:rPr>
        <w:t>n Equity</w:t>
      </w:r>
      <w:r>
        <w:rPr>
          <w:noProof/>
        </w:rPr>
        <w:t xml:space="preserve"> (ROE), </w:t>
      </w:r>
      <w:r>
        <w:rPr>
          <w:i/>
          <w:noProof/>
        </w:rPr>
        <w:t>Capital Adequacy Ratio</w:t>
      </w:r>
      <w:r>
        <w:rPr>
          <w:noProof/>
        </w:rPr>
        <w:t xml:space="preserve"> (CAR) Dan </w:t>
      </w:r>
      <w:r>
        <w:rPr>
          <w:i/>
          <w:noProof/>
        </w:rPr>
        <w:t>Non Performing Financing</w:t>
      </w:r>
      <w:r>
        <w:rPr>
          <w:noProof/>
        </w:rPr>
        <w:t xml:space="preserve"> (NPF) Terhadap Pembiayaan Murabahah Pada Bank Umum Syariah Di Indonesia Periode 2015 - 2019. </w:t>
      </w:r>
      <w:r>
        <w:rPr>
          <w:i/>
          <w:iCs/>
          <w:noProof/>
        </w:rPr>
        <w:t>Jurnal Ilmiah Mea</w:t>
      </w:r>
      <w:r>
        <w:rPr>
          <w:noProof/>
        </w:rPr>
        <w:t xml:space="preserve">, </w:t>
      </w:r>
      <w:r>
        <w:rPr>
          <w:i/>
          <w:iCs/>
          <w:noProof/>
        </w:rPr>
        <w:t>5</w:t>
      </w:r>
      <w:r>
        <w:rPr>
          <w:noProof/>
        </w:rPr>
        <w:t>(3). https://journal.stiemb.ac.id/index.php/mea/article/view/1398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Rivai, Veithzal, &amp; Arifin, A. (2010). </w:t>
      </w:r>
      <w:r>
        <w:rPr>
          <w:i/>
          <w:iCs/>
          <w:noProof/>
        </w:rPr>
        <w:t>Islamic Banking</w:t>
      </w:r>
      <w:r>
        <w:rPr>
          <w:noProof/>
        </w:rPr>
        <w:t>. Jakarta: PT. Bumi Aksara.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Ryad, A. M., &amp; Yuliawati, Y. (2017). </w:t>
      </w:r>
      <w:r>
        <w:rPr>
          <w:iCs/>
          <w:noProof/>
        </w:rPr>
        <w:t>Pengaruh Dana Pihak Ketiga (</w:t>
      </w:r>
      <w:r>
        <w:rPr>
          <w:iCs/>
          <w:noProof/>
        </w:rPr>
        <w:t>DPK</w:t>
      </w:r>
      <w:r>
        <w:rPr>
          <w:iCs/>
          <w:noProof/>
          <w:lang w:val="en-ID"/>
        </w:rPr>
        <w:t>)</w:t>
      </w:r>
      <w:r>
        <w:rPr>
          <w:iCs/>
          <w:noProof/>
        </w:rPr>
        <w:t>,</w:t>
      </w:r>
      <w:r>
        <w:rPr>
          <w:i/>
          <w:iCs/>
          <w:noProof/>
        </w:rPr>
        <w:t xml:space="preserve"> Capital Adequacy Ratio </w:t>
      </w:r>
      <w:r>
        <w:rPr>
          <w:iCs/>
          <w:noProof/>
        </w:rPr>
        <w:t>(CAR</w:t>
      </w:r>
      <w:r>
        <w:rPr>
          <w:iCs/>
          <w:noProof/>
        </w:rPr>
        <w:t>)</w:t>
      </w:r>
      <w:r>
        <w:rPr>
          <w:i/>
          <w:iCs/>
          <w:noProof/>
        </w:rPr>
        <w:t xml:space="preserve">, Non Performing Finance </w:t>
      </w:r>
      <w:r>
        <w:rPr>
          <w:iCs/>
          <w:noProof/>
        </w:rPr>
        <w:t>(NPF) Terhadap</w:t>
      </w:r>
      <w:r>
        <w:rPr>
          <w:iCs/>
          <w:noProof/>
          <w:lang w:val="en-ID"/>
        </w:rPr>
        <w:t xml:space="preserve"> </w:t>
      </w:r>
      <w:r>
        <w:rPr>
          <w:iCs/>
          <w:noProof/>
        </w:rPr>
        <w:t>Pembiayaan</w:t>
      </w:r>
      <w:r>
        <w:rPr>
          <w:noProof/>
        </w:rPr>
        <w:t>.</w:t>
      </w:r>
      <w:r>
        <w:rPr>
          <w:noProof/>
        </w:rPr>
        <w:t xml:space="preserve"> </w:t>
      </w:r>
      <w:r>
        <w:rPr>
          <w:i/>
          <w:iCs/>
          <w:noProof/>
        </w:rPr>
        <w:t>5</w:t>
      </w:r>
      <w:r>
        <w:rPr>
          <w:noProof/>
        </w:rPr>
        <w:t>(3), 1535–1540. https://ejournal.upi.edu/index.php/JRAK/article/view/9216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Sholihin, A. I. (2010). </w:t>
      </w:r>
      <w:r>
        <w:rPr>
          <w:i/>
          <w:iCs/>
          <w:noProof/>
        </w:rPr>
        <w:t>Buku Pintar Ekonomi Syariah</w:t>
      </w:r>
      <w:r>
        <w:rPr>
          <w:noProof/>
        </w:rPr>
        <w:t>. Jakarta: Gramedia Pustaka Utama.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Sudana, I. M. (2015). </w:t>
      </w:r>
      <w:r>
        <w:rPr>
          <w:i/>
          <w:iCs/>
          <w:noProof/>
        </w:rPr>
        <w:t>Manajemen Keuangan Perusahaan Teori dan Praktik Edisi 2</w:t>
      </w:r>
      <w:r>
        <w:rPr>
          <w:noProof/>
        </w:rPr>
        <w:t>. Jakarta: Erlangga.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Sugiyono. (2019). </w:t>
      </w:r>
      <w:r>
        <w:rPr>
          <w:i/>
          <w:iCs/>
          <w:noProof/>
        </w:rPr>
        <w:t>Metode Penelitian Kuantitatif Kualitatif</w:t>
      </w:r>
      <w:r>
        <w:rPr>
          <w:noProof/>
        </w:rPr>
        <w:t>. Bandung: Alfabeta.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Suwito, W. (2004). </w:t>
      </w:r>
      <w:r>
        <w:rPr>
          <w:i/>
          <w:iCs/>
          <w:noProof/>
        </w:rPr>
        <w:t>Asas-Asas Bank Islam Dan Lembaga-Lembaga Terkait (Bamui,Takaful Dan Pasar Modal Syariah)Di Indonesia</w:t>
      </w:r>
      <w:r>
        <w:rPr>
          <w:noProof/>
        </w:rPr>
        <w:t>. Jakarta: Pt Raja Grafindo Persada.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Tanjung, A. N. M. (2020). Pengaruh Total Aset Dan Dana Pihak Ketiga Terhadap Pembiayaan Pada Bank Muamalat Indonesia. </w:t>
      </w:r>
      <w:r>
        <w:rPr>
          <w:i/>
          <w:iCs/>
          <w:noProof/>
        </w:rPr>
        <w:t>Tanjung, Ami Nullah M</w:t>
      </w:r>
      <w:r>
        <w:rPr>
          <w:noProof/>
        </w:rPr>
        <w:t xml:space="preserve">, </w:t>
      </w:r>
      <w:r>
        <w:rPr>
          <w:i/>
          <w:iCs/>
          <w:noProof/>
        </w:rPr>
        <w:t>1</w:t>
      </w:r>
      <w:r>
        <w:rPr>
          <w:noProof/>
        </w:rPr>
        <w:t>(2). https://ejurnalilmiah.com/index.php/Mudharib/article/view/74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Taswan. (2006). </w:t>
      </w:r>
      <w:r>
        <w:rPr>
          <w:i/>
          <w:iCs/>
          <w:noProof/>
        </w:rPr>
        <w:t>Manajemen Perbankan</w:t>
      </w:r>
      <w:r>
        <w:rPr>
          <w:noProof/>
        </w:rPr>
        <w:t>. Yogyakarta: U</w:t>
      </w:r>
      <w:r>
        <w:rPr>
          <w:noProof/>
          <w:lang w:val="en-ID"/>
        </w:rPr>
        <w:t>PP</w:t>
      </w:r>
      <w:r>
        <w:rPr>
          <w:noProof/>
        </w:rPr>
        <w:t xml:space="preserve"> S</w:t>
      </w:r>
      <w:r>
        <w:rPr>
          <w:noProof/>
          <w:lang w:val="en-ID"/>
        </w:rPr>
        <w:t>TIM</w:t>
      </w:r>
      <w:r>
        <w:rPr>
          <w:noProof/>
        </w:rPr>
        <w:t xml:space="preserve"> Y</w:t>
      </w:r>
      <w:r>
        <w:rPr>
          <w:noProof/>
          <w:lang w:val="en-ID"/>
        </w:rPr>
        <w:t xml:space="preserve">KPN </w:t>
      </w:r>
      <w:r>
        <w:rPr>
          <w:noProof/>
        </w:rPr>
        <w:t>Yogyakarta.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Uyun, A. (2021). Peran Perbankan Syariah dan Eksistensi UMKM di Indonesia Pasca Pandemi Covid-19. </w:t>
      </w:r>
      <w:r>
        <w:rPr>
          <w:i/>
          <w:iCs/>
          <w:noProof/>
        </w:rPr>
        <w:t>ILTIZAMAT: Journal of Economic Sharia Law and Business Studies</w:t>
      </w:r>
      <w:r>
        <w:rPr>
          <w:noProof/>
        </w:rPr>
        <w:t xml:space="preserve">, </w:t>
      </w:r>
      <w:r>
        <w:rPr>
          <w:i/>
          <w:iCs/>
          <w:noProof/>
        </w:rPr>
        <w:t>1</w:t>
      </w:r>
      <w:r>
        <w:rPr>
          <w:noProof/>
        </w:rPr>
        <w:t>(1), 57–69. https://doi.org/10.55120/iltizamat.v1i1.476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Yusmad, M. A. (2018). </w:t>
      </w:r>
      <w:r>
        <w:rPr>
          <w:i/>
          <w:iCs/>
          <w:noProof/>
        </w:rPr>
        <w:t>Aspek Hukum Perbankan Syariah dari Teori ke Praktik</w:t>
      </w:r>
      <w:r>
        <w:rPr>
          <w:noProof/>
        </w:rPr>
        <w:t>. Sleman: CV. Budi Utama.</w:t>
      </w: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ind w:left="480" w:hanging="480"/>
        <w:jc w:val="both"/>
        <w:rPr>
          <w:noProof/>
        </w:rPr>
      </w:pPr>
      <w:r>
        <w:rPr>
          <w:noProof/>
        </w:rPr>
        <w:t xml:space="preserve">Zuwardi, Z., Padli, H., &amp; Shahmi, M. A. (2019). Analisis Pengaruh Dana Pihak Ketiga (DPK), </w:t>
      </w:r>
      <w:r>
        <w:rPr>
          <w:i/>
          <w:noProof/>
        </w:rPr>
        <w:t>Capital Adequacy Ratio</w:t>
      </w:r>
      <w:r>
        <w:rPr>
          <w:noProof/>
        </w:rPr>
        <w:t xml:space="preserve"> (CAR), Dan </w:t>
      </w:r>
      <w:r>
        <w:rPr>
          <w:i/>
          <w:noProof/>
        </w:rPr>
        <w:t>Non Perfoming Financing</w:t>
      </w:r>
      <w:r>
        <w:rPr>
          <w:noProof/>
        </w:rPr>
        <w:t xml:space="preserve"> (NPF) Terhadap Pembiayaan (Studi Pada Bus Dan Uus Di Indonesia Periode 2014-2018). </w:t>
      </w:r>
      <w:r>
        <w:rPr>
          <w:i/>
          <w:iCs/>
          <w:noProof/>
        </w:rPr>
        <w:t>Imara: J</w:t>
      </w:r>
      <w:r>
        <w:rPr>
          <w:i/>
          <w:iCs/>
          <w:noProof/>
          <w:lang w:val="en-ID"/>
        </w:rPr>
        <w:t>urnal</w:t>
      </w:r>
      <w:r>
        <w:rPr>
          <w:i/>
          <w:iCs/>
          <w:noProof/>
        </w:rPr>
        <w:t xml:space="preserve"> R</w:t>
      </w:r>
      <w:r>
        <w:rPr>
          <w:i/>
          <w:iCs/>
          <w:noProof/>
          <w:lang w:val="en-ID"/>
        </w:rPr>
        <w:t>iset</w:t>
      </w:r>
      <w:r>
        <w:rPr>
          <w:i/>
          <w:iCs/>
          <w:noProof/>
        </w:rPr>
        <w:t xml:space="preserve"> E</w:t>
      </w:r>
      <w:r>
        <w:rPr>
          <w:i/>
          <w:iCs/>
          <w:noProof/>
          <w:lang w:val="en-ID"/>
        </w:rPr>
        <w:t>konomi</w:t>
      </w:r>
      <w:r>
        <w:rPr>
          <w:i/>
          <w:iCs/>
          <w:noProof/>
        </w:rPr>
        <w:t xml:space="preserve"> I</w:t>
      </w:r>
      <w:r>
        <w:rPr>
          <w:i/>
          <w:iCs/>
          <w:noProof/>
          <w:lang w:val="en-ID"/>
        </w:rPr>
        <w:t>slam</w:t>
      </w:r>
      <w:r>
        <w:rPr>
          <w:noProof/>
        </w:rPr>
        <w:t xml:space="preserve">, </w:t>
      </w:r>
      <w:r>
        <w:rPr>
          <w:i/>
          <w:iCs/>
          <w:noProof/>
        </w:rPr>
        <w:t>3</w:t>
      </w:r>
      <w:r>
        <w:rPr>
          <w:noProof/>
        </w:rPr>
        <w:t>(2), 141. https://doi.org/10.31958/imara.v3i2.1658</w:t>
      </w:r>
    </w:p>
    <w:p>
      <w:pPr>
        <w:pStyle w:val="style0"/>
        <w:spacing w:after="0" w:lineRule="auto" w:line="480"/>
        <w:jc w:val="center"/>
        <w:rPr>
          <w:color w:val="000000"/>
          <w:lang w:val="en-US"/>
        </w:rPr>
      </w:pPr>
      <w:r>
        <w:rPr>
          <w:lang w:val="en-ID"/>
        </w:rPr>
        <w:fldChar w:fldCharType="end"/>
      </w:r>
      <w:bookmarkStart w:id="1" w:name="_Toc101293367"/>
      <w:bookmarkStart w:id="2" w:name="_Toc137747039"/>
      <w:bookmarkEnd w:id="0"/>
      <w:bookmarkEnd w:id="1"/>
    </w:p>
    <w:p>
      <w:pPr>
        <w:pStyle w:val="style1"/>
        <w:jc w:val="center"/>
        <w:rPr>
          <w:rFonts w:ascii="Times New Roman" w:hAnsi="Times New Roman"/>
          <w:color w:val="000000"/>
          <w:sz w:val="24"/>
          <w:szCs w:val="24"/>
          <w:lang w:val="en-ID"/>
        </w:rPr>
      </w:pPr>
      <w:r>
        <w:rPr>
          <w:rFonts w:ascii="Times New Roman" w:hAnsi="Times New Roman"/>
          <w:color w:val="000000"/>
          <w:sz w:val="24"/>
          <w:szCs w:val="24"/>
          <w:lang w:val="en-ID"/>
        </w:rPr>
        <w:t>LAMPIRAN</w:t>
      </w:r>
      <w:bookmarkEnd w:id="2"/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480" w:hanging="480"/>
        <w:jc w:val="both"/>
        <w:rPr>
          <w:color w:val="000000"/>
          <w:lang w:val="en-ID"/>
        </w:rPr>
      </w:pPr>
    </w:p>
    <w:p>
      <w:pPr>
        <w:pStyle w:val="style0"/>
        <w:rPr>
          <w:b/>
          <w:color w:val="000000"/>
          <w:lang w:val="en-ID"/>
        </w:rPr>
      </w:pPr>
      <w:r>
        <w:rPr>
          <w:b/>
          <w:color w:val="000000"/>
        </w:rPr>
        <w:t>Lampiran</w:t>
      </w:r>
      <w:r>
        <w:rPr>
          <w:b/>
          <w:color w:val="000000"/>
          <w:lang w:val="en-ID"/>
        </w:rPr>
        <w:t xml:space="preserve"> </w:t>
      </w:r>
      <w:r>
        <w:rPr>
          <w:b/>
          <w:color w:val="000000"/>
        </w:rPr>
        <w:t>1</w:t>
      </w:r>
    </w:p>
    <w:p>
      <w:pPr>
        <w:pStyle w:val="style0"/>
        <w:rPr>
          <w:b/>
          <w:color w:val="000000"/>
          <w:lang w:val="en-ID"/>
        </w:rPr>
      </w:pPr>
      <w:r>
        <w:rPr>
          <w:color w:val="000000"/>
          <w:lang w:val="en-ID"/>
        </w:rPr>
        <w:t>Hasil Perhitungan Seluruh V</w:t>
      </w:r>
      <w:r>
        <w:rPr>
          <w:color w:val="000000"/>
          <w:lang w:val="en-ID"/>
        </w:rPr>
        <w:t>ariabel</w:t>
      </w:r>
      <w:r>
        <w:rPr>
          <w:color w:val="000000"/>
          <w:lang w:val="en-ID"/>
        </w:rPr>
        <w:t xml:space="preserve"> Penelitian Tahun 2018-2022</w:t>
      </w:r>
    </w:p>
    <w:p>
      <w:pPr>
        <w:pStyle w:val="style179"/>
        <w:numPr>
          <w:ilvl w:val="0"/>
          <w:numId w:val="1"/>
        </w:numPr>
        <w:tabs>
          <w:tab w:val="left" w:leader="none" w:pos="1260"/>
        </w:tabs>
        <w:ind w:left="360"/>
        <w:rPr>
          <w:color w:val="000000"/>
        </w:rPr>
      </w:pPr>
      <w:r>
        <w:rPr>
          <w:i/>
          <w:color w:val="000000"/>
        </w:rPr>
        <w:t>Return On Assets</w:t>
      </w:r>
      <w:r>
        <w:rPr>
          <w:color w:val="000000"/>
        </w:rPr>
        <w:t xml:space="preserve"> </w:t>
      </w:r>
      <w:r>
        <w:rPr>
          <w:color w:val="000000"/>
          <w:lang w:val="en-ID"/>
        </w:rPr>
        <w:t xml:space="preserve">, </w:t>
      </w:r>
      <w:r>
        <w:rPr>
          <w:i/>
          <w:color w:val="000000"/>
        </w:rPr>
        <w:t>Return On Equity</w:t>
      </w:r>
      <w:r>
        <w:rPr>
          <w:color w:val="000000"/>
        </w:rPr>
        <w:t xml:space="preserve">, Dana Pihak ketiga dan </w:t>
      </w:r>
      <w:r>
        <w:rPr>
          <w:i/>
          <w:color w:val="000000"/>
        </w:rPr>
        <w:t xml:space="preserve">Capital Adequacy Ratio </w:t>
      </w:r>
      <w:r>
        <w:rPr>
          <w:rFonts w:eastAsia="Times New Roman"/>
          <w:bCs/>
          <w:color w:val="000000"/>
        </w:rPr>
        <w:t xml:space="preserve"> </w:t>
      </w:r>
      <w:r>
        <w:rPr>
          <w:color w:val="000000"/>
        </w:rPr>
        <w:t>dan  Pembiayaan Bank Umum Syariah Tahun 2018-2022</w:t>
      </w:r>
    </w:p>
    <w:tbl>
      <w:tblPr>
        <w:tblW w:w="10980" w:type="dxa"/>
        <w:tblInd w:w="-1872" w:type="dxa"/>
        <w:tblLook w:val="04A0" w:firstRow="1" w:lastRow="0" w:firstColumn="1" w:lastColumn="0" w:noHBand="0" w:noVBand="1"/>
      </w:tblPr>
      <w:tblGrid>
        <w:gridCol w:w="1742"/>
        <w:gridCol w:w="886"/>
        <w:gridCol w:w="1152"/>
        <w:gridCol w:w="1152"/>
        <w:gridCol w:w="1332"/>
        <w:gridCol w:w="1260"/>
        <w:gridCol w:w="1474"/>
        <w:gridCol w:w="1982"/>
      </w:tblGrid>
      <w:tr>
        <w:trPr>
          <w:trHeight w:val="300" w:hRule="atLeast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NAMA PERUSAHAAN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TAHUN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RETURN ON ASSETS (ROA)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RETURN ON EQUITY (ROE)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DANA PIHAK KETIGA (DPK)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CAPITAL ADEQUACY RATIO (CAR)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NON PERFORMING FINANCING (NPF)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PEMBIAYAAN</w:t>
            </w:r>
          </w:p>
        </w:tc>
      </w:tr>
      <w:tr>
        <w:tblPrEx/>
        <w:trPr>
          <w:trHeight w:val="300" w:hRule="atLeast"/>
        </w:trPr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1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BANK MUAMALAT INDONESIA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0,0008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0,0116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39605430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0,1234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0,0258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16398663</w:t>
            </w:r>
          </w:p>
        </w:tc>
      </w:tr>
      <w:tr>
        <w:tblPrEx/>
        <w:trPr>
          <w:trHeight w:val="300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0,0145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33353457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0,1242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0,043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14733299</w:t>
            </w:r>
          </w:p>
        </w:tc>
      </w:tr>
      <w:tr>
        <w:tblPrEx/>
        <w:trPr>
          <w:trHeight w:val="300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0,0029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34065036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0,1521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0,0395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13803791</w:t>
            </w:r>
          </w:p>
        </w:tc>
      </w:tr>
      <w:tr>
        <w:tblPrEx/>
        <w:trPr>
          <w:trHeight w:val="300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37194947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0,2276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0,0008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8392614</w:t>
            </w:r>
          </w:p>
        </w:tc>
      </w:tr>
      <w:tr>
        <w:tblPrEx/>
        <w:trPr>
          <w:trHeight w:val="300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0,0008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0,0053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2155883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0,327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0,0083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7562528</w:t>
            </w:r>
          </w:p>
        </w:tc>
      </w:tr>
      <w:tr>
        <w:tblPrEx/>
        <w:trPr>
          <w:trHeight w:val="300" w:hRule="atLeast"/>
        </w:trPr>
        <w:tc>
          <w:tcPr>
            <w:tcW w:w="1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BANK VICTORIA SYARIAH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0,0032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0,0202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1557719691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0,2207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0,0341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918167395</w:t>
            </w:r>
          </w:p>
        </w:tc>
      </w:tr>
      <w:tr>
        <w:tblPrEx/>
        <w:trPr>
          <w:trHeight w:val="300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0,0005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0,0039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51900054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0,1944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0,0264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218548832</w:t>
            </w:r>
          </w:p>
        </w:tc>
      </w:tr>
      <w:tr>
        <w:tblPrEx/>
        <w:trPr>
          <w:trHeight w:val="300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0,0016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1379182360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0,246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0,0301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218644041</w:t>
            </w:r>
          </w:p>
        </w:tc>
      </w:tr>
      <w:tr>
        <w:tblPrEx/>
        <w:trPr>
          <w:trHeight w:val="300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0,0071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0,0179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1230492311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0,3321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0,0372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542339592</w:t>
            </w:r>
          </w:p>
        </w:tc>
      </w:tr>
      <w:tr>
        <w:tblPrEx/>
        <w:trPr>
          <w:trHeight w:val="300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0,0045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0,0154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794309324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1,4927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0,0114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474482858</w:t>
            </w:r>
          </w:p>
        </w:tc>
      </w:tr>
      <w:tr>
        <w:tblPrEx/>
        <w:trPr>
          <w:trHeight w:val="300" w:hRule="atLeast"/>
        </w:trPr>
        <w:tc>
          <w:tcPr>
            <w:tcW w:w="1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BANK JAWA BARAT BANTEN SYARIAH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0,0263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2805380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0,1643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0,0196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3330686</w:t>
            </w:r>
          </w:p>
        </w:tc>
      </w:tr>
      <w:tr>
        <w:tblPrEx/>
        <w:trPr>
          <w:trHeight w:val="300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0,0233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992286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0,1495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5142546</w:t>
            </w:r>
          </w:p>
        </w:tc>
      </w:tr>
      <w:tr>
        <w:tblPrEx/>
        <w:trPr>
          <w:trHeight w:val="300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1425081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0,2414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0,0286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17298463</w:t>
            </w:r>
          </w:p>
        </w:tc>
      </w:tr>
      <w:tr>
        <w:tblPrEx/>
        <w:trPr>
          <w:trHeight w:val="300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0,0208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7321690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0,2347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6103079</w:t>
            </w:r>
          </w:p>
        </w:tc>
      </w:tr>
      <w:tr>
        <w:tblPrEx/>
        <w:trPr>
          <w:trHeight w:val="300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0,0868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8374424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0,2211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0,0137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7036083</w:t>
            </w:r>
          </w:p>
        </w:tc>
      </w:tr>
      <w:tr>
        <w:tblPrEx/>
        <w:trPr>
          <w:trHeight w:val="300" w:hRule="atLeast"/>
        </w:trPr>
        <w:tc>
          <w:tcPr>
            <w:tcW w:w="1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BANK MEGA SYARIAH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0,0408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5195895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0,2054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0,0215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5179</w:t>
            </w:r>
          </w:p>
        </w:tc>
      </w:tr>
      <w:tr>
        <w:tblPrEx/>
        <w:trPr>
          <w:trHeight w:val="300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0,0427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5714995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0,1996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0,0149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6080453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0,0976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7495888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0,2415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0,0138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4946543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0,0408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0,2848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11715792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0,2559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0,0097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7239515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0,0259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0,1173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13551787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0,2699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0,0089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7227489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BANK PANIN DUBAI SYARIAH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6905806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0,2315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0,0384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6133981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8707657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0,1446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0,028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8836315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7918781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0,3143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0,0245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8845799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-0,0672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-0,3176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7796461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0,2581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0,0094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8385993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0,1151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10638434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0,2271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0,0191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10353072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BANK BCA SYARIAH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5506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0,243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0,0028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4899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0,0397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6204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0,383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0,0026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5645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0,0307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6848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0,453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0,0001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5569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0,0315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7677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0,414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0,0001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6248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0,0414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9481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0,367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0,0001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7576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BANK ACEH SYARIAH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0,0238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0,2329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9858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0,1967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0,0004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13236773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0,0233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0,2344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0,189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0,0004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1433863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0,1572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0,0004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1681185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0,1688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5984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0,2002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0,0003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2359571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0,1508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7144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0,2352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0,0004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4552271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BPD NUSA TENGGARA BARAT SYARIAH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0,0892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4921382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0,3542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0,0057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4868692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0,0256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0,1205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6816359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0,3547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0,0061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5582097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0,0954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7408916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0,314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0,0077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6410884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0,0956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120274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0,2913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0,0079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5538312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0,1207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265609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0,2561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0,0048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6870359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BANK SYARIAH INDONESIA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0,0821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75016079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0,1626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0,0158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42173659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0,1565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83172702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0,2615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46420905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83787968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0,1824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0,0072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52992695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0,0061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0,1371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176003468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0,2209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0,0087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110703060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0,0198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0,1684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195478724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0,2029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0,0057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133999826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BANK ALADIN SYARIAH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-0,0686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-0,1128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1,6307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72237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0,1115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0,1378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2,4184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5066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0,0619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40162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3,2909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54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-0,0881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-0,101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1038184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3,905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51114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-0,1085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-0,085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794649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1,8929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45117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BANK KB BUKOPIN SYARIAH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329073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0,1931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0,0365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2517252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24082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0,1525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0,0405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2940375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0,0002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163690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0,2222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0,0495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2689119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-0,0548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-0,236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162777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0,2374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0,0466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3022575</w:t>
            </w:r>
          </w:p>
        </w:tc>
      </w:tr>
      <w:tr>
        <w:tblPrEx/>
        <w:trPr>
          <w:trHeight w:val="315" w:hRule="atLeast"/>
        </w:trPr>
        <w:tc>
          <w:tcPr>
            <w:tcW w:w="1742" w:type="dxa"/>
            <w:vMerge w:val="continue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-0,0127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-0,0634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28075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0,1949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0,0381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4087300</w:t>
            </w:r>
          </w:p>
        </w:tc>
      </w:tr>
    </w:tbl>
    <w:p>
      <w:pPr>
        <w:pStyle w:val="style179"/>
        <w:tabs>
          <w:tab w:val="left" w:leader="none" w:pos="1260"/>
        </w:tabs>
        <w:ind w:left="360"/>
        <w:rPr>
          <w:color w:val="000000"/>
        </w:rPr>
      </w:pPr>
    </w:p>
    <w:p>
      <w:pPr>
        <w:pStyle w:val="style0"/>
        <w:jc w:val="center"/>
        <w:rPr/>
      </w:pPr>
    </w:p>
    <w:p>
      <w:pPr>
        <w:pStyle w:val="style0"/>
        <w:rPr>
          <w:color w:val="000000"/>
        </w:rPr>
      </w:pPr>
    </w:p>
    <w:p>
      <w:pPr>
        <w:pStyle w:val="style0"/>
        <w:rPr>
          <w:color w:val="000000"/>
          <w:lang w:val="en-ID"/>
        </w:rPr>
      </w:pPr>
      <w:r>
        <w:rPr>
          <w:color w:val="000000"/>
        </w:rPr>
        <w:br w:type="page"/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rPr>
          <w:rFonts w:eastAsia="Times New Roman"/>
          <w:b/>
          <w:color w:val="000000"/>
          <w:lang w:val="en-ID"/>
        </w:rPr>
      </w:pPr>
      <w:r>
        <w:rPr>
          <w:rFonts w:eastAsia="Times New Roman"/>
          <w:b/>
          <w:color w:val="000000"/>
          <w:lang w:val="en-ID"/>
        </w:rPr>
        <w:t>Lampiran 3</w:t>
      </w:r>
    </w:p>
    <w:p>
      <w:pPr>
        <w:pStyle w:val="style0"/>
        <w:autoSpaceDE w:val="false"/>
        <w:autoSpaceDN w:val="false"/>
        <w:adjustRightInd w:val="false"/>
        <w:spacing w:after="0" w:lineRule="auto" w:line="480"/>
        <w:rPr>
          <w:rFonts w:eastAsia="Times New Roman"/>
          <w:color w:val="000000"/>
          <w:lang w:val="en-ID"/>
        </w:rPr>
      </w:pPr>
      <w:r>
        <w:rPr>
          <w:rFonts w:eastAsia="Times New Roman"/>
          <w:color w:val="000000"/>
          <w:lang w:val="en-ID"/>
        </w:rPr>
        <w:t>OUTPUT SPSS 25</w:t>
      </w:r>
    </w:p>
    <w:p>
      <w:pPr>
        <w:pStyle w:val="style179"/>
        <w:numPr>
          <w:ilvl w:val="0"/>
          <w:numId w:val="41"/>
        </w:numPr>
        <w:autoSpaceDE w:val="false"/>
        <w:autoSpaceDN w:val="false"/>
        <w:adjustRightInd w:val="false"/>
        <w:spacing w:after="0" w:lineRule="auto" w:line="240"/>
        <w:rPr>
          <w:rFonts w:eastAsia="Times New Roman"/>
          <w:color w:val="000000"/>
          <w:lang w:val="en-ID"/>
        </w:rPr>
      </w:pPr>
      <w:r>
        <w:rPr>
          <w:rFonts w:eastAsia="Times New Roman"/>
          <w:color w:val="000000"/>
          <w:lang w:val="en-ID"/>
        </w:rPr>
        <w:t>Hasil Uji Statistik Deskriptif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eastAsia="Times New Roman"/>
          <w:b/>
          <w:color w:val="000000"/>
          <w:lang w:val="en-ID"/>
        </w:rPr>
      </w:pPr>
    </w:p>
    <w:tbl>
      <w:tblPr>
        <w:tblW w:w="9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6"/>
        <w:gridCol w:w="1030"/>
        <w:gridCol w:w="1076"/>
        <w:gridCol w:w="1475"/>
        <w:gridCol w:w="1623"/>
        <w:gridCol w:w="1678"/>
      </w:tblGrid>
      <w:tr>
        <w:trPr>
          <w:cantSplit/>
        </w:trPr>
        <w:tc>
          <w:tcPr>
            <w:tcW w:w="9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Descriptive Statistics</w:t>
            </w:r>
          </w:p>
        </w:tc>
      </w:tr>
      <w:tr>
        <w:tblPrEx/>
        <w:trPr>
          <w:cantSplit/>
        </w:trPr>
        <w:tc>
          <w:tcPr>
            <w:tcW w:w="24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Minimum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Maximum</w:t>
            </w:r>
          </w:p>
        </w:tc>
        <w:tc>
          <w:tcPr>
            <w:tcW w:w="16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Mean</w:t>
            </w:r>
          </w:p>
        </w:tc>
        <w:tc>
          <w:tcPr>
            <w:tcW w:w="16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Std. Deviation</w:t>
            </w:r>
          </w:p>
        </w:tc>
      </w:tr>
      <w:tr>
        <w:tblPrEx/>
        <w:trPr>
          <w:cantSplit/>
        </w:trPr>
        <w:tc>
          <w:tcPr>
            <w:tcW w:w="24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Return on assets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-10,85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800,41</w:t>
            </w:r>
          </w:p>
        </w:tc>
        <w:tc>
          <w:tcPr>
            <w:tcW w:w="16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30,0773</w:t>
            </w:r>
          </w:p>
        </w:tc>
        <w:tc>
          <w:tcPr>
            <w:tcW w:w="167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132,31305</w:t>
            </w:r>
          </w:p>
        </w:tc>
      </w:tr>
      <w:tr>
        <w:tblPrEx/>
        <w:trPr>
          <w:cantSplit/>
        </w:trPr>
        <w:tc>
          <w:tcPr>
            <w:tcW w:w="24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Return on equity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-31,76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803,85</w:t>
            </w: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19,1207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108,26084</w:t>
            </w:r>
          </w:p>
        </w:tc>
      </w:tr>
      <w:tr>
        <w:tblPrEx/>
        <w:trPr>
          <w:cantSplit/>
        </w:trPr>
        <w:tc>
          <w:tcPr>
            <w:tcW w:w="24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Dana pihak ketiga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,00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1557719691,00</w:t>
            </w: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102730631,9818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331854839,77988</w:t>
            </w:r>
          </w:p>
        </w:tc>
      </w:tr>
      <w:tr>
        <w:tblPrEx/>
        <w:trPr>
          <w:cantSplit/>
        </w:trPr>
        <w:tc>
          <w:tcPr>
            <w:tcW w:w="24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Capital adequacy ratio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,09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502,61</w:t>
            </w: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70,1611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100,89414</w:t>
            </w:r>
          </w:p>
        </w:tc>
      </w:tr>
      <w:tr>
        <w:tblPrEx/>
        <w:trPr>
          <w:cantSplit/>
        </w:trPr>
        <w:tc>
          <w:tcPr>
            <w:tcW w:w="24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Non Performing financing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,00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61,09</w:t>
            </w: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6,5382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15,70194</w:t>
            </w:r>
          </w:p>
        </w:tc>
      </w:tr>
      <w:tr>
        <w:tblPrEx/>
        <w:trPr>
          <w:cantSplit/>
        </w:trPr>
        <w:tc>
          <w:tcPr>
            <w:tcW w:w="24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Pembiayaan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918167395,00</w:t>
            </w: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48586933,5455</w:t>
            </w:r>
          </w:p>
        </w:tc>
        <w:tc>
          <w:tcPr>
            <w:tcW w:w="16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157082226,80643</w:t>
            </w:r>
          </w:p>
        </w:tc>
      </w:tr>
      <w:tr>
        <w:tblPrEx/>
        <w:trPr>
          <w:cantSplit/>
        </w:trPr>
        <w:tc>
          <w:tcPr>
            <w:tcW w:w="24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Valid N (listwise)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16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</w:tr>
    </w:tbl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eastAsia="Times New Roman"/>
          <w:b/>
          <w:color w:val="000000"/>
          <w:lang w:val="en-ID"/>
        </w:rPr>
      </w:pPr>
    </w:p>
    <w:p>
      <w:pPr>
        <w:pStyle w:val="style179"/>
        <w:numPr>
          <w:ilvl w:val="0"/>
          <w:numId w:val="41"/>
        </w:numPr>
        <w:autoSpaceDE w:val="false"/>
        <w:autoSpaceDN w:val="false"/>
        <w:adjustRightInd w:val="false"/>
        <w:spacing w:after="0" w:lineRule="auto" w:line="480"/>
        <w:rPr>
          <w:rFonts w:eastAsia="Times New Roman"/>
          <w:color w:val="000000"/>
          <w:lang w:val="en-ID"/>
        </w:rPr>
      </w:pPr>
      <w:r>
        <w:rPr>
          <w:rFonts w:eastAsia="Times New Roman"/>
          <w:color w:val="000000"/>
          <w:lang w:val="en-ID"/>
        </w:rPr>
        <w:t>Uji Asumsi Klasik</w:t>
      </w:r>
    </w:p>
    <w:p>
      <w:pPr>
        <w:pStyle w:val="style179"/>
        <w:numPr>
          <w:ilvl w:val="0"/>
          <w:numId w:val="42"/>
        </w:numPr>
        <w:autoSpaceDE w:val="false"/>
        <w:autoSpaceDN w:val="false"/>
        <w:adjustRightInd w:val="false"/>
        <w:spacing w:after="0" w:lineRule="auto" w:line="480"/>
        <w:ind w:left="1080"/>
        <w:rPr>
          <w:rFonts w:eastAsia="Times New Roman"/>
          <w:color w:val="000000"/>
          <w:lang w:val="en-ID"/>
        </w:rPr>
      </w:pPr>
      <w:r>
        <w:rPr>
          <w:rFonts w:eastAsia="Times New Roman"/>
          <w:color w:val="000000"/>
          <w:lang w:val="en-ID"/>
        </w:rPr>
        <w:t>Hasil Uji Normalitas</w:t>
      </w:r>
    </w:p>
    <w:tbl>
      <w:tblPr>
        <w:tblW w:w="5365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One-Sample Kolmogorov-Smirnov Test</w:t>
            </w:r>
          </w:p>
        </w:tc>
      </w:tr>
      <w:tr>
        <w:tblPrEx/>
        <w:trPr>
          <w:cantSplit/>
          <w:trHeight w:val="439" w:hRule="atLeast"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Unstandardized Residual</w:t>
            </w:r>
          </w:p>
        </w:tc>
      </w:tr>
      <w:tr>
        <w:tblPrEx/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>
        <w:tblPrEx/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Normal Parameters</w:t>
            </w:r>
            <w:r>
              <w:rPr>
                <w:color w:val="000000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,0000000</w:t>
            </w:r>
          </w:p>
        </w:tc>
      </w:tr>
      <w:tr>
        <w:tblPrEx/>
        <w:trPr>
          <w:cantSplit/>
        </w:trPr>
        <w:tc>
          <w:tcPr>
            <w:tcW w:w="2445" w:type="dxa"/>
            <w:vMerge w:val="continue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63181035,52097520</w:t>
            </w:r>
          </w:p>
        </w:tc>
      </w:tr>
      <w:tr>
        <w:tblPrEx/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,300</w:t>
            </w:r>
          </w:p>
        </w:tc>
      </w:tr>
      <w:tr>
        <w:tblPrEx/>
        <w:trPr>
          <w:cantSplit/>
        </w:trPr>
        <w:tc>
          <w:tcPr>
            <w:tcW w:w="2445" w:type="dxa"/>
            <w:vMerge w:val="continue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,300</w:t>
            </w:r>
          </w:p>
        </w:tc>
      </w:tr>
      <w:tr>
        <w:tblPrEx/>
        <w:trPr>
          <w:cantSplit/>
        </w:trPr>
        <w:tc>
          <w:tcPr>
            <w:tcW w:w="2445" w:type="dxa"/>
            <w:vMerge w:val="continue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-,255</w:t>
            </w:r>
          </w:p>
        </w:tc>
      </w:tr>
      <w:tr>
        <w:tblPrEx/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,300</w:t>
            </w:r>
          </w:p>
        </w:tc>
      </w:tr>
      <w:tr>
        <w:tblPrEx/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,200</w:t>
            </w:r>
            <w:r>
              <w:rPr>
                <w:color w:val="000000"/>
                <w:vertAlign w:val="superscript"/>
              </w:rPr>
              <w:t>c</w:t>
            </w:r>
          </w:p>
        </w:tc>
      </w:tr>
      <w:tr>
        <w:tblPrEx/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a. Test distribution is Normal.</w:t>
            </w:r>
          </w:p>
        </w:tc>
      </w:tr>
      <w:tr>
        <w:tblPrEx/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b. Calculated from data.</w:t>
            </w:r>
          </w:p>
        </w:tc>
      </w:tr>
      <w:tr>
        <w:tblPrEx/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c. Lilliefors Significance Correction.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eastAsia="Times New Roman"/>
          <w:color w:val="000000"/>
          <w:lang w:val="en-ID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eastAsia="Times New Roman"/>
          <w:b/>
          <w:color w:val="000000"/>
          <w:lang w:val="en-ID"/>
        </w:rPr>
      </w:pPr>
    </w:p>
    <w:p>
      <w:pPr>
        <w:pStyle w:val="style179"/>
        <w:numPr>
          <w:ilvl w:val="0"/>
          <w:numId w:val="42"/>
        </w:numPr>
        <w:autoSpaceDE w:val="false"/>
        <w:autoSpaceDN w:val="false"/>
        <w:adjustRightInd w:val="false"/>
        <w:spacing w:after="0" w:lineRule="auto" w:line="240"/>
        <w:rPr>
          <w:rFonts w:eastAsia="Times New Roman"/>
          <w:color w:val="000000"/>
          <w:lang w:val="en-ID"/>
        </w:rPr>
      </w:pPr>
      <w:r>
        <w:rPr>
          <w:rFonts w:eastAsia="Times New Roman"/>
          <w:color w:val="000000"/>
          <w:lang w:val="en-ID"/>
        </w:rPr>
        <w:t>Hasil Uji Autokorelasi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1440"/>
        <w:rPr>
          <w:rFonts w:eastAsia="Times New Roman"/>
          <w:color w:val="000000"/>
          <w:lang w:val="en-ID"/>
        </w:rPr>
      </w:pPr>
    </w:p>
    <w:tbl>
      <w:tblPr>
        <w:tblW w:w="7740" w:type="dxa"/>
        <w:tblInd w:w="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724"/>
        <w:gridCol w:w="1620"/>
      </w:tblGrid>
      <w:tr>
        <w:trPr>
          <w:cantSplit/>
        </w:trPr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Model Summary</w:t>
            </w:r>
            <w:r>
              <w:rPr>
                <w:b/>
                <w:bCs/>
                <w:color w:val="000000"/>
                <w:vertAlign w:val="superscript"/>
              </w:rPr>
              <w:t>b</w:t>
            </w:r>
          </w:p>
        </w:tc>
      </w:tr>
      <w:tr>
        <w:tblPrEx/>
        <w:trPr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-90" w:right="60" w:firstLine="150"/>
              <w:rPr>
                <w:color w:val="000000"/>
              </w:rPr>
            </w:pPr>
            <w:r>
              <w:rPr>
                <w:color w:val="000000"/>
              </w:rPr>
              <w:t>Model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Adjusted R Square</w:t>
            </w:r>
          </w:p>
        </w:tc>
        <w:tc>
          <w:tcPr>
            <w:tcW w:w="17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Std. Error of the Estimate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Durbin-Watson</w:t>
            </w:r>
          </w:p>
        </w:tc>
      </w:tr>
      <w:tr>
        <w:tblPrEx/>
        <w:trPr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,916</w:t>
            </w:r>
            <w:r>
              <w:rPr>
                <w:color w:val="000000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,838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,822</w:t>
            </w:r>
          </w:p>
        </w:tc>
        <w:tc>
          <w:tcPr>
            <w:tcW w:w="17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66326270,76302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2,296</w:t>
            </w:r>
          </w:p>
        </w:tc>
      </w:tr>
      <w:tr>
        <w:tblPrEx/>
        <w:trPr>
          <w:cantSplit/>
        </w:trPr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 xml:space="preserve">a. Predictors: (Constant), </w:t>
            </w:r>
            <w:r>
              <w:rPr>
                <w:i/>
                <w:color w:val="000000"/>
              </w:rPr>
              <w:t>Non Performing financing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Capital adequacy ratio, Return on equity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Dana pihak ketiga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Return on assets</w:t>
            </w:r>
          </w:p>
        </w:tc>
      </w:tr>
      <w:tr>
        <w:tblPrEx/>
        <w:trPr>
          <w:cantSplit/>
        </w:trPr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b. Dependent Variable: Pembiayaan</w:t>
            </w:r>
          </w:p>
        </w:tc>
      </w:tr>
    </w:tbl>
    <w:p>
      <w:pPr>
        <w:pStyle w:val="style179"/>
        <w:autoSpaceDE w:val="false"/>
        <w:autoSpaceDN w:val="false"/>
        <w:adjustRightInd w:val="false"/>
        <w:spacing w:after="0" w:lineRule="auto" w:line="240"/>
        <w:ind w:left="1440"/>
        <w:rPr>
          <w:rFonts w:eastAsia="Times New Roman"/>
          <w:color w:val="000000"/>
          <w:lang w:val="en-ID"/>
        </w:rPr>
      </w:pPr>
    </w:p>
    <w:p>
      <w:pPr>
        <w:pStyle w:val="style179"/>
        <w:numPr>
          <w:ilvl w:val="0"/>
          <w:numId w:val="42"/>
        </w:numPr>
        <w:autoSpaceDE w:val="false"/>
        <w:autoSpaceDN w:val="false"/>
        <w:adjustRightInd w:val="false"/>
        <w:spacing w:after="0" w:lineRule="auto" w:line="240"/>
        <w:rPr>
          <w:rFonts w:eastAsia="Times New Roman"/>
          <w:color w:val="000000"/>
          <w:lang w:val="en-ID"/>
        </w:rPr>
      </w:pPr>
      <w:r>
        <w:rPr>
          <w:rFonts w:eastAsia="Times New Roman"/>
          <w:color w:val="000000"/>
          <w:lang w:val="en-ID"/>
        </w:rPr>
        <w:t>Hasil Uji Multikolinearitas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1440"/>
        <w:rPr>
          <w:rFonts w:eastAsia="Times New Roman"/>
          <w:color w:val="000000"/>
          <w:lang w:val="en-ID"/>
        </w:rPr>
      </w:pPr>
    </w:p>
    <w:tbl>
      <w:tblPr>
        <w:tblW w:w="12566" w:type="dxa"/>
        <w:tblInd w:w="1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595"/>
        <w:gridCol w:w="1207"/>
        <w:gridCol w:w="1093"/>
        <w:gridCol w:w="6887"/>
      </w:tblGrid>
      <w:tr>
        <w:trPr>
          <w:gridAfter w:val="1"/>
          <w:wAfter w:w="6887" w:type="dxa"/>
          <w:cantSplit/>
        </w:trPr>
        <w:tc>
          <w:tcPr>
            <w:tcW w:w="337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Model</w:t>
            </w:r>
          </w:p>
        </w:tc>
        <w:tc>
          <w:tcPr>
            <w:tcW w:w="230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Collinearity Statistics</w:t>
            </w:r>
          </w:p>
        </w:tc>
      </w:tr>
      <w:tr>
        <w:tblPrEx/>
        <w:trPr>
          <w:gridAfter w:val="1"/>
          <w:wAfter w:w="6887" w:type="dxa"/>
          <w:cantSplit/>
        </w:trPr>
        <w:tc>
          <w:tcPr>
            <w:tcW w:w="3379" w:type="dxa"/>
            <w:gridSpan w:val="2"/>
            <w:vMerge w:val="continue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120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Tolerance</w:t>
            </w:r>
          </w:p>
        </w:tc>
        <w:tc>
          <w:tcPr>
            <w:tcW w:w="109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VIF</w:t>
            </w:r>
          </w:p>
        </w:tc>
      </w:tr>
      <w:tr>
        <w:tblPrEx/>
        <w:trPr>
          <w:gridAfter w:val="1"/>
          <w:wAfter w:w="6887" w:type="dxa"/>
          <w:cantSplit/>
        </w:trPr>
        <w:tc>
          <w:tcPr>
            <w:tcW w:w="7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(Constant)</w:t>
            </w:r>
          </w:p>
        </w:tc>
        <w:tc>
          <w:tcPr>
            <w:tcW w:w="12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</w:tr>
      <w:tr>
        <w:tblPrEx/>
        <w:trPr>
          <w:gridAfter w:val="1"/>
          <w:wAfter w:w="6887" w:type="dxa"/>
          <w:cantSplit/>
        </w:trPr>
        <w:tc>
          <w:tcPr>
            <w:tcW w:w="784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Return on assets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,248</w:t>
            </w:r>
          </w:p>
        </w:tc>
        <w:tc>
          <w:tcPr>
            <w:tcW w:w="10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4,026</w:t>
            </w:r>
          </w:p>
        </w:tc>
      </w:tr>
      <w:tr>
        <w:tblPrEx/>
        <w:trPr>
          <w:gridAfter w:val="1"/>
          <w:wAfter w:w="6887" w:type="dxa"/>
          <w:cantSplit/>
        </w:trPr>
        <w:tc>
          <w:tcPr>
            <w:tcW w:w="784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Return on equity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,315</w:t>
            </w:r>
          </w:p>
        </w:tc>
        <w:tc>
          <w:tcPr>
            <w:tcW w:w="10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3,173</w:t>
            </w:r>
          </w:p>
        </w:tc>
      </w:tr>
      <w:tr>
        <w:tblPrEx/>
        <w:trPr>
          <w:gridAfter w:val="1"/>
          <w:wAfter w:w="6887" w:type="dxa"/>
          <w:cantSplit/>
        </w:trPr>
        <w:tc>
          <w:tcPr>
            <w:tcW w:w="784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Dana pihak ketiga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,746</w:t>
            </w:r>
          </w:p>
        </w:tc>
        <w:tc>
          <w:tcPr>
            <w:tcW w:w="10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1,341</w:t>
            </w:r>
          </w:p>
        </w:tc>
      </w:tr>
      <w:tr>
        <w:tblPrEx/>
        <w:trPr>
          <w:gridAfter w:val="1"/>
          <w:wAfter w:w="6887" w:type="dxa"/>
          <w:cantSplit/>
        </w:trPr>
        <w:tc>
          <w:tcPr>
            <w:tcW w:w="784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Capital adequacy ratio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,827</w:t>
            </w:r>
          </w:p>
        </w:tc>
        <w:tc>
          <w:tcPr>
            <w:tcW w:w="109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1,209</w:t>
            </w:r>
          </w:p>
        </w:tc>
      </w:tr>
      <w:tr>
        <w:tblPrEx/>
        <w:trPr>
          <w:gridAfter w:val="1"/>
          <w:wAfter w:w="6887" w:type="dxa"/>
          <w:cantSplit/>
        </w:trPr>
        <w:tc>
          <w:tcPr>
            <w:tcW w:w="784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Non Performing financing</w:t>
            </w:r>
          </w:p>
        </w:tc>
        <w:tc>
          <w:tcPr>
            <w:tcW w:w="12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,624</w:t>
            </w:r>
          </w:p>
        </w:tc>
        <w:tc>
          <w:tcPr>
            <w:tcW w:w="109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1,602</w:t>
            </w:r>
          </w:p>
        </w:tc>
      </w:tr>
      <w:tr>
        <w:tblPrEx/>
        <w:trPr>
          <w:cantSplit/>
        </w:trPr>
        <w:tc>
          <w:tcPr>
            <w:tcW w:w="12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a. Dependent Variable: Pembiayaan</w:t>
            </w:r>
          </w:p>
        </w:tc>
      </w:tr>
    </w:tbl>
    <w:p>
      <w:pPr>
        <w:pStyle w:val="style179"/>
        <w:autoSpaceDE w:val="false"/>
        <w:autoSpaceDN w:val="false"/>
        <w:adjustRightInd w:val="false"/>
        <w:spacing w:after="0" w:lineRule="auto" w:line="240"/>
        <w:ind w:left="1440"/>
        <w:rPr>
          <w:rFonts w:eastAsia="Times New Roman"/>
          <w:b/>
          <w:color w:val="000000"/>
          <w:lang w:val="en-ID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1440"/>
        <w:rPr>
          <w:rFonts w:eastAsia="Times New Roman"/>
          <w:b/>
          <w:color w:val="000000"/>
          <w:lang w:val="en-ID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1440"/>
        <w:rPr>
          <w:rFonts w:eastAsia="Times New Roman"/>
          <w:b/>
          <w:color w:val="000000"/>
          <w:lang w:val="en-ID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1440"/>
        <w:rPr>
          <w:rFonts w:eastAsia="Times New Roman"/>
          <w:b/>
          <w:color w:val="000000"/>
          <w:lang w:val="en-ID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1440"/>
        <w:rPr>
          <w:rFonts w:eastAsia="Times New Roman"/>
          <w:b/>
          <w:color w:val="000000"/>
          <w:lang w:val="en-ID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1440"/>
        <w:rPr>
          <w:rFonts w:eastAsia="Times New Roman"/>
          <w:b/>
          <w:color w:val="000000"/>
          <w:lang w:val="en-ID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1440"/>
        <w:rPr>
          <w:rFonts w:eastAsia="Times New Roman"/>
          <w:b/>
          <w:color w:val="000000"/>
          <w:lang w:val="en-ID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1440"/>
        <w:rPr>
          <w:rFonts w:eastAsia="Times New Roman"/>
          <w:b/>
          <w:color w:val="000000"/>
          <w:lang w:val="en-ID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1440"/>
        <w:rPr>
          <w:rFonts w:eastAsia="Times New Roman"/>
          <w:b/>
          <w:color w:val="000000"/>
          <w:lang w:val="en-ID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1440"/>
        <w:rPr>
          <w:rFonts w:eastAsia="Times New Roman"/>
          <w:b/>
          <w:color w:val="000000"/>
          <w:lang w:val="en-ID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1440"/>
        <w:rPr>
          <w:rFonts w:eastAsia="Times New Roman"/>
          <w:b/>
          <w:color w:val="000000"/>
          <w:lang w:val="en-ID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1440"/>
        <w:rPr>
          <w:rFonts w:eastAsia="Times New Roman"/>
          <w:b/>
          <w:color w:val="000000"/>
          <w:lang w:val="en-ID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1440"/>
        <w:rPr>
          <w:rFonts w:eastAsia="Times New Roman"/>
          <w:b/>
          <w:color w:val="000000"/>
          <w:lang w:val="en-ID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1440"/>
        <w:rPr>
          <w:rFonts w:eastAsia="Times New Roman"/>
          <w:b/>
          <w:color w:val="000000"/>
          <w:lang w:val="en-ID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1440"/>
        <w:rPr>
          <w:rFonts w:eastAsia="Times New Roman"/>
          <w:b/>
          <w:color w:val="000000"/>
          <w:lang w:val="en-ID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1440"/>
        <w:rPr>
          <w:rFonts w:eastAsia="Times New Roman"/>
          <w:b/>
          <w:color w:val="000000"/>
          <w:lang w:val="en-ID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1440"/>
        <w:rPr>
          <w:rFonts w:eastAsia="Times New Roman"/>
          <w:b/>
          <w:color w:val="000000"/>
          <w:lang w:val="en-ID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1440"/>
        <w:rPr>
          <w:rFonts w:eastAsia="Times New Roman"/>
          <w:b/>
          <w:color w:val="000000"/>
          <w:lang w:val="en-ID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1440"/>
        <w:rPr>
          <w:rFonts w:eastAsia="Times New Roman"/>
          <w:b/>
          <w:color w:val="000000"/>
          <w:lang w:val="en-ID"/>
        </w:rPr>
      </w:pPr>
    </w:p>
    <w:p>
      <w:pPr>
        <w:pStyle w:val="style179"/>
        <w:numPr>
          <w:ilvl w:val="0"/>
          <w:numId w:val="42"/>
        </w:numPr>
        <w:autoSpaceDE w:val="false"/>
        <w:autoSpaceDN w:val="false"/>
        <w:adjustRightInd w:val="false"/>
        <w:spacing w:after="0" w:lineRule="auto" w:line="240"/>
        <w:rPr>
          <w:rFonts w:eastAsia="Times New Roman"/>
          <w:color w:val="000000"/>
          <w:lang w:val="en-ID"/>
        </w:rPr>
      </w:pPr>
      <w:r>
        <w:rPr>
          <w:rFonts w:eastAsia="Times New Roman"/>
          <w:color w:val="000000"/>
          <w:lang w:val="en-ID"/>
        </w:rPr>
        <w:t>Hasil Uji Heteroskedastisitas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ind w:left="1440"/>
        <w:rPr>
          <w:rFonts w:eastAsia="Times New Roman"/>
          <w:color w:val="000000"/>
          <w:lang w:val="en-ID"/>
        </w:rPr>
      </w:pPr>
    </w:p>
    <w:p>
      <w:pPr>
        <w:pStyle w:val="style0"/>
        <w:tabs>
          <w:tab w:val="left" w:leader="none" w:pos="1276"/>
        </w:tabs>
        <w:spacing w:after="0" w:lineRule="auto" w:line="480"/>
        <w:jc w:val="center"/>
        <w:rPr>
          <w:b/>
          <w:color w:val="000000"/>
          <w:lang w:val="en-ID"/>
        </w:rPr>
      </w:pPr>
      <w:r>
        <w:rPr>
          <w:b/>
          <w:color w:val="000000"/>
          <w:lang w:val="en-ID"/>
        </w:rPr>
        <w:t>Hasil Uji Glejser</w:t>
      </w:r>
    </w:p>
    <w:tbl>
      <w:tblPr>
        <w:tblW w:w="10766" w:type="dxa"/>
        <w:tblInd w:w="-1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1220"/>
        <w:gridCol w:w="1520"/>
        <w:gridCol w:w="1457"/>
        <w:gridCol w:w="1520"/>
        <w:gridCol w:w="1029"/>
        <w:gridCol w:w="1029"/>
        <w:gridCol w:w="1172"/>
        <w:gridCol w:w="1060"/>
      </w:tblGrid>
      <w:tr>
        <w:trPr>
          <w:cantSplit/>
        </w:trPr>
        <w:tc>
          <w:tcPr>
            <w:tcW w:w="10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Coefficients</w:t>
            </w:r>
            <w:r>
              <w:rPr>
                <w:b/>
                <w:bCs/>
                <w:color w:val="000000"/>
                <w:vertAlign w:val="superscript"/>
                <w:lang w:val="en-US"/>
              </w:rPr>
              <w:t>a</w:t>
            </w:r>
          </w:p>
        </w:tc>
      </w:tr>
      <w:tr>
        <w:tblPrEx/>
        <w:trPr>
          <w:cantSplit/>
        </w:trPr>
        <w:tc>
          <w:tcPr>
            <w:tcW w:w="197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Model</w:t>
            </w:r>
          </w:p>
        </w:tc>
        <w:tc>
          <w:tcPr>
            <w:tcW w:w="297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Unstandardized Coefficients</w:t>
            </w:r>
          </w:p>
        </w:tc>
        <w:tc>
          <w:tcPr>
            <w:tcW w:w="152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</w:t>
            </w:r>
          </w:p>
        </w:tc>
        <w:tc>
          <w:tcPr>
            <w:tcW w:w="102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Sig.</w:t>
            </w:r>
          </w:p>
        </w:tc>
        <w:tc>
          <w:tcPr>
            <w:tcW w:w="2232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Collinearity Statistics</w:t>
            </w:r>
          </w:p>
        </w:tc>
      </w:tr>
      <w:tr>
        <w:tblPrEx/>
        <w:trPr>
          <w:cantSplit/>
        </w:trPr>
        <w:tc>
          <w:tcPr>
            <w:tcW w:w="1979" w:type="dxa"/>
            <w:gridSpan w:val="2"/>
            <w:vMerge w:val="continue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  <w:lang w:val="en-US"/>
              </w:rPr>
            </w:pPr>
          </w:p>
        </w:tc>
        <w:tc>
          <w:tcPr>
            <w:tcW w:w="152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</w:t>
            </w:r>
          </w:p>
        </w:tc>
        <w:tc>
          <w:tcPr>
            <w:tcW w:w="145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Std. Error</w:t>
            </w:r>
          </w:p>
        </w:tc>
        <w:tc>
          <w:tcPr>
            <w:tcW w:w="152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Beta</w:t>
            </w:r>
          </w:p>
        </w:tc>
        <w:tc>
          <w:tcPr>
            <w:tcW w:w="1029" w:type="dxa"/>
            <w:vMerge w:val="continue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  <w:lang w:val="en-US"/>
              </w:rPr>
            </w:pPr>
          </w:p>
        </w:tc>
        <w:tc>
          <w:tcPr>
            <w:tcW w:w="1029" w:type="dxa"/>
            <w:vMerge w:val="continue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  <w:lang w:val="en-US"/>
              </w:rPr>
            </w:pPr>
          </w:p>
        </w:tc>
        <w:tc>
          <w:tcPr>
            <w:tcW w:w="117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Tolerance</w:t>
            </w:r>
          </w:p>
        </w:tc>
        <w:tc>
          <w:tcPr>
            <w:tcW w:w="106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VIF</w:t>
            </w:r>
          </w:p>
        </w:tc>
      </w:tr>
      <w:tr>
        <w:tblPrEx/>
        <w:trPr>
          <w:cantSplit/>
        </w:trPr>
        <w:tc>
          <w:tcPr>
            <w:tcW w:w="7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2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(Constant)</w:t>
            </w:r>
          </w:p>
        </w:tc>
        <w:tc>
          <w:tcPr>
            <w:tcW w:w="15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16372338,214</w:t>
            </w:r>
          </w:p>
        </w:tc>
        <w:tc>
          <w:tcPr>
            <w:tcW w:w="145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6853907,021</w:t>
            </w:r>
          </w:p>
        </w:tc>
        <w:tc>
          <w:tcPr>
            <w:tcW w:w="15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lang w:val="en-US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2,389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,021</w:t>
            </w:r>
          </w:p>
        </w:tc>
        <w:tc>
          <w:tcPr>
            <w:tcW w:w="11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lang w:val="en-US"/>
              </w:rPr>
            </w:pPr>
          </w:p>
        </w:tc>
        <w:tc>
          <w:tcPr>
            <w:tcW w:w="10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lang w:val="en-US"/>
              </w:rPr>
            </w:pPr>
          </w:p>
        </w:tc>
      </w:tr>
      <w:tr>
        <w:tblPrEx/>
        <w:trPr>
          <w:cantSplit/>
        </w:trPr>
        <w:tc>
          <w:tcPr>
            <w:tcW w:w="759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ROA</w:t>
            </w:r>
          </w:p>
        </w:tc>
        <w:tc>
          <w:tcPr>
            <w:tcW w:w="15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-13205,087</w:t>
            </w: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2181969,132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-,001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-,006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,995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,501</w:t>
            </w:r>
          </w:p>
        </w:tc>
        <w:tc>
          <w:tcPr>
            <w:tcW w:w="10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1,994</w:t>
            </w:r>
          </w:p>
        </w:tc>
      </w:tr>
      <w:tr>
        <w:tblPrEx/>
        <w:trPr>
          <w:cantSplit/>
        </w:trPr>
        <w:tc>
          <w:tcPr>
            <w:tcW w:w="759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ROE</w:t>
            </w:r>
          </w:p>
        </w:tc>
        <w:tc>
          <w:tcPr>
            <w:tcW w:w="15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-882762,532</w:t>
            </w: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684017,298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-,168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-1,291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,203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,498</w:t>
            </w:r>
          </w:p>
        </w:tc>
        <w:tc>
          <w:tcPr>
            <w:tcW w:w="10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2,009</w:t>
            </w:r>
          </w:p>
        </w:tc>
      </w:tr>
      <w:tr>
        <w:tblPrEx/>
        <w:trPr>
          <w:cantSplit/>
        </w:trPr>
        <w:tc>
          <w:tcPr>
            <w:tcW w:w="759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DPK</w:t>
            </w:r>
          </w:p>
        </w:tc>
        <w:tc>
          <w:tcPr>
            <w:tcW w:w="15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,104</w:t>
            </w: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,017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,636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6,108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,139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,775</w:t>
            </w:r>
          </w:p>
        </w:tc>
        <w:tc>
          <w:tcPr>
            <w:tcW w:w="10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1,290</w:t>
            </w:r>
          </w:p>
        </w:tc>
      </w:tr>
      <w:tr>
        <w:tblPrEx/>
        <w:trPr>
          <w:cantSplit/>
        </w:trPr>
        <w:tc>
          <w:tcPr>
            <w:tcW w:w="759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CAR</w:t>
            </w:r>
          </w:p>
        </w:tc>
        <w:tc>
          <w:tcPr>
            <w:tcW w:w="15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72243,674</w:t>
            </w:r>
          </w:p>
        </w:tc>
        <w:tc>
          <w:tcPr>
            <w:tcW w:w="14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54440,076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,135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1,327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,191</w:t>
            </w:r>
          </w:p>
        </w:tc>
        <w:tc>
          <w:tcPr>
            <w:tcW w:w="11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,817</w:t>
            </w:r>
          </w:p>
        </w:tc>
        <w:tc>
          <w:tcPr>
            <w:tcW w:w="10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1,225</w:t>
            </w:r>
          </w:p>
        </w:tc>
      </w:tr>
      <w:tr>
        <w:tblPrEx/>
        <w:trPr>
          <w:cantSplit/>
        </w:trPr>
        <w:tc>
          <w:tcPr>
            <w:tcW w:w="759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NPF</w:t>
            </w:r>
          </w:p>
        </w:tc>
        <w:tc>
          <w:tcPr>
            <w:tcW w:w="15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619730,625</w:t>
            </w:r>
          </w:p>
        </w:tc>
        <w:tc>
          <w:tcPr>
            <w:tcW w:w="145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324926,370</w:t>
            </w:r>
          </w:p>
        </w:tc>
        <w:tc>
          <w:tcPr>
            <w:tcW w:w="15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,180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1,907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,062</w:t>
            </w:r>
          </w:p>
        </w:tc>
        <w:tc>
          <w:tcPr>
            <w:tcW w:w="11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,946</w:t>
            </w:r>
          </w:p>
        </w:tc>
        <w:tc>
          <w:tcPr>
            <w:tcW w:w="10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1,057</w:t>
            </w:r>
          </w:p>
        </w:tc>
      </w:tr>
      <w:tr>
        <w:tblPrEx/>
        <w:trPr>
          <w:cantSplit/>
        </w:trPr>
        <w:tc>
          <w:tcPr>
            <w:tcW w:w="10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a. Dependent Variable: Abs_Res</w:t>
            </w:r>
          </w:p>
        </w:tc>
      </w:tr>
    </w:tbl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eastAsia="Times New Roman"/>
          <w:b/>
          <w:color w:val="000000"/>
          <w:lang w:val="en-ID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eastAsia="Times New Roman"/>
          <w:b/>
          <w:color w:val="000000"/>
          <w:lang w:val="en-ID"/>
        </w:rPr>
      </w:pPr>
    </w:p>
    <w:p>
      <w:pPr>
        <w:pStyle w:val="style179"/>
        <w:numPr>
          <w:ilvl w:val="0"/>
          <w:numId w:val="41"/>
        </w:numPr>
        <w:autoSpaceDE w:val="false"/>
        <w:autoSpaceDN w:val="false"/>
        <w:adjustRightInd w:val="false"/>
        <w:spacing w:after="0" w:lineRule="auto" w:line="24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Analisis Regresi Linier Berganda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eastAsia="Times New Roman"/>
          <w:b/>
          <w:color w:val="000000"/>
        </w:rPr>
      </w:pPr>
    </w:p>
    <w:tbl>
      <w:tblPr>
        <w:tblW w:w="11887" w:type="dxa"/>
        <w:tblInd w:w="-1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1567"/>
        <w:gridCol w:w="1567"/>
        <w:gridCol w:w="1567"/>
        <w:gridCol w:w="1093"/>
        <w:gridCol w:w="1093"/>
        <w:gridCol w:w="2300"/>
      </w:tblGrid>
      <w:tr>
        <w:trPr>
          <w:cantSplit/>
        </w:trPr>
        <w:tc>
          <w:tcPr>
            <w:tcW w:w="11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Coefficients</w:t>
            </w:r>
            <w:r>
              <w:rPr>
                <w:b/>
                <w:bCs/>
                <w:color w:val="000000"/>
                <w:vertAlign w:val="superscript"/>
              </w:rPr>
              <w:t>a</w:t>
            </w:r>
          </w:p>
        </w:tc>
      </w:tr>
      <w:tr>
        <w:tblPrEx/>
        <w:trPr>
          <w:gridAfter w:val="1"/>
          <w:wAfter w:w="2300" w:type="dxa"/>
          <w:cantSplit/>
        </w:trPr>
        <w:tc>
          <w:tcPr>
            <w:tcW w:w="270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Model</w:t>
            </w:r>
          </w:p>
        </w:tc>
        <w:tc>
          <w:tcPr>
            <w:tcW w:w="313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Unstandardized Coefficients</w:t>
            </w:r>
          </w:p>
        </w:tc>
        <w:tc>
          <w:tcPr>
            <w:tcW w:w="156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Standardized Coefficients</w:t>
            </w:r>
          </w:p>
        </w:tc>
        <w:tc>
          <w:tcPr>
            <w:tcW w:w="109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t</w:t>
            </w:r>
          </w:p>
        </w:tc>
        <w:tc>
          <w:tcPr>
            <w:tcW w:w="109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Sig.</w:t>
            </w:r>
          </w:p>
        </w:tc>
      </w:tr>
      <w:tr>
        <w:tblPrEx/>
        <w:trPr>
          <w:gridAfter w:val="1"/>
          <w:wAfter w:w="2300" w:type="dxa"/>
          <w:cantSplit/>
        </w:trPr>
        <w:tc>
          <w:tcPr>
            <w:tcW w:w="2700" w:type="dxa"/>
            <w:gridSpan w:val="2"/>
            <w:vMerge w:val="continue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156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156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Std. Error</w:t>
            </w:r>
          </w:p>
        </w:tc>
        <w:tc>
          <w:tcPr>
            <w:tcW w:w="156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Beta</w:t>
            </w:r>
          </w:p>
        </w:tc>
        <w:tc>
          <w:tcPr>
            <w:tcW w:w="1093" w:type="dxa"/>
            <w:vMerge w:val="continue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1093" w:type="dxa"/>
            <w:vMerge w:val="continue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</w:tr>
      <w:tr>
        <w:tblPrEx/>
        <w:trPr>
          <w:gridAfter w:val="1"/>
          <w:wAfter w:w="2300" w:type="dxa"/>
          <w:cantSplit/>
        </w:trPr>
        <w:tc>
          <w:tcPr>
            <w:tcW w:w="3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(Constant)</w:t>
            </w:r>
          </w:p>
        </w:tc>
        <w:tc>
          <w:tcPr>
            <w:tcW w:w="1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-14673539,935</w:t>
            </w:r>
          </w:p>
        </w:tc>
        <w:tc>
          <w:tcPr>
            <w:tcW w:w="1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11562009,273</w:t>
            </w:r>
          </w:p>
        </w:tc>
        <w:tc>
          <w:tcPr>
            <w:tcW w:w="1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-1,269</w:t>
            </w:r>
          </w:p>
        </w:tc>
        <w:tc>
          <w:tcPr>
            <w:tcW w:w="10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,210</w:t>
            </w:r>
          </w:p>
        </w:tc>
      </w:tr>
      <w:tr>
        <w:tblPrEx/>
        <w:trPr>
          <w:gridAfter w:val="1"/>
          <w:wAfter w:w="2300" w:type="dxa"/>
          <w:cantSplit/>
        </w:trPr>
        <w:tc>
          <w:tcPr>
            <w:tcW w:w="360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Return on assets</w:t>
            </w:r>
          </w:p>
        </w:tc>
        <w:tc>
          <w:tcPr>
            <w:tcW w:w="1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-204665,901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136867,466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-,172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-1,495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,141</w:t>
            </w:r>
          </w:p>
        </w:tc>
      </w:tr>
      <w:tr>
        <w:tblPrEx/>
        <w:trPr>
          <w:gridAfter w:val="1"/>
          <w:wAfter w:w="2300" w:type="dxa"/>
          <w:cantSplit/>
        </w:trPr>
        <w:tc>
          <w:tcPr>
            <w:tcW w:w="360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Return on equity</w:t>
            </w:r>
          </w:p>
        </w:tc>
        <w:tc>
          <w:tcPr>
            <w:tcW w:w="1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177586,755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148508,366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,122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1,196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,238</w:t>
            </w:r>
          </w:p>
        </w:tc>
      </w:tr>
      <w:tr>
        <w:tblPrEx/>
        <w:trPr>
          <w:gridAfter w:val="1"/>
          <w:wAfter w:w="2300" w:type="dxa"/>
          <w:cantSplit/>
        </w:trPr>
        <w:tc>
          <w:tcPr>
            <w:tcW w:w="360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Dana pihak ketiga</w:t>
            </w:r>
          </w:p>
        </w:tc>
        <w:tc>
          <w:tcPr>
            <w:tcW w:w="1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,374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,031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,789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11,861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,000</w:t>
            </w:r>
          </w:p>
        </w:tc>
      </w:tr>
      <w:tr>
        <w:tblPrEx/>
        <w:trPr>
          <w:gridAfter w:val="1"/>
          <w:wAfter w:w="2300" w:type="dxa"/>
          <w:cantSplit/>
        </w:trPr>
        <w:tc>
          <w:tcPr>
            <w:tcW w:w="360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Capital adequacy ratio</w:t>
            </w:r>
          </w:p>
        </w:tc>
        <w:tc>
          <w:tcPr>
            <w:tcW w:w="1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186850,281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98358,224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,120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1,900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,063</w:t>
            </w:r>
          </w:p>
        </w:tc>
      </w:tr>
      <w:tr>
        <w:tblPrEx/>
        <w:trPr>
          <w:gridAfter w:val="1"/>
          <w:wAfter w:w="2300" w:type="dxa"/>
          <w:cantSplit/>
        </w:trPr>
        <w:tc>
          <w:tcPr>
            <w:tcW w:w="360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Non Performing financing</w:t>
            </w:r>
          </w:p>
        </w:tc>
        <w:tc>
          <w:tcPr>
            <w:tcW w:w="1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2222596,722</w:t>
            </w:r>
          </w:p>
        </w:tc>
        <w:tc>
          <w:tcPr>
            <w:tcW w:w="1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727647,654</w:t>
            </w:r>
          </w:p>
        </w:tc>
        <w:tc>
          <w:tcPr>
            <w:tcW w:w="1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,222</w:t>
            </w:r>
          </w:p>
        </w:tc>
        <w:tc>
          <w:tcPr>
            <w:tcW w:w="10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3,054</w:t>
            </w:r>
          </w:p>
        </w:tc>
        <w:tc>
          <w:tcPr>
            <w:tcW w:w="10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,004</w:t>
            </w:r>
          </w:p>
        </w:tc>
      </w:tr>
      <w:tr>
        <w:tblPrEx/>
        <w:trPr>
          <w:cantSplit/>
        </w:trPr>
        <w:tc>
          <w:tcPr>
            <w:tcW w:w="11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a. Dependent Variable: Pembiayaan</w:t>
            </w:r>
          </w:p>
        </w:tc>
      </w:tr>
    </w:tbl>
    <w:p>
      <w:pPr>
        <w:pStyle w:val="style0"/>
        <w:rPr>
          <w:color w:val="000000"/>
          <w:lang w:val="en-ID"/>
        </w:rPr>
      </w:pPr>
    </w:p>
    <w:p>
      <w:pPr>
        <w:pStyle w:val="style0"/>
        <w:rPr>
          <w:color w:val="000000"/>
          <w:lang w:val="en-ID"/>
        </w:rPr>
      </w:pPr>
    </w:p>
    <w:p>
      <w:pPr>
        <w:pStyle w:val="style0"/>
        <w:rPr>
          <w:color w:val="000000"/>
          <w:lang w:val="en-ID"/>
        </w:rPr>
      </w:pPr>
    </w:p>
    <w:p>
      <w:pPr>
        <w:pStyle w:val="style0"/>
        <w:rPr>
          <w:color w:val="000000"/>
          <w:lang w:val="en-ID"/>
        </w:rPr>
      </w:pPr>
    </w:p>
    <w:p>
      <w:pPr>
        <w:pStyle w:val="style179"/>
        <w:numPr>
          <w:ilvl w:val="0"/>
          <w:numId w:val="41"/>
        </w:numPr>
        <w:spacing w:before="240" w:after="0" w:lineRule="auto" w:line="240"/>
        <w:rPr>
          <w:rFonts w:eastAsia="SimSun"/>
          <w:b/>
          <w:color w:val="000000"/>
        </w:rPr>
      </w:pPr>
      <w:r>
        <w:rPr>
          <w:rFonts w:eastAsia="SimSun"/>
          <w:b/>
          <w:color w:val="000000"/>
          <w:lang w:val="en-ID"/>
        </w:rPr>
        <w:t>Uji Hipotesis</w:t>
      </w:r>
    </w:p>
    <w:p>
      <w:pPr>
        <w:pStyle w:val="style179"/>
        <w:spacing w:before="240" w:after="0" w:lineRule="auto" w:line="240"/>
        <w:rPr>
          <w:rFonts w:eastAsia="SimSun"/>
          <w:color w:val="000000"/>
        </w:rPr>
      </w:pPr>
    </w:p>
    <w:p>
      <w:pPr>
        <w:pStyle w:val="style179"/>
        <w:numPr>
          <w:ilvl w:val="0"/>
          <w:numId w:val="43"/>
        </w:numPr>
        <w:spacing w:before="240" w:after="0" w:lineRule="auto" w:line="240"/>
        <w:ind w:left="1080"/>
        <w:rPr>
          <w:rFonts w:eastAsia="SimSun"/>
          <w:color w:val="000000"/>
        </w:rPr>
      </w:pPr>
      <w:r>
        <w:rPr>
          <w:rFonts w:eastAsia="SimSun"/>
          <w:color w:val="000000"/>
        </w:rPr>
        <w:t>Uj</w:t>
      </w:r>
      <w:r>
        <w:rPr>
          <w:rFonts w:eastAsia="SimSun"/>
          <w:color w:val="000000"/>
          <w:lang w:val="en-ID"/>
        </w:rPr>
        <w:t>i</w:t>
      </w:r>
      <w:r>
        <w:rPr>
          <w:rFonts w:eastAsia="SimSun"/>
          <w:color w:val="000000"/>
        </w:rPr>
        <w:t xml:space="preserve"> Parsial (Uji</w:t>
      </w:r>
      <w:r>
        <w:rPr>
          <w:rFonts w:eastAsia="SimSun"/>
          <w:color w:val="000000"/>
          <w:lang w:val="en-ID"/>
        </w:rPr>
        <w:t xml:space="preserve"> </w:t>
      </w:r>
      <w:r>
        <w:rPr>
          <w:rFonts w:eastAsia="SimSun"/>
          <w:color w:val="000000"/>
        </w:rPr>
        <w:t>t)</w:t>
      </w:r>
    </w:p>
    <w:p>
      <w:pPr>
        <w:pStyle w:val="style179"/>
        <w:spacing w:before="240" w:after="0" w:lineRule="auto" w:line="240"/>
        <w:ind w:left="1080"/>
        <w:rPr>
          <w:rFonts w:eastAsia="SimSun"/>
          <w:color w:val="000000"/>
        </w:rPr>
      </w:pPr>
    </w:p>
    <w:tbl>
      <w:tblPr>
        <w:tblW w:w="11887" w:type="dxa"/>
        <w:tblInd w:w="-1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1567"/>
        <w:gridCol w:w="1567"/>
        <w:gridCol w:w="1567"/>
        <w:gridCol w:w="1093"/>
        <w:gridCol w:w="1093"/>
        <w:gridCol w:w="2300"/>
      </w:tblGrid>
      <w:tr>
        <w:trPr>
          <w:cantSplit/>
        </w:trPr>
        <w:tc>
          <w:tcPr>
            <w:tcW w:w="11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Coefficients</w:t>
            </w:r>
            <w:r>
              <w:rPr>
                <w:b/>
                <w:bCs/>
                <w:color w:val="000000"/>
                <w:vertAlign w:val="superscript"/>
              </w:rPr>
              <w:t>a</w:t>
            </w:r>
          </w:p>
        </w:tc>
      </w:tr>
      <w:tr>
        <w:tblPrEx/>
        <w:trPr>
          <w:gridAfter w:val="1"/>
          <w:wAfter w:w="2300" w:type="dxa"/>
          <w:cantSplit/>
        </w:trPr>
        <w:tc>
          <w:tcPr>
            <w:tcW w:w="270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Model</w:t>
            </w:r>
          </w:p>
        </w:tc>
        <w:tc>
          <w:tcPr>
            <w:tcW w:w="313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Unstandardized Coefficients</w:t>
            </w:r>
          </w:p>
        </w:tc>
        <w:tc>
          <w:tcPr>
            <w:tcW w:w="1567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Standardized Coefficients</w:t>
            </w:r>
          </w:p>
        </w:tc>
        <w:tc>
          <w:tcPr>
            <w:tcW w:w="109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t</w:t>
            </w:r>
          </w:p>
        </w:tc>
        <w:tc>
          <w:tcPr>
            <w:tcW w:w="1093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Sig.</w:t>
            </w:r>
          </w:p>
        </w:tc>
      </w:tr>
      <w:tr>
        <w:tblPrEx/>
        <w:trPr>
          <w:gridAfter w:val="1"/>
          <w:wAfter w:w="2300" w:type="dxa"/>
          <w:cantSplit/>
        </w:trPr>
        <w:tc>
          <w:tcPr>
            <w:tcW w:w="2700" w:type="dxa"/>
            <w:gridSpan w:val="2"/>
            <w:vMerge w:val="continue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156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156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Std. Error</w:t>
            </w:r>
          </w:p>
        </w:tc>
        <w:tc>
          <w:tcPr>
            <w:tcW w:w="156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Beta</w:t>
            </w:r>
          </w:p>
        </w:tc>
        <w:tc>
          <w:tcPr>
            <w:tcW w:w="1093" w:type="dxa"/>
            <w:vMerge w:val="continue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1093" w:type="dxa"/>
            <w:vMerge w:val="continue"/>
            <w:tcBorders>
              <w:top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</w:tr>
      <w:tr>
        <w:tblPrEx/>
        <w:trPr>
          <w:gridAfter w:val="1"/>
          <w:wAfter w:w="2300" w:type="dxa"/>
          <w:cantSplit/>
        </w:trPr>
        <w:tc>
          <w:tcPr>
            <w:tcW w:w="3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(Constant)</w:t>
            </w:r>
          </w:p>
        </w:tc>
        <w:tc>
          <w:tcPr>
            <w:tcW w:w="1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-14673539,935</w:t>
            </w:r>
          </w:p>
        </w:tc>
        <w:tc>
          <w:tcPr>
            <w:tcW w:w="1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11562009,273</w:t>
            </w:r>
          </w:p>
        </w:tc>
        <w:tc>
          <w:tcPr>
            <w:tcW w:w="15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10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-1,269</w:t>
            </w:r>
          </w:p>
        </w:tc>
        <w:tc>
          <w:tcPr>
            <w:tcW w:w="10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,210</w:t>
            </w:r>
          </w:p>
        </w:tc>
      </w:tr>
      <w:tr>
        <w:tblPrEx/>
        <w:trPr>
          <w:gridAfter w:val="1"/>
          <w:wAfter w:w="2300" w:type="dxa"/>
          <w:cantSplit/>
        </w:trPr>
        <w:tc>
          <w:tcPr>
            <w:tcW w:w="360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Return on assets</w:t>
            </w:r>
          </w:p>
        </w:tc>
        <w:tc>
          <w:tcPr>
            <w:tcW w:w="1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-204665,901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136867,466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-,172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-1,495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,141</w:t>
            </w:r>
          </w:p>
        </w:tc>
      </w:tr>
      <w:tr>
        <w:tblPrEx/>
        <w:trPr>
          <w:gridAfter w:val="1"/>
          <w:wAfter w:w="2300" w:type="dxa"/>
          <w:cantSplit/>
        </w:trPr>
        <w:tc>
          <w:tcPr>
            <w:tcW w:w="360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Return on equity</w:t>
            </w:r>
          </w:p>
        </w:tc>
        <w:tc>
          <w:tcPr>
            <w:tcW w:w="1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177586,755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148508,366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,122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1,196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,238</w:t>
            </w:r>
          </w:p>
        </w:tc>
      </w:tr>
      <w:tr>
        <w:tblPrEx/>
        <w:trPr>
          <w:gridAfter w:val="1"/>
          <w:wAfter w:w="2300" w:type="dxa"/>
          <w:cantSplit/>
        </w:trPr>
        <w:tc>
          <w:tcPr>
            <w:tcW w:w="360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Dana pihak ketiga</w:t>
            </w:r>
          </w:p>
        </w:tc>
        <w:tc>
          <w:tcPr>
            <w:tcW w:w="1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,374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,031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,789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11,861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,000</w:t>
            </w:r>
          </w:p>
        </w:tc>
      </w:tr>
      <w:tr>
        <w:tblPrEx/>
        <w:trPr>
          <w:gridAfter w:val="1"/>
          <w:wAfter w:w="2300" w:type="dxa"/>
          <w:cantSplit/>
        </w:trPr>
        <w:tc>
          <w:tcPr>
            <w:tcW w:w="360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Capital adequacy ratio</w:t>
            </w:r>
          </w:p>
        </w:tc>
        <w:tc>
          <w:tcPr>
            <w:tcW w:w="1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186850,281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98358,224</w:t>
            </w:r>
          </w:p>
        </w:tc>
        <w:tc>
          <w:tcPr>
            <w:tcW w:w="1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,120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1,900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,063</w:t>
            </w:r>
          </w:p>
        </w:tc>
      </w:tr>
      <w:tr>
        <w:tblPrEx/>
        <w:trPr>
          <w:gridAfter w:val="1"/>
          <w:wAfter w:w="2300" w:type="dxa"/>
          <w:cantSplit/>
        </w:trPr>
        <w:tc>
          <w:tcPr>
            <w:tcW w:w="360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Non Performing financing</w:t>
            </w:r>
          </w:p>
        </w:tc>
        <w:tc>
          <w:tcPr>
            <w:tcW w:w="1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2222596,722</w:t>
            </w:r>
          </w:p>
        </w:tc>
        <w:tc>
          <w:tcPr>
            <w:tcW w:w="1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727647,654</w:t>
            </w:r>
          </w:p>
        </w:tc>
        <w:tc>
          <w:tcPr>
            <w:tcW w:w="15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,222</w:t>
            </w:r>
          </w:p>
        </w:tc>
        <w:tc>
          <w:tcPr>
            <w:tcW w:w="10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3,054</w:t>
            </w:r>
          </w:p>
        </w:tc>
        <w:tc>
          <w:tcPr>
            <w:tcW w:w="10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,004</w:t>
            </w:r>
          </w:p>
        </w:tc>
      </w:tr>
      <w:tr>
        <w:tblPrEx/>
        <w:trPr>
          <w:cantSplit/>
        </w:trPr>
        <w:tc>
          <w:tcPr>
            <w:tcW w:w="11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a. Dependent Variable: Pembiayaan</w:t>
            </w:r>
          </w:p>
        </w:tc>
      </w:tr>
    </w:tbl>
    <w:p>
      <w:pPr>
        <w:pStyle w:val="style0"/>
        <w:rPr>
          <w:color w:val="000000"/>
          <w:lang w:val="en-ID"/>
        </w:rPr>
      </w:pPr>
    </w:p>
    <w:p>
      <w:pPr>
        <w:pStyle w:val="style179"/>
        <w:numPr>
          <w:ilvl w:val="0"/>
          <w:numId w:val="43"/>
        </w:numPr>
        <w:ind w:left="1080"/>
        <w:rPr>
          <w:color w:val="000000"/>
        </w:rPr>
      </w:pPr>
      <w:r>
        <w:rPr>
          <w:color w:val="000000"/>
        </w:rPr>
        <w:t>Uji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Simultan (</w:t>
      </w:r>
      <w:r>
        <w:rPr>
          <w:color w:val="000000"/>
          <w:lang w:val="en-US"/>
        </w:rPr>
        <w:t>U</w:t>
      </w:r>
      <w:r>
        <w:rPr>
          <w:color w:val="000000"/>
        </w:rPr>
        <w:t xml:space="preserve">ji </w:t>
      </w:r>
      <w:r>
        <w:rPr>
          <w:color w:val="000000"/>
          <w:lang w:val="en-ID"/>
        </w:rPr>
        <w:t>F</w:t>
      </w:r>
      <w:r>
        <w:rPr>
          <w:color w:val="00000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color w:val="000000"/>
        </w:rPr>
      </w:pPr>
    </w:p>
    <w:tbl>
      <w:tblPr>
        <w:tblW w:w="8640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154"/>
        <w:gridCol w:w="2430"/>
        <w:gridCol w:w="736"/>
        <w:gridCol w:w="2300"/>
        <w:gridCol w:w="850"/>
        <w:gridCol w:w="810"/>
      </w:tblGrid>
      <w:tr>
        <w:trPr>
          <w:cantSplit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ANOVA</w:t>
            </w:r>
            <w:r>
              <w:rPr>
                <w:b/>
                <w:bCs/>
                <w:color w:val="000000"/>
                <w:vertAlign w:val="superscript"/>
              </w:rPr>
              <w:t>a</w:t>
            </w:r>
          </w:p>
        </w:tc>
      </w:tr>
      <w:tr>
        <w:tblPrEx/>
        <w:trPr>
          <w:cantSplit/>
        </w:trPr>
        <w:tc>
          <w:tcPr>
            <w:tcW w:w="15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Model</w:t>
            </w:r>
          </w:p>
        </w:tc>
        <w:tc>
          <w:tcPr>
            <w:tcW w:w="24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Sum of Squares</w:t>
            </w:r>
          </w:p>
        </w:tc>
        <w:tc>
          <w:tcPr>
            <w:tcW w:w="73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df</w:t>
            </w:r>
          </w:p>
        </w:tc>
        <w:tc>
          <w:tcPr>
            <w:tcW w:w="23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Mean Square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8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Sig.</w:t>
            </w:r>
          </w:p>
        </w:tc>
      </w:tr>
      <w:tr>
        <w:tblPrEx/>
        <w:trPr>
          <w:cantSplit/>
        </w:trPr>
        <w:tc>
          <w:tcPr>
            <w:tcW w:w="3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Regression</w:t>
            </w:r>
          </w:p>
        </w:tc>
        <w:tc>
          <w:tcPr>
            <w:tcW w:w="24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1116881067364107260,000</w:t>
            </w:r>
          </w:p>
        </w:tc>
        <w:tc>
          <w:tcPr>
            <w:tcW w:w="7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223376213472821408,000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50,777</w:t>
            </w:r>
          </w:p>
        </w:tc>
        <w:tc>
          <w:tcPr>
            <w:tcW w:w="8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,000</w:t>
            </w:r>
            <w:r>
              <w:rPr>
                <w:color w:val="000000"/>
                <w:vertAlign w:val="superscript"/>
              </w:rPr>
              <w:t>b</w:t>
            </w:r>
          </w:p>
        </w:tc>
      </w:tr>
      <w:tr>
        <w:tblPrEx/>
        <w:trPr>
          <w:cantSplit/>
        </w:trPr>
        <w:tc>
          <w:tcPr>
            <w:tcW w:w="360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Residual</w:t>
            </w:r>
          </w:p>
        </w:tc>
        <w:tc>
          <w:tcPr>
            <w:tcW w:w="24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215559535473147584,000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3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4399174193329544,000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</w:tr>
      <w:tr>
        <w:tblPrEx/>
        <w:trPr>
          <w:cantSplit/>
        </w:trPr>
        <w:tc>
          <w:tcPr>
            <w:tcW w:w="360" w:type="dxa"/>
            <w:vMerge w:val="continue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24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1332440602837254910,000</w:t>
            </w:r>
          </w:p>
        </w:tc>
        <w:tc>
          <w:tcPr>
            <w:tcW w:w="7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3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uto" w:line="240"/>
              <w:rPr>
                <w:color w:val="000000"/>
              </w:rPr>
            </w:pPr>
          </w:p>
        </w:tc>
      </w:tr>
      <w:tr>
        <w:tblPrEx/>
        <w:trPr>
          <w:cantSplit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a. Dependent Variable: Pembiayaan</w:t>
            </w:r>
          </w:p>
        </w:tc>
      </w:tr>
      <w:tr>
        <w:tblPrEx/>
        <w:trPr>
          <w:cantSplit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 xml:space="preserve">b. Predictors: (Constant), </w:t>
            </w:r>
            <w:r>
              <w:rPr>
                <w:i/>
                <w:color w:val="000000"/>
              </w:rPr>
              <w:t>Non Performing financing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Capital adequacy ratio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Return on equity</w:t>
            </w:r>
            <w:r>
              <w:rPr>
                <w:color w:val="000000"/>
              </w:rPr>
              <w:t xml:space="preserve">, Dana pihak ketiga, </w:t>
            </w:r>
            <w:r>
              <w:rPr>
                <w:i/>
                <w:color w:val="000000"/>
              </w:rPr>
              <w:t>Return on assets</w:t>
            </w:r>
          </w:p>
        </w:tc>
      </w:tr>
    </w:tbl>
    <w:p>
      <w:pPr>
        <w:pStyle w:val="style0"/>
        <w:rPr>
          <w:color w:val="000000"/>
          <w:lang w:val="en-ID"/>
        </w:rPr>
      </w:pPr>
    </w:p>
    <w:p>
      <w:pPr>
        <w:pStyle w:val="style0"/>
        <w:rPr>
          <w:color w:val="000000"/>
          <w:lang w:val="en-ID"/>
        </w:rPr>
      </w:pPr>
    </w:p>
    <w:p>
      <w:pPr>
        <w:pStyle w:val="style0"/>
        <w:rPr>
          <w:color w:val="000000"/>
          <w:lang w:val="en-ID"/>
        </w:rPr>
      </w:pPr>
    </w:p>
    <w:p>
      <w:pPr>
        <w:pStyle w:val="style0"/>
        <w:rPr>
          <w:color w:val="000000"/>
          <w:lang w:val="en-ID"/>
        </w:rPr>
      </w:pPr>
    </w:p>
    <w:p>
      <w:pPr>
        <w:pStyle w:val="style179"/>
        <w:numPr>
          <w:ilvl w:val="0"/>
          <w:numId w:val="41"/>
        </w:numPr>
        <w:spacing w:after="0" w:lineRule="auto" w:line="24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Analisis Koefisien Determinasi</w:t>
      </w:r>
    </w:p>
    <w:p>
      <w:pPr>
        <w:pStyle w:val="style0"/>
        <w:spacing w:after="0" w:lineRule="auto" w:line="240"/>
        <w:ind w:left="567" w:firstLine="993"/>
        <w:jc w:val="center"/>
        <w:rPr>
          <w:rFonts w:eastAsia="Times New Roman"/>
          <w:b/>
          <w:bCs/>
          <w:color w:val="000000"/>
        </w:rPr>
      </w:pPr>
    </w:p>
    <w:tbl>
      <w:tblPr>
        <w:tblW w:w="7348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Model Summary</w:t>
            </w:r>
            <w:r>
              <w:rPr>
                <w:b/>
                <w:bCs/>
                <w:color w:val="000000"/>
                <w:vertAlign w:val="superscript"/>
              </w:rPr>
              <w:t>b</w:t>
            </w:r>
          </w:p>
        </w:tc>
      </w:tr>
      <w:tr>
        <w:tblPrEx/>
        <w:trPr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Model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Std. Error of the Estimate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Durbin-Watson</w:t>
            </w:r>
          </w:p>
        </w:tc>
      </w:tr>
      <w:tr>
        <w:tblPrEx/>
        <w:trPr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,916</w:t>
            </w:r>
            <w:r>
              <w:rPr>
                <w:color w:val="000000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,838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,822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66326270,76302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jc w:val="right"/>
              <w:rPr>
                <w:color w:val="000000"/>
              </w:rPr>
            </w:pPr>
            <w:r>
              <w:rPr>
                <w:color w:val="000000"/>
              </w:rPr>
              <w:t>2,296</w:t>
            </w:r>
          </w:p>
        </w:tc>
      </w:tr>
      <w:tr>
        <w:tblPrEx/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 xml:space="preserve">a. Predictors: (Constant), </w:t>
            </w:r>
            <w:r>
              <w:rPr>
                <w:i/>
                <w:color w:val="000000"/>
              </w:rPr>
              <w:t>Non Performing financing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Capital adequacy ratio, Return on equity</w:t>
            </w:r>
            <w:r>
              <w:rPr>
                <w:color w:val="000000"/>
              </w:rPr>
              <w:t xml:space="preserve">, Dana pihak ketiga, </w:t>
            </w:r>
            <w:r>
              <w:rPr>
                <w:i/>
                <w:color w:val="000000"/>
              </w:rPr>
              <w:t>Return on assets</w:t>
            </w:r>
          </w:p>
        </w:tc>
      </w:tr>
      <w:tr>
        <w:tblPrEx/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style0"/>
              <w:autoSpaceDE w:val="false"/>
              <w:autoSpaceDN w:val="false"/>
              <w:adjustRightInd w:val="false"/>
              <w:spacing w:after="0" w:lineRule="atLeast" w:line="320"/>
              <w:ind w:left="60" w:right="60"/>
              <w:rPr>
                <w:color w:val="000000"/>
              </w:rPr>
            </w:pPr>
            <w:r>
              <w:rPr>
                <w:color w:val="000000"/>
              </w:rPr>
              <w:t>b. Dependent Variable: Pembiayaan</w:t>
            </w:r>
          </w:p>
        </w:tc>
      </w:tr>
    </w:tbl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rPr>
          <w:color w:val="000000"/>
          <w:lang w:val="en-ID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rPr>
          <w:color w:val="000000"/>
          <w:lang w:val="en-ID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lang w:val="en-US"/>
        </w:rPr>
      </w:pPr>
    </w:p>
    <w:p>
      <w:pPr>
        <w:pStyle w:val="style0"/>
        <w:autoSpaceDE w:val="false"/>
        <w:autoSpaceDN w:val="false"/>
        <w:adjustRightInd w:val="false"/>
        <w:spacing w:after="0" w:lineRule="atLeast" w:line="400"/>
        <w:rPr>
          <w:lang w:val="en-US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lineRule="auto" w:line="240"/>
        <w:rPr>
          <w:color w:val="000000"/>
          <w:lang w:val="en-ID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color w:val="000000"/>
          <w:lang w:val="en-ID"/>
        </w:rPr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footerReference w:type="first" r:id="rId7"/>
      <w:pgSz w:w="11906" w:h="16838" w:orient="portrait"/>
      <w:pgMar w:top="2268" w:right="1701" w:bottom="1701" w:left="23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Arial"/>
    <w:panose1 w:val="00000000000000000000"/>
    <w:charset w:val="00"/>
    <w:family w:val="swiss"/>
    <w:pitch w:val="variable"/>
    <w:sig w:usb0="00000001" w:usb1="400078FF" w:usb2="0000002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6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0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/>
    </w:pPr>
    <w:bookmarkStart w:id="3" w:name="_GoBack"/>
    <w:bookmarkEnd w:id="3"/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516DDFA"/>
    <w:lvl w:ilvl="0" w:tplc="6A662A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DD453C0"/>
    <w:lvl w:ilvl="0" w:tplc="29A8998C">
      <w:start w:val="1"/>
      <w:numFmt w:val="lowerLetter"/>
      <w:lvlText w:val="%1."/>
      <w:lvlJc w:val="left"/>
      <w:pPr>
        <w:ind w:left="1429" w:hanging="360"/>
      </w:pPr>
      <w:rPr>
        <w:rFonts w:hint="default"/>
        <w:i w:val="false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48D457EA">
      <w:start w:val="1"/>
      <w:numFmt w:val="decimal"/>
      <w:lvlText w:val="%7."/>
      <w:lvlJc w:val="left"/>
      <w:pPr>
        <w:ind w:left="1260" w:hanging="360"/>
      </w:pPr>
      <w:rPr>
        <w:i w:val="false"/>
      </w:r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000002"/>
    <w:multiLevelType w:val="hybridMultilevel"/>
    <w:tmpl w:val="08A2A3D8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  <w:b w:val="false"/>
        <w:bCs/>
      </w:rPr>
    </w:lvl>
    <w:lvl w:ilvl="1" w:tplc="04210019">
      <w:start w:val="1"/>
      <w:numFmt w:val="lowerLetter"/>
      <w:lvlText w:val="%2."/>
      <w:lvlJc w:val="left"/>
      <w:pPr>
        <w:ind w:left="36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38090011">
      <w:start w:val="1"/>
      <w:numFmt w:val="decimal"/>
      <w:lvlText w:val="%4)"/>
      <w:lvlJc w:val="left"/>
      <w:pPr>
        <w:ind w:left="189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250ECB94"/>
    <w:lvl w:ilvl="0" w:tplc="F2041D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55B0CD42"/>
    <w:lvl w:ilvl="0" w:tplc="5DC0F71A">
      <w:start w:val="1"/>
      <w:numFmt w:val="decimal"/>
      <w:lvlText w:val="%1."/>
      <w:lvlJc w:val="left"/>
      <w:pPr>
        <w:ind w:left="776" w:hanging="360"/>
      </w:pPr>
      <w:rPr>
        <w:rFonts w:ascii="Times New Roman" w:cs="Times New Roman" w:eastAsia="Calibri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>
    <w:nsid w:val="00000005"/>
    <w:multiLevelType w:val="hybridMultilevel"/>
    <w:tmpl w:val="D9E0E412"/>
    <w:lvl w:ilvl="0" w:tplc="BC800FC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0000006"/>
    <w:multiLevelType w:val="hybridMultilevel"/>
    <w:tmpl w:val="B5AC1F26"/>
    <w:lvl w:ilvl="0" w:tplc="7B5AB220">
      <w:start w:val="1"/>
      <w:numFmt w:val="lowerLetter"/>
      <w:lvlText w:val="%1)"/>
      <w:lvlJc w:val="left"/>
      <w:pPr>
        <w:ind w:left="2628" w:hanging="360"/>
      </w:pPr>
      <w:rPr>
        <w:rFonts w:ascii="Times New Roman" w:cs="Times New Roman" w:eastAsia="Calibri" w:hAnsi="Times New Roman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00000007"/>
    <w:multiLevelType w:val="hybridMultilevel"/>
    <w:tmpl w:val="62889B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12605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8E68A8E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000000A"/>
    <w:multiLevelType w:val="hybridMultilevel"/>
    <w:tmpl w:val="34F4DA2A"/>
    <w:lvl w:ilvl="0" w:tplc="0421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0000000B"/>
    <w:multiLevelType w:val="hybridMultilevel"/>
    <w:tmpl w:val="B254DF8E"/>
    <w:lvl w:ilvl="0" w:tplc="E6F04AA2">
      <w:start w:val="1"/>
      <w:numFmt w:val="decimal"/>
      <w:lvlText w:val="%1."/>
      <w:lvlJc w:val="left"/>
      <w:pPr>
        <w:ind w:left="3240" w:hanging="360"/>
      </w:pPr>
      <w:rPr>
        <w:rFonts w:ascii="Times New Roman" w:cs="Times New Roman" w:eastAsia="Calibri" w:hAnsi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0000000C"/>
    <w:multiLevelType w:val="hybridMultilevel"/>
    <w:tmpl w:val="38102808"/>
    <w:lvl w:ilvl="0" w:tplc="04090019">
      <w:start w:val="1"/>
      <w:numFmt w:val="lowerLetter"/>
      <w:lvlText w:val="%1."/>
      <w:lvlJc w:val="left"/>
      <w:pPr>
        <w:ind w:left="1779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0000000D"/>
    <w:multiLevelType w:val="hybridMultilevel"/>
    <w:tmpl w:val="D47886BE"/>
    <w:lvl w:ilvl="0" w:tplc="5DC0F71A">
      <w:start w:val="1"/>
      <w:numFmt w:val="decimal"/>
      <w:lvlText w:val="%1."/>
      <w:lvlJc w:val="left"/>
      <w:pPr>
        <w:ind w:left="786" w:hanging="360"/>
      </w:pPr>
      <w:rPr>
        <w:rFonts w:ascii="Times New Roman" w:cs="Times New Roman" w:eastAsia="Calibri" w:hAnsi="Times New Roman"/>
      </w:rPr>
    </w:lvl>
    <w:lvl w:ilvl="1" w:tplc="04090019" w:tentative="1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4">
    <w:nsid w:val="0000000E"/>
    <w:multiLevelType w:val="hybridMultilevel"/>
    <w:tmpl w:val="F4D8AF9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0000000F"/>
    <w:multiLevelType w:val="hybridMultilevel"/>
    <w:tmpl w:val="EB64FE10"/>
    <w:lvl w:ilvl="0" w:tplc="5DC0F71A">
      <w:start w:val="1"/>
      <w:numFmt w:val="decimal"/>
      <w:lvlText w:val="%1."/>
      <w:lvlJc w:val="left"/>
      <w:pPr>
        <w:ind w:left="776" w:hanging="360"/>
      </w:pPr>
      <w:rPr>
        <w:rFonts w:ascii="Times New Roman" w:cs="Times New Roman" w:eastAsia="Calibri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>
    <w:nsid w:val="00000010"/>
    <w:multiLevelType w:val="hybridMultilevel"/>
    <w:tmpl w:val="8228A0A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00000011"/>
    <w:multiLevelType w:val="hybridMultilevel"/>
    <w:tmpl w:val="B882E1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E62E2706"/>
    <w:lvl w:ilvl="0" w:tplc="5DC0F71A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Calibri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FE5E06B6"/>
    <w:lvl w:ilvl="0" w:tplc="5DC0F71A">
      <w:start w:val="1"/>
      <w:numFmt w:val="decimal"/>
      <w:lvlText w:val="%1."/>
      <w:lvlJc w:val="left"/>
      <w:pPr>
        <w:ind w:left="776" w:hanging="360"/>
      </w:pPr>
      <w:rPr>
        <w:rFonts w:ascii="Times New Roman" w:cs="Times New Roman" w:eastAsia="Calibri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>
    <w:nsid w:val="00000014"/>
    <w:multiLevelType w:val="hybridMultilevel"/>
    <w:tmpl w:val="A39C1F0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00000015"/>
    <w:multiLevelType w:val="hybridMultilevel"/>
    <w:tmpl w:val="DA300CD6"/>
    <w:lvl w:ilvl="0" w:tplc="08C6E0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>
    <w:nsid w:val="00000016"/>
    <w:multiLevelType w:val="hybridMultilevel"/>
    <w:tmpl w:val="38462F0C"/>
    <w:lvl w:ilvl="0" w:tplc="7F36A228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0000017"/>
    <w:multiLevelType w:val="hybridMultilevel"/>
    <w:tmpl w:val="8658490A"/>
    <w:lvl w:ilvl="0" w:tplc="6A9C7B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8"/>
    <w:multiLevelType w:val="hybridMultilevel"/>
    <w:tmpl w:val="C9068CEA"/>
    <w:lvl w:ilvl="0" w:tplc="93B61370">
      <w:start w:val="1"/>
      <w:numFmt w:val="lowerLetter"/>
      <w:lvlText w:val="%1."/>
      <w:lvlJc w:val="left"/>
      <w:pPr>
        <w:ind w:left="1170" w:hanging="360"/>
      </w:pPr>
      <w:rPr>
        <w:rFonts w:ascii="Times New Roman" w:cs="Times New Roman" w:eastAsia="Calibri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0000019"/>
    <w:multiLevelType w:val="hybridMultilevel"/>
    <w:tmpl w:val="805241F2"/>
    <w:lvl w:ilvl="0" w:tplc="58E4A2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000001A"/>
    <w:multiLevelType w:val="hybridMultilevel"/>
    <w:tmpl w:val="9E104110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0000001B"/>
    <w:multiLevelType w:val="hybridMultilevel"/>
    <w:tmpl w:val="6EC85292"/>
    <w:lvl w:ilvl="0" w:tplc="5DC0F71A">
      <w:start w:val="1"/>
      <w:numFmt w:val="decimal"/>
      <w:lvlText w:val="%1."/>
      <w:lvlJc w:val="left"/>
      <w:pPr>
        <w:ind w:left="776" w:hanging="360"/>
      </w:pPr>
      <w:rPr>
        <w:rFonts w:ascii="Times New Roman" w:cs="Times New Roman" w:eastAsia="Calibri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8">
    <w:nsid w:val="0000001C"/>
    <w:multiLevelType w:val="hybridMultilevel"/>
    <w:tmpl w:val="8228A0A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0000001D"/>
    <w:multiLevelType w:val="hybridMultilevel"/>
    <w:tmpl w:val="34CCE9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0000001E"/>
    <w:multiLevelType w:val="hybridMultilevel"/>
    <w:tmpl w:val="30F216A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0000001F"/>
    <w:multiLevelType w:val="hybridMultilevel"/>
    <w:tmpl w:val="63DAFB7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C20CBB12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0000021"/>
    <w:multiLevelType w:val="hybridMultilevel"/>
    <w:tmpl w:val="4D1CBFB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00000022"/>
    <w:multiLevelType w:val="hybridMultilevel"/>
    <w:tmpl w:val="52C4ACC6"/>
    <w:lvl w:ilvl="0" w:tplc="D452E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0000023"/>
    <w:multiLevelType w:val="hybridMultilevel"/>
    <w:tmpl w:val="928A5E10"/>
    <w:lvl w:ilvl="0" w:tplc="F5F2CB36">
      <w:start w:val="1"/>
      <w:numFmt w:val="lowerLetter"/>
      <w:lvlText w:val="%1."/>
      <w:lvlJc w:val="left"/>
      <w:pPr>
        <w:ind w:left="2628" w:hanging="360"/>
      </w:pPr>
      <w:rPr>
        <w:rFonts w:ascii="Times New Roman" w:cs="Times New Roman" w:eastAsia="Calibri" w:hAnsi="Times New Roman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00000024"/>
    <w:multiLevelType w:val="hybridMultilevel"/>
    <w:tmpl w:val="BF384866"/>
    <w:lvl w:ilvl="0" w:tplc="04090015">
      <w:start w:val="1"/>
      <w:numFmt w:val="upperLetter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7">
    <w:nsid w:val="00000025"/>
    <w:multiLevelType w:val="hybridMultilevel"/>
    <w:tmpl w:val="132A92E0"/>
    <w:lvl w:ilvl="0" w:tplc="93B61370">
      <w:start w:val="1"/>
      <w:numFmt w:val="lowerLetter"/>
      <w:lvlText w:val="%1."/>
      <w:lvlJc w:val="left"/>
      <w:pPr>
        <w:ind w:left="1440" w:hanging="360"/>
      </w:pPr>
      <w:rPr>
        <w:rFonts w:ascii="Times New Roman" w:cs="Times New Roman" w:eastAsia="Calibri" w:hAnsi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00000026"/>
    <w:multiLevelType w:val="hybridMultilevel"/>
    <w:tmpl w:val="6FEE9C6A"/>
    <w:lvl w:ilvl="0" w:tplc="322E8352">
      <w:start w:val="1"/>
      <w:numFmt w:val="decimal"/>
      <w:lvlText w:val="%1)"/>
      <w:lvlJc w:val="left"/>
      <w:pPr>
        <w:ind w:left="1620" w:hanging="360"/>
      </w:pPr>
      <w:rPr>
        <w:i w:val="fals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00000027"/>
    <w:multiLevelType w:val="hybridMultilevel"/>
    <w:tmpl w:val="C10EB40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00000028"/>
    <w:multiLevelType w:val="hybridMultilevel"/>
    <w:tmpl w:val="9516DDFA"/>
    <w:lvl w:ilvl="0" w:tplc="6A662A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0000029"/>
    <w:multiLevelType w:val="hybridMultilevel"/>
    <w:tmpl w:val="7E60C6EE"/>
    <w:lvl w:ilvl="0" w:tplc="86165D6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0000002A"/>
    <w:multiLevelType w:val="hybridMultilevel"/>
    <w:tmpl w:val="1C58DAFC"/>
    <w:lvl w:ilvl="0" w:tplc="8598A4A2">
      <w:start w:val="1"/>
      <w:numFmt w:val="lowerLetter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000002B"/>
    <w:multiLevelType w:val="hybridMultilevel"/>
    <w:tmpl w:val="F5E60B74"/>
    <w:lvl w:ilvl="0" w:tplc="B308B268">
      <w:start w:val="1"/>
      <w:numFmt w:val="decimal"/>
      <w:lvlText w:val="%1."/>
      <w:lvlJc w:val="left"/>
      <w:pPr>
        <w:ind w:left="776" w:hanging="360"/>
      </w:pPr>
      <w:rPr>
        <w:rFonts w:ascii="Times New Roman" w:cs="Times New Roman" w:eastAsia="Calibri" w:hAnsi="Times New Roman"/>
        <w:i w:val="false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4">
    <w:nsid w:val="0000002C"/>
    <w:multiLevelType w:val="hybridMultilevel"/>
    <w:tmpl w:val="598EEE52"/>
    <w:lvl w:ilvl="0" w:tplc="FAA0987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0000002D"/>
    <w:multiLevelType w:val="hybridMultilevel"/>
    <w:tmpl w:val="D9369FBE"/>
    <w:lvl w:ilvl="0" w:tplc="93B61370">
      <w:start w:val="1"/>
      <w:numFmt w:val="lowerLetter"/>
      <w:lvlText w:val="%1."/>
      <w:lvlJc w:val="left"/>
      <w:pPr>
        <w:ind w:left="1440" w:hanging="360"/>
      </w:pPr>
      <w:rPr>
        <w:rFonts w:ascii="Times New Roman" w:cs="Times New Roman" w:eastAsia="Calibri" w:hAnsi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0000002E"/>
    <w:multiLevelType w:val="hybridMultilevel"/>
    <w:tmpl w:val="EA9849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000002F"/>
    <w:multiLevelType w:val="hybridMultilevel"/>
    <w:tmpl w:val="1720AA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0000030"/>
    <w:multiLevelType w:val="hybridMultilevel"/>
    <w:tmpl w:val="8E68A8E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00000031"/>
    <w:multiLevelType w:val="hybridMultilevel"/>
    <w:tmpl w:val="A0242A9E"/>
    <w:lvl w:ilvl="0" w:tplc="04090017">
      <w:start w:val="1"/>
      <w:numFmt w:val="lowerLetter"/>
      <w:lvlText w:val="%1)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00000032"/>
    <w:multiLevelType w:val="hybridMultilevel"/>
    <w:tmpl w:val="0A3AB680"/>
    <w:lvl w:ilvl="0" w:tplc="349833C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00000033"/>
    <w:multiLevelType w:val="hybridMultilevel"/>
    <w:tmpl w:val="0F78AF88"/>
    <w:lvl w:ilvl="0" w:tplc="5DC0F71A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Calibri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0000034"/>
    <w:multiLevelType w:val="hybridMultilevel"/>
    <w:tmpl w:val="9B2AFEFA"/>
    <w:lvl w:ilvl="0" w:tplc="71DA2754">
      <w:start w:val="1"/>
      <w:numFmt w:val="lowerLetter"/>
      <w:lvlText w:val="%1."/>
      <w:lvlJc w:val="left"/>
      <w:pPr>
        <w:ind w:left="3152" w:hanging="360"/>
      </w:pPr>
      <w:rPr>
        <w:rFonts w:ascii="Times New Roman" w:cs="Times New Roman" w:eastAsia="Calibri" w:hAnsi="Times New Roman"/>
      </w:rPr>
    </w:lvl>
    <w:lvl w:ilvl="1" w:tplc="04090019" w:tentative="1">
      <w:start w:val="1"/>
      <w:numFmt w:val="lowerLetter"/>
      <w:lvlText w:val="%2."/>
      <w:lvlJc w:val="left"/>
      <w:pPr>
        <w:ind w:left="3872" w:hanging="360"/>
      </w:pPr>
    </w:lvl>
    <w:lvl w:ilvl="2" w:tplc="0409001B" w:tentative="1">
      <w:start w:val="1"/>
      <w:numFmt w:val="lowerRoman"/>
      <w:lvlText w:val="%3."/>
      <w:lvlJc w:val="right"/>
      <w:pPr>
        <w:ind w:left="4592" w:hanging="180"/>
      </w:pPr>
    </w:lvl>
    <w:lvl w:ilvl="3" w:tplc="0409000F" w:tentative="1">
      <w:start w:val="1"/>
      <w:numFmt w:val="decimal"/>
      <w:lvlText w:val="%4."/>
      <w:lvlJc w:val="left"/>
      <w:pPr>
        <w:ind w:left="5312" w:hanging="360"/>
      </w:pPr>
    </w:lvl>
    <w:lvl w:ilvl="4" w:tplc="04090019" w:tentative="1">
      <w:start w:val="1"/>
      <w:numFmt w:val="lowerLetter"/>
      <w:lvlText w:val="%5."/>
      <w:lvlJc w:val="left"/>
      <w:pPr>
        <w:ind w:left="6032" w:hanging="360"/>
      </w:pPr>
    </w:lvl>
    <w:lvl w:ilvl="5" w:tplc="0409001B" w:tentative="1">
      <w:start w:val="1"/>
      <w:numFmt w:val="lowerRoman"/>
      <w:lvlText w:val="%6."/>
      <w:lvlJc w:val="right"/>
      <w:pPr>
        <w:ind w:left="6752" w:hanging="180"/>
      </w:pPr>
    </w:lvl>
    <w:lvl w:ilvl="6" w:tplc="0409000F" w:tentative="1">
      <w:start w:val="1"/>
      <w:numFmt w:val="decimal"/>
      <w:lvlText w:val="%7."/>
      <w:lvlJc w:val="left"/>
      <w:pPr>
        <w:ind w:left="7472" w:hanging="360"/>
      </w:pPr>
    </w:lvl>
    <w:lvl w:ilvl="7" w:tplc="04090019" w:tentative="1">
      <w:start w:val="1"/>
      <w:numFmt w:val="lowerLetter"/>
      <w:lvlText w:val="%8."/>
      <w:lvlJc w:val="left"/>
      <w:pPr>
        <w:ind w:left="8192" w:hanging="360"/>
      </w:pPr>
    </w:lvl>
    <w:lvl w:ilvl="8" w:tplc="0409001B" w:tentative="1">
      <w:start w:val="1"/>
      <w:numFmt w:val="lowerRoman"/>
      <w:lvlText w:val="%9."/>
      <w:lvlJc w:val="right"/>
      <w:pPr>
        <w:ind w:left="8912" w:hanging="180"/>
      </w:pPr>
    </w:lvl>
  </w:abstractNum>
  <w:abstractNum w:abstractNumId="53">
    <w:nsid w:val="00000035"/>
    <w:multiLevelType w:val="hybridMultilevel"/>
    <w:tmpl w:val="D7B492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0000036"/>
    <w:multiLevelType w:val="hybridMultilevel"/>
    <w:tmpl w:val="AE5A4534"/>
    <w:lvl w:ilvl="0" w:tplc="6DB2B38E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Calibri" w:hAnsi="Times New Roman"/>
        <w:i w:val="fals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00000037"/>
    <w:multiLevelType w:val="hybridMultilevel"/>
    <w:tmpl w:val="B06EF66C"/>
    <w:lvl w:ilvl="0" w:tplc="0BF8810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6">
    <w:nsid w:val="00000038"/>
    <w:multiLevelType w:val="hybridMultilevel"/>
    <w:tmpl w:val="710C5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0000039"/>
    <w:multiLevelType w:val="hybridMultilevel"/>
    <w:tmpl w:val="AAA282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0000003A"/>
    <w:multiLevelType w:val="hybridMultilevel"/>
    <w:tmpl w:val="B17C9556"/>
    <w:lvl w:ilvl="0" w:tplc="93B61370">
      <w:start w:val="1"/>
      <w:numFmt w:val="lowerLetter"/>
      <w:lvlText w:val="%1."/>
      <w:lvlJc w:val="left"/>
      <w:pPr>
        <w:ind w:left="360" w:hanging="360"/>
      </w:pPr>
      <w:rPr>
        <w:rFonts w:ascii="Times New Roman" w:cs="Times New Roman" w:eastAsia="Calibri" w:hAnsi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0000003B"/>
    <w:multiLevelType w:val="hybridMultilevel"/>
    <w:tmpl w:val="38C41B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0">
    <w:nsid w:val="0000003C"/>
    <w:multiLevelType w:val="hybridMultilevel"/>
    <w:tmpl w:val="A87AD3A2"/>
    <w:lvl w:ilvl="0" w:tplc="93B61370">
      <w:start w:val="1"/>
      <w:numFmt w:val="lowerLetter"/>
      <w:lvlText w:val="%1."/>
      <w:lvlJc w:val="left"/>
      <w:pPr>
        <w:ind w:left="1170" w:hanging="360"/>
      </w:pPr>
      <w:rPr>
        <w:rFonts w:ascii="Times New Roman" w:cs="Times New Roman" w:eastAsia="Calibri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0000003D"/>
    <w:multiLevelType w:val="hybridMultilevel"/>
    <w:tmpl w:val="B7D639C8"/>
    <w:lvl w:ilvl="0" w:tplc="21E0E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0000003E"/>
    <w:multiLevelType w:val="hybridMultilevel"/>
    <w:tmpl w:val="3D58BC8A"/>
    <w:lvl w:ilvl="0" w:tplc="99561E06">
      <w:start w:val="1"/>
      <w:numFmt w:val="decimal"/>
      <w:lvlText w:val="%1)"/>
      <w:lvlJc w:val="left"/>
      <w:pPr>
        <w:ind w:left="2988" w:hanging="360"/>
      </w:pPr>
      <w:rPr>
        <w:rFonts w:ascii="Times New Roman" w:cs="Times New Roman" w:eastAsia="Calibri" w:hAnsi="Times New Roman"/>
        <w:i w:val="false"/>
      </w:r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3">
    <w:nsid w:val="0000003F"/>
    <w:multiLevelType w:val="hybridMultilevel"/>
    <w:tmpl w:val="B36E0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7"/>
  </w:num>
  <w:num w:numId="3">
    <w:abstractNumId w:val="56"/>
  </w:num>
  <w:num w:numId="4">
    <w:abstractNumId w:val="8"/>
  </w:num>
  <w:num w:numId="5">
    <w:abstractNumId w:val="55"/>
  </w:num>
  <w:num w:numId="6">
    <w:abstractNumId w:val="13"/>
  </w:num>
  <w:num w:numId="7">
    <w:abstractNumId w:val="58"/>
  </w:num>
  <w:num w:numId="8">
    <w:abstractNumId w:val="21"/>
  </w:num>
  <w:num w:numId="9">
    <w:abstractNumId w:val="35"/>
  </w:num>
  <w:num w:numId="10">
    <w:abstractNumId w:val="52"/>
  </w:num>
  <w:num w:numId="11">
    <w:abstractNumId w:val="5"/>
  </w:num>
  <w:num w:numId="12">
    <w:abstractNumId w:val="11"/>
  </w:num>
  <w:num w:numId="13">
    <w:abstractNumId w:val="54"/>
  </w:num>
  <w:num w:numId="14">
    <w:abstractNumId w:val="63"/>
  </w:num>
  <w:num w:numId="15">
    <w:abstractNumId w:val="62"/>
  </w:num>
  <w:num w:numId="16">
    <w:abstractNumId w:val="6"/>
  </w:num>
  <w:num w:numId="17">
    <w:abstractNumId w:val="25"/>
  </w:num>
  <w:num w:numId="18">
    <w:abstractNumId w:val="44"/>
  </w:num>
  <w:num w:numId="19">
    <w:abstractNumId w:val="42"/>
  </w:num>
  <w:num w:numId="20">
    <w:abstractNumId w:val="41"/>
  </w:num>
  <w:num w:numId="21">
    <w:abstractNumId w:val="53"/>
  </w:num>
  <w:num w:numId="22">
    <w:abstractNumId w:val="61"/>
  </w:num>
  <w:num w:numId="23">
    <w:abstractNumId w:val="34"/>
  </w:num>
  <w:num w:numId="24">
    <w:abstractNumId w:val="23"/>
  </w:num>
  <w:num w:numId="25">
    <w:abstractNumId w:val="60"/>
  </w:num>
  <w:num w:numId="26">
    <w:abstractNumId w:val="49"/>
  </w:num>
  <w:num w:numId="27">
    <w:abstractNumId w:val="28"/>
  </w:num>
  <w:num w:numId="28">
    <w:abstractNumId w:val="16"/>
  </w:num>
  <w:num w:numId="29">
    <w:abstractNumId w:val="38"/>
  </w:num>
  <w:num w:numId="30">
    <w:abstractNumId w:val="14"/>
  </w:num>
  <w:num w:numId="31">
    <w:abstractNumId w:val="33"/>
  </w:num>
  <w:num w:numId="32">
    <w:abstractNumId w:val="39"/>
  </w:num>
  <w:num w:numId="33">
    <w:abstractNumId w:val="30"/>
  </w:num>
  <w:num w:numId="34">
    <w:abstractNumId w:val="57"/>
  </w:num>
  <w:num w:numId="35">
    <w:abstractNumId w:val="9"/>
  </w:num>
  <w:num w:numId="36">
    <w:abstractNumId w:val="0"/>
  </w:num>
  <w:num w:numId="37">
    <w:abstractNumId w:val="50"/>
  </w:num>
  <w:num w:numId="38">
    <w:abstractNumId w:val="1"/>
  </w:num>
  <w:num w:numId="39">
    <w:abstractNumId w:val="2"/>
  </w:num>
  <w:num w:numId="40">
    <w:abstractNumId w:val="40"/>
  </w:num>
  <w:num w:numId="41">
    <w:abstractNumId w:val="17"/>
  </w:num>
  <w:num w:numId="42">
    <w:abstractNumId w:val="37"/>
  </w:num>
  <w:num w:numId="43">
    <w:abstractNumId w:val="45"/>
  </w:num>
  <w:num w:numId="44">
    <w:abstractNumId w:val="36"/>
  </w:num>
  <w:num w:numId="45">
    <w:abstractNumId w:val="59"/>
  </w:num>
  <w:num w:numId="46">
    <w:abstractNumId w:val="43"/>
  </w:num>
  <w:num w:numId="47">
    <w:abstractNumId w:val="15"/>
  </w:num>
  <w:num w:numId="48">
    <w:abstractNumId w:val="4"/>
  </w:num>
  <w:num w:numId="49">
    <w:abstractNumId w:val="19"/>
  </w:num>
  <w:num w:numId="50">
    <w:abstractNumId w:val="27"/>
  </w:num>
  <w:num w:numId="51">
    <w:abstractNumId w:val="46"/>
  </w:num>
  <w:num w:numId="52">
    <w:abstractNumId w:val="51"/>
  </w:num>
  <w:num w:numId="53">
    <w:abstractNumId w:val="18"/>
  </w:num>
  <w:num w:numId="54">
    <w:abstractNumId w:val="7"/>
  </w:num>
  <w:num w:numId="55">
    <w:abstractNumId w:val="24"/>
  </w:num>
  <w:num w:numId="56">
    <w:abstractNumId w:val="48"/>
  </w:num>
  <w:num w:numId="57">
    <w:abstractNumId w:val="20"/>
  </w:num>
  <w:num w:numId="58">
    <w:abstractNumId w:val="22"/>
  </w:num>
  <w:num w:numId="59">
    <w:abstractNumId w:val="10"/>
  </w:num>
  <w:num w:numId="60">
    <w:abstractNumId w:val="3"/>
  </w:num>
  <w:num w:numId="61">
    <w:abstractNumId w:val="32"/>
  </w:num>
  <w:num w:numId="62">
    <w:abstractNumId w:val="12"/>
  </w:num>
  <w:num w:numId="63">
    <w:abstractNumId w:val="26"/>
  </w:num>
  <w:num w:numId="64">
    <w:abstractNumId w:val="2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hideSpellingErrors/>
  <w:hideGrammaticalError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Calibri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4"/>
      <w:szCs w:val="24"/>
      <w:lang w:val="id-ID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9603bf09-2d01-40d0-a743-398600788d7a"/>
    <w:next w:val="style4097"/>
    <w:link w:val="style1"/>
    <w:uiPriority w:val="9"/>
    <w:rPr>
      <w:rFonts w:ascii="Cambria" w:cs="Times New Roman" w:eastAsia="Times New Roman" w:hAnsi="Cambria"/>
      <w:b/>
      <w:bCs/>
      <w:color w:val="365f91"/>
      <w:sz w:val="28"/>
      <w:szCs w:val="28"/>
    </w:rPr>
  </w:style>
  <w:style w:type="character" w:customStyle="1" w:styleId="style4098">
    <w:name w:val="Heading 2 Char_f01f3db8-77d7-4189-b11c-e4d01a5395c3"/>
    <w:next w:val="style4098"/>
    <w:link w:val="style2"/>
    <w:uiPriority w:val="9"/>
    <w:rPr>
      <w:rFonts w:ascii="Cambria" w:cs="Times New Roman" w:eastAsia="Times New Roman" w:hAnsi="Cambria"/>
      <w:b/>
      <w:bCs/>
      <w:color w:val="4f81bd"/>
      <w:sz w:val="26"/>
      <w:szCs w:val="26"/>
    </w:rPr>
  </w:style>
  <w:style w:type="character" w:customStyle="1" w:styleId="style4099">
    <w:name w:val="Heading 3 Char_f51e9922-0829-41e7-b076-fc9d2711bf6b"/>
    <w:next w:val="style4099"/>
    <w:link w:val="style3"/>
    <w:uiPriority w:val="9"/>
    <w:rPr>
      <w:rFonts w:ascii="Cambria" w:cs="Times New Roman" w:eastAsia="Times New Roman" w:hAnsi="Cambria"/>
      <w:b/>
      <w:bCs/>
      <w:color w:val="4f81bd"/>
    </w:rPr>
  </w:style>
  <w:style w:type="paragraph" w:styleId="style179">
    <w:name w:val="List Paragraph"/>
    <w:basedOn w:val="style0"/>
    <w:next w:val="style179"/>
    <w:link w:val="style4100"/>
    <w:qFormat/>
    <w:uiPriority w:val="34"/>
    <w:pPr>
      <w:ind w:left="720"/>
      <w:contextualSpacing/>
    </w:pPr>
    <w:rPr/>
  </w:style>
  <w:style w:type="character" w:customStyle="1" w:styleId="style4100">
    <w:name w:val="List Paragraph Char"/>
    <w:next w:val="style4100"/>
    <w:link w:val="style179"/>
    <w:qFormat/>
    <w:uiPriority w:val="34"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101"/>
    <w:uiPriority w:val="99"/>
    <w:pPr>
      <w:spacing w:after="0" w:lineRule="auto" w:line="240"/>
    </w:pPr>
    <w:rPr>
      <w:rFonts w:ascii="Tahoma" w:hAnsi="Tahoma"/>
      <w:sz w:val="16"/>
      <w:szCs w:val="16"/>
    </w:rPr>
  </w:style>
  <w:style w:type="character" w:customStyle="1" w:styleId="style4101">
    <w:name w:val="Balloon Text Char"/>
    <w:next w:val="style4101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02">
    <w:name w:val="Header Char_a736e928-06fa-428d-9ec8-3696e0fbcc5c"/>
    <w:basedOn w:val="style65"/>
    <w:next w:val="style4102"/>
    <w:link w:val="style31"/>
    <w:uiPriority w:val="99"/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103">
    <w:name w:val="Footer Char_421c4423-edba-4548-84dd-e2d250c92e28"/>
    <w:basedOn w:val="style65"/>
    <w:next w:val="style4103"/>
    <w:link w:val="style32"/>
    <w:uiPriority w:val="99"/>
  </w:style>
  <w:style w:type="paragraph" w:styleId="style34">
    <w:name w:val="caption"/>
    <w:basedOn w:val="style0"/>
    <w:next w:val="style0"/>
    <w:qFormat/>
    <w:uiPriority w:val="35"/>
    <w:pPr>
      <w:spacing w:lineRule="auto" w:line="240"/>
    </w:pPr>
    <w:rPr>
      <w:b/>
      <w:bCs/>
      <w:color w:val="4f81bd"/>
      <w:sz w:val="18"/>
      <w:szCs w:val="18"/>
    </w:rPr>
  </w:style>
  <w:style w:type="character" w:customStyle="1" w:styleId="style4104">
    <w:name w:val="normal Char"/>
    <w:next w:val="style4104"/>
    <w:link w:val="style4105"/>
    <w:rPr>
      <w:rFonts w:ascii="Times New Roman" w:cs="Times New Roman" w:eastAsia="Calibri" w:hAnsi="Times New Roman"/>
      <w:sz w:val="24"/>
      <w:szCs w:val="20"/>
      <w:lang w:val="en-ID"/>
    </w:rPr>
  </w:style>
  <w:style w:type="paragraph" w:customStyle="1" w:styleId="style4105">
    <w:name w:val="Normal1"/>
    <w:basedOn w:val="style0"/>
    <w:next w:val="style4105"/>
    <w:link w:val="style4104"/>
    <w:qFormat/>
    <w:pPr>
      <w:spacing w:lineRule="auto" w:line="480"/>
      <w:ind w:left="720"/>
      <w:jc w:val="both"/>
    </w:pPr>
    <w:rPr>
      <w:szCs w:val="20"/>
      <w:lang w:val="en-ID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>
      <w:lang w:val="en-US" w:eastAsia="ja-JP"/>
    </w:rPr>
  </w:style>
  <w:style w:type="paragraph" w:styleId="style19">
    <w:name w:val="toc 1"/>
    <w:basedOn w:val="style0"/>
    <w:next w:val="style0"/>
    <w:uiPriority w:val="39"/>
    <w:pPr>
      <w:tabs>
        <w:tab w:val="right" w:leader="dot" w:pos="7927"/>
      </w:tabs>
      <w:spacing w:after="100" w:lineRule="auto" w:line="480"/>
    </w:pPr>
    <w:rPr>
      <w:noProof/>
      <w:color w:val="000000"/>
    </w:rPr>
  </w:style>
  <w:style w:type="paragraph" w:styleId="style20">
    <w:name w:val="toc 2"/>
    <w:basedOn w:val="style0"/>
    <w:next w:val="style0"/>
    <w:uiPriority w:val="39"/>
    <w:pPr>
      <w:spacing w:after="100"/>
      <w:ind w:left="220"/>
    </w:pPr>
    <w:rPr/>
  </w:style>
  <w:style w:type="paragraph" w:styleId="style21">
    <w:name w:val="toc 3"/>
    <w:basedOn w:val="style0"/>
    <w:next w:val="style0"/>
    <w:qFormat/>
    <w:uiPriority w:val="39"/>
    <w:pPr>
      <w:spacing w:after="100"/>
      <w:ind w:left="440"/>
    </w:pPr>
    <w:rPr/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35">
    <w:name w:val="table of figures"/>
    <w:basedOn w:val="style0"/>
    <w:next w:val="style0"/>
    <w:uiPriority w:val="99"/>
    <w:pPr>
      <w:spacing w:after="0"/>
    </w:pPr>
    <w:rPr/>
  </w:style>
  <w:style w:type="character" w:customStyle="1" w:styleId="style4106">
    <w:name w:val="sw"/>
    <w:basedOn w:val="style65"/>
    <w:next w:val="style4106"/>
  </w:style>
  <w:style w:type="paragraph" w:customStyle="1" w:styleId="style4107">
    <w:name w:val="Default"/>
    <w:next w:val="style4107"/>
    <w:pPr>
      <w:autoSpaceDE w:val="false"/>
      <w:autoSpaceDN w:val="false"/>
      <w:adjustRightInd w:val="false"/>
    </w:pPr>
    <w:rPr>
      <w:rFonts w:ascii="Noto Sans" w:cs="Noto Sans" w:hAnsi="Noto Sans"/>
      <w:color w:val="000000"/>
      <w:sz w:val="24"/>
      <w:szCs w:val="24"/>
      <w:lang w:val="id-ID"/>
    </w:rPr>
  </w:style>
  <w:style w:type="paragraph" w:styleId="style265">
    <w:name w:val="Bibliography"/>
    <w:basedOn w:val="style0"/>
    <w:next w:val="style0"/>
    <w:uiPriority w:val="37"/>
    <w:pPr/>
    <w:rPr>
      <w:rFonts w:ascii="Calibri" w:hAnsi="Calibri"/>
      <w:sz w:val="22"/>
      <w:szCs w:val="22"/>
      <w:lang w:val="en-US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eastAsia="Times New Roman"/>
      <w:lang w:val="en-US"/>
    </w:rPr>
  </w:style>
  <w:style w:type="paragraph" w:customStyle="1" w:styleId="style4108">
    <w:name w:val="bodytext"/>
    <w:basedOn w:val="style0"/>
    <w:next w:val="style4108"/>
    <w:pPr>
      <w:spacing w:before="100" w:beforeAutospacing="true" w:after="100" w:afterAutospacing="true" w:lineRule="auto" w:line="240"/>
    </w:pPr>
    <w:rPr>
      <w:rFonts w:eastAsia="Times New Roman"/>
      <w:lang w:val="en-US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12" Type="http://schemas.openxmlformats.org/officeDocument/2006/relationships/customXml" Target="../customXml/item1.xml"/><Relationship Id="rId9" Type="http://schemas.openxmlformats.org/officeDocument/2006/relationships/fontTable" Target="fontTable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footer" Target="footer6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BA2F-33E8-425C-BF70-8E4787C3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1788</Words>
  <Pages>10</Pages>
  <Characters>11613</Characters>
  <Application>WPS Office</Application>
  <DocSecurity>0</DocSecurity>
  <Paragraphs>1061</Paragraphs>
  <ScaleCrop>false</ScaleCrop>
  <LinksUpToDate>false</LinksUpToDate>
  <CharactersWithSpaces>12639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2023-08-16T04:32:20Z</dcterms:created>
  <dc:creator>TOSHIBA</dc:creator>
  <lastModifiedBy>V2043</lastModifiedBy>
  <lastPrinted>2023-07-24T19:46:00Z</lastPrinted>
  <dcterms:modified xsi:type="dcterms:W3CDTF">2023-08-16T04:32:21Z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44a3e5fc-d70d-359f-bbcb-25d3a923806d</vt:lpwstr>
  </property>
  <property fmtid="{D5CDD505-2E9C-101B-9397-08002B2CF9AE}" pid="24" name="Mendeley Citation Style_1">
    <vt:lpwstr>http://www.zotero.org/styles/apa</vt:lpwstr>
  </property>
  <property fmtid="{D5CDD505-2E9C-101B-9397-08002B2CF9AE}" pid="25" name="ICV">
    <vt:lpwstr>bb804b20d6424a809aee86c8b9562d48</vt:lpwstr>
  </property>
</Properties>
</file>