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8E" w:rsidRPr="00181D8E" w:rsidRDefault="00181D8E" w:rsidP="00181D8E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bookmarkStart w:id="0" w:name="_GoBack"/>
      <w:bookmarkEnd w:id="0"/>
      <w:r w:rsidRPr="00181D8E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 PUSTAKA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ind w:left="709" w:right="125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Aldy, Riko. 2012.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Tinjauan Yuridis Efektifitas Alokasi Dana Desa Dalam Menunjang Pembangunan Desa di Desa Aliantan Kecamatan Kabun Kabupaten Rokan Hulu Tahun 2011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</w:t>
      </w:r>
      <w:r w:rsidRPr="00181D8E">
        <w:rPr>
          <w:rFonts w:ascii="Arial" w:eastAsia="Times New Roman" w:hAnsi="Arial" w:cs="Arial"/>
          <w:sz w:val="24"/>
          <w:szCs w:val="24"/>
          <w:lang w:val="id"/>
        </w:rPr>
        <w:t>Dikutip dari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br/>
      </w:r>
      <w:hyperlink r:id="rId6" w:history="1">
        <w:r w:rsidRPr="00181D8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id"/>
          </w:rPr>
          <w:t>http://repository.unri.ac.id/bitstream/123456789/2556/1/riko</w:t>
        </w:r>
      </w:hyperlink>
      <w:r w:rsidRPr="00181D8E">
        <w:rPr>
          <w:rFonts w:ascii="Arial" w:eastAsia="Times New Roman" w:hAnsi="Arial" w:cs="Arial"/>
          <w:sz w:val="24"/>
          <w:szCs w:val="24"/>
          <w:lang w:val="id"/>
        </w:rPr>
        <w:t>, tanggal 20 Juni 2021.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48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Arikunto, Suharsimi. 1993.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Manajemen Penelitian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Jakarta: PT Rineka Cipta.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ind w:left="709" w:right="122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Boedijono, Dkk. 2019.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Ppengelolaan Dana Desa Untuk Pembangunan dan Pemberdayaan Masyarakat Desa Di Kabupaten Bondowoso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Jurnal Riset Manajemen Dan Bisnis (JRMB) Fakultas Ekonomi UNIAT, 4(1), 9–20.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Fattah, Nanang. 2004.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Konsep Manajemen Berbasis Sekolah (MBS) dan Dewan Sekolah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Bandung: CV Pustaka Bani Quraisy.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Gie, The Liang. 2000.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Administrasi Perkantoran Modern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Yogyakarta: Liberty.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Halim, Abdul. 2004:93.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Bunga Rampai Manajemen Keuangan Daerah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Edisi revisi. Yogyakarta: UPP AMP YKPN.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Haris, Dian Rasdiyanah. 2015.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Pengelolaan Zakat, Infaq dan Sedekah pada Badan Amil Zakat Nasional Kota Kendari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Skripsi. Fakultas Ekonomi. Universitas Halu Oleo.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Hery. 2015.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Analisis Laporan Keuangan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Yogyakarta: CAPS (Center for Academic Publishing Service).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I Wayan Saputra. 2016.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Pengelolaan Alokasi Dana Desa Pada Desa Lembean Kecamatan Kintamani, Kabupaten Bangli Tahun 2009-2014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, 118 Jurnal Jurusan Pendidikan Ekonomi (JJPE), 6(1), Tahun: 2016.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Departemen Dalam Negeri. 1997. Keputusan Menteri Dalam Negeri No 690.900.327, 1996, Pedoman Penilaian Kinerja Keuangan.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Mardiasmo. 2002.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Otonomi Dan Manajemen Daerah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Andi Offset, Yogyakarta.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Miles, B. Mathew dan Michael Huberman. 1992.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Analisis data Kualitatif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Jakarta: UIP.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Moeljono. 2019.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Pengelolaan Alokasi Dana Desa (Studi Kasus Pada Desa Tegal Arum Kecamatan Mranggen Kabupaten Demak)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Majalah Ilmiah Solusi, 17(3), Juni 2019.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Munandar, M. 2001.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Budgeting, Perencanaan Kerja, Pengkoordinasian Kerja,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lastRenderedPageBreak/>
        <w:t>Pengawasan Kerja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Edisi 1.Cetakan 14. Yogyakarta: BPFE.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Muntahanah, Siti. Efektifitas Pengelolaan Keuangan Alokasi Dana Desa Di Kecamatan Somagede Kabupaten Banyumas.jurnal ekonomi.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Ndraha, Taliziduhu, 1984, Dimensi-Dimensi Pemerintahan Desa, Jakarta : PT. Bina Aksara.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Osborne, David and Gaebler, Ted., 1997.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Mewirausahakan Birokrasi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(terj. Abdul Rosyid). Pustaka Binaman Presindo.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proofErr w:type="spellStart"/>
      <w:proofErr w:type="gramStart"/>
      <w:r w:rsidRPr="00181D8E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2007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Peraturan Pemerintah 6 Tahun 2014 Tentang Desa (c.72) Jakarta, Pemerintahan Negara Kesatuan Republik Indonesia.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Peraturan Pemerintah Republik Indonesia Nomor 72 Tahun 2005 Tentang Desa (c.72) Jakarta, Pemerintahan Negara Kesatuan Republik Indonesia.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Qalyubi,  Syihabuddin  dkk.  2007.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Dasar-Dasar  Ilmu  Perpustakaan  dan  Informasi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Yogyakarta: Jurusan Ilmu Perpustakaan dan Informasi Universitas Fakultas Adap UIN Sunan KalijagaYogyakarta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Siregar, Kodir. 2018.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Pengelolaan Alokasi Dana Desa Pada Desa Dedekadu Kecamatan Loli, Kabupaten Sumba Barat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Siagian, S.P.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Manajemen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, Yogyakarta: Liberty, 1978.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Sukanto, Azwardi. 2014.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Efektifitas Alokasi Dana Desa (ADD) dan Kemiskinan di Provinsi Sumatera Selatan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Journal Economic Development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Suksesi. 2007.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Efektifitas Program Alokasi Dana Desa (ADD) Terhadap Perekonomian Desa di Kabupaten Pacitan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Dikutip dalam 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fldChar w:fldCharType="begin"/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instrText xml:space="preserve"> HYPERLINK "http://journalfe.unitomo.ac.id./wp" \h </w:instrTex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fldChar w:fldCharType="separate"/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http://journalfe.unitomo.ac.id./wp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fldChar w:fldCharType="end"/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Sulastri, Nova. 2016.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Efektivitas Pengelolaan Alokasi Dana Desa (ADD) Dalam Meningkatkan Pembangunan Fisik Desa Lakapodo Kecamatan Watopute Kabupaten Muna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Sumiati. 2014.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Pengelolaan Alokasi Dana desa Pada Desa Ngatabaru Kecamatan Sigi Biromaru Kabupaten Sigi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Suparno, A.Suhaenah. 2001.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Pembangunan Desa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Jakarta: Erlangga.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Thomas. 2013.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Pengelolaan Alokasi Dana Desa Dalam Upaya Meningkatkan Pembangunan di Desa Sebawang Kecamatan Sesayap Kabupaten Tana Tidung. Ejournal pemerintahan integrative,1(1):51-64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proofErr w:type="spellStart"/>
      <w:proofErr w:type="gramStart"/>
      <w:r w:rsidRPr="00181D8E">
        <w:rPr>
          <w:rFonts w:ascii="Times New Roman" w:eastAsia="Times New Roman" w:hAnsi="Times New Roman" w:cs="Times New Roman"/>
          <w:sz w:val="24"/>
          <w:szCs w:val="24"/>
        </w:rPr>
        <w:lastRenderedPageBreak/>
        <w:t>Undang-Undang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D8E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181D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Undang-Undang Republik Indonesia 32 Tahun 2004 Tentang Pemerintahan Daerah (c.1) Jakarta, Direktorat Jendral Otonomi Daerah.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Undang-Undang Republik Indonesia No 5 Tahun1974 Tentang Pokok-Pokok Pemerintahan Di Daerah.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Undang-Undang Republik Indonesia No 22 Tahun1999 Tentang Pemerintahan Desa.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Wasistiono, Sadu dan Irwan Tahir, 2006.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Prospek Pengembangan Desa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, Bandung: CV Fokusmedia.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Welsch, Hilton, Gordon. 2000.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Anggaran Perencanaan dan Pengendalian Laba.Diterjemahkan oleh Purwatiningsih dan Maudy Warouw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Buku Satu. Jakarta: Salemba Empat.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Widjaja, HAW. 2003.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Otonomi Desa Merupakan Otonomi Yang Asli Bulat dan Utuh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Jakarta: PT. Raja Grafindo Persada.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Winardi,  1988.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Ilmu  Kesejahteraan  Sosial  dan  Pekerjaan  Sosial,  Pengantar  Pada Pengertian dan Beberapa Pokok Bahasan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Jakarta: FISIP UI Press.</w:t>
      </w:r>
    </w:p>
    <w:p w:rsidR="00181D8E" w:rsidRPr="00181D8E" w:rsidRDefault="00181D8E" w:rsidP="00181D8E">
      <w:pPr>
        <w:widowControl w:val="0"/>
        <w:autoSpaceDE w:val="0"/>
        <w:autoSpaceDN w:val="0"/>
        <w:spacing w:before="240" w:after="0" w:line="240" w:lineRule="auto"/>
        <w:ind w:left="709" w:right="125" w:hanging="70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Yustika, Ahmad Erani. 2008. </w:t>
      </w:r>
      <w:r w:rsidRPr="00181D8E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Perekonomian  Indonesia</w:t>
      </w:r>
      <w:r w:rsidRPr="00181D8E">
        <w:rPr>
          <w:rFonts w:ascii="Times New Roman" w:eastAsia="Times New Roman" w:hAnsi="Times New Roman" w:cs="Times New Roman"/>
          <w:sz w:val="24"/>
          <w:szCs w:val="24"/>
          <w:lang w:val="id"/>
        </w:rPr>
        <w:t>. Malang: BPFE-UNIBRAW.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  <w:r w:rsidRPr="00181D8E">
        <w:rPr>
          <w:rFonts w:ascii="Times New Roman" w:eastAsia="Times New Roman" w:hAnsi="Times New Roman" w:cs="Times New Roman"/>
          <w:lang w:val="id"/>
        </w:rPr>
        <w:tab/>
      </w: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tabs>
          <w:tab w:val="left" w:pos="279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id"/>
        </w:rPr>
      </w:pPr>
      <w:r w:rsidRPr="00181D8E">
        <w:rPr>
          <w:rFonts w:ascii="Times New Roman" w:eastAsia="Times New Roman" w:hAnsi="Times New Roman" w:cs="Times New Roman"/>
          <w:b/>
          <w:sz w:val="96"/>
          <w:szCs w:val="96"/>
          <w:lang w:val="id"/>
        </w:rPr>
        <w:t>LAMPIRAN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96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6"/>
          <w:lang w:val="id"/>
        </w:rPr>
      </w:pPr>
      <w:r w:rsidRPr="00181D8E">
        <w:rPr>
          <w:rFonts w:ascii="Times New Roman" w:eastAsia="Times New Roman" w:hAnsi="Times New Roman" w:cs="Times New Roman"/>
          <w:b/>
          <w:sz w:val="28"/>
          <w:szCs w:val="96"/>
          <w:lang w:val="id"/>
        </w:rPr>
        <w:lastRenderedPageBreak/>
        <w:t xml:space="preserve">Lampiran 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6"/>
          <w:lang w:val="id"/>
        </w:rPr>
      </w:pPr>
      <w:r w:rsidRPr="00181D8E">
        <w:rPr>
          <w:rFonts w:ascii="Times New Roman" w:eastAsia="Times New Roman" w:hAnsi="Times New Roman" w:cs="Times New Roman"/>
          <w:b/>
          <w:sz w:val="28"/>
          <w:szCs w:val="96"/>
          <w:lang w:val="id"/>
        </w:rPr>
        <w:t xml:space="preserve">Penerimaan Dana Desa Tahun 2021 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6"/>
          <w:lang w:val="id"/>
        </w:rPr>
      </w:pPr>
      <w:r w:rsidRPr="00181D8E">
        <w:rPr>
          <w:rFonts w:ascii="Times New Roman" w:eastAsia="Times New Roman" w:hAnsi="Times New Roman" w:cs="Times New Roman"/>
          <w:b/>
          <w:sz w:val="28"/>
          <w:szCs w:val="96"/>
          <w:lang w:val="id"/>
        </w:rPr>
        <w:t>Pada Setiap Desa di Kecamatan Bojongsari Beserta Realisasinya Tahun 2021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96"/>
          <w:lang w:val="id"/>
        </w:rPr>
      </w:pPr>
    </w:p>
    <w:tbl>
      <w:tblPr>
        <w:tblW w:w="6891" w:type="dxa"/>
        <w:jc w:val="center"/>
        <w:tblInd w:w="1263" w:type="dxa"/>
        <w:tblLook w:val="04A0" w:firstRow="1" w:lastRow="0" w:firstColumn="1" w:lastColumn="0" w:noHBand="0" w:noVBand="1"/>
      </w:tblPr>
      <w:tblGrid>
        <w:gridCol w:w="1753"/>
        <w:gridCol w:w="2544"/>
        <w:gridCol w:w="2594"/>
      </w:tblGrid>
      <w:tr w:rsidR="00181D8E" w:rsidRPr="00181D8E" w:rsidTr="00F83938">
        <w:trPr>
          <w:trHeight w:val="300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Periode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D8E" w:rsidRPr="00181D8E" w:rsidRDefault="00181D8E" w:rsidP="0018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D8E" w:rsidRPr="00181D8E" w:rsidRDefault="00181D8E" w:rsidP="001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Realisasi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ADD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D8E" w:rsidRPr="00181D8E" w:rsidRDefault="00181D8E" w:rsidP="001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ADD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Diterima</w:t>
            </w:r>
            <w:proofErr w:type="spellEnd"/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Banjaran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855.799.500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860.100.000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Beji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889.630.000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895.000.000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Bojongsari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957.120.000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960.000.000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Brobot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953.172.000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957.000.000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Bumisari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899.792.000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902.500.000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Galuh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880.351.000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883.000.000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Gembong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905.450.000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910.000.000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Kajongan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901.380.000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905.000.000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Karangbanjar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910.344.000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 14.000.000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Metenggeng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858.779.000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860.500.000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Pagedangan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896.097.000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900.600.000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Patemon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942.441.000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951.000.000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Pekalongan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 875.484.000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"/>
              </w:rPr>
              <w:t>Rp.     879.000.000</w:t>
            </w:r>
          </w:p>
        </w:tc>
      </w:tr>
      <w:tr w:rsidR="00181D8E" w:rsidRPr="00181D8E" w:rsidTr="00F83938">
        <w:trPr>
          <w:trHeight w:val="30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  <w:t>Total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  <w:t>Rp. 11.725.839.500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"/>
              </w:rPr>
              <w:t>Rp.11.777.700.000</w:t>
            </w:r>
          </w:p>
        </w:tc>
      </w:tr>
    </w:tbl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Banjaran 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423" w:type="dxa"/>
        <w:tblInd w:w="534" w:type="dxa"/>
        <w:tblLook w:val="04A0" w:firstRow="1" w:lastRow="0" w:firstColumn="1" w:lastColumn="0" w:noHBand="0" w:noVBand="1"/>
      </w:tblPr>
      <w:tblGrid>
        <w:gridCol w:w="3872"/>
        <w:gridCol w:w="2551"/>
      </w:tblGrid>
      <w:tr w:rsidR="00181D8E" w:rsidRPr="00181D8E" w:rsidTr="00F83938">
        <w:trPr>
          <w:trHeight w:val="6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Banjaran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23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477.355.500</w:t>
            </w:r>
          </w:p>
        </w:tc>
      </w:tr>
      <w:tr w:rsidR="00181D8E" w:rsidRPr="00181D8E" w:rsidTr="00F83938">
        <w:trPr>
          <w:trHeight w:val="31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206.424.000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68.808.000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103.212.000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855.799.500</w:t>
            </w:r>
          </w:p>
        </w:tc>
      </w:tr>
    </w:tbl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Beji </w:t>
      </w: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Beji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404.540.000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268.500.000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91.290.000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125.300.000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889.630.000</w:t>
            </w:r>
          </w:p>
        </w:tc>
      </w:tr>
    </w:tbl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lastRenderedPageBreak/>
        <w:t xml:space="preserve">Desa Bojongsari </w:t>
      </w:r>
      <w:r w:rsidRPr="00181D8E">
        <w:rPr>
          <w:rFonts w:ascii="Times New Roman" w:eastAsia="Times New Roman" w:hAnsi="Times New Roman" w:cs="Times New Roman"/>
          <w:b/>
          <w:lang w:val="id"/>
        </w:rPr>
        <w:tab/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Bojongsari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481.920.000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292.800.000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86.400.000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96.000.000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957.120.000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Brobot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Brobot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426.822.000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382.800.000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47.850.000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95.700.000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953.172.000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Bumisari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Bumisari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488.252.500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227.430.000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66.785.000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117.325.000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899.792.500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Galuh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31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Galuh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434.436.000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264.900.000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90.949.000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90.066.000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880.351.000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lastRenderedPageBreak/>
        <w:t>Desa Gembong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Gembong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400.400.000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323.050.000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54.600.000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127.400.000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905.450.000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Kajongan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Kajongan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371.050.000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409.965.000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36.200.000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84.165.000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901.380.000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id"/>
        </w:rPr>
      </w:pPr>
      <w:r w:rsidRPr="00181D8E">
        <w:rPr>
          <w:rFonts w:ascii="Times New Roman" w:eastAsia="Times New Roman" w:hAnsi="Times New Roman" w:cs="Times New Roman"/>
          <w:lang w:val="id"/>
        </w:rPr>
        <w:t xml:space="preserve">Desa Karangbanjar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2340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Karangbanjar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496.302.000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312.588.000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36.560.000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64.894.000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910.344.000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3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Metenggeng </w:t>
      </w:r>
    </w:p>
    <w:p w:rsidR="00181D8E" w:rsidRPr="00181D8E" w:rsidRDefault="00181D8E" w:rsidP="00181D8E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Metenggeng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395.830.000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287.407.000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61.956.000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113.586.000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3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858.779.000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  <w:r w:rsidRPr="00181D8E">
        <w:rPr>
          <w:rFonts w:ascii="Times New Roman" w:eastAsia="Times New Roman" w:hAnsi="Times New Roman" w:cs="Times New Roman"/>
          <w:lang w:val="id"/>
        </w:rPr>
        <w:tab/>
      </w:r>
    </w:p>
    <w:p w:rsidR="00181D8E" w:rsidRPr="00181D8E" w:rsidRDefault="00181D8E" w:rsidP="00181D8E">
      <w:pPr>
        <w:widowControl w:val="0"/>
        <w:tabs>
          <w:tab w:val="left" w:pos="1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81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lastRenderedPageBreak/>
        <w:t xml:space="preserve">Desa Pagedangan </w:t>
      </w:r>
    </w:p>
    <w:p w:rsidR="00181D8E" w:rsidRPr="00181D8E" w:rsidRDefault="00181D8E" w:rsidP="00181D8E">
      <w:pPr>
        <w:widowControl w:val="0"/>
        <w:tabs>
          <w:tab w:val="left" w:pos="181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ProgramDesa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Pagedangan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433.188.600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280.987.200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54.036.000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127.885.200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81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896.097.000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  <w:r w:rsidRPr="00181D8E">
        <w:rPr>
          <w:rFonts w:ascii="Times New Roman" w:eastAsia="Times New Roman" w:hAnsi="Times New Roman" w:cs="Times New Roman"/>
          <w:lang w:val="id"/>
        </w:rPr>
        <w:tab/>
      </w:r>
    </w:p>
    <w:p w:rsidR="00181D8E" w:rsidRPr="00181D8E" w:rsidRDefault="00181D8E" w:rsidP="00181D8E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Patemon </w:t>
      </w: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Patemon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Realisasi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485.010.000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313.830.000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66.570.000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77.031.000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942.441.000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numPr>
          <w:ilvl w:val="2"/>
          <w:numId w:val="1"/>
        </w:numPr>
        <w:tabs>
          <w:tab w:val="left" w:pos="190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 xml:space="preserve">Desa Pekalongan </w:t>
      </w: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id"/>
        </w:rPr>
      </w:pPr>
    </w:p>
    <w:tbl>
      <w:tblPr>
        <w:tblW w:w="6378" w:type="dxa"/>
        <w:tblInd w:w="534" w:type="dxa"/>
        <w:tblLook w:val="04A0" w:firstRow="1" w:lastRow="0" w:firstColumn="1" w:lastColumn="0" w:noHBand="0" w:noVBand="1"/>
      </w:tblPr>
      <w:tblGrid>
        <w:gridCol w:w="3827"/>
        <w:gridCol w:w="2551"/>
      </w:tblGrid>
      <w:tr w:rsidR="00181D8E" w:rsidRPr="00181D8E" w:rsidTr="00F83938">
        <w:trPr>
          <w:trHeight w:val="6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Desa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Pekalongan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Realsasi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Penyelenggaraan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417.525.000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Pembangunan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273.369.000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Pembinaan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Kemasyarakatan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  79.110.000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Pemberdayaan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</w:rPr>
              <w:t xml:space="preserve"> 105.480.000</w:t>
            </w:r>
          </w:p>
        </w:tc>
      </w:tr>
      <w:tr w:rsidR="00181D8E" w:rsidRPr="00181D8E" w:rsidTr="00F83938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Rp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875.484.000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  <w:r w:rsidRPr="00181D8E">
        <w:rPr>
          <w:rFonts w:ascii="Times New Roman" w:eastAsia="Times New Roman" w:hAnsi="Times New Roman" w:cs="Times New Roman"/>
          <w:b/>
          <w:lang w:val="id"/>
        </w:rPr>
        <w:t>REALISASI PENGGUNAAN DANA DESA DI KECAMATAN BOJONGSARI DARI TAHUN 2019 – 2021</w:t>
      </w: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tbl>
      <w:tblPr>
        <w:tblW w:w="8335" w:type="dxa"/>
        <w:tblInd w:w="108" w:type="dxa"/>
        <w:tblLook w:val="04A0" w:firstRow="1" w:lastRow="0" w:firstColumn="1" w:lastColumn="0" w:noHBand="0" w:noVBand="1"/>
      </w:tblPr>
      <w:tblGrid>
        <w:gridCol w:w="2276"/>
        <w:gridCol w:w="2137"/>
        <w:gridCol w:w="1945"/>
        <w:gridCol w:w="1977"/>
      </w:tblGrid>
      <w:tr w:rsidR="00181D8E" w:rsidRPr="00181D8E" w:rsidTr="00F83938">
        <w:trPr>
          <w:trHeight w:val="315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ADD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Kecamatan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Bojongsari</w:t>
            </w:r>
            <w:proofErr w:type="spellEnd"/>
            <w:r w:rsidRPr="00181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  <w:b/>
              </w:rPr>
              <w:t>Tahun</w:t>
            </w:r>
            <w:proofErr w:type="spellEnd"/>
          </w:p>
        </w:tc>
      </w:tr>
      <w:tr w:rsidR="00181D8E" w:rsidRPr="00181D8E" w:rsidTr="00F83938">
        <w:trPr>
          <w:trHeight w:val="315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D8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b/>
                <w:lang w:val="id"/>
              </w:rPr>
              <w:t>2021</w:t>
            </w:r>
          </w:p>
        </w:tc>
      </w:tr>
      <w:tr w:rsidR="00181D8E" w:rsidRPr="00181D8E" w:rsidTr="00F83938">
        <w:trPr>
          <w:trHeight w:val="31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D8E">
              <w:rPr>
                <w:rFonts w:ascii="Times New Roman" w:eastAsia="Times New Roman" w:hAnsi="Times New Roman" w:cs="Times New Roman"/>
              </w:rPr>
              <w:t xml:space="preserve">Total </w:t>
            </w:r>
            <w:proofErr w:type="spellStart"/>
            <w:r w:rsidRPr="00181D8E">
              <w:rPr>
                <w:rFonts w:ascii="Times New Roman" w:eastAsia="Times New Roman" w:hAnsi="Times New Roman" w:cs="Times New Roman"/>
              </w:rPr>
              <w:t>Realisasi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D8E">
              <w:rPr>
                <w:rFonts w:ascii="Times New Roman" w:eastAsia="Times New Roman" w:hAnsi="Times New Roman" w:cs="Times New Roman"/>
              </w:rPr>
              <w:t>Rp12.568.320.000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D8E">
              <w:rPr>
                <w:rFonts w:ascii="Times New Roman" w:eastAsia="Times New Roman" w:hAnsi="Times New Roman" w:cs="Times New Roman"/>
              </w:rPr>
              <w:t>Rp10.459.858.000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8E" w:rsidRPr="00181D8E" w:rsidRDefault="00181D8E" w:rsidP="00181D8E">
            <w:pPr>
              <w:widowControl w:val="0"/>
              <w:tabs>
                <w:tab w:val="left" w:pos="1905"/>
              </w:tabs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val="id"/>
              </w:rPr>
            </w:pPr>
            <w:r w:rsidRPr="00181D8E">
              <w:rPr>
                <w:rFonts w:ascii="Times New Roman" w:eastAsia="Times New Roman" w:hAnsi="Times New Roman" w:cs="Times New Roman"/>
                <w:lang w:val="id"/>
              </w:rPr>
              <w:t>Rp11.725.840.000</w:t>
            </w:r>
          </w:p>
        </w:tc>
      </w:tr>
    </w:tbl>
    <w:p w:rsidR="00181D8E" w:rsidRPr="00181D8E" w:rsidRDefault="00181D8E" w:rsidP="00181D8E">
      <w:pPr>
        <w:widowControl w:val="0"/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"/>
        </w:rPr>
      </w:pPr>
    </w:p>
    <w:p w:rsidR="00181D8E" w:rsidRPr="00181D8E" w:rsidRDefault="00181D8E" w:rsidP="00181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96"/>
          <w:lang w:val="id"/>
        </w:rPr>
      </w:pPr>
    </w:p>
    <w:p w:rsidR="003D5CCD" w:rsidRDefault="00181D8E"/>
    <w:sectPr w:rsidR="003D5CCD" w:rsidSect="00BA2EF8">
      <w:pgSz w:w="11907" w:h="16840" w:code="9"/>
      <w:pgMar w:top="2268" w:right="1701" w:bottom="1701" w:left="226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9DB"/>
    <w:multiLevelType w:val="hybridMultilevel"/>
    <w:tmpl w:val="B08C5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047B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E"/>
    <w:rsid w:val="00012568"/>
    <w:rsid w:val="000A7383"/>
    <w:rsid w:val="00181D8E"/>
    <w:rsid w:val="004578C7"/>
    <w:rsid w:val="00810760"/>
    <w:rsid w:val="00A84D61"/>
    <w:rsid w:val="00B608AF"/>
    <w:rsid w:val="00E710E4"/>
    <w:rsid w:val="00F761D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nri.ac.id/bitstream/123456789/2556/1/ri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2023-08-29T02:05:00Z</dcterms:created>
  <dcterms:modified xsi:type="dcterms:W3CDTF">2023-08-29T02:06:00Z</dcterms:modified>
</cp:coreProperties>
</file>