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CD12" w14:textId="77777777" w:rsidR="0027406F" w:rsidRPr="00123315" w:rsidRDefault="0027406F" w:rsidP="0027406F">
      <w:pPr>
        <w:pStyle w:val="Default"/>
        <w:spacing w:line="480" w:lineRule="auto"/>
        <w:contextualSpacing/>
        <w:jc w:val="center"/>
        <w:rPr>
          <w:rFonts w:eastAsiaTheme="minorHAnsi"/>
          <w:b/>
          <w:noProof/>
          <w:sz w:val="28"/>
          <w:lang w:eastAsia="en-US"/>
        </w:rPr>
      </w:pPr>
      <w:r w:rsidRPr="00123315">
        <w:rPr>
          <w:rFonts w:eastAsiaTheme="minorHAnsi"/>
          <w:b/>
          <w:noProof/>
          <w:sz w:val="28"/>
          <w:lang w:eastAsia="en-US"/>
        </w:rPr>
        <w:t>DAFTAR PUSTAKA</w:t>
      </w:r>
    </w:p>
    <w:p w14:paraId="501F35EE" w14:textId="77777777" w:rsidR="0027406F" w:rsidRPr="008E3170" w:rsidRDefault="0027406F" w:rsidP="0027406F">
      <w:pPr>
        <w:pStyle w:val="Default"/>
        <w:spacing w:line="480" w:lineRule="auto"/>
        <w:contextualSpacing/>
        <w:jc w:val="both"/>
        <w:rPr>
          <w:rFonts w:eastAsiaTheme="minorHAnsi"/>
          <w:b/>
          <w:noProof/>
          <w:lang w:eastAsia="en-US"/>
        </w:rPr>
      </w:pPr>
      <w:r w:rsidRPr="008E3170">
        <w:rPr>
          <w:rFonts w:eastAsiaTheme="minorHAnsi"/>
          <w:b/>
          <w:noProof/>
          <w:lang w:eastAsia="en-US"/>
        </w:rPr>
        <w:t>Buku</w:t>
      </w:r>
    </w:p>
    <w:p w14:paraId="5864D82E" w14:textId="77777777" w:rsidR="0027406F" w:rsidRDefault="0027406F" w:rsidP="0027406F">
      <w:pPr>
        <w:pStyle w:val="Default"/>
        <w:spacing w:before="240" w:after="240"/>
        <w:ind w:left="1134" w:hanging="567"/>
        <w:jc w:val="both"/>
        <w:rPr>
          <w:noProof/>
        </w:rPr>
      </w:pPr>
      <w:r>
        <w:rPr>
          <w:noProof/>
        </w:rPr>
        <w:t xml:space="preserve">Hamzani </w:t>
      </w:r>
      <w:r>
        <w:rPr>
          <w:noProof/>
          <w:lang w:val="en-US"/>
        </w:rPr>
        <w:t>Irwan,</w:t>
      </w:r>
      <w:r w:rsidRPr="00293504">
        <w:rPr>
          <w:noProof/>
        </w:rPr>
        <w:t xml:space="preserve"> </w:t>
      </w:r>
      <w:r w:rsidRPr="00293504">
        <w:rPr>
          <w:i/>
          <w:noProof/>
        </w:rPr>
        <w:t>et.al.</w:t>
      </w:r>
      <w:r>
        <w:rPr>
          <w:i/>
          <w:noProof/>
          <w:lang w:val="en-US"/>
        </w:rPr>
        <w:t>,</w:t>
      </w:r>
      <w:r w:rsidRPr="00293504">
        <w:rPr>
          <w:i/>
          <w:noProof/>
        </w:rPr>
        <w:t xml:space="preserve"> Buku Panduan Penulisan Skripsi. </w:t>
      </w:r>
      <w:r w:rsidRPr="00293504">
        <w:rPr>
          <w:noProof/>
        </w:rPr>
        <w:t>Tegal: Universitas Pancasakti Tegal, 2023</w:t>
      </w:r>
    </w:p>
    <w:p w14:paraId="2FC64C0E" w14:textId="77777777" w:rsidR="0027406F" w:rsidRPr="008E3170" w:rsidRDefault="0027406F" w:rsidP="0027406F">
      <w:pPr>
        <w:pStyle w:val="Default"/>
        <w:spacing w:before="240" w:after="240"/>
        <w:ind w:left="1134" w:hanging="567"/>
        <w:jc w:val="both"/>
        <w:rPr>
          <w:noProof/>
        </w:rPr>
      </w:pPr>
      <w:r w:rsidRPr="008E3170">
        <w:rPr>
          <w:noProof/>
        </w:rPr>
        <w:t xml:space="preserve">Anggara, </w:t>
      </w:r>
      <w:r w:rsidRPr="008E3170">
        <w:rPr>
          <w:i/>
          <w:noProof/>
        </w:rPr>
        <w:t xml:space="preserve">et al., Menyeimbangkan Hak: Tantangan Perlindungan Privasi Dan </w:t>
      </w:r>
      <w:r w:rsidRPr="008E3170">
        <w:rPr>
          <w:i/>
          <w:noProof/>
        </w:rPr>
        <w:tab/>
        <w:t>Menjamin Akses Keterbukaan Informasi dan Data Indonesia</w:t>
      </w:r>
      <w:r w:rsidRPr="008E3170">
        <w:rPr>
          <w:noProof/>
        </w:rPr>
        <w:t xml:space="preserve">, Jakarta: </w:t>
      </w:r>
      <w:r w:rsidRPr="008E3170">
        <w:rPr>
          <w:noProof/>
        </w:rPr>
        <w:tab/>
        <w:t>Institute for Criminal Justice Reform, 2015.</w:t>
      </w:r>
    </w:p>
    <w:p w14:paraId="65608BC7" w14:textId="77777777" w:rsidR="0027406F" w:rsidRPr="008E3170" w:rsidRDefault="0027406F" w:rsidP="0027406F">
      <w:pPr>
        <w:pStyle w:val="Default"/>
        <w:spacing w:before="240" w:after="240"/>
        <w:ind w:left="1134" w:hanging="567"/>
        <w:jc w:val="both"/>
        <w:rPr>
          <w:i/>
          <w:noProof/>
        </w:rPr>
      </w:pPr>
      <w:r w:rsidRPr="008E3170">
        <w:rPr>
          <w:noProof/>
        </w:rPr>
        <w:t xml:space="preserve">Djafar, Wahyudi, </w:t>
      </w:r>
      <w:r w:rsidRPr="008E3170">
        <w:rPr>
          <w:i/>
          <w:noProof/>
        </w:rPr>
        <w:t>et al</w:t>
      </w:r>
      <w:r w:rsidRPr="008E3170">
        <w:rPr>
          <w:noProof/>
        </w:rPr>
        <w:t xml:space="preserve">., </w:t>
      </w:r>
      <w:r w:rsidRPr="008E3170">
        <w:rPr>
          <w:i/>
          <w:noProof/>
        </w:rPr>
        <w:t>Perlindungan Data Pribadi: Usulan Pelembagaan Kebijakan dari Perspektif Hak Asasi Manusia</w:t>
      </w:r>
      <w:r w:rsidRPr="008E3170">
        <w:rPr>
          <w:noProof/>
        </w:rPr>
        <w:t>, Jakarta: ELSAM, 2016.</w:t>
      </w:r>
    </w:p>
    <w:p w14:paraId="43DF3134" w14:textId="77777777" w:rsidR="0027406F" w:rsidRPr="008E3170" w:rsidRDefault="0027406F" w:rsidP="0027406F">
      <w:pPr>
        <w:pStyle w:val="Default"/>
        <w:spacing w:before="240" w:after="240"/>
        <w:ind w:left="1134" w:hanging="567"/>
        <w:jc w:val="both"/>
        <w:rPr>
          <w:noProof/>
        </w:rPr>
      </w:pPr>
      <w:r w:rsidRPr="008E3170">
        <w:rPr>
          <w:noProof/>
        </w:rPr>
        <w:t xml:space="preserve">Mahmud, </w:t>
      </w:r>
      <w:r w:rsidRPr="008E3170">
        <w:rPr>
          <w:i/>
          <w:noProof/>
        </w:rPr>
        <w:t xml:space="preserve">Metode Penelitian Pendidikan, </w:t>
      </w:r>
      <w:r w:rsidRPr="008E3170">
        <w:rPr>
          <w:noProof/>
        </w:rPr>
        <w:t>Bandung: Pustaka Setia, 2011.</w:t>
      </w:r>
    </w:p>
    <w:p w14:paraId="646F5E8C" w14:textId="77777777" w:rsidR="0027406F" w:rsidRPr="008E3170" w:rsidRDefault="0027406F" w:rsidP="0027406F">
      <w:pPr>
        <w:pStyle w:val="Default"/>
        <w:spacing w:before="240" w:after="240"/>
        <w:ind w:left="1134" w:hanging="567"/>
        <w:jc w:val="both"/>
        <w:rPr>
          <w:noProof/>
        </w:rPr>
      </w:pPr>
      <w:r w:rsidRPr="008E3170">
        <w:rPr>
          <w:noProof/>
        </w:rPr>
        <w:t xml:space="preserve">Muhaimin, </w:t>
      </w:r>
      <w:r w:rsidRPr="008E3170">
        <w:rPr>
          <w:i/>
          <w:noProof/>
        </w:rPr>
        <w:t>Metode Penelitian Hukum,</w:t>
      </w:r>
      <w:r w:rsidRPr="008E3170">
        <w:rPr>
          <w:noProof/>
        </w:rPr>
        <w:t xml:space="preserve"> Mataram: Mataram University Press, 2020.</w:t>
      </w:r>
    </w:p>
    <w:p w14:paraId="1F8B05B7" w14:textId="77777777" w:rsidR="0027406F" w:rsidRPr="008E3170" w:rsidRDefault="0027406F" w:rsidP="0027406F">
      <w:pPr>
        <w:pStyle w:val="Default"/>
        <w:spacing w:before="240" w:after="240"/>
        <w:ind w:left="1134" w:hanging="567"/>
        <w:jc w:val="both"/>
        <w:rPr>
          <w:noProof/>
        </w:rPr>
      </w:pPr>
      <w:r w:rsidRPr="008E3170">
        <w:rPr>
          <w:noProof/>
        </w:rPr>
        <w:t xml:space="preserve">Nugrahani Farida, </w:t>
      </w:r>
      <w:r w:rsidRPr="008E3170">
        <w:rPr>
          <w:i/>
          <w:noProof/>
        </w:rPr>
        <w:t>Metode Penelitian Kualitatif</w:t>
      </w:r>
      <w:r w:rsidRPr="008E3170">
        <w:rPr>
          <w:noProof/>
        </w:rPr>
        <w:t>, Solo: Cakra Books, 2014.</w:t>
      </w:r>
    </w:p>
    <w:p w14:paraId="336703B0" w14:textId="77777777" w:rsidR="0027406F" w:rsidRPr="008E3170" w:rsidRDefault="0027406F" w:rsidP="0027406F">
      <w:pPr>
        <w:pStyle w:val="Default"/>
        <w:spacing w:before="240" w:after="240"/>
        <w:ind w:left="1134" w:hanging="567"/>
        <w:jc w:val="both"/>
        <w:rPr>
          <w:noProof/>
        </w:rPr>
      </w:pPr>
      <w:r w:rsidRPr="008E3170">
        <w:rPr>
          <w:noProof/>
        </w:rPr>
        <w:t xml:space="preserve">Rahardjo Satjipto, </w:t>
      </w:r>
      <w:r w:rsidRPr="008E3170">
        <w:rPr>
          <w:i/>
          <w:iCs/>
          <w:noProof/>
        </w:rPr>
        <w:t>Ilmu Hukum</w:t>
      </w:r>
      <w:r w:rsidRPr="008E3170">
        <w:rPr>
          <w:noProof/>
        </w:rPr>
        <w:t>, Bandung: PT. Cintra Aditya Bakti, 2000.</w:t>
      </w:r>
    </w:p>
    <w:p w14:paraId="12055859" w14:textId="77777777" w:rsidR="0027406F" w:rsidRPr="008E3170" w:rsidRDefault="0027406F" w:rsidP="0027406F">
      <w:pPr>
        <w:pStyle w:val="Default"/>
        <w:spacing w:before="240" w:after="240"/>
        <w:ind w:left="1134" w:hanging="567"/>
        <w:jc w:val="both"/>
        <w:rPr>
          <w:noProof/>
        </w:rPr>
      </w:pPr>
      <w:r w:rsidRPr="008E3170">
        <w:rPr>
          <w:noProof/>
        </w:rPr>
        <w:t xml:space="preserve">Hadjon Philipus, </w:t>
      </w:r>
      <w:r w:rsidRPr="008E3170">
        <w:rPr>
          <w:i/>
          <w:iCs/>
          <w:noProof/>
        </w:rPr>
        <w:t>Pengantar Hukum Administrasi Negara</w:t>
      </w:r>
      <w:r w:rsidRPr="008E3170">
        <w:rPr>
          <w:noProof/>
        </w:rPr>
        <w:t>, Yogyakarta: Gajah Mada University Press, 2011.</w:t>
      </w:r>
    </w:p>
    <w:p w14:paraId="721B06E6" w14:textId="77777777" w:rsidR="0027406F" w:rsidRPr="008E3170" w:rsidRDefault="0027406F" w:rsidP="0027406F">
      <w:pPr>
        <w:pStyle w:val="Default"/>
        <w:spacing w:before="240" w:after="240"/>
        <w:ind w:left="1134" w:hanging="567"/>
        <w:jc w:val="both"/>
        <w:rPr>
          <w:noProof/>
        </w:rPr>
      </w:pPr>
      <w:r w:rsidRPr="008E3170">
        <w:rPr>
          <w:noProof/>
        </w:rPr>
        <w:t xml:space="preserve">Hadjon Philipus, </w:t>
      </w:r>
      <w:r w:rsidRPr="008E3170">
        <w:rPr>
          <w:i/>
          <w:iCs/>
          <w:noProof/>
        </w:rPr>
        <w:t>Perlindungan Bagi Rakyat Indonesia</w:t>
      </w:r>
      <w:r w:rsidRPr="008E3170">
        <w:rPr>
          <w:noProof/>
        </w:rPr>
        <w:t>, Surabaya: PT. Bina Ilmu, 1987.</w:t>
      </w:r>
    </w:p>
    <w:p w14:paraId="11E4AB14" w14:textId="77777777" w:rsidR="0027406F" w:rsidRDefault="0027406F" w:rsidP="0027406F">
      <w:pPr>
        <w:pStyle w:val="Default"/>
        <w:spacing w:before="240" w:after="240"/>
        <w:ind w:left="1134" w:hanging="567"/>
        <w:jc w:val="both"/>
        <w:rPr>
          <w:noProof/>
        </w:rPr>
      </w:pPr>
      <w:r w:rsidRPr="008E3170">
        <w:rPr>
          <w:noProof/>
        </w:rPr>
        <w:t xml:space="preserve">Muchsin, </w:t>
      </w:r>
      <w:r w:rsidRPr="008E3170">
        <w:rPr>
          <w:i/>
          <w:iCs/>
          <w:noProof/>
        </w:rPr>
        <w:t>Perlindungan dan Kepastian Hukum Bagi Investor di Indonesia</w:t>
      </w:r>
      <w:r w:rsidRPr="008E3170">
        <w:rPr>
          <w:noProof/>
        </w:rPr>
        <w:t>, Surakarta: Universitas Sebelas Maret, 2003.</w:t>
      </w:r>
    </w:p>
    <w:p w14:paraId="0C83EC1F" w14:textId="77777777" w:rsidR="0027406F" w:rsidRPr="00BB28BA" w:rsidRDefault="0027406F" w:rsidP="0027406F">
      <w:pPr>
        <w:pStyle w:val="Default"/>
        <w:spacing w:before="240" w:after="240"/>
        <w:ind w:left="1134" w:hanging="567"/>
        <w:jc w:val="both"/>
        <w:rPr>
          <w:noProof/>
          <w:lang w:val="en-US"/>
        </w:rPr>
      </w:pPr>
      <w:r>
        <w:rPr>
          <w:noProof/>
          <w:lang w:val="en-US"/>
        </w:rPr>
        <w:t xml:space="preserve">Marbun Rocky, </w:t>
      </w:r>
      <w:r w:rsidRPr="00BB28BA">
        <w:rPr>
          <w:i/>
          <w:noProof/>
          <w:lang w:val="en-US"/>
        </w:rPr>
        <w:t>et al., Kamus Hukum Lengkap: Mencakup Istilah Hukum dan Perundang-undangan Terbaru</w:t>
      </w:r>
      <w:r>
        <w:rPr>
          <w:noProof/>
          <w:lang w:val="en-US"/>
        </w:rPr>
        <w:t>, Jakarta: Visimedia, 2012.</w:t>
      </w:r>
    </w:p>
    <w:p w14:paraId="3C060A2C" w14:textId="77777777" w:rsidR="0027406F" w:rsidRPr="008E3170" w:rsidRDefault="0027406F" w:rsidP="0027406F">
      <w:pPr>
        <w:pStyle w:val="Default"/>
        <w:spacing w:before="240" w:after="240"/>
        <w:ind w:left="1134" w:hanging="567"/>
        <w:jc w:val="both"/>
        <w:rPr>
          <w:noProof/>
        </w:rPr>
      </w:pPr>
      <w:r w:rsidRPr="008E3170">
        <w:rPr>
          <w:noProof/>
        </w:rPr>
        <w:t xml:space="preserve">Dirdjosisworo Soedjono, </w:t>
      </w:r>
      <w:r w:rsidRPr="008E3170">
        <w:rPr>
          <w:i/>
          <w:iCs/>
          <w:noProof/>
        </w:rPr>
        <w:t>Pengantar Ilmu Hukum</w:t>
      </w:r>
      <w:r w:rsidRPr="008E3170">
        <w:rPr>
          <w:noProof/>
        </w:rPr>
        <w:t>, Jakarta: PT. Grafindo Tinggi, 2010.</w:t>
      </w:r>
    </w:p>
    <w:p w14:paraId="4EC11A91" w14:textId="77777777" w:rsidR="0027406F" w:rsidRPr="008E3170" w:rsidRDefault="0027406F" w:rsidP="0027406F">
      <w:pPr>
        <w:pStyle w:val="Default"/>
        <w:spacing w:before="240" w:after="240"/>
        <w:ind w:left="1134" w:hanging="567"/>
        <w:jc w:val="both"/>
        <w:rPr>
          <w:noProof/>
        </w:rPr>
      </w:pPr>
      <w:r w:rsidRPr="008E3170">
        <w:rPr>
          <w:noProof/>
        </w:rPr>
        <w:t xml:space="preserve">Soeroso, </w:t>
      </w:r>
      <w:r w:rsidRPr="008E3170">
        <w:rPr>
          <w:i/>
          <w:iCs/>
          <w:noProof/>
        </w:rPr>
        <w:t>Pengantar Ilmu Hukum</w:t>
      </w:r>
      <w:r w:rsidRPr="008E3170">
        <w:rPr>
          <w:noProof/>
        </w:rPr>
        <w:t>, Jakarta: Sinar Grafika, 2006.</w:t>
      </w:r>
    </w:p>
    <w:p w14:paraId="61250BAF" w14:textId="77777777" w:rsidR="0027406F" w:rsidRPr="008E3170" w:rsidRDefault="0027406F" w:rsidP="0027406F">
      <w:pPr>
        <w:pStyle w:val="Default"/>
        <w:spacing w:before="240" w:after="240"/>
        <w:jc w:val="both"/>
        <w:rPr>
          <w:noProof/>
        </w:rPr>
      </w:pPr>
    </w:p>
    <w:p w14:paraId="653E1EB3" w14:textId="77777777" w:rsidR="0027406F" w:rsidRPr="008E3170" w:rsidRDefault="0027406F" w:rsidP="0027406F">
      <w:pPr>
        <w:spacing w:before="240" w:after="24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E3170">
        <w:rPr>
          <w:rFonts w:ascii="Times New Roman" w:hAnsi="Times New Roman" w:cs="Times New Roman"/>
          <w:b/>
          <w:noProof/>
          <w:sz w:val="24"/>
          <w:szCs w:val="24"/>
        </w:rPr>
        <w:t>Peraturan Perundang-undangan</w:t>
      </w:r>
    </w:p>
    <w:p w14:paraId="1B2CA8F9" w14:textId="77777777" w:rsidR="0027406F" w:rsidRPr="008E3170" w:rsidRDefault="0027406F" w:rsidP="0027406F">
      <w:pPr>
        <w:spacing w:before="240" w:after="240" w:line="240" w:lineRule="auto"/>
        <w:ind w:left="1134" w:hanging="567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E317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Undang – Undang Dasar Negara Republik Indonesia Tahun 1945.</w:t>
      </w:r>
    </w:p>
    <w:p w14:paraId="1B5B1A2C" w14:textId="77777777" w:rsidR="0027406F" w:rsidRPr="008E3170" w:rsidRDefault="0027406F" w:rsidP="0027406F">
      <w:pPr>
        <w:spacing w:before="240" w:after="240" w:line="240" w:lineRule="auto"/>
        <w:ind w:left="1134" w:hanging="567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E317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lastRenderedPageBreak/>
        <w:t>Undang – Undang Nomor 27 Tahun 2022 tentang Perlindungan Data Pribadi.</w:t>
      </w:r>
    </w:p>
    <w:p w14:paraId="1107C8ED" w14:textId="77777777" w:rsidR="0027406F" w:rsidRPr="008E3170" w:rsidRDefault="0027406F" w:rsidP="0027406F">
      <w:pPr>
        <w:spacing w:before="240" w:after="240" w:line="240" w:lineRule="auto"/>
        <w:ind w:left="1134" w:hanging="567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E317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Kitab Undang – Undang Hukum Perdata</w:t>
      </w:r>
    </w:p>
    <w:p w14:paraId="72B3F5C0" w14:textId="77777777" w:rsidR="0027406F" w:rsidRPr="008E3170" w:rsidRDefault="0027406F" w:rsidP="0027406F">
      <w:pPr>
        <w:spacing w:before="240" w:after="240" w:line="240" w:lineRule="auto"/>
        <w:ind w:left="1134" w:hanging="567"/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</w:pPr>
      <w:r w:rsidRPr="008E317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</w:t>
      </w:r>
      <w:r w:rsidRPr="008E3170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>eraturan Menteri Komunikasi dan Informatika No. 20 Tahun 2016 Tentang</w:t>
      </w:r>
      <w:r w:rsidRPr="008E317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8E3170">
        <w:rPr>
          <w:rFonts w:ascii="Times New Roman" w:eastAsiaTheme="minorHAnsi" w:hAnsi="Times New Roman" w:cs="Times New Roman"/>
          <w:noProof/>
          <w:sz w:val="24"/>
          <w:szCs w:val="24"/>
          <w:lang w:eastAsia="en-US"/>
        </w:rPr>
        <w:t xml:space="preserve">Perlindungan Data Pribadi Dalam Sistem Elektronik. </w:t>
      </w:r>
    </w:p>
    <w:p w14:paraId="7CE7B5CA" w14:textId="77777777" w:rsidR="0027406F" w:rsidRPr="008E3170" w:rsidRDefault="0027406F" w:rsidP="0027406F">
      <w:pPr>
        <w:spacing w:before="240" w:after="240" w:line="240" w:lineRule="auto"/>
        <w:ind w:left="1134" w:hanging="567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14:paraId="60360E14" w14:textId="77777777" w:rsidR="0027406F" w:rsidRPr="008E3170" w:rsidRDefault="0027406F" w:rsidP="0027406F">
      <w:pPr>
        <w:pStyle w:val="Default"/>
        <w:spacing w:before="240" w:after="240"/>
        <w:jc w:val="both"/>
        <w:rPr>
          <w:b/>
          <w:noProof/>
        </w:rPr>
      </w:pPr>
      <w:r w:rsidRPr="008E3170">
        <w:rPr>
          <w:b/>
          <w:noProof/>
        </w:rPr>
        <w:t>Jurnal/Skripsi/Artikel</w:t>
      </w:r>
    </w:p>
    <w:p w14:paraId="14C6ED4F" w14:textId="77777777" w:rsidR="0027406F" w:rsidRPr="008E3170" w:rsidRDefault="0027406F" w:rsidP="0027406F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8E3170">
        <w:rPr>
          <w:rFonts w:ascii="Times New Roman" w:hAnsi="Times New Roman" w:cs="Times New Roman"/>
          <w:noProof/>
          <w:sz w:val="24"/>
          <w:szCs w:val="24"/>
        </w:rPr>
        <w:t xml:space="preserve">Debora Aswinda Solin, </w:t>
      </w:r>
      <w:r w:rsidRPr="008E3170">
        <w:rPr>
          <w:rFonts w:ascii="Times New Roman" w:hAnsi="Times New Roman" w:cs="Times New Roman"/>
          <w:i/>
          <w:noProof/>
          <w:sz w:val="24"/>
          <w:szCs w:val="24"/>
        </w:rPr>
        <w:t xml:space="preserve">“Perlindungan Hukum Terkait Hak Privasi Data Pribadi </w:t>
      </w:r>
      <w:r w:rsidRPr="008E3170">
        <w:rPr>
          <w:rFonts w:ascii="Times New Roman" w:hAnsi="Times New Roman" w:cs="Times New Roman"/>
          <w:i/>
          <w:noProof/>
          <w:sz w:val="24"/>
          <w:szCs w:val="24"/>
        </w:rPr>
        <w:tab/>
        <w:t xml:space="preserve">Konsumen Dengan Adanya Location Based Advertising (Lba) Di </w:t>
      </w:r>
      <w:r w:rsidRPr="008E3170">
        <w:rPr>
          <w:rFonts w:ascii="Times New Roman" w:hAnsi="Times New Roman" w:cs="Times New Roman"/>
          <w:i/>
          <w:noProof/>
          <w:sz w:val="24"/>
          <w:szCs w:val="24"/>
        </w:rPr>
        <w:tab/>
        <w:t>Indonesia”</w:t>
      </w:r>
      <w:r w:rsidRPr="008E3170">
        <w:rPr>
          <w:rFonts w:ascii="Times New Roman" w:hAnsi="Times New Roman" w:cs="Times New Roman"/>
          <w:noProof/>
          <w:sz w:val="24"/>
          <w:szCs w:val="24"/>
        </w:rPr>
        <w:t xml:space="preserve">, Skripsi Sarjana Hukum, Semarang: Repository Fakultas </w:t>
      </w:r>
      <w:r w:rsidRPr="008E3170">
        <w:rPr>
          <w:rFonts w:ascii="Times New Roman" w:hAnsi="Times New Roman" w:cs="Times New Roman"/>
          <w:noProof/>
          <w:sz w:val="24"/>
          <w:szCs w:val="24"/>
        </w:rPr>
        <w:tab/>
        <w:t>Hukum Universitas Negeri Semarang, 2018.</w:t>
      </w:r>
    </w:p>
    <w:p w14:paraId="2E8AB396" w14:textId="77777777" w:rsidR="0027406F" w:rsidRPr="008E3170" w:rsidRDefault="0027406F" w:rsidP="0027406F">
      <w:pPr>
        <w:pStyle w:val="FootnoteText"/>
        <w:spacing w:before="240" w:after="240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3170">
        <w:rPr>
          <w:rFonts w:ascii="Times New Roman" w:hAnsi="Times New Roman" w:cs="Times New Roman"/>
          <w:noProof/>
          <w:sz w:val="24"/>
          <w:szCs w:val="24"/>
        </w:rPr>
        <w:t xml:space="preserve">Graham Greenleaf, “Five Years Of The APEC Privacy Framework: Failure or </w:t>
      </w:r>
      <w:r w:rsidRPr="008E3170">
        <w:rPr>
          <w:rFonts w:ascii="Times New Roman" w:hAnsi="Times New Roman" w:cs="Times New Roman"/>
          <w:noProof/>
          <w:sz w:val="24"/>
          <w:szCs w:val="24"/>
        </w:rPr>
        <w:tab/>
        <w:t xml:space="preserve">Promise”, </w:t>
      </w:r>
      <w:r w:rsidRPr="008E3170">
        <w:rPr>
          <w:rFonts w:ascii="Times New Roman" w:hAnsi="Times New Roman" w:cs="Times New Roman"/>
          <w:b/>
          <w:noProof/>
          <w:sz w:val="24"/>
          <w:szCs w:val="24"/>
        </w:rPr>
        <w:t>Elsevier</w:t>
      </w:r>
      <w:r w:rsidRPr="008E3170">
        <w:rPr>
          <w:rFonts w:ascii="Times New Roman" w:hAnsi="Times New Roman" w:cs="Times New Roman"/>
          <w:noProof/>
          <w:sz w:val="24"/>
          <w:szCs w:val="24"/>
        </w:rPr>
        <w:t>, New South Wales, Volume 25 Issue 1, 2009.</w:t>
      </w:r>
    </w:p>
    <w:p w14:paraId="1A184AB3" w14:textId="77777777" w:rsidR="0027406F" w:rsidRPr="008E3170" w:rsidRDefault="0027406F" w:rsidP="0027406F">
      <w:pPr>
        <w:pStyle w:val="Default"/>
        <w:spacing w:before="240" w:after="240"/>
        <w:ind w:left="1134" w:hanging="567"/>
        <w:jc w:val="both"/>
        <w:rPr>
          <w:noProof/>
        </w:rPr>
      </w:pPr>
      <w:r w:rsidRPr="008E3170">
        <w:rPr>
          <w:noProof/>
        </w:rPr>
        <w:t xml:space="preserve">Kusnadi, Sekaring, </w:t>
      </w:r>
      <w:r w:rsidRPr="008E3170">
        <w:rPr>
          <w:i/>
          <w:noProof/>
        </w:rPr>
        <w:t>et al</w:t>
      </w:r>
      <w:r w:rsidRPr="008E3170">
        <w:rPr>
          <w:noProof/>
        </w:rPr>
        <w:t xml:space="preserve">., Perlindungan Hukum Data Pribadi Sebagai Hak Privasi, </w:t>
      </w:r>
      <w:r w:rsidRPr="008E3170">
        <w:rPr>
          <w:noProof/>
        </w:rPr>
        <w:tab/>
      </w:r>
      <w:r w:rsidRPr="008E3170">
        <w:rPr>
          <w:b/>
          <w:noProof/>
        </w:rPr>
        <w:t>Jurnal Ilmu Hukum</w:t>
      </w:r>
      <w:r w:rsidRPr="008E3170">
        <w:rPr>
          <w:noProof/>
        </w:rPr>
        <w:t>, Surabaya, Volume 2, No. 1, 2021.</w:t>
      </w:r>
    </w:p>
    <w:p w14:paraId="30F67A43" w14:textId="77777777" w:rsidR="0027406F" w:rsidRPr="008E3170" w:rsidRDefault="0027406F" w:rsidP="0027406F">
      <w:pPr>
        <w:spacing w:before="240" w:after="240" w:line="240" w:lineRule="auto"/>
        <w:ind w:left="1134" w:hanging="567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8E3170">
        <w:rPr>
          <w:rFonts w:ascii="Times New Roman" w:eastAsia="Times New Roman" w:hAnsi="Times New Roman" w:cs="Times New Roman"/>
          <w:noProof/>
          <w:sz w:val="24"/>
          <w:szCs w:val="24"/>
        </w:rPr>
        <w:t>Nadya Nurhamdiah Purnamasari</w:t>
      </w:r>
      <w:r w:rsidRPr="008E3170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, “Perlindungan Hukum Terhadap Data </w:t>
      </w:r>
      <w:r w:rsidRPr="008E3170">
        <w:rPr>
          <w:rFonts w:ascii="Times New Roman" w:eastAsia="Calibri" w:hAnsi="Times New Roman" w:cs="Times New Roman"/>
          <w:i/>
          <w:noProof/>
          <w:sz w:val="24"/>
          <w:szCs w:val="24"/>
          <w:lang w:eastAsia="en-US"/>
        </w:rPr>
        <w:t xml:space="preserve">Pribadi </w:t>
      </w:r>
      <w:r w:rsidRPr="008E3170">
        <w:rPr>
          <w:rFonts w:ascii="Times New Roman" w:eastAsia="Calibri" w:hAnsi="Times New Roman" w:cs="Times New Roman"/>
          <w:i/>
          <w:noProof/>
          <w:sz w:val="24"/>
          <w:szCs w:val="24"/>
          <w:lang w:eastAsia="en-US"/>
        </w:rPr>
        <w:tab/>
        <w:t>Pengguna Marketplace”</w:t>
      </w:r>
      <w:r w:rsidRPr="008E317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 Skripsi Sarjana Hukum, Makassar:</w:t>
      </w:r>
      <w:r w:rsidRPr="008E3170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8E317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Repository </w:t>
      </w:r>
      <w:r w:rsidRPr="008E317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ab/>
        <w:t>Fakultas Hukum Universitas Hasanuddin, 2021.</w:t>
      </w:r>
    </w:p>
    <w:p w14:paraId="7ABD2FE2" w14:textId="77777777" w:rsidR="0027406F" w:rsidRPr="008E3170" w:rsidRDefault="0027406F" w:rsidP="0027406F">
      <w:pPr>
        <w:pStyle w:val="Default"/>
        <w:spacing w:before="240" w:after="240"/>
        <w:ind w:left="1134" w:hanging="567"/>
        <w:jc w:val="both"/>
        <w:rPr>
          <w:noProof/>
        </w:rPr>
      </w:pPr>
      <w:r w:rsidRPr="008E3170">
        <w:rPr>
          <w:noProof/>
        </w:rPr>
        <w:t xml:space="preserve">Nurhidayati, </w:t>
      </w:r>
      <w:r w:rsidRPr="008E3170">
        <w:rPr>
          <w:i/>
          <w:noProof/>
        </w:rPr>
        <w:t>et al</w:t>
      </w:r>
      <w:r w:rsidRPr="008E3170">
        <w:rPr>
          <w:noProof/>
        </w:rPr>
        <w:t xml:space="preserve">., Pengaturan Perlindungan Data Pribadi Dalam Penggunaan Aplikasi Peduli Lindungi, </w:t>
      </w:r>
      <w:r w:rsidRPr="008E3170">
        <w:rPr>
          <w:b/>
          <w:noProof/>
        </w:rPr>
        <w:t>Widya Cipta</w:t>
      </w:r>
      <w:r w:rsidRPr="008E3170">
        <w:rPr>
          <w:noProof/>
        </w:rPr>
        <w:t>, Jakarta, Volume 5, No. 1, 2021.</w:t>
      </w:r>
    </w:p>
    <w:p w14:paraId="46E2DF3F" w14:textId="77777777" w:rsidR="0027406F" w:rsidRPr="008E3170" w:rsidRDefault="0027406F" w:rsidP="0027406F">
      <w:pPr>
        <w:pStyle w:val="FootnoteText"/>
        <w:spacing w:before="240" w:after="240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3170">
        <w:rPr>
          <w:rFonts w:ascii="Times New Roman" w:hAnsi="Times New Roman" w:cs="Times New Roman"/>
          <w:noProof/>
          <w:sz w:val="24"/>
          <w:szCs w:val="24"/>
        </w:rPr>
        <w:t xml:space="preserve">Pratama, Anugrah, </w:t>
      </w:r>
      <w:r w:rsidRPr="008E3170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Pr="008E3170">
        <w:rPr>
          <w:rFonts w:ascii="Times New Roman" w:hAnsi="Times New Roman" w:cs="Times New Roman"/>
          <w:noProof/>
          <w:sz w:val="24"/>
          <w:szCs w:val="24"/>
        </w:rPr>
        <w:t xml:space="preserve">., Analysis Principles of Personal Data Protection on COVID 19 Digital Contact Tracing Application: Peduli Lindungi Case Study, </w:t>
      </w:r>
      <w:r w:rsidRPr="008E3170">
        <w:rPr>
          <w:rFonts w:ascii="Times New Roman" w:hAnsi="Times New Roman" w:cs="Times New Roman"/>
          <w:b/>
          <w:noProof/>
          <w:sz w:val="24"/>
          <w:szCs w:val="24"/>
        </w:rPr>
        <w:t>Lex Scientia</w:t>
      </w:r>
      <w:r w:rsidRPr="008E3170">
        <w:rPr>
          <w:rFonts w:ascii="Times New Roman" w:hAnsi="Times New Roman" w:cs="Times New Roman"/>
          <w:noProof/>
          <w:sz w:val="24"/>
          <w:szCs w:val="24"/>
        </w:rPr>
        <w:t>, Semarang, Volume 5 Issue 2, 2021.</w:t>
      </w:r>
    </w:p>
    <w:p w14:paraId="089B4E54" w14:textId="77777777" w:rsidR="0027406F" w:rsidRPr="008E3170" w:rsidRDefault="0027406F" w:rsidP="0027406F">
      <w:pPr>
        <w:pStyle w:val="FootnoteText"/>
        <w:spacing w:before="240" w:after="240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3170">
        <w:rPr>
          <w:rFonts w:ascii="Times New Roman" w:hAnsi="Times New Roman" w:cs="Times New Roman"/>
          <w:noProof/>
          <w:sz w:val="24"/>
          <w:szCs w:val="24"/>
        </w:rPr>
        <w:t xml:space="preserve">Sinta Dewi, Konsep Perlindungan Hukum Atas Privasi Dan Data Pribadi Dikaitkan Dengan Pengunaan Cloud Computing di Indonesia, </w:t>
      </w:r>
      <w:r w:rsidRPr="008E3170">
        <w:rPr>
          <w:rFonts w:ascii="Times New Roman" w:hAnsi="Times New Roman" w:cs="Times New Roman"/>
          <w:b/>
          <w:noProof/>
          <w:sz w:val="24"/>
          <w:szCs w:val="24"/>
        </w:rPr>
        <w:t>Yustisia</w:t>
      </w:r>
      <w:r w:rsidRPr="008E3170">
        <w:rPr>
          <w:rFonts w:ascii="Times New Roman" w:hAnsi="Times New Roman" w:cs="Times New Roman"/>
          <w:noProof/>
          <w:sz w:val="24"/>
          <w:szCs w:val="24"/>
        </w:rPr>
        <w:t>, Bandung, Volume 5, No. 1, 2016.</w:t>
      </w:r>
    </w:p>
    <w:p w14:paraId="4918A935" w14:textId="77777777" w:rsidR="0027406F" w:rsidRPr="008E3170" w:rsidRDefault="0027406F" w:rsidP="0027406F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3170">
        <w:rPr>
          <w:rFonts w:ascii="Times New Roman" w:hAnsi="Times New Roman" w:cs="Times New Roman"/>
          <w:noProof/>
          <w:sz w:val="24"/>
          <w:szCs w:val="24"/>
        </w:rPr>
        <w:t xml:space="preserve">Susisanti, </w:t>
      </w:r>
      <w:r w:rsidRPr="008E3170">
        <w:rPr>
          <w:rFonts w:ascii="Times New Roman" w:hAnsi="Times New Roman" w:cs="Times New Roman"/>
          <w:i/>
          <w:noProof/>
          <w:sz w:val="24"/>
          <w:szCs w:val="24"/>
        </w:rPr>
        <w:t xml:space="preserve">“Perlindungan Data Pribadi Pengguna Dompet Digital Ovo Dalam </w:t>
      </w:r>
      <w:r w:rsidRPr="008E3170">
        <w:rPr>
          <w:rFonts w:ascii="Times New Roman" w:hAnsi="Times New Roman" w:cs="Times New Roman"/>
          <w:i/>
          <w:noProof/>
          <w:sz w:val="24"/>
          <w:szCs w:val="24"/>
        </w:rPr>
        <w:tab/>
        <w:t>Perspektif Hukum Islam”</w:t>
      </w:r>
      <w:r w:rsidRPr="008E3170">
        <w:rPr>
          <w:rFonts w:ascii="Times New Roman" w:hAnsi="Times New Roman" w:cs="Times New Roman"/>
          <w:noProof/>
          <w:sz w:val="24"/>
          <w:szCs w:val="24"/>
        </w:rPr>
        <w:t xml:space="preserve">, Skripsi Sarjana Hukum, Palopo: Repository </w:t>
      </w:r>
      <w:r w:rsidRPr="008E3170">
        <w:rPr>
          <w:rFonts w:ascii="Times New Roman" w:hAnsi="Times New Roman" w:cs="Times New Roman"/>
          <w:noProof/>
          <w:sz w:val="24"/>
          <w:szCs w:val="24"/>
        </w:rPr>
        <w:tab/>
        <w:t>Institut Agama Islam Negeri Palopo, 2020.</w:t>
      </w:r>
    </w:p>
    <w:p w14:paraId="5220350A" w14:textId="77777777" w:rsidR="0027406F" w:rsidRPr="008E3170" w:rsidRDefault="0027406F" w:rsidP="0027406F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3170">
        <w:rPr>
          <w:rFonts w:ascii="Times New Roman" w:hAnsi="Times New Roman" w:cs="Times New Roman"/>
          <w:noProof/>
          <w:sz w:val="24"/>
          <w:szCs w:val="24"/>
        </w:rPr>
        <w:t xml:space="preserve">Arafat Yassir, “Prinsip-prinsip Perlindungan Hukum yang Seimbang”, </w:t>
      </w:r>
      <w:r w:rsidRPr="008E3170">
        <w:rPr>
          <w:rFonts w:ascii="Times New Roman" w:hAnsi="Times New Roman" w:cs="Times New Roman"/>
          <w:b/>
          <w:bCs/>
          <w:noProof/>
          <w:sz w:val="24"/>
          <w:szCs w:val="24"/>
        </w:rPr>
        <w:t>Jurnal Rechtens</w:t>
      </w:r>
      <w:r w:rsidRPr="008E3170">
        <w:rPr>
          <w:rFonts w:ascii="Times New Roman" w:hAnsi="Times New Roman" w:cs="Times New Roman"/>
          <w:noProof/>
          <w:sz w:val="24"/>
          <w:szCs w:val="24"/>
        </w:rPr>
        <w:t>, Volume 4, No. 2 Issue 2, 2015.</w:t>
      </w:r>
    </w:p>
    <w:p w14:paraId="389F91DB" w14:textId="77777777" w:rsidR="0027406F" w:rsidRPr="00951FFE" w:rsidRDefault="0027406F" w:rsidP="0027406F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3170">
        <w:rPr>
          <w:rFonts w:ascii="Times New Roman" w:hAnsi="Times New Roman" w:cs="Times New Roman"/>
          <w:i/>
          <w:iCs/>
          <w:noProof/>
          <w:sz w:val="24"/>
          <w:szCs w:val="24"/>
        </w:rPr>
        <w:t>Europen Union General Data Protection</w:t>
      </w:r>
      <w:r w:rsidRPr="008E3170">
        <w:rPr>
          <w:rFonts w:ascii="Times New Roman" w:hAnsi="Times New Roman" w:cs="Times New Roman"/>
          <w:noProof/>
          <w:sz w:val="24"/>
          <w:szCs w:val="24"/>
        </w:rPr>
        <w:t xml:space="preserve"> (GDPR), Article 4 (1).</w:t>
      </w:r>
    </w:p>
    <w:p w14:paraId="5CAB5480" w14:textId="77777777" w:rsidR="0027406F" w:rsidRPr="008E3170" w:rsidRDefault="0027406F" w:rsidP="0027406F">
      <w:pPr>
        <w:pStyle w:val="Default"/>
        <w:spacing w:before="240" w:after="240"/>
        <w:jc w:val="both"/>
        <w:rPr>
          <w:b/>
          <w:noProof/>
        </w:rPr>
      </w:pPr>
      <w:r w:rsidRPr="008E3170">
        <w:rPr>
          <w:b/>
          <w:noProof/>
        </w:rPr>
        <w:lastRenderedPageBreak/>
        <w:t>Internet</w:t>
      </w:r>
    </w:p>
    <w:p w14:paraId="33D59974" w14:textId="77777777" w:rsidR="0027406F" w:rsidRPr="008E3170" w:rsidRDefault="0027406F" w:rsidP="0027406F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3170">
        <w:rPr>
          <w:rFonts w:ascii="Times New Roman" w:hAnsi="Times New Roman" w:cs="Times New Roman"/>
          <w:noProof/>
          <w:sz w:val="24"/>
          <w:szCs w:val="24"/>
        </w:rPr>
        <w:t xml:space="preserve">Ayip, “Rentetan Kasus Dugaan Kebocoran Data Kesehatan Pemerintah”, diakses </w:t>
      </w:r>
      <w:r w:rsidRPr="008E3170">
        <w:rPr>
          <w:rFonts w:ascii="Times New Roman" w:hAnsi="Times New Roman" w:cs="Times New Roman"/>
          <w:noProof/>
          <w:sz w:val="24"/>
          <w:szCs w:val="24"/>
        </w:rPr>
        <w:tab/>
        <w:t>dari, https://www.cnnindonesia.com/teknologi/20210903142047185689370/ren</w:t>
      </w:r>
      <w:r w:rsidRPr="008E3170">
        <w:rPr>
          <w:rFonts w:ascii="Times New Roman" w:hAnsi="Times New Roman" w:cs="Times New Roman"/>
          <w:noProof/>
          <w:sz w:val="24"/>
          <w:szCs w:val="24"/>
        </w:rPr>
        <w:tab/>
        <w:t xml:space="preserve">tetan- kasus-dugaan-kebocoran-data-kesehatan-pemerintah, pada 27 Juni </w:t>
      </w:r>
      <w:r w:rsidRPr="008E3170">
        <w:rPr>
          <w:rFonts w:ascii="Times New Roman" w:hAnsi="Times New Roman" w:cs="Times New Roman"/>
          <w:noProof/>
          <w:sz w:val="24"/>
          <w:szCs w:val="24"/>
        </w:rPr>
        <w:tab/>
        <w:t>2022</w:t>
      </w:r>
    </w:p>
    <w:p w14:paraId="246CC0A6" w14:textId="77777777" w:rsidR="0027406F" w:rsidRPr="008E3170" w:rsidRDefault="0027406F" w:rsidP="0027406F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</w:rPr>
      </w:pPr>
      <w:r w:rsidRPr="008E3170">
        <w:rPr>
          <w:rFonts w:ascii="Times New Roman" w:hAnsi="Times New Roman" w:cs="Times New Roman"/>
          <w:noProof/>
          <w:sz w:val="24"/>
          <w:szCs w:val="24"/>
        </w:rPr>
        <w:t>Detik.com, “Begini Data Nasabah Diperjual belikan”, diakses dari, https://news.detik.com/berita/d-2340675/-begini-data-nasabah-diperjualbelikan, pada 27 Juni 2022.</w:t>
      </w:r>
    </w:p>
    <w:p w14:paraId="7B275B0C" w14:textId="77777777" w:rsidR="0027406F" w:rsidRPr="008E3170" w:rsidRDefault="0027406F" w:rsidP="0027406F">
      <w:pPr>
        <w:spacing w:before="240" w:after="240" w:line="240" w:lineRule="auto"/>
        <w:ind w:left="1134" w:hanging="567"/>
        <w:jc w:val="both"/>
        <w:rPr>
          <w:rFonts w:ascii="Times New Roman" w:hAnsi="Times New Roman" w:cs="Times New Roman"/>
          <w:noProof/>
          <w:color w:val="0563C1" w:themeColor="hyperlink"/>
          <w:sz w:val="24"/>
          <w:szCs w:val="24"/>
          <w:u w:val="single"/>
        </w:rPr>
      </w:pPr>
      <w:r w:rsidRPr="008E3170">
        <w:rPr>
          <w:rFonts w:ascii="Times New Roman" w:hAnsi="Times New Roman" w:cs="Times New Roman"/>
          <w:noProof/>
          <w:sz w:val="24"/>
          <w:szCs w:val="24"/>
        </w:rPr>
        <w:t>Mariel Grazella, “Minister to Launch New Telkomsel, Indosat Investigation”, diakses dari https://www.thejakartapost.com/news/2014/02/19/minister-launch-new-telkomsel-indosat-investigation.html, pada 27 Juni 2022.</w:t>
      </w:r>
    </w:p>
    <w:p w14:paraId="2FDCC4C9" w14:textId="77777777" w:rsidR="0027406F" w:rsidRPr="008E3170" w:rsidRDefault="0027406F" w:rsidP="0027406F">
      <w:pPr>
        <w:pStyle w:val="FootnoteText"/>
        <w:spacing w:before="240" w:after="240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3170">
        <w:rPr>
          <w:rFonts w:ascii="Times New Roman" w:hAnsi="Times New Roman" w:cs="Times New Roman"/>
          <w:noProof/>
          <w:sz w:val="24"/>
          <w:szCs w:val="24"/>
        </w:rPr>
        <w:t xml:space="preserve">Muhaimin, “Snowden: Australia Sadap Indonesia Melalui Telkomsel”, diakses </w:t>
      </w:r>
      <w:r w:rsidRPr="008E3170">
        <w:rPr>
          <w:rFonts w:ascii="Times New Roman" w:hAnsi="Times New Roman" w:cs="Times New Roman"/>
          <w:noProof/>
          <w:sz w:val="24"/>
          <w:szCs w:val="24"/>
        </w:rPr>
        <w:tab/>
        <w:t>dari https://international.sindonews.com/berita/972407/40/snowden-australia-sadap-indonesia-melalui-telkomsel, pada 27 Juni 2022.</w:t>
      </w:r>
    </w:p>
    <w:p w14:paraId="43761C60" w14:textId="77777777" w:rsidR="0027406F" w:rsidRPr="008E3170" w:rsidRDefault="0027406F" w:rsidP="0027406F">
      <w:pPr>
        <w:pStyle w:val="FootnoteText"/>
        <w:spacing w:before="240" w:after="240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3170">
        <w:rPr>
          <w:rFonts w:ascii="Times New Roman" w:hAnsi="Times New Roman" w:cs="Times New Roman"/>
          <w:noProof/>
          <w:sz w:val="24"/>
          <w:szCs w:val="24"/>
        </w:rPr>
        <w:t>Saubani Andri, CISSReC: 3,2 Miliar Data PeduliLindungi Bocor, diakses dari https://news.republika.co.id/berita/rle9di409/cissrec-32-miliar-data-pedulilindungi-bocor, pada 10 Juni 2023.</w:t>
      </w:r>
    </w:p>
    <w:p w14:paraId="252B620C" w14:textId="77777777" w:rsidR="0027406F" w:rsidRDefault="0027406F" w:rsidP="0027406F">
      <w:pPr>
        <w:pStyle w:val="FootnoteText"/>
        <w:spacing w:before="240" w:after="240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3170">
        <w:rPr>
          <w:rFonts w:ascii="Times New Roman" w:hAnsi="Times New Roman" w:cs="Times New Roman"/>
          <w:noProof/>
          <w:sz w:val="24"/>
          <w:szCs w:val="24"/>
        </w:rPr>
        <w:t>Kementerian Kesehatan, Tentang SatuSehat Mobile, diakses dari https://faq.kemkes.go.id/faq/tentang-satusehat-mobile, pada 10 Juni 2023.</w:t>
      </w:r>
    </w:p>
    <w:p w14:paraId="0C5D31AA" w14:textId="77777777" w:rsidR="0027406F" w:rsidRPr="008E3170" w:rsidRDefault="0027406F" w:rsidP="0027406F">
      <w:pPr>
        <w:pStyle w:val="FootnoteText"/>
        <w:spacing w:before="240" w:after="240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Sulistiyawan </w:t>
      </w:r>
      <w:r w:rsidRPr="00BD2856">
        <w:rPr>
          <w:rFonts w:ascii="Times New Roman" w:hAnsi="Times New Roman" w:cs="Times New Roman"/>
          <w:noProof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uqman</w:t>
      </w:r>
      <w:r w:rsidRPr="00BD2856">
        <w:rPr>
          <w:rFonts w:ascii="Times New Roman" w:hAnsi="Times New Roman" w:cs="Times New Roman"/>
          <w:noProof/>
          <w:sz w:val="24"/>
          <w:szCs w:val="24"/>
          <w:lang w:val="en-US"/>
        </w:rPr>
        <w:t>, Kilas Balik, Lima kasus Kebocoran Data Pribadi 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 </w:t>
      </w:r>
      <w:r w:rsidRPr="00BD2856">
        <w:rPr>
          <w:rFonts w:ascii="Times New Roman" w:hAnsi="Times New Roman" w:cs="Times New Roman"/>
          <w:noProof/>
          <w:sz w:val="24"/>
          <w:szCs w:val="24"/>
          <w:lang w:val="en-US"/>
        </w:rPr>
        <w:t>Indonesia,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diakses dari </w:t>
      </w:r>
      <w:r w:rsidRPr="00BD2856">
        <w:rPr>
          <w:rFonts w:ascii="Times New Roman" w:hAnsi="Times New Roman" w:cs="Times New Roman"/>
          <w:noProof/>
          <w:sz w:val="24"/>
          <w:szCs w:val="24"/>
          <w:lang w:val="en-US"/>
        </w:rPr>
        <w:t>https://www.kompas.com/cekfakta/read/2022/09/06/171100182/kilas-balik-lima-kasus-kebocoran-data-pribadi-di-indonesia-?page=all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BD285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pada 15 J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uli 2023.</w:t>
      </w:r>
    </w:p>
    <w:p w14:paraId="6E470F49" w14:textId="77777777" w:rsidR="0027406F" w:rsidRPr="008E3170" w:rsidRDefault="0027406F" w:rsidP="0027406F">
      <w:pPr>
        <w:pStyle w:val="FootnoteText"/>
        <w:spacing w:before="240" w:after="240"/>
        <w:ind w:left="1134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3170">
        <w:rPr>
          <w:rFonts w:ascii="Times New Roman" w:hAnsi="Times New Roman" w:cs="Times New Roman"/>
          <w:noProof/>
          <w:sz w:val="24"/>
          <w:szCs w:val="24"/>
        </w:rPr>
        <w:t>Kamus Besar Bahasa Indonesia, Pengertian Data Pribadi, diakses dari https://kbbi.web.id, pada 1 Januari 2023.</w:t>
      </w:r>
    </w:p>
    <w:p w14:paraId="37225D21" w14:textId="77777777" w:rsidR="0027406F" w:rsidRDefault="0027406F" w:rsidP="0027406F">
      <w:pPr>
        <w:pStyle w:val="FootnoteText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C5B8D56" w14:textId="77777777" w:rsidR="0027406F" w:rsidRDefault="0027406F" w:rsidP="0027406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1F49E79F" w14:textId="77777777" w:rsidR="0027406F" w:rsidRDefault="0027406F" w:rsidP="0027406F">
      <w:pPr>
        <w:pStyle w:val="FootnoteTex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51FFE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DAFTAR RIWAYAT HIDUP</w:t>
      </w:r>
    </w:p>
    <w:p w14:paraId="71478E42" w14:textId="77777777" w:rsidR="0027406F" w:rsidRDefault="0027406F" w:rsidP="0027406F">
      <w:pPr>
        <w:pStyle w:val="FootnoteTex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1296F76" w14:textId="77777777" w:rsidR="0027406F" w:rsidRDefault="0027406F" w:rsidP="0027406F">
      <w:pPr>
        <w:pStyle w:val="FootnoteText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TableGrid"/>
        <w:tblW w:w="8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6166"/>
      </w:tblGrid>
      <w:tr w:rsidR="0027406F" w14:paraId="27B9C181" w14:textId="77777777" w:rsidTr="00E84F19">
        <w:trPr>
          <w:trHeight w:val="680"/>
        </w:trPr>
        <w:tc>
          <w:tcPr>
            <w:tcW w:w="2463" w:type="dxa"/>
          </w:tcPr>
          <w:p w14:paraId="0DA5FAE1" w14:textId="77777777" w:rsidR="0027406F" w:rsidRPr="00ED561E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Nama</w:t>
            </w:r>
          </w:p>
        </w:tc>
        <w:tc>
          <w:tcPr>
            <w:tcW w:w="6166" w:type="dxa"/>
          </w:tcPr>
          <w:p w14:paraId="33964AA1" w14:textId="77777777" w:rsidR="0027406F" w:rsidRPr="00ED561E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61E">
              <w:rPr>
                <w:rFonts w:ascii="Times New Roman" w:hAnsi="Times New Roman" w:cs="Times New Roman"/>
                <w:noProof/>
                <w:sz w:val="24"/>
                <w:szCs w:val="24"/>
              </w:rPr>
              <w:t>: Maulana Irwan Syah</w:t>
            </w:r>
          </w:p>
        </w:tc>
      </w:tr>
      <w:tr w:rsidR="0027406F" w14:paraId="3D7400A7" w14:textId="77777777" w:rsidTr="00E84F19">
        <w:trPr>
          <w:trHeight w:val="680"/>
        </w:trPr>
        <w:tc>
          <w:tcPr>
            <w:tcW w:w="2463" w:type="dxa"/>
          </w:tcPr>
          <w:p w14:paraId="1C41427D" w14:textId="77777777" w:rsidR="0027406F" w:rsidRPr="00ED561E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61E">
              <w:rPr>
                <w:rFonts w:ascii="Times New Roman" w:hAnsi="Times New Roman" w:cs="Times New Roman"/>
                <w:noProof/>
                <w:sz w:val="24"/>
                <w:szCs w:val="24"/>
              </w:rPr>
              <w:t>NPM</w:t>
            </w:r>
          </w:p>
        </w:tc>
        <w:tc>
          <w:tcPr>
            <w:tcW w:w="6166" w:type="dxa"/>
          </w:tcPr>
          <w:p w14:paraId="0EA079F9" w14:textId="77777777" w:rsidR="0027406F" w:rsidRPr="00ED561E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61E">
              <w:rPr>
                <w:rFonts w:ascii="Times New Roman" w:hAnsi="Times New Roman" w:cs="Times New Roman"/>
                <w:noProof/>
                <w:sz w:val="24"/>
                <w:szCs w:val="24"/>
              </w:rPr>
              <w:t>: 5118500119</w:t>
            </w:r>
          </w:p>
        </w:tc>
      </w:tr>
      <w:tr w:rsidR="0027406F" w14:paraId="1D4159E7" w14:textId="77777777" w:rsidTr="00E84F19">
        <w:trPr>
          <w:trHeight w:val="680"/>
        </w:trPr>
        <w:tc>
          <w:tcPr>
            <w:tcW w:w="2463" w:type="dxa"/>
          </w:tcPr>
          <w:p w14:paraId="2649CD2D" w14:textId="77777777" w:rsidR="0027406F" w:rsidRPr="00ED561E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61E">
              <w:rPr>
                <w:rFonts w:ascii="Times New Roman" w:hAnsi="Times New Roman" w:cs="Times New Roman"/>
                <w:noProof/>
                <w:sz w:val="24"/>
                <w:szCs w:val="24"/>
              </w:rPr>
              <w:t>Tempat/Tanggal Lahir</w:t>
            </w:r>
          </w:p>
        </w:tc>
        <w:tc>
          <w:tcPr>
            <w:tcW w:w="6166" w:type="dxa"/>
          </w:tcPr>
          <w:p w14:paraId="78510E43" w14:textId="77777777" w:rsidR="0027406F" w:rsidRPr="00ED561E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61E">
              <w:rPr>
                <w:rFonts w:ascii="Times New Roman" w:hAnsi="Times New Roman" w:cs="Times New Roman"/>
                <w:noProof/>
                <w:sz w:val="24"/>
                <w:szCs w:val="24"/>
              </w:rPr>
              <w:t>: Brebes, 31 Mei 1999</w:t>
            </w:r>
          </w:p>
          <w:p w14:paraId="589D1527" w14:textId="77777777" w:rsidR="0027406F" w:rsidRPr="00ED561E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7406F" w14:paraId="23603D5F" w14:textId="77777777" w:rsidTr="00E84F19">
        <w:trPr>
          <w:trHeight w:val="712"/>
        </w:trPr>
        <w:tc>
          <w:tcPr>
            <w:tcW w:w="2463" w:type="dxa"/>
          </w:tcPr>
          <w:p w14:paraId="6F22B97F" w14:textId="77777777" w:rsidR="0027406F" w:rsidRPr="00ED561E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61E">
              <w:rPr>
                <w:rFonts w:ascii="Times New Roman" w:hAnsi="Times New Roman" w:cs="Times New Roman"/>
                <w:noProof/>
                <w:sz w:val="24"/>
                <w:szCs w:val="24"/>
              </w:rPr>
              <w:t>Program Studi</w:t>
            </w:r>
          </w:p>
        </w:tc>
        <w:tc>
          <w:tcPr>
            <w:tcW w:w="6166" w:type="dxa"/>
          </w:tcPr>
          <w:p w14:paraId="22334163" w14:textId="77777777" w:rsidR="0027406F" w:rsidRPr="00ED561E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61E">
              <w:rPr>
                <w:rFonts w:ascii="Times New Roman" w:hAnsi="Times New Roman" w:cs="Times New Roman"/>
                <w:noProof/>
                <w:sz w:val="24"/>
                <w:szCs w:val="24"/>
              </w:rPr>
              <w:t>: Ilmu Hukum</w:t>
            </w:r>
          </w:p>
        </w:tc>
      </w:tr>
      <w:tr w:rsidR="0027406F" w14:paraId="117121DB" w14:textId="77777777" w:rsidTr="00E84F19">
        <w:trPr>
          <w:trHeight w:val="648"/>
        </w:trPr>
        <w:tc>
          <w:tcPr>
            <w:tcW w:w="2463" w:type="dxa"/>
          </w:tcPr>
          <w:p w14:paraId="3E1F2726" w14:textId="77777777" w:rsidR="0027406F" w:rsidRPr="00ED561E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61E">
              <w:rPr>
                <w:rFonts w:ascii="Times New Roman" w:hAnsi="Times New Roman" w:cs="Times New Roman"/>
                <w:noProof/>
                <w:sz w:val="24"/>
                <w:szCs w:val="24"/>
              </w:rPr>
              <w:t>Alamat</w:t>
            </w:r>
          </w:p>
        </w:tc>
        <w:tc>
          <w:tcPr>
            <w:tcW w:w="6166" w:type="dxa"/>
          </w:tcPr>
          <w:p w14:paraId="4C2DBB24" w14:textId="77777777" w:rsidR="0027406F" w:rsidRPr="00ED561E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561E">
              <w:rPr>
                <w:rFonts w:ascii="Times New Roman" w:hAnsi="Times New Roman" w:cs="Times New Roman"/>
                <w:noProof/>
                <w:sz w:val="24"/>
                <w:szCs w:val="24"/>
              </w:rPr>
              <w:t>: 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esa</w:t>
            </w:r>
            <w:r w:rsidRPr="00ED56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Terlangu Rt 005 Rw 005 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ecamatan</w:t>
            </w:r>
            <w:r w:rsidRPr="00ED561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Brebes 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abupaten </w:t>
            </w:r>
            <w:r w:rsidRPr="00ED561E">
              <w:rPr>
                <w:rFonts w:ascii="Times New Roman" w:hAnsi="Times New Roman" w:cs="Times New Roman"/>
                <w:noProof/>
                <w:sz w:val="24"/>
                <w:szCs w:val="24"/>
              </w:rPr>
              <w:t>Brebes</w:t>
            </w:r>
          </w:p>
        </w:tc>
      </w:tr>
    </w:tbl>
    <w:p w14:paraId="3C2C96DD" w14:textId="77777777" w:rsidR="0027406F" w:rsidRDefault="0027406F" w:rsidP="0027406F">
      <w:pPr>
        <w:pStyle w:val="FootnoteText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5A480FE" w14:textId="77777777" w:rsidR="0027406F" w:rsidRPr="00ED561E" w:rsidRDefault="0027406F" w:rsidP="0027406F">
      <w:pPr>
        <w:pStyle w:val="FootnoteText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ED561E">
        <w:rPr>
          <w:rFonts w:ascii="Times New Roman" w:hAnsi="Times New Roman" w:cs="Times New Roman"/>
          <w:noProof/>
          <w:sz w:val="24"/>
          <w:szCs w:val="24"/>
        </w:rPr>
        <w:t>Riwayat Pendidikan sebagai berikut:</w:t>
      </w:r>
    </w:p>
    <w:p w14:paraId="62F5488B" w14:textId="77777777" w:rsidR="0027406F" w:rsidRDefault="0027406F" w:rsidP="0027406F">
      <w:pPr>
        <w:pStyle w:val="FootnoteText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TableGrid"/>
        <w:tblW w:w="8659" w:type="dxa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1860"/>
      </w:tblGrid>
      <w:tr w:rsidR="0027406F" w14:paraId="6C86B187" w14:textId="77777777" w:rsidTr="00E84F19">
        <w:trPr>
          <w:trHeight w:val="455"/>
        </w:trPr>
        <w:tc>
          <w:tcPr>
            <w:tcW w:w="704" w:type="dxa"/>
          </w:tcPr>
          <w:p w14:paraId="76ECE624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No.</w:t>
            </w:r>
          </w:p>
        </w:tc>
        <w:tc>
          <w:tcPr>
            <w:tcW w:w="4111" w:type="dxa"/>
          </w:tcPr>
          <w:p w14:paraId="7945F7A0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Nama Sekolah</w:t>
            </w:r>
          </w:p>
        </w:tc>
        <w:tc>
          <w:tcPr>
            <w:tcW w:w="1984" w:type="dxa"/>
          </w:tcPr>
          <w:p w14:paraId="0C399B68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Tahun Masuk</w:t>
            </w:r>
          </w:p>
        </w:tc>
        <w:tc>
          <w:tcPr>
            <w:tcW w:w="1860" w:type="dxa"/>
          </w:tcPr>
          <w:p w14:paraId="190B9603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Tahun Lulus</w:t>
            </w:r>
          </w:p>
        </w:tc>
      </w:tr>
      <w:tr w:rsidR="0027406F" w14:paraId="52D25242" w14:textId="77777777" w:rsidTr="00E84F19">
        <w:trPr>
          <w:trHeight w:val="653"/>
        </w:trPr>
        <w:tc>
          <w:tcPr>
            <w:tcW w:w="704" w:type="dxa"/>
          </w:tcPr>
          <w:p w14:paraId="065569FA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15CF5EE2" w14:textId="77777777" w:rsidR="0027406F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SD Negeri 03 Terlangu</w:t>
            </w:r>
          </w:p>
        </w:tc>
        <w:tc>
          <w:tcPr>
            <w:tcW w:w="1984" w:type="dxa"/>
          </w:tcPr>
          <w:p w14:paraId="4F77CD61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2006</w:t>
            </w:r>
          </w:p>
        </w:tc>
        <w:tc>
          <w:tcPr>
            <w:tcW w:w="1860" w:type="dxa"/>
          </w:tcPr>
          <w:p w14:paraId="420EF4CE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2011</w:t>
            </w:r>
          </w:p>
        </w:tc>
      </w:tr>
      <w:tr w:rsidR="0027406F" w14:paraId="213A792C" w14:textId="77777777" w:rsidTr="00E84F19">
        <w:trPr>
          <w:trHeight w:val="653"/>
        </w:trPr>
        <w:tc>
          <w:tcPr>
            <w:tcW w:w="704" w:type="dxa"/>
          </w:tcPr>
          <w:p w14:paraId="69AA9C7E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51428AE7" w14:textId="77777777" w:rsidR="0027406F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SMP Negeri 04 Brebes</w:t>
            </w:r>
          </w:p>
        </w:tc>
        <w:tc>
          <w:tcPr>
            <w:tcW w:w="1984" w:type="dxa"/>
          </w:tcPr>
          <w:p w14:paraId="00D7A6CC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2011</w:t>
            </w:r>
          </w:p>
        </w:tc>
        <w:tc>
          <w:tcPr>
            <w:tcW w:w="1860" w:type="dxa"/>
          </w:tcPr>
          <w:p w14:paraId="6C26A2A5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2014</w:t>
            </w:r>
          </w:p>
        </w:tc>
      </w:tr>
      <w:tr w:rsidR="0027406F" w14:paraId="6F1C9722" w14:textId="77777777" w:rsidTr="00E84F19">
        <w:trPr>
          <w:trHeight w:val="653"/>
        </w:trPr>
        <w:tc>
          <w:tcPr>
            <w:tcW w:w="704" w:type="dxa"/>
          </w:tcPr>
          <w:p w14:paraId="5B475B48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5B85D23D" w14:textId="77777777" w:rsidR="0027406F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SMA Negeri 01 Brebes</w:t>
            </w:r>
          </w:p>
        </w:tc>
        <w:tc>
          <w:tcPr>
            <w:tcW w:w="1984" w:type="dxa"/>
          </w:tcPr>
          <w:p w14:paraId="37DF5C61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2014</w:t>
            </w:r>
          </w:p>
        </w:tc>
        <w:tc>
          <w:tcPr>
            <w:tcW w:w="1860" w:type="dxa"/>
          </w:tcPr>
          <w:p w14:paraId="0EE7D680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2017</w:t>
            </w:r>
          </w:p>
        </w:tc>
      </w:tr>
      <w:tr w:rsidR="0027406F" w14:paraId="1720D091" w14:textId="77777777" w:rsidTr="00E84F19">
        <w:trPr>
          <w:trHeight w:val="653"/>
        </w:trPr>
        <w:tc>
          <w:tcPr>
            <w:tcW w:w="704" w:type="dxa"/>
          </w:tcPr>
          <w:p w14:paraId="36DEDAC1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1E7AEB11" w14:textId="77777777" w:rsidR="0027406F" w:rsidRDefault="0027406F" w:rsidP="00E84F19">
            <w:pPr>
              <w:pStyle w:val="FootnoteText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S1 Fakultas Hukum Universitas Pancasakti Tegal</w:t>
            </w:r>
          </w:p>
        </w:tc>
        <w:tc>
          <w:tcPr>
            <w:tcW w:w="1984" w:type="dxa"/>
          </w:tcPr>
          <w:p w14:paraId="6C98B38E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1860" w:type="dxa"/>
          </w:tcPr>
          <w:p w14:paraId="392D3A42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</w:tbl>
    <w:p w14:paraId="60EE154D" w14:textId="77777777" w:rsidR="0027406F" w:rsidRDefault="0027406F" w:rsidP="0027406F">
      <w:pPr>
        <w:pStyle w:val="FootnoteText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28B427E1" w14:textId="77777777" w:rsidR="0027406F" w:rsidRDefault="0027406F" w:rsidP="0027406F">
      <w:pPr>
        <w:pStyle w:val="FootnoteText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Demikian daftar riwayat hidup saya buat dengan sebenarnya</w:t>
      </w:r>
    </w:p>
    <w:p w14:paraId="226AB4B6" w14:textId="77777777" w:rsidR="0027406F" w:rsidRDefault="0027406F" w:rsidP="0027406F">
      <w:pPr>
        <w:pStyle w:val="FootnoteText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72A37904" w14:textId="77777777" w:rsidR="0027406F" w:rsidRDefault="0027406F" w:rsidP="0027406F">
      <w:pPr>
        <w:pStyle w:val="FootnoteText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2682" w:type="dxa"/>
        <w:tblInd w:w="6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</w:tblGrid>
      <w:tr w:rsidR="0027406F" w14:paraId="6945A533" w14:textId="77777777" w:rsidTr="00E84F19">
        <w:trPr>
          <w:trHeight w:val="374"/>
        </w:trPr>
        <w:tc>
          <w:tcPr>
            <w:tcW w:w="2682" w:type="dxa"/>
          </w:tcPr>
          <w:p w14:paraId="04667290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Tegal, 25 Juli 2023</w:t>
            </w:r>
          </w:p>
        </w:tc>
      </w:tr>
      <w:tr w:rsidR="0027406F" w14:paraId="2B4FC8D8" w14:textId="77777777" w:rsidTr="00E84F19">
        <w:trPr>
          <w:trHeight w:val="396"/>
        </w:trPr>
        <w:tc>
          <w:tcPr>
            <w:tcW w:w="2682" w:type="dxa"/>
          </w:tcPr>
          <w:p w14:paraId="2FDF79C8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Hormat Saya</w:t>
            </w:r>
          </w:p>
        </w:tc>
      </w:tr>
      <w:tr w:rsidR="0027406F" w14:paraId="5175649F" w14:textId="77777777" w:rsidTr="00E84F19">
        <w:trPr>
          <w:trHeight w:val="994"/>
        </w:trPr>
        <w:tc>
          <w:tcPr>
            <w:tcW w:w="2682" w:type="dxa"/>
          </w:tcPr>
          <w:p w14:paraId="2ED8E27B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7406F" w14:paraId="24696B06" w14:textId="77777777" w:rsidTr="00E84F19">
        <w:trPr>
          <w:trHeight w:val="549"/>
        </w:trPr>
        <w:tc>
          <w:tcPr>
            <w:tcW w:w="2682" w:type="dxa"/>
          </w:tcPr>
          <w:p w14:paraId="1FA1FCBC" w14:textId="77777777" w:rsidR="0027406F" w:rsidRDefault="0027406F" w:rsidP="00E84F19">
            <w:pPr>
              <w:pStyle w:val="FootnoteTex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Maulana Irwan Syah</w:t>
            </w:r>
          </w:p>
        </w:tc>
      </w:tr>
    </w:tbl>
    <w:p w14:paraId="7B3B9DE4" w14:textId="77777777" w:rsidR="0027406F" w:rsidRPr="00ED561E" w:rsidRDefault="0027406F" w:rsidP="0027406F">
      <w:pPr>
        <w:pStyle w:val="FootnoteText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14:paraId="4D33CBF1" w14:textId="77777777" w:rsidR="00DD00A9" w:rsidRDefault="00DD00A9"/>
    <w:sectPr w:rsidR="00DD00A9" w:rsidSect="004E19CE">
      <w:pgSz w:w="11906" w:h="16838" w:code="9"/>
      <w:pgMar w:top="2268" w:right="1701" w:bottom="1701" w:left="2268" w:header="1418" w:footer="7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6F"/>
    <w:rsid w:val="0027406F"/>
    <w:rsid w:val="00DD00A9"/>
    <w:rsid w:val="00E0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6430"/>
  <w15:chartTrackingRefBased/>
  <w15:docId w15:val="{43AA42EF-CF23-4B3C-8BB0-A2D8B505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06F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740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406F"/>
    <w:rPr>
      <w:rFonts w:eastAsiaTheme="minorEastAsia"/>
      <w:sz w:val="20"/>
      <w:szCs w:val="20"/>
      <w:lang w:val="id-ID" w:eastAsia="id-ID"/>
    </w:rPr>
  </w:style>
  <w:style w:type="paragraph" w:customStyle="1" w:styleId="Default">
    <w:name w:val="Default"/>
    <w:rsid w:val="002740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27406F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alinda andra</dc:creator>
  <cp:keywords/>
  <dc:description/>
  <cp:lastModifiedBy>alinda andra</cp:lastModifiedBy>
  <cp:revision>2</cp:revision>
  <dcterms:created xsi:type="dcterms:W3CDTF">2023-08-18T18:17:00Z</dcterms:created>
  <dcterms:modified xsi:type="dcterms:W3CDTF">2023-08-18T18:17:00Z</dcterms:modified>
</cp:coreProperties>
</file>