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53B" w:rsidRDefault="007E353B" w:rsidP="007E353B">
      <w:pPr>
        <w:pStyle w:val="Heading1"/>
      </w:pPr>
      <w:bookmarkStart w:id="0" w:name="_Toc139709138"/>
      <w:bookmarkStart w:id="1" w:name="_Toc142202398"/>
      <w:bookmarkStart w:id="2" w:name="_Toc142212878"/>
      <w:r>
        <w:t>DAFTAR PUSTAKA</w:t>
      </w:r>
      <w:bookmarkEnd w:id="0"/>
      <w:bookmarkEnd w:id="1"/>
      <w:bookmarkEnd w:id="2"/>
    </w:p>
    <w:p w:rsidR="007E353B" w:rsidRDefault="007E353B" w:rsidP="007E353B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B3BA4">
        <w:rPr>
          <w:rFonts w:ascii="Times New Roman" w:hAnsi="Times New Roman" w:cs="Times New Roman"/>
          <w:b/>
          <w:bCs/>
          <w:sz w:val="24"/>
          <w:szCs w:val="24"/>
        </w:rPr>
        <w:t>Buku</w:t>
      </w:r>
    </w:p>
    <w:p w:rsidR="007E353B" w:rsidRPr="00902788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02788">
        <w:rPr>
          <w:rFonts w:ascii="Times New Roman" w:hAnsi="Times New Roman" w:cs="Times New Roman"/>
          <w:sz w:val="24"/>
          <w:szCs w:val="24"/>
        </w:rPr>
        <w:t>Al-Alabij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88">
        <w:rPr>
          <w:rFonts w:ascii="Times New Roman" w:hAnsi="Times New Roman" w:cs="Times New Roman"/>
          <w:sz w:val="24"/>
          <w:szCs w:val="24"/>
        </w:rPr>
        <w:t xml:space="preserve"> Adijani, </w:t>
      </w:r>
      <w:r w:rsidRPr="00902788">
        <w:rPr>
          <w:rFonts w:ascii="Times New Roman" w:hAnsi="Times New Roman" w:cs="Times New Roman"/>
          <w:i/>
          <w:iCs/>
          <w:sz w:val="24"/>
          <w:szCs w:val="24"/>
        </w:rPr>
        <w:t xml:space="preserve">Perwakafan Tanah di Indonesia, </w:t>
      </w:r>
      <w:r w:rsidRPr="00902788">
        <w:rPr>
          <w:rFonts w:ascii="Times New Roman" w:hAnsi="Times New Roman" w:cs="Times New Roman"/>
          <w:sz w:val="24"/>
          <w:szCs w:val="24"/>
        </w:rPr>
        <w:t>Jakarta: PT. Raja Grafindo Persada, cet ke-3, 1997.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Ali, Muhammad Daud,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Sistem Ekonomi Islam, Zakat dan Wakaf</w:t>
      </w:r>
      <w:r w:rsidRPr="000B3BA4">
        <w:rPr>
          <w:rFonts w:ascii="Times New Roman" w:hAnsi="Times New Roman" w:cs="Times New Roman"/>
          <w:sz w:val="24"/>
          <w:szCs w:val="24"/>
        </w:rPr>
        <w:t>, Jakarta: UI-Press, 2006.</w:t>
      </w:r>
    </w:p>
    <w:p w:rsidR="007E353B" w:rsidRPr="000B3BA4" w:rsidRDefault="007E353B" w:rsidP="007E35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Badan Wakaf Indonesia,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Analisis Kinerja Pengelolaan Wakaf Nasional 2022</w:t>
      </w:r>
      <w:r w:rsidRPr="000B3BA4">
        <w:rPr>
          <w:rFonts w:ascii="Times New Roman" w:hAnsi="Times New Roman" w:cs="Times New Roman"/>
          <w:sz w:val="24"/>
          <w:szCs w:val="24"/>
        </w:rPr>
        <w:t>, Jakarta, 2023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B3BA4">
        <w:rPr>
          <w:rFonts w:ascii="Times New Roman" w:hAnsi="Times New Roman" w:cs="Times New Roman"/>
          <w:sz w:val="24"/>
          <w:szCs w:val="24"/>
        </w:rPr>
        <w:t xml:space="preserve"> Available at: </w:t>
      </w:r>
      <w:hyperlink r:id="rId4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https://www.bwi.go.id/8706/2023/04/16/indeks-wakaf-nasional-2022/</w:t>
        </w:r>
      </w:hyperlink>
      <w:r w:rsidRPr="000B3BA4">
        <w:rPr>
          <w:rFonts w:ascii="Times New Roman" w:hAnsi="Times New Roman" w:cs="Times New Roman"/>
          <w:sz w:val="24"/>
          <w:szCs w:val="24"/>
        </w:rPr>
        <w:t>, pada 5 Mei 2023.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B">
        <w:rPr>
          <w:rFonts w:ascii="Times New Roman" w:hAnsi="Times New Roman" w:cs="Times New Roman"/>
          <w:sz w:val="24"/>
          <w:szCs w:val="24"/>
        </w:rPr>
        <w:t xml:space="preserve">Djunidi, Achmad, dan Al-Asyhar, Thobieb, </w:t>
      </w:r>
      <w:r w:rsidRPr="00B21CFB">
        <w:rPr>
          <w:rFonts w:ascii="Times New Roman" w:hAnsi="Times New Roman" w:cs="Times New Roman"/>
          <w:i/>
          <w:iCs/>
          <w:sz w:val="24"/>
          <w:szCs w:val="24"/>
        </w:rPr>
        <w:t>Menuju Era Wakaf Produktif,</w:t>
      </w:r>
      <w:r w:rsidRPr="00B21CFB">
        <w:rPr>
          <w:rFonts w:ascii="Times New Roman" w:hAnsi="Times New Roman" w:cs="Times New Roman"/>
          <w:sz w:val="24"/>
          <w:szCs w:val="24"/>
        </w:rPr>
        <w:t xml:space="preserve"> Jakarta: Mitra Abadi Press,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B21CFB" w:rsidRDefault="007E353B" w:rsidP="007E35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Hamzani, Achmad Irwan,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Perkembangan Hukum Wakaf di Indoenesia</w:t>
      </w:r>
      <w:r w:rsidRPr="000B3BA4">
        <w:rPr>
          <w:rFonts w:ascii="Times New Roman" w:hAnsi="Times New Roman" w:cs="Times New Roman"/>
          <w:sz w:val="24"/>
          <w:szCs w:val="24"/>
        </w:rPr>
        <w:t>, Brebes: Diya Media Group, Cet. Ke-2, 2015.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Hardani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Metode Penelitian Kualitatif &amp; Kuantitatif</w:t>
      </w:r>
      <w:r w:rsidRPr="000B3BA4">
        <w:rPr>
          <w:rFonts w:ascii="Times New Roman" w:hAnsi="Times New Roman" w:cs="Times New Roman"/>
          <w:sz w:val="24"/>
          <w:szCs w:val="24"/>
        </w:rPr>
        <w:t>, Yogyakarta: Pustaka Ilmu, Cet. Ke-1, 2020.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Hasan, K.N. Sofyan dan Is, Muhamad Sadi,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Hukum Zakat dan Wakaf di Indonesia</w:t>
      </w:r>
      <w:r w:rsidRPr="000B3BA4">
        <w:rPr>
          <w:rFonts w:ascii="Times New Roman" w:hAnsi="Times New Roman" w:cs="Times New Roman"/>
          <w:sz w:val="24"/>
          <w:szCs w:val="24"/>
        </w:rPr>
        <w:t>, Jakarta: Kencana, Cet. Ke-1, 2021.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B21CF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B21CFB">
        <w:rPr>
          <w:rFonts w:ascii="Times New Roman" w:hAnsi="Times New Roman" w:cs="Times New Roman"/>
          <w:sz w:val="24"/>
          <w:szCs w:val="24"/>
        </w:rPr>
        <w:t>Hamami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CFB">
        <w:rPr>
          <w:rFonts w:ascii="Times New Roman" w:hAnsi="Times New Roman" w:cs="Times New Roman"/>
          <w:sz w:val="24"/>
          <w:szCs w:val="24"/>
        </w:rPr>
        <w:t xml:space="preserve"> Taufik, </w:t>
      </w:r>
      <w:r w:rsidRPr="00B21CFB">
        <w:rPr>
          <w:rFonts w:ascii="Times New Roman" w:hAnsi="Times New Roman" w:cs="Times New Roman"/>
          <w:i/>
          <w:iCs/>
          <w:sz w:val="24"/>
          <w:szCs w:val="24"/>
        </w:rPr>
        <w:t>Perwakafan Tanah dalam Politik Hukum Agraria Nasional</w:t>
      </w:r>
      <w:r w:rsidRPr="00B21CFB">
        <w:rPr>
          <w:rFonts w:ascii="Times New Roman" w:hAnsi="Times New Roman" w:cs="Times New Roman"/>
          <w:sz w:val="24"/>
          <w:szCs w:val="24"/>
        </w:rPr>
        <w:t>, Jakarta: Tatanusa, 2003.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Kusumahamidjojo, Budiono,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Panduan Negosiasi Kontrak</w:t>
      </w:r>
      <w:r w:rsidRPr="000B3BA4">
        <w:rPr>
          <w:rFonts w:ascii="Times New Roman" w:hAnsi="Times New Roman" w:cs="Times New Roman"/>
          <w:sz w:val="24"/>
          <w:szCs w:val="24"/>
        </w:rPr>
        <w:t>, Jakarta: Grasindo, 1999.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Margono, Suyud,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ADR (Alternative Dispute Resolution) &amp; Arbitration: Proses Pelembagaan dan Aspek Hukum</w:t>
      </w:r>
      <w:r w:rsidRPr="000B3BA4">
        <w:rPr>
          <w:rFonts w:ascii="Times New Roman" w:hAnsi="Times New Roman" w:cs="Times New Roman"/>
          <w:sz w:val="24"/>
          <w:szCs w:val="24"/>
        </w:rPr>
        <w:t>, Bogor: Ghalia Indonesia, cet ke-2, 2004.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788">
        <w:rPr>
          <w:rFonts w:ascii="Times New Roman" w:hAnsi="Times New Roman" w:cs="Times New Roman"/>
          <w:sz w:val="24"/>
          <w:szCs w:val="24"/>
        </w:rPr>
        <w:lastRenderedPageBreak/>
        <w:t>Mughniyah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88">
        <w:rPr>
          <w:rFonts w:ascii="Times New Roman" w:hAnsi="Times New Roman" w:cs="Times New Roman"/>
          <w:sz w:val="24"/>
          <w:szCs w:val="24"/>
        </w:rPr>
        <w:t xml:space="preserve"> Muhammad Jawad, </w:t>
      </w:r>
      <w:r w:rsidRPr="00902788">
        <w:rPr>
          <w:rFonts w:ascii="Times New Roman" w:hAnsi="Times New Roman" w:cs="Times New Roman"/>
          <w:i/>
          <w:iCs/>
          <w:sz w:val="24"/>
          <w:szCs w:val="24"/>
        </w:rPr>
        <w:t xml:space="preserve">Fiqih Lima Mazhab: Ja’fari, Hanafi, Maliki, Syafi’i, Hambali, </w:t>
      </w:r>
      <w:r w:rsidRPr="00902788">
        <w:rPr>
          <w:rFonts w:ascii="Times New Roman" w:hAnsi="Times New Roman" w:cs="Times New Roman"/>
          <w:sz w:val="24"/>
          <w:szCs w:val="24"/>
        </w:rPr>
        <w:t>Jakarta: Lentera,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902788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Naja, HR. Daeng,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Nazhir Wakaf Kompeten &amp; Amanah</w:t>
      </w:r>
      <w:r w:rsidRPr="000B3BA4">
        <w:rPr>
          <w:rFonts w:ascii="Times New Roman" w:hAnsi="Times New Roman" w:cs="Times New Roman"/>
          <w:sz w:val="24"/>
          <w:szCs w:val="24"/>
        </w:rPr>
        <w:t>, Jawa Timur: Uwais Inspirasi Indonesia, Cet-1, 2019.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10E">
        <w:rPr>
          <w:rFonts w:ascii="Times New Roman" w:hAnsi="Times New Roman" w:cs="Times New Roman"/>
          <w:sz w:val="24"/>
          <w:szCs w:val="24"/>
        </w:rPr>
        <w:t xml:space="preserve">Qahaaf, Mundzir, </w:t>
      </w:r>
      <w:r w:rsidRPr="002A510E">
        <w:rPr>
          <w:rFonts w:ascii="Times New Roman" w:hAnsi="Times New Roman" w:cs="Times New Roman"/>
          <w:i/>
          <w:iCs/>
          <w:sz w:val="24"/>
          <w:szCs w:val="24"/>
        </w:rPr>
        <w:t>Manajemen Wakaf Produktif</w:t>
      </w:r>
      <w:r w:rsidRPr="002A510E">
        <w:rPr>
          <w:rFonts w:ascii="Times New Roman" w:hAnsi="Times New Roman" w:cs="Times New Roman"/>
          <w:sz w:val="24"/>
          <w:szCs w:val="24"/>
        </w:rPr>
        <w:t>, Jakarta: Khalilfa, 2005.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E5117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E5117">
        <w:rPr>
          <w:rFonts w:ascii="Times New Roman" w:hAnsi="Times New Roman" w:cs="Times New Roman"/>
          <w:sz w:val="24"/>
          <w:szCs w:val="24"/>
        </w:rPr>
        <w:t>Sabiq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117">
        <w:rPr>
          <w:rFonts w:ascii="Times New Roman" w:hAnsi="Times New Roman" w:cs="Times New Roman"/>
          <w:sz w:val="24"/>
          <w:szCs w:val="24"/>
        </w:rPr>
        <w:t xml:space="preserve"> Sayyid, </w:t>
      </w:r>
      <w:r w:rsidRPr="000E5117">
        <w:rPr>
          <w:rFonts w:ascii="Times New Roman" w:hAnsi="Times New Roman" w:cs="Times New Roman"/>
          <w:i/>
          <w:iCs/>
          <w:sz w:val="24"/>
          <w:szCs w:val="24"/>
        </w:rPr>
        <w:t xml:space="preserve">Fiqih Sunnah, </w:t>
      </w:r>
      <w:r w:rsidRPr="000E5117">
        <w:rPr>
          <w:rFonts w:ascii="Times New Roman" w:hAnsi="Times New Roman" w:cs="Times New Roman"/>
          <w:sz w:val="24"/>
          <w:szCs w:val="24"/>
        </w:rPr>
        <w:t>Bandung: Al-Ma’arif, Jilid XIV, cet ke-9, 1997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Saleh, Sirajuddin,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Analisis Data Kualitatif</w:t>
      </w:r>
      <w:r w:rsidRPr="000B3BA4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BA4">
        <w:rPr>
          <w:rFonts w:ascii="Times New Roman" w:hAnsi="Times New Roman" w:cs="Times New Roman"/>
          <w:sz w:val="24"/>
          <w:szCs w:val="24"/>
        </w:rPr>
        <w:t>Bandung: Pustaka Ramadhan, C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et. Ke-1, </w:t>
      </w:r>
      <w:r w:rsidRPr="000B3BA4">
        <w:rPr>
          <w:rFonts w:ascii="Times New Roman" w:hAnsi="Times New Roman" w:cs="Times New Roman"/>
          <w:sz w:val="24"/>
          <w:szCs w:val="24"/>
        </w:rPr>
        <w:t>2017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Sembiring, Jimmy Joses,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Cara Menyelesaikan Sengketa di Luar Pengadilan</w:t>
      </w:r>
      <w:r w:rsidRPr="000B3BA4">
        <w:rPr>
          <w:rFonts w:ascii="Times New Roman" w:hAnsi="Times New Roman" w:cs="Times New Roman"/>
          <w:sz w:val="24"/>
          <w:szCs w:val="24"/>
        </w:rPr>
        <w:t>, Jakarta: Visi Media, 2011.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Sovia, Sheyla Nichlatus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Ragam Metode Penelitian Hukum</w:t>
      </w:r>
      <w:r w:rsidRPr="000B3BA4">
        <w:rPr>
          <w:rFonts w:ascii="Times New Roman" w:hAnsi="Times New Roman" w:cs="Times New Roman"/>
          <w:sz w:val="24"/>
          <w:szCs w:val="24"/>
        </w:rPr>
        <w:t>, Kediri: Lembaga Studi Hukum Pidana, 2022.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Subekti, R,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Kumpulan Karangan Hukum Perikatan, Arbitrase, dan peradilan</w:t>
      </w:r>
      <w:r w:rsidRPr="000B3BA4">
        <w:rPr>
          <w:rFonts w:ascii="Times New Roman" w:hAnsi="Times New Roman" w:cs="Times New Roman"/>
          <w:sz w:val="24"/>
          <w:szCs w:val="24"/>
        </w:rPr>
        <w:t>, Bandung: Alumni, 1980.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Tim Penulis Fakultas Hukum Universitas Pancasakti Tegal,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Buku Panduan Penulisan Skripsi Fakultas Hukum</w:t>
      </w:r>
      <w:r w:rsidRPr="000B3BA4">
        <w:rPr>
          <w:rFonts w:ascii="Times New Roman" w:hAnsi="Times New Roman" w:cs="Times New Roman"/>
          <w:sz w:val="24"/>
          <w:szCs w:val="24"/>
        </w:rPr>
        <w:t>, Yogyakarta: Tanah Air Beta, Cet. Ke-3, 2021.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Tim Penyusun,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Buku Pintar Wakaf</w:t>
      </w:r>
      <w:r w:rsidRPr="000B3BA4">
        <w:rPr>
          <w:rFonts w:ascii="Times New Roman" w:hAnsi="Times New Roman" w:cs="Times New Roman"/>
          <w:sz w:val="24"/>
          <w:szCs w:val="24"/>
        </w:rPr>
        <w:t>, Jakarta: Badan Wakaf Indonesia, 2019.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9C3077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0B3BA4">
        <w:rPr>
          <w:rFonts w:ascii="Times New Roman" w:hAnsi="Times New Roman" w:cs="Times New Roman"/>
          <w:sz w:val="24"/>
          <w:szCs w:val="24"/>
        </w:rPr>
        <w:t>Tim Penyusun</w:t>
      </w:r>
      <w:r w:rsidRPr="009C3077">
        <w:rPr>
          <w:rFonts w:ascii="Times New Roman" w:hAnsi="Times New Roman" w:cs="Times New Roman"/>
          <w:sz w:val="24"/>
          <w:szCs w:val="24"/>
        </w:rPr>
        <w:t xml:space="preserve"> Departemen Agama RI, </w:t>
      </w:r>
      <w:r w:rsidRPr="009C3077">
        <w:rPr>
          <w:rFonts w:ascii="Times New Roman" w:hAnsi="Times New Roman" w:cs="Times New Roman"/>
          <w:i/>
          <w:iCs/>
          <w:sz w:val="24"/>
          <w:szCs w:val="24"/>
        </w:rPr>
        <w:t>Fiqih Wakaf</w:t>
      </w:r>
      <w:r w:rsidRPr="009C3077">
        <w:rPr>
          <w:rFonts w:ascii="Times New Roman" w:hAnsi="Times New Roman" w:cs="Times New Roman"/>
          <w:sz w:val="24"/>
          <w:szCs w:val="24"/>
        </w:rPr>
        <w:t>, Jakarta: Proyek Peningkatan  Pemberdayaan Wakaf Direktorat Jenderal Bimas Islam dan Penyelenggaraan Haji, 2004.</w:t>
      </w: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Tim Penyusun Direktorat Pemberdayaan Wakaf, Direktorat Jenderal Bimbingan Masyarakat Islam,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Paradigma Baru Wakaf di Indonesia</w:t>
      </w:r>
      <w:r w:rsidRPr="000B3BA4">
        <w:rPr>
          <w:rFonts w:ascii="Times New Roman" w:hAnsi="Times New Roman" w:cs="Times New Roman"/>
          <w:sz w:val="24"/>
          <w:szCs w:val="24"/>
        </w:rPr>
        <w:t xml:space="preserve">, Jakarta: Direktorat Pemberdayaan Wakaf Dirjen Bimas Islam Kementerian Agama RI, 2008. </w:t>
      </w:r>
      <w:r w:rsidRPr="000B3BA4">
        <w:rPr>
          <w:rFonts w:ascii="Times New Roman" w:hAnsi="Times New Roman" w:cs="Times New Roman"/>
          <w:sz w:val="24"/>
          <w:szCs w:val="24"/>
        </w:rPr>
        <w:lastRenderedPageBreak/>
        <w:t xml:space="preserve">Diakses dari </w:t>
      </w:r>
      <w:hyperlink r:id="rId5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https://www.lib.bwi.go.id/books/paradigma-baru-wakaf-di-indonesia/</w:t>
        </w:r>
      </w:hyperlink>
    </w:p>
    <w:p w:rsidR="007E353B" w:rsidRDefault="007E353B" w:rsidP="007E353B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10E">
        <w:rPr>
          <w:rFonts w:ascii="Times New Roman" w:hAnsi="Times New Roman" w:cs="Times New Roman"/>
          <w:sz w:val="24"/>
          <w:szCs w:val="24"/>
        </w:rPr>
        <w:t>Usman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10E">
        <w:rPr>
          <w:rFonts w:ascii="Times New Roman" w:hAnsi="Times New Roman" w:cs="Times New Roman"/>
          <w:sz w:val="24"/>
          <w:szCs w:val="24"/>
        </w:rPr>
        <w:t xml:space="preserve">Rachmadi, </w:t>
      </w:r>
      <w:r w:rsidRPr="002A510E">
        <w:rPr>
          <w:rFonts w:ascii="Times New Roman" w:hAnsi="Times New Roman" w:cs="Times New Roman"/>
          <w:i/>
          <w:iCs/>
          <w:sz w:val="24"/>
          <w:szCs w:val="24"/>
        </w:rPr>
        <w:t>Hukum Perwakafan di Indonesia</w:t>
      </w:r>
      <w:r w:rsidRPr="002A510E">
        <w:rPr>
          <w:rFonts w:ascii="Times New Roman" w:hAnsi="Times New Roman" w:cs="Times New Roman"/>
          <w:sz w:val="24"/>
          <w:szCs w:val="24"/>
        </w:rPr>
        <w:t>, Jakarta: Sinar Grafika,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2A510E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902788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02788">
        <w:rPr>
          <w:rFonts w:ascii="Times New Roman" w:hAnsi="Times New Roman" w:cs="Times New Roman"/>
          <w:sz w:val="24"/>
          <w:szCs w:val="24"/>
        </w:rPr>
        <w:t>Zuhaili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88">
        <w:rPr>
          <w:rFonts w:ascii="Times New Roman" w:hAnsi="Times New Roman" w:cs="Times New Roman"/>
          <w:sz w:val="24"/>
          <w:szCs w:val="24"/>
        </w:rPr>
        <w:t xml:space="preserve"> Wahbah, </w:t>
      </w:r>
      <w:r w:rsidRPr="00902788">
        <w:rPr>
          <w:rFonts w:ascii="Times New Roman" w:hAnsi="Times New Roman" w:cs="Times New Roman"/>
          <w:i/>
          <w:iCs/>
          <w:sz w:val="24"/>
          <w:szCs w:val="24"/>
        </w:rPr>
        <w:t xml:space="preserve">Fiqih Islam Wa Adillatuhu, </w:t>
      </w:r>
      <w:r w:rsidRPr="00902788">
        <w:rPr>
          <w:rFonts w:ascii="Times New Roman" w:hAnsi="Times New Roman" w:cs="Times New Roman"/>
          <w:sz w:val="24"/>
          <w:szCs w:val="24"/>
        </w:rPr>
        <w:t>Jakarta: Gema Insani,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BA4">
        <w:rPr>
          <w:rFonts w:ascii="Times New Roman" w:hAnsi="Times New Roman" w:cs="Times New Roman"/>
          <w:b/>
          <w:bCs/>
          <w:sz w:val="24"/>
          <w:szCs w:val="24"/>
        </w:rPr>
        <w:t>Jurnal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Abdullah, Junaidi dan Qodin, Nur, “Penyelesaian Sengketa Wakaf Dalam Hukum Positif”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Zakat dan Wakaf</w:t>
      </w:r>
      <w:r w:rsidRPr="000B3BA4">
        <w:rPr>
          <w:rFonts w:ascii="Times New Roman" w:hAnsi="Times New Roman" w:cs="Times New Roman"/>
          <w:sz w:val="24"/>
          <w:szCs w:val="24"/>
        </w:rPr>
        <w:t>, Volume 1, Nomor 1, 2014.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Amiruddin, “Amanah dalam Perspektif Al-Quran”,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Mudarrisuna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Vol. 11, No. 4, 2021. Diakses dari </w:t>
      </w:r>
      <w:hyperlink r:id="rId6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http://dx.doi.org/10.22373/jm.v11i4.4665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Ariani, Nevey Varida, “Alternatif Penyelesaian Sengketa Bisnis di Luar Pengadilan”,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Rechts Vinding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1, Nomor 2, 2012. Diakses dari </w:t>
      </w:r>
      <w:hyperlink r:id="rId7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http://dx.doi.org/10.33331/rechtsvinding.v1i2.101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Arifin, M.S.,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Peranan Badan Wakaf Indonesia Dalam Penyelesaian Sengketa Tanah Wakaf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Hukum dan Kenotariatan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4, Nomor 1, hlm. 27-40, 2020. Diakses dari </w:t>
      </w:r>
      <w:hyperlink r:id="rId8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https://doi.org/10.33474/hukeno.v4i1.6446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Diah, Marwah M., “Prinsip dan Bentuk-Bentuk Alternatif Penyelesaian Sengketa di Luar Pengadilan”,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Hukum dan Dinamika Masyarakat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5, Nomor 2, 2008. Diakses dari </w:t>
      </w:r>
      <w:hyperlink r:id="rId9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http://dx.doi.org/10.56444/hdm.v5i2.378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Faizah, N.I.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B3BA4">
        <w:rPr>
          <w:rFonts w:ascii="Times New Roman" w:hAnsi="Times New Roman" w:cs="Times New Roman"/>
          <w:sz w:val="24"/>
          <w:szCs w:val="24"/>
        </w:rPr>
        <w:t xml:space="preserve">.,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Peranan Badan Wakaf Indonesia Dalam Menangani Sengketa Wakaf di Indonesia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Hukum Keluarga Islam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4, Nomor 2, hlm. 154-162, 2022. Diakses dari: </w:t>
      </w:r>
      <w:hyperlink r:id="rId10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https://doi.org/10.33367/legitima.v4i2.2266</w:t>
        </w:r>
      </w:hyperlink>
      <w:r w:rsidRPr="000B3BA4">
        <w:rPr>
          <w:rFonts w:ascii="Times New Roman" w:hAnsi="Times New Roman" w:cs="Times New Roman"/>
          <w:sz w:val="24"/>
          <w:szCs w:val="24"/>
        </w:rPr>
        <w:t>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Harfiani, Rizka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0B3BA4">
        <w:rPr>
          <w:rFonts w:ascii="Times New Roman" w:hAnsi="Times New Roman" w:cs="Times New Roman"/>
          <w:sz w:val="24"/>
          <w:szCs w:val="24"/>
        </w:rPr>
        <w:t xml:space="preserve">, “Model Manajemen Pembelajaran Pada Masa Pandemi”,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Sintesa</w:t>
      </w:r>
      <w:r w:rsidRPr="000B3BA4">
        <w:rPr>
          <w:rFonts w:ascii="Times New Roman" w:hAnsi="Times New Roman" w:cs="Times New Roman"/>
          <w:sz w:val="24"/>
          <w:szCs w:val="24"/>
        </w:rPr>
        <w:t xml:space="preserve">, 2021. Diakses dari: </w:t>
      </w:r>
      <w:hyperlink r:id="rId11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https://doi.org/10.53695/sintesa.v1i1.348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Hendrawati, D, &amp; Islamiyati,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Penyelesaian Sengketa Tanah Wakaf Yang Tidak Tersertifikasi di Wilayah Pesisir Utara Jawa Tengah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 xml:space="preserve">Masalah-Masalah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lastRenderedPageBreak/>
        <w:t>Hukum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47, Nomor 1, hlm. 71-80, 2018. Diakses dari </w:t>
      </w:r>
      <w:hyperlink r:id="rId12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http://doi.org/10.14710/mmh.47.1.2018.71-80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Islamiyati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al.,</w:t>
      </w:r>
      <w:r w:rsidRPr="000B3BA4">
        <w:rPr>
          <w:rFonts w:ascii="Times New Roman" w:hAnsi="Times New Roman" w:cs="Times New Roman"/>
          <w:sz w:val="24"/>
          <w:szCs w:val="24"/>
        </w:rPr>
        <w:t xml:space="preserve">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Implementasi UU Wakaf Dalam Penyelesaian Sengketa Wakaf Di Wilayah Pesisir Jawa Tengah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Masalah-Masalah Hukum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48, Nomor 4, hlm. 331-340, 2019. Diakses dari: </w:t>
      </w:r>
      <w:hyperlink r:id="rId13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http://doi.org/10.14710/mmh.48.4.2019.331-340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Komariah, “Upi, Penyelesaian Sengketa Wakaf di Pengadilan Agama”,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Hukum dan Peradilan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3, Nomor 2, hlm. 117-126, 2014. Diakses dari </w:t>
      </w:r>
      <w:hyperlink r:id="rId14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http://dx.doi.org/10.25216/jhp.3.2.2014.117-126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Laelah, Ariesthina, “Pencegahan Sengketa Wakaf Melalui Profesionalitas Nazhir Perwakafan”,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Journal of Islamic Law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1, Nomor 2, 2020. Diakses dari </w:t>
      </w:r>
      <w:hyperlink r:id="rId15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http://dx.doi.org/10.33096/al-tafaqquh.v1i2.64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Muskibah, “Arbitrase Sebagai Alternatif Penyelesaian Sengketa”,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Komunikasi Hukum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4, Nomor 2, 2018. Diakses dari </w:t>
      </w:r>
      <w:hyperlink r:id="rId16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https://repository.unja.ac.id/id/eprints/17562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Pradima, Akbar, “Alternatif Penyelesaian Perselisihan Hubungan Industrial di Luar Pengadilan”,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Ilmu Hukum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Volume 9, Nomor 17, 2013. Diakses dari </w:t>
      </w:r>
      <w:hyperlink r:id="rId17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https://doi,org/10.30996/dih.v9i17.251</w:t>
        </w:r>
      </w:hyperlink>
    </w:p>
    <w:p w:rsidR="007E353B" w:rsidRDefault="007E353B" w:rsidP="007E353B">
      <w:pPr>
        <w:spacing w:after="0" w:line="48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1CFB">
        <w:rPr>
          <w:rFonts w:ascii="Times New Roman" w:hAnsi="Times New Roman" w:cs="Times New Roman"/>
          <w:sz w:val="24"/>
          <w:szCs w:val="24"/>
        </w:rPr>
        <w:t xml:space="preserve">Ridwan, Murtadho, “Nazhir Profesional Kunci Sukses Wakaf Produktif”, </w:t>
      </w:r>
      <w:r w:rsidRPr="00B21CFB">
        <w:rPr>
          <w:rFonts w:ascii="Times New Roman" w:hAnsi="Times New Roman" w:cs="Times New Roman"/>
          <w:i/>
          <w:iCs/>
          <w:sz w:val="24"/>
          <w:szCs w:val="24"/>
        </w:rPr>
        <w:t>Jurnal Muqtasid</w:t>
      </w:r>
      <w:r w:rsidRPr="00B21CFB">
        <w:rPr>
          <w:rFonts w:ascii="Times New Roman" w:hAnsi="Times New Roman" w:cs="Times New Roman"/>
          <w:sz w:val="24"/>
          <w:szCs w:val="24"/>
        </w:rPr>
        <w:t>, volume 3, nomor 1, 2012.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Yusro, Mahda,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et all</w:t>
      </w:r>
      <w:r w:rsidRPr="000B3BA4">
        <w:rPr>
          <w:rFonts w:ascii="Times New Roman" w:hAnsi="Times New Roman" w:cs="Times New Roman"/>
          <w:sz w:val="24"/>
          <w:szCs w:val="24"/>
        </w:rPr>
        <w:t xml:space="preserve">, “Studi Bibliometrik Pada Penelitian Wakaf Untuk Pengentasan Kemiskinan Tahun 1995-2002”,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Jurnal Mahasiswa FIAI-UII, at-Thullab</w:t>
      </w:r>
      <w:r w:rsidRPr="000B3BA4">
        <w:rPr>
          <w:rFonts w:ascii="Times New Roman" w:hAnsi="Times New Roman" w:cs="Times New Roman"/>
          <w:sz w:val="24"/>
          <w:szCs w:val="24"/>
        </w:rPr>
        <w:t xml:space="preserve">, Vol. 4, No. 1, 2022. Diakses dari </w:t>
      </w:r>
      <w:hyperlink r:id="rId18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https://doi.org/10.20885/tullab.vol4.iss1.art10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BA4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10E">
        <w:rPr>
          <w:rFonts w:ascii="Times New Roman" w:hAnsi="Times New Roman" w:cs="Times New Roman"/>
          <w:sz w:val="24"/>
          <w:szCs w:val="24"/>
        </w:rPr>
        <w:t>Asy’ari, Hasan, “Pengelolaan dan Pengembangan Wakaf Produktif di Yayasan Pondok Pesantren Miftahul Ulum Al-Yasini, Skripsi Fakultas Syariah, Universitas Islam Negeri Maulana Malik Ibrahim, Malang,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3B" w:rsidRPr="002A510E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  <w:lang w:val="en-US"/>
        </w:rPr>
        <w:lastRenderedPageBreak/>
        <w:t>Rukmana, Sadar, “Profesionalisme Nazhir Dalam Pemeliharaan dan Pengembangan Aset Wakaf Produktif (Analisis Terhadap Peran Nazhir Dalam Pengelolaan Wakaf Pada Tabung Wakaf Indonesia</w:t>
      </w:r>
      <w:r w:rsidRPr="000B3BA4">
        <w:rPr>
          <w:rFonts w:ascii="Times New Roman" w:hAnsi="Times New Roman" w:cs="Times New Roman"/>
          <w:sz w:val="24"/>
          <w:szCs w:val="24"/>
        </w:rPr>
        <w:t>)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”, Skripsi Sarjana Ekonomi Syariah, Fakultas Syariah dan Hukum, UIN Syarif Hidayatullah, Jakarta, 2010.</w:t>
      </w:r>
      <w:r w:rsidRPr="000B3BA4">
        <w:rPr>
          <w:rFonts w:ascii="Times New Roman" w:hAnsi="Times New Roman" w:cs="Times New Roman"/>
          <w:sz w:val="24"/>
          <w:szCs w:val="24"/>
        </w:rPr>
        <w:t xml:space="preserve"> Diakses dari </w:t>
      </w:r>
      <w:hyperlink r:id="rId19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http://repository.uinjkt.ac.id/dspace/handle/123456789/21710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Rahman, A.,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Penyelesaian Sengketa Tanah Wakaf (Studi Kasus di Kampung Haji Pemanggilan Kecamatan Anak Tuha Kabupaten Lampung Tengah)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>, Skripsi Sarjana Hukum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B3BA4">
        <w:rPr>
          <w:rFonts w:ascii="Times New Roman" w:hAnsi="Times New Roman" w:cs="Times New Roman"/>
          <w:sz w:val="24"/>
          <w:szCs w:val="24"/>
        </w:rPr>
        <w:t xml:space="preserve"> Fakultas Syari’ah, Institut Agama Islam Negeri Metro, Lampung, 2017. Diakses dari: </w:t>
      </w:r>
      <w:hyperlink r:id="rId20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https://repository.metrouniv.ac.id/id/eprint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Nurmaulana, I.F.,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Peran Nazhir Dalam Penyelesaian Sengketa Tanah Wakaf (Studi Kasus Terhadap Tanah Wakaf Madrasah Diniyah Miftahul Falah Desa Karangroto Kecamatan Genuk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Skripsi Sarjana Ilmu Syari’ah, Fakultas Syari’ah dan Hukum, Universitas Islam Negeri Walisongo, Semarang, 2016. Diakses dari </w:t>
      </w:r>
      <w:hyperlink r:id="rId21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https://eprints.walisongo.ac.id/id/eprints/5693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Harahap, R., 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0B3BA4">
        <w:rPr>
          <w:rFonts w:ascii="Times New Roman" w:hAnsi="Times New Roman" w:cs="Times New Roman"/>
          <w:sz w:val="24"/>
          <w:szCs w:val="24"/>
        </w:rPr>
        <w:t>Pelaksanaan Pembinaan Terhadap Nazhir Pada Badan Wakaf Indonesia di Provinsi Riau di Tinjau Menurut Undang-Undang No. 41 Tahun 2004 Tentang Wakaf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0B3BA4">
        <w:rPr>
          <w:rFonts w:ascii="Times New Roman" w:hAnsi="Times New Roman" w:cs="Times New Roman"/>
          <w:sz w:val="24"/>
          <w:szCs w:val="24"/>
        </w:rPr>
        <w:t xml:space="preserve">, Skripsi Sarjana Hukum, Fakultas Hukum, Universitas Islam Riau, Riau, 2022. Diakses dari: </w:t>
      </w:r>
      <w:hyperlink r:id="rId22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https://repository.uir.ac.id/id/eprint/15440</w:t>
        </w:r>
      </w:hyperlink>
      <w:r w:rsidRPr="000B3BA4">
        <w:rPr>
          <w:rFonts w:ascii="Times New Roman" w:hAnsi="Times New Roman" w:cs="Times New Roman"/>
          <w:sz w:val="24"/>
          <w:szCs w:val="24"/>
        </w:rPr>
        <w:t>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Purnomo,  Agus, “Proses Penyelesaian Sengketa Aset Wakaf Dalam Masalah Penggunaan Fasilitas Umum”, Skripsi Sarjana Keluarga Islam, Fakultas Agama Islam, Universitas Muhammadiyah, Malang, 2019. Diakses dari </w:t>
      </w:r>
      <w:hyperlink r:id="rId23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http://eprints.umm.ac.id/id/eprints/55585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3B" w:rsidRPr="000B3BA4" w:rsidRDefault="007E353B" w:rsidP="007E353B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BA4">
        <w:rPr>
          <w:rFonts w:ascii="Times New Roman" w:hAnsi="Times New Roman" w:cs="Times New Roman"/>
          <w:b/>
          <w:bCs/>
          <w:sz w:val="24"/>
          <w:szCs w:val="24"/>
        </w:rPr>
        <w:t>Website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Badan Pusat Statistik Kota Tegal, 2023. Diakses dari </w:t>
      </w:r>
      <w:hyperlink r:id="rId24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https://tegalkota.bps.go.id/statictable/2022/09/07/523/proyeksi-penduduk-menurut-kelompok-umur-di-kota-tegal-jiwa-2021-2025.html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 pada tanggal 18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Bappeda dan Litbang Kabupaten Tegal, “Peta Wilayah”, 2023. Diakses dari </w:t>
      </w:r>
      <w:hyperlink r:id="rId25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https://bappeda.tegalkab.go.id/?page_id=14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 pada tanggal 18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lastRenderedPageBreak/>
        <w:t xml:space="preserve">Disdukcapil Kabupaten Tegal, “Data Penduduk Kabupaten Tegal Semester II Tahun 2022”, 2022. Diakses dari </w:t>
      </w:r>
      <w:hyperlink r:id="rId26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https://disdukcapil.tegalkab.go.id/data/jumlah-penduduk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 pada tanggal 18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Hanif, Rifqani Nur Fauziah, “Arbitrase dan Alternatif Penyelesaian Sengketa”,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Kementerian Keuangan Republik Indonesia</w:t>
      </w:r>
      <w:r w:rsidRPr="000B3BA4">
        <w:rPr>
          <w:rFonts w:ascii="Times New Roman" w:hAnsi="Times New Roman" w:cs="Times New Roman"/>
          <w:sz w:val="24"/>
          <w:szCs w:val="24"/>
        </w:rPr>
        <w:t xml:space="preserve">, Jakarta. Diakses dari </w:t>
      </w:r>
      <w:hyperlink r:id="rId27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https://www.djkn.kemenkeu.go.id/knknl-manado/baca-artikel/13628/Arbitrase-Dan-Alternatif-Penyelesaian-Sengketa</w:t>
        </w:r>
      </w:hyperlink>
      <w:r w:rsidRPr="000B3BA4">
        <w:rPr>
          <w:rFonts w:ascii="Times New Roman" w:hAnsi="Times New Roman" w:cs="Times New Roman"/>
          <w:sz w:val="24"/>
          <w:szCs w:val="24"/>
        </w:rPr>
        <w:t>, pada 2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Pemerintah Kota Tegal, “Kondisi Geografis”, 2014. Diakses dari </w:t>
      </w:r>
      <w:hyperlink r:id="rId28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https://tegalkota.go.id/v2/index.php?option=com_content&amp;view=article&amp;id=4&amp;ltemid=177&amp;lang=en</w:t>
        </w:r>
      </w:hyperlink>
      <w:r w:rsidRPr="000B3BA4">
        <w:rPr>
          <w:rFonts w:ascii="Times New Roman" w:hAnsi="Times New Roman" w:cs="Times New Roman"/>
          <w:sz w:val="24"/>
          <w:szCs w:val="24"/>
        </w:rPr>
        <w:t xml:space="preserve"> pada tanggal 18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>Penelitian Pusat Bahasa dan Budaya (PBB) UIN Syarif Hidayatullah Jakarta, 2006. diakses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B3BA4">
        <w:rPr>
          <w:rFonts w:ascii="Times New Roman" w:hAnsi="Times New Roman" w:cs="Times New Roman"/>
          <w:sz w:val="24"/>
          <w:szCs w:val="24"/>
        </w:rPr>
        <w:t>dari:</w:t>
      </w:r>
      <w:r w:rsidRPr="000B3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9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https://www.mail-archive.com/ekonomi-syariah@yahoogroups.com/msg02791.html pada 5 Mei 2023</w:t>
        </w:r>
      </w:hyperlink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 xml:space="preserve">Tim Publikasi, “4 Syarat Sah Perjanjian di Mata Hukum”, </w:t>
      </w:r>
      <w:r w:rsidRPr="000B3BA4">
        <w:rPr>
          <w:rFonts w:ascii="Times New Roman" w:hAnsi="Times New Roman" w:cs="Times New Roman"/>
          <w:i/>
          <w:iCs/>
          <w:sz w:val="24"/>
          <w:szCs w:val="24"/>
        </w:rPr>
        <w:t>Hukum Online</w:t>
      </w:r>
      <w:r w:rsidRPr="000B3BA4">
        <w:rPr>
          <w:rFonts w:ascii="Times New Roman" w:hAnsi="Times New Roman" w:cs="Times New Roman"/>
          <w:sz w:val="24"/>
          <w:szCs w:val="24"/>
        </w:rPr>
        <w:t xml:space="preserve">, Jakarta, 2022. Diakses dari </w:t>
      </w:r>
      <w:hyperlink r:id="rId30" w:history="1">
        <w:r w:rsidRPr="000B3BA4">
          <w:rPr>
            <w:rStyle w:val="Hyperlink"/>
            <w:rFonts w:ascii="Times New Roman" w:hAnsi="Times New Roman" w:cs="Times New Roman"/>
            <w:sz w:val="24"/>
            <w:szCs w:val="24"/>
          </w:rPr>
          <w:t>https://www.hukumonline.com/berita/a/4-syarat-sah-perjanjian-di-mata-hukum-lt6273669575348</w:t>
        </w:r>
      </w:hyperlink>
      <w:r w:rsidRPr="000B3BA4">
        <w:rPr>
          <w:rFonts w:ascii="Times New Roman" w:hAnsi="Times New Roman" w:cs="Times New Roman"/>
          <w:sz w:val="24"/>
          <w:szCs w:val="24"/>
        </w:rPr>
        <w:t>, pada 2 Juni 2023.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pStyle w:val="ListParagraph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BA4"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>Undang-Undang Nomor 41 Tahun 2004 Tentang Wakaf.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>Undang-Undang Nomor 30 Tahun 1999 Tentang Arbitrase dan Alternatif Penyelesaian Sengketa.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>Kitab Undang-Undang Hukum Perdata.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21E0">
        <w:rPr>
          <w:rFonts w:ascii="Times New Roman" w:hAnsi="Times New Roman" w:cs="Times New Roman"/>
          <w:sz w:val="24"/>
          <w:szCs w:val="24"/>
        </w:rPr>
        <w:t>Peraturan Pemerintah Nomor 42 Tahun 2006 Tentang Pela</w:t>
      </w:r>
      <w:r w:rsidRPr="000B3BA4">
        <w:rPr>
          <w:rFonts w:ascii="Times New Roman" w:hAnsi="Times New Roman" w:cs="Times New Roman"/>
          <w:sz w:val="24"/>
          <w:szCs w:val="24"/>
        </w:rPr>
        <w:t>ksana Undang-Undang Nomor 41 Tahun 2004 Tentang Wakaf.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t>Instruksi Presiden No. 1 Tahun 1991 Tentang Kompilasi Hukum Islam.</w:t>
      </w:r>
    </w:p>
    <w:p w:rsidR="007E353B" w:rsidRPr="000B3BA4" w:rsidRDefault="007E353B" w:rsidP="007E353B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3BA4">
        <w:rPr>
          <w:rFonts w:ascii="Times New Roman" w:hAnsi="Times New Roman" w:cs="Times New Roman"/>
          <w:sz w:val="24"/>
          <w:szCs w:val="24"/>
        </w:rPr>
        <w:lastRenderedPageBreak/>
        <w:t>Peraturan BWI No. 1 Tahun 2021 Tentang Organisasi dan Tata Kerja Badan Wakaf Indonesia.</w:t>
      </w: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  <w:sectPr w:rsidR="007E353B">
          <w:headerReference w:type="default" r:id="rId31"/>
          <w:pgSz w:w="11907" w:h="16840" w:code="9"/>
          <w:pgMar w:top="2268" w:right="1701" w:bottom="1701" w:left="2268" w:header="709" w:footer="709" w:gutter="0"/>
          <w:cols w:space="708"/>
          <w:docGrid w:linePitch="360"/>
        </w:sectPr>
      </w:pPr>
    </w:p>
    <w:p w:rsidR="007E353B" w:rsidRPr="00751E33" w:rsidRDefault="007E353B" w:rsidP="007E353B">
      <w:pPr>
        <w:pStyle w:val="Heading1"/>
        <w:rPr>
          <w:sz w:val="26"/>
          <w:szCs w:val="26"/>
        </w:rPr>
      </w:pPr>
      <w:bookmarkStart w:id="3" w:name="_Toc142212880"/>
      <w:r w:rsidRPr="00751E33">
        <w:lastRenderedPageBreak/>
        <w:t>DAFTAR RIWAYAT HIDUP</w:t>
      </w:r>
      <w:bookmarkEnd w:id="3"/>
    </w:p>
    <w:p w:rsidR="007E353B" w:rsidRPr="0050585F" w:rsidRDefault="007E353B" w:rsidP="007E353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E353B" w:rsidRPr="00AB7962" w:rsidRDefault="007E353B" w:rsidP="007E353B">
      <w:pPr>
        <w:tabs>
          <w:tab w:val="left" w:pos="2410"/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Lamzi Kaidar</w:t>
      </w:r>
    </w:p>
    <w:p w:rsidR="007E353B" w:rsidRPr="00426C83" w:rsidRDefault="007E353B" w:rsidP="007E353B">
      <w:pPr>
        <w:tabs>
          <w:tab w:val="left" w:pos="2410"/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>NPM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5119500</w:t>
      </w:r>
      <w:r>
        <w:rPr>
          <w:rFonts w:ascii="Times New Roman" w:hAnsi="Times New Roman" w:cs="Times New Roman"/>
          <w:sz w:val="24"/>
          <w:szCs w:val="24"/>
        </w:rPr>
        <w:t>200</w:t>
      </w:r>
    </w:p>
    <w:p w:rsidR="007E353B" w:rsidRDefault="007E353B" w:rsidP="007E353B">
      <w:pPr>
        <w:tabs>
          <w:tab w:val="left" w:pos="2410"/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>Tempat/Tanggal Lahir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Pemalang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353B" w:rsidRDefault="007E353B" w:rsidP="007E353B">
      <w:pPr>
        <w:tabs>
          <w:tab w:val="left" w:pos="2410"/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>Alamat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Ja</w:t>
      </w:r>
      <w:r>
        <w:rPr>
          <w:rFonts w:ascii="Times New Roman" w:hAnsi="Times New Roman" w:cs="Times New Roman"/>
          <w:sz w:val="24"/>
          <w:szCs w:val="24"/>
        </w:rPr>
        <w:t>lan KH. Samanhudi Pelutan Pemalang</w:t>
      </w:r>
    </w:p>
    <w:p w:rsidR="007E353B" w:rsidRPr="0050585F" w:rsidRDefault="007E353B" w:rsidP="007E353B">
      <w:pPr>
        <w:tabs>
          <w:tab w:val="left" w:pos="2410"/>
          <w:tab w:val="left" w:pos="2552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>Riwayat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353B" w:rsidRPr="0050585F" w:rsidRDefault="007E353B" w:rsidP="007E35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7"/>
        <w:gridCol w:w="3848"/>
        <w:gridCol w:w="1701"/>
        <w:gridCol w:w="1553"/>
      </w:tblGrid>
      <w:tr w:rsidR="007E353B" w:rsidRPr="00AB7962" w:rsidTr="00960CBB">
        <w:trPr>
          <w:trHeight w:val="717"/>
        </w:trPr>
        <w:tc>
          <w:tcPr>
            <w:tcW w:w="717" w:type="dxa"/>
            <w:vAlign w:val="center"/>
          </w:tcPr>
          <w:p w:rsidR="007E353B" w:rsidRPr="00AB7962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48" w:type="dxa"/>
            <w:vAlign w:val="center"/>
          </w:tcPr>
          <w:p w:rsidR="007E353B" w:rsidRPr="00AB7962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 Sekolah</w:t>
            </w:r>
          </w:p>
        </w:tc>
        <w:tc>
          <w:tcPr>
            <w:tcW w:w="1701" w:type="dxa"/>
            <w:vAlign w:val="center"/>
          </w:tcPr>
          <w:p w:rsidR="007E353B" w:rsidRPr="00AB7962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 Masuk</w:t>
            </w:r>
          </w:p>
        </w:tc>
        <w:tc>
          <w:tcPr>
            <w:tcW w:w="1553" w:type="dxa"/>
            <w:vAlign w:val="center"/>
          </w:tcPr>
          <w:p w:rsidR="007E353B" w:rsidRPr="00AB7962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Tahun Lulus</w:t>
            </w:r>
          </w:p>
        </w:tc>
      </w:tr>
      <w:tr w:rsidR="007E353B" w:rsidRPr="0050585F" w:rsidTr="00960CBB">
        <w:trPr>
          <w:trHeight w:val="442"/>
        </w:trPr>
        <w:tc>
          <w:tcPr>
            <w:tcW w:w="717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48" w:type="dxa"/>
            <w:vAlign w:val="center"/>
          </w:tcPr>
          <w:p w:rsidR="007E353B" w:rsidRPr="00AB7962" w:rsidRDefault="007E353B" w:rsidP="00960C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 Negeri 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Kebondalem Pemalang</w:t>
            </w:r>
          </w:p>
        </w:tc>
        <w:tc>
          <w:tcPr>
            <w:tcW w:w="1701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2007</w:t>
            </w:r>
          </w:p>
        </w:tc>
        <w:tc>
          <w:tcPr>
            <w:tcW w:w="1553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</w:tr>
      <w:tr w:rsidR="007E353B" w:rsidRPr="0050585F" w:rsidTr="00960CBB">
        <w:trPr>
          <w:trHeight w:val="510"/>
        </w:trPr>
        <w:tc>
          <w:tcPr>
            <w:tcW w:w="717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48" w:type="dxa"/>
            <w:vAlign w:val="center"/>
          </w:tcPr>
          <w:p w:rsidR="007E353B" w:rsidRPr="00AB7962" w:rsidRDefault="007E353B" w:rsidP="00960C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Darul Ulum Pemalang</w:t>
            </w:r>
          </w:p>
        </w:tc>
        <w:tc>
          <w:tcPr>
            <w:tcW w:w="1701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553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</w:tr>
      <w:tr w:rsidR="007E353B" w:rsidRPr="0050585F" w:rsidTr="00960CBB">
        <w:trPr>
          <w:trHeight w:val="510"/>
        </w:trPr>
        <w:tc>
          <w:tcPr>
            <w:tcW w:w="717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48" w:type="dxa"/>
            <w:vAlign w:val="center"/>
          </w:tcPr>
          <w:p w:rsidR="007E353B" w:rsidRPr="00AB7962" w:rsidRDefault="007E353B" w:rsidP="00960C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Pemalang</w:t>
            </w:r>
          </w:p>
        </w:tc>
        <w:tc>
          <w:tcPr>
            <w:tcW w:w="1701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3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7E353B" w:rsidRPr="0050585F" w:rsidTr="00960CBB">
        <w:trPr>
          <w:trHeight w:val="510"/>
        </w:trPr>
        <w:tc>
          <w:tcPr>
            <w:tcW w:w="717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48" w:type="dxa"/>
            <w:vAlign w:val="center"/>
          </w:tcPr>
          <w:p w:rsidR="007E353B" w:rsidRPr="0050585F" w:rsidRDefault="007E353B" w:rsidP="00960CB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 Fakultas Hukum UPS Tegal</w:t>
            </w:r>
          </w:p>
        </w:tc>
        <w:tc>
          <w:tcPr>
            <w:tcW w:w="1701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3" w:type="dxa"/>
            <w:vAlign w:val="center"/>
          </w:tcPr>
          <w:p w:rsidR="007E353B" w:rsidRPr="0050585F" w:rsidRDefault="007E353B" w:rsidP="00960CB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353B" w:rsidRPr="0050585F" w:rsidRDefault="007E353B" w:rsidP="007E353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50585F" w:rsidRDefault="007E353B" w:rsidP="007E353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58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>Demikian daftar riwayat hidup ini saya buat dengan sebenarnya.</w:t>
      </w:r>
      <w:r w:rsidRPr="005058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</w:t>
      </w:r>
    </w:p>
    <w:p w:rsidR="007E353B" w:rsidRPr="0050585F" w:rsidRDefault="007E353B" w:rsidP="007E353B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0585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</w:p>
    <w:p w:rsidR="007E353B" w:rsidRDefault="007E353B" w:rsidP="007E35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Tegal,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Agustus</w:t>
      </w:r>
      <w:r w:rsidRPr="0050585F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</w:p>
    <w:p w:rsidR="007E353B" w:rsidRPr="00AB7962" w:rsidRDefault="007E353B" w:rsidP="007E353B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7E353B" w:rsidRDefault="007E353B" w:rsidP="007E353B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AB7962" w:rsidRDefault="007E353B" w:rsidP="007E353B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353B" w:rsidRDefault="007E353B" w:rsidP="007E353B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353B" w:rsidRPr="0050585F" w:rsidRDefault="007E353B" w:rsidP="007E353B">
      <w:pPr>
        <w:tabs>
          <w:tab w:val="center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Lamzi Kaidar</w:t>
      </w:r>
    </w:p>
    <w:p w:rsidR="007E353B" w:rsidRPr="000B3BA4" w:rsidRDefault="007E353B" w:rsidP="007E35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E353B" w:rsidRDefault="007E353B" w:rsidP="007E353B"/>
    <w:p w:rsidR="00E1380B" w:rsidRDefault="00E1380B"/>
    <w:sectPr w:rsidR="00E1380B" w:rsidSect="00080D06">
      <w:footerReference w:type="default" r:id="rId3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0D06" w:rsidRDefault="00000000">
    <w:pPr>
      <w:pStyle w:val="Footer"/>
      <w:jc w:val="center"/>
    </w:pPr>
  </w:p>
  <w:p w:rsidR="00080D06" w:rsidRDefault="00000000" w:rsidP="00080D06">
    <w:pPr>
      <w:pStyle w:val="Footer"/>
      <w:tabs>
        <w:tab w:val="clear" w:pos="4513"/>
        <w:tab w:val="clear" w:pos="9026"/>
        <w:tab w:val="left" w:pos="553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FA" w:rsidRPr="004F12D3" w:rsidRDefault="00000000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3B"/>
    <w:rsid w:val="0043186E"/>
    <w:rsid w:val="00497AC8"/>
    <w:rsid w:val="007B0D26"/>
    <w:rsid w:val="007E353B"/>
    <w:rsid w:val="00C237EF"/>
    <w:rsid w:val="00C76836"/>
    <w:rsid w:val="00E1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81EFF-3EF8-4E0C-96D7-87E47E3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53B"/>
  </w:style>
  <w:style w:type="paragraph" w:styleId="Heading1">
    <w:name w:val="heading 1"/>
    <w:basedOn w:val="ListParagraph"/>
    <w:next w:val="Normal"/>
    <w:link w:val="Heading1Char"/>
    <w:uiPriority w:val="9"/>
    <w:qFormat/>
    <w:rsid w:val="007E353B"/>
    <w:pPr>
      <w:spacing w:after="0" w:line="480" w:lineRule="auto"/>
      <w:ind w:left="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53B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E3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5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53B"/>
  </w:style>
  <w:style w:type="paragraph" w:styleId="Footer">
    <w:name w:val="footer"/>
    <w:basedOn w:val="Normal"/>
    <w:link w:val="FooterChar"/>
    <w:uiPriority w:val="99"/>
    <w:unhideWhenUsed/>
    <w:rsid w:val="007E3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53B"/>
  </w:style>
  <w:style w:type="table" w:styleId="TableGrid">
    <w:name w:val="Table Grid"/>
    <w:basedOn w:val="TableNormal"/>
    <w:uiPriority w:val="39"/>
    <w:rsid w:val="007E35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E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i.org/10.14710/mmh.48.4.2019.331-340" TargetMode="External"/><Relationship Id="rId18" Type="http://schemas.openxmlformats.org/officeDocument/2006/relationships/hyperlink" Target="https://doi.org/10.20885/tullab.vol4.iss1.art10" TargetMode="External"/><Relationship Id="rId26" Type="http://schemas.openxmlformats.org/officeDocument/2006/relationships/hyperlink" Target="https://disdukcapil.tegalkab.go.id/data/jumlah-pendud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prints.walisongo.ac.id/id/eprints/569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x.doi.org/10.33331/rechtsvinding.v1i2.101" TargetMode="External"/><Relationship Id="rId12" Type="http://schemas.openxmlformats.org/officeDocument/2006/relationships/hyperlink" Target="http://doi.org/10.14710/mmh.47.1.2018.71-80" TargetMode="External"/><Relationship Id="rId17" Type="http://schemas.openxmlformats.org/officeDocument/2006/relationships/hyperlink" Target="https://doi,org/10.30996/dih.v9i17.251" TargetMode="External"/><Relationship Id="rId25" Type="http://schemas.openxmlformats.org/officeDocument/2006/relationships/hyperlink" Target="https://bappeda.tegalkab.go.id/?page_id=1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pository.unja.ac.id/id/eprints/17562" TargetMode="External"/><Relationship Id="rId20" Type="http://schemas.openxmlformats.org/officeDocument/2006/relationships/hyperlink" Target="https://repository.metrouniv.ac.id/id/eprint" TargetMode="External"/><Relationship Id="rId29" Type="http://schemas.openxmlformats.org/officeDocument/2006/relationships/hyperlink" Target="https://www.mail-archive.com/ekonomi-syariah@yahoogroups.com/msg02791.html%20pada%205%20Mei%20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22373/jm.v11i4.4665" TargetMode="External"/><Relationship Id="rId11" Type="http://schemas.openxmlformats.org/officeDocument/2006/relationships/hyperlink" Target="https://doi.org/10.53695/sintesa.v1i1.348" TargetMode="External"/><Relationship Id="rId24" Type="http://schemas.openxmlformats.org/officeDocument/2006/relationships/hyperlink" Target="https://tegalkota.bps.go.id/statictable/2022/09/07/523/proyeksi-penduduk-menurut-kelompok-umur-di-kota-tegal-jiwa-2021-2025.html" TargetMode="External"/><Relationship Id="rId32" Type="http://schemas.openxmlformats.org/officeDocument/2006/relationships/footer" Target="footer1.xml"/><Relationship Id="rId5" Type="http://schemas.openxmlformats.org/officeDocument/2006/relationships/hyperlink" Target="https://www.lib.bwi.go.id/books/paradigma-baru-wakaf-di-indonesia/" TargetMode="External"/><Relationship Id="rId15" Type="http://schemas.openxmlformats.org/officeDocument/2006/relationships/hyperlink" Target="http://dx.doi.org/10.33096/al-tafaqquh.v1i2.64" TargetMode="External"/><Relationship Id="rId23" Type="http://schemas.openxmlformats.org/officeDocument/2006/relationships/hyperlink" Target="http://eprints.umm.ac.id/id/eprints/55585" TargetMode="External"/><Relationship Id="rId28" Type="http://schemas.openxmlformats.org/officeDocument/2006/relationships/hyperlink" Target="https://tegalkota.go.id/v2/index.php?option=com_content&amp;view=article&amp;id=4&amp;ltemid=177&amp;lang=en" TargetMode="External"/><Relationship Id="rId10" Type="http://schemas.openxmlformats.org/officeDocument/2006/relationships/hyperlink" Target="https://doi.org/10.33367/legitima.v4i2.2266" TargetMode="External"/><Relationship Id="rId19" Type="http://schemas.openxmlformats.org/officeDocument/2006/relationships/hyperlink" Target="http://repository.uinjkt.ac.id/dspace/handle/123456789/21710" TargetMode="External"/><Relationship Id="rId31" Type="http://schemas.openxmlformats.org/officeDocument/2006/relationships/header" Target="header1.xml"/><Relationship Id="rId4" Type="http://schemas.openxmlformats.org/officeDocument/2006/relationships/hyperlink" Target="https://www.bwi.go.id/8706/2023/04/16/indeks-wakaf-nasional-2022/" TargetMode="External"/><Relationship Id="rId9" Type="http://schemas.openxmlformats.org/officeDocument/2006/relationships/hyperlink" Target="http://dx.doi.org/10.56444/hdm.v5i2.378" TargetMode="External"/><Relationship Id="rId14" Type="http://schemas.openxmlformats.org/officeDocument/2006/relationships/hyperlink" Target="http://dx.doi.org/10.25216/jhp.3.2.2014.117-126" TargetMode="External"/><Relationship Id="rId22" Type="http://schemas.openxmlformats.org/officeDocument/2006/relationships/hyperlink" Target="https://repository.uir.ac.id/id/eprint/15440" TargetMode="External"/><Relationship Id="rId27" Type="http://schemas.openxmlformats.org/officeDocument/2006/relationships/hyperlink" Target="https://www.djkn.kemenkeu.go.id/knknl-manado/baca-artikel/13628/Arbitrase-Dan-Alternatif-Penyelesaian-Sengketa" TargetMode="External"/><Relationship Id="rId30" Type="http://schemas.openxmlformats.org/officeDocument/2006/relationships/hyperlink" Target="https://www.hukumonline.com/berita/a/4-syarat-sah-perjanjian-di-mata-hukum-lt6273669575348" TargetMode="External"/><Relationship Id="rId8" Type="http://schemas.openxmlformats.org/officeDocument/2006/relationships/hyperlink" Target="https://doi.org/10.33474/hukeno.v4i1.6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Lamzi Kaidar</dc:creator>
  <cp:keywords/>
  <dc:description/>
  <cp:lastModifiedBy>Lamzi Kaidar</cp:lastModifiedBy>
  <cp:revision>1</cp:revision>
  <dcterms:created xsi:type="dcterms:W3CDTF">2023-08-17T08:55:00Z</dcterms:created>
  <dcterms:modified xsi:type="dcterms:W3CDTF">2023-08-17T09:01:00Z</dcterms:modified>
</cp:coreProperties>
</file>