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C4" w:rsidRPr="00933F56" w:rsidRDefault="00282CC4" w:rsidP="00282CC4">
      <w:pPr>
        <w:pStyle w:val="Heading1"/>
        <w:rPr>
          <w:rFonts w:cs="Times New Roman"/>
          <w:szCs w:val="24"/>
        </w:rPr>
      </w:pPr>
      <w:bookmarkStart w:id="0" w:name="_Toc158280110"/>
      <w:bookmarkStart w:id="1" w:name="_Toc159533900"/>
      <w:bookmarkStart w:id="2" w:name="_Toc159533976"/>
      <w:r w:rsidRPr="00933F56">
        <w:rPr>
          <w:rFonts w:cs="Times New Roman"/>
          <w:szCs w:val="24"/>
        </w:rPr>
        <w:t>DAFTAR PUSTAKA</w:t>
      </w:r>
      <w:bookmarkEnd w:id="0"/>
      <w:bookmarkEnd w:id="1"/>
      <w:bookmarkEnd w:id="2"/>
    </w:p>
    <w:p w:rsidR="00282CC4" w:rsidRPr="00933F56" w:rsidRDefault="00282CC4" w:rsidP="00282CC4">
      <w:pPr>
        <w:rPr>
          <w:rFonts w:cs="Times New Roman"/>
          <w:b/>
          <w:szCs w:val="24"/>
        </w:rPr>
      </w:pPr>
    </w:p>
    <w:p w:rsidR="00282CC4" w:rsidRPr="00933F56" w:rsidRDefault="00282CC4" w:rsidP="00282CC4">
      <w:pPr>
        <w:rPr>
          <w:rFonts w:cs="Times New Roman"/>
          <w:b/>
          <w:szCs w:val="24"/>
        </w:rPr>
      </w:pPr>
      <w:r w:rsidRPr="00933F56">
        <w:rPr>
          <w:rFonts w:cs="Times New Roman"/>
          <w:b/>
          <w:szCs w:val="24"/>
        </w:rPr>
        <w:t>BUKU :</w:t>
      </w:r>
    </w:p>
    <w:p w:rsidR="00282CC4" w:rsidRPr="00933F56" w:rsidRDefault="00282CC4" w:rsidP="00282CC4">
      <w:pPr>
        <w:ind w:left="720" w:hanging="720"/>
        <w:rPr>
          <w:rFonts w:cs="Times New Roman"/>
          <w:szCs w:val="24"/>
        </w:rPr>
      </w:pPr>
      <w:r w:rsidRPr="00933F56">
        <w:rPr>
          <w:rFonts w:cs="Times New Roman"/>
          <w:noProof/>
          <w:szCs w:val="24"/>
        </w:rPr>
        <w:t xml:space="preserve">Hartono, J. </w:t>
      </w:r>
      <w:r w:rsidRPr="00933F56">
        <w:rPr>
          <w:rFonts w:cs="Times New Roman"/>
          <w:i/>
          <w:iCs/>
          <w:noProof/>
          <w:szCs w:val="24"/>
        </w:rPr>
        <w:t>Portofolio dan Analisis Investasi.</w:t>
      </w:r>
      <w:r w:rsidRPr="00933F56">
        <w:rPr>
          <w:rFonts w:cs="Times New Roman"/>
          <w:noProof/>
          <w:szCs w:val="24"/>
        </w:rPr>
        <w:t xml:space="preserve"> Yogyakarta: Andi. 2022.</w:t>
      </w:r>
    </w:p>
    <w:p w:rsidR="00282CC4" w:rsidRPr="00933F56" w:rsidRDefault="00282CC4" w:rsidP="00282CC4">
      <w:pPr>
        <w:ind w:left="720" w:hanging="720"/>
        <w:rPr>
          <w:rFonts w:cs="Times New Roman"/>
          <w:szCs w:val="24"/>
        </w:rPr>
      </w:pPr>
      <w:r w:rsidRPr="00933F56">
        <w:rPr>
          <w:rFonts w:cs="Times New Roman"/>
          <w:szCs w:val="24"/>
        </w:rPr>
        <w:t xml:space="preserve">Rahmah, M. </w:t>
      </w:r>
      <w:r w:rsidRPr="00933F56">
        <w:rPr>
          <w:rFonts w:cs="Times New Roman"/>
          <w:i/>
          <w:szCs w:val="24"/>
        </w:rPr>
        <w:t>Hukum Investasi</w:t>
      </w:r>
      <w:r w:rsidRPr="00933F56">
        <w:rPr>
          <w:rFonts w:cs="Times New Roman"/>
          <w:szCs w:val="24"/>
        </w:rPr>
        <w:t>. Jakarta Timur: Kencana. 2020.</w:t>
      </w:r>
    </w:p>
    <w:p w:rsidR="00282CC4" w:rsidRPr="00933F56" w:rsidRDefault="00282CC4" w:rsidP="00282CC4">
      <w:pPr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szCs w:val="24"/>
        </w:rPr>
        <w:t xml:space="preserve">Tandelin, E. </w:t>
      </w:r>
      <w:r w:rsidRPr="00933F56">
        <w:rPr>
          <w:rFonts w:cs="Times New Roman"/>
          <w:i/>
          <w:iCs/>
          <w:noProof/>
          <w:szCs w:val="24"/>
        </w:rPr>
        <w:t>Pasar Modal : Manajemen Portofolio &amp; Investasi.</w:t>
      </w:r>
      <w:r w:rsidRPr="00933F56">
        <w:rPr>
          <w:rFonts w:cs="Times New Roman"/>
          <w:noProof/>
          <w:szCs w:val="24"/>
        </w:rPr>
        <w:t xml:space="preserve"> Yogyakarta: Kanisius. 2017.</w:t>
      </w:r>
    </w:p>
    <w:p w:rsidR="00282CC4" w:rsidRPr="00933F56" w:rsidRDefault="00282CC4" w:rsidP="00282CC4">
      <w:pPr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Harjono, D. K. </w:t>
      </w:r>
      <w:r w:rsidRPr="00933F56">
        <w:rPr>
          <w:rFonts w:cs="Times New Roman"/>
          <w:i/>
          <w:iCs/>
          <w:noProof/>
          <w:szCs w:val="24"/>
        </w:rPr>
        <w:t>Hukum Penanaman Modal.</w:t>
      </w:r>
      <w:r w:rsidRPr="00933F56">
        <w:rPr>
          <w:rFonts w:cs="Times New Roman"/>
          <w:noProof/>
          <w:szCs w:val="24"/>
        </w:rPr>
        <w:t xml:space="preserve"> Jakarta: PT. Grafindo Persada. 2012.</w:t>
      </w:r>
    </w:p>
    <w:p w:rsidR="00282CC4" w:rsidRPr="00933F56" w:rsidRDefault="00282CC4" w:rsidP="00282CC4">
      <w:pPr>
        <w:ind w:left="720" w:hanging="720"/>
        <w:rPr>
          <w:rFonts w:cs="Times New Roman"/>
          <w:i/>
          <w:szCs w:val="24"/>
        </w:rPr>
      </w:pPr>
      <w:r w:rsidRPr="00933F56">
        <w:rPr>
          <w:rFonts w:cs="Times New Roman"/>
          <w:noProof/>
          <w:szCs w:val="24"/>
        </w:rPr>
        <w:t xml:space="preserve">Lubis, A. F. </w:t>
      </w:r>
      <w:r w:rsidRPr="00933F56">
        <w:rPr>
          <w:rFonts w:cs="Times New Roman"/>
          <w:i/>
          <w:iCs/>
          <w:noProof/>
          <w:szCs w:val="24"/>
        </w:rPr>
        <w:t>Hukum Persaingan Usaha.</w:t>
      </w:r>
      <w:r w:rsidRPr="00933F56">
        <w:rPr>
          <w:rFonts w:cs="Times New Roman"/>
          <w:noProof/>
          <w:szCs w:val="24"/>
        </w:rPr>
        <w:t xml:space="preserve"> Jakarta Pusat: Komisi Pengawas Persaingan Usaha. 2017.</w:t>
      </w:r>
    </w:p>
    <w:p w:rsidR="00282CC4" w:rsidRPr="00933F56" w:rsidRDefault="00282CC4" w:rsidP="00282CC4">
      <w:pPr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Djulaeka, D. R. </w:t>
      </w:r>
      <w:r w:rsidRPr="00933F56">
        <w:rPr>
          <w:rFonts w:cs="Times New Roman"/>
          <w:i/>
          <w:iCs/>
          <w:noProof/>
          <w:szCs w:val="24"/>
        </w:rPr>
        <w:t>Buku Ajar Metode Penelitian Hukum.</w:t>
      </w:r>
      <w:r w:rsidRPr="00933F56">
        <w:rPr>
          <w:rFonts w:cs="Times New Roman"/>
          <w:noProof/>
          <w:szCs w:val="24"/>
        </w:rPr>
        <w:t xml:space="preserve"> Surabaya: Scipindo Media Pustaka. 2019.</w:t>
      </w:r>
    </w:p>
    <w:p w:rsidR="00282CC4" w:rsidRPr="00933F56" w:rsidRDefault="00282CC4" w:rsidP="00282CC4">
      <w:pPr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Hikmawati, F. </w:t>
      </w:r>
      <w:r w:rsidRPr="00933F56">
        <w:rPr>
          <w:rFonts w:cs="Times New Roman"/>
          <w:i/>
          <w:iCs/>
          <w:noProof/>
          <w:szCs w:val="24"/>
        </w:rPr>
        <w:t>Metodologi Penelitian.</w:t>
      </w:r>
      <w:r w:rsidRPr="00933F56">
        <w:rPr>
          <w:rFonts w:cs="Times New Roman"/>
          <w:noProof/>
          <w:szCs w:val="24"/>
        </w:rPr>
        <w:t xml:space="preserve"> Depok: PT. RajaGrafindo Persada. 2020.</w:t>
      </w:r>
    </w:p>
    <w:p w:rsidR="00282CC4" w:rsidRPr="00933F56" w:rsidRDefault="00282CC4" w:rsidP="00282CC4">
      <w:pPr>
        <w:pStyle w:val="Bibliography"/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Sugiyono. </w:t>
      </w:r>
      <w:r w:rsidRPr="00933F56">
        <w:rPr>
          <w:rFonts w:cs="Times New Roman"/>
          <w:i/>
          <w:iCs/>
          <w:noProof/>
          <w:szCs w:val="24"/>
        </w:rPr>
        <w:t>Metode Penelitian Pendidikan.</w:t>
      </w:r>
      <w:r w:rsidRPr="00933F56">
        <w:rPr>
          <w:rFonts w:cs="Times New Roman"/>
          <w:noProof/>
          <w:szCs w:val="24"/>
        </w:rPr>
        <w:t xml:space="preserve"> Bandung: Alfabeta. 2012.</w:t>
      </w:r>
    </w:p>
    <w:p w:rsidR="00282CC4" w:rsidRPr="00933F56" w:rsidRDefault="00282CC4" w:rsidP="00282CC4">
      <w:pPr>
        <w:rPr>
          <w:rFonts w:cs="Times New Roman"/>
          <w:szCs w:val="24"/>
        </w:rPr>
      </w:pPr>
    </w:p>
    <w:p w:rsidR="00282CC4" w:rsidRPr="00933F56" w:rsidRDefault="00282CC4" w:rsidP="00282CC4">
      <w:pPr>
        <w:rPr>
          <w:rFonts w:cs="Times New Roman"/>
          <w:b/>
          <w:szCs w:val="24"/>
        </w:rPr>
      </w:pPr>
      <w:r w:rsidRPr="00933F56">
        <w:rPr>
          <w:rFonts w:cs="Times New Roman"/>
          <w:b/>
          <w:szCs w:val="24"/>
        </w:rPr>
        <w:t>Jurnal</w:t>
      </w:r>
    </w:p>
    <w:p w:rsidR="00282CC4" w:rsidRPr="00933F56" w:rsidRDefault="00282CC4" w:rsidP="00282CC4">
      <w:pPr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Fauzi, A.. “Pengawasan Praktek Monopoli Sebagai Bentuk Persaingan Usaha Tidak Sehat”. </w:t>
      </w:r>
      <w:r w:rsidRPr="00933F56">
        <w:rPr>
          <w:rFonts w:cs="Times New Roman"/>
          <w:i/>
          <w:iCs/>
          <w:noProof/>
          <w:szCs w:val="24"/>
        </w:rPr>
        <w:t>Jurnal Ilmu Hukum</w:t>
      </w:r>
      <w:r w:rsidRPr="00933F56">
        <w:rPr>
          <w:rFonts w:cs="Times New Roman"/>
          <w:iCs/>
          <w:noProof/>
          <w:szCs w:val="24"/>
        </w:rPr>
        <w:t xml:space="preserve">. ISSN : </w:t>
      </w:r>
      <w:r w:rsidRPr="00933F56">
        <w:rPr>
          <w:rFonts w:cs="Times New Roman"/>
          <w:szCs w:val="24"/>
        </w:rPr>
        <w:t>2477-653X.</w:t>
      </w:r>
      <w:r w:rsidRPr="00933F56">
        <w:rPr>
          <w:rFonts w:cs="Times New Roman"/>
          <w:i/>
          <w:iCs/>
          <w:noProof/>
          <w:szCs w:val="24"/>
        </w:rPr>
        <w:t xml:space="preserve"> 6 </w:t>
      </w:r>
      <w:r w:rsidRPr="00933F56">
        <w:rPr>
          <w:rFonts w:cs="Times New Roman"/>
          <w:noProof/>
          <w:szCs w:val="24"/>
        </w:rPr>
        <w:t xml:space="preserve">(2). Universitas Muhammadiyah Sumatera Utara. 396-405. 2021. </w:t>
      </w:r>
      <w:r w:rsidRPr="00933F56">
        <w:rPr>
          <w:rFonts w:cs="Times New Roman"/>
          <w:szCs w:val="24"/>
        </w:rPr>
        <w:t>https://jurnal.umsu.ac.id/index.php/delegalata/article/view/7837 - :~:text=Pengawasan%20Praktek%20Monopoli%20Sebagai%20Bentuk%20Persaingan%20Usaha%20Tidak,aset%20kekayaan%20ditangan%20individu%20adalah%20sesuatu%20yang%20diperbolehkan.</w:t>
      </w:r>
    </w:p>
    <w:p w:rsidR="00282CC4" w:rsidRPr="00933F56" w:rsidRDefault="00282CC4" w:rsidP="00282CC4">
      <w:pPr>
        <w:pStyle w:val="Bibliography"/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Nugroho, A. “Urgensi Pengaturan Private Enforcement Dalam Konteks Persaingan Usaha Di Indonesia”. </w:t>
      </w:r>
      <w:r w:rsidRPr="00933F56">
        <w:rPr>
          <w:rFonts w:cs="Times New Roman"/>
          <w:i/>
          <w:iCs/>
          <w:noProof/>
          <w:szCs w:val="24"/>
        </w:rPr>
        <w:t>Dharmasisya</w:t>
      </w:r>
      <w:r w:rsidRPr="00933F56">
        <w:rPr>
          <w:rFonts w:cs="Times New Roman"/>
          <w:iCs/>
          <w:noProof/>
          <w:szCs w:val="24"/>
        </w:rPr>
        <w:t>. ISSN : 2808-9456.</w:t>
      </w:r>
      <w:r w:rsidRPr="00933F56">
        <w:rPr>
          <w:rFonts w:cs="Times New Roman"/>
          <w:i/>
          <w:iCs/>
          <w:noProof/>
          <w:szCs w:val="24"/>
        </w:rPr>
        <w:t xml:space="preserve"> 1 </w:t>
      </w:r>
      <w:r w:rsidRPr="00933F56">
        <w:rPr>
          <w:rFonts w:cs="Times New Roman"/>
          <w:noProof/>
          <w:szCs w:val="24"/>
        </w:rPr>
        <w:t xml:space="preserve">(3). Universitas Indonesia. 1143-1152. 2021. </w:t>
      </w:r>
      <w:r w:rsidRPr="00933F56">
        <w:rPr>
          <w:rFonts w:cs="Times New Roman"/>
          <w:szCs w:val="24"/>
        </w:rPr>
        <w:t>https://scholarhub.ui.ac.id/dharmasisya/vol1/iss1/</w:t>
      </w:r>
    </w:p>
    <w:p w:rsidR="00282CC4" w:rsidRPr="00933F56" w:rsidRDefault="00282CC4" w:rsidP="00282CC4">
      <w:pPr>
        <w:pStyle w:val="Bibliography"/>
        <w:ind w:left="720" w:hanging="720"/>
        <w:rPr>
          <w:rFonts w:cs="Times New Roman"/>
          <w:noProof/>
          <w:szCs w:val="24"/>
        </w:rPr>
      </w:pPr>
      <w:r w:rsidRPr="00933F56">
        <w:rPr>
          <w:rFonts w:cs="Times New Roman"/>
          <w:noProof/>
          <w:szCs w:val="24"/>
        </w:rPr>
        <w:t xml:space="preserve">Wijaya, C. C., Hendrito, M., &amp; Aripratama, M. P. “Penegakan Hukum Persaingan Usaha Di Indonesia Melalui Harmonisasi Public Enforcement Dan Private Enforcement”. </w:t>
      </w:r>
      <w:r w:rsidRPr="00933F56">
        <w:rPr>
          <w:rFonts w:cs="Times New Roman"/>
          <w:i/>
          <w:iCs/>
          <w:noProof/>
          <w:szCs w:val="24"/>
        </w:rPr>
        <w:t>Law Review</w:t>
      </w:r>
      <w:r w:rsidRPr="00933F56">
        <w:rPr>
          <w:rFonts w:cs="Times New Roman"/>
          <w:iCs/>
          <w:noProof/>
          <w:szCs w:val="24"/>
        </w:rPr>
        <w:t>. ISSN : 1412-2561.</w:t>
      </w:r>
      <w:r w:rsidRPr="00933F56">
        <w:rPr>
          <w:rFonts w:cs="Times New Roman"/>
          <w:i/>
          <w:iCs/>
          <w:noProof/>
          <w:szCs w:val="24"/>
        </w:rPr>
        <w:t xml:space="preserve"> 20 </w:t>
      </w:r>
      <w:r w:rsidRPr="00933F56">
        <w:rPr>
          <w:rFonts w:cs="Times New Roman"/>
          <w:noProof/>
          <w:szCs w:val="24"/>
        </w:rPr>
        <w:t xml:space="preserve">(3). Universitas Pelita </w:t>
      </w:r>
      <w:r w:rsidRPr="00933F56">
        <w:rPr>
          <w:rFonts w:cs="Times New Roman"/>
          <w:noProof/>
          <w:szCs w:val="24"/>
        </w:rPr>
        <w:lastRenderedPageBreak/>
        <w:t xml:space="preserve">Harapan. 342-359. 2021. </w:t>
      </w:r>
      <w:r w:rsidRPr="00933F56">
        <w:rPr>
          <w:rFonts w:cs="Times New Roman"/>
          <w:szCs w:val="24"/>
        </w:rPr>
        <w:t>https://ojs.uph.edu/index.php/LR/article/view/2963</w:t>
      </w:r>
    </w:p>
    <w:p w:rsidR="00282CC4" w:rsidRPr="00413A65" w:rsidRDefault="00282CC4" w:rsidP="00282CC4">
      <w:pPr>
        <w:pStyle w:val="Bibliography"/>
        <w:ind w:left="720" w:hanging="720"/>
        <w:rPr>
          <w:rFonts w:cs="Times New Roman"/>
          <w:noProof/>
        </w:rPr>
      </w:pPr>
      <w:r w:rsidRPr="00933F56">
        <w:rPr>
          <w:rFonts w:cs="Times New Roman"/>
          <w:noProof/>
          <w:szCs w:val="24"/>
        </w:rPr>
        <w:t xml:space="preserve">Winata, A. S. “Perlindungan Investor Asing dalam Kegiatan Penanaman Modal Asing dan Implikasinya Terhadap Negara”. </w:t>
      </w:r>
      <w:r w:rsidRPr="00933F56">
        <w:rPr>
          <w:rFonts w:cs="Times New Roman"/>
          <w:i/>
          <w:iCs/>
          <w:noProof/>
          <w:szCs w:val="24"/>
        </w:rPr>
        <w:t>Jurnal Ilmu Hukum</w:t>
      </w:r>
      <w:r w:rsidRPr="00933F56">
        <w:rPr>
          <w:rFonts w:cs="Times New Roman"/>
          <w:iCs/>
          <w:noProof/>
          <w:szCs w:val="24"/>
        </w:rPr>
        <w:t>.</w:t>
      </w:r>
      <w:r w:rsidRPr="00933F56">
        <w:rPr>
          <w:rFonts w:cs="Times New Roman"/>
          <w:i/>
          <w:iCs/>
          <w:noProof/>
          <w:szCs w:val="24"/>
        </w:rPr>
        <w:t xml:space="preserve"> 2</w:t>
      </w:r>
      <w:r w:rsidRPr="00933F56">
        <w:rPr>
          <w:rFonts w:cs="Times New Roman"/>
          <w:iCs/>
          <w:noProof/>
          <w:szCs w:val="24"/>
        </w:rPr>
        <w:t xml:space="preserve"> </w:t>
      </w:r>
      <w:r w:rsidRPr="00933F56">
        <w:rPr>
          <w:rFonts w:cs="Times New Roman"/>
          <w:noProof/>
          <w:szCs w:val="24"/>
        </w:rPr>
        <w:t xml:space="preserve">(2). Sekolah Tinggi Hukum Bandung. 127-136. 2018. </w:t>
      </w:r>
      <w:r w:rsidRPr="00933F56">
        <w:rPr>
          <w:rFonts w:cs="Times New Roman"/>
          <w:szCs w:val="24"/>
        </w:rPr>
        <w:t>https://www.researchgate.net/publication/330415381_Perlindungan_Investor_Asing_D</w:t>
      </w:r>
      <w:r w:rsidRPr="00413A65">
        <w:rPr>
          <w:rFonts w:cs="Times New Roman"/>
        </w:rPr>
        <w:t>alam_Kegiatan_Penanaman_Modal_Asing_Dan_Implikasinya_Terhadap_Negara</w:t>
      </w:r>
    </w:p>
    <w:p w:rsidR="00282CC4" w:rsidRPr="00413A65" w:rsidRDefault="00282CC4" w:rsidP="00282CC4">
      <w:pPr>
        <w:pStyle w:val="Bibliography"/>
        <w:ind w:left="720" w:hanging="720"/>
        <w:rPr>
          <w:rFonts w:cs="Times New Roman"/>
          <w:noProof/>
        </w:rPr>
      </w:pPr>
      <w:r w:rsidRPr="00413A65">
        <w:rPr>
          <w:rFonts w:cs="Times New Roman"/>
          <w:noProof/>
        </w:rPr>
        <w:t>Putra, K. A. “</w:t>
      </w:r>
      <w:r w:rsidRPr="00413A65">
        <w:rPr>
          <w:rFonts w:cs="Times New Roman"/>
          <w:iCs/>
          <w:noProof/>
        </w:rPr>
        <w:t>Kepastian Hukum Dalam Kegiatan Investasi Di Indonesia Ditinjau Dari Undang-Undang Nomor 25 Tahun 2007”</w:t>
      </w:r>
      <w:r w:rsidRPr="00413A65">
        <w:rPr>
          <w:rFonts w:cs="Times New Roman"/>
          <w:i/>
          <w:iCs/>
          <w:noProof/>
        </w:rPr>
        <w:t>.</w:t>
      </w:r>
      <w:r w:rsidRPr="00413A65">
        <w:rPr>
          <w:rFonts w:cs="Times New Roman"/>
          <w:iCs/>
          <w:noProof/>
        </w:rPr>
        <w:t xml:space="preserve"> </w:t>
      </w:r>
      <w:r w:rsidRPr="00413A65">
        <w:rPr>
          <w:rFonts w:cs="Times New Roman"/>
          <w:b/>
          <w:iCs/>
          <w:noProof/>
        </w:rPr>
        <w:t>Skripsi Hukum</w:t>
      </w:r>
      <w:r w:rsidRPr="00413A65">
        <w:rPr>
          <w:rFonts w:cs="Times New Roman"/>
          <w:iCs/>
          <w:noProof/>
        </w:rPr>
        <w:t>. Fakultas Hukum.</w:t>
      </w:r>
      <w:r w:rsidRPr="00413A65">
        <w:rPr>
          <w:rFonts w:cs="Times New Roman"/>
          <w:noProof/>
        </w:rPr>
        <w:t xml:space="preserve"> Universitas Mahasaraswati Denpasar. 2023. </w:t>
      </w:r>
      <w:r w:rsidRPr="00413A65">
        <w:rPr>
          <w:rFonts w:cs="Times New Roman"/>
        </w:rPr>
        <w:t>https://eprints.unmas.ac.id/id/eprint/3239/3/1643.FH.pdf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  <w:noProof/>
        </w:rPr>
        <w:t>Riski, M. A. “</w:t>
      </w:r>
      <w:r w:rsidRPr="00413A65">
        <w:rPr>
          <w:rFonts w:cs="Times New Roman"/>
          <w:iCs/>
          <w:noProof/>
        </w:rPr>
        <w:t xml:space="preserve">Kepastian Hukum Investasi Bagi Perusahaan Penanaman Modal Asing Di Indonesia”. </w:t>
      </w:r>
      <w:r w:rsidRPr="00413A65">
        <w:rPr>
          <w:rFonts w:cs="Times New Roman"/>
          <w:b/>
          <w:iCs/>
          <w:noProof/>
        </w:rPr>
        <w:t>Skripsi Hukum</w:t>
      </w:r>
      <w:r w:rsidRPr="00413A65">
        <w:rPr>
          <w:rFonts w:cs="Times New Roman"/>
          <w:iCs/>
          <w:noProof/>
        </w:rPr>
        <w:t>. Fakultas Hukum.</w:t>
      </w:r>
      <w:r w:rsidRPr="00413A65">
        <w:rPr>
          <w:rFonts w:cs="Times New Roman"/>
          <w:noProof/>
        </w:rPr>
        <w:t xml:space="preserve"> Universitas Jember. 2018. </w:t>
      </w:r>
      <w:r w:rsidRPr="00413A65">
        <w:rPr>
          <w:rFonts w:cs="Times New Roman"/>
        </w:rPr>
        <w:t>https://repository.unej.ac.id/handle/123456789/92611</w:t>
      </w:r>
    </w:p>
    <w:p w:rsidR="00282CC4" w:rsidRPr="00413A65" w:rsidRDefault="00282CC4" w:rsidP="00282CC4">
      <w:pPr>
        <w:pStyle w:val="Bibliography"/>
        <w:ind w:left="720" w:hanging="720"/>
        <w:rPr>
          <w:rFonts w:cs="Times New Roman"/>
          <w:noProof/>
        </w:rPr>
      </w:pPr>
      <w:r w:rsidRPr="00413A65">
        <w:rPr>
          <w:rFonts w:cs="Times New Roman"/>
          <w:noProof/>
        </w:rPr>
        <w:t>Sekarini, A. W. “</w:t>
      </w:r>
      <w:r w:rsidRPr="00413A65">
        <w:rPr>
          <w:rFonts w:cs="Times New Roman"/>
          <w:iCs/>
          <w:noProof/>
        </w:rPr>
        <w:t>Keterlambatan Pemberitahuan Pengambilalihan Saham PT. PRIMA TOP BOGA oleh PT. NIPPON INDOSARI CORP Tbk Dalam Perspektif Persaingan Usaha (Studi Putusan KPPU No.07/KPPU-M/2018)”.</w:t>
      </w:r>
      <w:r w:rsidRPr="00413A65">
        <w:rPr>
          <w:rFonts w:cs="Times New Roman"/>
          <w:noProof/>
        </w:rPr>
        <w:t xml:space="preserve"> </w:t>
      </w:r>
      <w:r w:rsidRPr="00413A65">
        <w:rPr>
          <w:rFonts w:cs="Times New Roman"/>
          <w:b/>
          <w:noProof/>
        </w:rPr>
        <w:t xml:space="preserve">Skripsi </w:t>
      </w:r>
      <w:r w:rsidRPr="00413A65">
        <w:rPr>
          <w:rFonts w:cs="Times New Roman"/>
          <w:noProof/>
        </w:rPr>
        <w:t xml:space="preserve">Hukum. Fakultas Hukum. Universitas Jember. 2020. </w:t>
      </w:r>
      <w:r w:rsidRPr="00413A65">
        <w:rPr>
          <w:rFonts w:cs="Times New Roman"/>
        </w:rPr>
        <w:t>https://repository.unej.ac.id/handle/123456789/101159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 xml:space="preserve">Akmalia, R. A., Prakarsa, S. U. W., &amp; Zulhuda, S. “Anti-Dumping Committee’s Strategy to Confront Dumping Practices: Indonesian Law and International Law Perspective”. </w:t>
      </w:r>
      <w:r w:rsidRPr="00413A65">
        <w:rPr>
          <w:rFonts w:cs="Times New Roman"/>
          <w:i/>
        </w:rPr>
        <w:t>Jurnal of Private and Commercial Law</w:t>
      </w:r>
      <w:r w:rsidRPr="00413A65">
        <w:rPr>
          <w:rFonts w:cs="Times New Roman"/>
        </w:rPr>
        <w:t xml:space="preserve">. ISSN : 2599-0314. </w:t>
      </w:r>
      <w:r w:rsidRPr="00413A65">
        <w:rPr>
          <w:rFonts w:cs="Times New Roman"/>
          <w:i/>
        </w:rPr>
        <w:t>7</w:t>
      </w:r>
      <w:r w:rsidRPr="00413A65">
        <w:rPr>
          <w:rFonts w:cs="Times New Roman"/>
        </w:rPr>
        <w:t xml:space="preserve"> (1). Universitas Muhammadiyah Surabaya &amp; International Islamic University Malaysia. 147-166. 2023. https://journal.unnes.ac.id/nju/index.php/jpcl/index</w:t>
      </w:r>
    </w:p>
    <w:p w:rsidR="00282CC4" w:rsidRPr="00413A65" w:rsidRDefault="00282CC4" w:rsidP="00282CC4">
      <w:pPr>
        <w:ind w:left="720" w:hanging="720"/>
        <w:rPr>
          <w:rFonts w:cs="Times New Roman"/>
          <w:noProof/>
        </w:rPr>
      </w:pPr>
      <w:r w:rsidRPr="00413A65">
        <w:rPr>
          <w:rFonts w:cs="Times New Roman"/>
          <w:noProof/>
        </w:rPr>
        <w:t>Anggreani, N. “</w:t>
      </w:r>
      <w:r w:rsidRPr="00413A65">
        <w:rPr>
          <w:rFonts w:cs="Times New Roman"/>
        </w:rPr>
        <w:t xml:space="preserve">Dumping Dalam Perspektif Hukum Dagang Internasional Dan Hukum Islam”. </w:t>
      </w:r>
      <w:r w:rsidRPr="00413A65">
        <w:rPr>
          <w:rFonts w:cs="Times New Roman"/>
          <w:i/>
        </w:rPr>
        <w:t>Jurnal Pemikiran Hukum Islam</w:t>
      </w:r>
      <w:r w:rsidRPr="00413A65">
        <w:rPr>
          <w:rFonts w:cs="Times New Roman"/>
        </w:rPr>
        <w:t xml:space="preserve">. ISSN : 1829-9067. </w:t>
      </w:r>
      <w:r w:rsidRPr="00413A65">
        <w:rPr>
          <w:rFonts w:cs="Times New Roman"/>
          <w:i/>
        </w:rPr>
        <w:t>14</w:t>
      </w:r>
      <w:r w:rsidRPr="00413A65">
        <w:rPr>
          <w:rFonts w:cs="Times New Roman"/>
        </w:rPr>
        <w:t xml:space="preserve"> (2). IAIN Samarinda. 159-168. 2015. https://media.neliti.com/media/publications/57775-ID-dumping-dalam-perspektif-hukum-dagang-in.pdf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Radhica, D. D., &amp; Wibisana, R. A. A. “Proteksionisme Nikel Indonesia dalam Perdagangan Dunia”.</w:t>
      </w:r>
      <w:r w:rsidRPr="00413A65">
        <w:rPr>
          <w:rFonts w:cs="Times New Roman"/>
          <w:i/>
        </w:rPr>
        <w:t xml:space="preserve"> Journal of Trade Development and Studies</w:t>
      </w:r>
      <w:r w:rsidRPr="00413A65">
        <w:rPr>
          <w:rFonts w:cs="Times New Roman"/>
        </w:rPr>
        <w:t xml:space="preserve">. ISSN : 2548-3137. </w:t>
      </w:r>
      <w:r w:rsidRPr="00413A65">
        <w:rPr>
          <w:rFonts w:cs="Times New Roman"/>
          <w:i/>
        </w:rPr>
        <w:t>7</w:t>
      </w:r>
      <w:r w:rsidRPr="00413A65">
        <w:rPr>
          <w:rFonts w:cs="Times New Roman"/>
        </w:rPr>
        <w:t xml:space="preserve"> (1). Universitas Muhammadiyah Yogyakarta. 74-84. 2023. https://jurnal.kemendag.go.id/JCN/article/view/821</w:t>
      </w:r>
    </w:p>
    <w:p w:rsidR="00282CC4" w:rsidRPr="00413A65" w:rsidRDefault="00282CC4" w:rsidP="00282CC4">
      <w:pPr>
        <w:ind w:left="720" w:hanging="720"/>
        <w:rPr>
          <w:rFonts w:cs="Times New Roman"/>
          <w:noProof/>
        </w:rPr>
      </w:pPr>
      <w:r w:rsidRPr="00413A65">
        <w:rPr>
          <w:rFonts w:cs="Times New Roman"/>
          <w:noProof/>
        </w:rPr>
        <w:lastRenderedPageBreak/>
        <w:t>Barizi, M. H., &amp; Triarda, R. “</w:t>
      </w:r>
      <w:r w:rsidRPr="00413A65">
        <w:rPr>
          <w:rFonts w:cs="Times New Roman"/>
        </w:rPr>
        <w:t xml:space="preserve">Rantai Pasokan Global Dan Nasionalisme Sumber Daya Alam: Kajian Terkait Hilirisasi Nikel Di Indonesia”. </w:t>
      </w:r>
      <w:r w:rsidRPr="00413A65">
        <w:rPr>
          <w:rFonts w:cs="Times New Roman"/>
          <w:i/>
        </w:rPr>
        <w:t>Indonesian Journals of International Relations</w:t>
      </w:r>
      <w:r w:rsidRPr="00413A65">
        <w:rPr>
          <w:rFonts w:cs="Times New Roman"/>
        </w:rPr>
        <w:t xml:space="preserve">. ISSN : 2657-165X. </w:t>
      </w:r>
      <w:r w:rsidRPr="00413A65">
        <w:rPr>
          <w:rFonts w:cs="Times New Roman"/>
          <w:i/>
        </w:rPr>
        <w:t>7</w:t>
      </w:r>
      <w:r w:rsidRPr="00413A65">
        <w:rPr>
          <w:rFonts w:cs="Times New Roman"/>
        </w:rPr>
        <w:t xml:space="preserve"> (2). Universitas Brawijaya. 312-338. 2023. https://journal.aihii.or.id/index.php/ijir/article/view/466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 xml:space="preserve">Rokiyah. Muslim, S., &amp; Amin, A. “Bisnis Retail Dalam Perspektif Hukum Islam Dan Undang-Undang Nomor 5 Tahun 1999 Tentang Anti Monopoli Dan Persaingan Usaha Tidak Sehat”. </w:t>
      </w:r>
      <w:r w:rsidRPr="00413A65">
        <w:rPr>
          <w:rFonts w:cs="Times New Roman"/>
          <w:i/>
        </w:rPr>
        <w:t>Seminar Nasional</w:t>
      </w:r>
      <w:r w:rsidRPr="00413A65">
        <w:rPr>
          <w:rFonts w:cs="Times New Roman"/>
        </w:rPr>
        <w:t xml:space="preserve"> </w:t>
      </w:r>
      <w:r w:rsidRPr="00413A65">
        <w:rPr>
          <w:rFonts w:cs="Times New Roman"/>
          <w:i/>
        </w:rPr>
        <w:t>Gabungan Bisnis &amp; Sosial Polinema</w:t>
      </w:r>
      <w:r w:rsidRPr="00413A65">
        <w:rPr>
          <w:rFonts w:cs="Times New Roman"/>
        </w:rPr>
        <w:t xml:space="preserve">. ISSN : 2808-1528. </w:t>
      </w:r>
      <w:r w:rsidRPr="00413A65">
        <w:rPr>
          <w:rFonts w:cs="Times New Roman"/>
          <w:i/>
        </w:rPr>
        <w:t>1</w:t>
      </w:r>
      <w:r w:rsidRPr="00413A65">
        <w:rPr>
          <w:rFonts w:cs="Times New Roman"/>
        </w:rPr>
        <w:t xml:space="preserve"> (1). UPT MKU Politeknik Negeri Malang. 111-118. 2019. https://prosiding.polinema.ac.id/index.php/sngbs/article/view/235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</w:p>
    <w:p w:rsidR="00282CC4" w:rsidRPr="00413A65" w:rsidRDefault="00282CC4" w:rsidP="00282CC4">
      <w:pPr>
        <w:ind w:left="720" w:hanging="720"/>
        <w:rPr>
          <w:rFonts w:cs="Times New Roman"/>
          <w:b/>
        </w:rPr>
      </w:pPr>
      <w:r w:rsidRPr="00413A65">
        <w:rPr>
          <w:rFonts w:cs="Times New Roman"/>
          <w:b/>
        </w:rPr>
        <w:t>Internet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Widyawati, N. Profil Perusahaan. 2023. Diakses pada 9 Desember 2023. https://pertamina.com/id/profil-perusahaan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Nakanishi, K. Company Profile Mitsubishi Corp. Diakses pada 9 Desember 2023. https://www.globaldata.com/company-profile/mitsubishi-corp/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Lorato, R. Company Profile MedcoEnergi. Diakses pada 9 Desember 2023. https://www.medcoenergi.com/en/page/view/244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Setiaputra, R. Corporate Partners Company Profile. Diakses pada 9 Desember 2023. https://www.garuda-indonesia.com/id/id/corporate-partners/company-profile/index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Lutfie, A. Company Profile PT. Batik Air Indonesia. Diakses pada 10 Desember 2023. https://www.dnb.com/business-directory/company-profiles.pt_batik_air_indonesia.20ef5e1fac187d827e06947b681fe2ee.html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Lemingkewas, R. Company Profile PT. Lion Mentari Airlines. Diakses pada 10 Desember 2023. https://www.dnb.com/business-directory/company-profiles.pt_lion_mentari.0240732393643ff97ef28f72a13b3199.html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Hasan, A. Companies PT Wings Abadi Airlines. Diakses pada 10 Desember 2023. https://www.signalhire.com/companies/pt-wings-abadi-airlines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</w:p>
    <w:p w:rsidR="00282CC4" w:rsidRPr="00413A65" w:rsidRDefault="00282CC4" w:rsidP="00282CC4">
      <w:pPr>
        <w:ind w:left="720" w:hanging="720"/>
        <w:rPr>
          <w:rFonts w:cs="Times New Roman"/>
          <w:b/>
        </w:rPr>
      </w:pPr>
      <w:r w:rsidRPr="00413A65">
        <w:rPr>
          <w:rFonts w:cs="Times New Roman"/>
          <w:b/>
        </w:rPr>
        <w:t>Peraturan Perundang-Undangan</w:t>
      </w:r>
    </w:p>
    <w:p w:rsidR="00282CC4" w:rsidRPr="00413A65" w:rsidRDefault="00282CC4" w:rsidP="00282CC4">
      <w:pPr>
        <w:spacing w:before="40" w:after="240" w:line="480" w:lineRule="auto"/>
        <w:ind w:left="720" w:hanging="720"/>
        <w:rPr>
          <w:rFonts w:cs="Times New Roman"/>
          <w:szCs w:val="24"/>
        </w:rPr>
      </w:pPr>
      <w:r w:rsidRPr="00413A65">
        <w:rPr>
          <w:rFonts w:cs="Times New Roman"/>
          <w:szCs w:val="24"/>
        </w:rPr>
        <w:lastRenderedPageBreak/>
        <w:t>Undang-Undang Nomor 25 Tahun 2007 tentang Penanaman Modal.</w:t>
      </w:r>
    </w:p>
    <w:p w:rsidR="00282CC4" w:rsidRPr="00413A65" w:rsidRDefault="00282CC4" w:rsidP="00282CC4">
      <w:pPr>
        <w:spacing w:before="40" w:after="240" w:line="480" w:lineRule="auto"/>
        <w:ind w:left="720" w:hanging="720"/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>Undang-Undang Nomor 6 Tahun 2023 tentang Cipta Kerja.</w:t>
      </w:r>
    </w:p>
    <w:p w:rsidR="00282CC4" w:rsidRPr="00413A65" w:rsidRDefault="00282CC4" w:rsidP="00282CC4">
      <w:pPr>
        <w:spacing w:before="40" w:after="240" w:line="480" w:lineRule="auto"/>
        <w:ind w:left="720" w:hanging="720"/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>Undang-Undang Nomor 5 Tahun 1999 tentang Larangan Praktek Monopoli dan Persaingan Usaha Tidak Sehat.</w:t>
      </w:r>
    </w:p>
    <w:p w:rsidR="00282CC4" w:rsidRPr="00413A65" w:rsidRDefault="00282CC4" w:rsidP="00282CC4">
      <w:pPr>
        <w:ind w:left="720" w:hanging="720"/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>Peraturan Pemerintah Nomor 44 Tahun 2021 tentang Pelaksanaan Larangan Praktek Monopoli dan Persaingan Usaha Tidak Sehat.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Peraturan Pemerintah Nomor 34 Tahun 2021 tentang Tindakan Antidumping, Tindakan Imbalan, Dan Tindakan Pengamanan Perdagangan.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Peraturan Menteri Energi dan Sumber Daya Mineral (Permen ESDM) Nomor 11 Tahun 2019 tentang Pengusahaan Pertambangan Mineral Dan Batubara.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Peraturan Presiden (Perpres) Nomor 55 Tahun 2019 tentang Percepatan Program Kendaraan Bermotor Listrik Berbasis Baterai (</w:t>
      </w:r>
      <w:r w:rsidRPr="00413A65">
        <w:rPr>
          <w:rFonts w:cs="Times New Roman"/>
          <w:i/>
        </w:rPr>
        <w:t>Battery Electric Vehicle</w:t>
      </w:r>
      <w:r w:rsidRPr="00413A65">
        <w:rPr>
          <w:rFonts w:cs="Times New Roman"/>
        </w:rPr>
        <w:t>) untuk Transportasi Jalan.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  <w:r w:rsidRPr="00413A65">
        <w:rPr>
          <w:rFonts w:cs="Times New Roman"/>
        </w:rPr>
        <w:t>Peraturan Menteri Keuangan (PMK) Nomor 130 Tahun 2020 tentang Pemberian Fasilitas Pengurangan Pajak Penghasilan Badan.</w:t>
      </w:r>
    </w:p>
    <w:p w:rsidR="00282CC4" w:rsidRPr="00413A65" w:rsidRDefault="00282CC4" w:rsidP="00282CC4">
      <w:pPr>
        <w:ind w:left="720" w:hanging="720"/>
        <w:rPr>
          <w:rFonts w:cs="Times New Roman"/>
        </w:rPr>
      </w:pPr>
    </w:p>
    <w:p w:rsidR="00282CC4" w:rsidRPr="00413A65" w:rsidRDefault="00282CC4" w:rsidP="00282CC4">
      <w:pPr>
        <w:ind w:left="720" w:hanging="720"/>
        <w:rPr>
          <w:rFonts w:cs="Times New Roman"/>
          <w:b/>
        </w:rPr>
      </w:pPr>
      <w:r w:rsidRPr="00413A65">
        <w:rPr>
          <w:rFonts w:cs="Times New Roman"/>
          <w:b/>
        </w:rPr>
        <w:t>Putusan Pengadilan</w:t>
      </w:r>
    </w:p>
    <w:p w:rsidR="00282CC4" w:rsidRPr="00413A65" w:rsidRDefault="00282CC4" w:rsidP="00282CC4">
      <w:pPr>
        <w:ind w:left="1440" w:hanging="1440"/>
        <w:rPr>
          <w:rFonts w:cs="Times New Roman"/>
        </w:rPr>
      </w:pPr>
      <w:r w:rsidRPr="00413A65">
        <w:rPr>
          <w:rFonts w:cs="Times New Roman"/>
        </w:rPr>
        <w:t>Putusan Gugatan, 34/PDT.G/KPPU/2011/PN.JKT.PST, 17 November 2011.</w:t>
      </w:r>
    </w:p>
    <w:p w:rsidR="00282CC4" w:rsidRPr="00413A65" w:rsidRDefault="00282CC4" w:rsidP="00282CC4">
      <w:pPr>
        <w:ind w:left="1440" w:hanging="1440"/>
        <w:rPr>
          <w:rFonts w:cs="Times New Roman"/>
        </w:rPr>
      </w:pPr>
      <w:r w:rsidRPr="00413A65">
        <w:rPr>
          <w:rFonts w:cs="Times New Roman"/>
        </w:rPr>
        <w:t>Putusan Gugatan, 3/Pdt.Sus-KPPU/2021/PN JKT.PST, 3 Desember 2021.</w:t>
      </w:r>
    </w:p>
    <w:p w:rsidR="00282CC4" w:rsidRPr="00413A65" w:rsidRDefault="00282CC4" w:rsidP="00282CC4">
      <w:pPr>
        <w:ind w:left="1440" w:hanging="1440"/>
        <w:rPr>
          <w:rFonts w:cs="Times New Roman"/>
        </w:rPr>
      </w:pPr>
      <w:r w:rsidRPr="00413A65">
        <w:rPr>
          <w:rFonts w:cs="Times New Roman"/>
        </w:rPr>
        <w:t>Putusan Gugatan, 365/Pdt.Sus-KPPU/2020/PN JKT.PST, 2 September 2020.</w:t>
      </w:r>
    </w:p>
    <w:p w:rsidR="00282CC4" w:rsidRPr="00413A65" w:rsidRDefault="00282CC4" w:rsidP="00282CC4">
      <w:pPr>
        <w:rPr>
          <w:rFonts w:cs="Times New Roman"/>
        </w:rPr>
        <w:sectPr w:rsidR="00282CC4" w:rsidRPr="00413A65" w:rsidSect="00247CE6">
          <w:footerReference w:type="default" r:id="rId8"/>
          <w:footerReference w:type="first" r:id="rId9"/>
          <w:pgSz w:w="11907" w:h="16839" w:code="9"/>
          <w:pgMar w:top="2268" w:right="1701" w:bottom="1701" w:left="2268" w:header="708" w:footer="708" w:gutter="0"/>
          <w:pgNumType w:start="149"/>
          <w:cols w:space="708"/>
          <w:docGrid w:linePitch="360"/>
        </w:sectPr>
      </w:pPr>
    </w:p>
    <w:p w:rsidR="00EB04EB" w:rsidRPr="00413A65" w:rsidRDefault="00EB04EB" w:rsidP="00EB04EB">
      <w:pPr>
        <w:pStyle w:val="Heading1"/>
        <w:rPr>
          <w:rFonts w:cs="Times New Roman"/>
        </w:rPr>
      </w:pPr>
      <w:bookmarkStart w:id="3" w:name="_Toc159533901"/>
      <w:bookmarkStart w:id="4" w:name="_Toc159533977"/>
      <w:r w:rsidRPr="00413A65">
        <w:rPr>
          <w:rFonts w:cs="Times New Roman"/>
        </w:rPr>
        <w:lastRenderedPageBreak/>
        <w:t>DAFTAR RIWAYAT HIDUP</w:t>
      </w:r>
      <w:bookmarkEnd w:id="3"/>
      <w:bookmarkEnd w:id="4"/>
    </w:p>
    <w:p w:rsidR="00EB04EB" w:rsidRPr="00413A65" w:rsidRDefault="00EB04EB" w:rsidP="00EB04EB">
      <w:pPr>
        <w:jc w:val="center"/>
        <w:rPr>
          <w:rFonts w:cs="Times New Roman"/>
          <w:szCs w:val="24"/>
        </w:rPr>
      </w:pPr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Nama </w:t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  <w:t>: Muhammad Faqih Al Farisy</w:t>
      </w:r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NPM </w:t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  <w:t>: 5120600207</w:t>
      </w:r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Tempat /Tanggal Lahir </w:t>
      </w:r>
      <w:r w:rsidRPr="00413A65">
        <w:rPr>
          <w:rFonts w:cs="Times New Roman"/>
          <w:szCs w:val="24"/>
        </w:rPr>
        <w:tab/>
        <w:t>: Pemalang, 05 Januari 2003</w:t>
      </w:r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Program Studi </w:t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  <w:t>: Ilmu Hukum</w:t>
      </w:r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Alamat </w:t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</w:r>
      <w:r w:rsidRPr="00413A65">
        <w:rPr>
          <w:rFonts w:cs="Times New Roman"/>
          <w:szCs w:val="24"/>
        </w:rPr>
        <w:tab/>
        <w:t>: Jalan Wahid Hasyim Rt 05 / Rw 08, Mulyoharjo,</w:t>
      </w:r>
    </w:p>
    <w:p w:rsidR="00EB04EB" w:rsidRPr="00413A65" w:rsidRDefault="00EB04EB" w:rsidP="00EB04EB">
      <w:pPr>
        <w:ind w:left="2880"/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  Pemalang</w:t>
      </w:r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>Riwayat Pendidikan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425"/>
        <w:gridCol w:w="1976"/>
        <w:gridCol w:w="1976"/>
      </w:tblGrid>
      <w:tr w:rsidR="00EB04EB" w:rsidRPr="00413A65" w:rsidTr="00EB0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No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Nama Sekolah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Tahun Masuk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Tahun Keluar</w:t>
            </w:r>
          </w:p>
        </w:tc>
      </w:tr>
      <w:tr w:rsidR="00EB04EB" w:rsidRPr="00413A65" w:rsidTr="00EB0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SDN 16 Mulyoharjo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2014</w:t>
            </w:r>
          </w:p>
        </w:tc>
      </w:tr>
      <w:tr w:rsidR="00EB04EB" w:rsidRPr="00413A65" w:rsidTr="00EB0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SMPN 2 Pemalang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2017</w:t>
            </w:r>
          </w:p>
        </w:tc>
      </w:tr>
      <w:tr w:rsidR="00EB04EB" w:rsidRPr="00413A65" w:rsidTr="00EB0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SMAN 2 Pemalang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2020</w:t>
            </w:r>
          </w:p>
        </w:tc>
      </w:tr>
      <w:tr w:rsidR="00EB04EB" w:rsidRPr="00413A65" w:rsidTr="00EB0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Universitas Pancasakti Tegal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B" w:rsidRPr="00413A65" w:rsidRDefault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2024</w:t>
            </w:r>
          </w:p>
        </w:tc>
      </w:tr>
    </w:tbl>
    <w:p w:rsidR="00EB04EB" w:rsidRPr="00413A65" w:rsidRDefault="00EB04EB" w:rsidP="00EB04EB">
      <w:pPr>
        <w:rPr>
          <w:rFonts w:cs="Times New Roman"/>
          <w:szCs w:val="24"/>
          <w:lang w:val="en-ID"/>
        </w:rPr>
      </w:pPr>
      <w:bookmarkStart w:id="5" w:name="_GoBack"/>
      <w:bookmarkEnd w:id="5"/>
    </w:p>
    <w:p w:rsidR="00EB04EB" w:rsidRPr="00413A65" w:rsidRDefault="00EB04EB" w:rsidP="00EB04EB">
      <w:pPr>
        <w:rPr>
          <w:rFonts w:cs="Times New Roman"/>
          <w:szCs w:val="24"/>
        </w:rPr>
      </w:pPr>
      <w:r w:rsidRPr="00413A65">
        <w:rPr>
          <w:rFonts w:cs="Times New Roman"/>
          <w:szCs w:val="24"/>
        </w:rPr>
        <w:t xml:space="preserve">Demikian daftar Riwayat hidup ini saya buat dengan sebenarnya. </w:t>
      </w:r>
    </w:p>
    <w:p w:rsidR="00EB04EB" w:rsidRPr="00413A65" w:rsidRDefault="00EB04EB" w:rsidP="00EB04EB">
      <w:pPr>
        <w:rPr>
          <w:rFonts w:cs="Times New Roman"/>
          <w:szCs w:val="24"/>
        </w:rPr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EB04EB" w:rsidRPr="00413A65" w:rsidTr="00EB04EB">
        <w:tc>
          <w:tcPr>
            <w:tcW w:w="3559" w:type="dxa"/>
          </w:tcPr>
          <w:p w:rsidR="00EB04EB" w:rsidRPr="00413A65" w:rsidRDefault="00AB77E0" w:rsidP="00EB04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Tegal, 22 Februari</w:t>
            </w:r>
            <w:r w:rsidR="00EB04EB" w:rsidRPr="00413A65">
              <w:rPr>
                <w:rFonts w:cs="Times New Roman"/>
                <w:szCs w:val="24"/>
              </w:rPr>
              <w:t xml:space="preserve"> 2024</w:t>
            </w:r>
          </w:p>
        </w:tc>
      </w:tr>
      <w:tr w:rsidR="00EB04EB" w:rsidRPr="00413A65" w:rsidTr="00EB04EB">
        <w:tc>
          <w:tcPr>
            <w:tcW w:w="3559" w:type="dxa"/>
          </w:tcPr>
          <w:p w:rsidR="00EB04EB" w:rsidRPr="00413A65" w:rsidRDefault="00EB04EB" w:rsidP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Hormat saya,</w:t>
            </w:r>
          </w:p>
        </w:tc>
      </w:tr>
      <w:tr w:rsidR="00EB04EB" w:rsidRPr="00413A65" w:rsidTr="00EB04EB">
        <w:tc>
          <w:tcPr>
            <w:tcW w:w="3559" w:type="dxa"/>
          </w:tcPr>
          <w:p w:rsidR="00EB04EB" w:rsidRPr="00413A65" w:rsidRDefault="00EB04EB" w:rsidP="00EB04E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04EB" w:rsidRPr="00413A65" w:rsidTr="00EB04EB">
        <w:tc>
          <w:tcPr>
            <w:tcW w:w="3559" w:type="dxa"/>
          </w:tcPr>
          <w:p w:rsidR="00EB04EB" w:rsidRDefault="00EB04EB" w:rsidP="00EB04EB">
            <w:pPr>
              <w:jc w:val="center"/>
              <w:rPr>
                <w:rFonts w:cs="Times New Roman"/>
                <w:szCs w:val="24"/>
              </w:rPr>
            </w:pPr>
          </w:p>
          <w:p w:rsidR="00AB77E0" w:rsidRDefault="00AB77E0" w:rsidP="00EB04EB">
            <w:pPr>
              <w:jc w:val="center"/>
              <w:rPr>
                <w:rFonts w:cs="Times New Roman"/>
                <w:szCs w:val="24"/>
              </w:rPr>
            </w:pPr>
          </w:p>
          <w:p w:rsidR="00AB77E0" w:rsidRPr="00413A65" w:rsidRDefault="00AB77E0" w:rsidP="00EB04E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04EB" w:rsidRPr="00413A65" w:rsidTr="00EB04EB">
        <w:tc>
          <w:tcPr>
            <w:tcW w:w="3559" w:type="dxa"/>
          </w:tcPr>
          <w:p w:rsidR="00EB04EB" w:rsidRPr="00413A65" w:rsidRDefault="00EB04EB" w:rsidP="00EB04E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04EB" w:rsidRPr="00413A65" w:rsidTr="00EB04EB">
        <w:tc>
          <w:tcPr>
            <w:tcW w:w="3559" w:type="dxa"/>
          </w:tcPr>
          <w:p w:rsidR="00EB04EB" w:rsidRPr="00413A65" w:rsidRDefault="00EB04EB" w:rsidP="00EB04EB">
            <w:pPr>
              <w:jc w:val="center"/>
              <w:rPr>
                <w:rFonts w:cs="Times New Roman"/>
                <w:szCs w:val="24"/>
              </w:rPr>
            </w:pPr>
            <w:r w:rsidRPr="00413A65">
              <w:rPr>
                <w:rFonts w:cs="Times New Roman"/>
                <w:szCs w:val="24"/>
              </w:rPr>
              <w:t>Muhammad Faqih Al Farisy</w:t>
            </w:r>
          </w:p>
        </w:tc>
      </w:tr>
    </w:tbl>
    <w:p w:rsidR="00EB04EB" w:rsidRPr="00413A65" w:rsidRDefault="00EB04EB" w:rsidP="00EB04EB">
      <w:pPr>
        <w:rPr>
          <w:rFonts w:cs="Times New Roman"/>
          <w:szCs w:val="24"/>
        </w:rPr>
      </w:pPr>
    </w:p>
    <w:p w:rsidR="00282CC4" w:rsidRPr="00413A65" w:rsidRDefault="00282CC4" w:rsidP="00282CC4">
      <w:pPr>
        <w:rPr>
          <w:rFonts w:cs="Times New Roman"/>
        </w:rPr>
      </w:pPr>
    </w:p>
    <w:sectPr w:rsidR="00282CC4" w:rsidRPr="00413A65" w:rsidSect="00413A6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3C" w:rsidRDefault="00BE113C" w:rsidP="00145327">
      <w:pPr>
        <w:spacing w:after="0" w:line="240" w:lineRule="auto"/>
      </w:pPr>
      <w:r>
        <w:separator/>
      </w:r>
    </w:p>
  </w:endnote>
  <w:endnote w:type="continuationSeparator" w:id="0">
    <w:p w:rsidR="00BE113C" w:rsidRDefault="00BE113C" w:rsidP="0014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51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7E0" w:rsidRDefault="00AB7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CE6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AB77E0" w:rsidRDefault="00AB7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82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7E0" w:rsidRDefault="00AB7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7E0" w:rsidRDefault="00AB7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3C" w:rsidRDefault="00BE113C" w:rsidP="00145327">
      <w:pPr>
        <w:spacing w:after="0" w:line="240" w:lineRule="auto"/>
      </w:pPr>
      <w:r>
        <w:separator/>
      </w:r>
    </w:p>
  </w:footnote>
  <w:footnote w:type="continuationSeparator" w:id="0">
    <w:p w:rsidR="00BE113C" w:rsidRDefault="00BE113C" w:rsidP="0014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83"/>
    <w:multiLevelType w:val="hybridMultilevel"/>
    <w:tmpl w:val="037021F8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47159"/>
    <w:multiLevelType w:val="hybridMultilevel"/>
    <w:tmpl w:val="464E883C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756C7"/>
    <w:multiLevelType w:val="hybridMultilevel"/>
    <w:tmpl w:val="78CC9066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46572"/>
    <w:multiLevelType w:val="hybridMultilevel"/>
    <w:tmpl w:val="913421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EE84F74E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809000F">
      <w:start w:val="1"/>
      <w:numFmt w:val="decimal"/>
      <w:lvlText w:val="%3."/>
      <w:lvlJc w:val="left"/>
      <w:pPr>
        <w:ind w:left="276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87D"/>
    <w:multiLevelType w:val="hybridMultilevel"/>
    <w:tmpl w:val="F5F8C9EC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A22284"/>
    <w:multiLevelType w:val="hybridMultilevel"/>
    <w:tmpl w:val="A156DA7A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F44FB"/>
    <w:multiLevelType w:val="hybridMultilevel"/>
    <w:tmpl w:val="8984FC24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967BB"/>
    <w:multiLevelType w:val="hybridMultilevel"/>
    <w:tmpl w:val="EB20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96E12"/>
    <w:multiLevelType w:val="hybridMultilevel"/>
    <w:tmpl w:val="8716CA26"/>
    <w:lvl w:ilvl="0" w:tplc="A60825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0712"/>
    <w:multiLevelType w:val="hybridMultilevel"/>
    <w:tmpl w:val="54ACE0B6"/>
    <w:lvl w:ilvl="0" w:tplc="A60825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7940F5"/>
    <w:multiLevelType w:val="hybridMultilevel"/>
    <w:tmpl w:val="7CE85DC2"/>
    <w:lvl w:ilvl="0" w:tplc="08424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562C"/>
    <w:multiLevelType w:val="hybridMultilevel"/>
    <w:tmpl w:val="3E06C6D2"/>
    <w:lvl w:ilvl="0" w:tplc="AE58F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F6B34"/>
    <w:multiLevelType w:val="hybridMultilevel"/>
    <w:tmpl w:val="3F90DD5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F43148"/>
    <w:multiLevelType w:val="hybridMultilevel"/>
    <w:tmpl w:val="C2C0F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4AB1"/>
    <w:multiLevelType w:val="hybridMultilevel"/>
    <w:tmpl w:val="B5724774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28E49FC"/>
    <w:multiLevelType w:val="hybridMultilevel"/>
    <w:tmpl w:val="1FEC1B2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732A9"/>
    <w:multiLevelType w:val="hybridMultilevel"/>
    <w:tmpl w:val="994A35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992666"/>
    <w:multiLevelType w:val="hybridMultilevel"/>
    <w:tmpl w:val="BDD630AC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140D99"/>
    <w:multiLevelType w:val="hybridMultilevel"/>
    <w:tmpl w:val="8C4A7512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047558"/>
    <w:multiLevelType w:val="hybridMultilevel"/>
    <w:tmpl w:val="F476D4A0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43E3B"/>
    <w:multiLevelType w:val="hybridMultilevel"/>
    <w:tmpl w:val="571E782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54BFD"/>
    <w:multiLevelType w:val="hybridMultilevel"/>
    <w:tmpl w:val="FA6EDD2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D6C4DFA"/>
    <w:multiLevelType w:val="hybridMultilevel"/>
    <w:tmpl w:val="EC12F45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B11B3B"/>
    <w:multiLevelType w:val="hybridMultilevel"/>
    <w:tmpl w:val="E23E2710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B72C5"/>
    <w:multiLevelType w:val="hybridMultilevel"/>
    <w:tmpl w:val="59AA3876"/>
    <w:lvl w:ilvl="0" w:tplc="38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EF7042B"/>
    <w:multiLevelType w:val="hybridMultilevel"/>
    <w:tmpl w:val="65B8D8E2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14D0AEB"/>
    <w:multiLevelType w:val="hybridMultilevel"/>
    <w:tmpl w:val="270098E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1721885"/>
    <w:multiLevelType w:val="hybridMultilevel"/>
    <w:tmpl w:val="9A309A1A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358752E"/>
    <w:multiLevelType w:val="hybridMultilevel"/>
    <w:tmpl w:val="61627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023EAA"/>
    <w:multiLevelType w:val="hybridMultilevel"/>
    <w:tmpl w:val="3CB8B21C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73E796A"/>
    <w:multiLevelType w:val="hybridMultilevel"/>
    <w:tmpl w:val="368AD2E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FB2DC4"/>
    <w:multiLevelType w:val="hybridMultilevel"/>
    <w:tmpl w:val="D2A815A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772FF"/>
    <w:multiLevelType w:val="hybridMultilevel"/>
    <w:tmpl w:val="1E7A9B6C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E515DB"/>
    <w:multiLevelType w:val="hybridMultilevel"/>
    <w:tmpl w:val="33B28538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3E6D2BCE"/>
    <w:multiLevelType w:val="hybridMultilevel"/>
    <w:tmpl w:val="42566D4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C05B06"/>
    <w:multiLevelType w:val="hybridMultilevel"/>
    <w:tmpl w:val="02C6CAFA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635B72"/>
    <w:multiLevelType w:val="hybridMultilevel"/>
    <w:tmpl w:val="CF1028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2724C91"/>
    <w:multiLevelType w:val="hybridMultilevel"/>
    <w:tmpl w:val="592EB4E2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6155690"/>
    <w:multiLevelType w:val="hybridMultilevel"/>
    <w:tmpl w:val="4FD63976"/>
    <w:lvl w:ilvl="0" w:tplc="08424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473E98"/>
    <w:multiLevelType w:val="hybridMultilevel"/>
    <w:tmpl w:val="FD9629FE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36549A"/>
    <w:multiLevelType w:val="hybridMultilevel"/>
    <w:tmpl w:val="E3BC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5669C"/>
    <w:multiLevelType w:val="hybridMultilevel"/>
    <w:tmpl w:val="0FE05D0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8B2D68"/>
    <w:multiLevelType w:val="hybridMultilevel"/>
    <w:tmpl w:val="5A54AC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D377748"/>
    <w:multiLevelType w:val="hybridMultilevel"/>
    <w:tmpl w:val="105AA21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03EC9"/>
    <w:multiLevelType w:val="hybridMultilevel"/>
    <w:tmpl w:val="3724F28A"/>
    <w:lvl w:ilvl="0" w:tplc="A6082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E6C81"/>
    <w:multiLevelType w:val="hybridMultilevel"/>
    <w:tmpl w:val="DC961C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1">
      <w:start w:val="1"/>
      <w:numFmt w:val="decimal"/>
      <w:lvlText w:val="%3)"/>
      <w:lvlJc w:val="left"/>
      <w:pPr>
        <w:ind w:left="1854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27B38"/>
    <w:multiLevelType w:val="hybridMultilevel"/>
    <w:tmpl w:val="CC8E141A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7D66B9"/>
    <w:multiLevelType w:val="hybridMultilevel"/>
    <w:tmpl w:val="019E4D7A"/>
    <w:lvl w:ilvl="0" w:tplc="AE58FD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890F96"/>
    <w:multiLevelType w:val="hybridMultilevel"/>
    <w:tmpl w:val="8ADA6A7E"/>
    <w:lvl w:ilvl="0" w:tplc="A60825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E1348"/>
    <w:multiLevelType w:val="hybridMultilevel"/>
    <w:tmpl w:val="F3769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480565"/>
    <w:multiLevelType w:val="hybridMultilevel"/>
    <w:tmpl w:val="39BA14AC"/>
    <w:lvl w:ilvl="0" w:tplc="08424C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A909A4"/>
    <w:multiLevelType w:val="hybridMultilevel"/>
    <w:tmpl w:val="BAC6D48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EB71E4"/>
    <w:multiLevelType w:val="hybridMultilevel"/>
    <w:tmpl w:val="37563562"/>
    <w:lvl w:ilvl="0" w:tplc="AE58F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7570F3"/>
    <w:multiLevelType w:val="hybridMultilevel"/>
    <w:tmpl w:val="B434E302"/>
    <w:lvl w:ilvl="0" w:tplc="AE58F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B62"/>
    <w:multiLevelType w:val="hybridMultilevel"/>
    <w:tmpl w:val="7D8E47D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974078C"/>
    <w:multiLevelType w:val="hybridMultilevel"/>
    <w:tmpl w:val="6C6254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A2222E8"/>
    <w:multiLevelType w:val="hybridMultilevel"/>
    <w:tmpl w:val="0ADE55D4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AC038D7"/>
    <w:multiLevelType w:val="hybridMultilevel"/>
    <w:tmpl w:val="AF861B18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D0C5DB1"/>
    <w:multiLevelType w:val="hybridMultilevel"/>
    <w:tmpl w:val="3A649174"/>
    <w:lvl w:ilvl="0" w:tplc="A608258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D4727CF"/>
    <w:multiLevelType w:val="hybridMultilevel"/>
    <w:tmpl w:val="5A7CCB26"/>
    <w:lvl w:ilvl="0" w:tplc="A60825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04D3C"/>
    <w:multiLevelType w:val="hybridMultilevel"/>
    <w:tmpl w:val="E57ED7C0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E3D02D9"/>
    <w:multiLevelType w:val="hybridMultilevel"/>
    <w:tmpl w:val="FBAEE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8445791"/>
    <w:multiLevelType w:val="hybridMultilevel"/>
    <w:tmpl w:val="50B0DFBE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6AC95DD9"/>
    <w:multiLevelType w:val="hybridMultilevel"/>
    <w:tmpl w:val="1DDE267E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BC2389B"/>
    <w:multiLevelType w:val="hybridMultilevel"/>
    <w:tmpl w:val="BEE02BC0"/>
    <w:lvl w:ilvl="0" w:tplc="AE58F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121EB"/>
    <w:multiLevelType w:val="hybridMultilevel"/>
    <w:tmpl w:val="D834DEC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0B407C9"/>
    <w:multiLevelType w:val="hybridMultilevel"/>
    <w:tmpl w:val="48CAE5A2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105101D"/>
    <w:multiLevelType w:val="hybridMultilevel"/>
    <w:tmpl w:val="2F02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5B5D09"/>
    <w:multiLevelType w:val="hybridMultilevel"/>
    <w:tmpl w:val="C8B8ED60"/>
    <w:lvl w:ilvl="0" w:tplc="AE58F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E4400F"/>
    <w:multiLevelType w:val="hybridMultilevel"/>
    <w:tmpl w:val="94609916"/>
    <w:lvl w:ilvl="0" w:tplc="A3AA2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2B538F"/>
    <w:multiLevelType w:val="hybridMultilevel"/>
    <w:tmpl w:val="B0543392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E695498"/>
    <w:multiLevelType w:val="hybridMultilevel"/>
    <w:tmpl w:val="0BC4A786"/>
    <w:lvl w:ilvl="0" w:tplc="AE58F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10"/>
  </w:num>
  <w:num w:numId="4">
    <w:abstractNumId w:val="50"/>
  </w:num>
  <w:num w:numId="5">
    <w:abstractNumId w:val="38"/>
  </w:num>
  <w:num w:numId="6">
    <w:abstractNumId w:val="3"/>
  </w:num>
  <w:num w:numId="7">
    <w:abstractNumId w:val="34"/>
  </w:num>
  <w:num w:numId="8">
    <w:abstractNumId w:val="43"/>
  </w:num>
  <w:num w:numId="9">
    <w:abstractNumId w:val="21"/>
  </w:num>
  <w:num w:numId="10">
    <w:abstractNumId w:val="33"/>
  </w:num>
  <w:num w:numId="11">
    <w:abstractNumId w:val="65"/>
  </w:num>
  <w:num w:numId="12">
    <w:abstractNumId w:val="7"/>
  </w:num>
  <w:num w:numId="13">
    <w:abstractNumId w:val="49"/>
  </w:num>
  <w:num w:numId="14">
    <w:abstractNumId w:val="15"/>
  </w:num>
  <w:num w:numId="15">
    <w:abstractNumId w:val="30"/>
  </w:num>
  <w:num w:numId="16">
    <w:abstractNumId w:val="9"/>
  </w:num>
  <w:num w:numId="17">
    <w:abstractNumId w:val="58"/>
  </w:num>
  <w:num w:numId="18">
    <w:abstractNumId w:val="29"/>
  </w:num>
  <w:num w:numId="19">
    <w:abstractNumId w:val="0"/>
  </w:num>
  <w:num w:numId="20">
    <w:abstractNumId w:val="23"/>
  </w:num>
  <w:num w:numId="21">
    <w:abstractNumId w:val="54"/>
  </w:num>
  <w:num w:numId="22">
    <w:abstractNumId w:val="31"/>
  </w:num>
  <w:num w:numId="23">
    <w:abstractNumId w:val="44"/>
  </w:num>
  <w:num w:numId="24">
    <w:abstractNumId w:val="35"/>
  </w:num>
  <w:num w:numId="25">
    <w:abstractNumId w:val="2"/>
  </w:num>
  <w:num w:numId="26">
    <w:abstractNumId w:val="51"/>
  </w:num>
  <w:num w:numId="27">
    <w:abstractNumId w:val="46"/>
  </w:num>
  <w:num w:numId="28">
    <w:abstractNumId w:val="62"/>
  </w:num>
  <w:num w:numId="29">
    <w:abstractNumId w:val="66"/>
  </w:num>
  <w:num w:numId="30">
    <w:abstractNumId w:val="18"/>
  </w:num>
  <w:num w:numId="31">
    <w:abstractNumId w:val="12"/>
  </w:num>
  <w:num w:numId="32">
    <w:abstractNumId w:val="63"/>
  </w:num>
  <w:num w:numId="33">
    <w:abstractNumId w:val="56"/>
  </w:num>
  <w:num w:numId="34">
    <w:abstractNumId w:val="4"/>
  </w:num>
  <w:num w:numId="35">
    <w:abstractNumId w:val="26"/>
  </w:num>
  <w:num w:numId="36">
    <w:abstractNumId w:val="41"/>
  </w:num>
  <w:num w:numId="37">
    <w:abstractNumId w:val="17"/>
  </w:num>
  <w:num w:numId="38">
    <w:abstractNumId w:val="1"/>
  </w:num>
  <w:num w:numId="39">
    <w:abstractNumId w:val="45"/>
  </w:num>
  <w:num w:numId="40">
    <w:abstractNumId w:val="39"/>
  </w:num>
  <w:num w:numId="41">
    <w:abstractNumId w:val="32"/>
  </w:num>
  <w:num w:numId="42">
    <w:abstractNumId w:val="24"/>
  </w:num>
  <w:num w:numId="43">
    <w:abstractNumId w:val="22"/>
  </w:num>
  <w:num w:numId="44">
    <w:abstractNumId w:val="25"/>
  </w:num>
  <w:num w:numId="45">
    <w:abstractNumId w:val="14"/>
  </w:num>
  <w:num w:numId="46">
    <w:abstractNumId w:val="13"/>
  </w:num>
  <w:num w:numId="47">
    <w:abstractNumId w:val="16"/>
  </w:num>
  <w:num w:numId="48">
    <w:abstractNumId w:val="8"/>
  </w:num>
  <w:num w:numId="49">
    <w:abstractNumId w:val="70"/>
  </w:num>
  <w:num w:numId="50">
    <w:abstractNumId w:val="69"/>
  </w:num>
  <w:num w:numId="51">
    <w:abstractNumId w:val="19"/>
  </w:num>
  <w:num w:numId="52">
    <w:abstractNumId w:val="5"/>
  </w:num>
  <w:num w:numId="53">
    <w:abstractNumId w:val="27"/>
  </w:num>
  <w:num w:numId="54">
    <w:abstractNumId w:val="59"/>
  </w:num>
  <w:num w:numId="55">
    <w:abstractNumId w:val="37"/>
  </w:num>
  <w:num w:numId="56">
    <w:abstractNumId w:val="6"/>
  </w:num>
  <w:num w:numId="57">
    <w:abstractNumId w:val="57"/>
  </w:num>
  <w:num w:numId="58">
    <w:abstractNumId w:val="60"/>
  </w:num>
  <w:num w:numId="59">
    <w:abstractNumId w:val="52"/>
  </w:num>
  <w:num w:numId="60">
    <w:abstractNumId w:val="48"/>
  </w:num>
  <w:num w:numId="61">
    <w:abstractNumId w:val="61"/>
  </w:num>
  <w:num w:numId="62">
    <w:abstractNumId w:val="55"/>
  </w:num>
  <w:num w:numId="63">
    <w:abstractNumId w:val="36"/>
  </w:num>
  <w:num w:numId="64">
    <w:abstractNumId w:val="67"/>
  </w:num>
  <w:num w:numId="65">
    <w:abstractNumId w:val="42"/>
  </w:num>
  <w:num w:numId="66">
    <w:abstractNumId w:val="28"/>
  </w:num>
  <w:num w:numId="67">
    <w:abstractNumId w:val="20"/>
  </w:num>
  <w:num w:numId="68">
    <w:abstractNumId w:val="68"/>
  </w:num>
  <w:num w:numId="69">
    <w:abstractNumId w:val="53"/>
  </w:num>
  <w:num w:numId="70">
    <w:abstractNumId w:val="71"/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7"/>
    <w:rsid w:val="00010149"/>
    <w:rsid w:val="00012B95"/>
    <w:rsid w:val="000A2C22"/>
    <w:rsid w:val="000A3C47"/>
    <w:rsid w:val="000B3088"/>
    <w:rsid w:val="000C4FD0"/>
    <w:rsid w:val="00106437"/>
    <w:rsid w:val="001113B7"/>
    <w:rsid w:val="001254FB"/>
    <w:rsid w:val="001337B8"/>
    <w:rsid w:val="00145327"/>
    <w:rsid w:val="00150B67"/>
    <w:rsid w:val="0015244E"/>
    <w:rsid w:val="001956FE"/>
    <w:rsid w:val="00197BB1"/>
    <w:rsid w:val="001B69D1"/>
    <w:rsid w:val="001E09D1"/>
    <w:rsid w:val="001E1BD2"/>
    <w:rsid w:val="0023361C"/>
    <w:rsid w:val="00247CE6"/>
    <w:rsid w:val="00255676"/>
    <w:rsid w:val="00260C30"/>
    <w:rsid w:val="002703CC"/>
    <w:rsid w:val="00282CC4"/>
    <w:rsid w:val="00292CDF"/>
    <w:rsid w:val="00294A4F"/>
    <w:rsid w:val="002C58DB"/>
    <w:rsid w:val="002C7BB4"/>
    <w:rsid w:val="002E213C"/>
    <w:rsid w:val="00335C5A"/>
    <w:rsid w:val="003A2D37"/>
    <w:rsid w:val="003C5092"/>
    <w:rsid w:val="003E0E84"/>
    <w:rsid w:val="00413A65"/>
    <w:rsid w:val="004146DD"/>
    <w:rsid w:val="00441422"/>
    <w:rsid w:val="00472773"/>
    <w:rsid w:val="00482A33"/>
    <w:rsid w:val="004853EC"/>
    <w:rsid w:val="00491541"/>
    <w:rsid w:val="004A4D24"/>
    <w:rsid w:val="004D10EF"/>
    <w:rsid w:val="004D74F8"/>
    <w:rsid w:val="004E4245"/>
    <w:rsid w:val="004E4684"/>
    <w:rsid w:val="00531B54"/>
    <w:rsid w:val="005B1273"/>
    <w:rsid w:val="005C0172"/>
    <w:rsid w:val="005F724B"/>
    <w:rsid w:val="00652B68"/>
    <w:rsid w:val="00687142"/>
    <w:rsid w:val="006911DF"/>
    <w:rsid w:val="006A0AE6"/>
    <w:rsid w:val="006A6C54"/>
    <w:rsid w:val="006A71CE"/>
    <w:rsid w:val="006C5840"/>
    <w:rsid w:val="006D161C"/>
    <w:rsid w:val="006D477F"/>
    <w:rsid w:val="00730130"/>
    <w:rsid w:val="00740BCD"/>
    <w:rsid w:val="00786555"/>
    <w:rsid w:val="007B3074"/>
    <w:rsid w:val="007B4418"/>
    <w:rsid w:val="007C4EE8"/>
    <w:rsid w:val="007D0FDF"/>
    <w:rsid w:val="007D2697"/>
    <w:rsid w:val="00805B3D"/>
    <w:rsid w:val="0081203B"/>
    <w:rsid w:val="00852726"/>
    <w:rsid w:val="008C541B"/>
    <w:rsid w:val="008E5A09"/>
    <w:rsid w:val="009027C2"/>
    <w:rsid w:val="00933F56"/>
    <w:rsid w:val="00947BC1"/>
    <w:rsid w:val="009558FA"/>
    <w:rsid w:val="00960779"/>
    <w:rsid w:val="00967A7E"/>
    <w:rsid w:val="009712AB"/>
    <w:rsid w:val="00985154"/>
    <w:rsid w:val="009A6305"/>
    <w:rsid w:val="009A691B"/>
    <w:rsid w:val="009E096B"/>
    <w:rsid w:val="00A1715C"/>
    <w:rsid w:val="00A34693"/>
    <w:rsid w:val="00A86358"/>
    <w:rsid w:val="00A90F41"/>
    <w:rsid w:val="00A92711"/>
    <w:rsid w:val="00A977BC"/>
    <w:rsid w:val="00AB0CC6"/>
    <w:rsid w:val="00AB15DB"/>
    <w:rsid w:val="00AB5BD3"/>
    <w:rsid w:val="00AB77E0"/>
    <w:rsid w:val="00B10B51"/>
    <w:rsid w:val="00B317BA"/>
    <w:rsid w:val="00B4556A"/>
    <w:rsid w:val="00BB0863"/>
    <w:rsid w:val="00BB2D4E"/>
    <w:rsid w:val="00BB3301"/>
    <w:rsid w:val="00BD7A53"/>
    <w:rsid w:val="00BE113C"/>
    <w:rsid w:val="00C07161"/>
    <w:rsid w:val="00C227E5"/>
    <w:rsid w:val="00C23334"/>
    <w:rsid w:val="00C37B03"/>
    <w:rsid w:val="00C55B2E"/>
    <w:rsid w:val="00C736CA"/>
    <w:rsid w:val="00C74351"/>
    <w:rsid w:val="00C84735"/>
    <w:rsid w:val="00CA0902"/>
    <w:rsid w:val="00CB22BE"/>
    <w:rsid w:val="00CB51C8"/>
    <w:rsid w:val="00CE1FEF"/>
    <w:rsid w:val="00D42CF9"/>
    <w:rsid w:val="00D94626"/>
    <w:rsid w:val="00D97A31"/>
    <w:rsid w:val="00DD44DA"/>
    <w:rsid w:val="00DD5273"/>
    <w:rsid w:val="00DD6505"/>
    <w:rsid w:val="00DD689C"/>
    <w:rsid w:val="00E22BAA"/>
    <w:rsid w:val="00E376CD"/>
    <w:rsid w:val="00E521C4"/>
    <w:rsid w:val="00E534AE"/>
    <w:rsid w:val="00E7654F"/>
    <w:rsid w:val="00E82458"/>
    <w:rsid w:val="00E90D10"/>
    <w:rsid w:val="00E9586F"/>
    <w:rsid w:val="00EA4D8E"/>
    <w:rsid w:val="00EB04EB"/>
    <w:rsid w:val="00EB40E5"/>
    <w:rsid w:val="00F26B85"/>
    <w:rsid w:val="00F45B69"/>
    <w:rsid w:val="00FB702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3F12D-F5E2-494A-8091-348AA4F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27"/>
    <w:pPr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4E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2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32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CC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4E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327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145327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14532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45327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33F56"/>
    <w:pPr>
      <w:tabs>
        <w:tab w:val="right" w:leader="dot" w:pos="7928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1453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453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27"/>
    <w:rPr>
      <w:rFonts w:ascii="Times New Roman" w:hAnsi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3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327"/>
    <w:pPr>
      <w:spacing w:after="160" w:line="259" w:lineRule="auto"/>
      <w:ind w:left="720"/>
      <w:contextualSpacing/>
    </w:pPr>
    <w:rPr>
      <w:lang w:val="en-ID"/>
    </w:rPr>
  </w:style>
  <w:style w:type="character" w:customStyle="1" w:styleId="markedcontent">
    <w:name w:val="markedcontent"/>
    <w:basedOn w:val="DefaultParagraphFont"/>
    <w:rsid w:val="00145327"/>
  </w:style>
  <w:style w:type="paragraph" w:styleId="TOC2">
    <w:name w:val="toc 2"/>
    <w:basedOn w:val="Normal"/>
    <w:next w:val="Normal"/>
    <w:autoRedefine/>
    <w:uiPriority w:val="39"/>
    <w:unhideWhenUsed/>
    <w:rsid w:val="00D42CF9"/>
    <w:pPr>
      <w:tabs>
        <w:tab w:val="right" w:leader="dot" w:pos="7928"/>
      </w:tabs>
      <w:spacing w:after="100"/>
      <w:ind w:left="709" w:hanging="4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27"/>
    <w:rPr>
      <w:rFonts w:ascii="Tahoma" w:hAnsi="Tahoma" w:cs="Tahoma"/>
      <w:color w:val="000000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4532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CC4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282CC4"/>
  </w:style>
  <w:style w:type="paragraph" w:styleId="TOC3">
    <w:name w:val="toc 3"/>
    <w:basedOn w:val="Normal"/>
    <w:next w:val="Normal"/>
    <w:autoRedefine/>
    <w:uiPriority w:val="39"/>
    <w:unhideWhenUsed/>
    <w:rsid w:val="00282CC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E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EB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7FF7-24A9-4B16-9348-63F65A14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Frediliana</dc:creator>
  <cp:lastModifiedBy>LENOVO</cp:lastModifiedBy>
  <cp:revision>3</cp:revision>
  <dcterms:created xsi:type="dcterms:W3CDTF">2024-02-23T01:17:00Z</dcterms:created>
  <dcterms:modified xsi:type="dcterms:W3CDTF">2024-02-23T01:19:00Z</dcterms:modified>
</cp:coreProperties>
</file>