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701F" w14:textId="77777777" w:rsidR="004701AA" w:rsidRPr="0000515C" w:rsidRDefault="004701AA" w:rsidP="004701AA">
      <w:pPr>
        <w:pStyle w:val="Heading1"/>
        <w:rPr>
          <w:color w:val="000000" w:themeColor="text1"/>
        </w:rPr>
      </w:pPr>
      <w:bookmarkStart w:id="0" w:name="_Toc142387342"/>
      <w:r w:rsidRPr="004D128E">
        <w:rPr>
          <w:color w:val="000000" w:themeColor="text1"/>
        </w:rPr>
        <w:t>Daftar Pustaka</w:t>
      </w:r>
      <w:bookmarkEnd w:id="0"/>
    </w:p>
    <w:p w14:paraId="765417CC" w14:textId="77777777" w:rsidR="004701AA" w:rsidRPr="00E75661" w:rsidRDefault="004701AA" w:rsidP="004701AA"/>
    <w:bookmarkStart w:id="1" w:name="_Hlk137505496" w:displacedByCustomXml="next"/>
    <w:sdt>
      <w:sdtPr>
        <w:rPr>
          <w:color w:val="000000" w:themeColor="text1"/>
        </w:rPr>
        <w:tag w:val="MENDELEY_BIBLIOGRAPHY"/>
        <w:id w:val="1072783741"/>
        <w:placeholder>
          <w:docPart w:val="8BC8E0DF799C4CBEAF4C6E841A5389CF"/>
        </w:placeholder>
      </w:sdtPr>
      <w:sdtContent>
        <w:p w14:paraId="1321D257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Agustino, N. W. I. P., &amp; Dewi, S. K. S. (2019). Pengaruh Ukuran Perusahaan, Profitabilitas, Dan Leverage Terhadap Kebijakan Dividen Pada Perusahaan Manufaktur.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E-Jurnal Manajemen Universitas Udayana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8</w:t>
          </w:r>
          <w:r w:rsidRPr="004D128E">
            <w:rPr>
              <w:rFonts w:eastAsia="Times New Roman"/>
              <w:color w:val="000000" w:themeColor="text1"/>
            </w:rPr>
            <w:t>(8), 4957. https://doi.org/10.24843/ejmunud.2019.v08.i08.p09</w:t>
          </w:r>
        </w:p>
        <w:p w14:paraId="138F165F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Akbar, F., Fahmi, I., Manajemen, M. P., Ekonomi, F., Bisnis, D., Kuala, U., Dosen, ), &amp; Syiah Kuala, U. (2020). Pengaruh Ukuran Perusahaan, Profitabilitas Dan Likuiditas Terhadap Kebijakan Dividen Dan Nilai Perusahaan Pada Perusahaan Manufaktur Yang Terdaftar Di Bursa Efek Indonesia.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Ilmiah Mahasiswa Ekonomi Manajemen Accredited Sinta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4</w:t>
          </w:r>
          <w:r w:rsidRPr="004D128E">
            <w:rPr>
              <w:rFonts w:eastAsia="Times New Roman"/>
              <w:color w:val="000000" w:themeColor="text1"/>
            </w:rPr>
            <w:t>(1). Http:Jim.Unsyiah.Ac.Id/Ekm</w:t>
          </w:r>
        </w:p>
        <w:p w14:paraId="7359E7EA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Anggraeni, P. R. (N.D.).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Pengaruh Kebijakan Hutang, Profitabilitas, Dan Likuiditas Terhadap Kebijakan Dividen Akhmad Riduwan Sekolah Tinggi Ilmu Ekonomi Indonesia (Stiesia) Surabaya</w:t>
          </w:r>
          <w:r w:rsidRPr="004D128E">
            <w:rPr>
              <w:rFonts w:eastAsia="Times New Roman"/>
              <w:color w:val="000000" w:themeColor="text1"/>
            </w:rPr>
            <w:t>.</w:t>
          </w:r>
          <w:r>
            <w:rPr>
              <w:rFonts w:eastAsia="Times New Roman"/>
              <w:color w:val="000000" w:themeColor="text1"/>
            </w:rPr>
            <w:t xml:space="preserve"> </w:t>
          </w:r>
          <w:r>
            <w:rPr>
              <w:rFonts w:eastAsia="Times New Roman"/>
            </w:rPr>
            <w:t>http://jurn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lm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h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sisw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.stiesi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.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c.id/index.php/jir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/</w:t>
          </w:r>
          <w:r w:rsidRPr="00656EBC">
            <w:rPr>
              <w:rFonts w:eastAsia="Times New Roman"/>
            </w:rPr>
            <w:t>a</w:t>
          </w:r>
          <w:r w:rsidRPr="00656EBC">
            <w:rPr>
              <w:rFonts w:ascii="Microsoft Uighur" w:eastAsia="Times New Roman" w:hAnsi="Microsoft Uighur"/>
              <w:sz w:val="4"/>
            </w:rPr>
            <w:t>i</w:t>
          </w:r>
          <w:r>
            <w:rPr>
              <w:rFonts w:eastAsia="Times New Roman"/>
            </w:rPr>
            <w:t>rticle/view/2943</w:t>
          </w:r>
        </w:p>
        <w:p w14:paraId="5B22FF0E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>Astuti, E</w:t>
          </w:r>
          <w:r>
            <w:rPr>
              <w:rFonts w:eastAsia="Times New Roman"/>
              <w:color w:val="000000" w:themeColor="text1"/>
            </w:rPr>
            <w:t>lly</w:t>
          </w:r>
          <w:r w:rsidRPr="004D128E">
            <w:rPr>
              <w:rFonts w:eastAsia="Times New Roman"/>
              <w:color w:val="000000" w:themeColor="text1"/>
            </w:rPr>
            <w:t xml:space="preserve">. (2015). Pengaruh Kepemilikan Institusional, Profitabilitas, Ukuran Perusahaan Terhadap Kebijakan Hutang Perusahaan Di Indonesia.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Akuntansi Dan Pajak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15</w:t>
          </w:r>
          <w:r w:rsidRPr="004D128E">
            <w:rPr>
              <w:rFonts w:eastAsia="Times New Roman"/>
              <w:color w:val="000000" w:themeColor="text1"/>
            </w:rPr>
            <w:t>(02). Https://Doi.Org/10.29040/Jap.V15i02.188</w:t>
          </w:r>
        </w:p>
        <w:p w14:paraId="689FB073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>Bonita,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4D128E">
            <w:rPr>
              <w:rFonts w:eastAsia="Times New Roman"/>
              <w:color w:val="000000" w:themeColor="text1"/>
            </w:rPr>
            <w:t>H</w:t>
          </w:r>
          <w:r>
            <w:rPr>
              <w:rFonts w:eastAsia="Times New Roman"/>
              <w:color w:val="000000" w:themeColor="text1"/>
            </w:rPr>
            <w:t>otman</w:t>
          </w:r>
          <w:r w:rsidRPr="004D128E">
            <w:rPr>
              <w:rFonts w:eastAsia="Times New Roman"/>
              <w:color w:val="000000" w:themeColor="text1"/>
            </w:rPr>
            <w:t xml:space="preserve"> (2017). Pengaruh Kepemilikan Manajerial, Kepemilikan Institusional, Kebijakan Dividen, Struktur Aset, Profitabilitas, Pertumbuhan Perusahaan, Risiko Bisnis Dan Ukuran Perusahaan Terhadap Kebijakan Utang Pada Perusahaan Non Keuangan Yang Terdaftar Di Bursa Efek Indonesia.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Informasi, Perpajakan, Akuntansi, Dan Keuangan Publik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12</w:t>
          </w:r>
          <w:r w:rsidRPr="004D128E">
            <w:rPr>
              <w:rFonts w:eastAsia="Times New Roman"/>
              <w:color w:val="000000" w:themeColor="text1"/>
            </w:rPr>
            <w:t>, 63–82.</w:t>
          </w:r>
          <w:r>
            <w:rPr>
              <w:rFonts w:eastAsia="Times New Roman"/>
              <w:color w:val="000000" w:themeColor="text1"/>
            </w:rPr>
            <w:t xml:space="preserve"> </w:t>
          </w:r>
          <w:hyperlink r:id="rId5" w:history="1">
            <w:r w:rsidRPr="00DE1109">
              <w:rPr>
                <w:rStyle w:val="Hyperlink"/>
                <w:color w:val="000000" w:themeColor="text1"/>
                <w:sz w:val="23"/>
                <w:szCs w:val="23"/>
              </w:rPr>
              <w:t>https://doi.org/10.25105/jipak.v12i1.4580</w:t>
            </w:r>
          </w:hyperlink>
        </w:p>
        <w:p w14:paraId="514108FD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Brigham Dan Houston. (2010). Dasar-Dasar Manajemen Keuangan.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Jakarta: Salemba Empat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4702AA40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>Dewi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4D128E">
            <w:rPr>
              <w:rFonts w:eastAsia="Times New Roman"/>
              <w:color w:val="000000" w:themeColor="text1"/>
            </w:rPr>
            <w:t xml:space="preserve">S. (2008). Pengaruh Kepemilikan Managerial, Kepemilikan Institusional, Kebijakan Utang, Profitabilitas Dan Ukuran Perusahaan Terhadap Kebijakan Dividen.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Bisnis Dan Akuntansi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10</w:t>
          </w:r>
          <w:r w:rsidRPr="004D128E">
            <w:rPr>
              <w:rFonts w:eastAsia="Times New Roman"/>
              <w:color w:val="000000" w:themeColor="text1"/>
            </w:rPr>
            <w:t>, 47–58.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DE1109">
            <w:rPr>
              <w:rFonts w:eastAsia="Times New Roman"/>
              <w:color w:val="000000" w:themeColor="text1"/>
            </w:rPr>
            <w:t>https://doi.org/10.34208/jba.v1011.252</w:t>
          </w:r>
        </w:p>
        <w:p w14:paraId="4C4A3902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>Dewi, M</w:t>
          </w:r>
          <w:r>
            <w:rPr>
              <w:rFonts w:eastAsia="Times New Roman"/>
              <w:color w:val="000000" w:themeColor="text1"/>
            </w:rPr>
            <w:t>eutia</w:t>
          </w:r>
          <w:r w:rsidRPr="004D128E">
            <w:rPr>
              <w:rFonts w:eastAsia="Times New Roman"/>
              <w:color w:val="000000" w:themeColor="text1"/>
            </w:rPr>
            <w:t xml:space="preserve">. (2018). Pengaruh Kinerja Keuangan Dan Risiko Terhadap Return Saham Pada Perusahaan Sektor Consumer Goods Industry Di Bei.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Penelitian Ekonomi Akuntansi (Jensi)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</w:t>
          </w:r>
          <w:r w:rsidRPr="004D128E">
            <w:rPr>
              <w:rFonts w:eastAsia="Times New Roman"/>
              <w:color w:val="000000" w:themeColor="text1"/>
            </w:rPr>
            <w:t>(1).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DE1109">
            <w:rPr>
              <w:rFonts w:eastAsia="Times New Roman"/>
              <w:color w:val="000000" w:themeColor="text1"/>
            </w:rPr>
            <w:t>https://doi.org/10.33059/jensi.v2i1.934</w:t>
          </w:r>
        </w:p>
        <w:p w14:paraId="5679E0CF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Dowd, K. (2020). Too Big To Fail? Long-Term Capital Management And The Federal Reserve.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Money And The Market</w:t>
          </w:r>
          <w:r w:rsidRPr="004D128E">
            <w:rPr>
              <w:rFonts w:eastAsia="Times New Roman"/>
              <w:color w:val="000000" w:themeColor="text1"/>
            </w:rPr>
            <w:t>. Https://Doi.Org/10.4324/9781315011615-25</w:t>
          </w:r>
        </w:p>
        <w:p w14:paraId="1CB2524C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Estuti, E. P., Fauziyanti, W., &amp; Hendrayanti, S. (2019). Pengaruh Likuiditas , Profitabilitas Dan Kebijakan Dividen Terhadap Kebijakan Hutang Perusahaan (Studi Empiris Pada Perusahaan Manufaktur Yang Terdaftar Di Bursa Efek Indonesia 2013-2017).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Prosiding Seminar Nasional Unimus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2</w:t>
          </w:r>
          <w:r w:rsidRPr="004D128E">
            <w:rPr>
              <w:rFonts w:eastAsia="Times New Roman"/>
              <w:color w:val="000000" w:themeColor="text1"/>
            </w:rPr>
            <w:t>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DE1109">
            <w:rPr>
              <w:rFonts w:eastAsia="Times New Roman"/>
              <w:color w:val="000000" w:themeColor="text1"/>
            </w:rPr>
            <w:t>https://prosiding.unimus.ac.id/</w:t>
          </w:r>
        </w:p>
        <w:p w14:paraId="000BF312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Fahmi, I. (2017). Analisis Laporan Keuangan, Cetakan Pertama.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Bandung: Alfabeta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6578BBA0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lastRenderedPageBreak/>
            <w:t xml:space="preserve">Ghozali, I. (2018a). Apikasi Analisis Multivariate Dengan Program Ibm Spss 25. Badan Penerbit Universitas Diponegoro : Semarang.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Society</w:t>
          </w:r>
          <w:r w:rsidRPr="004D128E">
            <w:rPr>
              <w:rFonts w:eastAsia="Times New Roman"/>
              <w:color w:val="000000" w:themeColor="text1"/>
            </w:rPr>
            <w:t xml:space="preserve"> (Vol. 2, Issue 1).</w:t>
          </w:r>
        </w:p>
        <w:p w14:paraId="63C2CAE8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Ghozali, I. (2018b). Apikasi Analisis Multivariate Dengan Program Ibm Spss 25. Badan Penerbit Universitas Diponegoro : Semarang.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Society</w:t>
          </w:r>
          <w:r w:rsidRPr="004D128E">
            <w:rPr>
              <w:rFonts w:eastAsia="Times New Roman"/>
              <w:color w:val="000000" w:themeColor="text1"/>
            </w:rPr>
            <w:t xml:space="preserve"> (Vol. 2, Issue 1).</w:t>
          </w:r>
        </w:p>
        <w:p w14:paraId="42EF0F55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Hartanto, H. K., Diana, P., &amp; Fathoni, A. (2018). The Effect Profitability, Leverage, And Liquidity To Dividend Policy With Good Corporate Governance As Intervening Variables (In Textil And Garment Company Listed In Bei Period Of 2012-2016).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Journal Of Management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4</w:t>
          </w:r>
          <w:r w:rsidRPr="004D128E">
            <w:rPr>
              <w:rFonts w:eastAsia="Times New Roman"/>
              <w:color w:val="000000" w:themeColor="text1"/>
            </w:rPr>
            <w:t>(4).</w:t>
          </w:r>
          <w:r>
            <w:rPr>
              <w:rFonts w:eastAsia="Times New Roman"/>
              <w:color w:val="000000" w:themeColor="text1"/>
            </w:rPr>
            <w:t xml:space="preserve"> </w:t>
          </w:r>
          <w:hyperlink r:id="rId6" w:history="1">
            <w:r w:rsidRPr="004D10C7">
              <w:rPr>
                <w:rStyle w:val="Hyperlink"/>
                <w:rFonts w:eastAsia="Times New Roman"/>
                <w:color w:val="000000" w:themeColor="text1"/>
              </w:rPr>
              <w:t>http://unpand.ac.id/</w:t>
            </w:r>
          </w:hyperlink>
          <w:r w:rsidRPr="004D10C7">
            <w:rPr>
              <w:rFonts w:eastAsia="Times New Roman"/>
              <w:color w:val="000000" w:themeColor="text1"/>
            </w:rPr>
            <w:t xml:space="preserve"> </w:t>
          </w:r>
        </w:p>
        <w:p w14:paraId="682BFCAE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Helwege, A. (2000). Growth And Poverty In Latin America.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New Economy</w:t>
          </w:r>
          <w:r w:rsidRPr="004D128E">
            <w:rPr>
              <w:rFonts w:eastAsia="Times New Roman"/>
              <w:color w:val="000000" w:themeColor="text1"/>
            </w:rPr>
            <w:t xml:space="preserve"> (Vol. 7, Issue 4).</w:t>
          </w:r>
        </w:p>
        <w:p w14:paraId="7A898004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>Herninta, T</w:t>
          </w:r>
          <w:r>
            <w:rPr>
              <w:rFonts w:eastAsia="Times New Roman"/>
              <w:color w:val="000000" w:themeColor="text1"/>
            </w:rPr>
            <w:t>iwi</w:t>
          </w:r>
          <w:r w:rsidRPr="004D128E">
            <w:rPr>
              <w:rFonts w:eastAsia="Times New Roman"/>
              <w:color w:val="000000" w:themeColor="text1"/>
            </w:rPr>
            <w:t xml:space="preserve">., Faktor-Faktor, ", Mempengaruhi, Y., Hutang, K., &amp; Perusahaan, P. (2019).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Faktor-Faktor Yang Mempengaruhi Kebijakan Hutang Pada Perusahaan Yang Terdaftar Di Bei</w:t>
          </w:r>
          <w:r w:rsidRPr="004D128E">
            <w:rPr>
              <w:rFonts w:eastAsia="Times New Roman"/>
              <w:color w:val="000000" w:themeColor="text1"/>
            </w:rPr>
            <w:t xml:space="preserve"> (Vol. 22, Issue 2).</w:t>
          </w:r>
          <w:r>
            <w:rPr>
              <w:rFonts w:eastAsia="Times New Roman"/>
              <w:color w:val="000000" w:themeColor="text1"/>
            </w:rPr>
            <w:t xml:space="preserve"> </w:t>
          </w:r>
        </w:p>
        <w:p w14:paraId="08010D5F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Hidayat Fakultas Ekonomi Universitas Negeri Padang Jl Hamka Kampus Air Tawar Padang, A. (N.D.).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Pengaruh Kebijakan Hutang Dan Kebijakan Deviden Terhadap Nilai Perusahaan (Studi Empiris Pada Perusahaan Manufaktur Yang Terdaftar Di Bei Tahun 2008-2011)</w:t>
          </w:r>
          <w:r w:rsidRPr="004D128E">
            <w:rPr>
              <w:rFonts w:eastAsia="Times New Roman"/>
              <w:color w:val="000000" w:themeColor="text1"/>
            </w:rPr>
            <w:t>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4D10C7">
            <w:rPr>
              <w:rFonts w:eastAsia="Times New Roman"/>
              <w:color w:val="000000" w:themeColor="text1"/>
            </w:rPr>
            <w:t>https://ejournal.unp.ac.id/</w:t>
          </w:r>
        </w:p>
        <w:p w14:paraId="2B6AA8FD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Idawati, I., &amp; Sudiartha, G. (2014). Pengaruh Profitabilitas, Likuiditas, Ukuran Perusahaanterhadap Kebijakan Deviden Perusahaan Manufaktur Di Bei.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E-Jurnal Manajemen Universitas Udayana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3</w:t>
          </w:r>
          <w:r w:rsidRPr="004D128E">
            <w:rPr>
              <w:rFonts w:eastAsia="Times New Roman"/>
              <w:color w:val="000000" w:themeColor="text1"/>
            </w:rPr>
            <w:t>(6).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CA09C8">
            <w:rPr>
              <w:rFonts w:eastAsia="Times New Roman"/>
              <w:color w:val="000000" w:themeColor="text1"/>
            </w:rPr>
            <w:t>https://</w:t>
          </w:r>
          <w:r w:rsidRPr="00CA09C8">
            <w:rPr>
              <w:color w:val="000000" w:themeColor="text1"/>
              <w:shd w:val="clear" w:color="auto" w:fill="FFFFFF"/>
            </w:rPr>
            <w:t>ojs.unud.ac.id</w:t>
          </w:r>
        </w:p>
        <w:p w14:paraId="35E1C395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J Gitman, L., &amp; Zutter, C. J. (2012). Principles Of Managerial Finance (13e).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Prentice Hall</w:t>
          </w:r>
          <w:r w:rsidRPr="004D128E">
            <w:rPr>
              <w:rFonts w:eastAsia="Times New Roman"/>
              <w:color w:val="000000" w:themeColor="text1"/>
            </w:rPr>
            <w:t xml:space="preserve"> (Vol. 24, Issue 3).</w:t>
          </w:r>
        </w:p>
        <w:p w14:paraId="31190485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Jariah, A. (2016). Likuiditas, Leverage, Profitabilitas Pengaruhnyaterhadap Nilai Perusahaan Manufaktur Di Indonesia Melalui Kebijakan Deviden.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Riset Akuntansi Dan Keuangan Indonesia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</w:t>
          </w:r>
          <w:r w:rsidRPr="004D128E">
            <w:rPr>
              <w:rFonts w:eastAsia="Times New Roman"/>
              <w:color w:val="000000" w:themeColor="text1"/>
            </w:rPr>
            <w:t>(2). Https://Doi.Org/10.23917/Reaksi.V1i2.2727</w:t>
          </w:r>
        </w:p>
        <w:p w14:paraId="27CF308B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Jensen, M. C., &amp; Meckling, W. H. (1976). Theory Of The Firm: Managerial Behavior, Agency Costs And Ownership Structure.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Journal Of Financial Economics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3</w:t>
          </w:r>
          <w:r w:rsidRPr="004D128E">
            <w:rPr>
              <w:rFonts w:eastAsia="Times New Roman"/>
              <w:color w:val="000000" w:themeColor="text1"/>
            </w:rPr>
            <w:t>(4). Https://Doi.Org/10.1016/0304-405x(76)90026-X</w:t>
          </w:r>
        </w:p>
        <w:p w14:paraId="5286103F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Kasmir. (2019). Analisis Laporan Keunagan.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Rajawali Pers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7C2A3339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Khayati, A., Sari, R. D. P., &amp; Giovanni, A. (2022). Nilai Tambah Modal Manusia Dan Keberlangsungan Bisnis Perusahaan Sektor Consumer Non-Cyclicals.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Borobudur Management Review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2</w:t>
          </w:r>
          <w:r w:rsidRPr="004D128E">
            <w:rPr>
              <w:rFonts w:eastAsia="Times New Roman"/>
              <w:color w:val="000000" w:themeColor="text1"/>
            </w:rPr>
            <w:t>(2), 177–197. Https://Doi.Org/10.31603/Bmar.V2i2.7377</w:t>
          </w:r>
        </w:p>
        <w:p w14:paraId="79FC18F3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Kristina, A., Prihatiningsih, P., &amp; Kusmargiani, I. S. (2019). Analisis Pengaruh Likuiditas, Struktur Aktiva, Free Cash Flow, Dan Ukuran Perusahaan Terhadap Kebijakan Utang (Der) Pada Pt Jasa Marga Tbk Periode 2009-2018.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Keunis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7</w:t>
          </w:r>
          <w:r w:rsidRPr="004D128E">
            <w:rPr>
              <w:rFonts w:eastAsia="Times New Roman"/>
              <w:color w:val="000000" w:themeColor="text1"/>
            </w:rPr>
            <w:t>(2). Https://Doi.Org/10.32497/Keunis.V7i2.1588</w:t>
          </w:r>
        </w:p>
        <w:p w14:paraId="57561D3C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Kusumi, B. A., &amp; Eforis, C. (2020). Pengaruh Struktur Aset, Likuiditas, Profitabilitas, Kebijakan Dividen, Kepemilikan Saham Institusional Dan Risiko Bisnis Terhadap Kebijakan Utang (Studi </w:t>
          </w:r>
          <w:r w:rsidRPr="004D128E">
            <w:rPr>
              <w:rFonts w:eastAsia="Times New Roman"/>
              <w:color w:val="000000" w:themeColor="text1"/>
            </w:rPr>
            <w:lastRenderedPageBreak/>
            <w:t xml:space="preserve">Empiris Pada Perusahaan Manufaktur Yang Terdaftar Di Bursa Efek Indonesia Periode 2015-2017).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Ultimaccounting : Jurnal Ilmu Akuntansi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12</w:t>
          </w:r>
          <w:r w:rsidRPr="004D128E">
            <w:rPr>
              <w:rFonts w:eastAsia="Times New Roman"/>
              <w:color w:val="000000" w:themeColor="text1"/>
            </w:rPr>
            <w:t>(2). Https://Doi.Org/10.31937/Akuntansi.V12i2.1733</w:t>
          </w:r>
        </w:p>
        <w:p w14:paraId="1DAC637C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Lintner, J. (1962). Dividends, Earnings, Leverage, Stock Prices And The Supply Of Capital To Corporations.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The Review Of Economics And Statistics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44</w:t>
          </w:r>
          <w:r w:rsidRPr="004D128E">
            <w:rPr>
              <w:rFonts w:eastAsia="Times New Roman"/>
              <w:color w:val="000000" w:themeColor="text1"/>
            </w:rPr>
            <w:t>(3). Https://Doi.Org/10.2307/1926397</w:t>
          </w:r>
        </w:p>
        <w:p w14:paraId="797159F8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Mahmudah, H., &amp; Ratnawati, T. (2020). Pengaruh Profitabilitas Terhadap Kebijakan Dividen Tunai Dengan Likuiditas Sebagai Variabel Moderasi (Studi Terhadap Perusahaan Manufaktur Yang Terdaftar Di Bursa Efek Indonesia Periode 2015 - 2018).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Die: Jurnal Ilmu Ekonomi Dan Manajemen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11</w:t>
          </w:r>
          <w:r w:rsidRPr="004D128E">
            <w:rPr>
              <w:rFonts w:eastAsia="Times New Roman"/>
              <w:color w:val="000000" w:themeColor="text1"/>
            </w:rPr>
            <w:t>(01). Https://Doi.Org/10.30996/Die.V11i01.3400</w:t>
          </w:r>
        </w:p>
        <w:p w14:paraId="0C957BB4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Moosa, I. A. (2010). The Myth Of Too Big To Fail.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The Myth Of Too Big To Fail</w:t>
          </w:r>
          <w:r w:rsidRPr="004D128E">
            <w:rPr>
              <w:rFonts w:eastAsia="Times New Roman"/>
              <w:color w:val="000000" w:themeColor="text1"/>
            </w:rPr>
            <w:t>. Https://Doi.Org/10.1057/9780230295056</w:t>
          </w:r>
        </w:p>
        <w:p w14:paraId="5DB75E90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Munawir, S. (2014). Analisa Laporan Keuangan (Edisi 4).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Jakarta: Salemba Empat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5EB3A0AA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Nur, S. (2022).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Pandemi Covid-19 Dan Dampaknya Terhadap Ekonomi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2C27783E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Pujiati, P. (2015). Faktor-Faktor Yang Mempengaruhi Kebijakan Dividen Pada Sektor Industri Barang Konsumsi.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Nominal, Barometer Riset Akuntansi Dan Manajemen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4</w:t>
          </w:r>
          <w:r w:rsidRPr="004D128E">
            <w:rPr>
              <w:rFonts w:eastAsia="Times New Roman"/>
              <w:color w:val="000000" w:themeColor="text1"/>
            </w:rPr>
            <w:t>(1). Https://Doi.Org/10.21831/Nominal.V4i1.6887</w:t>
          </w:r>
        </w:p>
        <w:p w14:paraId="013CBE3D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Putra, Z. Y. (2017). Pengaruh Arus Kas Bebas, Profitabilitas Dan Ukuran Perusahaan Terhadap Kebijakan Utang.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Ilmu Dan Riset Akuntansi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6</w:t>
          </w:r>
          <w:r w:rsidRPr="004D128E">
            <w:rPr>
              <w:rFonts w:eastAsia="Times New Roman"/>
              <w:color w:val="000000" w:themeColor="text1"/>
            </w:rPr>
            <w:t>(3).</w:t>
          </w:r>
          <w:r>
            <w:rPr>
              <w:rFonts w:eastAsia="Times New Roman"/>
              <w:color w:val="000000" w:themeColor="text1"/>
            </w:rPr>
            <w:t xml:space="preserve"> https://</w:t>
          </w:r>
          <w:r w:rsidRPr="00CA09C8">
            <w:rPr>
              <w:color w:val="000000" w:themeColor="text1"/>
              <w:shd w:val="clear" w:color="auto" w:fill="FFFFFF"/>
            </w:rPr>
            <w:t>jurnalmahasiswa.stiesia.ac.id</w:t>
          </w:r>
        </w:p>
        <w:p w14:paraId="125AEA3A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Rinati, I. (2016). Pengaruh Npm, Roa Dan Roe Terhadap Harga Saham Pada Perusahaan Yang Tercantum Dalam Indeks Lq45.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Akuntansi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1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44D87229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Saida Said, N. S. (2022). Pengaruh Kepemilikan Manajerial, Kepemilikan Institusional  Dan Kebijakan Deviden Terhadap Kebijakan Utang Pada  Perusahaan Non Keuangan Yang Terdaftar Di  Bursa Efek Indonesia.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Seiko : Journal Of Management &amp; Business, 5(1</w:t>
          </w:r>
          <w:r w:rsidRPr="004D128E">
            <w:rPr>
              <w:rFonts w:eastAsia="Times New Roman"/>
              <w:color w:val="000000" w:themeColor="text1"/>
            </w:rPr>
            <w:t>. Https://Doi.Org/Https://Doi.Org/10.37531/Sejaman.V5i2.1843</w:t>
          </w:r>
        </w:p>
        <w:p w14:paraId="3EA071FD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Saputri, S. M., Hariyanti, W., &amp; Harjito, Y. (2020). Analisis Faktor-Faktor Yang Mempengaruhi Kebijakan Hutang.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Berkala Akuntansi Dan Keuangan Indonesia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5</w:t>
          </w:r>
          <w:r w:rsidRPr="004D128E">
            <w:rPr>
              <w:rFonts w:eastAsia="Times New Roman"/>
              <w:color w:val="000000" w:themeColor="text1"/>
            </w:rPr>
            <w:t>(2). Https://Doi.Org/10.20473/Baki.V5i2.18332</w:t>
          </w:r>
        </w:p>
        <w:p w14:paraId="2C41C609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Saputro, R. C., &amp; Yuliandhari, W. S. (2016). Pengaruh Struktur Aktiva, Profitabilitas Dan Kebijakan Dividen Terhadap Kebijakan Utang (Studi Pada Perusahaan Pertambangan Subsektor Batubara Yang Tercatat Di Bei Tahun 2011-2013).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E-Proceeding Of Management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2</w:t>
          </w:r>
          <w:r w:rsidRPr="004D128E">
            <w:rPr>
              <w:rFonts w:eastAsia="Times New Roman"/>
              <w:color w:val="000000" w:themeColor="text1"/>
            </w:rPr>
            <w:t>(3).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CA09C8">
            <w:rPr>
              <w:rFonts w:eastAsia="Times New Roman"/>
              <w:color w:val="000000" w:themeColor="text1"/>
            </w:rPr>
            <w:t>https://openlibrarypublications.telkomuniversity.ac.id/</w:t>
          </w:r>
        </w:p>
        <w:p w14:paraId="725719EA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Sartono, A. (2015). Manajemen Keuangan Teori Dan Aplikasi. Edisi 4. Yogyakarta: Bpfe.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Revolusi Industri 4.0: Desain Perkembangan Transaksi Dan Sistem Akuntansi Keuangan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128A0D43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Sha, T. L. (2018). Faktor-Faktor Yang Mempengaruhi Kebijakan Utang Perusahaan Manufaktur Di Bursa Efek Indonesia.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Jurnal Ekonomi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23</w:t>
          </w:r>
          <w:r w:rsidRPr="004D128E">
            <w:rPr>
              <w:rFonts w:eastAsia="Times New Roman"/>
              <w:color w:val="000000" w:themeColor="text1"/>
            </w:rPr>
            <w:t>(2). Https://Doi.Org/10.24912/Je.V23i2.366</w:t>
          </w:r>
        </w:p>
        <w:p w14:paraId="552B8281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lastRenderedPageBreak/>
            <w:t xml:space="preserve">Spence, M. (1973). Job Market Signaling Author ( S ): Michael Spence Reviewed Work ( S ): Published By : Oxford University Press.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The Quarterly Journal Of Economics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87</w:t>
          </w:r>
          <w:r w:rsidRPr="004D128E">
            <w:rPr>
              <w:rFonts w:eastAsia="Times New Roman"/>
              <w:color w:val="000000" w:themeColor="text1"/>
            </w:rPr>
            <w:t>(3). Https://Doi.Org/10.2307/1882010</w:t>
          </w:r>
        </w:p>
        <w:p w14:paraId="013A6D6D" w14:textId="77777777" w:rsidR="004701AA" w:rsidRPr="00CA09C8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Sri Ariandani, P., &amp; Ketut Yadnyana, I. (2016). Likuiditas Memoderasi Pengaruh Profitabiltas Dan Investment Opportunity Set (Ios) Pada Kebijakan Dividen. In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Oktober</w:t>
          </w:r>
          <w:r w:rsidRPr="004D128E">
            <w:rPr>
              <w:rFonts w:eastAsia="Times New Roman"/>
              <w:color w:val="000000" w:themeColor="text1"/>
            </w:rPr>
            <w:t xml:space="preserve"> (Vol. 17).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CA09C8">
            <w:rPr>
              <w:rFonts w:eastAsia="Times New Roman"/>
              <w:color w:val="000000" w:themeColor="text1"/>
            </w:rPr>
            <w:t>https:</w:t>
          </w:r>
          <w:r w:rsidRPr="00CA09C8">
            <w:rPr>
              <w:color w:val="000000" w:themeColor="text1"/>
              <w:shd w:val="clear" w:color="auto" w:fill="FFFFFF"/>
            </w:rPr>
            <w:t>ojs.unud.ac.id</w:t>
          </w:r>
        </w:p>
        <w:p w14:paraId="3984AAEA" w14:textId="77777777" w:rsidR="004701AA" w:rsidRPr="00CA09C8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  <w:sz w:val="32"/>
              <w:szCs w:val="32"/>
            </w:rPr>
          </w:pPr>
          <w:r w:rsidRPr="004D128E">
            <w:rPr>
              <w:rFonts w:eastAsia="Times New Roman"/>
              <w:color w:val="000000" w:themeColor="text1"/>
            </w:rPr>
            <w:t xml:space="preserve">Studi Keuangan Dan Perbankan, P. (2017). </w:t>
          </w:r>
          <w:r w:rsidRPr="00CA09C8">
            <w:rPr>
              <w:rFonts w:eastAsia="Times New Roman"/>
              <w:color w:val="000000" w:themeColor="text1"/>
            </w:rPr>
            <w:t>Pengaruh Likuiditas Terhadap Profitabilitas Yang Dimoderasi Size Perusahaan Perbankan Yang Listing Di Bursa Efek Indonesia (Bei) Periode 2011-2014 Jurnal Ilmiah Disusun Oleh: Moch Noer Fahad Dery Lazuardy</w:t>
          </w:r>
          <w:r w:rsidRPr="004D128E">
            <w:rPr>
              <w:rFonts w:eastAsia="Times New Roman"/>
              <w:i/>
              <w:iCs/>
              <w:color w:val="000000" w:themeColor="text1"/>
            </w:rPr>
            <w:t xml:space="preserve"> 125020407111017</w:t>
          </w:r>
          <w:r w:rsidRPr="004D128E">
            <w:rPr>
              <w:rFonts w:eastAsia="Times New Roman"/>
              <w:color w:val="000000" w:themeColor="text1"/>
            </w:rPr>
            <w:t>.</w:t>
          </w:r>
          <w:r w:rsidRPr="00CA09C8">
            <w:rPr>
              <w:rFonts w:ascii="Arial" w:hAnsi="Arial" w:cs="Arial"/>
              <w:color w:val="006621"/>
              <w:sz w:val="20"/>
              <w:szCs w:val="20"/>
              <w:shd w:val="clear" w:color="auto" w:fill="FFFFFF"/>
            </w:rPr>
            <w:t xml:space="preserve"> </w:t>
          </w:r>
          <w:r w:rsidRPr="00CA09C8">
            <w:rPr>
              <w:color w:val="000000" w:themeColor="text1"/>
              <w:shd w:val="clear" w:color="auto" w:fill="FFFFFF"/>
            </w:rPr>
            <w:t>https://download.garuda.kemdikbud.go.id</w:t>
          </w:r>
        </w:p>
        <w:p w14:paraId="319DB551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Sugiyono. (2018). Sugiyono Metode Penelitian Kuantitatif Kualitatif.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Metode Penelitian Kuantitatif Kualitatif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0A41AF5C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Suryani, A. D., &amp; Khafid, M. (2015). Pengaruh Free Cash Flow, Pertumbuhan Perusahaan, Kebijakan Deviden Dan Ukuran Perusahaan Terhadap Kebijakan Hutang Pada Perusahaan Manufaktur Di Bursa Efek Indonesia Tahun 2013.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Dinamika Akuntansi, Keuangan Dan Perbankan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4</w:t>
          </w:r>
          <w:r w:rsidRPr="004D128E">
            <w:rPr>
              <w:rFonts w:eastAsia="Times New Roman"/>
              <w:color w:val="000000" w:themeColor="text1"/>
            </w:rPr>
            <w:t>(1).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4D10C7">
            <w:rPr>
              <w:rFonts w:eastAsia="Times New Roman"/>
              <w:color w:val="000000" w:themeColor="text1"/>
            </w:rPr>
            <w:t>https://www.unisbank.ac.id/</w:t>
          </w:r>
        </w:p>
        <w:p w14:paraId="14F1021D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Tampakoudis, I., Noulas, A., Kiosses, N., &amp; Drogalas, G. (2021). The Effect Of Esg On Value Creation From Mergers And Acquisitions. What Changed During The Covid-19 Pandemic?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Corporate Governance (Bingley)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21</w:t>
          </w:r>
          <w:r w:rsidRPr="004D128E">
            <w:rPr>
              <w:rFonts w:eastAsia="Times New Roman"/>
              <w:color w:val="000000" w:themeColor="text1"/>
            </w:rPr>
            <w:t>(6). Https://Doi.Org/10.1108/Cg-10-2020-0448</w:t>
          </w:r>
        </w:p>
        <w:p w14:paraId="7CEAD405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Ulfah, I. F. (2016). Faktor-Faktor Yang Mempengaruhi Dividen Dengan Likuiditas Sebagai Variabel Moderasi (Studi Empiris Pada Perusahaan Yang Terdaftar Dalam Bei).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Cendekia Akuntansi</w:t>
          </w:r>
          <w:r w:rsidRPr="004D128E">
            <w:rPr>
              <w:rFonts w:eastAsia="Times New Roman"/>
              <w:color w:val="000000" w:themeColor="text1"/>
            </w:rPr>
            <w:t xml:space="preserve">,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4</w:t>
          </w:r>
          <w:r w:rsidRPr="004D128E">
            <w:rPr>
              <w:rFonts w:eastAsia="Times New Roman"/>
              <w:color w:val="000000" w:themeColor="text1"/>
            </w:rPr>
            <w:t>(1).</w:t>
          </w:r>
          <w:r>
            <w:rPr>
              <w:rFonts w:eastAsia="Times New Roman"/>
              <w:color w:val="000000" w:themeColor="text1"/>
            </w:rPr>
            <w:t xml:space="preserve"> </w:t>
          </w:r>
          <w:r w:rsidRPr="004D10C7">
            <w:rPr>
              <w:rFonts w:eastAsia="Times New Roman"/>
              <w:color w:val="000000" w:themeColor="text1"/>
            </w:rPr>
            <w:t>http://eprints.umpo.ac.id/id/eprint/1943</w:t>
          </w:r>
        </w:p>
        <w:p w14:paraId="57D4BA94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Utami, D. N. (2020). Kinerja Ihsg Kuartal I/2020 : Sektor Barang Konsumsi Pimpin Kinerja Sektoral. </w:t>
          </w:r>
          <w:r>
            <w:rPr>
              <w:rFonts w:eastAsia="Times New Roman"/>
              <w:color w:val="000000" w:themeColor="text1"/>
            </w:rPr>
            <w:t>www.b</w:t>
          </w:r>
          <w:r w:rsidRPr="004D128E">
            <w:rPr>
              <w:rFonts w:eastAsia="Times New Roman"/>
              <w:i/>
              <w:iCs/>
              <w:color w:val="000000" w:themeColor="text1"/>
            </w:rPr>
            <w:t>isnis.Com</w:t>
          </w:r>
          <w:r w:rsidRPr="004D128E">
            <w:rPr>
              <w:rFonts w:eastAsia="Times New Roman"/>
              <w:color w:val="000000" w:themeColor="text1"/>
            </w:rPr>
            <w:t>.</w:t>
          </w:r>
        </w:p>
        <w:p w14:paraId="170695DC" w14:textId="77777777" w:rsidR="004701AA" w:rsidRPr="004D128E" w:rsidRDefault="004701AA" w:rsidP="004701AA">
          <w:pPr>
            <w:autoSpaceDE w:val="0"/>
            <w:autoSpaceDN w:val="0"/>
            <w:ind w:hanging="480"/>
            <w:jc w:val="both"/>
            <w:rPr>
              <w:rFonts w:eastAsia="Times New Roman"/>
              <w:color w:val="000000" w:themeColor="text1"/>
            </w:rPr>
          </w:pPr>
          <w:r w:rsidRPr="004D128E">
            <w:rPr>
              <w:rFonts w:eastAsia="Times New Roman"/>
              <w:color w:val="000000" w:themeColor="text1"/>
            </w:rPr>
            <w:t xml:space="preserve">Yunisari, N. W., &amp; Ratnadi, N. M. D. (2018). Pengaruh Profitabilitas Dan Kepemilikan Manajerial Pada Kebijakan Dividen Dengan Likuiditas Sebagai Variabel Moderasi. </w:t>
          </w:r>
          <w:r w:rsidRPr="004D128E">
            <w:rPr>
              <w:rFonts w:eastAsia="Times New Roman"/>
              <w:i/>
              <w:iCs/>
              <w:color w:val="000000" w:themeColor="text1"/>
            </w:rPr>
            <w:t>E-Jurnal Akuntansi</w:t>
          </w:r>
          <w:r w:rsidRPr="004D128E">
            <w:rPr>
              <w:rFonts w:eastAsia="Times New Roman"/>
              <w:color w:val="000000" w:themeColor="text1"/>
            </w:rPr>
            <w:t>. Https://Doi.Org/10.24843/Eja.2018.V23.I01.P15</w:t>
          </w:r>
        </w:p>
        <w:p w14:paraId="72AFE772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614EE80A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2B28A991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51FDE2A9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13ED5613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130BC0DE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44F2AD56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2CF087EC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229B2DBF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3636B707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rFonts w:eastAsia="Times New Roman"/>
              <w:color w:val="000000" w:themeColor="text1"/>
            </w:rPr>
          </w:pPr>
        </w:p>
        <w:p w14:paraId="6C185BAF" w14:textId="77777777" w:rsidR="004701AA" w:rsidRDefault="004701AA" w:rsidP="004701AA">
          <w:pPr>
            <w:suppressLineNumbers/>
            <w:autoSpaceDE w:val="0"/>
            <w:autoSpaceDN w:val="0"/>
            <w:spacing w:line="240" w:lineRule="auto"/>
            <w:jc w:val="both"/>
            <w:rPr>
              <w:color w:val="000000" w:themeColor="text1"/>
            </w:rPr>
          </w:pPr>
        </w:p>
      </w:sdtContent>
    </w:sdt>
    <w:bookmarkEnd w:id="1" w:displacedByCustomXml="prev"/>
    <w:p w14:paraId="7D824819" w14:textId="77777777" w:rsidR="004701AA" w:rsidRPr="004D128E" w:rsidRDefault="004701AA" w:rsidP="004701AA">
      <w:pPr>
        <w:suppressLineNumbers/>
        <w:autoSpaceDE w:val="0"/>
        <w:autoSpaceDN w:val="0"/>
        <w:spacing w:line="240" w:lineRule="auto"/>
        <w:ind w:left="480" w:hanging="482"/>
        <w:jc w:val="both"/>
        <w:rPr>
          <w:color w:val="000000" w:themeColor="text1"/>
        </w:rPr>
      </w:pPr>
    </w:p>
    <w:p w14:paraId="0A14ED48" w14:textId="77777777" w:rsidR="004701AA" w:rsidRPr="004D128E" w:rsidRDefault="004701AA" w:rsidP="004701AA">
      <w:pPr>
        <w:suppressLineNumbers/>
        <w:autoSpaceDE w:val="0"/>
        <w:autoSpaceDN w:val="0"/>
        <w:spacing w:line="240" w:lineRule="auto"/>
        <w:rPr>
          <w:color w:val="000000" w:themeColor="text1"/>
        </w:rPr>
      </w:pPr>
    </w:p>
    <w:p w14:paraId="5FDFA2EB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</w:t>
      </w:r>
    </w:p>
    <w:p w14:paraId="217A0151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</w:t>
      </w:r>
    </w:p>
    <w:p w14:paraId="60914223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</w:t>
      </w:r>
    </w:p>
    <w:p w14:paraId="3FA31E05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</w:t>
      </w:r>
    </w:p>
    <w:p w14:paraId="6FC36F78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</w:t>
      </w:r>
    </w:p>
    <w:p w14:paraId="37983DA3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</w:t>
      </w:r>
    </w:p>
    <w:p w14:paraId="6681778B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</w:t>
      </w:r>
    </w:p>
    <w:p w14:paraId="0FD40DD4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</w:t>
      </w:r>
    </w:p>
    <w:p w14:paraId="55233AEE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</w:p>
    <w:p w14:paraId="4398B026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</w:p>
    <w:p w14:paraId="53AA8D07" w14:textId="77777777" w:rsidR="004701AA" w:rsidRDefault="004701AA" w:rsidP="004701AA">
      <w:pPr>
        <w:jc w:val="center"/>
        <w:rPr>
          <w:b/>
          <w:bCs/>
          <w:sz w:val="72"/>
          <w:szCs w:val="72"/>
        </w:rPr>
      </w:pPr>
    </w:p>
    <w:p w14:paraId="50F11C9C" w14:textId="77777777" w:rsidR="004701AA" w:rsidRDefault="004701AA" w:rsidP="004701AA">
      <w:pPr>
        <w:jc w:val="center"/>
        <w:rPr>
          <w:b/>
          <w:bCs/>
          <w:sz w:val="22"/>
          <w:szCs w:val="22"/>
        </w:rPr>
      </w:pPr>
    </w:p>
    <w:p w14:paraId="4CE3690F" w14:textId="77777777" w:rsidR="004701AA" w:rsidRPr="007B1E77" w:rsidRDefault="004701AA" w:rsidP="004701AA">
      <w:pPr>
        <w:pStyle w:val="ListParagraph"/>
        <w:numPr>
          <w:ilvl w:val="2"/>
          <w:numId w:val="34"/>
        </w:numPr>
        <w:rPr>
          <w:b/>
          <w:bCs/>
          <w:sz w:val="22"/>
          <w:szCs w:val="22"/>
        </w:rPr>
      </w:pPr>
      <w:r w:rsidRPr="007B1E77">
        <w:rPr>
          <w:b/>
          <w:bCs/>
          <w:sz w:val="22"/>
          <w:szCs w:val="22"/>
        </w:rPr>
        <w:t>Lampiran data mentah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0"/>
        <w:gridCol w:w="1980"/>
        <w:gridCol w:w="975"/>
        <w:gridCol w:w="975"/>
        <w:gridCol w:w="975"/>
        <w:gridCol w:w="975"/>
      </w:tblGrid>
      <w:tr w:rsidR="004701AA" w:rsidRPr="00852139" w14:paraId="1F764F32" w14:textId="77777777" w:rsidTr="00E21D2F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4B423CDD" w14:textId="77777777" w:rsidR="004701AA" w:rsidRPr="00852139" w:rsidRDefault="004701AA" w:rsidP="00E21D2F">
            <w:pPr>
              <w:rPr>
                <w:b/>
                <w:bCs/>
                <w:lang w:val="en-ID"/>
              </w:rPr>
            </w:pPr>
            <w:r w:rsidRPr="00852139">
              <w:rPr>
                <w:b/>
                <w:bCs/>
              </w:rPr>
              <w:t>NO</w:t>
            </w:r>
          </w:p>
        </w:tc>
        <w:tc>
          <w:tcPr>
            <w:tcW w:w="1980" w:type="dxa"/>
            <w:vMerge w:val="restart"/>
            <w:noWrap/>
            <w:hideMark/>
          </w:tcPr>
          <w:p w14:paraId="4725D103" w14:textId="77777777" w:rsidR="004701AA" w:rsidRPr="00852139" w:rsidRDefault="004701AA" w:rsidP="00E21D2F">
            <w:pPr>
              <w:rPr>
                <w:b/>
                <w:bCs/>
              </w:rPr>
            </w:pPr>
            <w:r w:rsidRPr="00852139">
              <w:rPr>
                <w:b/>
                <w:bCs/>
              </w:rPr>
              <w:t>Kode Perusahaan</w:t>
            </w:r>
          </w:p>
        </w:tc>
        <w:tc>
          <w:tcPr>
            <w:tcW w:w="3900" w:type="dxa"/>
            <w:gridSpan w:val="4"/>
            <w:noWrap/>
            <w:hideMark/>
          </w:tcPr>
          <w:p w14:paraId="10D03B0E" w14:textId="77777777" w:rsidR="004701AA" w:rsidRPr="00852139" w:rsidRDefault="004701AA" w:rsidP="00E21D2F">
            <w:pPr>
              <w:jc w:val="center"/>
            </w:pPr>
            <w:r w:rsidRPr="00852139">
              <w:t>Ln Assets</w:t>
            </w:r>
          </w:p>
        </w:tc>
      </w:tr>
      <w:tr w:rsidR="004701AA" w:rsidRPr="00852139" w14:paraId="1BA81A8E" w14:textId="77777777" w:rsidTr="00E21D2F">
        <w:trPr>
          <w:trHeight w:val="300"/>
        </w:trPr>
        <w:tc>
          <w:tcPr>
            <w:tcW w:w="700" w:type="dxa"/>
            <w:vMerge/>
            <w:hideMark/>
          </w:tcPr>
          <w:p w14:paraId="18C8F31B" w14:textId="77777777" w:rsidR="004701AA" w:rsidRPr="00852139" w:rsidRDefault="004701AA" w:rsidP="00E21D2F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hideMark/>
          </w:tcPr>
          <w:p w14:paraId="7023004A" w14:textId="77777777" w:rsidR="004701AA" w:rsidRPr="00852139" w:rsidRDefault="004701AA" w:rsidP="00E21D2F">
            <w:pPr>
              <w:rPr>
                <w:b/>
                <w:bCs/>
              </w:rPr>
            </w:pPr>
          </w:p>
        </w:tc>
        <w:tc>
          <w:tcPr>
            <w:tcW w:w="975" w:type="dxa"/>
            <w:noWrap/>
            <w:hideMark/>
          </w:tcPr>
          <w:p w14:paraId="09CEFA8B" w14:textId="77777777" w:rsidR="004701AA" w:rsidRPr="00852139" w:rsidRDefault="004701AA" w:rsidP="00E21D2F">
            <w:r w:rsidRPr="00852139">
              <w:t>2019</w:t>
            </w:r>
          </w:p>
        </w:tc>
        <w:tc>
          <w:tcPr>
            <w:tcW w:w="975" w:type="dxa"/>
            <w:noWrap/>
            <w:hideMark/>
          </w:tcPr>
          <w:p w14:paraId="646E4A16" w14:textId="77777777" w:rsidR="004701AA" w:rsidRPr="00852139" w:rsidRDefault="004701AA" w:rsidP="00E21D2F">
            <w:r w:rsidRPr="00852139">
              <w:t>2020</w:t>
            </w:r>
          </w:p>
        </w:tc>
        <w:tc>
          <w:tcPr>
            <w:tcW w:w="975" w:type="dxa"/>
            <w:noWrap/>
            <w:hideMark/>
          </w:tcPr>
          <w:p w14:paraId="761D128B" w14:textId="77777777" w:rsidR="004701AA" w:rsidRPr="00852139" w:rsidRDefault="004701AA" w:rsidP="00E21D2F">
            <w:r w:rsidRPr="00852139">
              <w:t>2021</w:t>
            </w:r>
          </w:p>
        </w:tc>
        <w:tc>
          <w:tcPr>
            <w:tcW w:w="975" w:type="dxa"/>
            <w:noWrap/>
            <w:hideMark/>
          </w:tcPr>
          <w:p w14:paraId="545D558E" w14:textId="77777777" w:rsidR="004701AA" w:rsidRPr="00852139" w:rsidRDefault="004701AA" w:rsidP="00E21D2F">
            <w:r w:rsidRPr="00852139">
              <w:t>2022</w:t>
            </w:r>
          </w:p>
        </w:tc>
      </w:tr>
      <w:tr w:rsidR="004701AA" w:rsidRPr="00852139" w14:paraId="0CAF8497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1B0F77A1" w14:textId="77777777" w:rsidR="004701AA" w:rsidRPr="00852139" w:rsidRDefault="004701AA" w:rsidP="00E21D2F">
            <w:r w:rsidRPr="00852139">
              <w:t>1</w:t>
            </w:r>
          </w:p>
        </w:tc>
        <w:tc>
          <w:tcPr>
            <w:tcW w:w="1980" w:type="dxa"/>
            <w:noWrap/>
            <w:hideMark/>
          </w:tcPr>
          <w:p w14:paraId="3B6D1E40" w14:textId="77777777" w:rsidR="004701AA" w:rsidRPr="00852139" w:rsidRDefault="004701AA" w:rsidP="00E21D2F">
            <w:r w:rsidRPr="00852139">
              <w:t xml:space="preserve">AMRT </w:t>
            </w:r>
          </w:p>
        </w:tc>
        <w:tc>
          <w:tcPr>
            <w:tcW w:w="975" w:type="dxa"/>
            <w:noWrap/>
            <w:hideMark/>
          </w:tcPr>
          <w:p w14:paraId="642E5105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5FE70980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3D6467CA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4FEE86A0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5B15B3FA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447E4DE0" w14:textId="77777777" w:rsidR="004701AA" w:rsidRPr="00852139" w:rsidRDefault="004701AA" w:rsidP="00E21D2F">
            <w:r w:rsidRPr="00852139">
              <w:t>2</w:t>
            </w:r>
          </w:p>
        </w:tc>
        <w:tc>
          <w:tcPr>
            <w:tcW w:w="1980" w:type="dxa"/>
            <w:noWrap/>
            <w:hideMark/>
          </w:tcPr>
          <w:p w14:paraId="3C7E6CFB" w14:textId="77777777" w:rsidR="004701AA" w:rsidRPr="00852139" w:rsidRDefault="004701AA" w:rsidP="00E21D2F">
            <w:r w:rsidRPr="00852139">
              <w:t>BISI</w:t>
            </w:r>
          </w:p>
        </w:tc>
        <w:tc>
          <w:tcPr>
            <w:tcW w:w="975" w:type="dxa"/>
            <w:noWrap/>
            <w:hideMark/>
          </w:tcPr>
          <w:p w14:paraId="5927B485" w14:textId="77777777" w:rsidR="004701AA" w:rsidRPr="00852139" w:rsidRDefault="004701AA" w:rsidP="00E21D2F">
            <w:r w:rsidRPr="00852139">
              <w:t>6</w:t>
            </w:r>
          </w:p>
        </w:tc>
        <w:tc>
          <w:tcPr>
            <w:tcW w:w="975" w:type="dxa"/>
            <w:noWrap/>
            <w:hideMark/>
          </w:tcPr>
          <w:p w14:paraId="63453C43" w14:textId="77777777" w:rsidR="004701AA" w:rsidRPr="00852139" w:rsidRDefault="004701AA" w:rsidP="00E21D2F">
            <w:r w:rsidRPr="00852139">
              <w:t>6</w:t>
            </w:r>
          </w:p>
        </w:tc>
        <w:tc>
          <w:tcPr>
            <w:tcW w:w="975" w:type="dxa"/>
            <w:noWrap/>
            <w:hideMark/>
          </w:tcPr>
          <w:p w14:paraId="7225D065" w14:textId="77777777" w:rsidR="004701AA" w:rsidRPr="00852139" w:rsidRDefault="004701AA" w:rsidP="00E21D2F">
            <w:r w:rsidRPr="00852139">
              <w:t>6</w:t>
            </w:r>
          </w:p>
        </w:tc>
        <w:tc>
          <w:tcPr>
            <w:tcW w:w="975" w:type="dxa"/>
            <w:noWrap/>
            <w:hideMark/>
          </w:tcPr>
          <w:p w14:paraId="2FB8AEC6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78CC1F8F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6AA653B0" w14:textId="77777777" w:rsidR="004701AA" w:rsidRPr="00852139" w:rsidRDefault="004701AA" w:rsidP="00E21D2F">
            <w:r w:rsidRPr="00852139">
              <w:t>3</w:t>
            </w:r>
          </w:p>
        </w:tc>
        <w:tc>
          <w:tcPr>
            <w:tcW w:w="1980" w:type="dxa"/>
            <w:noWrap/>
            <w:hideMark/>
          </w:tcPr>
          <w:p w14:paraId="09E566ED" w14:textId="77777777" w:rsidR="004701AA" w:rsidRPr="00852139" w:rsidRDefault="004701AA" w:rsidP="00E21D2F">
            <w:r w:rsidRPr="00852139">
              <w:t>AALI</w:t>
            </w:r>
          </w:p>
        </w:tc>
        <w:tc>
          <w:tcPr>
            <w:tcW w:w="975" w:type="dxa"/>
            <w:noWrap/>
            <w:hideMark/>
          </w:tcPr>
          <w:p w14:paraId="40AA395C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5D675F27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61BA481D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426D5E6C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707056DC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49E3B858" w14:textId="77777777" w:rsidR="004701AA" w:rsidRPr="00852139" w:rsidRDefault="004701AA" w:rsidP="00E21D2F">
            <w:r w:rsidRPr="00852139">
              <w:t>4</w:t>
            </w:r>
          </w:p>
        </w:tc>
        <w:tc>
          <w:tcPr>
            <w:tcW w:w="1980" w:type="dxa"/>
            <w:noWrap/>
            <w:hideMark/>
          </w:tcPr>
          <w:p w14:paraId="4023EA80" w14:textId="77777777" w:rsidR="004701AA" w:rsidRPr="00852139" w:rsidRDefault="004701AA" w:rsidP="00E21D2F">
            <w:r w:rsidRPr="00852139">
              <w:t>CEKA</w:t>
            </w:r>
          </w:p>
        </w:tc>
        <w:tc>
          <w:tcPr>
            <w:tcW w:w="975" w:type="dxa"/>
            <w:noWrap/>
            <w:hideMark/>
          </w:tcPr>
          <w:p w14:paraId="3CE804DF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2C0FA6B8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6F7BB429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77BB887F" w14:textId="77777777" w:rsidR="004701AA" w:rsidRPr="00852139" w:rsidRDefault="004701AA" w:rsidP="00E21D2F">
            <w:r w:rsidRPr="00852139">
              <w:t>12</w:t>
            </w:r>
          </w:p>
        </w:tc>
      </w:tr>
      <w:tr w:rsidR="004701AA" w:rsidRPr="00852139" w14:paraId="72FD96BF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20C13753" w14:textId="77777777" w:rsidR="004701AA" w:rsidRPr="00852139" w:rsidRDefault="004701AA" w:rsidP="00E21D2F">
            <w:r w:rsidRPr="00852139">
              <w:t>5</w:t>
            </w:r>
          </w:p>
        </w:tc>
        <w:tc>
          <w:tcPr>
            <w:tcW w:w="1980" w:type="dxa"/>
            <w:noWrap/>
            <w:hideMark/>
          </w:tcPr>
          <w:p w14:paraId="2F74394E" w14:textId="77777777" w:rsidR="004701AA" w:rsidRPr="00852139" w:rsidRDefault="004701AA" w:rsidP="00E21D2F">
            <w:r w:rsidRPr="00852139">
              <w:t>CPIN</w:t>
            </w:r>
          </w:p>
        </w:tc>
        <w:tc>
          <w:tcPr>
            <w:tcW w:w="975" w:type="dxa"/>
            <w:noWrap/>
            <w:hideMark/>
          </w:tcPr>
          <w:p w14:paraId="18C72A1F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2BA7B75D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5C3224EE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0ABF9681" w14:textId="77777777" w:rsidR="004701AA" w:rsidRPr="00852139" w:rsidRDefault="004701AA" w:rsidP="00E21D2F">
            <w:r w:rsidRPr="00852139">
              <w:t>8</w:t>
            </w:r>
          </w:p>
        </w:tc>
      </w:tr>
      <w:tr w:rsidR="004701AA" w:rsidRPr="00852139" w14:paraId="1E803C9C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058D0CF5" w14:textId="77777777" w:rsidR="004701AA" w:rsidRPr="00852139" w:rsidRDefault="004701AA" w:rsidP="00E21D2F">
            <w:r w:rsidRPr="00852139">
              <w:t>6</w:t>
            </w:r>
          </w:p>
        </w:tc>
        <w:tc>
          <w:tcPr>
            <w:tcW w:w="1980" w:type="dxa"/>
            <w:noWrap/>
            <w:hideMark/>
          </w:tcPr>
          <w:p w14:paraId="0F36D851" w14:textId="77777777" w:rsidR="004701AA" w:rsidRPr="00852139" w:rsidRDefault="004701AA" w:rsidP="00E21D2F">
            <w:r w:rsidRPr="00852139">
              <w:t>DLTA</w:t>
            </w:r>
          </w:p>
        </w:tc>
        <w:tc>
          <w:tcPr>
            <w:tcW w:w="975" w:type="dxa"/>
            <w:noWrap/>
            <w:hideMark/>
          </w:tcPr>
          <w:p w14:paraId="46154F93" w14:textId="77777777" w:rsidR="004701AA" w:rsidRPr="00852139" w:rsidRDefault="004701AA" w:rsidP="00E21D2F">
            <w:r w:rsidRPr="00852139">
              <w:t>9</w:t>
            </w:r>
          </w:p>
        </w:tc>
        <w:tc>
          <w:tcPr>
            <w:tcW w:w="975" w:type="dxa"/>
            <w:noWrap/>
            <w:hideMark/>
          </w:tcPr>
          <w:p w14:paraId="3A9AA46D" w14:textId="77777777" w:rsidR="004701AA" w:rsidRPr="00852139" w:rsidRDefault="004701AA" w:rsidP="00E21D2F">
            <w:r w:rsidRPr="00852139">
              <w:t>9</w:t>
            </w:r>
          </w:p>
        </w:tc>
        <w:tc>
          <w:tcPr>
            <w:tcW w:w="975" w:type="dxa"/>
            <w:noWrap/>
            <w:hideMark/>
          </w:tcPr>
          <w:p w14:paraId="59A2C442" w14:textId="77777777" w:rsidR="004701AA" w:rsidRPr="00852139" w:rsidRDefault="004701AA" w:rsidP="00E21D2F">
            <w:r w:rsidRPr="00852139">
              <w:t>9</w:t>
            </w:r>
          </w:p>
        </w:tc>
        <w:tc>
          <w:tcPr>
            <w:tcW w:w="975" w:type="dxa"/>
            <w:noWrap/>
            <w:hideMark/>
          </w:tcPr>
          <w:p w14:paraId="54500FF0" w14:textId="77777777" w:rsidR="004701AA" w:rsidRPr="00852139" w:rsidRDefault="004701AA" w:rsidP="00E21D2F">
            <w:r w:rsidRPr="00852139">
              <w:t>9</w:t>
            </w:r>
          </w:p>
        </w:tc>
      </w:tr>
      <w:tr w:rsidR="004701AA" w:rsidRPr="00852139" w14:paraId="0AE40B99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38A1FF05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1980" w:type="dxa"/>
            <w:noWrap/>
            <w:hideMark/>
          </w:tcPr>
          <w:p w14:paraId="39C12E32" w14:textId="77777777" w:rsidR="004701AA" w:rsidRPr="00852139" w:rsidRDefault="004701AA" w:rsidP="00E21D2F">
            <w:r w:rsidRPr="00852139">
              <w:t>DSNG</w:t>
            </w:r>
          </w:p>
        </w:tc>
        <w:tc>
          <w:tcPr>
            <w:tcW w:w="975" w:type="dxa"/>
            <w:noWrap/>
            <w:hideMark/>
          </w:tcPr>
          <w:p w14:paraId="431603AA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3E975FE2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504633BF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303C0DA4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071686B7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699D96D7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1980" w:type="dxa"/>
            <w:noWrap/>
            <w:hideMark/>
          </w:tcPr>
          <w:p w14:paraId="5DB0A107" w14:textId="77777777" w:rsidR="004701AA" w:rsidRPr="00852139" w:rsidRDefault="004701AA" w:rsidP="00E21D2F">
            <w:r w:rsidRPr="00852139">
              <w:t>HMSP</w:t>
            </w:r>
          </w:p>
        </w:tc>
        <w:tc>
          <w:tcPr>
            <w:tcW w:w="975" w:type="dxa"/>
            <w:noWrap/>
            <w:hideMark/>
          </w:tcPr>
          <w:p w14:paraId="5C1E6B19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15FF8AF5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07828990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35E40166" w14:textId="77777777" w:rsidR="004701AA" w:rsidRPr="00852139" w:rsidRDefault="004701AA" w:rsidP="00E21D2F">
            <w:r w:rsidRPr="00852139">
              <w:t>8</w:t>
            </w:r>
          </w:p>
        </w:tc>
      </w:tr>
      <w:tr w:rsidR="004701AA" w:rsidRPr="00852139" w14:paraId="2E52CE32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063ADA19" w14:textId="77777777" w:rsidR="004701AA" w:rsidRPr="00852139" w:rsidRDefault="004701AA" w:rsidP="00E21D2F">
            <w:r w:rsidRPr="00852139">
              <w:t>9</w:t>
            </w:r>
          </w:p>
        </w:tc>
        <w:tc>
          <w:tcPr>
            <w:tcW w:w="1980" w:type="dxa"/>
            <w:noWrap/>
            <w:hideMark/>
          </w:tcPr>
          <w:p w14:paraId="1ACDACBA" w14:textId="77777777" w:rsidR="004701AA" w:rsidRPr="00852139" w:rsidRDefault="004701AA" w:rsidP="00E21D2F">
            <w:r w:rsidRPr="00852139">
              <w:t>JPFA</w:t>
            </w:r>
          </w:p>
        </w:tc>
        <w:tc>
          <w:tcPr>
            <w:tcW w:w="975" w:type="dxa"/>
            <w:noWrap/>
            <w:hideMark/>
          </w:tcPr>
          <w:p w14:paraId="5F682586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39746A3C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421C507F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5348E3AA" w14:textId="77777777" w:rsidR="004701AA" w:rsidRPr="00852139" w:rsidRDefault="004701AA" w:rsidP="00E21D2F">
            <w:r w:rsidRPr="00852139">
              <w:t>8</w:t>
            </w:r>
          </w:p>
        </w:tc>
      </w:tr>
      <w:tr w:rsidR="004701AA" w:rsidRPr="00852139" w14:paraId="13B62F03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39BD1B0C" w14:textId="77777777" w:rsidR="004701AA" w:rsidRPr="00852139" w:rsidRDefault="004701AA" w:rsidP="00E21D2F">
            <w:r w:rsidRPr="00852139">
              <w:t>10</w:t>
            </w:r>
          </w:p>
        </w:tc>
        <w:tc>
          <w:tcPr>
            <w:tcW w:w="1980" w:type="dxa"/>
            <w:noWrap/>
            <w:hideMark/>
          </w:tcPr>
          <w:p w14:paraId="26C36EC2" w14:textId="77777777" w:rsidR="004701AA" w:rsidRPr="00852139" w:rsidRDefault="004701AA" w:rsidP="00E21D2F">
            <w:r w:rsidRPr="00852139">
              <w:t>LSIP</w:t>
            </w:r>
          </w:p>
        </w:tc>
        <w:tc>
          <w:tcPr>
            <w:tcW w:w="975" w:type="dxa"/>
            <w:noWrap/>
            <w:hideMark/>
          </w:tcPr>
          <w:p w14:paraId="327CC253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7737A651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2CF46C29" w14:textId="77777777" w:rsidR="004701AA" w:rsidRPr="00852139" w:rsidRDefault="004701AA" w:rsidP="00E21D2F">
            <w:r w:rsidRPr="00852139">
              <w:t>6</w:t>
            </w:r>
          </w:p>
        </w:tc>
        <w:tc>
          <w:tcPr>
            <w:tcW w:w="975" w:type="dxa"/>
            <w:noWrap/>
            <w:hideMark/>
          </w:tcPr>
          <w:p w14:paraId="37E628C0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32FAF520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4F3630B9" w14:textId="77777777" w:rsidR="004701AA" w:rsidRPr="00852139" w:rsidRDefault="004701AA" w:rsidP="00E21D2F">
            <w:r w:rsidRPr="00852139">
              <w:t>11</w:t>
            </w:r>
          </w:p>
        </w:tc>
        <w:tc>
          <w:tcPr>
            <w:tcW w:w="1980" w:type="dxa"/>
            <w:noWrap/>
            <w:hideMark/>
          </w:tcPr>
          <w:p w14:paraId="6CF8109B" w14:textId="77777777" w:rsidR="004701AA" w:rsidRPr="00852139" w:rsidRDefault="004701AA" w:rsidP="00E21D2F">
            <w:r w:rsidRPr="00852139">
              <w:t>MYOR</w:t>
            </w:r>
          </w:p>
        </w:tc>
        <w:tc>
          <w:tcPr>
            <w:tcW w:w="975" w:type="dxa"/>
            <w:noWrap/>
            <w:hideMark/>
          </w:tcPr>
          <w:p w14:paraId="03A1FDA1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788BAB94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21423F68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05874F54" w14:textId="77777777" w:rsidR="004701AA" w:rsidRPr="00852139" w:rsidRDefault="004701AA" w:rsidP="00E21D2F">
            <w:r w:rsidRPr="00852139">
              <w:t>13</w:t>
            </w:r>
          </w:p>
        </w:tc>
      </w:tr>
      <w:tr w:rsidR="004701AA" w:rsidRPr="00852139" w14:paraId="3CBB16F8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609A9B86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1980" w:type="dxa"/>
            <w:noWrap/>
            <w:hideMark/>
          </w:tcPr>
          <w:p w14:paraId="264D47C9" w14:textId="77777777" w:rsidR="004701AA" w:rsidRPr="00852139" w:rsidRDefault="004701AA" w:rsidP="00E21D2F">
            <w:r w:rsidRPr="00852139">
              <w:t>ROTI</w:t>
            </w:r>
          </w:p>
        </w:tc>
        <w:tc>
          <w:tcPr>
            <w:tcW w:w="975" w:type="dxa"/>
            <w:noWrap/>
            <w:hideMark/>
          </w:tcPr>
          <w:p w14:paraId="7DC7B744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71CEB651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22354321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705D0CA5" w14:textId="77777777" w:rsidR="004701AA" w:rsidRPr="00852139" w:rsidRDefault="004701AA" w:rsidP="00E21D2F">
            <w:r w:rsidRPr="00852139">
              <w:t>13</w:t>
            </w:r>
          </w:p>
        </w:tc>
      </w:tr>
      <w:tr w:rsidR="004701AA" w:rsidRPr="00852139" w14:paraId="4DB606A4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706CF9D6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1980" w:type="dxa"/>
            <w:noWrap/>
            <w:hideMark/>
          </w:tcPr>
          <w:p w14:paraId="1FB98D77" w14:textId="77777777" w:rsidR="004701AA" w:rsidRPr="00852139" w:rsidRDefault="004701AA" w:rsidP="00E21D2F">
            <w:r w:rsidRPr="00852139">
              <w:t>SDPC</w:t>
            </w:r>
          </w:p>
        </w:tc>
        <w:tc>
          <w:tcPr>
            <w:tcW w:w="975" w:type="dxa"/>
            <w:noWrap/>
            <w:hideMark/>
          </w:tcPr>
          <w:p w14:paraId="2C74D87C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19A1E71D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732C03BF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7A98A9C6" w14:textId="77777777" w:rsidR="004701AA" w:rsidRPr="00852139" w:rsidRDefault="004701AA" w:rsidP="00E21D2F">
            <w:r w:rsidRPr="00852139">
              <w:t>12</w:t>
            </w:r>
          </w:p>
        </w:tc>
      </w:tr>
      <w:tr w:rsidR="004701AA" w:rsidRPr="00852139" w14:paraId="5AAB421D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5B29A934" w14:textId="77777777" w:rsidR="004701AA" w:rsidRPr="00852139" w:rsidRDefault="004701AA" w:rsidP="00E21D2F">
            <w:r w:rsidRPr="00852139">
              <w:t>14</w:t>
            </w:r>
          </w:p>
        </w:tc>
        <w:tc>
          <w:tcPr>
            <w:tcW w:w="1980" w:type="dxa"/>
            <w:noWrap/>
            <w:hideMark/>
          </w:tcPr>
          <w:p w14:paraId="684D11BF" w14:textId="77777777" w:rsidR="004701AA" w:rsidRPr="00852139" w:rsidRDefault="004701AA" w:rsidP="00E21D2F">
            <w:r w:rsidRPr="00852139">
              <w:t>SGRO</w:t>
            </w:r>
          </w:p>
        </w:tc>
        <w:tc>
          <w:tcPr>
            <w:tcW w:w="975" w:type="dxa"/>
            <w:noWrap/>
            <w:hideMark/>
          </w:tcPr>
          <w:p w14:paraId="6FAEAEC4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1B738200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394F09F3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283D81DA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414B1545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77143C08" w14:textId="77777777" w:rsidR="004701AA" w:rsidRPr="00852139" w:rsidRDefault="004701AA" w:rsidP="00E21D2F">
            <w:r w:rsidRPr="00852139">
              <w:t>15</w:t>
            </w:r>
          </w:p>
        </w:tc>
        <w:tc>
          <w:tcPr>
            <w:tcW w:w="1980" w:type="dxa"/>
            <w:noWrap/>
            <w:hideMark/>
          </w:tcPr>
          <w:p w14:paraId="5E4FF584" w14:textId="77777777" w:rsidR="004701AA" w:rsidRPr="00852139" w:rsidRDefault="004701AA" w:rsidP="00E21D2F">
            <w:r w:rsidRPr="00852139">
              <w:t>SIMP</w:t>
            </w:r>
          </w:p>
        </w:tc>
        <w:tc>
          <w:tcPr>
            <w:tcW w:w="975" w:type="dxa"/>
            <w:noWrap/>
            <w:hideMark/>
          </w:tcPr>
          <w:p w14:paraId="3C8AB779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30AD73BA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093D6716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13A87988" w14:textId="77777777" w:rsidR="004701AA" w:rsidRPr="00852139" w:rsidRDefault="004701AA" w:rsidP="00E21D2F">
            <w:r w:rsidRPr="00852139">
              <w:t>8</w:t>
            </w:r>
          </w:p>
        </w:tc>
      </w:tr>
      <w:tr w:rsidR="004701AA" w:rsidRPr="00852139" w14:paraId="18171E93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787BE11D" w14:textId="77777777" w:rsidR="004701AA" w:rsidRPr="00852139" w:rsidRDefault="004701AA" w:rsidP="00E21D2F">
            <w:r w:rsidRPr="00852139">
              <w:t>16</w:t>
            </w:r>
          </w:p>
        </w:tc>
        <w:tc>
          <w:tcPr>
            <w:tcW w:w="1980" w:type="dxa"/>
            <w:noWrap/>
            <w:hideMark/>
          </w:tcPr>
          <w:p w14:paraId="437808B3" w14:textId="77777777" w:rsidR="004701AA" w:rsidRPr="00852139" w:rsidRDefault="004701AA" w:rsidP="00E21D2F">
            <w:r w:rsidRPr="00852139">
              <w:t>TBLA</w:t>
            </w:r>
          </w:p>
        </w:tc>
        <w:tc>
          <w:tcPr>
            <w:tcW w:w="975" w:type="dxa"/>
            <w:noWrap/>
            <w:hideMark/>
          </w:tcPr>
          <w:p w14:paraId="6EF29BE8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6C540E29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6FB036E6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56370712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536CDFFB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49FCA97F" w14:textId="77777777" w:rsidR="004701AA" w:rsidRPr="00852139" w:rsidRDefault="004701AA" w:rsidP="00E21D2F">
            <w:r w:rsidRPr="00852139">
              <w:t>17</w:t>
            </w:r>
          </w:p>
        </w:tc>
        <w:tc>
          <w:tcPr>
            <w:tcW w:w="1980" w:type="dxa"/>
            <w:noWrap/>
            <w:hideMark/>
          </w:tcPr>
          <w:p w14:paraId="7CFF3A89" w14:textId="77777777" w:rsidR="004701AA" w:rsidRPr="00852139" w:rsidRDefault="004701AA" w:rsidP="00E21D2F">
            <w:r w:rsidRPr="00852139">
              <w:t>ULTJ</w:t>
            </w:r>
          </w:p>
        </w:tc>
        <w:tc>
          <w:tcPr>
            <w:tcW w:w="975" w:type="dxa"/>
            <w:noWrap/>
            <w:hideMark/>
          </w:tcPr>
          <w:p w14:paraId="66758BF5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46872F50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4B2EECD3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62402F8B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1E93B8E2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12D97D06" w14:textId="77777777" w:rsidR="004701AA" w:rsidRPr="00852139" w:rsidRDefault="004701AA" w:rsidP="00E21D2F">
            <w:r w:rsidRPr="00852139">
              <w:t>18</w:t>
            </w:r>
          </w:p>
        </w:tc>
        <w:tc>
          <w:tcPr>
            <w:tcW w:w="1980" w:type="dxa"/>
            <w:noWrap/>
            <w:hideMark/>
          </w:tcPr>
          <w:p w14:paraId="3C9E04AE" w14:textId="77777777" w:rsidR="004701AA" w:rsidRPr="00852139" w:rsidRDefault="004701AA" w:rsidP="00E21D2F">
            <w:r w:rsidRPr="00852139">
              <w:t>UNVR</w:t>
            </w:r>
          </w:p>
        </w:tc>
        <w:tc>
          <w:tcPr>
            <w:tcW w:w="975" w:type="dxa"/>
            <w:noWrap/>
            <w:hideMark/>
          </w:tcPr>
          <w:p w14:paraId="15265537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7A9FD5D3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60DAFE5B" w14:textId="77777777" w:rsidR="004701AA" w:rsidRPr="00852139" w:rsidRDefault="004701AA" w:rsidP="00E21D2F">
            <w:r w:rsidRPr="00852139">
              <w:t>7</w:t>
            </w:r>
          </w:p>
        </w:tc>
        <w:tc>
          <w:tcPr>
            <w:tcW w:w="975" w:type="dxa"/>
            <w:noWrap/>
            <w:hideMark/>
          </w:tcPr>
          <w:p w14:paraId="4C5CC8E4" w14:textId="77777777" w:rsidR="004701AA" w:rsidRPr="00852139" w:rsidRDefault="004701AA" w:rsidP="00E21D2F">
            <w:r w:rsidRPr="00852139">
              <w:t>7</w:t>
            </w:r>
          </w:p>
        </w:tc>
      </w:tr>
      <w:tr w:rsidR="004701AA" w:rsidRPr="00852139" w14:paraId="71D136E5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242878B7" w14:textId="77777777" w:rsidR="004701AA" w:rsidRPr="00852139" w:rsidRDefault="004701AA" w:rsidP="00E21D2F">
            <w:r w:rsidRPr="00852139">
              <w:t>19</w:t>
            </w:r>
          </w:p>
        </w:tc>
        <w:tc>
          <w:tcPr>
            <w:tcW w:w="1980" w:type="dxa"/>
            <w:noWrap/>
            <w:hideMark/>
          </w:tcPr>
          <w:p w14:paraId="3FABCA50" w14:textId="77777777" w:rsidR="004701AA" w:rsidRPr="00852139" w:rsidRDefault="004701AA" w:rsidP="00E21D2F">
            <w:r w:rsidRPr="00852139">
              <w:t>WIIM</w:t>
            </w:r>
          </w:p>
        </w:tc>
        <w:tc>
          <w:tcPr>
            <w:tcW w:w="975" w:type="dxa"/>
            <w:noWrap/>
            <w:hideMark/>
          </w:tcPr>
          <w:p w14:paraId="3C7D43FE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2CA63473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7F36FD0F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7B972E1E" w14:textId="77777777" w:rsidR="004701AA" w:rsidRPr="00852139" w:rsidRDefault="004701AA" w:rsidP="00E21D2F">
            <w:r w:rsidRPr="00852139">
              <w:t>12</w:t>
            </w:r>
          </w:p>
        </w:tc>
      </w:tr>
      <w:tr w:rsidR="004701AA" w:rsidRPr="00852139" w14:paraId="37F3F601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0233F518" w14:textId="77777777" w:rsidR="004701AA" w:rsidRPr="00852139" w:rsidRDefault="004701AA" w:rsidP="00E21D2F">
            <w:r w:rsidRPr="00852139">
              <w:t>20</w:t>
            </w:r>
          </w:p>
        </w:tc>
        <w:tc>
          <w:tcPr>
            <w:tcW w:w="1980" w:type="dxa"/>
            <w:noWrap/>
            <w:hideMark/>
          </w:tcPr>
          <w:p w14:paraId="1E4E3D9D" w14:textId="77777777" w:rsidR="004701AA" w:rsidRPr="00852139" w:rsidRDefault="004701AA" w:rsidP="00E21D2F">
            <w:r w:rsidRPr="00852139">
              <w:t>HOKI</w:t>
            </w:r>
          </w:p>
        </w:tc>
        <w:tc>
          <w:tcPr>
            <w:tcW w:w="975" w:type="dxa"/>
            <w:noWrap/>
            <w:hideMark/>
          </w:tcPr>
          <w:p w14:paraId="3A9E63BD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696520E0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67AB1BB2" w14:textId="77777777" w:rsidR="004701AA" w:rsidRPr="00852139" w:rsidRDefault="004701AA" w:rsidP="00E21D2F">
            <w:r w:rsidRPr="00852139">
              <w:t>12</w:t>
            </w:r>
          </w:p>
        </w:tc>
        <w:tc>
          <w:tcPr>
            <w:tcW w:w="975" w:type="dxa"/>
            <w:noWrap/>
            <w:hideMark/>
          </w:tcPr>
          <w:p w14:paraId="2A527234" w14:textId="77777777" w:rsidR="004701AA" w:rsidRPr="00852139" w:rsidRDefault="004701AA" w:rsidP="00E21D2F">
            <w:r w:rsidRPr="00852139">
              <w:t>12</w:t>
            </w:r>
          </w:p>
        </w:tc>
      </w:tr>
      <w:tr w:rsidR="004701AA" w:rsidRPr="00852139" w14:paraId="5664CF87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25315849" w14:textId="77777777" w:rsidR="004701AA" w:rsidRPr="00852139" w:rsidRDefault="004701AA" w:rsidP="00E21D2F">
            <w:r w:rsidRPr="00852139">
              <w:t>21</w:t>
            </w:r>
          </w:p>
        </w:tc>
        <w:tc>
          <w:tcPr>
            <w:tcW w:w="1980" w:type="dxa"/>
            <w:noWrap/>
            <w:hideMark/>
          </w:tcPr>
          <w:p w14:paraId="7114ACC7" w14:textId="77777777" w:rsidR="004701AA" w:rsidRPr="00852139" w:rsidRDefault="004701AA" w:rsidP="00E21D2F">
            <w:r w:rsidRPr="00852139">
              <w:t>GOOD</w:t>
            </w:r>
          </w:p>
        </w:tc>
        <w:tc>
          <w:tcPr>
            <w:tcW w:w="975" w:type="dxa"/>
            <w:noWrap/>
            <w:hideMark/>
          </w:tcPr>
          <w:p w14:paraId="41353A57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320BF2C0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0F6C6CBF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4D948951" w14:textId="77777777" w:rsidR="004701AA" w:rsidRPr="00852139" w:rsidRDefault="004701AA" w:rsidP="00E21D2F">
            <w:r w:rsidRPr="00852139">
              <w:t>13</w:t>
            </w:r>
          </w:p>
        </w:tc>
      </w:tr>
      <w:tr w:rsidR="004701AA" w:rsidRPr="00852139" w14:paraId="013F571E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747A457B" w14:textId="77777777" w:rsidR="004701AA" w:rsidRPr="00852139" w:rsidRDefault="004701AA" w:rsidP="00E21D2F">
            <w:r w:rsidRPr="00852139">
              <w:t>22</w:t>
            </w:r>
          </w:p>
        </w:tc>
        <w:tc>
          <w:tcPr>
            <w:tcW w:w="1980" w:type="dxa"/>
            <w:noWrap/>
            <w:hideMark/>
          </w:tcPr>
          <w:p w14:paraId="11C87EEA" w14:textId="77777777" w:rsidR="004701AA" w:rsidRPr="00852139" w:rsidRDefault="004701AA" w:rsidP="00E21D2F">
            <w:r w:rsidRPr="00852139">
              <w:t>INDF</w:t>
            </w:r>
          </w:p>
        </w:tc>
        <w:tc>
          <w:tcPr>
            <w:tcW w:w="975" w:type="dxa"/>
            <w:noWrap/>
            <w:hideMark/>
          </w:tcPr>
          <w:p w14:paraId="53B99AF8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127AEC45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10C6D42F" w14:textId="77777777" w:rsidR="004701AA" w:rsidRPr="00852139" w:rsidRDefault="004701AA" w:rsidP="00E21D2F">
            <w:r w:rsidRPr="00852139">
              <w:t>8</w:t>
            </w:r>
          </w:p>
        </w:tc>
        <w:tc>
          <w:tcPr>
            <w:tcW w:w="975" w:type="dxa"/>
            <w:noWrap/>
            <w:hideMark/>
          </w:tcPr>
          <w:p w14:paraId="36C6BCA2" w14:textId="77777777" w:rsidR="004701AA" w:rsidRPr="00852139" w:rsidRDefault="004701AA" w:rsidP="00E21D2F">
            <w:r w:rsidRPr="00852139">
              <w:t>8</w:t>
            </w:r>
          </w:p>
        </w:tc>
      </w:tr>
      <w:tr w:rsidR="004701AA" w:rsidRPr="00852139" w14:paraId="49EE9344" w14:textId="77777777" w:rsidTr="00E21D2F">
        <w:trPr>
          <w:trHeight w:val="300"/>
        </w:trPr>
        <w:tc>
          <w:tcPr>
            <w:tcW w:w="700" w:type="dxa"/>
            <w:noWrap/>
            <w:hideMark/>
          </w:tcPr>
          <w:p w14:paraId="75FDB937" w14:textId="77777777" w:rsidR="004701AA" w:rsidRPr="00852139" w:rsidRDefault="004701AA" w:rsidP="00E21D2F">
            <w:r w:rsidRPr="00852139">
              <w:t>23</w:t>
            </w:r>
          </w:p>
        </w:tc>
        <w:tc>
          <w:tcPr>
            <w:tcW w:w="1980" w:type="dxa"/>
            <w:noWrap/>
            <w:hideMark/>
          </w:tcPr>
          <w:p w14:paraId="21B77057" w14:textId="77777777" w:rsidR="004701AA" w:rsidRPr="00852139" w:rsidRDefault="004701AA" w:rsidP="00E21D2F">
            <w:r w:rsidRPr="00852139">
              <w:t>KINO</w:t>
            </w:r>
          </w:p>
        </w:tc>
        <w:tc>
          <w:tcPr>
            <w:tcW w:w="975" w:type="dxa"/>
            <w:noWrap/>
            <w:hideMark/>
          </w:tcPr>
          <w:p w14:paraId="155D7447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3D4283E3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3BCA68DE" w14:textId="77777777" w:rsidR="004701AA" w:rsidRPr="00852139" w:rsidRDefault="004701AA" w:rsidP="00E21D2F">
            <w:r w:rsidRPr="00852139">
              <w:t>13</w:t>
            </w:r>
          </w:p>
        </w:tc>
        <w:tc>
          <w:tcPr>
            <w:tcW w:w="975" w:type="dxa"/>
            <w:noWrap/>
            <w:hideMark/>
          </w:tcPr>
          <w:p w14:paraId="5F25D879" w14:textId="77777777" w:rsidR="004701AA" w:rsidRPr="00852139" w:rsidRDefault="004701AA" w:rsidP="00E21D2F">
            <w:r w:rsidRPr="00852139">
              <w:t>13</w:t>
            </w:r>
          </w:p>
        </w:tc>
      </w:tr>
    </w:tbl>
    <w:p w14:paraId="60947476" w14:textId="77777777" w:rsidR="004701AA" w:rsidRDefault="004701AA" w:rsidP="004701AA"/>
    <w:p w14:paraId="3A44CE20" w14:textId="77777777" w:rsidR="004701AA" w:rsidRDefault="004701AA" w:rsidP="004701AA"/>
    <w:tbl>
      <w:tblPr>
        <w:tblW w:w="4556" w:type="dxa"/>
        <w:tblLook w:val="04A0" w:firstRow="1" w:lastRow="0" w:firstColumn="1" w:lastColumn="0" w:noHBand="0" w:noVBand="1"/>
      </w:tblPr>
      <w:tblGrid>
        <w:gridCol w:w="940"/>
        <w:gridCol w:w="1780"/>
        <w:gridCol w:w="1800"/>
        <w:gridCol w:w="222"/>
      </w:tblGrid>
      <w:tr w:rsidR="004701AA" w:rsidRPr="00852139" w14:paraId="493C37E9" w14:textId="77777777" w:rsidTr="00E21D2F">
        <w:trPr>
          <w:gridAfter w:val="1"/>
          <w:wAfter w:w="36" w:type="dxa"/>
          <w:trHeight w:val="45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73B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433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BDA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total assets (2019)</w:t>
            </w:r>
          </w:p>
        </w:tc>
      </w:tr>
      <w:tr w:rsidR="004701AA" w:rsidRPr="00852139" w14:paraId="1CBC1D65" w14:textId="77777777" w:rsidTr="00E21D2F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BEBC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0B04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4E53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6F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2DD3672D" w14:textId="77777777" w:rsidTr="00E21D2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D7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CD9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5D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23.992.313</w:t>
            </w:r>
          </w:p>
        </w:tc>
        <w:tc>
          <w:tcPr>
            <w:tcW w:w="36" w:type="dxa"/>
            <w:vAlign w:val="center"/>
            <w:hideMark/>
          </w:tcPr>
          <w:p w14:paraId="61AC660A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6BD547DA" w14:textId="77777777" w:rsidTr="00E21D2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A9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4487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16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2.941.056</w:t>
            </w:r>
          </w:p>
        </w:tc>
        <w:tc>
          <w:tcPr>
            <w:tcW w:w="36" w:type="dxa"/>
            <w:vAlign w:val="center"/>
            <w:hideMark/>
          </w:tcPr>
          <w:p w14:paraId="7A460907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0C2BF8A5" w14:textId="77777777" w:rsidTr="00E21D2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F3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0537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B6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26.974.124</w:t>
            </w:r>
          </w:p>
        </w:tc>
        <w:tc>
          <w:tcPr>
            <w:tcW w:w="36" w:type="dxa"/>
            <w:vAlign w:val="center"/>
            <w:hideMark/>
          </w:tcPr>
          <w:p w14:paraId="036671E4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0DEE89FE" w14:textId="77777777" w:rsidR="004701AA" w:rsidRDefault="004701AA" w:rsidP="004701AA"/>
    <w:p w14:paraId="133083A8" w14:textId="77777777" w:rsidR="004701AA" w:rsidRDefault="004701AA" w:rsidP="004701AA"/>
    <w:p w14:paraId="47378837" w14:textId="77777777" w:rsidR="004701AA" w:rsidRPr="00852139" w:rsidRDefault="004701AA" w:rsidP="004701AA">
      <w:pPr>
        <w:rPr>
          <w:rFonts w:eastAsiaTheme="minorEastAsia"/>
          <w:color w:val="000000"/>
        </w:rPr>
      </w:pPr>
      <m:oMathPara>
        <m:oMath>
          <m:r>
            <w:rPr>
              <w:rFonts w:ascii="Cambria Math" w:eastAsia="Calibri" w:hAnsi="Cambria Math"/>
              <w:color w:val="000000"/>
            </w:rPr>
            <m:t>Size=Ln Total Assets</m:t>
          </m:r>
        </m:oMath>
      </m:oMathPara>
    </w:p>
    <w:p w14:paraId="38718B0F" w14:textId="77777777" w:rsidR="004701AA" w:rsidRDefault="004701AA" w:rsidP="004701AA">
      <w:pPr>
        <w:rPr>
          <w:rFonts w:eastAsiaTheme="minorEastAsia"/>
          <w:color w:val="000000"/>
        </w:rPr>
      </w:pPr>
    </w:p>
    <w:p w14:paraId="76F0998F" w14:textId="77777777" w:rsidR="004701AA" w:rsidRDefault="004701AA" w:rsidP="004701AA">
      <w:pPr>
        <w:rPr>
          <w:rFonts w:eastAsiaTheme="minorEastAsia"/>
          <w:color w:val="000000"/>
        </w:rPr>
      </w:pPr>
    </w:p>
    <w:p w14:paraId="073FFE5C" w14:textId="77777777" w:rsidR="004701AA" w:rsidRDefault="004701AA" w:rsidP="004701AA">
      <w:pPr>
        <w:rPr>
          <w:rFonts w:eastAsiaTheme="minorEastAsia"/>
          <w:color w:val="000000"/>
        </w:rPr>
      </w:pPr>
    </w:p>
    <w:p w14:paraId="3D0DC931" w14:textId="77777777" w:rsidR="004701AA" w:rsidRDefault="004701AA" w:rsidP="004701AA">
      <w:pPr>
        <w:rPr>
          <w:rFonts w:eastAsiaTheme="minorEastAsia"/>
          <w:color w:val="000000"/>
        </w:rPr>
      </w:pPr>
    </w:p>
    <w:p w14:paraId="54EC385D" w14:textId="77777777" w:rsidR="004701AA" w:rsidRDefault="004701AA" w:rsidP="004701AA">
      <w:pPr>
        <w:rPr>
          <w:rFonts w:eastAsiaTheme="minorEastAsia"/>
          <w:color w:val="000000"/>
        </w:rPr>
      </w:pPr>
    </w:p>
    <w:p w14:paraId="053B2048" w14:textId="77777777" w:rsidR="004701AA" w:rsidRDefault="004701AA" w:rsidP="004701AA">
      <w:pPr>
        <w:rPr>
          <w:rFonts w:eastAsiaTheme="minorEastAsia"/>
          <w:color w:val="000000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960"/>
        <w:gridCol w:w="960"/>
        <w:gridCol w:w="960"/>
      </w:tblGrid>
      <w:tr w:rsidR="004701AA" w:rsidRPr="00852139" w14:paraId="3CD2FDAE" w14:textId="77777777" w:rsidTr="00E21D2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B2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17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401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Current Ratio</w:t>
            </w:r>
          </w:p>
        </w:tc>
      </w:tr>
      <w:tr w:rsidR="004701AA" w:rsidRPr="00852139" w14:paraId="0C1757C5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E1D1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E18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26E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C1A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F3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35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2022</w:t>
            </w:r>
          </w:p>
        </w:tc>
      </w:tr>
      <w:tr w:rsidR="004701AA" w:rsidRPr="00852139" w14:paraId="2F811D91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C6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48D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F7A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32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90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EB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0,90</w:t>
            </w:r>
          </w:p>
        </w:tc>
      </w:tr>
      <w:tr w:rsidR="004701AA" w:rsidRPr="00852139" w14:paraId="2C9D50A7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12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D7F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D8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DB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39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8A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8,80</w:t>
            </w:r>
          </w:p>
        </w:tc>
      </w:tr>
      <w:tr w:rsidR="004701AA" w:rsidRPr="00852139" w14:paraId="0B81550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0E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97C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3B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540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9F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2B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3,60</w:t>
            </w:r>
          </w:p>
        </w:tc>
      </w:tr>
      <w:tr w:rsidR="004701AA" w:rsidRPr="00852139" w14:paraId="6A81C66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5D6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432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16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1C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FF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50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9,95</w:t>
            </w:r>
          </w:p>
        </w:tc>
      </w:tr>
      <w:tr w:rsidR="004701AA" w:rsidRPr="00852139" w14:paraId="0D0E3048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52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92E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74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95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23E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CD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1,78</w:t>
            </w:r>
          </w:p>
        </w:tc>
      </w:tr>
      <w:tr w:rsidR="004701AA" w:rsidRPr="00852139" w14:paraId="0DF0061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20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0E5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D7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6B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5F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CD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4,56</w:t>
            </w:r>
          </w:p>
        </w:tc>
      </w:tr>
      <w:tr w:rsidR="004701AA" w:rsidRPr="00852139" w14:paraId="27EFB71F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1D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3D6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DSNG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84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9D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53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AE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1,07</w:t>
            </w:r>
          </w:p>
        </w:tc>
      </w:tr>
      <w:tr w:rsidR="004701AA" w:rsidRPr="00852139" w14:paraId="41A5CEA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81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83D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2E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320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026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F8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1,69</w:t>
            </w:r>
          </w:p>
        </w:tc>
      </w:tr>
      <w:tr w:rsidR="004701AA" w:rsidRPr="00852139" w14:paraId="57A42BD8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C7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769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38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4B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11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93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1,81</w:t>
            </w:r>
          </w:p>
        </w:tc>
      </w:tr>
      <w:tr w:rsidR="004701AA" w:rsidRPr="00852139" w14:paraId="33E04E68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EC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367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LSIP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49F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C6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01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FC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7,20</w:t>
            </w:r>
          </w:p>
        </w:tc>
      </w:tr>
      <w:tr w:rsidR="004701AA" w:rsidRPr="00852139" w14:paraId="74D441D6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43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98E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DC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BD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27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B5F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2,62</w:t>
            </w:r>
          </w:p>
        </w:tc>
      </w:tr>
      <w:tr w:rsidR="004701AA" w:rsidRPr="00852139" w14:paraId="170E5FBC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EE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2757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E2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14D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78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C6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2,10</w:t>
            </w:r>
          </w:p>
        </w:tc>
      </w:tr>
      <w:tr w:rsidR="004701AA" w:rsidRPr="00852139" w14:paraId="17819816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7D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8EC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SDPC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8E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274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17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3F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1,13</w:t>
            </w:r>
          </w:p>
        </w:tc>
      </w:tr>
      <w:tr w:rsidR="004701AA" w:rsidRPr="00852139" w14:paraId="2ED3E67A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06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FD3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FA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47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58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6F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1,32</w:t>
            </w:r>
          </w:p>
        </w:tc>
      </w:tr>
      <w:tr w:rsidR="004701AA" w:rsidRPr="00852139" w14:paraId="72C5A93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18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527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SIMP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D1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8DE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B78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89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1,10</w:t>
            </w:r>
          </w:p>
        </w:tc>
      </w:tr>
      <w:tr w:rsidR="004701AA" w:rsidRPr="00852139" w14:paraId="02D648CA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DB8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B29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D6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25E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6D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C6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1,20</w:t>
            </w:r>
          </w:p>
        </w:tc>
      </w:tr>
      <w:tr w:rsidR="004701AA" w:rsidRPr="00852139" w14:paraId="7CAFC186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7C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993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FD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FB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6F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92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3,17</w:t>
            </w:r>
          </w:p>
        </w:tc>
      </w:tr>
      <w:tr w:rsidR="004701AA" w:rsidRPr="00852139" w14:paraId="6C906FAF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B6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23A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A1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1F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49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32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0,61</w:t>
            </w:r>
          </w:p>
        </w:tc>
      </w:tr>
      <w:tr w:rsidR="004701AA" w:rsidRPr="00852139" w14:paraId="6F2B6768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8F5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3BA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05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43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82A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18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2,84</w:t>
            </w:r>
          </w:p>
        </w:tc>
      </w:tr>
      <w:tr w:rsidR="004701AA" w:rsidRPr="00852139" w14:paraId="4A51617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48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6AC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4D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8A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34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36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3,27</w:t>
            </w:r>
          </w:p>
        </w:tc>
      </w:tr>
      <w:tr w:rsidR="004701AA" w:rsidRPr="00852139" w14:paraId="340E1D8A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7E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6D8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B8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19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65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5F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1,74</w:t>
            </w:r>
          </w:p>
        </w:tc>
      </w:tr>
      <w:tr w:rsidR="004701AA" w:rsidRPr="00852139" w14:paraId="72580308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22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F00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3A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BB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EE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60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1,79</w:t>
            </w:r>
          </w:p>
        </w:tc>
      </w:tr>
      <w:tr w:rsidR="004701AA" w:rsidRPr="00852139" w14:paraId="00689ED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79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E5C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DD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C1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76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30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0,87</w:t>
            </w:r>
          </w:p>
        </w:tc>
      </w:tr>
    </w:tbl>
    <w:p w14:paraId="48A20DB2" w14:textId="77777777" w:rsidR="004701AA" w:rsidRDefault="004701AA" w:rsidP="004701AA"/>
    <w:tbl>
      <w:tblPr>
        <w:tblW w:w="6176" w:type="dxa"/>
        <w:tblLook w:val="04A0" w:firstRow="1" w:lastRow="0" w:firstColumn="1" w:lastColumn="0" w:noHBand="0" w:noVBand="1"/>
      </w:tblPr>
      <w:tblGrid>
        <w:gridCol w:w="960"/>
        <w:gridCol w:w="1760"/>
        <w:gridCol w:w="1660"/>
        <w:gridCol w:w="1760"/>
        <w:gridCol w:w="222"/>
      </w:tblGrid>
      <w:tr w:rsidR="004701AA" w:rsidRPr="00852139" w14:paraId="572445A4" w14:textId="77777777" w:rsidTr="00E21D2F">
        <w:trPr>
          <w:gridAfter w:val="1"/>
          <w:wAfter w:w="36" w:type="dxa"/>
          <w:trHeight w:val="4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7F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E94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AF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aktiva lancar (2019)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30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hutang lancar (2019)</w:t>
            </w:r>
          </w:p>
        </w:tc>
      </w:tr>
      <w:tr w:rsidR="004701AA" w:rsidRPr="00852139" w14:paraId="3A346EB8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8AB5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0B56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A3F5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ACF2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99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1378BB9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A0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589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48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14.782.817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4F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13.167.601</w:t>
            </w:r>
          </w:p>
        </w:tc>
        <w:tc>
          <w:tcPr>
            <w:tcW w:w="36" w:type="dxa"/>
            <w:vAlign w:val="center"/>
            <w:hideMark/>
          </w:tcPr>
          <w:p w14:paraId="16569AAE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1C4562F6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49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A0C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8EF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2.319.972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5C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560.436</w:t>
            </w:r>
          </w:p>
        </w:tc>
        <w:tc>
          <w:tcPr>
            <w:tcW w:w="36" w:type="dxa"/>
            <w:vAlign w:val="center"/>
            <w:hideMark/>
          </w:tcPr>
          <w:p w14:paraId="4AF4614B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45BEDB7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7F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7B8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B5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4.472.011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54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1.566.765</w:t>
            </w:r>
          </w:p>
        </w:tc>
        <w:tc>
          <w:tcPr>
            <w:tcW w:w="36" w:type="dxa"/>
            <w:vAlign w:val="center"/>
            <w:hideMark/>
          </w:tcPr>
          <w:p w14:paraId="50396AB1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45F67C43" w14:textId="77777777" w:rsidR="004701AA" w:rsidRDefault="004701AA" w:rsidP="004701AA"/>
    <w:p w14:paraId="1C09DEDF" w14:textId="77777777" w:rsidR="004701AA" w:rsidRDefault="004701AA" w:rsidP="004701AA"/>
    <w:p w14:paraId="41B7E442" w14:textId="77777777" w:rsidR="004701AA" w:rsidRDefault="004701AA" w:rsidP="004701AA">
      <w:pPr>
        <w:rPr>
          <w:rFonts w:eastAsiaTheme="minorEastAsia"/>
          <w:color w:val="000000"/>
        </w:rPr>
      </w:pPr>
      <m:oMathPara>
        <m:oMath>
          <m:r>
            <w:rPr>
              <w:rFonts w:ascii="Cambria Math" w:eastAsia="Calibri" w:hAnsi="Cambria Math"/>
              <w:color w:val="000000"/>
            </w:rPr>
            <m:t xml:space="preserve">CR= 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eastAsia="Calibri" w:hAnsi="Cambria Math"/>
                  <w:color w:val="000000"/>
                </w:rPr>
                <m:t>Aktiva Lancar</m:t>
              </m:r>
            </m:num>
            <m:den>
              <m:r>
                <w:rPr>
                  <w:rFonts w:ascii="Cambria Math" w:eastAsia="Calibri" w:hAnsi="Cambria Math"/>
                  <w:color w:val="000000"/>
                </w:rPr>
                <m:t>Hutang Lancar</m:t>
              </m:r>
            </m:den>
          </m:f>
        </m:oMath>
      </m:oMathPara>
    </w:p>
    <w:p w14:paraId="46BC8A3F" w14:textId="77777777" w:rsidR="004701AA" w:rsidRDefault="004701AA" w:rsidP="004701AA">
      <w:pPr>
        <w:rPr>
          <w:rFonts w:eastAsiaTheme="minorEastAsia"/>
          <w:color w:val="000000"/>
        </w:rPr>
      </w:pPr>
    </w:p>
    <w:tbl>
      <w:tblPr>
        <w:tblW w:w="6640" w:type="dxa"/>
        <w:tblLook w:val="04A0" w:firstRow="1" w:lastRow="0" w:firstColumn="1" w:lastColumn="0" w:noHBand="0" w:noVBand="1"/>
      </w:tblPr>
      <w:tblGrid>
        <w:gridCol w:w="960"/>
        <w:gridCol w:w="1840"/>
        <w:gridCol w:w="950"/>
        <w:gridCol w:w="970"/>
        <w:gridCol w:w="950"/>
        <w:gridCol w:w="970"/>
      </w:tblGrid>
      <w:tr w:rsidR="004701AA" w:rsidRPr="00852139" w14:paraId="5C1D7922" w14:textId="77777777" w:rsidTr="00E21D2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DA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900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83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Return On Assets</w:t>
            </w:r>
          </w:p>
        </w:tc>
      </w:tr>
      <w:tr w:rsidR="004701AA" w:rsidRPr="00852139" w14:paraId="4955D902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E9CF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AFF1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99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E9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06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D93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2022</w:t>
            </w:r>
          </w:p>
        </w:tc>
      </w:tr>
      <w:tr w:rsidR="004701AA" w:rsidRPr="00852139" w14:paraId="6FC0F6B0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020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F03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15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ED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0C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03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0,09</w:t>
            </w:r>
          </w:p>
        </w:tc>
      </w:tr>
      <w:tr w:rsidR="004701AA" w:rsidRPr="00852139" w14:paraId="3EA8863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6B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856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B31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D69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3F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D5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0,15</w:t>
            </w:r>
          </w:p>
        </w:tc>
      </w:tr>
      <w:tr w:rsidR="004701AA" w:rsidRPr="00852139" w14:paraId="2994B48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E1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F87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F2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D01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D3E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05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0,06</w:t>
            </w:r>
          </w:p>
        </w:tc>
      </w:tr>
      <w:tr w:rsidR="004701AA" w:rsidRPr="00852139" w14:paraId="7EFF0A97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0D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CB9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CEKA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75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AA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F7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C6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0,13</w:t>
            </w:r>
          </w:p>
        </w:tc>
      </w:tr>
      <w:tr w:rsidR="004701AA" w:rsidRPr="00852139" w14:paraId="200C014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C2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387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CPIN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36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B6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E2A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D7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</w:tr>
      <w:tr w:rsidR="004701AA" w:rsidRPr="00852139" w14:paraId="481BE9C0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A9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EDA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DLTA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D5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B1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E53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94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0,18</w:t>
            </w:r>
          </w:p>
        </w:tc>
      </w:tr>
      <w:tr w:rsidR="004701AA" w:rsidRPr="00852139" w14:paraId="27D08F82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D3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733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DSNG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592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6A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CF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BC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0,08</w:t>
            </w:r>
          </w:p>
        </w:tc>
      </w:tr>
      <w:tr w:rsidR="004701AA" w:rsidRPr="00852139" w14:paraId="571DCEC1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EC7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15E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HMSP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4C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2C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9D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05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</w:tr>
      <w:tr w:rsidR="004701AA" w:rsidRPr="00852139" w14:paraId="144AD157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36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000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JPFA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BE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03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4D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AA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0,05</w:t>
            </w:r>
          </w:p>
        </w:tc>
      </w:tr>
      <w:tr w:rsidR="004701AA" w:rsidRPr="00852139" w14:paraId="2EC0BA7A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D1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B42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LSIP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3F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E2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39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AB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0,08</w:t>
            </w:r>
          </w:p>
        </w:tc>
      </w:tr>
      <w:tr w:rsidR="004701AA" w:rsidRPr="00852139" w14:paraId="3E7588D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A10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5B8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MYOR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BF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4B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C1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5D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0,09</w:t>
            </w:r>
          </w:p>
        </w:tc>
      </w:tr>
      <w:tr w:rsidR="004701AA" w:rsidRPr="00852139" w14:paraId="4CA8974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5C6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C3C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ROTI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77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21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88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12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0,10</w:t>
            </w:r>
          </w:p>
        </w:tc>
      </w:tr>
      <w:tr w:rsidR="004701AA" w:rsidRPr="00852139" w14:paraId="484894A0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42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559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SDPC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1B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8D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01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ED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0,02</w:t>
            </w:r>
          </w:p>
        </w:tc>
      </w:tr>
      <w:tr w:rsidR="004701AA" w:rsidRPr="00852139" w14:paraId="2821D24E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96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4DF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SGRO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4B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F4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-0,02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C5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FFE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0,10</w:t>
            </w:r>
          </w:p>
        </w:tc>
      </w:tr>
      <w:tr w:rsidR="004701AA" w:rsidRPr="00852139" w14:paraId="15CAEC8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33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CCE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SIMP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D5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F4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81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FE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</w:tr>
      <w:tr w:rsidR="004701AA" w:rsidRPr="00852139" w14:paraId="4FD79AE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BD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85E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TBLA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CD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08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CE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71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</w:t>
            </w:r>
          </w:p>
        </w:tc>
      </w:tr>
      <w:tr w:rsidR="004701AA" w:rsidRPr="00852139" w14:paraId="1D348A4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E47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774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ULTJ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4D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11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AC5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42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0,13</w:t>
            </w:r>
          </w:p>
        </w:tc>
      </w:tr>
      <w:tr w:rsidR="004701AA" w:rsidRPr="00852139" w14:paraId="2B91C4DC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37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D39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UNVR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80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33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06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C35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0,29</w:t>
            </w:r>
          </w:p>
        </w:tc>
      </w:tr>
      <w:tr w:rsidR="004701AA" w:rsidRPr="00852139" w14:paraId="21F08B12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71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992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WIIM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C0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40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C8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2D9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</w:tr>
      <w:tr w:rsidR="004701AA" w:rsidRPr="00852139" w14:paraId="20D3D4CC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C0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146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HOKI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D7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2E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294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62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0,00</w:t>
            </w:r>
          </w:p>
        </w:tc>
      </w:tr>
      <w:tr w:rsidR="004701AA" w:rsidRPr="00852139" w14:paraId="76F7B22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5E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6047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GOOD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C5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82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BDA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79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</w:tr>
      <w:tr w:rsidR="004701AA" w:rsidRPr="00852139" w14:paraId="5C2AACA7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F8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3B9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INDF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F5D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47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DA5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1C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0,05</w:t>
            </w:r>
          </w:p>
        </w:tc>
      </w:tr>
      <w:tr w:rsidR="004701AA" w:rsidRPr="00852139" w14:paraId="5E824A94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8F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E36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KINO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D2C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BC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A1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3D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-0,20</w:t>
            </w:r>
          </w:p>
        </w:tc>
      </w:tr>
    </w:tbl>
    <w:p w14:paraId="4774034E" w14:textId="77777777" w:rsidR="004701AA" w:rsidRDefault="004701AA" w:rsidP="004701AA"/>
    <w:tbl>
      <w:tblPr>
        <w:tblW w:w="6196" w:type="dxa"/>
        <w:tblLook w:val="04A0" w:firstRow="1" w:lastRow="0" w:firstColumn="1" w:lastColumn="0" w:noHBand="0" w:noVBand="1"/>
      </w:tblPr>
      <w:tblGrid>
        <w:gridCol w:w="960"/>
        <w:gridCol w:w="1740"/>
        <w:gridCol w:w="1740"/>
        <w:gridCol w:w="1720"/>
        <w:gridCol w:w="222"/>
      </w:tblGrid>
      <w:tr w:rsidR="004701AA" w:rsidRPr="00852139" w14:paraId="4696B269" w14:textId="77777777" w:rsidTr="00E21D2F">
        <w:trPr>
          <w:gridAfter w:val="1"/>
          <w:wAfter w:w="36" w:type="dxa"/>
          <w:trHeight w:val="4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49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471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92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laba bersih (2019)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F2C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total asset (2019)</w:t>
            </w:r>
          </w:p>
        </w:tc>
      </w:tr>
      <w:tr w:rsidR="004701AA" w:rsidRPr="00852139" w14:paraId="3E7E61EF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D5E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F3C0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D3DB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60DB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ABC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661CA5D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DE9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661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69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1.138.888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A96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23.992.313</w:t>
            </w:r>
          </w:p>
        </w:tc>
        <w:tc>
          <w:tcPr>
            <w:tcW w:w="36" w:type="dxa"/>
            <w:vAlign w:val="center"/>
            <w:hideMark/>
          </w:tcPr>
          <w:p w14:paraId="78300AD6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3756C0E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4F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29C4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33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306.952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BD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2.941.056</w:t>
            </w:r>
          </w:p>
        </w:tc>
        <w:tc>
          <w:tcPr>
            <w:tcW w:w="36" w:type="dxa"/>
            <w:vAlign w:val="center"/>
            <w:hideMark/>
          </w:tcPr>
          <w:p w14:paraId="72A4CCEE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4E9748C4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E38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F08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11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243.629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E7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26.974.124</w:t>
            </w:r>
          </w:p>
        </w:tc>
        <w:tc>
          <w:tcPr>
            <w:tcW w:w="36" w:type="dxa"/>
            <w:vAlign w:val="center"/>
            <w:hideMark/>
          </w:tcPr>
          <w:p w14:paraId="4AA24754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1CCF6C95" w14:textId="77777777" w:rsidR="004701AA" w:rsidRDefault="004701AA" w:rsidP="004701AA"/>
    <w:p w14:paraId="5C8560C0" w14:textId="77777777" w:rsidR="004701AA" w:rsidRDefault="004701AA" w:rsidP="004701AA"/>
    <w:p w14:paraId="03DD90AD" w14:textId="77777777" w:rsidR="004701AA" w:rsidRPr="00852139" w:rsidRDefault="004701AA" w:rsidP="004701AA">
      <w:pPr>
        <w:rPr>
          <w:rFonts w:eastAsiaTheme="minorEastAsia"/>
          <w:color w:val="000000"/>
        </w:rPr>
      </w:pPr>
      <m:oMathPara>
        <m:oMath>
          <m:r>
            <w:rPr>
              <w:rFonts w:ascii="Cambria Math" w:eastAsia="Calibri" w:hAnsi="Cambria Math"/>
              <w:color w:val="000000"/>
            </w:rPr>
            <w:lastRenderedPageBreak/>
            <m:t>ROA</m:t>
          </m:r>
          <m:r>
            <m:rPr>
              <m:sty m:val="p"/>
            </m:rPr>
            <w:rPr>
              <w:rFonts w:ascii="Cambria Math" w:eastAsia="Calibri" w:hAnsi="Cambria Math"/>
              <w:color w:val="000000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color w:val="000000"/>
                </w:rPr>
              </m:ctrlPr>
            </m:fPr>
            <m:num>
              <m:r>
                <w:rPr>
                  <w:rFonts w:ascii="Cambria Math" w:eastAsia="Calibri" w:hAnsi="Cambria Math"/>
                  <w:color w:val="000000"/>
                </w:rPr>
                <m:t>laba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</w:rPr>
                <m:t>bersih</m:t>
              </m:r>
            </m:num>
            <m:den>
              <m:r>
                <w:rPr>
                  <w:rFonts w:ascii="Cambria Math" w:eastAsia="Calibri" w:hAnsi="Cambria Math"/>
                  <w:color w:val="000000"/>
                </w:rPr>
                <m:t>total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</w:rPr>
                <m:t>asset</m:t>
              </m:r>
            </m:den>
          </m:f>
        </m:oMath>
      </m:oMathPara>
    </w:p>
    <w:p w14:paraId="6603F80A" w14:textId="77777777" w:rsidR="004701AA" w:rsidRDefault="004701AA" w:rsidP="004701AA">
      <w:pPr>
        <w:rPr>
          <w:rFonts w:eastAsiaTheme="minorEastAsia"/>
        </w:rPr>
      </w:pPr>
    </w:p>
    <w:p w14:paraId="414F8481" w14:textId="77777777" w:rsidR="004701AA" w:rsidRDefault="004701AA" w:rsidP="004701AA">
      <w:pPr>
        <w:rPr>
          <w:rFonts w:eastAsiaTheme="minorEastAsia"/>
        </w:rPr>
      </w:pPr>
    </w:p>
    <w:p w14:paraId="229B1FC8" w14:textId="77777777" w:rsidR="004701AA" w:rsidRDefault="004701AA" w:rsidP="004701AA">
      <w:pPr>
        <w:rPr>
          <w:rFonts w:eastAsiaTheme="minorEastAsia"/>
        </w:rPr>
      </w:pPr>
    </w:p>
    <w:p w14:paraId="341F0A1B" w14:textId="77777777" w:rsidR="004701AA" w:rsidRDefault="004701AA" w:rsidP="004701AA">
      <w:pPr>
        <w:rPr>
          <w:rFonts w:eastAsiaTheme="minorEastAsia"/>
        </w:rPr>
      </w:pPr>
    </w:p>
    <w:p w14:paraId="25D38E78" w14:textId="77777777" w:rsidR="004701AA" w:rsidRDefault="004701AA" w:rsidP="004701AA">
      <w:pPr>
        <w:rPr>
          <w:rFonts w:eastAsiaTheme="minorEastAsia"/>
        </w:rPr>
      </w:pPr>
    </w:p>
    <w:tbl>
      <w:tblPr>
        <w:tblW w:w="6580" w:type="dxa"/>
        <w:tblLook w:val="04A0" w:firstRow="1" w:lastRow="0" w:firstColumn="1" w:lastColumn="0" w:noHBand="0" w:noVBand="1"/>
      </w:tblPr>
      <w:tblGrid>
        <w:gridCol w:w="960"/>
        <w:gridCol w:w="1780"/>
        <w:gridCol w:w="879"/>
        <w:gridCol w:w="897"/>
        <w:gridCol w:w="879"/>
        <w:gridCol w:w="1185"/>
      </w:tblGrid>
      <w:tr w:rsidR="004701AA" w:rsidRPr="00852139" w14:paraId="508665CD" w14:textId="77777777" w:rsidTr="00E21D2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135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404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44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Dividend Payout Ratio</w:t>
            </w:r>
          </w:p>
        </w:tc>
      </w:tr>
      <w:tr w:rsidR="004701AA" w:rsidRPr="00852139" w14:paraId="69D30836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A2B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7583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00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36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FF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37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2022</w:t>
            </w:r>
          </w:p>
        </w:tc>
      </w:tr>
      <w:tr w:rsidR="004701AA" w:rsidRPr="00852139" w14:paraId="6133D87A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A5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166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0B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BE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3D3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E4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0,27</w:t>
            </w:r>
          </w:p>
        </w:tc>
      </w:tr>
      <w:tr w:rsidR="004701AA" w:rsidRPr="00852139" w14:paraId="6511834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84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504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F8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C8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28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B5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0,22</w:t>
            </w:r>
          </w:p>
        </w:tc>
      </w:tr>
      <w:tr w:rsidR="004701AA" w:rsidRPr="00852139" w14:paraId="230DF7A4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76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F21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85F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E0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54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DA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0,51</w:t>
            </w:r>
          </w:p>
        </w:tc>
      </w:tr>
      <w:tr w:rsidR="004701AA" w:rsidRPr="00852139" w14:paraId="5104245C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55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87D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CEKA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25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56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CE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CE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0,27</w:t>
            </w:r>
          </w:p>
        </w:tc>
      </w:tr>
      <w:tr w:rsidR="004701AA" w:rsidRPr="00852139" w14:paraId="6BD6E3B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15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AA0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CPIN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D96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E8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5A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F5D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0,60</w:t>
            </w:r>
          </w:p>
        </w:tc>
      </w:tr>
      <w:tr w:rsidR="004701AA" w:rsidRPr="00852139" w14:paraId="13DD1536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B8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323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DLTA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DD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34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97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B9E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1,04</w:t>
            </w:r>
          </w:p>
        </w:tc>
      </w:tr>
      <w:tr w:rsidR="004701AA" w:rsidRPr="00852139" w14:paraId="42B5D620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BD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06C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DSNG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60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77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02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E8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0,18</w:t>
            </w:r>
          </w:p>
        </w:tc>
      </w:tr>
      <w:tr w:rsidR="004701AA" w:rsidRPr="00852139" w14:paraId="25D1820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CC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0DD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HMSP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AC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E1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59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69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1,16</w:t>
            </w:r>
          </w:p>
        </w:tc>
      </w:tr>
      <w:tr w:rsidR="004701AA" w:rsidRPr="00852139" w14:paraId="3A929AC8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1A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093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JPFA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8C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84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65E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90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0,49</w:t>
            </w:r>
          </w:p>
        </w:tc>
      </w:tr>
      <w:tr w:rsidR="004701AA" w:rsidRPr="00852139" w14:paraId="3EB87044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852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A73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LSIP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B00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446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BB3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6F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0,34</w:t>
            </w:r>
          </w:p>
        </w:tc>
      </w:tr>
      <w:tr w:rsidR="004701AA" w:rsidRPr="00852139" w14:paraId="7F6FC2A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3A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E86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MYOR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9A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10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A3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9E4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0,27</w:t>
            </w:r>
          </w:p>
        </w:tc>
      </w:tr>
      <w:tr w:rsidR="004701AA" w:rsidRPr="00852139" w14:paraId="62D3CC2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88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7C11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ROTI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E6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3A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1C7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37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0,80</w:t>
            </w:r>
          </w:p>
        </w:tc>
      </w:tr>
      <w:tr w:rsidR="004701AA" w:rsidRPr="00852139" w14:paraId="05E7F45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D9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CF6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SDPC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31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43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AE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BA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0,05</w:t>
            </w:r>
          </w:p>
        </w:tc>
      </w:tr>
      <w:tr w:rsidR="004701AA" w:rsidRPr="00852139" w14:paraId="54E9311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8D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044B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SGRO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A72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C2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-0,08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C2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F1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0,40</w:t>
            </w:r>
          </w:p>
        </w:tc>
      </w:tr>
      <w:tr w:rsidR="004701AA" w:rsidRPr="00852139" w14:paraId="1555BA6F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22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613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SIMP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FE9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-0,1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2D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79B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5A5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0,27</w:t>
            </w:r>
          </w:p>
        </w:tc>
      </w:tr>
      <w:tr w:rsidR="004701AA" w:rsidRPr="00852139" w14:paraId="412D2F87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21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FEF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TBLA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62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1B3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80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3CE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0,43</w:t>
            </w:r>
          </w:p>
        </w:tc>
      </w:tr>
      <w:tr w:rsidR="004701AA" w:rsidRPr="00852139" w14:paraId="6B3ACA8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E1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4BB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ULTJ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7B7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86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0B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67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0,28</w:t>
            </w:r>
          </w:p>
        </w:tc>
      </w:tr>
      <w:tr w:rsidR="004701AA" w:rsidRPr="00852139" w14:paraId="18EB5DEA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E7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CC79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UNVR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BB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39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FA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1F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1,09</w:t>
            </w:r>
          </w:p>
        </w:tc>
      </w:tr>
      <w:tr w:rsidR="004701AA" w:rsidRPr="00852139" w14:paraId="4DCCF0AE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8C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AC3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WIIM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4B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2DA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DA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77A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0,18</w:t>
            </w:r>
          </w:p>
        </w:tc>
      </w:tr>
      <w:tr w:rsidR="004701AA" w:rsidRPr="00852139" w14:paraId="07C722EF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76E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B71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HOKI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EF4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75A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8A4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CC0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106,85</w:t>
            </w:r>
          </w:p>
        </w:tc>
      </w:tr>
      <w:tr w:rsidR="004701AA" w:rsidRPr="00852139" w14:paraId="1FB8E451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93C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AEC4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GOOD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45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8B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A70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6A2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0,42</w:t>
            </w:r>
          </w:p>
        </w:tc>
      </w:tr>
      <w:tr w:rsidR="004701AA" w:rsidRPr="00852139" w14:paraId="06A7EBFF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B80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995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INDF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5A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251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BC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12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0,46</w:t>
            </w:r>
          </w:p>
        </w:tc>
      </w:tr>
      <w:tr w:rsidR="004701AA" w:rsidRPr="00852139" w14:paraId="5A0F7AE1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0E7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A1C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KINO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26C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5FF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1,29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FC8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0,35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F88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-0,02</w:t>
            </w:r>
          </w:p>
        </w:tc>
      </w:tr>
    </w:tbl>
    <w:p w14:paraId="1EE9E59A" w14:textId="77777777" w:rsidR="004701AA" w:rsidRDefault="004701AA" w:rsidP="004701AA">
      <w:pPr>
        <w:rPr>
          <w:rFonts w:eastAsiaTheme="minorEastAsia"/>
        </w:rPr>
      </w:pPr>
    </w:p>
    <w:tbl>
      <w:tblPr>
        <w:tblW w:w="5937" w:type="dxa"/>
        <w:tblLook w:val="04A0" w:firstRow="1" w:lastRow="0" w:firstColumn="1" w:lastColumn="0" w:noHBand="0" w:noVBand="1"/>
      </w:tblPr>
      <w:tblGrid>
        <w:gridCol w:w="960"/>
        <w:gridCol w:w="1840"/>
        <w:gridCol w:w="1601"/>
        <w:gridCol w:w="1500"/>
        <w:gridCol w:w="222"/>
      </w:tblGrid>
      <w:tr w:rsidR="004701AA" w:rsidRPr="00852139" w14:paraId="2465637F" w14:textId="77777777" w:rsidTr="00E21D2F">
        <w:trPr>
          <w:gridAfter w:val="1"/>
          <w:wAfter w:w="36" w:type="dxa"/>
          <w:trHeight w:val="4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12F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AB21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2F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dividen (2019)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5D7D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laba bersih (2019)</w:t>
            </w:r>
          </w:p>
        </w:tc>
      </w:tr>
      <w:tr w:rsidR="004701AA" w:rsidRPr="00852139" w14:paraId="11C69B18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C5DE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C178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010B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E4ED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17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1600090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1AF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8F43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904" w14:textId="77777777" w:rsidR="004701AA" w:rsidRPr="00852139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                115.980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9D3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1.138.888</w:t>
            </w:r>
          </w:p>
        </w:tc>
        <w:tc>
          <w:tcPr>
            <w:tcW w:w="36" w:type="dxa"/>
            <w:vAlign w:val="center"/>
            <w:hideMark/>
          </w:tcPr>
          <w:p w14:paraId="757148BA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56636D48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66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DD7A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5EA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E9E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306.952</w:t>
            </w:r>
          </w:p>
        </w:tc>
        <w:tc>
          <w:tcPr>
            <w:tcW w:w="36" w:type="dxa"/>
            <w:vAlign w:val="center"/>
            <w:hideMark/>
          </w:tcPr>
          <w:p w14:paraId="1E7700B9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852139" w14:paraId="2767D693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4636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6468" w14:textId="77777777" w:rsidR="004701AA" w:rsidRPr="00852139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4A5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490.772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D86" w14:textId="77777777" w:rsidR="004701AA" w:rsidRPr="00852139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52139">
              <w:rPr>
                <w:rFonts w:ascii="Calibri" w:eastAsia="Times New Roman" w:hAnsi="Calibri" w:cs="Calibri"/>
                <w:color w:val="000000"/>
                <w:lang w:val="en-ID" w:eastAsia="en-ID"/>
              </w:rPr>
              <w:t>243.629</w:t>
            </w:r>
          </w:p>
        </w:tc>
        <w:tc>
          <w:tcPr>
            <w:tcW w:w="36" w:type="dxa"/>
            <w:vAlign w:val="center"/>
            <w:hideMark/>
          </w:tcPr>
          <w:p w14:paraId="6C5C2E44" w14:textId="77777777" w:rsidR="004701AA" w:rsidRPr="00852139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559F8038" w14:textId="77777777" w:rsidR="004701AA" w:rsidRPr="00852139" w:rsidRDefault="004701AA" w:rsidP="004701AA">
      <w:pPr>
        <w:spacing w:line="360" w:lineRule="auto"/>
        <w:contextualSpacing/>
        <w:rPr>
          <w:rFonts w:eastAsia="Times New Roman"/>
          <w:color w:val="000000"/>
        </w:rPr>
      </w:pPr>
    </w:p>
    <w:p w14:paraId="6306D4BC" w14:textId="77777777" w:rsidR="004701AA" w:rsidRDefault="004701AA" w:rsidP="004701AA">
      <w:pPr>
        <w:rPr>
          <w:rFonts w:eastAsia="Times New Roman"/>
          <w:color w:val="000000"/>
        </w:rPr>
      </w:pPr>
    </w:p>
    <w:p w14:paraId="181C1BD2" w14:textId="77777777" w:rsidR="004701AA" w:rsidRDefault="004701AA" w:rsidP="004701AA">
      <w:pPr>
        <w:rPr>
          <w:rFonts w:eastAsiaTheme="minorEastAsia"/>
          <w:color w:val="000000"/>
        </w:rPr>
      </w:pPr>
      <m:oMathPara>
        <m:oMath>
          <m:r>
            <w:rPr>
              <w:rFonts w:ascii="Cambria Math" w:eastAsia="Calibri" w:hAnsi="Cambria Math"/>
              <w:color w:val="000000"/>
            </w:rPr>
            <m:t xml:space="preserve">DPR= 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eastAsia="Calibri" w:hAnsi="Cambria Math"/>
                  <w:color w:val="000000"/>
                </w:rPr>
                <m:t>Dividen</m:t>
              </m:r>
            </m:num>
            <m:den>
              <m:r>
                <w:rPr>
                  <w:rFonts w:ascii="Cambria Math" w:eastAsia="Calibri" w:hAnsi="Cambria Math"/>
                  <w:color w:val="000000"/>
                </w:rPr>
                <m:t>Laba Bersih</m:t>
              </m:r>
            </m:den>
          </m:f>
          <m:r>
            <w:rPr>
              <w:rFonts w:ascii="Cambria Math" w:eastAsia="Calibri" w:hAnsi="Cambria Math"/>
              <w:color w:val="000000"/>
            </w:rPr>
            <m:t>×100</m:t>
          </m:r>
        </m:oMath>
      </m:oMathPara>
    </w:p>
    <w:tbl>
      <w:tblPr>
        <w:tblW w:w="6480" w:type="dxa"/>
        <w:tblLook w:val="04A0" w:firstRow="1" w:lastRow="0" w:firstColumn="1" w:lastColumn="0" w:noHBand="0" w:noVBand="1"/>
      </w:tblPr>
      <w:tblGrid>
        <w:gridCol w:w="960"/>
        <w:gridCol w:w="1680"/>
        <w:gridCol w:w="960"/>
        <w:gridCol w:w="960"/>
        <w:gridCol w:w="960"/>
        <w:gridCol w:w="960"/>
      </w:tblGrid>
      <w:tr w:rsidR="004701AA" w:rsidRPr="00C837A8" w14:paraId="5173355B" w14:textId="77777777" w:rsidTr="00E21D2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13DF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78D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623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Debt To Equity Ratio</w:t>
            </w:r>
          </w:p>
        </w:tc>
      </w:tr>
      <w:tr w:rsidR="004701AA" w:rsidRPr="00C837A8" w14:paraId="6A446A19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954" w14:textId="77777777" w:rsidR="004701AA" w:rsidRPr="00C837A8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A1D" w14:textId="77777777" w:rsidR="004701AA" w:rsidRPr="00C837A8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921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84B8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FF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9CB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2022</w:t>
            </w:r>
          </w:p>
        </w:tc>
      </w:tr>
      <w:tr w:rsidR="004701AA" w:rsidRPr="00C837A8" w14:paraId="02EFAA60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A9D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8AB3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E3EC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7FA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A75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F11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1,68</w:t>
            </w:r>
          </w:p>
        </w:tc>
      </w:tr>
      <w:tr w:rsidR="004701AA" w:rsidRPr="00C837A8" w14:paraId="437AE777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505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27BD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CC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95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568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8B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</w:tr>
      <w:tr w:rsidR="004701AA" w:rsidRPr="00C837A8" w14:paraId="34D8327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8E7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9C9B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55C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619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875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F39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0,31</w:t>
            </w:r>
          </w:p>
        </w:tc>
      </w:tr>
      <w:tr w:rsidR="004701AA" w:rsidRPr="00C837A8" w14:paraId="016432F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78C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E5EA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CF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C5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2ED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C87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0,11</w:t>
            </w:r>
          </w:p>
        </w:tc>
      </w:tr>
      <w:tr w:rsidR="004701AA" w:rsidRPr="00C837A8" w14:paraId="08E8B125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9D8B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D4B6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8D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E7E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CD2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DFC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5,13</w:t>
            </w:r>
          </w:p>
        </w:tc>
      </w:tr>
      <w:tr w:rsidR="004701AA" w:rsidRPr="00C837A8" w14:paraId="7224C80E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EB0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E341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55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6D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6F2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108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</w:t>
            </w:r>
          </w:p>
        </w:tc>
      </w:tr>
      <w:tr w:rsidR="004701AA" w:rsidRPr="00C837A8" w14:paraId="4207229A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D83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27C6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DSNG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EB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66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8E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695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0,88</w:t>
            </w:r>
          </w:p>
        </w:tc>
      </w:tr>
      <w:tr w:rsidR="004701AA" w:rsidRPr="00C837A8" w14:paraId="64FDB524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AEF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7642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E18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30A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E71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FE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0,94</w:t>
            </w:r>
          </w:p>
        </w:tc>
      </w:tr>
      <w:tr w:rsidR="004701AA" w:rsidRPr="00C837A8" w14:paraId="4228BD4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711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E415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BAE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1B8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97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7DB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1,39</w:t>
            </w:r>
          </w:p>
        </w:tc>
      </w:tr>
      <w:tr w:rsidR="004701AA" w:rsidRPr="00C837A8" w14:paraId="5A388270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CD4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1EE7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LSIP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E3F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7EA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4D3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69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0,14</w:t>
            </w:r>
          </w:p>
        </w:tc>
      </w:tr>
      <w:tr w:rsidR="004701AA" w:rsidRPr="00C837A8" w14:paraId="453FC1D3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3E7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D05D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6BC1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192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4E9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36AF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0,74</w:t>
            </w:r>
          </w:p>
        </w:tc>
      </w:tr>
      <w:tr w:rsidR="004701AA" w:rsidRPr="00C837A8" w14:paraId="6BAE126C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4DC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B129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F13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A0C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543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8982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0,54</w:t>
            </w:r>
          </w:p>
        </w:tc>
      </w:tr>
      <w:tr w:rsidR="004701AA" w:rsidRPr="00C837A8" w14:paraId="30CB138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D0B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6060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SDPC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13F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DF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A5D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40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4,41</w:t>
            </w:r>
          </w:p>
        </w:tc>
      </w:tr>
      <w:tr w:rsidR="004701AA" w:rsidRPr="00C837A8" w14:paraId="5F62C8F9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1F0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85DA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SGRO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B2B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478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41C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B0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0,96</w:t>
            </w:r>
          </w:p>
        </w:tc>
      </w:tr>
      <w:tr w:rsidR="004701AA" w:rsidRPr="00C837A8" w14:paraId="4DDE562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D4FE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FA9F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SIMP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AC3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E34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FAF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84C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0,71</w:t>
            </w:r>
          </w:p>
        </w:tc>
      </w:tr>
      <w:tr w:rsidR="004701AA" w:rsidRPr="00C837A8" w14:paraId="093C625D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00D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3A29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FEE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CC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A81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F04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2,46</w:t>
            </w:r>
          </w:p>
        </w:tc>
      </w:tr>
      <w:tr w:rsidR="004701AA" w:rsidRPr="00C837A8" w14:paraId="753E3061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F51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C5D8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D34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6A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713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CB1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0,27</w:t>
            </w:r>
          </w:p>
        </w:tc>
      </w:tr>
      <w:tr w:rsidR="004701AA" w:rsidRPr="00C837A8" w14:paraId="44B48E3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EE46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E924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1B3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684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B6B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C3E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3,58</w:t>
            </w:r>
          </w:p>
        </w:tc>
      </w:tr>
      <w:tr w:rsidR="004701AA" w:rsidRPr="00C837A8" w14:paraId="58EC90A4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0C1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055A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459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0E54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7BE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BF3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0,44</w:t>
            </w:r>
          </w:p>
        </w:tc>
      </w:tr>
      <w:tr w:rsidR="004701AA" w:rsidRPr="00C837A8" w14:paraId="5A05869B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BD8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8F09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47F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91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FBD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AF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0,21</w:t>
            </w:r>
          </w:p>
        </w:tc>
      </w:tr>
      <w:tr w:rsidR="004701AA" w:rsidRPr="00C837A8" w14:paraId="52C5FF52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256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E18C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318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224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16E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DFA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1,19</w:t>
            </w:r>
          </w:p>
        </w:tc>
      </w:tr>
      <w:tr w:rsidR="004701AA" w:rsidRPr="00C837A8" w14:paraId="3036E7E2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BEB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D2A8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7EB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7C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15F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470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0,93</w:t>
            </w:r>
          </w:p>
        </w:tc>
      </w:tr>
      <w:tr w:rsidR="004701AA" w:rsidRPr="00C837A8" w14:paraId="25ECCC76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F9C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3618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D6B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C4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16D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74C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2,05</w:t>
            </w:r>
          </w:p>
        </w:tc>
      </w:tr>
    </w:tbl>
    <w:p w14:paraId="086C9A25" w14:textId="77777777" w:rsidR="004701AA" w:rsidRDefault="004701AA" w:rsidP="004701AA">
      <w:pPr>
        <w:rPr>
          <w:rFonts w:eastAsiaTheme="minorEastAsia"/>
        </w:rPr>
      </w:pPr>
    </w:p>
    <w:tbl>
      <w:tblPr>
        <w:tblW w:w="5996" w:type="dxa"/>
        <w:tblLook w:val="04A0" w:firstRow="1" w:lastRow="0" w:firstColumn="1" w:lastColumn="0" w:noHBand="0" w:noVBand="1"/>
      </w:tblPr>
      <w:tblGrid>
        <w:gridCol w:w="960"/>
        <w:gridCol w:w="1620"/>
        <w:gridCol w:w="1660"/>
        <w:gridCol w:w="1720"/>
        <w:gridCol w:w="222"/>
      </w:tblGrid>
      <w:tr w:rsidR="004701AA" w:rsidRPr="00C837A8" w14:paraId="7A9882C2" w14:textId="77777777" w:rsidTr="00E21D2F">
        <w:trPr>
          <w:gridAfter w:val="1"/>
          <w:wAfter w:w="36" w:type="dxa"/>
          <w:trHeight w:val="4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37A9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D67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Kode Perusahaan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AE8B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total utang (2019)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FA70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ekuitas (2019)</w:t>
            </w:r>
          </w:p>
        </w:tc>
      </w:tr>
      <w:tr w:rsidR="004701AA" w:rsidRPr="00C837A8" w14:paraId="49F4D10D" w14:textId="77777777" w:rsidTr="00E21D2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5838" w14:textId="77777777" w:rsidR="004701AA" w:rsidRPr="00C837A8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2D0B" w14:textId="77777777" w:rsidR="004701AA" w:rsidRPr="00C837A8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CA87" w14:textId="77777777" w:rsidR="004701AA" w:rsidRPr="00C837A8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541D" w14:textId="77777777" w:rsidR="004701AA" w:rsidRPr="00C837A8" w:rsidRDefault="004701AA" w:rsidP="00E21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9C9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4701AA" w:rsidRPr="00C837A8" w14:paraId="23D5B65E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FEE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EFFD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AMRT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7A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17.108.006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CA5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6.884.307</w:t>
            </w:r>
          </w:p>
        </w:tc>
        <w:tc>
          <w:tcPr>
            <w:tcW w:w="36" w:type="dxa"/>
            <w:vAlign w:val="center"/>
            <w:hideMark/>
          </w:tcPr>
          <w:p w14:paraId="08403FA1" w14:textId="77777777" w:rsidR="004701AA" w:rsidRPr="00C837A8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C837A8" w14:paraId="5A079521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470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40AF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BISI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4CD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624.470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466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2.316.586</w:t>
            </w:r>
          </w:p>
        </w:tc>
        <w:tc>
          <w:tcPr>
            <w:tcW w:w="36" w:type="dxa"/>
            <w:vAlign w:val="center"/>
            <w:hideMark/>
          </w:tcPr>
          <w:p w14:paraId="4C43A46C" w14:textId="77777777" w:rsidR="004701AA" w:rsidRPr="00C837A8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701AA" w:rsidRPr="00C837A8" w14:paraId="71C48EEE" w14:textId="77777777" w:rsidTr="00E21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148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0F63" w14:textId="77777777" w:rsidR="004701AA" w:rsidRPr="00C837A8" w:rsidRDefault="004701AA" w:rsidP="00E21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AALI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F8F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7.995.597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2F7" w14:textId="77777777" w:rsidR="004701AA" w:rsidRPr="00C837A8" w:rsidRDefault="004701AA" w:rsidP="00E21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837A8">
              <w:rPr>
                <w:rFonts w:ascii="Calibri" w:eastAsia="Times New Roman" w:hAnsi="Calibri" w:cs="Calibri"/>
                <w:color w:val="000000"/>
                <w:lang w:val="en-ID" w:eastAsia="en-ID"/>
              </w:rPr>
              <w:t>18.978.527</w:t>
            </w:r>
          </w:p>
        </w:tc>
        <w:tc>
          <w:tcPr>
            <w:tcW w:w="36" w:type="dxa"/>
            <w:vAlign w:val="center"/>
            <w:hideMark/>
          </w:tcPr>
          <w:p w14:paraId="579B0967" w14:textId="77777777" w:rsidR="004701AA" w:rsidRPr="00C837A8" w:rsidRDefault="004701AA" w:rsidP="00E21D2F">
            <w:pPr>
              <w:spacing w:after="0" w:line="240" w:lineRule="auto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1CAC2A7D" w14:textId="77777777" w:rsidR="004701AA" w:rsidRDefault="004701AA" w:rsidP="004701AA">
      <w:pPr>
        <w:rPr>
          <w:rFonts w:eastAsiaTheme="minorEastAsia"/>
        </w:rPr>
      </w:pPr>
    </w:p>
    <w:p w14:paraId="13E6B1CA" w14:textId="77777777" w:rsidR="004701AA" w:rsidRDefault="004701AA" w:rsidP="004701AA">
      <w:pPr>
        <w:rPr>
          <w:rFonts w:eastAsiaTheme="minorEastAsia"/>
        </w:rPr>
      </w:pPr>
    </w:p>
    <w:p w14:paraId="143F4496" w14:textId="77777777" w:rsidR="004701AA" w:rsidRDefault="004701AA" w:rsidP="004701AA">
      <w:pPr>
        <w:rPr>
          <w:rFonts w:eastAsiaTheme="minorEastAsia"/>
        </w:rPr>
      </w:pPr>
    </w:p>
    <w:p w14:paraId="5A36FCCA" w14:textId="77777777" w:rsidR="004701AA" w:rsidRPr="00C837A8" w:rsidRDefault="004701AA" w:rsidP="004701AA">
      <w:pPr>
        <w:spacing w:line="360" w:lineRule="auto"/>
        <w:contextualSpacing/>
        <w:rPr>
          <w:rFonts w:eastAsia="Times New Roman"/>
          <w:color w:val="000000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color w:val="000000"/>
            </w:rPr>
            <m:t>DER=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eastAsia="Calibri" w:hAnsi="Cambria Math"/>
                  <w:color w:val="000000"/>
                </w:rPr>
                <m:t>Total Utang</m:t>
              </m:r>
            </m:num>
            <m:den>
              <m:r>
                <w:rPr>
                  <w:rFonts w:ascii="Cambria Math" w:eastAsia="Calibri" w:hAnsi="Cambria Math"/>
                  <w:color w:val="000000"/>
                </w:rPr>
                <m:t>Ekuitas</m:t>
              </m:r>
            </m:den>
          </m:f>
        </m:oMath>
      </m:oMathPara>
    </w:p>
    <w:p w14:paraId="0A8CCA78" w14:textId="77777777" w:rsidR="00626355" w:rsidRDefault="00626355"/>
    <w:sectPr w:rsidR="0062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457"/>
    <w:multiLevelType w:val="hybridMultilevel"/>
    <w:tmpl w:val="9E3A8144"/>
    <w:lvl w:ilvl="0" w:tplc="AC526B1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526A40"/>
    <w:multiLevelType w:val="hybridMultilevel"/>
    <w:tmpl w:val="9B9E7080"/>
    <w:lvl w:ilvl="0" w:tplc="738679A0">
      <w:start w:val="1"/>
      <w:numFmt w:val="decimal"/>
      <w:pStyle w:val="style4"/>
      <w:lvlText w:val="%1."/>
      <w:lvlJc w:val="left"/>
      <w:pPr>
        <w:ind w:left="1506" w:hanging="360"/>
      </w:p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B766ED2"/>
    <w:multiLevelType w:val="hybridMultilevel"/>
    <w:tmpl w:val="9E326BE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A26"/>
    <w:multiLevelType w:val="hybridMultilevel"/>
    <w:tmpl w:val="7E562AA2"/>
    <w:lvl w:ilvl="0" w:tplc="8730B69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5730EB5"/>
    <w:multiLevelType w:val="hybridMultilevel"/>
    <w:tmpl w:val="8EF4BC56"/>
    <w:lvl w:ilvl="0" w:tplc="3809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9C7622"/>
    <w:multiLevelType w:val="hybridMultilevel"/>
    <w:tmpl w:val="F36281EE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9B207F"/>
    <w:multiLevelType w:val="hybridMultilevel"/>
    <w:tmpl w:val="6A4ED210"/>
    <w:lvl w:ilvl="0" w:tplc="2B9E9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289B"/>
    <w:multiLevelType w:val="hybridMultilevel"/>
    <w:tmpl w:val="4ED2649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A3225"/>
    <w:multiLevelType w:val="hybridMultilevel"/>
    <w:tmpl w:val="5C14BF4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51F5"/>
    <w:multiLevelType w:val="hybridMultilevel"/>
    <w:tmpl w:val="0CBCD124"/>
    <w:lvl w:ilvl="0" w:tplc="080E632E">
      <w:start w:val="1"/>
      <w:numFmt w:val="upperLetter"/>
      <w:lvlText w:val="%1."/>
      <w:lvlJc w:val="left"/>
      <w:pPr>
        <w:ind w:left="86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8347EE"/>
    <w:multiLevelType w:val="hybridMultilevel"/>
    <w:tmpl w:val="D62E4586"/>
    <w:lvl w:ilvl="0" w:tplc="60C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A5475"/>
    <w:multiLevelType w:val="hybridMultilevel"/>
    <w:tmpl w:val="EA045446"/>
    <w:lvl w:ilvl="0" w:tplc="A8C06D6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B37C77"/>
    <w:multiLevelType w:val="hybridMultilevel"/>
    <w:tmpl w:val="DA2A25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7701D5E">
      <w:start w:val="1"/>
      <w:numFmt w:val="decimal"/>
      <w:lvlText w:val="%3."/>
      <w:lvlJc w:val="left"/>
      <w:pPr>
        <w:ind w:left="2340" w:hanging="360"/>
      </w:pPr>
      <w:rPr>
        <w:rFonts w:asciiTheme="majorHAnsi" w:eastAsiaTheme="majorEastAsia" w:hAnsiTheme="majorHAnsi" w:cstheme="majorBidi"/>
      </w:rPr>
    </w:lvl>
    <w:lvl w:ilvl="3" w:tplc="D354F422">
      <w:start w:val="1"/>
      <w:numFmt w:val="upperLetter"/>
      <w:pStyle w:val="SubBab2"/>
      <w:lvlText w:val="%4."/>
      <w:lvlJc w:val="left"/>
      <w:pPr>
        <w:ind w:left="2880" w:hanging="360"/>
      </w:pPr>
      <w:rPr>
        <w:rFonts w:hint="default"/>
      </w:rPr>
    </w:lvl>
    <w:lvl w:ilvl="4" w:tplc="E334CFA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029"/>
    <w:multiLevelType w:val="hybridMultilevel"/>
    <w:tmpl w:val="9FA042EE"/>
    <w:lvl w:ilvl="0" w:tplc="13CE302E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EB730C3"/>
    <w:multiLevelType w:val="hybridMultilevel"/>
    <w:tmpl w:val="E340990C"/>
    <w:lvl w:ilvl="0" w:tplc="C94AB9AC">
      <w:start w:val="1"/>
      <w:numFmt w:val="upperLetter"/>
      <w:pStyle w:val="SubBab5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7E76"/>
    <w:multiLevelType w:val="hybridMultilevel"/>
    <w:tmpl w:val="B17208DC"/>
    <w:lvl w:ilvl="0" w:tplc="468A9232">
      <w:start w:val="1"/>
      <w:numFmt w:val="upperLetter"/>
      <w:pStyle w:val="SubBab4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decimal"/>
      <w:lvlText w:val="%3."/>
      <w:lvlJc w:val="left"/>
      <w:pPr>
        <w:ind w:left="578" w:hanging="360"/>
      </w:pPr>
    </w:lvl>
    <w:lvl w:ilvl="3" w:tplc="04090011">
      <w:start w:val="1"/>
      <w:numFmt w:val="decimal"/>
      <w:lvlText w:val="%4)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F3C12B4"/>
    <w:multiLevelType w:val="hybridMultilevel"/>
    <w:tmpl w:val="CBA8972C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F4D227B"/>
    <w:multiLevelType w:val="hybridMultilevel"/>
    <w:tmpl w:val="E678424A"/>
    <w:lvl w:ilvl="0" w:tplc="878C82C4">
      <w:start w:val="1"/>
      <w:numFmt w:val="upperLetter"/>
      <w:pStyle w:val="SubBab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C1D5A"/>
    <w:multiLevelType w:val="hybridMultilevel"/>
    <w:tmpl w:val="C6C4E58E"/>
    <w:lvl w:ilvl="0" w:tplc="D514E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B85E7B"/>
    <w:multiLevelType w:val="hybridMultilevel"/>
    <w:tmpl w:val="332222DE"/>
    <w:lvl w:ilvl="0" w:tplc="5A7CD2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A060749"/>
    <w:multiLevelType w:val="hybridMultilevel"/>
    <w:tmpl w:val="93EA01A4"/>
    <w:lvl w:ilvl="0" w:tplc="62DAC1AA">
      <w:start w:val="1"/>
      <w:numFmt w:val="lowerLetter"/>
      <w:lvlText w:val="%1)"/>
      <w:lvlJc w:val="left"/>
      <w:pPr>
        <w:ind w:left="22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4CF51285"/>
    <w:multiLevelType w:val="hybridMultilevel"/>
    <w:tmpl w:val="2190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F59"/>
    <w:multiLevelType w:val="hybridMultilevel"/>
    <w:tmpl w:val="47120816"/>
    <w:lvl w:ilvl="0" w:tplc="81680368">
      <w:start w:val="1"/>
      <w:numFmt w:val="decimal"/>
      <w:pStyle w:val="Style1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BC42A30"/>
    <w:multiLevelType w:val="hybridMultilevel"/>
    <w:tmpl w:val="394A5716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5DA00D3E"/>
    <w:multiLevelType w:val="hybridMultilevel"/>
    <w:tmpl w:val="0122B166"/>
    <w:lvl w:ilvl="0" w:tplc="CFAA4A9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EA94EAE"/>
    <w:multiLevelType w:val="hybridMultilevel"/>
    <w:tmpl w:val="5C7A2724"/>
    <w:lvl w:ilvl="0" w:tplc="20A02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513677"/>
    <w:multiLevelType w:val="hybridMultilevel"/>
    <w:tmpl w:val="4150FCA4"/>
    <w:lvl w:ilvl="0" w:tplc="EBFE199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966D5"/>
    <w:multiLevelType w:val="hybridMultilevel"/>
    <w:tmpl w:val="E54AEB3E"/>
    <w:lvl w:ilvl="0" w:tplc="83C6A534">
      <w:start w:val="1"/>
      <w:numFmt w:val="lowerLetter"/>
      <w:lvlText w:val="%1."/>
      <w:lvlJc w:val="left"/>
      <w:pPr>
        <w:ind w:left="179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510" w:hanging="360"/>
      </w:pPr>
    </w:lvl>
    <w:lvl w:ilvl="2" w:tplc="FFFFFFFF" w:tentative="1">
      <w:start w:val="1"/>
      <w:numFmt w:val="lowerRoman"/>
      <w:lvlText w:val="%3."/>
      <w:lvlJc w:val="right"/>
      <w:pPr>
        <w:ind w:left="3230" w:hanging="180"/>
      </w:pPr>
    </w:lvl>
    <w:lvl w:ilvl="3" w:tplc="FFFFFFFF" w:tentative="1">
      <w:start w:val="1"/>
      <w:numFmt w:val="decimal"/>
      <w:lvlText w:val="%4."/>
      <w:lvlJc w:val="left"/>
      <w:pPr>
        <w:ind w:left="3950" w:hanging="360"/>
      </w:pPr>
    </w:lvl>
    <w:lvl w:ilvl="4" w:tplc="FFFFFFFF" w:tentative="1">
      <w:start w:val="1"/>
      <w:numFmt w:val="lowerLetter"/>
      <w:lvlText w:val="%5."/>
      <w:lvlJc w:val="left"/>
      <w:pPr>
        <w:ind w:left="4670" w:hanging="360"/>
      </w:pPr>
    </w:lvl>
    <w:lvl w:ilvl="5" w:tplc="FFFFFFFF" w:tentative="1">
      <w:start w:val="1"/>
      <w:numFmt w:val="lowerRoman"/>
      <w:lvlText w:val="%6."/>
      <w:lvlJc w:val="right"/>
      <w:pPr>
        <w:ind w:left="5390" w:hanging="180"/>
      </w:pPr>
    </w:lvl>
    <w:lvl w:ilvl="6" w:tplc="FFFFFFFF" w:tentative="1">
      <w:start w:val="1"/>
      <w:numFmt w:val="decimal"/>
      <w:lvlText w:val="%7."/>
      <w:lvlJc w:val="left"/>
      <w:pPr>
        <w:ind w:left="6110" w:hanging="360"/>
      </w:pPr>
    </w:lvl>
    <w:lvl w:ilvl="7" w:tplc="FFFFFFFF" w:tentative="1">
      <w:start w:val="1"/>
      <w:numFmt w:val="lowerLetter"/>
      <w:lvlText w:val="%8."/>
      <w:lvlJc w:val="left"/>
      <w:pPr>
        <w:ind w:left="6830" w:hanging="360"/>
      </w:pPr>
    </w:lvl>
    <w:lvl w:ilvl="8" w:tplc="FFFFFFFF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6E8F3D0C"/>
    <w:multiLevelType w:val="hybridMultilevel"/>
    <w:tmpl w:val="5C14BF4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10D50"/>
    <w:multiLevelType w:val="hybridMultilevel"/>
    <w:tmpl w:val="0694A95A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43F5EFF"/>
    <w:multiLevelType w:val="hybridMultilevel"/>
    <w:tmpl w:val="BF20A808"/>
    <w:lvl w:ilvl="0" w:tplc="2A2E9D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53B33E6"/>
    <w:multiLevelType w:val="hybridMultilevel"/>
    <w:tmpl w:val="987663C0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760621B4"/>
    <w:multiLevelType w:val="hybridMultilevel"/>
    <w:tmpl w:val="D50CB6DA"/>
    <w:lvl w:ilvl="0" w:tplc="51128588">
      <w:start w:val="1"/>
      <w:numFmt w:val="upperLetter"/>
      <w:pStyle w:val="SubBab3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DB7306E"/>
    <w:multiLevelType w:val="hybridMultilevel"/>
    <w:tmpl w:val="E6145078"/>
    <w:lvl w:ilvl="0" w:tplc="99D4CDC6">
      <w:start w:val="1"/>
      <w:numFmt w:val="lowerLetter"/>
      <w:lvlText w:val="%1)"/>
      <w:lvlJc w:val="left"/>
      <w:pPr>
        <w:ind w:left="19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3A4D0B"/>
    <w:multiLevelType w:val="hybridMultilevel"/>
    <w:tmpl w:val="5DF299C4"/>
    <w:lvl w:ilvl="0" w:tplc="04090019">
      <w:start w:val="1"/>
      <w:numFmt w:val="lowerLetter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num w:numId="1" w16cid:durableId="423696915">
    <w:abstractNumId w:val="12"/>
  </w:num>
  <w:num w:numId="2" w16cid:durableId="600066219">
    <w:abstractNumId w:val="16"/>
  </w:num>
  <w:num w:numId="3" w16cid:durableId="1617566612">
    <w:abstractNumId w:val="6"/>
  </w:num>
  <w:num w:numId="4" w16cid:durableId="804666681">
    <w:abstractNumId w:val="21"/>
  </w:num>
  <w:num w:numId="5" w16cid:durableId="490633240">
    <w:abstractNumId w:val="26"/>
  </w:num>
  <w:num w:numId="6" w16cid:durableId="1367372855">
    <w:abstractNumId w:val="32"/>
  </w:num>
  <w:num w:numId="7" w16cid:durableId="1598324669">
    <w:abstractNumId w:val="10"/>
  </w:num>
  <w:num w:numId="8" w16cid:durableId="542644626">
    <w:abstractNumId w:val="4"/>
  </w:num>
  <w:num w:numId="9" w16cid:durableId="252516568">
    <w:abstractNumId w:val="30"/>
  </w:num>
  <w:num w:numId="10" w16cid:durableId="1227838252">
    <w:abstractNumId w:val="19"/>
  </w:num>
  <w:num w:numId="11" w16cid:durableId="2098167236">
    <w:abstractNumId w:val="22"/>
  </w:num>
  <w:num w:numId="12" w16cid:durableId="487866855">
    <w:abstractNumId w:val="3"/>
  </w:num>
  <w:num w:numId="13" w16cid:durableId="1536427563">
    <w:abstractNumId w:val="13"/>
  </w:num>
  <w:num w:numId="14" w16cid:durableId="1645163939">
    <w:abstractNumId w:val="23"/>
  </w:num>
  <w:num w:numId="15" w16cid:durableId="471606968">
    <w:abstractNumId w:val="24"/>
  </w:num>
  <w:num w:numId="16" w16cid:durableId="128059968">
    <w:abstractNumId w:val="31"/>
  </w:num>
  <w:num w:numId="17" w16cid:durableId="1981882384">
    <w:abstractNumId w:val="8"/>
  </w:num>
  <w:num w:numId="18" w16cid:durableId="1290823553">
    <w:abstractNumId w:val="17"/>
  </w:num>
  <w:num w:numId="19" w16cid:durableId="1062170119">
    <w:abstractNumId w:val="33"/>
  </w:num>
  <w:num w:numId="20" w16cid:durableId="2028015787">
    <w:abstractNumId w:val="34"/>
  </w:num>
  <w:num w:numId="21" w16cid:durableId="1536120571">
    <w:abstractNumId w:val="20"/>
  </w:num>
  <w:num w:numId="22" w16cid:durableId="12146304">
    <w:abstractNumId w:val="7"/>
  </w:num>
  <w:num w:numId="23" w16cid:durableId="153646528">
    <w:abstractNumId w:val="29"/>
  </w:num>
  <w:num w:numId="24" w16cid:durableId="136186142">
    <w:abstractNumId w:val="15"/>
  </w:num>
  <w:num w:numId="25" w16cid:durableId="1760632919">
    <w:abstractNumId w:val="27"/>
  </w:num>
  <w:num w:numId="26" w16cid:durableId="298847629">
    <w:abstractNumId w:val="0"/>
  </w:num>
  <w:num w:numId="27" w16cid:durableId="2060322338">
    <w:abstractNumId w:val="25"/>
  </w:num>
  <w:num w:numId="28" w16cid:durableId="1061487282">
    <w:abstractNumId w:val="11"/>
  </w:num>
  <w:num w:numId="29" w16cid:durableId="1433865203">
    <w:abstractNumId w:val="14"/>
  </w:num>
  <w:num w:numId="30" w16cid:durableId="1484664139">
    <w:abstractNumId w:val="18"/>
  </w:num>
  <w:num w:numId="31" w16cid:durableId="218789664">
    <w:abstractNumId w:val="2"/>
  </w:num>
  <w:num w:numId="32" w16cid:durableId="1272787469">
    <w:abstractNumId w:val="5"/>
  </w:num>
  <w:num w:numId="33" w16cid:durableId="156073773">
    <w:abstractNumId w:val="1"/>
  </w:num>
  <w:num w:numId="34" w16cid:durableId="27878588">
    <w:abstractNumId w:val="28"/>
  </w:num>
  <w:num w:numId="35" w16cid:durableId="1316450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AA"/>
    <w:rsid w:val="004701AA"/>
    <w:rsid w:val="005E500F"/>
    <w:rsid w:val="00626355"/>
    <w:rsid w:val="00846841"/>
    <w:rsid w:val="008B56EC"/>
    <w:rsid w:val="00AC57D4"/>
    <w:rsid w:val="00B43BA2"/>
    <w:rsid w:val="00DB7661"/>
    <w:rsid w:val="00E16BA3"/>
    <w:rsid w:val="00E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CDED"/>
  <w15:chartTrackingRefBased/>
  <w15:docId w15:val="{5AD32F72-BD03-43E0-98ED-CD3D249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AA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AA"/>
    <w:pPr>
      <w:spacing w:line="240" w:lineRule="auto"/>
      <w:ind w:left="709"/>
      <w:jc w:val="center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701AA"/>
    <w:pPr>
      <w:numPr>
        <w:numId w:val="5"/>
      </w:numPr>
      <w:spacing w:line="360" w:lineRule="auto"/>
      <w:ind w:left="426"/>
      <w:outlineLvl w:val="1"/>
    </w:pPr>
    <w:rPr>
      <w:b/>
      <w:bCs/>
      <w:lang w:val="en-ID"/>
    </w:rPr>
  </w:style>
  <w:style w:type="paragraph" w:styleId="Heading3">
    <w:name w:val="heading 3"/>
    <w:basedOn w:val="style4"/>
    <w:next w:val="Normal"/>
    <w:link w:val="Heading3Char"/>
    <w:uiPriority w:val="9"/>
    <w:unhideWhenUsed/>
    <w:qFormat/>
    <w:rsid w:val="004701A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1AA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701AA"/>
    <w:rPr>
      <w:rFonts w:ascii="Times New Roman" w:hAnsi="Times New Roman" w:cs="Times New Roman"/>
      <w:b/>
      <w:bCs/>
      <w:kern w:val="0"/>
      <w:sz w:val="24"/>
      <w:szCs w:val="24"/>
      <w:lang w:val="en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701AA"/>
    <w:rPr>
      <w:rFonts w:ascii="Times New Roman" w:hAnsi="Times New Roman" w:cs="Times New Roman"/>
      <w:bCs/>
      <w:color w:val="000000" w:themeColor="text1"/>
      <w:kern w:val="0"/>
      <w:sz w:val="24"/>
      <w:szCs w:val="24"/>
      <w14:ligatures w14:val="none"/>
    </w:r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"/>
    <w:basedOn w:val="Normal"/>
    <w:link w:val="ListParagraphChar"/>
    <w:uiPriority w:val="34"/>
    <w:qFormat/>
    <w:rsid w:val="004701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01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AA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AA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470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701AA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basedOn w:val="DefaultParagraphFont"/>
    <w:link w:val="ListParagraph"/>
    <w:uiPriority w:val="34"/>
    <w:qFormat/>
    <w:rsid w:val="004701AA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70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1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01AA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BAB1">
    <w:name w:val="BAB 1"/>
    <w:basedOn w:val="Heading1"/>
    <w:next w:val="Heading1"/>
    <w:link w:val="BAB1Char"/>
    <w:qFormat/>
    <w:rsid w:val="004701AA"/>
    <w:pPr>
      <w:spacing w:line="480" w:lineRule="auto"/>
    </w:pPr>
  </w:style>
  <w:style w:type="paragraph" w:customStyle="1" w:styleId="SubBab1">
    <w:name w:val="Sub Bab 1"/>
    <w:basedOn w:val="Heading2"/>
    <w:link w:val="SubBab1Char"/>
    <w:qFormat/>
    <w:rsid w:val="004701AA"/>
    <w:pPr>
      <w:numPr>
        <w:numId w:val="18"/>
      </w:numPr>
      <w:spacing w:line="480" w:lineRule="auto"/>
      <w:ind w:left="284"/>
      <w:jc w:val="both"/>
    </w:pPr>
  </w:style>
  <w:style w:type="character" w:customStyle="1" w:styleId="BAB1Char">
    <w:name w:val="BAB 1 Char"/>
    <w:basedOn w:val="Heading1Char"/>
    <w:link w:val="BAB1"/>
    <w:rsid w:val="004701AA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BAB2">
    <w:name w:val="BAB 2"/>
    <w:basedOn w:val="Heading1"/>
    <w:link w:val="BAB2Char"/>
    <w:qFormat/>
    <w:rsid w:val="004701AA"/>
    <w:pPr>
      <w:spacing w:line="480" w:lineRule="auto"/>
    </w:pPr>
    <w:rPr>
      <w:color w:val="000000"/>
    </w:rPr>
  </w:style>
  <w:style w:type="character" w:customStyle="1" w:styleId="SubBab1Char">
    <w:name w:val="Sub Bab 1 Char"/>
    <w:basedOn w:val="Heading2Char"/>
    <w:link w:val="SubBab1"/>
    <w:rsid w:val="004701AA"/>
    <w:rPr>
      <w:rFonts w:ascii="Times New Roman" w:hAnsi="Times New Roman" w:cs="Times New Roman"/>
      <w:b/>
      <w:bCs/>
      <w:kern w:val="0"/>
      <w:sz w:val="24"/>
      <w:szCs w:val="24"/>
      <w:lang w:val="en-ID"/>
      <w14:ligatures w14:val="none"/>
    </w:rPr>
  </w:style>
  <w:style w:type="paragraph" w:customStyle="1" w:styleId="SubBab2">
    <w:name w:val="Sub Bab 2"/>
    <w:basedOn w:val="Heading2"/>
    <w:link w:val="SubBab2Char"/>
    <w:qFormat/>
    <w:rsid w:val="004701AA"/>
    <w:pPr>
      <w:numPr>
        <w:ilvl w:val="3"/>
        <w:numId w:val="1"/>
      </w:numPr>
      <w:spacing w:line="480" w:lineRule="auto"/>
      <w:jc w:val="both"/>
    </w:pPr>
    <w:rPr>
      <w:color w:val="000000"/>
    </w:rPr>
  </w:style>
  <w:style w:type="character" w:customStyle="1" w:styleId="BAB2Char">
    <w:name w:val="BAB 2 Char"/>
    <w:basedOn w:val="Heading1Char"/>
    <w:link w:val="BAB2"/>
    <w:rsid w:val="004701AA"/>
    <w:rPr>
      <w:rFonts w:ascii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BAB3">
    <w:name w:val="BAB 3"/>
    <w:basedOn w:val="Heading1"/>
    <w:link w:val="BAB3Char"/>
    <w:qFormat/>
    <w:rsid w:val="004701AA"/>
    <w:pPr>
      <w:spacing w:line="480" w:lineRule="auto"/>
      <w:ind w:left="851" w:hanging="425"/>
    </w:pPr>
  </w:style>
  <w:style w:type="character" w:customStyle="1" w:styleId="SubBab2Char">
    <w:name w:val="Sub Bab 2 Char"/>
    <w:basedOn w:val="Heading2Char"/>
    <w:link w:val="SubBab2"/>
    <w:rsid w:val="004701AA"/>
    <w:rPr>
      <w:rFonts w:ascii="Times New Roman" w:hAnsi="Times New Roman" w:cs="Times New Roman"/>
      <w:b/>
      <w:bCs/>
      <w:color w:val="000000"/>
      <w:kern w:val="0"/>
      <w:sz w:val="24"/>
      <w:szCs w:val="24"/>
      <w:lang w:val="en-ID"/>
      <w14:ligatures w14:val="none"/>
    </w:rPr>
  </w:style>
  <w:style w:type="paragraph" w:customStyle="1" w:styleId="SubBab3">
    <w:name w:val="Sub Bab 3"/>
    <w:basedOn w:val="Heading2"/>
    <w:link w:val="SubBab3Char"/>
    <w:qFormat/>
    <w:rsid w:val="004701AA"/>
    <w:pPr>
      <w:numPr>
        <w:numId w:val="6"/>
      </w:numPr>
      <w:spacing w:line="480" w:lineRule="auto"/>
    </w:pPr>
  </w:style>
  <w:style w:type="character" w:customStyle="1" w:styleId="BAB3Char">
    <w:name w:val="BAB 3 Char"/>
    <w:basedOn w:val="Heading1Char"/>
    <w:link w:val="BAB3"/>
    <w:rsid w:val="004701AA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4701AA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SubBab3Char">
    <w:name w:val="Sub Bab 3 Char"/>
    <w:basedOn w:val="Heading2Char"/>
    <w:link w:val="SubBab3"/>
    <w:rsid w:val="004701AA"/>
    <w:rPr>
      <w:rFonts w:ascii="Times New Roman" w:hAnsi="Times New Roman" w:cs="Times New Roman"/>
      <w:b/>
      <w:bCs/>
      <w:kern w:val="0"/>
      <w:sz w:val="24"/>
      <w:szCs w:val="24"/>
      <w:lang w:val="en-ID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4701AA"/>
    <w:pPr>
      <w:tabs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4701AA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4701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701AA"/>
    <w:pPr>
      <w:spacing w:after="0"/>
    </w:pPr>
  </w:style>
  <w:style w:type="paragraph" w:styleId="NormalWeb">
    <w:name w:val="Normal (Web)"/>
    <w:basedOn w:val="Normal"/>
    <w:uiPriority w:val="99"/>
    <w:unhideWhenUsed/>
    <w:rsid w:val="004701A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pa">
    <w:name w:val="ipa"/>
    <w:basedOn w:val="DefaultParagraphFont"/>
    <w:rsid w:val="004701AA"/>
  </w:style>
  <w:style w:type="character" w:customStyle="1" w:styleId="sw">
    <w:name w:val="sw"/>
    <w:basedOn w:val="DefaultParagraphFont"/>
    <w:rsid w:val="004701AA"/>
  </w:style>
  <w:style w:type="paragraph" w:customStyle="1" w:styleId="BABV">
    <w:name w:val="BAB V"/>
    <w:basedOn w:val="Heading1"/>
    <w:link w:val="BABVChar"/>
    <w:qFormat/>
    <w:rsid w:val="004701AA"/>
    <w:pPr>
      <w:spacing w:line="480" w:lineRule="auto"/>
      <w:ind w:left="0"/>
    </w:pPr>
    <w:rPr>
      <w:bCs w:val="0"/>
      <w:lang w:val="en-ID"/>
    </w:rPr>
  </w:style>
  <w:style w:type="paragraph" w:customStyle="1" w:styleId="SubBab40">
    <w:name w:val="Sub Bab 4"/>
    <w:basedOn w:val="SubBab3"/>
    <w:link w:val="SubBab4Char"/>
    <w:qFormat/>
    <w:rsid w:val="004701AA"/>
    <w:pPr>
      <w:numPr>
        <w:numId w:val="0"/>
      </w:numPr>
      <w:ind w:left="502" w:hanging="360"/>
      <w:jc w:val="both"/>
    </w:pPr>
  </w:style>
  <w:style w:type="character" w:customStyle="1" w:styleId="BABVChar">
    <w:name w:val="BAB V Char"/>
    <w:basedOn w:val="Heading1Char"/>
    <w:link w:val="BABV"/>
    <w:rsid w:val="004701AA"/>
    <w:rPr>
      <w:rFonts w:ascii="Times New Roman" w:hAnsi="Times New Roman" w:cs="Times New Roman"/>
      <w:b/>
      <w:bCs w:val="0"/>
      <w:kern w:val="0"/>
      <w:sz w:val="24"/>
      <w:szCs w:val="24"/>
      <w:lang w:val="en-ID"/>
      <w14:ligatures w14:val="none"/>
    </w:rPr>
  </w:style>
  <w:style w:type="paragraph" w:customStyle="1" w:styleId="SubBab5">
    <w:name w:val="Sub Bab 5"/>
    <w:basedOn w:val="SubBab40"/>
    <w:link w:val="SubBab5Char"/>
    <w:qFormat/>
    <w:rsid w:val="004701AA"/>
    <w:pPr>
      <w:numPr>
        <w:numId w:val="29"/>
      </w:numPr>
      <w:ind w:left="426" w:hanging="426"/>
    </w:pPr>
    <w:rPr>
      <w:bCs w:val="0"/>
    </w:rPr>
  </w:style>
  <w:style w:type="character" w:customStyle="1" w:styleId="SubBab4Char">
    <w:name w:val="Sub Bab 4 Char"/>
    <w:basedOn w:val="SubBab3Char"/>
    <w:link w:val="SubBab40"/>
    <w:rsid w:val="004701AA"/>
    <w:rPr>
      <w:rFonts w:ascii="Times New Roman" w:hAnsi="Times New Roman" w:cs="Times New Roman"/>
      <w:b/>
      <w:bCs/>
      <w:kern w:val="0"/>
      <w:sz w:val="24"/>
      <w:szCs w:val="24"/>
      <w:lang w:val="en-ID"/>
      <w14:ligatures w14:val="none"/>
    </w:rPr>
  </w:style>
  <w:style w:type="character" w:customStyle="1" w:styleId="SubBab5Char">
    <w:name w:val="Sub Bab 5 Char"/>
    <w:basedOn w:val="SubBab4Char"/>
    <w:link w:val="SubBab5"/>
    <w:rsid w:val="004701AA"/>
    <w:rPr>
      <w:rFonts w:ascii="Times New Roman" w:hAnsi="Times New Roman" w:cs="Times New Roman"/>
      <w:b/>
      <w:bCs w:val="0"/>
      <w:kern w:val="0"/>
      <w:sz w:val="24"/>
      <w:szCs w:val="24"/>
      <w:lang w:val="en-ID"/>
      <w14:ligatures w14:val="none"/>
    </w:rPr>
  </w:style>
  <w:style w:type="character" w:styleId="Strong">
    <w:name w:val="Strong"/>
    <w:basedOn w:val="DefaultParagraphFont"/>
    <w:uiPriority w:val="22"/>
    <w:qFormat/>
    <w:rsid w:val="004701AA"/>
    <w:rPr>
      <w:b/>
      <w:bCs/>
    </w:rPr>
  </w:style>
  <w:style w:type="paragraph" w:customStyle="1" w:styleId="BABIV">
    <w:name w:val="BAB IV"/>
    <w:basedOn w:val="Heading1"/>
    <w:link w:val="BABIVChar"/>
    <w:qFormat/>
    <w:rsid w:val="004701AA"/>
    <w:pPr>
      <w:spacing w:line="480" w:lineRule="auto"/>
      <w:ind w:left="0"/>
    </w:pPr>
    <w:rPr>
      <w:bCs w:val="0"/>
      <w:color w:val="000000" w:themeColor="text1"/>
    </w:rPr>
  </w:style>
  <w:style w:type="paragraph" w:customStyle="1" w:styleId="SubBab4">
    <w:name w:val="SubBab 4"/>
    <w:basedOn w:val="SubBab3"/>
    <w:link w:val="SubBab4Char0"/>
    <w:qFormat/>
    <w:rsid w:val="004701AA"/>
    <w:pPr>
      <w:numPr>
        <w:numId w:val="24"/>
      </w:numPr>
      <w:jc w:val="both"/>
    </w:pPr>
    <w:rPr>
      <w:b w:val="0"/>
      <w:color w:val="000000" w:themeColor="text1"/>
    </w:rPr>
  </w:style>
  <w:style w:type="character" w:customStyle="1" w:styleId="BABIVChar">
    <w:name w:val="BAB IV Char"/>
    <w:basedOn w:val="Heading1Char"/>
    <w:link w:val="BABIV"/>
    <w:rsid w:val="004701AA"/>
    <w:rPr>
      <w:rFonts w:ascii="Times New Roman" w:hAnsi="Times New Roman" w:cs="Times New Roman"/>
      <w:b/>
      <w:bCs w:val="0"/>
      <w:color w:val="000000" w:themeColor="text1"/>
      <w:kern w:val="0"/>
      <w:sz w:val="24"/>
      <w:szCs w:val="24"/>
      <w14:ligatures w14:val="none"/>
    </w:rPr>
  </w:style>
  <w:style w:type="character" w:customStyle="1" w:styleId="SubBab4Char0">
    <w:name w:val="SubBab 4 Char"/>
    <w:basedOn w:val="SubBab3Char"/>
    <w:link w:val="SubBab4"/>
    <w:rsid w:val="004701AA"/>
    <w:rPr>
      <w:rFonts w:ascii="Times New Roman" w:hAnsi="Times New Roman" w:cs="Times New Roman"/>
      <w:b w:val="0"/>
      <w:bCs/>
      <w:color w:val="000000" w:themeColor="text1"/>
      <w:kern w:val="0"/>
      <w:sz w:val="24"/>
      <w:szCs w:val="24"/>
      <w:lang w:val="en-ID"/>
      <w14:ligatures w14:val="none"/>
    </w:rPr>
  </w:style>
  <w:style w:type="paragraph" w:customStyle="1" w:styleId="Style1">
    <w:name w:val="Style1"/>
    <w:basedOn w:val="ListParagraph"/>
    <w:link w:val="Style1Char"/>
    <w:qFormat/>
    <w:rsid w:val="004701AA"/>
    <w:pPr>
      <w:numPr>
        <w:numId w:val="11"/>
      </w:numPr>
      <w:spacing w:line="480" w:lineRule="auto"/>
      <w:jc w:val="both"/>
    </w:pPr>
    <w:rPr>
      <w:bCs/>
      <w:color w:val="000000" w:themeColor="text1"/>
    </w:rPr>
  </w:style>
  <w:style w:type="character" w:customStyle="1" w:styleId="Style1Char">
    <w:name w:val="Style1 Char"/>
    <w:basedOn w:val="ListParagraphChar"/>
    <w:link w:val="Style1"/>
    <w:rsid w:val="004701AA"/>
    <w:rPr>
      <w:rFonts w:ascii="Times New Roman" w:hAnsi="Times New Roman" w:cs="Times New Roman"/>
      <w:bCs/>
      <w:color w:val="000000" w:themeColor="text1"/>
      <w:kern w:val="0"/>
      <w:sz w:val="24"/>
      <w:szCs w:val="24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4701AA"/>
    <w:pPr>
      <w:spacing w:after="100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tyle4">
    <w:name w:val="style 4"/>
    <w:basedOn w:val="Style1"/>
    <w:link w:val="style4Char"/>
    <w:qFormat/>
    <w:rsid w:val="004701AA"/>
    <w:pPr>
      <w:numPr>
        <w:numId w:val="33"/>
      </w:numPr>
    </w:pPr>
  </w:style>
  <w:style w:type="character" w:customStyle="1" w:styleId="style4Char">
    <w:name w:val="style 4 Char"/>
    <w:basedOn w:val="Style1Char"/>
    <w:link w:val="style4"/>
    <w:rsid w:val="004701AA"/>
    <w:rPr>
      <w:rFonts w:ascii="Times New Roman" w:hAnsi="Times New Roman" w:cs="Times New Roman"/>
      <w:bCs/>
      <w:color w:val="000000" w:themeColor="text1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pand.ac.id/" TargetMode="External"/><Relationship Id="rId5" Type="http://schemas.openxmlformats.org/officeDocument/2006/relationships/hyperlink" Target="https://doi.org/10.25105/jipak.v12i1.45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8E0DF799C4CBEAF4C6E841A53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B9DF-982A-4986-89C4-5DE797D6528F}"/>
      </w:docPartPr>
      <w:docPartBody>
        <w:p w:rsidR="00000000" w:rsidRDefault="00D74F2C" w:rsidP="00D74F2C">
          <w:pPr>
            <w:pStyle w:val="8BC8E0DF799C4CBEAF4C6E841A5389CF"/>
          </w:pPr>
          <w:r w:rsidRPr="006217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2C"/>
    <w:rsid w:val="00C8092A"/>
    <w:rsid w:val="00D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F2C"/>
  </w:style>
  <w:style w:type="paragraph" w:customStyle="1" w:styleId="8BC8E0DF799C4CBEAF4C6E841A5389CF">
    <w:name w:val="8BC8E0DF799C4CBEAF4C6E841A5389CF"/>
    <w:rsid w:val="00D74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MuchamadSukron</dc:creator>
  <cp:keywords/>
  <dc:description/>
  <cp:lastModifiedBy>MuchamadSukron</cp:lastModifiedBy>
  <cp:revision>1</cp:revision>
  <dcterms:created xsi:type="dcterms:W3CDTF">2024-02-19T17:49:00Z</dcterms:created>
  <dcterms:modified xsi:type="dcterms:W3CDTF">2024-02-19T17:50:00Z</dcterms:modified>
</cp:coreProperties>
</file>