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88FC3" w14:textId="5A42617A" w:rsidR="00724F0B" w:rsidRPr="004D1BDD" w:rsidRDefault="00724F0B" w:rsidP="008F0E70">
      <w:pPr>
        <w:pStyle w:val="Heading1"/>
        <w:spacing w:before="0" w:line="480" w:lineRule="auto"/>
        <w:jc w:val="center"/>
        <w:rPr>
          <w:rFonts w:ascii="Times New Roman" w:hAnsi="Times New Roman" w:cs="Times New Roman"/>
          <w:b/>
          <w:color w:val="000000" w:themeColor="text1"/>
          <w:sz w:val="24"/>
          <w:lang w:val="nl-NL"/>
        </w:rPr>
      </w:pPr>
      <w:bookmarkStart w:id="0" w:name="_Toc170067694"/>
      <w:r w:rsidRPr="004D1BDD">
        <w:rPr>
          <w:rFonts w:ascii="Times New Roman" w:hAnsi="Times New Roman" w:cs="Times New Roman"/>
          <w:b/>
          <w:color w:val="000000" w:themeColor="text1"/>
          <w:sz w:val="24"/>
          <w:lang w:val="nl-NL"/>
        </w:rPr>
        <w:t>BAB IV</w:t>
      </w:r>
      <w:bookmarkEnd w:id="0"/>
    </w:p>
    <w:p w14:paraId="22400E73" w14:textId="77777777" w:rsidR="00724F0B" w:rsidRPr="008F0E70" w:rsidRDefault="00724F0B" w:rsidP="008F0E70">
      <w:pPr>
        <w:spacing w:line="480" w:lineRule="auto"/>
        <w:jc w:val="center"/>
        <w:rPr>
          <w:rFonts w:ascii="Times New Roman" w:hAnsi="Times New Roman" w:cs="Times New Roman"/>
          <w:b/>
          <w:sz w:val="24"/>
        </w:rPr>
      </w:pPr>
      <w:r w:rsidRPr="008F0E70">
        <w:rPr>
          <w:rFonts w:ascii="Times New Roman" w:hAnsi="Times New Roman" w:cs="Times New Roman"/>
          <w:b/>
          <w:sz w:val="24"/>
        </w:rPr>
        <w:t>HASIL DAN PEMBAHASAN</w:t>
      </w:r>
    </w:p>
    <w:p w14:paraId="0E7706C1" w14:textId="345C5664" w:rsidR="00724F0B" w:rsidRPr="008F0E70" w:rsidRDefault="00724F0B" w:rsidP="00095897">
      <w:pPr>
        <w:pStyle w:val="Heading2"/>
        <w:numPr>
          <w:ilvl w:val="0"/>
          <w:numId w:val="98"/>
        </w:numPr>
        <w:spacing w:line="480" w:lineRule="auto"/>
        <w:rPr>
          <w:rFonts w:ascii="Times New Roman" w:hAnsi="Times New Roman" w:cs="Times New Roman"/>
          <w:b/>
          <w:color w:val="000000" w:themeColor="text1"/>
          <w:sz w:val="24"/>
        </w:rPr>
      </w:pPr>
      <w:bookmarkStart w:id="1" w:name="_Toc170067695"/>
      <w:r w:rsidRPr="008F0E70">
        <w:rPr>
          <w:rFonts w:ascii="Times New Roman" w:hAnsi="Times New Roman" w:cs="Times New Roman"/>
          <w:b/>
          <w:color w:val="000000" w:themeColor="text1"/>
          <w:sz w:val="24"/>
        </w:rPr>
        <w:t xml:space="preserve">Gambaran Umum </w:t>
      </w:r>
      <w:r w:rsidR="005C73C1">
        <w:rPr>
          <w:rFonts w:ascii="Times New Roman" w:hAnsi="Times New Roman" w:cs="Times New Roman"/>
          <w:b/>
          <w:color w:val="000000" w:themeColor="text1"/>
          <w:sz w:val="24"/>
        </w:rPr>
        <w:t xml:space="preserve">Sampel </w:t>
      </w:r>
      <w:r w:rsidRPr="008F0E70">
        <w:rPr>
          <w:rFonts w:ascii="Times New Roman" w:hAnsi="Times New Roman" w:cs="Times New Roman"/>
          <w:b/>
          <w:color w:val="000000" w:themeColor="text1"/>
          <w:sz w:val="24"/>
        </w:rPr>
        <w:t>Penelitian</w:t>
      </w:r>
      <w:bookmarkEnd w:id="1"/>
    </w:p>
    <w:p w14:paraId="074ADDB4" w14:textId="77777777" w:rsidR="00724F0B" w:rsidRPr="00C46A01" w:rsidRDefault="00724F0B" w:rsidP="00095897">
      <w:pPr>
        <w:pStyle w:val="ListParagraph"/>
        <w:numPr>
          <w:ilvl w:val="0"/>
          <w:numId w:val="49"/>
        </w:numPr>
        <w:spacing w:after="0" w:line="480" w:lineRule="auto"/>
        <w:ind w:left="1134"/>
        <w:jc w:val="both"/>
        <w:rPr>
          <w:rFonts w:ascii="Times New Roman" w:hAnsi="Times New Roman" w:cs="Times New Roman"/>
          <w:b/>
          <w:bCs/>
          <w:sz w:val="24"/>
          <w:szCs w:val="24"/>
        </w:rPr>
      </w:pPr>
      <w:r w:rsidRPr="00C46A01">
        <w:rPr>
          <w:rFonts w:ascii="Times New Roman" w:hAnsi="Times New Roman" w:cs="Times New Roman"/>
          <w:b/>
          <w:bCs/>
          <w:sz w:val="24"/>
          <w:szCs w:val="24"/>
        </w:rPr>
        <w:t>Deskriptif Umum Perusahaan</w:t>
      </w:r>
    </w:p>
    <w:p w14:paraId="5E27EFB9" w14:textId="77777777" w:rsidR="00724F0B" w:rsidRPr="00C46A01" w:rsidRDefault="00724F0B" w:rsidP="00095897">
      <w:pPr>
        <w:pStyle w:val="ListParagraph"/>
        <w:numPr>
          <w:ilvl w:val="0"/>
          <w:numId w:val="50"/>
        </w:numPr>
        <w:spacing w:line="480" w:lineRule="auto"/>
        <w:ind w:left="993" w:firstLine="141"/>
        <w:jc w:val="both"/>
        <w:rPr>
          <w:rFonts w:ascii="Times New Roman" w:hAnsi="Times New Roman" w:cs="Times New Roman"/>
          <w:sz w:val="24"/>
          <w:szCs w:val="24"/>
        </w:rPr>
      </w:pPr>
      <w:r w:rsidRPr="00C46A01">
        <w:rPr>
          <w:rFonts w:ascii="Times New Roman" w:hAnsi="Times New Roman" w:cs="Times New Roman"/>
          <w:sz w:val="24"/>
          <w:szCs w:val="24"/>
        </w:rPr>
        <w:t xml:space="preserve">Gambaran umum </w:t>
      </w:r>
      <w:r w:rsidRPr="00C46A01">
        <w:rPr>
          <w:rFonts w:ascii="Times New Roman" w:hAnsi="Times New Roman" w:cs="Times New Roman"/>
          <w:sz w:val="24"/>
          <w:szCs w:val="24"/>
          <w:lang w:val="id-ID"/>
        </w:rPr>
        <w:t>Bank Raya Indonesia Tbk</w:t>
      </w:r>
    </w:p>
    <w:p w14:paraId="34BD1C74" w14:textId="05A85046" w:rsidR="005C5ABC" w:rsidRPr="00C46A01" w:rsidRDefault="005C5ABC" w:rsidP="008F0E70">
      <w:pPr>
        <w:pStyle w:val="ListParagraph"/>
        <w:spacing w:line="480" w:lineRule="auto"/>
        <w:ind w:left="1440" w:firstLine="447"/>
        <w:jc w:val="both"/>
        <w:rPr>
          <w:rFonts w:ascii="Times New Roman" w:hAnsi="Times New Roman" w:cs="Times New Roman"/>
          <w:sz w:val="24"/>
          <w:szCs w:val="24"/>
          <w:lang w:val="id-ID"/>
        </w:rPr>
      </w:pPr>
      <w:r w:rsidRPr="00C46A01">
        <w:rPr>
          <w:rFonts w:ascii="Times New Roman" w:hAnsi="Times New Roman" w:cs="Times New Roman"/>
          <w:sz w:val="24"/>
          <w:szCs w:val="24"/>
          <w:lang w:val="id-ID"/>
        </w:rPr>
        <w:t>Bank Raya Indonesia Tbk adalah anak perusahaan Bank Rakyat Indonesia yang berfokus pada ekonomi kerja (juga dikenal sebagai pekerja kontrak jangka pendek atau pekerja lapas). PT Bank Agro didirikan oleh dana pensiun perkebunan pada tanggal 27 September 1989.</w:t>
      </w:r>
    </w:p>
    <w:p w14:paraId="37CD9325" w14:textId="77777777" w:rsidR="00724F0B" w:rsidRPr="00C46A01" w:rsidRDefault="00724F0B" w:rsidP="008F0E70">
      <w:pPr>
        <w:pStyle w:val="ListParagraph"/>
        <w:spacing w:line="480" w:lineRule="auto"/>
        <w:ind w:left="1440"/>
        <w:jc w:val="both"/>
        <w:rPr>
          <w:rFonts w:ascii="Times New Roman" w:hAnsi="Times New Roman" w:cs="Times New Roman"/>
          <w:sz w:val="24"/>
          <w:szCs w:val="24"/>
          <w:lang w:val="id-ID"/>
        </w:rPr>
      </w:pPr>
      <w:r w:rsidRPr="00C46A01">
        <w:rPr>
          <w:rFonts w:ascii="Times New Roman" w:hAnsi="Times New Roman" w:cs="Times New Roman"/>
          <w:sz w:val="24"/>
          <w:szCs w:val="24"/>
          <w:lang w:val="id-ID"/>
        </w:rPr>
        <w:t>Visi :</w:t>
      </w:r>
    </w:p>
    <w:p w14:paraId="6492C84F" w14:textId="77777777" w:rsidR="00724F0B" w:rsidRPr="00C46A01" w:rsidRDefault="00724F0B" w:rsidP="008F0E70">
      <w:pPr>
        <w:pStyle w:val="ListParagraph"/>
        <w:spacing w:line="480" w:lineRule="auto"/>
        <w:ind w:left="1440"/>
        <w:jc w:val="both"/>
        <w:rPr>
          <w:rFonts w:ascii="Times New Roman" w:hAnsi="Times New Roman" w:cs="Times New Roman"/>
          <w:sz w:val="24"/>
          <w:szCs w:val="24"/>
          <w:lang w:val="id-ID"/>
        </w:rPr>
      </w:pPr>
      <w:r w:rsidRPr="00C46A01">
        <w:rPr>
          <w:rFonts w:ascii="Times New Roman" w:hAnsi="Times New Roman" w:cs="Times New Roman"/>
          <w:sz w:val="24"/>
          <w:szCs w:val="24"/>
          <w:lang w:val="id-ID"/>
        </w:rPr>
        <w:t>Menjadi bank komersial terkemuka yang selalu mengutamakan kepuasan nasabah</w:t>
      </w:r>
    </w:p>
    <w:p w14:paraId="6E1B5EAE" w14:textId="77777777" w:rsidR="00724F0B" w:rsidRPr="00C46A01" w:rsidRDefault="00724F0B" w:rsidP="008F0E70">
      <w:pPr>
        <w:pStyle w:val="ListParagraph"/>
        <w:spacing w:line="480" w:lineRule="auto"/>
        <w:ind w:left="1440"/>
        <w:jc w:val="both"/>
        <w:rPr>
          <w:rFonts w:ascii="Times New Roman" w:hAnsi="Times New Roman" w:cs="Times New Roman"/>
          <w:sz w:val="24"/>
          <w:szCs w:val="24"/>
          <w:lang w:val="id-ID"/>
        </w:rPr>
      </w:pPr>
      <w:r w:rsidRPr="00C46A01">
        <w:rPr>
          <w:rFonts w:ascii="Times New Roman" w:hAnsi="Times New Roman" w:cs="Times New Roman"/>
          <w:sz w:val="24"/>
          <w:szCs w:val="24"/>
          <w:lang w:val="id-ID"/>
        </w:rPr>
        <w:t>Misi :</w:t>
      </w:r>
    </w:p>
    <w:p w14:paraId="724E4BBD" w14:textId="1957C986" w:rsidR="005C5ABC" w:rsidRPr="00C46A01" w:rsidRDefault="005C5ABC" w:rsidP="00E622E4">
      <w:pPr>
        <w:pStyle w:val="ListParagraph"/>
        <w:numPr>
          <w:ilvl w:val="0"/>
          <w:numId w:val="51"/>
        </w:numPr>
        <w:spacing w:line="480" w:lineRule="auto"/>
        <w:ind w:left="1701" w:hanging="284"/>
        <w:jc w:val="both"/>
        <w:rPr>
          <w:rFonts w:ascii="Times New Roman" w:hAnsi="Times New Roman" w:cs="Times New Roman"/>
          <w:sz w:val="24"/>
          <w:szCs w:val="24"/>
        </w:rPr>
      </w:pPr>
      <w:r w:rsidRPr="00C46A01">
        <w:rPr>
          <w:rFonts w:ascii="Times New Roman" w:hAnsi="Times New Roman" w:cs="Times New Roman"/>
          <w:sz w:val="24"/>
          <w:szCs w:val="24"/>
        </w:rPr>
        <w:t>Menyediakan produk dan layanan yang sesuai dengan kebutuhan pelanggan (Gig Economy &amp; Fintech) melalui pendekatan digital end-to-end secara menyeluruh; </w:t>
      </w:r>
    </w:p>
    <w:p w14:paraId="0D2EDE43" w14:textId="77777777" w:rsidR="00724F0B" w:rsidRPr="004D1BDD" w:rsidRDefault="00724F0B" w:rsidP="00E622E4">
      <w:pPr>
        <w:pStyle w:val="ListParagraph"/>
        <w:numPr>
          <w:ilvl w:val="0"/>
          <w:numId w:val="51"/>
        </w:numPr>
        <w:spacing w:line="480" w:lineRule="auto"/>
        <w:ind w:left="1701" w:hanging="284"/>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Memastikan layanan perbankan digital yang aman dan handal.</w:t>
      </w:r>
    </w:p>
    <w:p w14:paraId="5A1176EC" w14:textId="77777777" w:rsidR="00724F0B" w:rsidRPr="00C46A01" w:rsidRDefault="00724F0B" w:rsidP="00E622E4">
      <w:pPr>
        <w:pStyle w:val="ListParagraph"/>
        <w:numPr>
          <w:ilvl w:val="0"/>
          <w:numId w:val="51"/>
        </w:numPr>
        <w:spacing w:line="480" w:lineRule="auto"/>
        <w:ind w:left="1701" w:hanging="284"/>
        <w:jc w:val="both"/>
        <w:rPr>
          <w:rFonts w:ascii="Times New Roman" w:hAnsi="Times New Roman" w:cs="Times New Roman"/>
          <w:sz w:val="24"/>
          <w:szCs w:val="24"/>
        </w:rPr>
      </w:pPr>
      <w:r w:rsidRPr="00C46A01">
        <w:rPr>
          <w:rFonts w:ascii="Times New Roman" w:hAnsi="Times New Roman" w:cs="Times New Roman"/>
          <w:sz w:val="24"/>
          <w:szCs w:val="24"/>
        </w:rPr>
        <w:t>Membangun Ekosistem Bisnis untuk membantu nasabah (Gig Economy &amp; Fintech) mengembangkan bisnisnya.</w:t>
      </w:r>
    </w:p>
    <w:p w14:paraId="6B0C199E" w14:textId="77777777" w:rsidR="00724F0B" w:rsidRPr="00C46A01" w:rsidRDefault="00724F0B" w:rsidP="00E622E4">
      <w:pPr>
        <w:pStyle w:val="ListParagraph"/>
        <w:numPr>
          <w:ilvl w:val="0"/>
          <w:numId w:val="51"/>
        </w:numPr>
        <w:spacing w:line="480" w:lineRule="auto"/>
        <w:ind w:left="1701" w:hanging="284"/>
        <w:jc w:val="both"/>
        <w:rPr>
          <w:rFonts w:ascii="Times New Roman" w:hAnsi="Times New Roman" w:cs="Times New Roman"/>
          <w:sz w:val="24"/>
          <w:szCs w:val="24"/>
        </w:rPr>
      </w:pPr>
      <w:r w:rsidRPr="00C46A01">
        <w:rPr>
          <w:rFonts w:ascii="Times New Roman" w:hAnsi="Times New Roman" w:cs="Times New Roman"/>
          <w:sz w:val="24"/>
          <w:szCs w:val="24"/>
        </w:rPr>
        <w:t>Pengembangan &amp; implementasi produk yang agile.</w:t>
      </w:r>
    </w:p>
    <w:p w14:paraId="08C65A64" w14:textId="6A8DE3F4" w:rsidR="00724F0B" w:rsidRPr="008F0E70" w:rsidRDefault="00724F0B" w:rsidP="00095897">
      <w:pPr>
        <w:pStyle w:val="ListParagraph"/>
        <w:numPr>
          <w:ilvl w:val="0"/>
          <w:numId w:val="51"/>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lastRenderedPageBreak/>
        <w:t>Mengutamakan Good Corporate Governance (GCG) dalam pengembangan bisnis dan operasional.</w:t>
      </w:r>
    </w:p>
    <w:p w14:paraId="096CB314" w14:textId="77777777" w:rsidR="00724F0B" w:rsidRPr="00C46A01" w:rsidRDefault="00724F0B" w:rsidP="00095897">
      <w:pPr>
        <w:pStyle w:val="ListParagraph"/>
        <w:numPr>
          <w:ilvl w:val="0"/>
          <w:numId w:val="50"/>
        </w:numPr>
        <w:spacing w:line="480" w:lineRule="auto"/>
        <w:ind w:left="1080"/>
        <w:jc w:val="both"/>
        <w:rPr>
          <w:rFonts w:ascii="Times New Roman" w:hAnsi="Times New Roman" w:cs="Times New Roman"/>
          <w:sz w:val="24"/>
          <w:szCs w:val="24"/>
        </w:rPr>
      </w:pPr>
      <w:r w:rsidRPr="00C46A01">
        <w:rPr>
          <w:rFonts w:ascii="Times New Roman" w:hAnsi="Times New Roman" w:cs="Times New Roman"/>
          <w:sz w:val="24"/>
          <w:szCs w:val="24"/>
        </w:rPr>
        <w:t>Gambaran umum Bank MNC Internasional</w:t>
      </w:r>
    </w:p>
    <w:p w14:paraId="06C1025B" w14:textId="77777777" w:rsidR="00912365" w:rsidRPr="004D1BDD" w:rsidRDefault="00912365" w:rsidP="006E197C">
      <w:pPr>
        <w:pStyle w:val="ListParagraph"/>
        <w:spacing w:after="0" w:line="480" w:lineRule="auto"/>
        <w:ind w:left="1080" w:firstLine="447"/>
        <w:jc w:val="both"/>
        <w:rPr>
          <w:rFonts w:ascii="Times New Roman" w:eastAsia="Times New Roman" w:hAnsi="Times New Roman" w:cs="Times New Roman"/>
          <w:sz w:val="24"/>
          <w:szCs w:val="24"/>
          <w:lang w:val="nl-NL" w:eastAsia="en-GB"/>
        </w:rPr>
      </w:pPr>
      <w:r w:rsidRPr="00C46A01">
        <w:rPr>
          <w:rFonts w:ascii="Times New Roman" w:eastAsia="Times New Roman" w:hAnsi="Times New Roman" w:cs="Times New Roman"/>
          <w:sz w:val="24"/>
          <w:szCs w:val="24"/>
          <w:lang w:val="en-GB" w:eastAsia="en-GB"/>
        </w:rPr>
        <w:t xml:space="preserve">PT Bank MNC Internasional Tbk, juga dikenal sebagai "Bank MNC" atau "Bank," adalah bank swasta nasional yang didirikan sebagai PT Bank Bumiputera pada tanggal 9 Agustus 1989. </w:t>
      </w:r>
      <w:r w:rsidRPr="004D1BDD">
        <w:rPr>
          <w:rFonts w:ascii="Times New Roman" w:eastAsia="Times New Roman" w:hAnsi="Times New Roman" w:cs="Times New Roman"/>
          <w:sz w:val="24"/>
          <w:szCs w:val="24"/>
          <w:lang w:val="nl-NL" w:eastAsia="en-GB"/>
        </w:rPr>
        <w:t xml:space="preserve">Bank ini secara resmi beroperasi pada tanggal 12 Januari 1990, dan pada tahun 1997, mendapatkan izin sebagai bank devisa. Bank mendaftarkan sahamnya sebagai perusahaan terbuka di Bursa Efek Indonesia pada tahun 2002. </w:t>
      </w:r>
      <w:r w:rsidRPr="00C46A01">
        <w:rPr>
          <w:rFonts w:ascii="Times New Roman" w:eastAsia="Times New Roman" w:hAnsi="Times New Roman" w:cs="Times New Roman"/>
          <w:sz w:val="24"/>
          <w:szCs w:val="24"/>
          <w:lang w:val="en-GB" w:eastAsia="en-GB"/>
        </w:rPr>
        <w:t xml:space="preserve">Pada 31 Agustus 2014, PT MNC Kapital Indonesia Tbk menjadi pemegang saham pengendali Bank ICB Bumiputera. Berdasarkan Surat Keputusan Dewan Komisioner Otoritas Jasa Keuangan No.18/ KDK.03/2014 tanggal 15 Oktober 2014, PT Bank ICB Bumiputera Tbk diubah nama menjadi c (MNC Bank). </w:t>
      </w:r>
      <w:r w:rsidRPr="004D1BDD">
        <w:rPr>
          <w:rFonts w:ascii="Times New Roman" w:eastAsia="Times New Roman" w:hAnsi="Times New Roman" w:cs="Times New Roman"/>
          <w:sz w:val="24"/>
          <w:szCs w:val="24"/>
          <w:lang w:val="nl-NL" w:eastAsia="en-GB"/>
        </w:rPr>
        <w:t>Ini menegaskan statusnya sebagai entitas terpisah dan bagian dari Grup MNC.</w:t>
      </w:r>
    </w:p>
    <w:p w14:paraId="41FAF45F" w14:textId="3400AF44" w:rsidR="00912365" w:rsidRPr="004D1BDD" w:rsidRDefault="00912365" w:rsidP="00E622E4">
      <w:pPr>
        <w:pStyle w:val="ListParagraph"/>
        <w:spacing w:after="0" w:line="480" w:lineRule="auto"/>
        <w:ind w:left="1134" w:firstLine="447"/>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 xml:space="preserve">MNC Bank </w:t>
      </w:r>
      <w:r w:rsidR="00986879" w:rsidRPr="004D1BDD">
        <w:rPr>
          <w:rFonts w:ascii="Times New Roman" w:hAnsi="Times New Roman" w:cs="Times New Roman"/>
          <w:sz w:val="24"/>
          <w:szCs w:val="24"/>
          <w:lang w:val="nl-NL"/>
        </w:rPr>
        <w:t>mempunyai visi</w:t>
      </w:r>
      <w:r w:rsidRPr="004D1BDD">
        <w:rPr>
          <w:rFonts w:ascii="Times New Roman" w:hAnsi="Times New Roman" w:cs="Times New Roman"/>
          <w:sz w:val="24"/>
          <w:szCs w:val="24"/>
          <w:lang w:val="nl-NL"/>
        </w:rPr>
        <w:t xml:space="preserve"> menjadi bank masa depan yang berlandaskan teknologi yang memfasilitasi transaksi dengan memperhatikan keselarasan kepentingan ekonomi, sosial, dan lingkungan hidup. Mereka menawarkan berbagai produk simpanan, pinjaman, dan layanan jasa yang sangat beragam untuk individu dan bisnis. Mereka juga menawarkan berbagai program dan promosi.</w:t>
      </w:r>
    </w:p>
    <w:p w14:paraId="560D8929" w14:textId="41E7CD97" w:rsidR="00986879" w:rsidRPr="00C46A01" w:rsidRDefault="00724F0B" w:rsidP="00E622E4">
      <w:pPr>
        <w:pStyle w:val="ListParagraph"/>
        <w:spacing w:line="480" w:lineRule="auto"/>
        <w:ind w:left="1134"/>
        <w:jc w:val="both"/>
        <w:rPr>
          <w:rFonts w:ascii="Times New Roman" w:hAnsi="Times New Roman" w:cs="Times New Roman"/>
          <w:sz w:val="24"/>
          <w:szCs w:val="24"/>
        </w:rPr>
      </w:pPr>
      <w:r w:rsidRPr="00C46A01">
        <w:rPr>
          <w:rFonts w:ascii="Times New Roman" w:hAnsi="Times New Roman" w:cs="Times New Roman"/>
          <w:sz w:val="24"/>
          <w:szCs w:val="24"/>
        </w:rPr>
        <w:t>Kegiatan Usaha Utama PT Bank MNC Internasional Tbk</w:t>
      </w:r>
    </w:p>
    <w:p w14:paraId="7A1079BA" w14:textId="5304E0EE" w:rsidR="00724F0B" w:rsidRPr="00C46A01" w:rsidRDefault="00986879" w:rsidP="00E622E4">
      <w:pPr>
        <w:pStyle w:val="ListParagraph"/>
        <w:numPr>
          <w:ilvl w:val="0"/>
          <w:numId w:val="79"/>
        </w:numPr>
        <w:spacing w:line="480" w:lineRule="auto"/>
        <w:ind w:left="1418" w:hanging="284"/>
        <w:jc w:val="both"/>
        <w:rPr>
          <w:rFonts w:ascii="Times New Roman" w:hAnsi="Times New Roman" w:cs="Times New Roman"/>
          <w:sz w:val="24"/>
          <w:szCs w:val="24"/>
        </w:rPr>
      </w:pPr>
      <w:r w:rsidRPr="00C46A01">
        <w:rPr>
          <w:rFonts w:ascii="Times New Roman" w:eastAsia="Times New Roman" w:hAnsi="Times New Roman" w:cs="Times New Roman"/>
          <w:sz w:val="24"/>
          <w:szCs w:val="24"/>
          <w:lang w:val="en-GB" w:eastAsia="en-GB"/>
        </w:rPr>
        <w:lastRenderedPageBreak/>
        <w:t>Mengumpulkan dana dari masyarakat dalam bentuk simpanan seperti giro, deposito berjangka, sertifikat deposito, tabungan, dan jenis simpanan lainnya. </w:t>
      </w:r>
    </w:p>
    <w:p w14:paraId="651ADEBC" w14:textId="77777777" w:rsidR="00724F0B" w:rsidRPr="00C46A01" w:rsidRDefault="00724F0B" w:rsidP="00E622E4">
      <w:pPr>
        <w:pStyle w:val="ListParagraph"/>
        <w:numPr>
          <w:ilvl w:val="0"/>
          <w:numId w:val="79"/>
        </w:numPr>
        <w:spacing w:line="480" w:lineRule="auto"/>
        <w:ind w:left="1418" w:hanging="284"/>
        <w:jc w:val="both"/>
        <w:rPr>
          <w:rFonts w:ascii="Times New Roman" w:hAnsi="Times New Roman" w:cs="Times New Roman"/>
          <w:sz w:val="24"/>
          <w:szCs w:val="24"/>
        </w:rPr>
      </w:pPr>
      <w:r w:rsidRPr="00C46A01">
        <w:rPr>
          <w:rFonts w:ascii="Times New Roman" w:hAnsi="Times New Roman" w:cs="Times New Roman"/>
          <w:sz w:val="24"/>
          <w:szCs w:val="24"/>
        </w:rPr>
        <w:t>Memberikan kredit.</w:t>
      </w:r>
    </w:p>
    <w:p w14:paraId="52DFD066" w14:textId="7388671E" w:rsidR="00724F0B" w:rsidRPr="004D1BDD" w:rsidRDefault="00986879" w:rsidP="00E622E4">
      <w:pPr>
        <w:pStyle w:val="ListParagraph"/>
        <w:numPr>
          <w:ilvl w:val="0"/>
          <w:numId w:val="79"/>
        </w:numPr>
        <w:spacing w:line="480" w:lineRule="auto"/>
        <w:ind w:left="1418" w:hanging="284"/>
        <w:jc w:val="both"/>
        <w:rPr>
          <w:rFonts w:ascii="Times New Roman" w:hAnsi="Times New Roman" w:cs="Times New Roman"/>
          <w:sz w:val="24"/>
          <w:szCs w:val="24"/>
          <w:lang w:val="nl-NL"/>
        </w:rPr>
      </w:pPr>
      <w:r w:rsidRPr="004D1BDD">
        <w:rPr>
          <w:rFonts w:ascii="Times New Roman" w:eastAsia="Times New Roman" w:hAnsi="Times New Roman" w:cs="Times New Roman"/>
          <w:sz w:val="24"/>
          <w:szCs w:val="24"/>
          <w:lang w:val="nl-NL" w:eastAsia="en-GB"/>
        </w:rPr>
        <w:t>Memindahkan uang untuk kepentingan pribadi dan pelanggan. </w:t>
      </w:r>
    </w:p>
    <w:p w14:paraId="6F4ACDCA" w14:textId="77777777" w:rsidR="00724F0B" w:rsidRPr="004D1BDD" w:rsidRDefault="00724F0B" w:rsidP="00E622E4">
      <w:pPr>
        <w:pStyle w:val="ListParagraph"/>
        <w:numPr>
          <w:ilvl w:val="0"/>
          <w:numId w:val="79"/>
        </w:numPr>
        <w:spacing w:line="480" w:lineRule="auto"/>
        <w:ind w:left="1418" w:hanging="284"/>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Menempatkan dana pada, meminjam dana dari, atau meminjamkan dana kepada Bank lain, baik dengan menggunakan surat, sarana telekomunikasi maupun dengan wesel unjuk, cek atau sarana lainnya.</w:t>
      </w:r>
    </w:p>
    <w:p w14:paraId="23C5BE70" w14:textId="77777777" w:rsidR="00724F0B" w:rsidRPr="004D1BDD" w:rsidRDefault="00724F0B" w:rsidP="00E622E4">
      <w:pPr>
        <w:pStyle w:val="ListParagraph"/>
        <w:spacing w:line="480" w:lineRule="auto"/>
        <w:ind w:left="1134"/>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Visi:</w:t>
      </w:r>
    </w:p>
    <w:p w14:paraId="5E2DBF9C" w14:textId="1293E817" w:rsidR="00986879" w:rsidRPr="004D1BDD" w:rsidRDefault="00986879" w:rsidP="00E622E4">
      <w:pPr>
        <w:spacing w:after="0" w:line="480" w:lineRule="auto"/>
        <w:ind w:left="1134" w:firstLine="447"/>
        <w:jc w:val="both"/>
        <w:rPr>
          <w:rFonts w:ascii="Times New Roman" w:eastAsia="Times New Roman" w:hAnsi="Times New Roman" w:cs="Times New Roman"/>
          <w:sz w:val="24"/>
          <w:szCs w:val="24"/>
          <w:lang w:val="nl-NL" w:eastAsia="en-GB"/>
        </w:rPr>
      </w:pPr>
      <w:r w:rsidRPr="004D1BDD">
        <w:rPr>
          <w:rFonts w:ascii="Times New Roman" w:eastAsia="Times New Roman" w:hAnsi="Times New Roman" w:cs="Times New Roman"/>
          <w:sz w:val="24"/>
          <w:szCs w:val="24"/>
          <w:lang w:val="nl-NL" w:eastAsia="en-GB"/>
        </w:rPr>
        <w:t>Menawarkan layanan keuangan kepada nasabah dengan memberikan pengalaman perbankan yang memuaskan melalui perbankan inovatif yang terintegrasi dengan teknologi informasi terkini, dan berkontribusi terhadap pertumbuhan berkelanjutan untuk memberikan nilai tambah kepada seluruh pihak yang terlibat.</w:t>
      </w:r>
    </w:p>
    <w:p w14:paraId="2D2BFABD" w14:textId="5C665DEA" w:rsidR="00724F0B" w:rsidRPr="004D1BDD" w:rsidRDefault="00724F0B" w:rsidP="00E622E4">
      <w:pPr>
        <w:spacing w:after="0" w:line="480" w:lineRule="auto"/>
        <w:ind w:left="1134"/>
        <w:jc w:val="both"/>
        <w:rPr>
          <w:rFonts w:ascii="Times New Roman" w:eastAsia="Times New Roman" w:hAnsi="Times New Roman" w:cs="Times New Roman"/>
          <w:sz w:val="24"/>
          <w:szCs w:val="24"/>
          <w:lang w:val="nl-NL" w:eastAsia="en-GB"/>
        </w:rPr>
      </w:pPr>
      <w:r w:rsidRPr="004D1BDD">
        <w:rPr>
          <w:rFonts w:ascii="Times New Roman" w:hAnsi="Times New Roman" w:cs="Times New Roman"/>
          <w:sz w:val="24"/>
          <w:szCs w:val="24"/>
          <w:lang w:val="nl-NL"/>
        </w:rPr>
        <w:t>Misi :</w:t>
      </w:r>
    </w:p>
    <w:p w14:paraId="653EC621" w14:textId="26595EE3" w:rsidR="00917A08" w:rsidRPr="004D1BDD" w:rsidRDefault="00917A08" w:rsidP="00E622E4">
      <w:pPr>
        <w:pStyle w:val="ListParagraph"/>
        <w:spacing w:line="480" w:lineRule="auto"/>
        <w:ind w:left="1134" w:firstLine="447"/>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Menjadi Bank masa depan yang berlandaskan teknologi terkini untuk memudahkan semua transaksi keuangan menjadi mudah dengan mempertimbangkan kepentingan ekonomi, sosial dan lingkungan hidup.</w:t>
      </w:r>
    </w:p>
    <w:p w14:paraId="083DE2A1" w14:textId="77777777" w:rsidR="00724F0B" w:rsidRPr="00C46A01" w:rsidRDefault="00724F0B" w:rsidP="00095897">
      <w:pPr>
        <w:pStyle w:val="ListParagraph"/>
        <w:numPr>
          <w:ilvl w:val="0"/>
          <w:numId w:val="50"/>
        </w:numPr>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 xml:space="preserve">Gambaran umum </w:t>
      </w:r>
      <w:r w:rsidRPr="00C46A01">
        <w:rPr>
          <w:rFonts w:ascii="Times New Roman" w:hAnsi="Times New Roman" w:cs="Times New Roman"/>
          <w:sz w:val="24"/>
          <w:szCs w:val="24"/>
          <w:lang w:val="id-ID"/>
        </w:rPr>
        <w:t>Bank Capital Indonesia Tbk</w:t>
      </w:r>
    </w:p>
    <w:p w14:paraId="39CC4CA0" w14:textId="77777777" w:rsidR="00917A08" w:rsidRPr="00C46A01" w:rsidRDefault="00917A08" w:rsidP="00E622E4">
      <w:pPr>
        <w:pStyle w:val="ListParagraph"/>
        <w:spacing w:after="0" w:line="480" w:lineRule="auto"/>
        <w:ind w:left="993" w:firstLine="447"/>
        <w:jc w:val="both"/>
        <w:rPr>
          <w:rFonts w:ascii="Times New Roman" w:eastAsia="Times New Roman" w:hAnsi="Times New Roman" w:cs="Times New Roman"/>
          <w:sz w:val="24"/>
          <w:szCs w:val="24"/>
          <w:lang w:val="en-GB" w:eastAsia="en-GB"/>
        </w:rPr>
      </w:pPr>
      <w:r w:rsidRPr="00C46A01">
        <w:rPr>
          <w:rFonts w:ascii="Times New Roman" w:eastAsia="Times New Roman" w:hAnsi="Times New Roman" w:cs="Times New Roman"/>
          <w:sz w:val="24"/>
          <w:szCs w:val="24"/>
          <w:lang w:val="en-GB" w:eastAsia="en-GB"/>
        </w:rPr>
        <w:t xml:space="preserve">PT Bank Capital Indonesia Tbk, juga dikenal sebagai "Bank" atau "Perseroan", adalah suatu Perseroan Terbatas publik yang didirikan sesuai dengan undang-undang Republik Indonesia. PT Bank Credit Lyonnais </w:t>
      </w:r>
      <w:r w:rsidRPr="00C46A01">
        <w:rPr>
          <w:rFonts w:ascii="Times New Roman" w:eastAsia="Times New Roman" w:hAnsi="Times New Roman" w:cs="Times New Roman"/>
          <w:sz w:val="24"/>
          <w:szCs w:val="24"/>
          <w:lang w:val="en-GB" w:eastAsia="en-GB"/>
        </w:rPr>
        <w:lastRenderedPageBreak/>
        <w:t>Indonesia, didirikan di Jakarta berdasarkan Akta Pendirian No. 139 tanggal 20 April 1989, adalah nama awalnya. Berdasarkan Akta Pernyataan Keputusan Rapat No. 1 tanggal 1 September 2004, nama Bank kemudian berubah menjadi "PT Bank Capital Indonesia". Perubahan nama ini diumumkan dalam Berita Negara Republik Indonesia No. 101 tanggal 17 Desember 2004 dan Tambahan Berita Negara No. 12246.</w:t>
      </w:r>
    </w:p>
    <w:p w14:paraId="3327477E" w14:textId="4B027EEE" w:rsidR="00724F0B" w:rsidRPr="004D1BDD" w:rsidRDefault="00724F0B" w:rsidP="00E622E4">
      <w:pPr>
        <w:spacing w:after="0" w:line="480" w:lineRule="auto"/>
        <w:ind w:left="993"/>
        <w:jc w:val="both"/>
        <w:rPr>
          <w:rFonts w:ascii="Times New Roman" w:eastAsia="Times New Roman" w:hAnsi="Times New Roman" w:cs="Times New Roman"/>
          <w:sz w:val="24"/>
          <w:szCs w:val="24"/>
          <w:lang w:val="nl-NL" w:eastAsia="en-GB"/>
        </w:rPr>
      </w:pPr>
      <w:r w:rsidRPr="00C46A01">
        <w:rPr>
          <w:rFonts w:ascii="Times New Roman" w:hAnsi="Times New Roman" w:cs="Times New Roman"/>
          <w:sz w:val="24"/>
          <w:szCs w:val="24"/>
          <w:lang w:val="id-ID"/>
        </w:rPr>
        <w:t>Visi :</w:t>
      </w:r>
    </w:p>
    <w:p w14:paraId="04EE8006" w14:textId="77777777" w:rsidR="00724F0B" w:rsidRPr="00C46A01" w:rsidRDefault="00724F0B" w:rsidP="00E622E4">
      <w:pPr>
        <w:pStyle w:val="ListParagraph"/>
        <w:spacing w:line="480" w:lineRule="auto"/>
        <w:ind w:left="993"/>
        <w:jc w:val="both"/>
        <w:rPr>
          <w:rFonts w:ascii="Times New Roman" w:hAnsi="Times New Roman" w:cs="Times New Roman"/>
          <w:sz w:val="24"/>
          <w:szCs w:val="24"/>
          <w:lang w:val="id-ID"/>
        </w:rPr>
      </w:pPr>
      <w:r w:rsidRPr="00C46A01">
        <w:rPr>
          <w:rFonts w:ascii="Times New Roman" w:hAnsi="Times New Roman" w:cs="Times New Roman"/>
          <w:sz w:val="24"/>
          <w:szCs w:val="24"/>
          <w:lang w:val="id-ID"/>
        </w:rPr>
        <w:t>Menjadi bank retail yang sehat dan terpecaya dengan tumbuh secara stabil, inklusif dan berkelanjutan.</w:t>
      </w:r>
    </w:p>
    <w:p w14:paraId="54D6D67A" w14:textId="1450CE41" w:rsidR="00917A08" w:rsidRPr="00C46A01" w:rsidRDefault="00724F0B" w:rsidP="00E622E4">
      <w:pPr>
        <w:pStyle w:val="ListParagraph"/>
        <w:spacing w:line="480" w:lineRule="auto"/>
        <w:ind w:left="993"/>
        <w:jc w:val="both"/>
        <w:rPr>
          <w:rFonts w:ascii="Times New Roman" w:hAnsi="Times New Roman" w:cs="Times New Roman"/>
          <w:sz w:val="24"/>
          <w:szCs w:val="24"/>
          <w:lang w:val="id-ID"/>
        </w:rPr>
      </w:pPr>
      <w:r w:rsidRPr="00C46A01">
        <w:rPr>
          <w:rFonts w:ascii="Times New Roman" w:hAnsi="Times New Roman" w:cs="Times New Roman"/>
          <w:sz w:val="24"/>
          <w:szCs w:val="24"/>
          <w:lang w:val="id-ID"/>
        </w:rPr>
        <w:t>Misi :</w:t>
      </w:r>
    </w:p>
    <w:p w14:paraId="666CC0C3" w14:textId="28FAF840" w:rsidR="00724F0B" w:rsidRPr="004D1BDD" w:rsidRDefault="00724F0B" w:rsidP="00E622E4">
      <w:pPr>
        <w:pStyle w:val="ListParagraph"/>
        <w:numPr>
          <w:ilvl w:val="0"/>
          <w:numId w:val="52"/>
        </w:numPr>
        <w:spacing w:line="480" w:lineRule="auto"/>
        <w:ind w:left="1418"/>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 xml:space="preserve">Menyediakan layanan keuangan dengan pendekatan </w:t>
      </w:r>
      <w:r w:rsidR="00917A08" w:rsidRPr="004D1BDD">
        <w:rPr>
          <w:rFonts w:ascii="Times New Roman" w:hAnsi="Times New Roman" w:cs="Times New Roman"/>
          <w:sz w:val="24"/>
          <w:szCs w:val="24"/>
          <w:lang w:val="nl-NL"/>
        </w:rPr>
        <w:t>individu</w:t>
      </w:r>
      <w:r w:rsidRPr="004D1BDD">
        <w:rPr>
          <w:rFonts w:ascii="Times New Roman" w:hAnsi="Times New Roman" w:cs="Times New Roman"/>
          <w:sz w:val="24"/>
          <w:szCs w:val="24"/>
          <w:lang w:val="nl-NL"/>
        </w:rPr>
        <w:t>.</w:t>
      </w:r>
    </w:p>
    <w:p w14:paraId="752BF2D2" w14:textId="5543161A" w:rsidR="00724F0B" w:rsidRPr="00C46A01" w:rsidRDefault="00724F0B" w:rsidP="00E622E4">
      <w:pPr>
        <w:pStyle w:val="ListParagraph"/>
        <w:numPr>
          <w:ilvl w:val="0"/>
          <w:numId w:val="52"/>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 xml:space="preserve">Memberikan nilai tambah dan hasil yang </w:t>
      </w:r>
      <w:r w:rsidR="00917A08" w:rsidRPr="00C46A01">
        <w:rPr>
          <w:rFonts w:ascii="Times New Roman" w:hAnsi="Times New Roman" w:cs="Times New Roman"/>
          <w:sz w:val="24"/>
          <w:szCs w:val="24"/>
        </w:rPr>
        <w:t>optimal</w:t>
      </w:r>
      <w:r w:rsidRPr="00C46A01">
        <w:rPr>
          <w:rFonts w:ascii="Times New Roman" w:hAnsi="Times New Roman" w:cs="Times New Roman"/>
          <w:sz w:val="24"/>
          <w:szCs w:val="24"/>
        </w:rPr>
        <w:t xml:space="preserve"> kepada para pihak yang berkepentingan dengan PT Bank Capital Indonesia Tbk</w:t>
      </w:r>
    </w:p>
    <w:p w14:paraId="320F5767" w14:textId="3813782B" w:rsidR="00724F0B" w:rsidRPr="004D1BDD" w:rsidRDefault="00724F0B" w:rsidP="00E622E4">
      <w:pPr>
        <w:pStyle w:val="ListParagraph"/>
        <w:numPr>
          <w:ilvl w:val="0"/>
          <w:numId w:val="52"/>
        </w:numPr>
        <w:spacing w:line="480" w:lineRule="auto"/>
        <w:ind w:left="1418"/>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Mendukung pertumbuhan ekonomi yang berkualitas</w:t>
      </w:r>
      <w:r w:rsidR="00917A08" w:rsidRPr="004D1BDD">
        <w:rPr>
          <w:rFonts w:ascii="Times New Roman" w:hAnsi="Times New Roman" w:cs="Times New Roman"/>
          <w:sz w:val="24"/>
          <w:szCs w:val="24"/>
          <w:lang w:val="nl-NL"/>
        </w:rPr>
        <w:t xml:space="preserve"> tinggi </w:t>
      </w:r>
      <w:r w:rsidR="00917A08" w:rsidRPr="004D1BDD">
        <w:rPr>
          <w:rFonts w:ascii="Times New Roman" w:eastAsia="Times New Roman" w:hAnsi="Times New Roman" w:cs="Times New Roman"/>
          <w:sz w:val="24"/>
          <w:szCs w:val="24"/>
          <w:lang w:val="nl-NL" w:eastAsia="en-GB"/>
        </w:rPr>
        <w:t>dengan keberlanjutan sosial dan lingkungan.</w:t>
      </w:r>
    </w:p>
    <w:p w14:paraId="21744BEE" w14:textId="77777777" w:rsidR="00917A08" w:rsidRPr="00C46A01" w:rsidRDefault="00724F0B" w:rsidP="00095897">
      <w:pPr>
        <w:pStyle w:val="ListParagraph"/>
        <w:numPr>
          <w:ilvl w:val="0"/>
          <w:numId w:val="50"/>
        </w:numPr>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Gambaran umum Bank Central Asia Tbk</w:t>
      </w:r>
    </w:p>
    <w:p w14:paraId="5B017C17" w14:textId="77777777" w:rsidR="00917A08" w:rsidRPr="00C46A01" w:rsidRDefault="00917A08" w:rsidP="00AC709C">
      <w:pPr>
        <w:pStyle w:val="ListParagraph"/>
        <w:spacing w:line="480" w:lineRule="auto"/>
        <w:ind w:left="993" w:firstLine="360"/>
        <w:jc w:val="both"/>
        <w:rPr>
          <w:rFonts w:ascii="Times New Roman" w:eastAsia="Times New Roman" w:hAnsi="Times New Roman" w:cs="Times New Roman"/>
          <w:sz w:val="24"/>
          <w:szCs w:val="24"/>
          <w:lang w:val="en-GB" w:eastAsia="en-GB"/>
        </w:rPr>
      </w:pPr>
      <w:r w:rsidRPr="00C46A01">
        <w:rPr>
          <w:rFonts w:ascii="Times New Roman" w:eastAsia="Times New Roman" w:hAnsi="Times New Roman" w:cs="Times New Roman"/>
          <w:sz w:val="24"/>
          <w:szCs w:val="24"/>
          <w:lang w:val="en-GB" w:eastAsia="en-GB"/>
        </w:rPr>
        <w:t xml:space="preserve">PT Bank Central Asia Tbk pertama kali didirikan dengan nama NV Commerce and Industry Semarang Knitting Factori. Pada awalnya, bisnis ini adalah perusahaan tekstil disemarang, bukan bisnis perbankan. Tidak lama kemudian, perusahaan tekstil tersebut berubah menjadi bank pada 12 oktober 1956 bernama NV Bank Asia. Pada 13 februari 1957, namanya berubah menjadi Central Bank Asia. Bank swasta terbesar di Indonesia adalah PT Bank Central Asia. </w:t>
      </w:r>
      <w:r w:rsidRPr="004D1BDD">
        <w:rPr>
          <w:rFonts w:ascii="Times New Roman" w:eastAsia="Times New Roman" w:hAnsi="Times New Roman" w:cs="Times New Roman"/>
          <w:sz w:val="24"/>
          <w:szCs w:val="24"/>
          <w:lang w:val="nl-NL" w:eastAsia="en-GB"/>
        </w:rPr>
        <w:t xml:space="preserve">Bank ini didirikan pada 21 februari 1957 dan merupakan </w:t>
      </w:r>
      <w:r w:rsidRPr="004D1BDD">
        <w:rPr>
          <w:rFonts w:ascii="Times New Roman" w:eastAsia="Times New Roman" w:hAnsi="Times New Roman" w:cs="Times New Roman"/>
          <w:sz w:val="24"/>
          <w:szCs w:val="24"/>
          <w:lang w:val="nl-NL" w:eastAsia="en-GB"/>
        </w:rPr>
        <w:lastRenderedPageBreak/>
        <w:t xml:space="preserve">komponen penting dari salim grub. Salah satu grup produsen rokok terbesar keempat di Indonésia, Djarum, saat ini memiliki bank BCA. Pada tahun 2000, PT Bank BCA melakukan penawaran umum perdana, juga dikenal sebagai IPO. </w:t>
      </w:r>
      <w:r w:rsidRPr="00C46A01">
        <w:rPr>
          <w:rFonts w:ascii="Times New Roman" w:eastAsia="Times New Roman" w:hAnsi="Times New Roman" w:cs="Times New Roman"/>
          <w:sz w:val="24"/>
          <w:szCs w:val="24"/>
          <w:lang w:val="en-GB" w:eastAsia="en-GB"/>
        </w:rPr>
        <w:t xml:space="preserve">Saat itu, Indonesia baru saja mengalami krisis ekonomi Asia tahun 1997. </w:t>
      </w:r>
    </w:p>
    <w:p w14:paraId="26AF17FA" w14:textId="741D2FCC" w:rsidR="00B227F9" w:rsidRPr="004D1BDD" w:rsidRDefault="00B227F9" w:rsidP="00B227F9">
      <w:pPr>
        <w:pStyle w:val="ListParagraph"/>
        <w:spacing w:line="480" w:lineRule="auto"/>
        <w:ind w:left="993" w:firstLine="360"/>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BCA menjalankan usaha dan kegiatan di bidang perbankan sesuai dengan anggaran dasar BCA. Berdasarkan Pasal 3 Anggaran Dasar, BCA sebagai Bank Umum dapat melaksanakan kegiatan usaha sebagai berikut:</w:t>
      </w:r>
    </w:p>
    <w:p w14:paraId="3C943728" w14:textId="2B459269" w:rsidR="00724F0B" w:rsidRPr="004D1BDD" w:rsidRDefault="00B227F9" w:rsidP="00095897">
      <w:pPr>
        <w:pStyle w:val="ListParagraph"/>
        <w:numPr>
          <w:ilvl w:val="0"/>
          <w:numId w:val="80"/>
        </w:numPr>
        <w:spacing w:line="480" w:lineRule="auto"/>
        <w:ind w:left="1418"/>
        <w:jc w:val="both"/>
        <w:rPr>
          <w:rFonts w:ascii="Times New Roman" w:hAnsi="Times New Roman" w:cs="Times New Roman"/>
          <w:sz w:val="24"/>
          <w:szCs w:val="24"/>
          <w:lang w:val="nl-NL"/>
        </w:rPr>
      </w:pPr>
      <w:r w:rsidRPr="004D1BDD">
        <w:rPr>
          <w:rFonts w:ascii="Times New Roman" w:eastAsia="Times New Roman" w:hAnsi="Times New Roman" w:cs="Times New Roman"/>
          <w:sz w:val="24"/>
          <w:szCs w:val="24"/>
          <w:lang w:val="nl-NL" w:eastAsia="en-GB"/>
        </w:rPr>
        <w:t>Mengumpulkan dana dari masyarakat dalam bentuk simpanan seperti giro, deposito berjangka, sertifikat deposito, tabungan, atau bentuk simpanan lainnya;</w:t>
      </w:r>
    </w:p>
    <w:p w14:paraId="1D14D4DF" w14:textId="77777777" w:rsidR="00724F0B" w:rsidRPr="00C46A01" w:rsidRDefault="00724F0B" w:rsidP="00095897">
      <w:pPr>
        <w:pStyle w:val="ListParagraph"/>
        <w:numPr>
          <w:ilvl w:val="0"/>
          <w:numId w:val="80"/>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Memberikan kredit</w:t>
      </w:r>
    </w:p>
    <w:p w14:paraId="43373299" w14:textId="77777777" w:rsidR="00724F0B" w:rsidRPr="00C46A01" w:rsidRDefault="00724F0B" w:rsidP="00095897">
      <w:pPr>
        <w:pStyle w:val="ListParagraph"/>
        <w:numPr>
          <w:ilvl w:val="0"/>
          <w:numId w:val="80"/>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Menerbitkan surat pengakuan hutang</w:t>
      </w:r>
    </w:p>
    <w:p w14:paraId="379CEB47" w14:textId="2828F986" w:rsidR="00724F0B" w:rsidRPr="00C46A01" w:rsidRDefault="00B227F9" w:rsidP="00095897">
      <w:pPr>
        <w:pStyle w:val="ListParagraph"/>
        <w:numPr>
          <w:ilvl w:val="0"/>
          <w:numId w:val="80"/>
        </w:numPr>
        <w:spacing w:line="480" w:lineRule="auto"/>
        <w:ind w:left="1418"/>
        <w:jc w:val="both"/>
        <w:rPr>
          <w:rFonts w:ascii="Times New Roman" w:hAnsi="Times New Roman" w:cs="Times New Roman"/>
          <w:sz w:val="24"/>
          <w:szCs w:val="24"/>
        </w:rPr>
      </w:pPr>
      <w:r w:rsidRPr="00C46A01">
        <w:rPr>
          <w:rFonts w:ascii="Times New Roman" w:eastAsia="Times New Roman" w:hAnsi="Times New Roman" w:cs="Times New Roman"/>
          <w:sz w:val="24"/>
          <w:szCs w:val="24"/>
          <w:lang w:val="en-GB" w:eastAsia="en-GB"/>
        </w:rPr>
        <w:t>membeli, menjual, atau menjamin barang dengan risiko sendiri atau atas perintah nasabah</w:t>
      </w:r>
    </w:p>
    <w:p w14:paraId="19FAD883" w14:textId="77777777" w:rsidR="00724F0B" w:rsidRPr="00C46A01" w:rsidRDefault="00724F0B" w:rsidP="00095897">
      <w:pPr>
        <w:pStyle w:val="ListParagraph"/>
        <w:numPr>
          <w:ilvl w:val="0"/>
          <w:numId w:val="80"/>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Memindahkan uang, baik untuk kepentingan sendiri maupun untuk kepentingan nasabah dan dll.</w:t>
      </w:r>
    </w:p>
    <w:p w14:paraId="4750EBA3"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Visi :</w:t>
      </w:r>
    </w:p>
    <w:p w14:paraId="066CA216"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Bank pilihan utama andalan Masyarakat, yang berperan sebagai pilar penting perekonomian Indonesia.</w:t>
      </w:r>
    </w:p>
    <w:p w14:paraId="1092DF9E"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Misi :</w:t>
      </w:r>
    </w:p>
    <w:p w14:paraId="6D9957A9" w14:textId="1A5AC56B" w:rsidR="00724F0B" w:rsidRPr="00C46A01" w:rsidRDefault="00B227F9" w:rsidP="00095897">
      <w:pPr>
        <w:pStyle w:val="ListParagraph"/>
        <w:numPr>
          <w:ilvl w:val="0"/>
          <w:numId w:val="53"/>
        </w:numPr>
        <w:spacing w:line="480" w:lineRule="auto"/>
        <w:ind w:left="1418"/>
        <w:jc w:val="both"/>
        <w:rPr>
          <w:rFonts w:ascii="Times New Roman" w:hAnsi="Times New Roman" w:cs="Times New Roman"/>
          <w:sz w:val="24"/>
          <w:szCs w:val="24"/>
        </w:rPr>
      </w:pPr>
      <w:r w:rsidRPr="00C46A01">
        <w:rPr>
          <w:rFonts w:ascii="Times New Roman" w:eastAsia="Times New Roman" w:hAnsi="Times New Roman" w:cs="Times New Roman"/>
          <w:sz w:val="24"/>
          <w:szCs w:val="24"/>
          <w:lang w:val="en-GB" w:eastAsia="en-GB"/>
        </w:rPr>
        <w:t>Menciptakan institusi yang unggul dalam penyelesaian pembayaran dan solusi keuangan untuk nasabah bisnis dan individu; </w:t>
      </w:r>
    </w:p>
    <w:p w14:paraId="2EC4CF21" w14:textId="73FA9846" w:rsidR="00724F0B" w:rsidRPr="00C46A01" w:rsidRDefault="00B227F9" w:rsidP="00095897">
      <w:pPr>
        <w:pStyle w:val="ListParagraph"/>
        <w:numPr>
          <w:ilvl w:val="0"/>
          <w:numId w:val="53"/>
        </w:numPr>
        <w:spacing w:line="480" w:lineRule="auto"/>
        <w:ind w:left="1418"/>
        <w:jc w:val="both"/>
        <w:rPr>
          <w:rFonts w:ascii="Times New Roman" w:hAnsi="Times New Roman" w:cs="Times New Roman"/>
          <w:sz w:val="24"/>
          <w:szCs w:val="24"/>
        </w:rPr>
      </w:pPr>
      <w:r w:rsidRPr="00C46A01">
        <w:rPr>
          <w:rFonts w:ascii="Times New Roman" w:eastAsia="Times New Roman" w:hAnsi="Times New Roman" w:cs="Times New Roman"/>
          <w:sz w:val="24"/>
          <w:szCs w:val="24"/>
          <w:lang w:val="en-GB" w:eastAsia="en-GB"/>
        </w:rPr>
        <w:lastRenderedPageBreak/>
        <w:t xml:space="preserve">Memahami berbagai kebutuhan nasabah dan menyediakan layanan finansial yang tepat untuk memastikan bahwa nasabah puas sepenuhnya; dan  </w:t>
      </w:r>
    </w:p>
    <w:p w14:paraId="4F4AEBA5" w14:textId="77777777" w:rsidR="00724F0B" w:rsidRPr="004D1BDD" w:rsidRDefault="00724F0B" w:rsidP="00095897">
      <w:pPr>
        <w:pStyle w:val="ListParagraph"/>
        <w:numPr>
          <w:ilvl w:val="0"/>
          <w:numId w:val="53"/>
        </w:numPr>
        <w:spacing w:line="480" w:lineRule="auto"/>
        <w:ind w:left="1418"/>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Meningkatkan nilai francais dan nilai stakeholder BCA</w:t>
      </w:r>
    </w:p>
    <w:p w14:paraId="1CB6932B" w14:textId="77777777" w:rsidR="00724F0B" w:rsidRPr="00C46A01" w:rsidRDefault="00724F0B" w:rsidP="00095897">
      <w:pPr>
        <w:pStyle w:val="ListParagraph"/>
        <w:numPr>
          <w:ilvl w:val="0"/>
          <w:numId w:val="50"/>
        </w:numPr>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Gambaran umum Bank Mestika Dharma Tbk</w:t>
      </w:r>
    </w:p>
    <w:p w14:paraId="33D7F8A2" w14:textId="5F10255F" w:rsidR="002B20D2" w:rsidRPr="00C46A01" w:rsidRDefault="002B20D2" w:rsidP="002B20D2">
      <w:pPr>
        <w:pStyle w:val="ListParagraph"/>
        <w:spacing w:after="0" w:line="480" w:lineRule="auto"/>
        <w:ind w:left="993" w:firstLine="447"/>
        <w:jc w:val="both"/>
        <w:rPr>
          <w:rFonts w:ascii="Times New Roman" w:eastAsia="Times New Roman" w:hAnsi="Times New Roman" w:cs="Times New Roman"/>
          <w:sz w:val="24"/>
          <w:szCs w:val="24"/>
          <w:lang w:val="en-GB" w:eastAsia="en-GB"/>
        </w:rPr>
      </w:pPr>
      <w:r w:rsidRPr="00C46A01">
        <w:rPr>
          <w:rFonts w:ascii="Times New Roman" w:eastAsia="Times New Roman" w:hAnsi="Times New Roman" w:cs="Times New Roman"/>
          <w:sz w:val="24"/>
          <w:szCs w:val="24"/>
          <w:lang w:val="en-GB" w:eastAsia="en-GB"/>
        </w:rPr>
        <w:t>Bank Mestika didirikan pada tanggal 27 April 1955 dengan Akta Pendirian Perseroan Terbatas nomor 121, yang dibuat di hadapan Oesman Aldjoeffry, wakil notaris di Medan, dan beroperasi sejak tanggal tersebut. Berdasarkan Surat Keputusan Menteri Keuangan Nomor 289497/U.M.II tanggal 12 Desember 1956, Bank Mestika mulai beroperasi secara komersil dan diberi izin untuk melakukan kegiatan perbankan dan jasa keuangan lainnya. Surat Keputusan Direksi Bank Indonesia Nomor 27/109/KEP/DIR tanggal 5 Januari 1995 memberikan izin kepada perusahaan untuk melakukan kegiatan devisa. Bank Mestika, yang dimiliki oleh putra daerah, telah menunjukkan kemampuan untuk bersaing dengan Perbankan Nasional dengan mencatatkan sahamnya di Bursa Efek Indonesia dengan kode BBMD pada 8 Juli 2013.</w:t>
      </w:r>
    </w:p>
    <w:p w14:paraId="4E62EA39"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Visi :</w:t>
      </w:r>
    </w:p>
    <w:p w14:paraId="698B1835" w14:textId="4182A30B" w:rsidR="002B20D2" w:rsidRPr="00C46A01" w:rsidRDefault="002B20D2" w:rsidP="002B20D2">
      <w:pPr>
        <w:spacing w:after="0" w:line="480" w:lineRule="auto"/>
        <w:ind w:left="993" w:firstLine="447"/>
        <w:jc w:val="both"/>
        <w:rPr>
          <w:rFonts w:ascii="Times New Roman" w:eastAsia="Times New Roman" w:hAnsi="Times New Roman" w:cs="Times New Roman"/>
          <w:sz w:val="24"/>
          <w:szCs w:val="24"/>
          <w:lang w:val="en-GB" w:eastAsia="en-GB"/>
        </w:rPr>
      </w:pPr>
      <w:r w:rsidRPr="00C46A01">
        <w:rPr>
          <w:rFonts w:ascii="Times New Roman" w:eastAsia="Times New Roman" w:hAnsi="Times New Roman" w:cs="Times New Roman"/>
          <w:sz w:val="24"/>
          <w:szCs w:val="24"/>
          <w:lang w:val="en-GB" w:eastAsia="en-GB"/>
        </w:rPr>
        <w:t>Sebelum Tahun 2028, menjadi bank Kelompok Modal Inti 2 (KBMI2) yang membantu pertumbuhan ekonomi Nasional dengan mengutamakan profesionalisme perbankan dan berlandaskan prinsip keuangan berkelanjutan.</w:t>
      </w:r>
    </w:p>
    <w:p w14:paraId="21A03329" w14:textId="4B638FB8" w:rsidR="002B20D2" w:rsidRPr="00C46A01" w:rsidRDefault="00724F0B" w:rsidP="002B20D2">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lastRenderedPageBreak/>
        <w:t>Misi :</w:t>
      </w:r>
    </w:p>
    <w:p w14:paraId="733D5DA1" w14:textId="70F878AF" w:rsidR="00724F0B" w:rsidRPr="00C46A01" w:rsidRDefault="002B20D2" w:rsidP="00095897">
      <w:pPr>
        <w:pStyle w:val="ListParagraph"/>
        <w:numPr>
          <w:ilvl w:val="0"/>
          <w:numId w:val="54"/>
        </w:numPr>
        <w:spacing w:line="480" w:lineRule="auto"/>
        <w:ind w:left="1418"/>
        <w:jc w:val="both"/>
        <w:rPr>
          <w:rFonts w:ascii="Times New Roman" w:hAnsi="Times New Roman" w:cs="Times New Roman"/>
          <w:sz w:val="24"/>
          <w:szCs w:val="24"/>
        </w:rPr>
      </w:pPr>
      <w:r w:rsidRPr="00C46A01">
        <w:rPr>
          <w:rFonts w:ascii="Times New Roman" w:eastAsia="Times New Roman" w:hAnsi="Times New Roman" w:cs="Times New Roman"/>
          <w:sz w:val="24"/>
          <w:szCs w:val="24"/>
          <w:lang w:val="en-GB" w:eastAsia="en-GB"/>
        </w:rPr>
        <w:t>Menciptakan sinergi dan nilai tambah dengan para pemangku kepentingan (stakeholders);</w:t>
      </w:r>
    </w:p>
    <w:p w14:paraId="143DCC2C" w14:textId="125851AE" w:rsidR="00724F0B" w:rsidRPr="00C46A01" w:rsidRDefault="002B20D2" w:rsidP="00095897">
      <w:pPr>
        <w:pStyle w:val="ListParagraph"/>
        <w:numPr>
          <w:ilvl w:val="0"/>
          <w:numId w:val="54"/>
        </w:numPr>
        <w:spacing w:line="480" w:lineRule="auto"/>
        <w:ind w:left="1418"/>
        <w:jc w:val="both"/>
        <w:rPr>
          <w:rFonts w:ascii="Times New Roman" w:hAnsi="Times New Roman" w:cs="Times New Roman"/>
          <w:sz w:val="24"/>
          <w:szCs w:val="24"/>
        </w:rPr>
      </w:pPr>
      <w:r w:rsidRPr="00C46A01">
        <w:rPr>
          <w:rFonts w:ascii="Times New Roman" w:eastAsia="Times New Roman" w:hAnsi="Times New Roman" w:cs="Times New Roman"/>
          <w:sz w:val="24"/>
          <w:szCs w:val="24"/>
          <w:lang w:val="en-GB" w:eastAsia="en-GB"/>
        </w:rPr>
        <w:t>Memberikan layanan perbankan yang profesional dan berbasis teknologi dengan prinsip manajemen risiko yang baik dan penuh kehati-hatian sesuai dengan prinsip GCG (Good Corporate Governance) dan berdasarkan prinsip Keuangan Berkelanjutan; dan </w:t>
      </w:r>
    </w:p>
    <w:p w14:paraId="64933715" w14:textId="77777777" w:rsidR="002B20D2" w:rsidRPr="00C46A01" w:rsidRDefault="002B20D2" w:rsidP="00095897">
      <w:pPr>
        <w:pStyle w:val="ListParagraph"/>
        <w:numPr>
          <w:ilvl w:val="0"/>
          <w:numId w:val="54"/>
        </w:numPr>
        <w:spacing w:after="0" w:line="480" w:lineRule="auto"/>
        <w:ind w:left="1418"/>
        <w:jc w:val="both"/>
        <w:rPr>
          <w:rFonts w:ascii="Times New Roman" w:eastAsia="Times New Roman" w:hAnsi="Times New Roman" w:cs="Times New Roman"/>
          <w:sz w:val="24"/>
          <w:szCs w:val="24"/>
          <w:lang w:val="en-GB" w:eastAsia="en-GB"/>
        </w:rPr>
      </w:pPr>
      <w:r w:rsidRPr="00C46A01">
        <w:rPr>
          <w:rFonts w:ascii="Times New Roman" w:eastAsia="Times New Roman" w:hAnsi="Times New Roman" w:cs="Times New Roman"/>
          <w:sz w:val="24"/>
          <w:szCs w:val="24"/>
          <w:lang w:val="en-GB" w:eastAsia="en-GB"/>
        </w:rPr>
        <w:t>Meningkatkan reputasi bank dengan mengembangkan sumber daya manusia yang profesional dan berintegritas tinggi.</w:t>
      </w:r>
    </w:p>
    <w:p w14:paraId="07AB9CCD" w14:textId="6B2B254C" w:rsidR="00724F0B" w:rsidRPr="00C46A01" w:rsidRDefault="00724F0B" w:rsidP="00095897">
      <w:pPr>
        <w:pStyle w:val="ListParagraph"/>
        <w:numPr>
          <w:ilvl w:val="0"/>
          <w:numId w:val="50"/>
        </w:numPr>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 xml:space="preserve">Gambaran umum </w:t>
      </w:r>
      <w:r w:rsidRPr="00C46A01">
        <w:rPr>
          <w:rFonts w:ascii="Times New Roman" w:hAnsi="Times New Roman" w:cs="Times New Roman"/>
          <w:sz w:val="24"/>
          <w:szCs w:val="24"/>
          <w:lang w:val="id-ID"/>
        </w:rPr>
        <w:t>Bank Negara Indonesia (Persero) Tbk</w:t>
      </w:r>
    </w:p>
    <w:p w14:paraId="794FBE8D" w14:textId="66818574" w:rsidR="002B20D2" w:rsidRPr="00C46A01" w:rsidRDefault="002B20D2" w:rsidP="00644604">
      <w:pPr>
        <w:pStyle w:val="ListParagraph"/>
        <w:spacing w:after="0" w:line="480" w:lineRule="auto"/>
        <w:ind w:left="993" w:firstLine="447"/>
        <w:jc w:val="both"/>
        <w:rPr>
          <w:rFonts w:ascii="Times New Roman" w:eastAsia="Times New Roman" w:hAnsi="Times New Roman" w:cs="Times New Roman"/>
          <w:sz w:val="24"/>
          <w:szCs w:val="24"/>
          <w:lang w:val="en-GB" w:eastAsia="en-GB"/>
        </w:rPr>
      </w:pPr>
      <w:r w:rsidRPr="00C46A01">
        <w:rPr>
          <w:rFonts w:ascii="Times New Roman" w:eastAsia="Times New Roman" w:hAnsi="Times New Roman" w:cs="Times New Roman"/>
          <w:sz w:val="24"/>
          <w:szCs w:val="24"/>
          <w:lang w:val="en-GB" w:eastAsia="en-GB"/>
        </w:rPr>
        <w:t>PT Bank Negara Indonesia (Persero) Tbk., juga dikenal sebagai "BNI" atau "Bank," secara resmi didirikan oleh Pemerintah Republik Indonesia pada tanggal 5 Juli 1946 melalui Peraturan Pemerintah Pengganti Undang-Undang No. 2 Tahun 1946 tentang Pembentukan Bank Negara Indonesia (BNI), yang kemudian dikenal sebagai UU BNI Tahun 1946 pada tanggal 5 Juli 1946. Peraturan tersebut mengubah BNI, yang sebelumnya dikenal sebagai "Poesat Bank Indonesia" berdasarkan badan hukum yayasan, menjadi "Bank Negara Indonesia" dan menjalankan peran sebagai bank sirkulasi, bank sentral, dan bank umum.</w:t>
      </w:r>
    </w:p>
    <w:p w14:paraId="11C7BF87" w14:textId="77777777" w:rsidR="00644604" w:rsidRPr="00C46A01" w:rsidRDefault="00644604" w:rsidP="00644604">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ab/>
        <w:t xml:space="preserve">Sebagai bank sirkulasi/bank sentral, BNI memiliki hak tunggal untuk mengatur pengeluaran dan peredaran Oeang Republik Indonesia (ORI) dalam batas-batas wilayah kekuasaan RI. Selain fungsinya sebagai bank sirkulasi, BNI juga berfungsi sebagai bank umum, melanjutkan pekerjaan </w:t>
      </w:r>
      <w:r w:rsidRPr="00C46A01">
        <w:rPr>
          <w:rFonts w:ascii="Times New Roman" w:hAnsi="Times New Roman" w:cs="Times New Roman"/>
          <w:sz w:val="24"/>
          <w:szCs w:val="24"/>
        </w:rPr>
        <w:lastRenderedPageBreak/>
        <w:t>Poesat Bank Indonesia sebelumnya. Peresmian BNI dilaksanakan di Yogyakarta pada hari ulang tahun pertama Proklamasi Kemerdekaan RI tanggal 17 Agustus 1946. Dalam Konferensi Meja Bundar yang berakhir 2 November 1949, status BNI sebagai bank sentral ditiadakan dan menetapkan De Javasche Bank sebagai Bank Sentral, sedangkan BNI ditetapkan sebagai Bank Pembangunan.</w:t>
      </w:r>
    </w:p>
    <w:p w14:paraId="655238FE" w14:textId="77777777" w:rsidR="00644604" w:rsidRPr="00C46A01" w:rsidRDefault="00644604" w:rsidP="00644604">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Pada tahun 1992, melalui Peraturan Pemerintah No. 19 Tahun 1992 Tanggal 29 April 1992 tentang Penyesuaian Bentuk Hukum Bank Negara Indonesia 1946 menjadi Perusahaan Perseroan (Persero), BNI mengalami penyesuaian bentuk badan hukum menjadi Perusahaan Perseroan (Persero). Melalui Peraturan Pemerintah No. 19 Tahun 1992 ini, Bank Negara Indonesia 1946 dinyatakan bubar dengan ketentuan bahwa segala hak dan kewajiban, kekayaan serta pegawai dari Bank Negara Indonesia 1946 yang ada pada saat pembubarannya beralih kepada Perusahaan Perseroan (Persero).</w:t>
      </w:r>
    </w:p>
    <w:p w14:paraId="432A3095" w14:textId="5AB883F2" w:rsidR="00724F0B" w:rsidRPr="00C46A01" w:rsidRDefault="00644604" w:rsidP="00644604">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 xml:space="preserve">BNI menjadi bank BUMN (Badan Usaha Milik Negara) pertama yang menjadi perusahaan publik pada tahun 1996 ketika mencatatkan sahamnya di Bursa Efek Jakarta dan Bursa Efek Surabaya (sekarang BEI). Tujuan dari pencatatan saham di Bursa Efek ini adalah untuk meningkatkan struktur keuangan dan meningkatkan persaingan bisnis di sektor perbankan. BNI juga melakukan tindakan korporasi, seperti rekapitalisasi pemerintah tahun 1999, divestasi saham pemerintah tahun 2007, dan penawaran umum saham terbatas tahun 2010. Hingga akhir tahun 2023, pemerintah Republik </w:t>
      </w:r>
      <w:r w:rsidRPr="00C46A01">
        <w:rPr>
          <w:rFonts w:ascii="Times New Roman" w:hAnsi="Times New Roman" w:cs="Times New Roman"/>
          <w:sz w:val="24"/>
          <w:szCs w:val="24"/>
        </w:rPr>
        <w:lastRenderedPageBreak/>
        <w:t>Indonesia akan memiliki 60% saham BNI, dan 40% lainnya akan dimiliki oleh masyarakat dan institusi, baik di Indonesia maupun di luar negeri. BNI Multifinance, PT BNI Sekuritas, PT BNI Life Insurance, BNI Remittance Ltd., PT Bank Mayora (yang kemudian berubah nama menjadi PT Bank Hibank Indonesia pada 24 Mei 2023), dan PT BNI Modal Ventura adalah beberapa perusahaan anak yang didukung BNI untuk meningkatkan layanan finansial secara terpadu.</w:t>
      </w:r>
    </w:p>
    <w:p w14:paraId="44969461"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Kegiatan usaha bank BNI</w:t>
      </w:r>
    </w:p>
    <w:p w14:paraId="6AEEA50E" w14:textId="77777777" w:rsidR="00644604" w:rsidRPr="00C46A01" w:rsidRDefault="00644604" w:rsidP="00095897">
      <w:pPr>
        <w:pStyle w:val="ListParagraph"/>
        <w:numPr>
          <w:ilvl w:val="0"/>
          <w:numId w:val="82"/>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Mengumpulkan dana dari masyarakat dalam bentuk simpanan seperti giro, deposito berjangka, tabungan, dan bentuk lainnya yang serupa;</w:t>
      </w:r>
    </w:p>
    <w:p w14:paraId="69055E0B" w14:textId="77777777" w:rsidR="00644604" w:rsidRPr="00C46A01" w:rsidRDefault="00644604" w:rsidP="00095897">
      <w:pPr>
        <w:pStyle w:val="ListParagraph"/>
        <w:numPr>
          <w:ilvl w:val="0"/>
          <w:numId w:val="82"/>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memberikan kredit; </w:t>
      </w:r>
    </w:p>
    <w:p w14:paraId="29A4B255" w14:textId="77777777" w:rsidR="00644604" w:rsidRPr="00C46A01" w:rsidRDefault="00644604" w:rsidP="00095897">
      <w:pPr>
        <w:pStyle w:val="ListParagraph"/>
        <w:numPr>
          <w:ilvl w:val="0"/>
          <w:numId w:val="82"/>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menerbitkan surat pengakuan utang; dan </w:t>
      </w:r>
    </w:p>
    <w:p w14:paraId="5FC71551" w14:textId="523EC065" w:rsidR="00724F0B" w:rsidRPr="00C46A01" w:rsidRDefault="00644604" w:rsidP="00095897">
      <w:pPr>
        <w:pStyle w:val="ListParagraph"/>
        <w:numPr>
          <w:ilvl w:val="0"/>
          <w:numId w:val="82"/>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membeli, menjual, atau menjamin baik untuk kepentingan pelanggan maupun untuk risiko sendiri (seperti wesel, surat pengakuan utang atau surat dagang lainnya, kertas perbendaharaan Negara, surat jaminan pemerintah, sertifikat Bank Indonesia, obligasi, dll.)</w:t>
      </w:r>
    </w:p>
    <w:p w14:paraId="1C3CDF94"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Visi :</w:t>
      </w:r>
    </w:p>
    <w:p w14:paraId="6659E1B1" w14:textId="77777777" w:rsidR="00724F0B" w:rsidRPr="00C46A01" w:rsidRDefault="00724F0B" w:rsidP="00644604">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Menjadi Lembaga Keuangan yang Terunggul dalam Layanan dan Kinerja secara Berkelanjutan.</w:t>
      </w:r>
    </w:p>
    <w:p w14:paraId="21343498"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Misi :</w:t>
      </w:r>
    </w:p>
    <w:p w14:paraId="6AD27745" w14:textId="5C3CF3F5" w:rsidR="00724F0B" w:rsidRPr="00C46A01" w:rsidRDefault="00644604" w:rsidP="00095897">
      <w:pPr>
        <w:pStyle w:val="ListParagraph"/>
        <w:numPr>
          <w:ilvl w:val="0"/>
          <w:numId w:val="81"/>
        </w:numPr>
        <w:spacing w:line="480" w:lineRule="auto"/>
        <w:ind w:left="1418"/>
        <w:jc w:val="both"/>
        <w:rPr>
          <w:rFonts w:ascii="Times New Roman" w:hAnsi="Times New Roman" w:cs="Times New Roman"/>
          <w:color w:val="FF0000"/>
          <w:sz w:val="24"/>
          <w:szCs w:val="24"/>
        </w:rPr>
      </w:pPr>
      <w:r w:rsidRPr="00C46A01">
        <w:rPr>
          <w:rFonts w:ascii="Times New Roman" w:hAnsi="Times New Roman" w:cs="Times New Roman"/>
          <w:sz w:val="24"/>
          <w:szCs w:val="24"/>
        </w:rPr>
        <w:t>Memberikan layanan prima dan solusi digital kepada seluruh pelanggan sebagai mitra bisnis pilihan utama; </w:t>
      </w:r>
    </w:p>
    <w:p w14:paraId="273679EB" w14:textId="27E06E5E" w:rsidR="00724F0B" w:rsidRPr="00C46A01" w:rsidRDefault="00644604" w:rsidP="00095897">
      <w:pPr>
        <w:pStyle w:val="ListParagraph"/>
        <w:numPr>
          <w:ilvl w:val="0"/>
          <w:numId w:val="81"/>
        </w:numPr>
        <w:spacing w:line="480" w:lineRule="auto"/>
        <w:ind w:left="1418"/>
        <w:jc w:val="both"/>
        <w:rPr>
          <w:rFonts w:ascii="Times New Roman" w:hAnsi="Times New Roman" w:cs="Times New Roman"/>
          <w:color w:val="FF0000"/>
          <w:sz w:val="24"/>
          <w:szCs w:val="24"/>
        </w:rPr>
      </w:pPr>
      <w:r w:rsidRPr="00C46A01">
        <w:rPr>
          <w:rFonts w:ascii="Times New Roman" w:hAnsi="Times New Roman" w:cs="Times New Roman"/>
          <w:sz w:val="24"/>
          <w:szCs w:val="24"/>
        </w:rPr>
        <w:lastRenderedPageBreak/>
        <w:t>Meningkatkan layanan internasional untuk memenuhi kebutuhan mitra bisnis di seluruh dunia; </w:t>
      </w:r>
    </w:p>
    <w:p w14:paraId="6FEFFCEB" w14:textId="4E0FF730" w:rsidR="00724F0B" w:rsidRPr="004D1BDD" w:rsidRDefault="002E0C88" w:rsidP="00095897">
      <w:pPr>
        <w:pStyle w:val="ListParagraph"/>
        <w:numPr>
          <w:ilvl w:val="0"/>
          <w:numId w:val="81"/>
        </w:numPr>
        <w:spacing w:line="480" w:lineRule="auto"/>
        <w:ind w:left="1418"/>
        <w:jc w:val="both"/>
        <w:rPr>
          <w:rFonts w:ascii="Times New Roman" w:hAnsi="Times New Roman" w:cs="Times New Roman"/>
          <w:color w:val="FF0000"/>
          <w:sz w:val="24"/>
          <w:szCs w:val="24"/>
          <w:lang w:val="nl-NL"/>
        </w:rPr>
      </w:pPr>
      <w:r w:rsidRPr="004D1BDD">
        <w:rPr>
          <w:rFonts w:ascii="Times New Roman" w:hAnsi="Times New Roman" w:cs="Times New Roman"/>
          <w:sz w:val="24"/>
          <w:szCs w:val="24"/>
          <w:lang w:val="nl-NL"/>
        </w:rPr>
        <w:t>Meningkatkan nilai investasi bagi investor; </w:t>
      </w:r>
    </w:p>
    <w:p w14:paraId="64C6A753" w14:textId="1E806DCE" w:rsidR="00724F0B" w:rsidRPr="004D1BDD" w:rsidRDefault="002E0C88" w:rsidP="00095897">
      <w:pPr>
        <w:pStyle w:val="ListParagraph"/>
        <w:numPr>
          <w:ilvl w:val="0"/>
          <w:numId w:val="81"/>
        </w:numPr>
        <w:spacing w:line="480" w:lineRule="auto"/>
        <w:ind w:left="1418"/>
        <w:jc w:val="both"/>
        <w:rPr>
          <w:rFonts w:ascii="Times New Roman" w:hAnsi="Times New Roman" w:cs="Times New Roman"/>
          <w:color w:val="FF0000"/>
          <w:sz w:val="24"/>
          <w:szCs w:val="24"/>
          <w:lang w:val="nl-NL"/>
        </w:rPr>
      </w:pPr>
      <w:r w:rsidRPr="004D1BDD">
        <w:rPr>
          <w:rFonts w:ascii="Times New Roman" w:hAnsi="Times New Roman" w:cs="Times New Roman"/>
          <w:sz w:val="24"/>
          <w:szCs w:val="24"/>
          <w:lang w:val="nl-NL"/>
        </w:rPr>
        <w:t>Menciptakan kondisi terbaik bagi karyawan di mana mereka dapat berkarya dan berprestasi; </w:t>
      </w:r>
    </w:p>
    <w:p w14:paraId="340E00FB" w14:textId="2F1C9228" w:rsidR="00724F0B" w:rsidRPr="004D1BDD" w:rsidRDefault="002E0C88" w:rsidP="00095897">
      <w:pPr>
        <w:pStyle w:val="ListParagraph"/>
        <w:numPr>
          <w:ilvl w:val="0"/>
          <w:numId w:val="81"/>
        </w:numPr>
        <w:spacing w:line="480" w:lineRule="auto"/>
        <w:ind w:left="1418"/>
        <w:jc w:val="both"/>
        <w:rPr>
          <w:rFonts w:ascii="Times New Roman" w:hAnsi="Times New Roman" w:cs="Times New Roman"/>
          <w:color w:val="FF0000"/>
          <w:sz w:val="24"/>
          <w:szCs w:val="24"/>
          <w:lang w:val="nl-NL"/>
        </w:rPr>
      </w:pPr>
      <w:r w:rsidRPr="004D1BDD">
        <w:rPr>
          <w:rFonts w:ascii="Times New Roman" w:hAnsi="Times New Roman" w:cs="Times New Roman"/>
          <w:sz w:val="24"/>
          <w:szCs w:val="24"/>
          <w:lang w:val="nl-NL"/>
        </w:rPr>
        <w:t>Meningkatkan kepedulian dan tanggung jawab kepada lingkungan dan masyarakat; dan </w:t>
      </w:r>
    </w:p>
    <w:p w14:paraId="2E2D9CD0" w14:textId="313D0E72" w:rsidR="00724F0B" w:rsidRPr="00C46A01" w:rsidRDefault="002E0C88" w:rsidP="00095897">
      <w:pPr>
        <w:pStyle w:val="ListParagraph"/>
        <w:numPr>
          <w:ilvl w:val="0"/>
          <w:numId w:val="81"/>
        </w:numPr>
        <w:spacing w:line="480" w:lineRule="auto"/>
        <w:ind w:left="1418"/>
        <w:jc w:val="both"/>
        <w:rPr>
          <w:rFonts w:ascii="Times New Roman" w:hAnsi="Times New Roman" w:cs="Times New Roman"/>
          <w:color w:val="FF0000"/>
          <w:sz w:val="24"/>
          <w:szCs w:val="24"/>
        </w:rPr>
      </w:pPr>
      <w:r w:rsidRPr="00C46A01">
        <w:rPr>
          <w:rFonts w:ascii="Times New Roman" w:hAnsi="Times New Roman" w:cs="Times New Roman"/>
          <w:sz w:val="24"/>
          <w:szCs w:val="24"/>
        </w:rPr>
        <w:t>Menjadi acuan pelaksanaan kepatuhan.</w:t>
      </w:r>
    </w:p>
    <w:p w14:paraId="26E59501" w14:textId="77777777" w:rsidR="00724F0B" w:rsidRPr="00C46A01" w:rsidRDefault="00724F0B" w:rsidP="00095897">
      <w:pPr>
        <w:pStyle w:val="ListParagraph"/>
        <w:numPr>
          <w:ilvl w:val="0"/>
          <w:numId w:val="50"/>
        </w:numPr>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Gambaran umum Bank Rakyat Indonesia (Persero) Tbk</w:t>
      </w:r>
    </w:p>
    <w:p w14:paraId="1216D1D2" w14:textId="09E7DC71" w:rsidR="002E0C88" w:rsidRPr="00C46A01" w:rsidRDefault="002E0C88" w:rsidP="00524202">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Berdasarkan Undang-undang No. 21 Tahun 1968, PT Bank Rakyat Indonesia (Persero) Tbk didirikan dan beroperasi secara komersial pada tanggal 18 Desember 1968. Pada tanggal 29 April 1992, Peraturan Pemerintah Republik Indonesia (Pemerintah) No. 21 Tahun 1992 mengubah bentuk badan hukum BRI menjadi Perusahaan Perseroan (Persero). Akta Nomor 133 tanggal 31 Juli 1992 yang dibuat oleh Notaris Muhani Salim, S.H. dan disahkan oleh Menteri Kehakiman Republik Indonesia menunjukkan transformasi BRI menjadi Persero.</w:t>
      </w:r>
    </w:p>
    <w:p w14:paraId="6AEBA87D" w14:textId="38B069EC" w:rsidR="002E0C88" w:rsidRPr="00C46A01" w:rsidRDefault="002E0C88" w:rsidP="002E0C88">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Berdasarkan pasal 3 Anggaran Dasar BRI, tujuan BRI adalah melakukan usaha di bidang perbankan dan mengoptimalkan pemanfaatan sumber daya yang dimiliki BRI untuk menghasilkan jasa yang berkualitas tinggi dan berdaya saing kuat dengan tujuan memperoleh keuntungan dan meningkatkan nilai perusahaan. Pemerintah Republik Indonesia adalah pemegang saham mayoritas BRI.</w:t>
      </w:r>
    </w:p>
    <w:p w14:paraId="10C01D30"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lastRenderedPageBreak/>
        <w:t>Kegiatan usaha</w:t>
      </w:r>
    </w:p>
    <w:p w14:paraId="352C6DC4" w14:textId="0D54B500" w:rsidR="00724F0B" w:rsidRPr="00C46A01" w:rsidRDefault="00724F0B" w:rsidP="00095897">
      <w:pPr>
        <w:pStyle w:val="ListParagraph"/>
        <w:numPr>
          <w:ilvl w:val="0"/>
          <w:numId w:val="83"/>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 xml:space="preserve">Menghimpun dana dari masyarakat dalam bentuk simpanan </w:t>
      </w:r>
      <w:r w:rsidR="002E0C88" w:rsidRPr="00C46A01">
        <w:rPr>
          <w:rFonts w:ascii="Times New Roman" w:hAnsi="Times New Roman" w:cs="Times New Roman"/>
          <w:sz w:val="24"/>
          <w:szCs w:val="24"/>
        </w:rPr>
        <w:t>seperti</w:t>
      </w:r>
      <w:r w:rsidRPr="00C46A01">
        <w:rPr>
          <w:rFonts w:ascii="Times New Roman" w:hAnsi="Times New Roman" w:cs="Times New Roman"/>
          <w:sz w:val="24"/>
          <w:szCs w:val="24"/>
        </w:rPr>
        <w:t xml:space="preserve"> giro, deposito berjangka, sertifikat deposito, tabungan dan/atau bentuk lainnya yang dipersamakan dengan itu.</w:t>
      </w:r>
    </w:p>
    <w:p w14:paraId="047BBBF1" w14:textId="77777777" w:rsidR="00724F0B" w:rsidRPr="00C46A01" w:rsidRDefault="00724F0B" w:rsidP="00095897">
      <w:pPr>
        <w:pStyle w:val="ListParagraph"/>
        <w:numPr>
          <w:ilvl w:val="0"/>
          <w:numId w:val="83"/>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Memberikan kredit.</w:t>
      </w:r>
    </w:p>
    <w:p w14:paraId="19E5C7D2" w14:textId="77777777" w:rsidR="00724F0B" w:rsidRPr="00C46A01" w:rsidRDefault="00724F0B" w:rsidP="00095897">
      <w:pPr>
        <w:pStyle w:val="ListParagraph"/>
        <w:numPr>
          <w:ilvl w:val="0"/>
          <w:numId w:val="83"/>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Menerbitkan surat pengakuan hutang.</w:t>
      </w:r>
    </w:p>
    <w:p w14:paraId="1F2F90C4" w14:textId="77777777" w:rsidR="00724F0B" w:rsidRPr="00C46A01" w:rsidRDefault="00724F0B" w:rsidP="00095897">
      <w:pPr>
        <w:pStyle w:val="ListParagraph"/>
        <w:numPr>
          <w:ilvl w:val="0"/>
          <w:numId w:val="83"/>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Membeli, menjual atau menjaminkan atas resiko sendiri maupun untuk kepentingan dan atas perintah nasabahnya.</w:t>
      </w:r>
    </w:p>
    <w:p w14:paraId="7ED181FF"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Visi :</w:t>
      </w:r>
    </w:p>
    <w:p w14:paraId="467508D3" w14:textId="77777777" w:rsidR="00724F0B" w:rsidRPr="00C46A01" w:rsidRDefault="00724F0B" w:rsidP="002E0C88">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“The Most Valuable Banking Group in Southeast Asia &amp; Champion of Financial Inclusion.”</w:t>
      </w:r>
    </w:p>
    <w:p w14:paraId="12E063CB"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Misi :</w:t>
      </w:r>
    </w:p>
    <w:p w14:paraId="45610DC1" w14:textId="77777777" w:rsidR="00724F0B" w:rsidRPr="00C46A01" w:rsidRDefault="00724F0B" w:rsidP="00095897">
      <w:pPr>
        <w:pStyle w:val="ListParagraph"/>
        <w:numPr>
          <w:ilvl w:val="0"/>
          <w:numId w:val="55"/>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Memberikan yang Terbaik</w:t>
      </w:r>
    </w:p>
    <w:p w14:paraId="226A3472" w14:textId="73BBFA22" w:rsidR="002E0C88" w:rsidRPr="00C46A01" w:rsidRDefault="002E0C88" w:rsidP="00524202">
      <w:pPr>
        <w:pStyle w:val="ListParagraph"/>
        <w:spacing w:line="480" w:lineRule="auto"/>
        <w:ind w:left="1440" w:firstLine="720"/>
        <w:jc w:val="both"/>
        <w:rPr>
          <w:rFonts w:ascii="Times New Roman" w:hAnsi="Times New Roman" w:cs="Times New Roman"/>
          <w:sz w:val="24"/>
          <w:szCs w:val="24"/>
        </w:rPr>
      </w:pPr>
      <w:r w:rsidRPr="00C46A01">
        <w:rPr>
          <w:rFonts w:ascii="Times New Roman" w:hAnsi="Times New Roman" w:cs="Times New Roman"/>
          <w:sz w:val="24"/>
          <w:szCs w:val="24"/>
        </w:rPr>
        <w:t>Melakukan kegiatan perbankan yang terbaik dengan mengutamakan pelayanan kepada segmen mikro, kecil, dan menengah untuk menunjang peningkatan ekonomi masyarakat.</w:t>
      </w:r>
    </w:p>
    <w:p w14:paraId="00E956FD" w14:textId="77777777" w:rsidR="00724F0B" w:rsidRPr="00C46A01" w:rsidRDefault="00724F0B" w:rsidP="00095897">
      <w:pPr>
        <w:pStyle w:val="ListParagraph"/>
        <w:numPr>
          <w:ilvl w:val="0"/>
          <w:numId w:val="55"/>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Menyediakan Pelayanan yang Prima</w:t>
      </w:r>
    </w:p>
    <w:p w14:paraId="01D2D970" w14:textId="00054039" w:rsidR="00BE0576" w:rsidRPr="00C46A01" w:rsidRDefault="00BE0576" w:rsidP="00BE0576">
      <w:pPr>
        <w:pStyle w:val="ListParagraph"/>
        <w:spacing w:after="0" w:line="480" w:lineRule="auto"/>
        <w:ind w:left="1440" w:firstLine="720"/>
        <w:jc w:val="both"/>
        <w:rPr>
          <w:rFonts w:ascii="Times New Roman" w:eastAsia="Times New Roman" w:hAnsi="Times New Roman" w:cs="Times New Roman"/>
          <w:sz w:val="24"/>
          <w:szCs w:val="24"/>
          <w:lang w:val="en-GB" w:eastAsia="en-GB"/>
        </w:rPr>
      </w:pPr>
      <w:r w:rsidRPr="00C46A01">
        <w:rPr>
          <w:rFonts w:ascii="Times New Roman" w:eastAsia="Times New Roman" w:hAnsi="Times New Roman" w:cs="Times New Roman"/>
          <w:sz w:val="24"/>
          <w:szCs w:val="24"/>
          <w:lang w:val="en-GB" w:eastAsia="en-GB"/>
        </w:rPr>
        <w:t>Memberikan layanan prima dengan fokus pada pelanggan melalui sumber daya manusia yang profesional, budaya berbasis kinerja (budaya yang digerakkan oleh kinerja), teknologi informasi yang handal dan siap untuk masa depan, dan jaringan kerja konvensional dan digital yang produktif dengan menerapkan prinsip keunggulan manajemen operasional dan risiko.</w:t>
      </w:r>
    </w:p>
    <w:p w14:paraId="29BF99AD" w14:textId="77777777" w:rsidR="00AC709C" w:rsidRPr="00C46A01" w:rsidRDefault="00AC709C" w:rsidP="00BE0576">
      <w:pPr>
        <w:pStyle w:val="ListParagraph"/>
        <w:spacing w:after="0" w:line="480" w:lineRule="auto"/>
        <w:ind w:left="1440" w:firstLine="720"/>
        <w:jc w:val="both"/>
        <w:rPr>
          <w:rFonts w:ascii="Times New Roman" w:eastAsia="Times New Roman" w:hAnsi="Times New Roman" w:cs="Times New Roman"/>
          <w:sz w:val="24"/>
          <w:szCs w:val="24"/>
          <w:lang w:val="en-GB" w:eastAsia="en-GB"/>
        </w:rPr>
      </w:pPr>
    </w:p>
    <w:p w14:paraId="2329518A" w14:textId="77777777" w:rsidR="00724F0B" w:rsidRPr="00C46A01" w:rsidRDefault="00724F0B" w:rsidP="00095897">
      <w:pPr>
        <w:pStyle w:val="ListParagraph"/>
        <w:numPr>
          <w:ilvl w:val="0"/>
          <w:numId w:val="55"/>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Bekerja dengan Optimal dan Baik</w:t>
      </w:r>
    </w:p>
    <w:p w14:paraId="3FCCF6CD" w14:textId="1569AC80" w:rsidR="00BE0576" w:rsidRPr="00C46A01" w:rsidRDefault="00BE0576" w:rsidP="00BE0576">
      <w:pPr>
        <w:pStyle w:val="ListParagraph"/>
        <w:spacing w:after="0" w:line="480" w:lineRule="auto"/>
        <w:ind w:left="1440" w:firstLine="720"/>
        <w:jc w:val="both"/>
        <w:rPr>
          <w:rFonts w:ascii="Times New Roman" w:eastAsia="Times New Roman" w:hAnsi="Times New Roman" w:cs="Times New Roman"/>
          <w:sz w:val="24"/>
          <w:szCs w:val="24"/>
          <w:lang w:val="en-GB" w:eastAsia="en-GB"/>
        </w:rPr>
      </w:pPr>
      <w:r w:rsidRPr="00C46A01">
        <w:rPr>
          <w:rFonts w:ascii="Times New Roman" w:eastAsia="Times New Roman" w:hAnsi="Times New Roman" w:cs="Times New Roman"/>
          <w:sz w:val="24"/>
          <w:szCs w:val="24"/>
          <w:lang w:val="en-GB" w:eastAsia="en-GB"/>
        </w:rPr>
        <w:t>Mengoptimalkan keuntungan bagi pihak-pihak yang berkepentingan dengan mempertimbangkan prinsip keuangan berkelanjutan dan praktik manajemen perusahaan yang baik.</w:t>
      </w:r>
    </w:p>
    <w:p w14:paraId="5FA8C47C" w14:textId="77777777" w:rsidR="00724F0B" w:rsidRPr="00C46A01" w:rsidRDefault="00724F0B" w:rsidP="00095897">
      <w:pPr>
        <w:pStyle w:val="ListParagraph"/>
        <w:numPr>
          <w:ilvl w:val="0"/>
          <w:numId w:val="50"/>
        </w:numPr>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Gambaran umum Bank Tabungan Negara (Persero) Tbk</w:t>
      </w:r>
    </w:p>
    <w:p w14:paraId="6886A582" w14:textId="77777777" w:rsidR="00724F0B" w:rsidRPr="00C46A01" w:rsidRDefault="00724F0B" w:rsidP="00AC709C">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PT Bank Tabungan Negara (Persero) Tbk (“Perseroan”) diawali dengan berdirinya Postspaarbank pada tahun 1897. Pada tahun 1942, Postspaarbank diambil alih oleh Pemerintah Jepang dan berubah nama menjadi Tyokin Kyoku atau Kantor Tabungan. Kemudian hal ini berlanjut pada tahun 1945, Pemerintah Indonesia mengambil alih Tyokin Kyoku dan mendirikan Kantor Taboengan Pos. Di era paska kemerdekaan, tepatnya pada tahun 1950 Pemerintah Republik Indonesia mengubah nama Tyokin Kyoku menjadi Bank Tabungan Pos berdasarkan Undangundang Darurat No. 9 Tahun 1950 tanggal 9 Februari 1950 dan kemudian berdasarkan Peraturan Pemerintah Pengganti Undang-undang No. 4 tahun 1963 berganti nama menjadi Bank Tabungan Negara pada tahun 1963 hingga sekarang.</w:t>
      </w:r>
    </w:p>
    <w:p w14:paraId="10884B9D" w14:textId="6DFB77CC" w:rsidR="00724F0B" w:rsidRPr="00C46A01" w:rsidRDefault="00AC709C" w:rsidP="00AC709C">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T</w:t>
      </w:r>
      <w:r w:rsidR="00724F0B" w:rsidRPr="00C46A01">
        <w:rPr>
          <w:rFonts w:ascii="Times New Roman" w:hAnsi="Times New Roman" w:cs="Times New Roman"/>
          <w:sz w:val="24"/>
          <w:szCs w:val="24"/>
        </w:rPr>
        <w:t xml:space="preserve">ahun 1974, Pemerintah menunjuk Perseroan sebagai satusatunya institusi yang menyalurkan Kredit Pemilikan Rumah (KPR), sejalan dengan Program Pemerintah yang tengah menggalakkan program perumahan untuk rakyat. Di tahun 1976, Perseroan melakukan realisasi pertama kali di Perumahan Tanah Mas Kota Semarang. Pada tanggal 29 April 1989, Bank mulai beroperasi sebagai bank umum milik negara. Berdasarkan Peraturan </w:t>
      </w:r>
      <w:r w:rsidR="00724F0B" w:rsidRPr="00C46A01">
        <w:rPr>
          <w:rFonts w:ascii="Times New Roman" w:hAnsi="Times New Roman" w:cs="Times New Roman"/>
          <w:sz w:val="24"/>
          <w:szCs w:val="24"/>
        </w:rPr>
        <w:lastRenderedPageBreak/>
        <w:t xml:space="preserve">Pemerintah No. 24 Tahun 1992, status Bank diubah menjadi perseroan terbatas milik negara (Persero). </w:t>
      </w:r>
    </w:p>
    <w:p w14:paraId="57C98247"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Kegiatan usaha bank BTN</w:t>
      </w:r>
    </w:p>
    <w:p w14:paraId="6897B921" w14:textId="77777777" w:rsidR="00724F0B" w:rsidRPr="00C46A01" w:rsidRDefault="00724F0B" w:rsidP="00095897">
      <w:pPr>
        <w:pStyle w:val="ListParagraph"/>
        <w:numPr>
          <w:ilvl w:val="0"/>
          <w:numId w:val="84"/>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Menghimpun dana dari masyarakat dalam bentuk simpanan berupa giro, deposito berjangka, sertifikat deposito, tabungan dan/atau bentuk lainnya yang dipersamakan dengan itu</w:t>
      </w:r>
    </w:p>
    <w:p w14:paraId="1FA610F0" w14:textId="77777777" w:rsidR="00724F0B" w:rsidRPr="00C46A01" w:rsidRDefault="00724F0B" w:rsidP="00095897">
      <w:pPr>
        <w:pStyle w:val="ListParagraph"/>
        <w:numPr>
          <w:ilvl w:val="0"/>
          <w:numId w:val="84"/>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Memberikan kredit;</w:t>
      </w:r>
    </w:p>
    <w:p w14:paraId="40E49AE2" w14:textId="77777777" w:rsidR="00724F0B" w:rsidRPr="00C46A01" w:rsidRDefault="00724F0B" w:rsidP="00095897">
      <w:pPr>
        <w:pStyle w:val="ListParagraph"/>
        <w:numPr>
          <w:ilvl w:val="0"/>
          <w:numId w:val="84"/>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Menerbitkan surat pengakuan hutang;</w:t>
      </w:r>
    </w:p>
    <w:p w14:paraId="1D16A5D2" w14:textId="77777777" w:rsidR="00724F0B" w:rsidRPr="00C46A01" w:rsidRDefault="00724F0B" w:rsidP="00095897">
      <w:pPr>
        <w:pStyle w:val="ListParagraph"/>
        <w:numPr>
          <w:ilvl w:val="0"/>
          <w:numId w:val="84"/>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Membeli, menjual atau menjaminkan atas risiko sendiri maupun untuk kepentingan dan atas perintah nasabahnya:</w:t>
      </w:r>
    </w:p>
    <w:p w14:paraId="08E43B57"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Visi :</w:t>
      </w:r>
    </w:p>
    <w:p w14:paraId="36C5281C"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Menjadi Best Mortgage Bank in Southeast Asia pada tahun 2025.</w:t>
      </w:r>
    </w:p>
    <w:p w14:paraId="44A09A28"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Misi :</w:t>
      </w:r>
    </w:p>
    <w:p w14:paraId="6046BE28" w14:textId="77777777" w:rsidR="00724F0B" w:rsidRPr="00C46A01" w:rsidRDefault="00724F0B" w:rsidP="00095897">
      <w:pPr>
        <w:pStyle w:val="ListParagraph"/>
        <w:numPr>
          <w:ilvl w:val="0"/>
          <w:numId w:val="56"/>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Secara aktif mendukung pemerintah dalam memajukan kesejahteraan masyarakat Indonesia melalui kepemilikan rumah.</w:t>
      </w:r>
    </w:p>
    <w:p w14:paraId="14F9E544" w14:textId="77777777" w:rsidR="00724F0B" w:rsidRPr="00C46A01" w:rsidRDefault="00724F0B" w:rsidP="00095897">
      <w:pPr>
        <w:pStyle w:val="ListParagraph"/>
        <w:numPr>
          <w:ilvl w:val="0"/>
          <w:numId w:val="56"/>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Mewujudkan kehidupan yang diimpikan jutaan rakyat Indonesia melalui penyediaan rumah yang layak.</w:t>
      </w:r>
    </w:p>
    <w:p w14:paraId="51DD2849" w14:textId="77777777" w:rsidR="00724F0B" w:rsidRPr="00C46A01" w:rsidRDefault="00724F0B" w:rsidP="00095897">
      <w:pPr>
        <w:pStyle w:val="ListParagraph"/>
        <w:numPr>
          <w:ilvl w:val="0"/>
          <w:numId w:val="56"/>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Menjadi One of Home of Indonesia’s Best Talent.</w:t>
      </w:r>
    </w:p>
    <w:p w14:paraId="2C5F5668" w14:textId="77777777" w:rsidR="00724F0B" w:rsidRPr="00C46A01" w:rsidRDefault="00724F0B" w:rsidP="00095897">
      <w:pPr>
        <w:pStyle w:val="ListParagraph"/>
        <w:numPr>
          <w:ilvl w:val="0"/>
          <w:numId w:val="56"/>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Meningkatkan shareholder value dengan berfokus pada pertumbuhan profitabilitas yang berkelanjutan sebagai perusahaan blue chip dengan prinsip manajemen risiko yang kokoh.</w:t>
      </w:r>
    </w:p>
    <w:p w14:paraId="7029ADB2" w14:textId="70D8536A" w:rsidR="00155FCF" w:rsidRPr="00C46A01" w:rsidRDefault="00724F0B" w:rsidP="00095897">
      <w:pPr>
        <w:pStyle w:val="ListParagraph"/>
        <w:numPr>
          <w:ilvl w:val="0"/>
          <w:numId w:val="56"/>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lastRenderedPageBreak/>
        <w:t>Menjadi mitra keuangan bagi para pemangku kepentingan dalam ekosistem perumahan dengan menyediakan solusi menyeluruh dan layanan terbaik melalui inovasi digital.</w:t>
      </w:r>
    </w:p>
    <w:p w14:paraId="5A13FCB1" w14:textId="77777777" w:rsidR="00724F0B" w:rsidRPr="00C46A01" w:rsidRDefault="00724F0B" w:rsidP="00095897">
      <w:pPr>
        <w:pStyle w:val="ListParagraph"/>
        <w:numPr>
          <w:ilvl w:val="0"/>
          <w:numId w:val="50"/>
        </w:numPr>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Gambaran umum Bank Danamon Indonesia Tbk</w:t>
      </w:r>
    </w:p>
    <w:p w14:paraId="4BD1F2A8" w14:textId="77777777" w:rsidR="00724F0B" w:rsidRPr="00C46A01" w:rsidRDefault="00724F0B" w:rsidP="00AC709C">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PT Bank Danamon Indonesia Tbk (Danamon) didirikan pada tahun 1956, dan kini telah tumbuh berkembang menjadi salah satu lembaga keuangan terbesar di Indonesia, dipandu oleh visi perusahaan yaitu “Kami Peduli dan Membantu Jutaan Orang Mencapai Kesejahteraan”. Danamon melayani seluruh segmen nasabah mulai dari segmen Konsumer, UKM, dan Enterprise Banking (Komersial dan Korporasi), dengan rangkaian produk dan jasa perbankan dan keuangan yang komprehensif, termasuk layanan perbankan Syariah. Selain itu, Danamon juga menyediakan pembiayaan otomotif dan barang-barang konsumer melalui anak perusahaan Adira Finance.</w:t>
      </w:r>
    </w:p>
    <w:p w14:paraId="5057077F" w14:textId="77777777" w:rsidR="00724F0B" w:rsidRPr="00C46A01" w:rsidRDefault="00724F0B" w:rsidP="00AC709C">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 xml:space="preserve">Danamon mengoperasikan jaringan distribusi yang ekstensif dari Aceh hingga Papua dengan lebih dari 879 kantor cabang dan gerai pelayanan terdiri dari kantor cabang konvensional, unit Syariah, dan jaringan cabang Adira Finance dan Adira Insurance. Melalui struktur jaringan cabang, Danamon memberikan penawaran produk secara terintegrasi sehingga meningkatkan kualitas pelayanan terhadap nasabah. Jaringan distribusi Danamon didukung oleh platform e-channel yang mencakup jaringan 1.408 ATM dan CDM (Cash Deposit Machine), dengan akses ke ATM di jaringan ATM Bersama, ALTO dan Prima. Danamon juga telah mengembangkan </w:t>
      </w:r>
      <w:r w:rsidRPr="00C46A01">
        <w:rPr>
          <w:rFonts w:ascii="Times New Roman" w:hAnsi="Times New Roman" w:cs="Times New Roman"/>
          <w:sz w:val="24"/>
          <w:szCs w:val="24"/>
        </w:rPr>
        <w:lastRenderedPageBreak/>
        <w:t>layanan digital yang lengkap meliputi SMS banking, internet banking dan mobile banking untuk nasabah individu dan bisnis, dengan fitur dan kapabilitas yang terus ditingkatkan sesuai dengan tuntutan pengguna jasa perbankan di era digital yang semakin mengutamakan kemudahan dan kecepatan bertransaksi.</w:t>
      </w:r>
    </w:p>
    <w:p w14:paraId="35C785A1"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Visi :</w:t>
      </w:r>
    </w:p>
    <w:p w14:paraId="425E39F2" w14:textId="77777777" w:rsidR="00724F0B" w:rsidRPr="00C46A01" w:rsidRDefault="00724F0B" w:rsidP="00AC709C">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Kita Peduli dan Membantu Jutaan Orang untuk Mencapai Kesejahteraan. Danamon berkeyakinan bahwa keberadaannya adalah untuk mewujudkan kepeduliannya kepada nasabah, karyawan, serta masyarakat luas dan membantu kesemuanya itu bertumbuh kembang mencapai kesejahteraan yang lebih baik.</w:t>
      </w:r>
    </w:p>
    <w:p w14:paraId="33E1C531"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Misi :</w:t>
      </w:r>
    </w:p>
    <w:p w14:paraId="7756BF31"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Danamon berupaya untuk mewujudkan visinya melalui tiga misinya:</w:t>
      </w:r>
    </w:p>
    <w:p w14:paraId="55F1A533" w14:textId="77777777" w:rsidR="00724F0B" w:rsidRPr="00C46A01" w:rsidRDefault="00724F0B" w:rsidP="00095897">
      <w:pPr>
        <w:pStyle w:val="ListParagraph"/>
        <w:numPr>
          <w:ilvl w:val="0"/>
          <w:numId w:val="57"/>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Danamon bertekad untuk menjadi “Lembaga Keuangan Terkemuka di Indonesia” yang keberadaannya diperhitungkan.</w:t>
      </w:r>
    </w:p>
    <w:p w14:paraId="325B6CAC" w14:textId="77777777" w:rsidR="00724F0B" w:rsidRPr="00C46A01" w:rsidRDefault="00724F0B" w:rsidP="00095897">
      <w:pPr>
        <w:pStyle w:val="ListParagraph"/>
        <w:numPr>
          <w:ilvl w:val="0"/>
          <w:numId w:val="57"/>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Danamon berkeyakinan bahwa kekuatannya dalam intermediasi keuangan dalam perekonomian menjadikannya katalis bagi penciptaan kesejahteraan dan kemakmuran.</w:t>
      </w:r>
    </w:p>
    <w:p w14:paraId="7864BF79" w14:textId="1F394204" w:rsidR="00724F0B" w:rsidRPr="00C46A01" w:rsidRDefault="00724F0B" w:rsidP="00095897">
      <w:pPr>
        <w:pStyle w:val="ListParagraph"/>
        <w:numPr>
          <w:ilvl w:val="0"/>
          <w:numId w:val="57"/>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Untuk mengoptimalkan perannya dalam perekonomian, merupakan keharusan bagi Danamon untuk mempunyai reputasi yang baik dan memimpin di antara lembaga-lembaga keuangan lainnya</w:t>
      </w:r>
      <w:r w:rsidR="00AC709C" w:rsidRPr="00C46A01">
        <w:rPr>
          <w:rFonts w:ascii="Times New Roman" w:hAnsi="Times New Roman" w:cs="Times New Roman"/>
          <w:sz w:val="24"/>
          <w:szCs w:val="24"/>
        </w:rPr>
        <w:t>.</w:t>
      </w:r>
    </w:p>
    <w:p w14:paraId="721571F2" w14:textId="77777777" w:rsidR="00AC709C" w:rsidRPr="00C46A01" w:rsidRDefault="00AC709C" w:rsidP="00AC709C">
      <w:pPr>
        <w:pStyle w:val="ListParagraph"/>
        <w:spacing w:line="480" w:lineRule="auto"/>
        <w:ind w:left="1418"/>
        <w:jc w:val="both"/>
        <w:rPr>
          <w:rFonts w:ascii="Times New Roman" w:hAnsi="Times New Roman" w:cs="Times New Roman"/>
          <w:sz w:val="24"/>
          <w:szCs w:val="24"/>
        </w:rPr>
      </w:pPr>
    </w:p>
    <w:p w14:paraId="01C2041E" w14:textId="77777777" w:rsidR="00AC709C" w:rsidRPr="00C46A01" w:rsidRDefault="00AC709C" w:rsidP="00AC709C">
      <w:pPr>
        <w:pStyle w:val="ListParagraph"/>
        <w:spacing w:line="480" w:lineRule="auto"/>
        <w:ind w:left="1418"/>
        <w:jc w:val="both"/>
        <w:rPr>
          <w:rFonts w:ascii="Times New Roman" w:hAnsi="Times New Roman" w:cs="Times New Roman"/>
          <w:sz w:val="24"/>
          <w:szCs w:val="24"/>
        </w:rPr>
      </w:pPr>
    </w:p>
    <w:p w14:paraId="6051D98B" w14:textId="77777777" w:rsidR="00724F0B" w:rsidRPr="00C46A01" w:rsidRDefault="00724F0B" w:rsidP="00095897">
      <w:pPr>
        <w:pStyle w:val="ListParagraph"/>
        <w:numPr>
          <w:ilvl w:val="0"/>
          <w:numId w:val="50"/>
        </w:numPr>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lastRenderedPageBreak/>
        <w:t>Gambaran umum Bank Ganesha Tbk</w:t>
      </w:r>
    </w:p>
    <w:p w14:paraId="3F1399F7" w14:textId="77777777" w:rsidR="00724F0B" w:rsidRPr="00C46A01" w:rsidRDefault="00724F0B" w:rsidP="00AC709C">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PT Bank Ganesha Tbk didirikan berdasarkan Akta Notaris No. 47 tanggal 15 Mei 1990 yang dibuat di hadapan Notaris Esther Daniar Iskandar, SH dan telah mendapatkan pengesahan dari Menteri Hukum dan Hak Asasi Manusia Republik Indonesia. Bank mulai beroperasi secara komersial pada tanggal 30 April 1992, sesuai dengan izin usaha yang diberikan oleh Menteri Keuangan Republik Indonesia dalam Surat Keputusan No. 393/KMK-013/1992 tanggal 14 April 1992. Selanjutnya, pada tahun 1995, Bank Ganesha secara resmi telah menjadi bank devisa setelah memperoleh persetujuan dari Bank Indonesia berdasarkan Surat Keputusan No. 26/66/KEP/DIR tanggal 12 September 1995.</w:t>
      </w:r>
    </w:p>
    <w:p w14:paraId="6E0664DB" w14:textId="2DE5660F" w:rsidR="00724F0B" w:rsidRPr="00C46A01" w:rsidRDefault="00AC709C" w:rsidP="00AC709C">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 xml:space="preserve">Bank Ganesha </w:t>
      </w:r>
      <w:r w:rsidR="00C95CE3" w:rsidRPr="00C46A01">
        <w:rPr>
          <w:rFonts w:ascii="Times New Roman" w:hAnsi="Times New Roman" w:cs="Times New Roman"/>
          <w:sz w:val="24"/>
          <w:szCs w:val="24"/>
        </w:rPr>
        <w:t>g</w:t>
      </w:r>
      <w:r w:rsidR="00724F0B" w:rsidRPr="00C46A01">
        <w:rPr>
          <w:rFonts w:ascii="Times New Roman" w:hAnsi="Times New Roman" w:cs="Times New Roman"/>
          <w:sz w:val="24"/>
          <w:szCs w:val="24"/>
        </w:rPr>
        <w:t xml:space="preserve">una memperkuat permodalan yang diperlukan dalam ekspansi usaha, Perseroan melakukan penawaran umum perdana saham dan mencatatkan saham di Bursa Efek Indonesia pada tanggal 12 Mei 2016 dengan kode saham: BGTG. Bank Ganesha melakukan penawaran umum perdana saham kepada masyarakat sebanyak 5.372.320.000 saham dengan nilai nominal Rp100,- per saham dengan harga penawaran sebesar Rp100,- per saham. Langkah ini mengubah status Perseroan menjadi perusahaan terbuka. Bank Ganesha memiliki berbagai produk dan layanan perbankan yang komprehensif, yaitu produk simpanan dan pinjaman, layanan keuangan, e-channel, dan bancassurance. Untuk menyempurnakan produk dan layanan, Bank Ganesha juga telah meluncurkan sebuah aplikasi mobile banking bernama “BANGGA” dan layanan internet banking Bank Ganesha </w:t>
      </w:r>
      <w:r w:rsidR="00724F0B" w:rsidRPr="00C46A01">
        <w:rPr>
          <w:rFonts w:ascii="Times New Roman" w:hAnsi="Times New Roman" w:cs="Times New Roman"/>
          <w:sz w:val="24"/>
          <w:szCs w:val="24"/>
        </w:rPr>
        <w:lastRenderedPageBreak/>
        <w:t>(G-online). Sejak tahun 2019, kartu ATM Ganesha juga telah dapat melayani transaksi non tunai DEBIT di seluruh Electronic Data Capture (EDC) merchant berlogo Gerbang Pembayaran Nasional (GPN) dan Quick Response Code Indonesian Standard (QRIS).</w:t>
      </w:r>
    </w:p>
    <w:p w14:paraId="06581462"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Visi :</w:t>
      </w:r>
    </w:p>
    <w:p w14:paraId="7C129996"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Menjadi bank yang terpecaya, Bank Ganesha Tbk focus dalam melayani nasabah dengan memberikan pelayanan terbaik, solusi keuangan sesuai kebutuhan, yang pada gilirannya memberikan nilai tambah bagi seluruh stakeholders.</w:t>
      </w:r>
    </w:p>
    <w:p w14:paraId="709B1337" w14:textId="77777777" w:rsidR="00724F0B" w:rsidRPr="004D1BDD" w:rsidRDefault="00724F0B" w:rsidP="00724F0B">
      <w:pPr>
        <w:pStyle w:val="ListParagraph"/>
        <w:spacing w:line="480" w:lineRule="auto"/>
        <w:ind w:left="993"/>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Misi :</w:t>
      </w:r>
    </w:p>
    <w:p w14:paraId="083D0B69" w14:textId="77777777" w:rsidR="00724F0B" w:rsidRPr="004D1BDD" w:rsidRDefault="00724F0B" w:rsidP="00C95CE3">
      <w:pPr>
        <w:pStyle w:val="ListParagraph"/>
        <w:spacing w:line="480" w:lineRule="auto"/>
        <w:ind w:left="993" w:firstLine="447"/>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Menjalankan Usaha Perbankan yang Sehat dengan Menyediakan Produk yang Handal dan Inovatif melalui Pelayanan Prima.</w:t>
      </w:r>
    </w:p>
    <w:p w14:paraId="28EB7A50" w14:textId="77777777" w:rsidR="00724F0B" w:rsidRPr="00C46A01" w:rsidRDefault="00724F0B" w:rsidP="00095897">
      <w:pPr>
        <w:pStyle w:val="ListParagraph"/>
        <w:numPr>
          <w:ilvl w:val="0"/>
          <w:numId w:val="50"/>
        </w:numPr>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Gambaran umum Bank Ina Perdana Tbk</w:t>
      </w:r>
    </w:p>
    <w:p w14:paraId="6CC00742" w14:textId="77777777" w:rsidR="00724F0B" w:rsidRPr="004D1BDD" w:rsidRDefault="00724F0B" w:rsidP="00C95CE3">
      <w:pPr>
        <w:pStyle w:val="ListParagraph"/>
        <w:spacing w:line="480" w:lineRule="auto"/>
        <w:ind w:left="993" w:firstLine="447"/>
        <w:jc w:val="both"/>
        <w:rPr>
          <w:rFonts w:ascii="Times New Roman" w:hAnsi="Times New Roman" w:cs="Times New Roman"/>
          <w:sz w:val="24"/>
          <w:szCs w:val="24"/>
          <w:lang w:val="nl-NL"/>
        </w:rPr>
      </w:pPr>
      <w:r w:rsidRPr="00C46A01">
        <w:rPr>
          <w:rFonts w:ascii="Times New Roman" w:hAnsi="Times New Roman" w:cs="Times New Roman"/>
          <w:sz w:val="24"/>
          <w:szCs w:val="24"/>
        </w:rPr>
        <w:t xml:space="preserve">PT Bank Ina Perdana Tbk, selanjutnya disebut Bank Ina atau Bank, berdiri pada 9 Februari 1990 dan resmi beroperasi secara komersial sebagai bank umum dari Kementerian Keuangan pada 3 Juni 1991. Pada awal perjalanan bisnis tersebut, Bank Ina secara bertahap mulai memperluas jaringan kantor di beberapa kota di Pulau Jawa, serta bergabung dengan jaringan ATM Bersama. Dalam rangka mendukung strategi bisnis tersebut, Bank Ina melakukan penawaran umum saham perdana di Bursa Efek Indonesia pada 16 Januari 2014. </w:t>
      </w:r>
      <w:r w:rsidRPr="004D1BDD">
        <w:rPr>
          <w:rFonts w:ascii="Times New Roman" w:hAnsi="Times New Roman" w:cs="Times New Roman"/>
          <w:sz w:val="24"/>
          <w:szCs w:val="24"/>
          <w:lang w:val="nl-NL"/>
        </w:rPr>
        <w:t xml:space="preserve">Aksi korporasi ini juga ditujukan untuk memperkuat permodalan dan mengembangan produk dan layanan yang ditawarkan Bank. </w:t>
      </w:r>
    </w:p>
    <w:p w14:paraId="1DE351A9" w14:textId="77777777" w:rsidR="00724F0B" w:rsidRPr="00C46A01" w:rsidRDefault="00724F0B" w:rsidP="00724F0B">
      <w:pPr>
        <w:pStyle w:val="ListParagraph"/>
        <w:spacing w:line="480" w:lineRule="auto"/>
        <w:ind w:left="993" w:firstLine="447"/>
        <w:jc w:val="both"/>
        <w:rPr>
          <w:rFonts w:ascii="Times New Roman" w:hAnsi="Times New Roman" w:cs="Times New Roman"/>
          <w:sz w:val="24"/>
          <w:szCs w:val="24"/>
        </w:rPr>
      </w:pPr>
      <w:r w:rsidRPr="004D1BDD">
        <w:rPr>
          <w:rFonts w:ascii="Times New Roman" w:hAnsi="Times New Roman" w:cs="Times New Roman"/>
          <w:sz w:val="24"/>
          <w:szCs w:val="24"/>
          <w:lang w:val="nl-NL"/>
        </w:rPr>
        <w:lastRenderedPageBreak/>
        <w:t xml:space="preserve">Menyadari perkembangan perbankan yang cepat dan kebutuhan pasar yang semakin dinamis, fokus pengembangan produk dan layanan Bank Ina diarahkan pada pengoptimalan digitalisasi perbankan. </w:t>
      </w:r>
      <w:r w:rsidRPr="00C46A01">
        <w:rPr>
          <w:rFonts w:ascii="Times New Roman" w:hAnsi="Times New Roman" w:cs="Times New Roman"/>
          <w:sz w:val="24"/>
          <w:szCs w:val="24"/>
        </w:rPr>
        <w:t>Sejumlah produk digital perbankan telah diluncurkan, seperti INA Virtual Account, INA Electronic Data Capture (Ina EDC), Mobile Banking, Internet Banking Individu, dan Internet Banking Bisnis guna memudahkan transaksi nasabah. Bank Ina juga membentuk Direktorat Digital Banking untuk mengelola dan menghadirkan layanan perbankan digital bagi nasabah ritel dan usaha mikro kecil menengah (UMKM), memberikan produk dan pengalaman perbankan yang lebih baik, serta memperluas akses layanan keuangan bagi masyarakat luas. Di sisi lain, Bank Ina turut berupaya mendukung pertumbuhan bisnis yang berkualitas dan berkesinambungan dengan menjadi Bank yang memiliki struktur permodalan dan kinerja keuangan yang kuat. Upaya tersebut dibuktikan melalui pembiayaan kegiatan usaha berkelanjutan, khususnya untuk nasabah korporat, sebagai bentuk kepedulian terhadap sosial dan lingkungan yang berkelanjutan.</w:t>
      </w:r>
    </w:p>
    <w:p w14:paraId="34C07C6A"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Visi :</w:t>
      </w:r>
    </w:p>
    <w:p w14:paraId="5771B4F0"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Menjadi Bank nasional pilihan utama masyarakat.</w:t>
      </w:r>
    </w:p>
    <w:p w14:paraId="40375180"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Misi :</w:t>
      </w:r>
    </w:p>
    <w:p w14:paraId="253E6E13" w14:textId="77777777" w:rsidR="00724F0B" w:rsidRPr="00C46A01" w:rsidRDefault="00724F0B" w:rsidP="00095897">
      <w:pPr>
        <w:pStyle w:val="ListParagraph"/>
        <w:numPr>
          <w:ilvl w:val="0"/>
          <w:numId w:val="58"/>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Menunjang perekonomian Indonesia, melalui penyediaan produk dan layanan perbankan umum serta digital yang mendukung keberhasilan nasabah individu, UMKM dan Korporasi.</w:t>
      </w:r>
    </w:p>
    <w:p w14:paraId="671188D2" w14:textId="77777777" w:rsidR="00724F0B" w:rsidRPr="004D1BDD" w:rsidRDefault="00724F0B" w:rsidP="00095897">
      <w:pPr>
        <w:pStyle w:val="ListParagraph"/>
        <w:numPr>
          <w:ilvl w:val="0"/>
          <w:numId w:val="58"/>
        </w:numPr>
        <w:spacing w:line="480" w:lineRule="auto"/>
        <w:ind w:left="1418"/>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Memberikan solusi keuangan yang cepat, aman dan nyaman.</w:t>
      </w:r>
    </w:p>
    <w:p w14:paraId="26BAC9CA" w14:textId="77777777" w:rsidR="00724F0B" w:rsidRPr="00C46A01" w:rsidRDefault="00724F0B" w:rsidP="00095897">
      <w:pPr>
        <w:pStyle w:val="ListParagraph"/>
        <w:numPr>
          <w:ilvl w:val="0"/>
          <w:numId w:val="58"/>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lastRenderedPageBreak/>
        <w:t>Membangun SDM yang kompeten serta menjunjung tinggi nilai dasar Perusahaan.</w:t>
      </w:r>
    </w:p>
    <w:p w14:paraId="66DC1AA1" w14:textId="77777777" w:rsidR="00724F0B" w:rsidRPr="004D1BDD" w:rsidRDefault="00724F0B" w:rsidP="00095897">
      <w:pPr>
        <w:pStyle w:val="ListParagraph"/>
        <w:numPr>
          <w:ilvl w:val="0"/>
          <w:numId w:val="58"/>
        </w:numPr>
        <w:spacing w:line="480" w:lineRule="auto"/>
        <w:ind w:left="1418"/>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Meningkatkan nilai tambah bagi Pemegang Saham dan Pemangku Kepentingan lainnya.</w:t>
      </w:r>
    </w:p>
    <w:p w14:paraId="24F680EF" w14:textId="77777777" w:rsidR="00724F0B" w:rsidRPr="00C46A01" w:rsidRDefault="00724F0B" w:rsidP="00095897">
      <w:pPr>
        <w:pStyle w:val="ListParagraph"/>
        <w:numPr>
          <w:ilvl w:val="0"/>
          <w:numId w:val="50"/>
        </w:numPr>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 xml:space="preserve">Gambaran umum Bank </w:t>
      </w:r>
      <w:r w:rsidRPr="00C46A01">
        <w:rPr>
          <w:rFonts w:ascii="Times New Roman" w:hAnsi="Times New Roman" w:cs="Times New Roman"/>
          <w:sz w:val="24"/>
          <w:szCs w:val="24"/>
          <w:lang w:val="id-ID"/>
        </w:rPr>
        <w:t>Pembangunan Jawa Barat Dan Banten Tbk</w:t>
      </w:r>
    </w:p>
    <w:p w14:paraId="1FBD20A0"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PT Bank Pembangunan Daerah Jawa Barat dan Banten disebut bank bjb atau Perseroan didirikan berdasarkan peraturan pemerintah no. 33 Tahun 1960 tentang penentuan Perusahaan milik Belanda di Indonesia yang dikenakan nasionalisasi. Bank pernah melakukan tiga kali perubahan nama yaitu yang pertama pada tahun 1995 dengan sebutan Bank Jabar. Selanjutnya pada tahun 2007 sebutan Perseroan diubah menjadi Bank Jabar Banten yang efektif pada 26 November 2007. Terakhir pada tahun 2010 perubahan penyebutan nama Perseroan menjadi bank bjb yang efektif pada tanggal 30 April 2010.</w:t>
      </w:r>
    </w:p>
    <w:p w14:paraId="35995EC3"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 xml:space="preserve">Untuk memenuhi meningkatnya kebutuhan masyarakat akan jasa layanan perbankan yang berlandaskan syariah, sesuai dengan izin Bank Indonesia No. 2/18/DpG/DPIP Tanggal 12 April 2000 maka sejak tanggal 15 April 2000 Bank Jabar menjadi BPD pertama di Indonesia yang menjalankan dual banking system, yaitu memberikan layanan perbankan dengan sistem konvensional dan sistem syariah. Sehubungan dengan kegiatan usaha perbankan syariah, Bank Jabar Banten melakukan pemisahan (spin off) unit usaha syariah menjadi bank syariah dengan nama PT Bank Jabar Banten Syariah. Berdasarkan Akta Pendirian Perseroan Terbatas, PT </w:t>
      </w:r>
      <w:r w:rsidRPr="00C46A01">
        <w:rPr>
          <w:rFonts w:ascii="Times New Roman" w:hAnsi="Times New Roman" w:cs="Times New Roman"/>
          <w:sz w:val="24"/>
          <w:szCs w:val="24"/>
        </w:rPr>
        <w:lastRenderedPageBreak/>
        <w:t>Bank Jabar Banten Syariah No.4 tanggal 15 Januari 2010, dibuat oleh Fathiah Helmi, S.H., Notaris di Jakarta, bank bjb memiliki penyertaan sebanyak 1.980.000.000 (satu miliar sembilan ratus delapan puluh juta) saham yang merupakan 99% (sembilan puluh sembilan persen) dari seluruh saham yang telah ditempatkan dan disetor penuh dalam Anak Perusahaan. PT Bank Jabar Banten Syariah memperoleh izin usaha dari Bank Indonesia sesuai dengan Keputusan Gubernur Bank Indonesia No.12/35/KEP.GBI/2010 tanggal 30 April 2010 Tentang Pemberian Izin Usaha PT Bank Jabar Banten Syariah. Pada 8 Juli 2010 bank Bank Jabar Banten mencatatkan saham perdananya (IPO) di Bursa Efek Indonesia dengan kode saham BJBR. Pada Tahun 2021 bank bjb memiliki Perusahaan Efek Daerah Pertama. Di Tahun yang sama bank bjb menjadi Perusahaan Konglomerasi.</w:t>
      </w:r>
    </w:p>
    <w:p w14:paraId="57D52100"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Visi :</w:t>
      </w:r>
    </w:p>
    <w:p w14:paraId="265FE5C0"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Menjadi bank pilihan utama anda</w:t>
      </w:r>
    </w:p>
    <w:p w14:paraId="47FDCE0B"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Misi :</w:t>
      </w:r>
    </w:p>
    <w:p w14:paraId="6ED646EC" w14:textId="77777777" w:rsidR="00724F0B" w:rsidRPr="004D1BDD" w:rsidRDefault="00724F0B" w:rsidP="00095897">
      <w:pPr>
        <w:pStyle w:val="ListParagraph"/>
        <w:numPr>
          <w:ilvl w:val="0"/>
          <w:numId w:val="59"/>
        </w:numPr>
        <w:spacing w:line="480" w:lineRule="auto"/>
        <w:ind w:left="1418"/>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Memberikan kontribusi dan berpartisipasi sebagai penggerak dan pendorong laju perekonomian daerah.</w:t>
      </w:r>
    </w:p>
    <w:p w14:paraId="1431FF3B" w14:textId="3DEAEDF9" w:rsidR="00AC709C" w:rsidRPr="00C46A01" w:rsidRDefault="00724F0B" w:rsidP="00095897">
      <w:pPr>
        <w:pStyle w:val="ListParagraph"/>
        <w:numPr>
          <w:ilvl w:val="0"/>
          <w:numId w:val="59"/>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Menjadi partner utama pemerintah daerah dalam pengelolaan keuangan.</w:t>
      </w:r>
    </w:p>
    <w:p w14:paraId="210786EC" w14:textId="4CD5030A" w:rsidR="00724F0B" w:rsidRPr="00C46A01" w:rsidRDefault="00724F0B" w:rsidP="00095897">
      <w:pPr>
        <w:pStyle w:val="ListParagraph"/>
        <w:numPr>
          <w:ilvl w:val="0"/>
          <w:numId w:val="50"/>
        </w:numPr>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 xml:space="preserve">Gambaran umum Bank </w:t>
      </w:r>
      <w:r w:rsidR="00AC709C" w:rsidRPr="00C46A01">
        <w:rPr>
          <w:rFonts w:ascii="Times New Roman" w:hAnsi="Times New Roman" w:cs="Times New Roman"/>
          <w:sz w:val="24"/>
          <w:szCs w:val="24"/>
        </w:rPr>
        <w:t>Pembangunan Daerah Jawa Timur Tbk</w:t>
      </w:r>
    </w:p>
    <w:p w14:paraId="67AE4FEB" w14:textId="77777777" w:rsidR="00AC709C" w:rsidRPr="00C46A01" w:rsidRDefault="00AC709C"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 xml:space="preserve">PT Bank Pembangunan Daerah Jawa Timur Tbk (“Bank”) didirikan dengan nama PT Bank Pembangunan Daerah Djawa Timur pada tanggal 17 Agustus 1961 di Surabaya dengan landasan hukum pendirian berdasarkan </w:t>
      </w:r>
      <w:r w:rsidRPr="00C46A01">
        <w:rPr>
          <w:rFonts w:ascii="Times New Roman" w:hAnsi="Times New Roman" w:cs="Times New Roman"/>
          <w:sz w:val="24"/>
          <w:szCs w:val="24"/>
        </w:rPr>
        <w:lastRenderedPageBreak/>
        <w:t xml:space="preserve">akta yang dibuat oleh Notaris Anwar Mahajudin, No. 91 tanggal 17 Agustus 1961, yang dilengkapi landasan operasional Surat Keputusan Menteri Keuangan No. BUM.9-4- 5 tanggal 15 Agustus 1961. Atas dasar peraturan daerah, status Bank Pembangunan Daerah dari Perseroan Terbatas berubah menjadi Badan Usaha Milik Daerah dan perubahan nama PT Bank Pembangunan Daerah Djawa Timur diubah menjadi Bank Pembangunan Daerah Jawa Timur. </w:t>
      </w:r>
    </w:p>
    <w:p w14:paraId="253CE328" w14:textId="77777777" w:rsidR="00AC709C" w:rsidRPr="00C46A01" w:rsidRDefault="00AC709C"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Bank Jatim pernah melakukan pergantian nama sebanyak 3 (tiga) kali sejak pertama kali berdiri, dari semula bernama PT Bank Pembangunan Daerah Djawa Timur menjadi Bank Pembangunan Daerah Jawa Timur pada tahun 1976 atas dasar Peraturan Daerah No. 2 tahun 1976 tanggal 10 Juli 1976. Kemudian berubah menjadi PT Bank Pembangunan Daerah Jawa Timur berdasarkan Surat Keputusan Menteri Kehakiman RI Nomor C2-8827.HT.01.01. Th.99 tanggal 5 Mei 1999 dan Berita Negara RI tanggal 25 Mei 1999 Nomor 42 Tambahan Berita Negara RI Nomor 3008/1999. Terakhir berubah menjadi PT Bank Pembangunan Daerah Jawa Timur Tbk sesuai Surat Menteri Hukum dan HAM RI Nomor AHUAH.01.10-31887 tanggal 31 Agustus 2012 dan menjadi Perusahaan Terbuka dengan mencatatkan 20% saham di Bursa Efek Indonesia dengan Ticker Code atau Kode Saham BJTM.</w:t>
      </w:r>
    </w:p>
    <w:p w14:paraId="2BE347E1" w14:textId="77777777" w:rsidR="00AC709C" w:rsidRPr="00C46A01" w:rsidRDefault="00AC709C" w:rsidP="00AC709C">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Visi :</w:t>
      </w:r>
    </w:p>
    <w:p w14:paraId="49494E1E" w14:textId="77777777" w:rsidR="00AC709C" w:rsidRPr="00C46A01" w:rsidRDefault="00AC709C"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 xml:space="preserve">Menjadi Bank BPD yang berkontribusi signifikan bagi pertumbuhan ekonomi daerah secara berkesinambungan serta menjadi BPD yang memiliki </w:t>
      </w:r>
      <w:r w:rsidRPr="00C46A01">
        <w:rPr>
          <w:rFonts w:ascii="Times New Roman" w:hAnsi="Times New Roman" w:cs="Times New Roman"/>
          <w:sz w:val="24"/>
          <w:szCs w:val="24"/>
        </w:rPr>
        <w:lastRenderedPageBreak/>
        <w:t>keunggulan kompetitif (competitive advantage) sehingga mampu bersaing dan bahkan mengungguli bank-bank lain khususnya Bank Pembangunan Daerah.</w:t>
      </w:r>
    </w:p>
    <w:p w14:paraId="1C46A466" w14:textId="77777777" w:rsidR="00AC709C" w:rsidRPr="00C46A01" w:rsidRDefault="00AC709C" w:rsidP="00AC709C">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Misi :</w:t>
      </w:r>
    </w:p>
    <w:p w14:paraId="5D1DAC2D" w14:textId="77777777" w:rsidR="00AC709C" w:rsidRPr="00C46A01" w:rsidRDefault="00AC709C" w:rsidP="00095897">
      <w:pPr>
        <w:pStyle w:val="ListParagraph"/>
        <w:numPr>
          <w:ilvl w:val="0"/>
          <w:numId w:val="60"/>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Akselerasi kinerja dan transformasi bisnis yang sehat menuju digital bank dengan SDM yang berdaya saing tinggi.</w:t>
      </w:r>
    </w:p>
    <w:p w14:paraId="5663335B" w14:textId="77777777" w:rsidR="00AC709C" w:rsidRPr="00C46A01" w:rsidRDefault="00AC709C" w:rsidP="00095897">
      <w:pPr>
        <w:pStyle w:val="ListParagraph"/>
        <w:numPr>
          <w:ilvl w:val="0"/>
          <w:numId w:val="60"/>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Memberikan kontribusi pertumbuhan ekonomi Jawa Timur.</w:t>
      </w:r>
    </w:p>
    <w:p w14:paraId="308E8C6F" w14:textId="14BF5884" w:rsidR="00AC709C" w:rsidRPr="004D1BDD" w:rsidRDefault="00AC709C" w:rsidP="00095897">
      <w:pPr>
        <w:pStyle w:val="ListParagraph"/>
        <w:numPr>
          <w:ilvl w:val="0"/>
          <w:numId w:val="60"/>
        </w:numPr>
        <w:spacing w:line="480" w:lineRule="auto"/>
        <w:ind w:left="1418"/>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Menerapkan prinsip-prinsip keuangan berkelanjutan.</w:t>
      </w:r>
    </w:p>
    <w:p w14:paraId="4F903111" w14:textId="48D0D2D1" w:rsidR="00AC709C" w:rsidRPr="00C46A01" w:rsidRDefault="00AC709C" w:rsidP="00095897">
      <w:pPr>
        <w:pStyle w:val="ListParagraph"/>
        <w:numPr>
          <w:ilvl w:val="0"/>
          <w:numId w:val="50"/>
        </w:numPr>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Gambaran umum Bank Maspion Indonesia Tbk</w:t>
      </w:r>
    </w:p>
    <w:p w14:paraId="38CFD05F"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PT Bank Maspion Indonesia Tbk didirikan berdasarkan Akta No. 68 tanggal 6 November 1989 juncto Akta Perubahan No. 49 tanggal 5 Desember 1989, keduanya dibuat di hadapan Soetjipto, S.H., Notaris di Surabaya. Setelah memperoleh izin dari Menteri Keuangan Republik Indonesia pada tanggal 30 Juli 1990, Bank mulai beroperasi secara komersial sebagai bank umum pada 31 Agustus 1990 dan pada 28 Juli 1995 Bank menyandang status sebagai Bank Devisa.</w:t>
      </w:r>
    </w:p>
    <w:p w14:paraId="17798EAD"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 xml:space="preserve">Berdasarkan keputusan RUPSLB tanggal 2 April 2013, Bank mengubah status perusahaan menjadi perusahaan publik (terbuka) dan menawarkan 770.000.000 saham biasa kepada masyarakat dengan nilai nominal Rp. 100,- per lembar sahamnya, yang dicatatkan di Bursa Efek Indonesia tanggal 11 Juli 2013. </w:t>
      </w:r>
    </w:p>
    <w:p w14:paraId="2D63453C" w14:textId="77777777" w:rsidR="00724F0B" w:rsidRPr="00C46A01" w:rsidRDefault="00724F0B" w:rsidP="00724F0B">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 xml:space="preserve">Pada tahun 2016, Bank melaksanakan Penawaran Umum Terbatas I (“PUT I”) Dalam Rangka Penambahan Modal Dengan Memberikan Hak </w:t>
      </w:r>
      <w:r w:rsidRPr="00C46A01">
        <w:rPr>
          <w:rFonts w:ascii="Times New Roman" w:hAnsi="Times New Roman" w:cs="Times New Roman"/>
          <w:sz w:val="24"/>
          <w:szCs w:val="24"/>
        </w:rPr>
        <w:lastRenderedPageBreak/>
        <w:t>Memesan Efek Terlebih Dahulu. Selanjutnya pada tahun 2022, Bank melaksanakan Penawaran Umum Terbatas II (“PUT II”) Dalam Rangka Penambahan Modal Dengan Memberikan Hak Memesan Efek Terlebih Dahulu (“PMHMETD II”). Kasikorn Vision Financial Company Pte. Ltd. (“KVF”) sebagai anak perusahaan yang sepenuhnya dimiliki oleh Kasikornbank Public Company Limited (“KBank”) resmi menjadi pemegang saham pengendali baru PT Bank Maspion Indonesia Tbk setelah menyelesaikan akuisisi melalui pengambilan bagian atas saham baru melalui PMHMETD II sehingga KVF bersama-sama dengan Kasikornbank memiliki total 67.5% dari jumlah saham yang ditempatkan dan disetor dalam Perseroan.</w:t>
      </w:r>
    </w:p>
    <w:p w14:paraId="5463E616"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Visi :</w:t>
      </w:r>
    </w:p>
    <w:p w14:paraId="177ECB49"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Menjadi Lembaga Keuangan yang bertumbuh bersama nasabah dengan menyediakan solusi layanan perbankan berbasis teknologi dan memberikan nilai tambah kepada stakeholders.</w:t>
      </w:r>
    </w:p>
    <w:p w14:paraId="76497B92"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Misi :</w:t>
      </w:r>
    </w:p>
    <w:p w14:paraId="7C1677E3" w14:textId="77777777" w:rsidR="00724F0B" w:rsidRPr="00C46A01" w:rsidRDefault="00724F0B" w:rsidP="00095897">
      <w:pPr>
        <w:pStyle w:val="ListParagraph"/>
        <w:numPr>
          <w:ilvl w:val="0"/>
          <w:numId w:val="61"/>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Mampu bertumbuh bersama nasabah secara berkesinambungan.</w:t>
      </w:r>
    </w:p>
    <w:p w14:paraId="05023661" w14:textId="77777777" w:rsidR="00724F0B" w:rsidRPr="00C46A01" w:rsidRDefault="00724F0B" w:rsidP="00095897">
      <w:pPr>
        <w:pStyle w:val="ListParagraph"/>
        <w:numPr>
          <w:ilvl w:val="0"/>
          <w:numId w:val="61"/>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Memahami beragam kebutuhan nasabah perorangan, perusahaan serta komunitas dalam bertransaksi dengan cepat dan nyaman melalui layanan perbankan digital.</w:t>
      </w:r>
    </w:p>
    <w:p w14:paraId="40ECE4E8" w14:textId="77777777" w:rsidR="00724F0B" w:rsidRPr="00C46A01" w:rsidRDefault="00724F0B" w:rsidP="00095897">
      <w:pPr>
        <w:pStyle w:val="ListParagraph"/>
        <w:numPr>
          <w:ilvl w:val="0"/>
          <w:numId w:val="61"/>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Meningkatkan kualitas sumber daya manusia agar selaras dengan perkembangan teknologi.</w:t>
      </w:r>
    </w:p>
    <w:p w14:paraId="5B165E90" w14:textId="77777777" w:rsidR="00724F0B" w:rsidRPr="004D1BDD" w:rsidRDefault="00724F0B" w:rsidP="00095897">
      <w:pPr>
        <w:pStyle w:val="ListParagraph"/>
        <w:numPr>
          <w:ilvl w:val="0"/>
          <w:numId w:val="61"/>
        </w:numPr>
        <w:spacing w:line="480" w:lineRule="auto"/>
        <w:ind w:left="1418"/>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lastRenderedPageBreak/>
        <w:t>Meningkatkan pelaksanaan kepatuhan, manajemen risiko dan tata kelola agar dapat memberikan nilai tambah kepada stakeholders.</w:t>
      </w:r>
    </w:p>
    <w:p w14:paraId="0436A2B1" w14:textId="77777777" w:rsidR="00724F0B" w:rsidRPr="00C46A01" w:rsidRDefault="00724F0B" w:rsidP="00095897">
      <w:pPr>
        <w:pStyle w:val="ListParagraph"/>
        <w:numPr>
          <w:ilvl w:val="0"/>
          <w:numId w:val="50"/>
        </w:numPr>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Gambaran umum Bank Mandiri (Persero) Tbk</w:t>
      </w:r>
    </w:p>
    <w:p w14:paraId="3F0C14C0"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 xml:space="preserve">Bank Mandiri didirikan melalui penggabungan usaha PT Bank Bumi Daya (Persero) (BBD), PT Bank Dagang Negara (Persero) (BDN), PT Bank Ekspor Impor Indonesia (Persero) (Bank Exim) dan PT Bank Pembangunan Indonesia (Persero) (Bapindo) (selanjutnya secara bersamasama disebut “Bank Peserta Penggabungan”). Berdasarkan Pasal 3 Anggaran Dasar Bank Mandiri, ruang lingkup kegiatan Bank Mandiri adalah melakukan usaha di bidang perbankan sesuai dengan ketentuan dan peraturan perundang-undangan yang berlaku. Bank Mandiri mulai beroperasi pada tanggal 1 Agustus 1999. Entitas Induk Bank adalah Pemerintah Republik Indonesia melalui Kementerian Badan Usaha Milik Negara yang merupakan Kementerian dalam Pemerintah Indonesia yang membidangi urusan pembinaan badan usaha milik negara. </w:t>
      </w:r>
      <w:r w:rsidRPr="004D1BDD">
        <w:rPr>
          <w:rFonts w:ascii="Times New Roman" w:hAnsi="Times New Roman" w:cs="Times New Roman"/>
          <w:sz w:val="24"/>
          <w:szCs w:val="24"/>
          <w:lang w:val="nl-NL"/>
        </w:rPr>
        <w:t xml:space="preserve">Kepemilikan bank mandiri terdiri dari 52% milik pemerintah republik Indonesia dan 42% milik publik. </w:t>
      </w:r>
      <w:r w:rsidRPr="00C46A01">
        <w:rPr>
          <w:rFonts w:ascii="Times New Roman" w:hAnsi="Times New Roman" w:cs="Times New Roman"/>
          <w:sz w:val="24"/>
          <w:szCs w:val="24"/>
        </w:rPr>
        <w:t>Bank mandiri tercatat dibursa efek Indonesia (BEI) pada tanggal 14 Juli 2003.</w:t>
      </w:r>
    </w:p>
    <w:p w14:paraId="4D84E948"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Visi :</w:t>
      </w:r>
    </w:p>
    <w:p w14:paraId="7EF65FB2"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“To be your preferred financial partner” dengan penjabaran dari visi dimaksud sebagai berikut:</w:t>
      </w:r>
    </w:p>
    <w:p w14:paraId="4CC2291F" w14:textId="77777777" w:rsidR="00724F0B" w:rsidRPr="004D1BDD" w:rsidRDefault="00724F0B" w:rsidP="00095897">
      <w:pPr>
        <w:pStyle w:val="ListParagraph"/>
        <w:numPr>
          <w:ilvl w:val="0"/>
          <w:numId w:val="62"/>
        </w:numPr>
        <w:spacing w:line="480" w:lineRule="auto"/>
        <w:ind w:left="1418"/>
        <w:jc w:val="both"/>
        <w:rPr>
          <w:rFonts w:ascii="Times New Roman" w:hAnsi="Times New Roman" w:cs="Times New Roman"/>
          <w:sz w:val="24"/>
          <w:szCs w:val="24"/>
          <w:lang w:val="nl-NL"/>
        </w:rPr>
      </w:pPr>
      <w:r w:rsidRPr="00C46A01">
        <w:rPr>
          <w:rFonts w:ascii="Times New Roman" w:hAnsi="Times New Roman" w:cs="Times New Roman"/>
          <w:sz w:val="24"/>
          <w:szCs w:val="24"/>
        </w:rPr>
        <w:t xml:space="preserve">Komitmen membangun hubungan jangka panjang yang didasari atas kepercayaan baik dengan nasabah bisnis maupun perseorangan. Bank Mandiri melayani seluruh nasabah dengan standar layanan internasional </w:t>
      </w:r>
      <w:r w:rsidRPr="00C46A01">
        <w:rPr>
          <w:rFonts w:ascii="Times New Roman" w:hAnsi="Times New Roman" w:cs="Times New Roman"/>
          <w:sz w:val="24"/>
          <w:szCs w:val="24"/>
        </w:rPr>
        <w:lastRenderedPageBreak/>
        <w:t xml:space="preserve">melalui penyediaan solusi keuangan yang inovatif. </w:t>
      </w:r>
      <w:r w:rsidRPr="004D1BDD">
        <w:rPr>
          <w:rFonts w:ascii="Times New Roman" w:hAnsi="Times New Roman" w:cs="Times New Roman"/>
          <w:sz w:val="24"/>
          <w:szCs w:val="24"/>
          <w:lang w:val="nl-NL"/>
        </w:rPr>
        <w:t>Bank Mandiri ingin dikenal karena kinerja, sumber daya manusia dan kerjasama tim yang terbaik.</w:t>
      </w:r>
    </w:p>
    <w:p w14:paraId="4FB07509" w14:textId="77777777" w:rsidR="00724F0B" w:rsidRPr="004D1BDD" w:rsidRDefault="00724F0B" w:rsidP="00095897">
      <w:pPr>
        <w:pStyle w:val="ListParagraph"/>
        <w:numPr>
          <w:ilvl w:val="0"/>
          <w:numId w:val="62"/>
        </w:numPr>
        <w:spacing w:line="480" w:lineRule="auto"/>
        <w:ind w:left="1418"/>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Mengambil peran aktif dalam mendorong pertumbuhan jangka panjang Indonesia dan selalu menghasilkan imbal balik yang tinggi secara konsisten bagi pemegang saham.</w:t>
      </w:r>
    </w:p>
    <w:p w14:paraId="3F86ADE4" w14:textId="77777777" w:rsidR="00724F0B" w:rsidRPr="004D1BDD" w:rsidRDefault="00724F0B" w:rsidP="00724F0B">
      <w:pPr>
        <w:spacing w:line="480" w:lineRule="auto"/>
        <w:ind w:left="993"/>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Misi :</w:t>
      </w:r>
    </w:p>
    <w:p w14:paraId="2CC9D294" w14:textId="77777777" w:rsidR="00724F0B" w:rsidRPr="004D1BDD" w:rsidRDefault="00724F0B" w:rsidP="00724F0B">
      <w:pPr>
        <w:spacing w:line="480" w:lineRule="auto"/>
        <w:ind w:left="993"/>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Menyediakan Solusi Perbankan Digital yang Handal dan Simple yang Menjadi Bagian Hidup Nasabah. dengan penjabaran sebagai berikut:</w:t>
      </w:r>
    </w:p>
    <w:p w14:paraId="55A04DEF" w14:textId="77777777" w:rsidR="00724F0B" w:rsidRPr="00C46A01" w:rsidRDefault="00724F0B" w:rsidP="00095897">
      <w:pPr>
        <w:pStyle w:val="ListParagraph"/>
        <w:numPr>
          <w:ilvl w:val="0"/>
          <w:numId w:val="63"/>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Berorientasi pada pemenuhan kebutuhan pasar.</w:t>
      </w:r>
    </w:p>
    <w:p w14:paraId="01DA9F52" w14:textId="77777777" w:rsidR="00724F0B" w:rsidRPr="00C46A01" w:rsidRDefault="00724F0B" w:rsidP="00095897">
      <w:pPr>
        <w:pStyle w:val="ListParagraph"/>
        <w:numPr>
          <w:ilvl w:val="0"/>
          <w:numId w:val="63"/>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Mengembangkan sumber daya yang professional.</w:t>
      </w:r>
    </w:p>
    <w:p w14:paraId="3B1EC9EE" w14:textId="77777777" w:rsidR="00724F0B" w:rsidRPr="00C46A01" w:rsidRDefault="00724F0B" w:rsidP="00095897">
      <w:pPr>
        <w:pStyle w:val="ListParagraph"/>
        <w:numPr>
          <w:ilvl w:val="0"/>
          <w:numId w:val="63"/>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Memberikan manfaat maksimal kepada stakeholders.</w:t>
      </w:r>
    </w:p>
    <w:p w14:paraId="273591B2" w14:textId="77777777" w:rsidR="00724F0B" w:rsidRPr="00C46A01" w:rsidRDefault="00724F0B" w:rsidP="00095897">
      <w:pPr>
        <w:pStyle w:val="ListParagraph"/>
        <w:numPr>
          <w:ilvl w:val="0"/>
          <w:numId w:val="63"/>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Melaksanakan manajemen terbuka.</w:t>
      </w:r>
    </w:p>
    <w:p w14:paraId="4D23292A" w14:textId="77777777" w:rsidR="00724F0B" w:rsidRPr="004D1BDD" w:rsidRDefault="00724F0B" w:rsidP="00095897">
      <w:pPr>
        <w:pStyle w:val="ListParagraph"/>
        <w:numPr>
          <w:ilvl w:val="0"/>
          <w:numId w:val="63"/>
        </w:numPr>
        <w:spacing w:line="480" w:lineRule="auto"/>
        <w:ind w:left="1418"/>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Peduli terhadap kepentingan masyarakat dan mempertimbangkan kepentingan masyarakat dan lingkungan dalam setiap pengambilan keputusan.</w:t>
      </w:r>
    </w:p>
    <w:p w14:paraId="58EEFF62" w14:textId="77777777" w:rsidR="00724F0B" w:rsidRPr="00C46A01" w:rsidRDefault="00724F0B" w:rsidP="00095897">
      <w:pPr>
        <w:pStyle w:val="ListParagraph"/>
        <w:numPr>
          <w:ilvl w:val="0"/>
          <w:numId w:val="50"/>
        </w:numPr>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Gambaran umum Bank Bumi Arta Tbk</w:t>
      </w:r>
    </w:p>
    <w:p w14:paraId="63C8253F" w14:textId="77777777" w:rsidR="00724F0B" w:rsidRPr="004D1BDD" w:rsidRDefault="00724F0B" w:rsidP="00C95CE3">
      <w:pPr>
        <w:pStyle w:val="ListParagraph"/>
        <w:spacing w:line="480" w:lineRule="auto"/>
        <w:ind w:left="993" w:firstLine="447"/>
        <w:jc w:val="both"/>
        <w:rPr>
          <w:rFonts w:ascii="Times New Roman" w:hAnsi="Times New Roman" w:cs="Times New Roman"/>
          <w:sz w:val="24"/>
          <w:szCs w:val="24"/>
          <w:lang w:val="nl-NL"/>
        </w:rPr>
      </w:pPr>
      <w:r w:rsidRPr="00C46A01">
        <w:rPr>
          <w:rFonts w:ascii="Times New Roman" w:hAnsi="Times New Roman" w:cs="Times New Roman"/>
          <w:sz w:val="24"/>
          <w:szCs w:val="24"/>
        </w:rPr>
        <w:t xml:space="preserve">PT Bank Bumi Arta Tbk yang semula bernama PT Bank Bumi Arta Indonesia pertama kali didirikan di Jakarta pada tanggal 3 Maret 1967 yang telah disahkan oleh Menteri Kehakiman Republik Indonesia berdasarkan Penetapan Menteri Kehakiman Republik No. J.A.5/25/6 tanggal 25 April 1967, serta telah diumumkan pada Tambahan Berita Negara Republik </w:t>
      </w:r>
      <w:r w:rsidRPr="00C46A01">
        <w:rPr>
          <w:rFonts w:ascii="Times New Roman" w:hAnsi="Times New Roman" w:cs="Times New Roman"/>
          <w:sz w:val="24"/>
          <w:szCs w:val="24"/>
        </w:rPr>
        <w:lastRenderedPageBreak/>
        <w:t xml:space="preserve">Indonesia No. 41 tanggal 23 Mei 1967. Pada tanggal 18 September 1976 Menteri Keuangan Republik Indonesia dengan Surat Keputusan Menteri Keuangan RI No. Kep. 436/DJM/III.3/9/1976 memberikan izin kepada Bank Bumi Arta untuk menggabungkan usahanya dengan Bank Duta Nusantara. Penggabungan usaha itu bertujuan untuk memperkuat struktur permodalan dan memperluas jaringan operasional bank. Delapan Kantor Cabang Bank Duta Nusantara di Jakarta, Bandung, Semarang, Surakarta, Surabaya, Yogyakarta dan Magelang menjadi Kantor Cabang Bank Bumi Arta. </w:t>
      </w:r>
      <w:r w:rsidRPr="004D1BDD">
        <w:rPr>
          <w:rFonts w:ascii="Times New Roman" w:hAnsi="Times New Roman" w:cs="Times New Roman"/>
          <w:sz w:val="24"/>
          <w:szCs w:val="24"/>
          <w:lang w:val="nl-NL"/>
        </w:rPr>
        <w:t>Kantor Cabang Yogyakarta dan Magelang kemudian dipindahkan ke Medan dan Bandar Lampung hingga saat ini.</w:t>
      </w:r>
    </w:p>
    <w:p w14:paraId="1049C924"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4D1BDD">
        <w:rPr>
          <w:rFonts w:ascii="Times New Roman" w:hAnsi="Times New Roman" w:cs="Times New Roman"/>
          <w:sz w:val="24"/>
          <w:szCs w:val="24"/>
          <w:lang w:val="nl-NL"/>
        </w:rPr>
        <w:t xml:space="preserve">Selanjutnya seiring dengan Kebijaksanaan Pemerintah melalui Paket Oktober (PAKTO) 1988 dimana perbankan diberikan peluang yang lebih besar untuk mengembangkan usahanya, dan berkat persiapan yang cukup lama dan terarah dari pengelola Bank, maka dengan persetujuan dari Bank Indonesia berdasarkan Surat Keputusan Direksi Bank Indonesia No. 24/35/KEP/DIR tanggal 20 Agustus 1991, Bank Bumi Arta ditingkatkan statusnya menjadi Bank Devisa. </w:t>
      </w:r>
      <w:r w:rsidRPr="00C46A01">
        <w:rPr>
          <w:rFonts w:ascii="Times New Roman" w:hAnsi="Times New Roman" w:cs="Times New Roman"/>
          <w:sz w:val="24"/>
          <w:szCs w:val="24"/>
        </w:rPr>
        <w:t xml:space="preserve">Sebagai Bank Devisa, Bank Bumi Arta mulai saat itu dapat memberikan jasa layanan perbankan internasional kepada nasabah seperti Remittance, Collection, Trade Finance, dan Money Changer. Kemudian untuk memperkuat struktur permodalan dan operasional bank serta untuk lebih profesional dan transparan pada tanggal 1 Juni 2006 Bank Bumi Arta melaksanakan IPO (Initial Public Offering) dan mencatatkan sahamnya di Bursa Efek Indonesia (dahulu Bursa Efek Jakarta). </w:t>
      </w:r>
      <w:r w:rsidRPr="00C46A01">
        <w:rPr>
          <w:rFonts w:ascii="Times New Roman" w:hAnsi="Times New Roman" w:cs="Times New Roman"/>
          <w:sz w:val="24"/>
          <w:szCs w:val="24"/>
        </w:rPr>
        <w:lastRenderedPageBreak/>
        <w:t>Pada tanggal 17 November 2021 PT Takjub Finansial Teknologi menjadi salah satu pemegang saham PT Bank Bumi Arta Tbk. dengan kepemilikan saham sebesar 24,00% dan pada tanggal 08 April 2022 meningkatkan kepemilikannya menjadi sebesar 40,00% sehingga menjadi salah satu Pemegang Saham Utama/ Pengendali di PT Bank Bumi Arta Tbk.</w:t>
      </w:r>
    </w:p>
    <w:p w14:paraId="79B62917"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Visi :</w:t>
      </w:r>
    </w:p>
    <w:p w14:paraId="5C534E57"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Menjadi Bank terpercaya yang berlandaskan prinsip kehatihatian dalam memberikan pelayanan prima sehingga dapat memberikan nilai tambah bagi stakeholders.</w:t>
      </w:r>
    </w:p>
    <w:p w14:paraId="02F14A88"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Misi :</w:t>
      </w:r>
    </w:p>
    <w:p w14:paraId="7DC4FE99" w14:textId="77777777" w:rsidR="00724F0B" w:rsidRPr="00C46A01" w:rsidRDefault="00724F0B" w:rsidP="00095897">
      <w:pPr>
        <w:pStyle w:val="ListParagraph"/>
        <w:numPr>
          <w:ilvl w:val="0"/>
          <w:numId w:val="64"/>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Mengembangkan usaha perbankan secara optimal dengan berbagai sumber daya dalam batas-batas risiko yang dapat diterima.</w:t>
      </w:r>
    </w:p>
    <w:p w14:paraId="09682075" w14:textId="77777777" w:rsidR="00724F0B" w:rsidRPr="00C46A01" w:rsidRDefault="00724F0B" w:rsidP="00095897">
      <w:pPr>
        <w:pStyle w:val="ListParagraph"/>
        <w:numPr>
          <w:ilvl w:val="0"/>
          <w:numId w:val="64"/>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Melaksanakan operasi Bank dengan berprinsip Good Corporate Governance dan Risk Management.</w:t>
      </w:r>
    </w:p>
    <w:p w14:paraId="7AB1F00F" w14:textId="77777777" w:rsidR="00724F0B" w:rsidRPr="00C46A01" w:rsidRDefault="00724F0B" w:rsidP="00095897">
      <w:pPr>
        <w:pStyle w:val="ListParagraph"/>
        <w:numPr>
          <w:ilvl w:val="0"/>
          <w:numId w:val="64"/>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Memfungsikan organisasi secara professional dengan melakukan proses pengembangan sumber daya manusia yang berkelanjutan, sehingga dapat memberikan pelayanan prima yang konsisten dalam kegiatan bisnis yang bertaraf nasional maupun internasional.</w:t>
      </w:r>
    </w:p>
    <w:p w14:paraId="17535B33" w14:textId="77777777" w:rsidR="00724F0B" w:rsidRPr="00C46A01" w:rsidRDefault="00724F0B" w:rsidP="00095897">
      <w:pPr>
        <w:pStyle w:val="ListParagraph"/>
        <w:numPr>
          <w:ilvl w:val="0"/>
          <w:numId w:val="50"/>
        </w:numPr>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Gambaran umum Bank CIMB Niaga Tbk</w:t>
      </w:r>
    </w:p>
    <w:p w14:paraId="73DE6ECB"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 xml:space="preserve">PT Bank CIMB Niaga Tbk (“CIMB Niaga” atau “Bank”) berdiri pada tanggal 26 September 1955. Pada 11 November 1955, Bank memperoleh izin usaha sebagai bank umum berdasarkan Surat Keputusan Menteri Keuangan Republik Indonesia No. 249544/U.M.II. Kemudian, Bank juga </w:t>
      </w:r>
      <w:r w:rsidRPr="00C46A01">
        <w:rPr>
          <w:rFonts w:ascii="Times New Roman" w:hAnsi="Times New Roman" w:cs="Times New Roman"/>
          <w:sz w:val="24"/>
          <w:szCs w:val="24"/>
        </w:rPr>
        <w:lastRenderedPageBreak/>
        <w:t>mendapat izin sebagai bank devisa berdasarkan Surat Keputusan Direksi Bank Indonesia No. 7/116/Kep/Dir/UD tanggal 22 November 1974. Dalam perjalanan usahanya, CIMB Niaga telah dikenal luas sebagai penyedia produk dan layanan berkualitas yang terpercaya, berhasil mencatatkan sejumlah prestasi dan turut menentukan arah pengembangan industri perbankan di tanah air.</w:t>
      </w:r>
    </w:p>
    <w:p w14:paraId="374D5596" w14:textId="2C985C8F" w:rsidR="00724F0B" w:rsidRPr="004D1BDD" w:rsidRDefault="00C95CE3" w:rsidP="00C95CE3">
      <w:pPr>
        <w:pStyle w:val="ListParagraph"/>
        <w:spacing w:line="480" w:lineRule="auto"/>
        <w:ind w:left="993" w:firstLine="447"/>
        <w:jc w:val="both"/>
        <w:rPr>
          <w:rFonts w:ascii="Times New Roman" w:hAnsi="Times New Roman" w:cs="Times New Roman"/>
          <w:sz w:val="24"/>
          <w:szCs w:val="24"/>
          <w:lang w:val="nl-NL"/>
        </w:rPr>
      </w:pPr>
      <w:r w:rsidRPr="00C46A01">
        <w:rPr>
          <w:rFonts w:ascii="Times New Roman" w:hAnsi="Times New Roman" w:cs="Times New Roman"/>
          <w:sz w:val="24"/>
          <w:szCs w:val="24"/>
        </w:rPr>
        <w:t>T</w:t>
      </w:r>
      <w:r w:rsidR="00724F0B" w:rsidRPr="00C46A01">
        <w:rPr>
          <w:rFonts w:ascii="Times New Roman" w:hAnsi="Times New Roman" w:cs="Times New Roman"/>
          <w:sz w:val="24"/>
          <w:szCs w:val="24"/>
        </w:rPr>
        <w:t xml:space="preserve">ahun 1987, CIMB Niaga menjadi bank lokal pertama yang menawarkan layanan perbankan melalui mesin Automatic Teller Machine (ATM) di Indonesia. Pencapaian ini dikenal luas sebagai masuknya Indonesia ke dalam dunia perbankan modern. Pada 29 November 1989, Bank melanjutkan langkah menjadi perusahaan terbuka dengan mencatatkan saham atas namanya pada PT Bursa Efek Indonesia (dahulu PT Bursa Efek Jakarta dan PT Bursa Efek Surabaya). </w:t>
      </w:r>
      <w:r w:rsidR="00724F0B" w:rsidRPr="004D1BDD">
        <w:rPr>
          <w:rFonts w:ascii="Times New Roman" w:hAnsi="Times New Roman" w:cs="Times New Roman"/>
          <w:sz w:val="24"/>
          <w:szCs w:val="24"/>
          <w:lang w:val="nl-NL"/>
        </w:rPr>
        <w:t>Kepemimpinan dan inovasi Bank dalam penerapan teknologi terkini semakin dikenal di tahun 1991 dengan menjadi bank pertama yang memberikan layanan perbankan online.</w:t>
      </w:r>
    </w:p>
    <w:p w14:paraId="2CD92E70"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4D1BDD">
        <w:rPr>
          <w:rFonts w:ascii="Times New Roman" w:hAnsi="Times New Roman" w:cs="Times New Roman"/>
          <w:sz w:val="24"/>
          <w:szCs w:val="24"/>
          <w:lang w:val="nl-NL"/>
        </w:rPr>
        <w:t xml:space="preserve">Dalam transaksi terpisah, Khazanah yang merupakan pemilik saham mayoritas CIMB Group mengakuisisi kepemilikan mayoritas Lippo Bank pada tanggal 30 September 2005. Sebagai pemilik saham pengendali dari CIMB Niaga (melalui CIMB Group) dan Lippo Bank sejak tahun 2007, Khazanah menempuh langkah penggabungan (merger) untuk mematuhi kebijakan Single Presence Policy (SPP) yang telah ditetapkan oleh Bank Indonesia. Merger ini merupakan yang pertama di Indonesia terkait dengan kebijakan SPP. Saat ini, CIMB Niaga terus menawarkan nasabahnya </w:t>
      </w:r>
      <w:r w:rsidRPr="004D1BDD">
        <w:rPr>
          <w:rFonts w:ascii="Times New Roman" w:hAnsi="Times New Roman" w:cs="Times New Roman"/>
          <w:sz w:val="24"/>
          <w:szCs w:val="24"/>
          <w:lang w:val="nl-NL"/>
        </w:rPr>
        <w:lastRenderedPageBreak/>
        <w:t xml:space="preserve">beragam produk dan layanan perbankan yang komprehensif di Indonesia mulai dari perbankan konsumer, perbankan usaha kecil dan menengah (UKM), perbankan komersial, hingga perbankan korporasi, yang didukung dengan kapabilitas tresuri serta transaction banking dan jaringan laku pandai (branchless banking) yang mumpuni. CIMB Niaga juga memiliki produk dan layanan komersial dan syariah melalui Unit Usaha Syariah CIMB Niaga Syariah. Salah satu keunggulan CIMB Niaga adalah dalam hal transaction banking, yang menawarkan ragam produk dan layanan serta solusi yang komprehensif bagi Bank dalam mengelola operasional keuangannya baik transaksi domestik maupun cross border. </w:t>
      </w:r>
      <w:r w:rsidRPr="00C46A01">
        <w:rPr>
          <w:rFonts w:ascii="Times New Roman" w:hAnsi="Times New Roman" w:cs="Times New Roman"/>
          <w:sz w:val="24"/>
          <w:szCs w:val="24"/>
        </w:rPr>
        <w:t>Solusi ini mencakup pengelolaan produk cash management, remittance, trade finance, dan value chain.</w:t>
      </w:r>
    </w:p>
    <w:p w14:paraId="22D75B73" w14:textId="77777777" w:rsidR="00724F0B" w:rsidRPr="004D1BDD" w:rsidRDefault="00724F0B" w:rsidP="00724F0B">
      <w:pPr>
        <w:pStyle w:val="ListParagraph"/>
        <w:spacing w:line="480" w:lineRule="auto"/>
        <w:ind w:left="993"/>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Visi :</w:t>
      </w:r>
    </w:p>
    <w:p w14:paraId="3ADC1FAC" w14:textId="77777777" w:rsidR="00724F0B" w:rsidRPr="004D1BDD" w:rsidRDefault="00724F0B" w:rsidP="00724F0B">
      <w:pPr>
        <w:pStyle w:val="ListParagraph"/>
        <w:spacing w:line="480" w:lineRule="auto"/>
        <w:ind w:left="993"/>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Menjadi Perusahaan ASEAN yang terkemuka.</w:t>
      </w:r>
    </w:p>
    <w:p w14:paraId="29B7DB9C" w14:textId="77777777" w:rsidR="00724F0B" w:rsidRPr="004D1BDD" w:rsidRDefault="00724F0B" w:rsidP="00724F0B">
      <w:pPr>
        <w:pStyle w:val="ListParagraph"/>
        <w:spacing w:line="480" w:lineRule="auto"/>
        <w:ind w:left="993"/>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Misi :</w:t>
      </w:r>
    </w:p>
    <w:p w14:paraId="0D70A626" w14:textId="77777777" w:rsidR="00724F0B" w:rsidRPr="004D1BDD" w:rsidRDefault="00724F0B" w:rsidP="00C95CE3">
      <w:pPr>
        <w:pStyle w:val="ListParagraph"/>
        <w:spacing w:line="480" w:lineRule="auto"/>
        <w:ind w:left="993" w:firstLine="447"/>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Menyediakan layanan perbankan universal di Indonesia secara terpadu sebagai perusahaan dengan kinerja unggul di kawasan ASEAN dan kawasan utama lainnya, serta mendukung percepatan integrasi ASEAN dan menghubungkannya dengan kawasan lain.</w:t>
      </w:r>
    </w:p>
    <w:p w14:paraId="35A2B54E" w14:textId="77777777" w:rsidR="00724F0B" w:rsidRPr="00C46A01" w:rsidRDefault="00724F0B" w:rsidP="00095897">
      <w:pPr>
        <w:pStyle w:val="ListParagraph"/>
        <w:numPr>
          <w:ilvl w:val="0"/>
          <w:numId w:val="50"/>
        </w:numPr>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Gambaran umum Bank Maybank Indonesia Tbk</w:t>
      </w:r>
    </w:p>
    <w:p w14:paraId="3E123F56"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 xml:space="preserve">PT Bank Maybank Indonesia Tbk merupakan salah satu bank swasta terkemuka di Indonesia yang merupakan bagian dari Grup Malayan Banking Berhad (Maybank) sebagai salah satu grup penyedia layanan keuangan terbesar di ASEAN. Sebelumnya, PT Bank Maybank Indonesia Tbk </w:t>
      </w:r>
      <w:r w:rsidRPr="00C46A01">
        <w:rPr>
          <w:rFonts w:ascii="Times New Roman" w:hAnsi="Times New Roman" w:cs="Times New Roman"/>
          <w:sz w:val="24"/>
          <w:szCs w:val="24"/>
        </w:rPr>
        <w:lastRenderedPageBreak/>
        <w:t>bernama PT Bank Internasional Indonesia Tbk (BII) yang didirikan pada 15 Mei 1959, mendapatkan ijin sebagai bank devisa pada 1988 dan mencatatkan sahamnya sebagai perusahaan terbuka di Bursa Efek Jakarta dan Surabaya (sekarang telah merger menjadi Bursa Efek Indonesia) pada 1989. Pada tahun 2008, Maybank mengakuisisi BII melalui anak perusahaan yang dimiliki sepenuhnya yaitu Maybank Offshore Corporate Services (Labuan) Sdn. Bhd. (MOCS) dan Sorak Financial Holdings Pte. Ltd. (Sorak). Kemudian, melalui hasil Keputusan Rapat Umum Pemegang Saham Luar Biasa, PT Bank Internasional Indonesia Tbk tanggal 24 Agustus 2015, persetujuan Menteri Hukum dan Hak Asasi Manusia Republik Indonesia melalui Surat Keputusan Menkumham No. AHU0941203. AH.01.02 tahun 2015 tanggal 26 Agustus 2015, dan Keputusan Dewan Komisioner Otoritas Jasa Keuangan (OJK) No. 18/KDK.03/2015 tanggal 23 September 2015, BII berubah nama menjadi PT Bank Maybank Indonesia Tbk (Maybank Indonesia), mengukuhkan identitasnya sebagai entitas utuh yang tidak terpisahkan dari Grup Maybank serta senantiasa berusaha untuk menghadirkan Humanising Financial Services kepada semua pemangku kepentingan.</w:t>
      </w:r>
    </w:p>
    <w:p w14:paraId="5D14A374"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Visi :</w:t>
      </w:r>
    </w:p>
    <w:p w14:paraId="7BCF717A"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Menjadi penyedia layanan keuangan terkemuka di Indonesia, yang didukung oleh sumber daya manusia yang berkomitmen penuh dan inovatif untuk menciptakan nilai dan melayani komunitas</w:t>
      </w:r>
    </w:p>
    <w:p w14:paraId="2D316689" w14:textId="77777777" w:rsidR="00C95CE3" w:rsidRPr="00C46A01" w:rsidRDefault="00C95CE3" w:rsidP="00C95CE3">
      <w:pPr>
        <w:pStyle w:val="ListParagraph"/>
        <w:spacing w:line="480" w:lineRule="auto"/>
        <w:ind w:left="993" w:firstLine="447"/>
        <w:jc w:val="both"/>
        <w:rPr>
          <w:rFonts w:ascii="Times New Roman" w:hAnsi="Times New Roman" w:cs="Times New Roman"/>
          <w:sz w:val="24"/>
          <w:szCs w:val="24"/>
        </w:rPr>
      </w:pPr>
    </w:p>
    <w:p w14:paraId="60415B71"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lastRenderedPageBreak/>
        <w:t>Misi :</w:t>
      </w:r>
    </w:p>
    <w:p w14:paraId="465DDD49" w14:textId="77777777" w:rsidR="00724F0B" w:rsidRPr="00C46A01" w:rsidRDefault="00724F0B" w:rsidP="00095897">
      <w:pPr>
        <w:pStyle w:val="ListParagraph"/>
        <w:numPr>
          <w:ilvl w:val="0"/>
          <w:numId w:val="66"/>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Menyediakan layanan finansial yang simpel, mudah diakses dan memahami kebutuhan nasabah.</w:t>
      </w:r>
    </w:p>
    <w:p w14:paraId="19FF0E31" w14:textId="77777777" w:rsidR="00724F0B" w:rsidRPr="00C46A01" w:rsidRDefault="00724F0B" w:rsidP="00095897">
      <w:pPr>
        <w:pStyle w:val="ListParagraph"/>
        <w:numPr>
          <w:ilvl w:val="0"/>
          <w:numId w:val="66"/>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Menjadi mitra keuangan yang terpercaya untuk masa depan yang berkelanjutan.</w:t>
      </w:r>
    </w:p>
    <w:p w14:paraId="68D02B04" w14:textId="77777777" w:rsidR="00724F0B" w:rsidRPr="00C46A01" w:rsidRDefault="00724F0B" w:rsidP="00095897">
      <w:pPr>
        <w:pStyle w:val="ListParagraph"/>
        <w:numPr>
          <w:ilvl w:val="0"/>
          <w:numId w:val="66"/>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Melayani masyarakat dengan penuh hormat, jujur, adil, serta menjunjung tinggi martabat dan integritas.</w:t>
      </w:r>
    </w:p>
    <w:p w14:paraId="150F21A8" w14:textId="77777777" w:rsidR="00724F0B" w:rsidRPr="00C46A01" w:rsidRDefault="00724F0B" w:rsidP="00095897">
      <w:pPr>
        <w:pStyle w:val="ListParagraph"/>
        <w:numPr>
          <w:ilvl w:val="0"/>
          <w:numId w:val="50"/>
        </w:numPr>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Gambaran umum Bank Permata Tbk</w:t>
      </w:r>
    </w:p>
    <w:p w14:paraId="008ADE69"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 xml:space="preserve">PT Bank Permata Tbk (PermataBank/Perseroan/Bank) didirikan dengan nama PT Bank Persatuan Dagang Indonesia di Indonesia dengan Akta Pendirian No. 228 tanggal 17 Desember 1954 serta disahkan sebagai badan hukum oleh Menteri Kehakiman Republik Indonesia (sekarang Menteri Hukum dan Hak Asasi Manusia) pada tanggal 4 Januari 1955. Memperoleh izin usaha bank umum berdasarkan Surat Keputusan Menteri Keuangan No. 19371/U.M.II tanggal 19 Februari 1957 dan izin untuk menjalankan aktivitas sebagai bank devisa berdasarkan Surat Keputusan Dewan Moneter Bank Indonesia. </w:t>
      </w:r>
    </w:p>
    <w:p w14:paraId="6A831458"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 xml:space="preserve">Tahun 2002 merupakan tonggak penting dalam sejarah PermataBank. Di bawah pengawasan Badan Penyehatan Perbankan Nasional (BPPN), PT Bank Universal Tbk, PT Bank Prima Express, PT Bank Artamedia, dan PT Bank Patriot menggabungkan diri ke dalam PT Bank Bali Tbk dan selanjutnya berganti nama dari PT Bank Bali Tbk menjadi PT Bank Permata Tbk berdasarkan Akta Berita Acara Rapat Umum Pemegang Saham Luar </w:t>
      </w:r>
      <w:r w:rsidRPr="00C46A01">
        <w:rPr>
          <w:rFonts w:ascii="Times New Roman" w:hAnsi="Times New Roman" w:cs="Times New Roman"/>
          <w:sz w:val="24"/>
          <w:szCs w:val="24"/>
        </w:rPr>
        <w:lastRenderedPageBreak/>
        <w:t>Biasa No. 45 tanggal 27 September 2002, dibuat di hadapan Amrul Partomuan Pohan, S.H., L.L.M., Notaris di Jakarta.</w:t>
      </w:r>
    </w:p>
    <w:p w14:paraId="41B068A2" w14:textId="454D86CB" w:rsidR="00724F0B" w:rsidRPr="00C46A01" w:rsidRDefault="00C95CE3"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T</w:t>
      </w:r>
      <w:r w:rsidR="00724F0B" w:rsidRPr="00C46A01">
        <w:rPr>
          <w:rFonts w:ascii="Times New Roman" w:hAnsi="Times New Roman" w:cs="Times New Roman"/>
          <w:sz w:val="24"/>
          <w:szCs w:val="24"/>
        </w:rPr>
        <w:t>ahun 2004, Standard Chartered Bank dan PT Astra International Tbk mengambil alih PermataBank dan memulai transformasi organisasi. Kepemilikan gabungan pemegang saham utama ini meningkat menjadi 89,01% pada tahun 2006. Setelah melalui proses yang panjang, PermataBank mencatat sejarah baru di bulan Mei 2020 melalui akuisisi yang dilakukan oleh Bangkok Bank Public Company Limited (Bangkok Bank). Bangkok Bank resmi menjadi pemegang saham pengendali PermataBank setelah mengambil alih 89,12% saham PermataBank dari seluruh jumlah saham yang telah ditempatkan dan disetor oleh Standard Chartered Bank dan PT Astra Internasional Tbk. Diikuti dengan proses Penawaran Tender Wajib pada tahun 2020, maka kepemilikan Bangkok Bank posisi tahun buku 2021 dan 2022 menjadi sebesar 98,71%.</w:t>
      </w:r>
    </w:p>
    <w:p w14:paraId="27AAED0A" w14:textId="77777777" w:rsidR="00724F0B" w:rsidRPr="004D1BDD" w:rsidRDefault="00724F0B" w:rsidP="00724F0B">
      <w:pPr>
        <w:pStyle w:val="ListParagraph"/>
        <w:spacing w:line="480" w:lineRule="auto"/>
        <w:ind w:left="993"/>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Visi :</w:t>
      </w:r>
    </w:p>
    <w:p w14:paraId="63545878" w14:textId="77777777" w:rsidR="00724F0B" w:rsidRPr="004D1BDD" w:rsidRDefault="00724F0B" w:rsidP="00724F0B">
      <w:pPr>
        <w:pStyle w:val="ListParagraph"/>
        <w:spacing w:line="480" w:lineRule="auto"/>
        <w:ind w:left="993"/>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Menjadi bank pilihan dengan terus membina kemitraan dan menciptakan nilai bermakna bagi stakeholder.</w:t>
      </w:r>
    </w:p>
    <w:p w14:paraId="35D2EA82"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Misi :</w:t>
      </w:r>
    </w:p>
    <w:p w14:paraId="777B3AD1" w14:textId="77777777" w:rsidR="00724F0B" w:rsidRPr="00C46A01" w:rsidRDefault="00724F0B" w:rsidP="00095897">
      <w:pPr>
        <w:pStyle w:val="ListParagraph"/>
        <w:numPr>
          <w:ilvl w:val="0"/>
          <w:numId w:val="65"/>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Berperan aktif sebagai mitra di bidang keuangan dan agen pembangunan yang efisien bagi nasabah dan masyarakat.</w:t>
      </w:r>
    </w:p>
    <w:p w14:paraId="4D8C499A" w14:textId="77777777" w:rsidR="00724F0B" w:rsidRPr="00C46A01" w:rsidRDefault="00724F0B" w:rsidP="00095897">
      <w:pPr>
        <w:pStyle w:val="ListParagraph"/>
        <w:numPr>
          <w:ilvl w:val="0"/>
          <w:numId w:val="65"/>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Memberikan layanan keuangan menyeluruh secara sederhana, cepat, andal dan inovatif.</w:t>
      </w:r>
    </w:p>
    <w:p w14:paraId="19F08585" w14:textId="77777777" w:rsidR="00724F0B" w:rsidRPr="00C46A01" w:rsidRDefault="00724F0B" w:rsidP="00095897">
      <w:pPr>
        <w:pStyle w:val="ListParagraph"/>
        <w:numPr>
          <w:ilvl w:val="0"/>
          <w:numId w:val="65"/>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lastRenderedPageBreak/>
        <w:t>Berkomitmen untuk memberikan pengalaman unggul bagi pemangku kepentingan dan membangun nilai positif bagi pemegang saham.</w:t>
      </w:r>
    </w:p>
    <w:p w14:paraId="3B3EFA5C" w14:textId="77777777" w:rsidR="00724F0B" w:rsidRPr="00C46A01" w:rsidRDefault="00724F0B" w:rsidP="00095897">
      <w:pPr>
        <w:pStyle w:val="ListParagraph"/>
        <w:numPr>
          <w:ilvl w:val="0"/>
          <w:numId w:val="50"/>
        </w:numPr>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Gambaran umum Bank Sinarmas Tbk</w:t>
      </w:r>
    </w:p>
    <w:p w14:paraId="7A177A5A"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PT. Bank Sinarmas Tbk. (selanjutnya disebut “Bank Sinarmas” atau “Bank”) berdiri pada 18 Agustus 1989 dengan nama PT Bank Shinta Indonesia. Pada tahun 1995, Bank memperoleh status sebagai Bank Umum Devisa yang memberikan pelayanan perbankan terhadap transaksi valuta asing. Pada tahun 1998, Bank meningkatkan modal disetor menjadi Rp50 miliar. Kemudian pada tahun 2005, PT Sinarmas Multiartha Tbk, perusahaan financial services yang berada di bawah kelompok usaha Sinarmas mengambil alih 21% saham di PT Bank Shinta Indonesia. Dengan demikian, pada Desember 2006 Bank mengalami pergantian nama menjadi PT Bank Sinarmas. Pergantian nama itu disetujui Rapat Umum Pemegang Saham Luar Biasa yang tertuang dalam Akta No. 1 tanggal 21 November 2006.</w:t>
      </w:r>
    </w:p>
    <w:p w14:paraId="71BDD437"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 xml:space="preserve">Bank Sinarmas memperoleh izin pendirian Unit Usaha Syariah (UUS) pada 2009, berdasarkan Keputusan Deputi Gubernur Bank Indonesia No.11/13/KEP.Dpg/2009 tentang Pemberian Izin Usaha Unit Usaha Syariah (UUS) PT Bank Sinarmas. Di tahun yang sama pula, Bapepam (sekarang OJK) juga memberikan pengesahan kepada Bank untuk melakukan kegiatan usaha Wali Amanat. Pada 13 Desember 2010, Bank Sinarmas melaksanakan Penawaran Saham Umum Perdana (Initial Public Offering/IPO). </w:t>
      </w:r>
      <w:r w:rsidRPr="004D1BDD">
        <w:rPr>
          <w:rFonts w:ascii="Times New Roman" w:hAnsi="Times New Roman" w:cs="Times New Roman"/>
          <w:sz w:val="24"/>
          <w:szCs w:val="24"/>
          <w:lang w:val="nl-NL"/>
        </w:rPr>
        <w:t xml:space="preserve">Struktur permodalan Bank meningkat Rp160 miliar, dari Rp568 miliar menjadi Rp728 miliar. Pada tahun 2011, saham publik di PT. Bank Sinarmas Tbk. </w:t>
      </w:r>
      <w:r w:rsidRPr="004D1BDD">
        <w:rPr>
          <w:rFonts w:ascii="Times New Roman" w:hAnsi="Times New Roman" w:cs="Times New Roman"/>
          <w:sz w:val="24"/>
          <w:szCs w:val="24"/>
          <w:lang w:val="nl-NL"/>
        </w:rPr>
        <w:lastRenderedPageBreak/>
        <w:t xml:space="preserve">menjadi 40%. Hal ini terjadi setelah Bank melakukan Exercise Waran Seri I. Kemudian pada tahun 2012 Bank melaksanakan Penawaran Umum Terbatas I (PUT I), yang membuat penambahan modal disetor meningkat menjadi Rp1.028 miliar. Bank Sinarmas kembali melakukan aksi korporasi di tahun 2014, Saham Baru Tanpa Hak Memesan Efek Terlebih Dahulu (non HMETD) diterbitkan, dengan jumlah sebanyak 896.535.414 saham baru seharga Rp270 per saham dan total mencapai Rp242 miliar. </w:t>
      </w:r>
      <w:r w:rsidRPr="00C46A01">
        <w:rPr>
          <w:rFonts w:ascii="Times New Roman" w:hAnsi="Times New Roman" w:cs="Times New Roman"/>
          <w:sz w:val="24"/>
          <w:szCs w:val="24"/>
        </w:rPr>
        <w:t>Kemudian pada tahun 2016, penambahan modal disetor menjadi Rp1.524 miliar. Hal ini terjadi setelah Bank Sinarmas melakukan Penawaran Umum Terbatas II (PUT II).</w:t>
      </w:r>
    </w:p>
    <w:p w14:paraId="1A833632"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Visi :</w:t>
      </w:r>
    </w:p>
    <w:p w14:paraId="36C2EB84"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Menjadi Bank terkemuka di Indonesia dengan jaringan distribusi yang terintegrasi dan layanan yang prima.</w:t>
      </w:r>
    </w:p>
    <w:p w14:paraId="6ED1E823"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Misi :</w:t>
      </w:r>
    </w:p>
    <w:p w14:paraId="05C387F8" w14:textId="77777777" w:rsidR="00724F0B" w:rsidRPr="00C46A01" w:rsidRDefault="00724F0B" w:rsidP="00095897">
      <w:pPr>
        <w:pStyle w:val="ListParagraph"/>
        <w:numPr>
          <w:ilvl w:val="0"/>
          <w:numId w:val="67"/>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Membangun Layanan Keuangan yang prima guna memenuhi kebutuhan finansial masyarakat.</w:t>
      </w:r>
    </w:p>
    <w:p w14:paraId="3943F54F" w14:textId="77777777" w:rsidR="00724F0B" w:rsidRPr="00C46A01" w:rsidRDefault="00724F0B" w:rsidP="00095897">
      <w:pPr>
        <w:pStyle w:val="ListParagraph"/>
        <w:numPr>
          <w:ilvl w:val="0"/>
          <w:numId w:val="67"/>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Meningkatkan kemampuan Teknologi Informasi dan Sumber Daya Manusia dalam rangka memberikan layanan terbaik melalui payment system yang lengkap.</w:t>
      </w:r>
    </w:p>
    <w:p w14:paraId="7F26A4B9" w14:textId="77777777" w:rsidR="00724F0B" w:rsidRPr="00C46A01" w:rsidRDefault="00724F0B" w:rsidP="00095897">
      <w:pPr>
        <w:pStyle w:val="ListParagraph"/>
        <w:numPr>
          <w:ilvl w:val="0"/>
          <w:numId w:val="67"/>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Membudayakan sistem Manajemen Risiko sesuai dengan prinsip kehati-hatian dan Good Corporate Government (GCG).</w:t>
      </w:r>
    </w:p>
    <w:p w14:paraId="41D440C7" w14:textId="77777777" w:rsidR="00C95CE3" w:rsidRPr="00C46A01" w:rsidRDefault="00C95CE3" w:rsidP="00C95CE3">
      <w:pPr>
        <w:pStyle w:val="ListParagraph"/>
        <w:spacing w:line="480" w:lineRule="auto"/>
        <w:ind w:left="1418"/>
        <w:jc w:val="both"/>
        <w:rPr>
          <w:rFonts w:ascii="Times New Roman" w:hAnsi="Times New Roman" w:cs="Times New Roman"/>
          <w:sz w:val="24"/>
          <w:szCs w:val="24"/>
        </w:rPr>
      </w:pPr>
    </w:p>
    <w:p w14:paraId="74118E39" w14:textId="77777777" w:rsidR="00C95CE3" w:rsidRPr="00C46A01" w:rsidRDefault="00C95CE3" w:rsidP="00C95CE3">
      <w:pPr>
        <w:pStyle w:val="ListParagraph"/>
        <w:spacing w:line="480" w:lineRule="auto"/>
        <w:ind w:left="1418"/>
        <w:jc w:val="both"/>
        <w:rPr>
          <w:rFonts w:ascii="Times New Roman" w:hAnsi="Times New Roman" w:cs="Times New Roman"/>
          <w:sz w:val="24"/>
          <w:szCs w:val="24"/>
        </w:rPr>
      </w:pPr>
    </w:p>
    <w:p w14:paraId="2569D07F" w14:textId="77777777" w:rsidR="00724F0B" w:rsidRPr="00C46A01" w:rsidRDefault="00724F0B" w:rsidP="00095897">
      <w:pPr>
        <w:pStyle w:val="ListParagraph"/>
        <w:numPr>
          <w:ilvl w:val="0"/>
          <w:numId w:val="50"/>
        </w:numPr>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lastRenderedPageBreak/>
        <w:t xml:space="preserve">Gambaran umum </w:t>
      </w:r>
      <w:r w:rsidRPr="00C46A01">
        <w:rPr>
          <w:rFonts w:ascii="Times New Roman" w:hAnsi="Times New Roman" w:cs="Times New Roman"/>
          <w:sz w:val="24"/>
          <w:szCs w:val="24"/>
          <w:lang w:val="id-ID"/>
        </w:rPr>
        <w:t>Bank BTPN Tbk</w:t>
      </w:r>
    </w:p>
    <w:p w14:paraId="67705427"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PT Bank BTPN Tbk (“BTPN”, “Bank”) didirikan pada tahun 1958 di Bandung, Jawa Barat, Nama yang digunakan pertama kali pada tahun 1958 adalah Bank Pegawai Pensiunan Militer (Bapemil). Bapemil bertransformasi menjadi PT Bank Tabungan Pensiunan Nasional dengan izin usaha sebagai Bank Tabungan dalam rangka memenuhi ketentuan Undangundang Nomor 14 Tahun 1967 tentang Pokok-Pokok Perbankan yang berlaku pada waktu itu. BTPN resmi berdiri sebagai bank pada tahun 1993, melalui Surat Keputusan Menteri Keuangan Republik Indonesia No. 055/KM.17/1993 tanggal 22 Maret 1993. Perubahan tersebut terjadi sejalan dengan lahirnya Undang-undang Nomor 7 Tahun 1992 tentang Perbankan (sebagaimana selanjutnya diubah dengan Undang-undang Nomor 10 Tahun 1998).</w:t>
      </w:r>
    </w:p>
    <w:p w14:paraId="5B5948F6"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 xml:space="preserve">Pada usianya yang ke-50 pada tahun 2008, BTPN melakukan go public dengan melepas saham melalui penawaran umum perdana (IPO) serta mencatatkan sahamnya di Bursa Efek Jakarta yang sekarang menjadi Bursa Efek Indonesia (BEI). Tahun 2008 juga merupakan salah satu tonggak sejarah bagi BTPN, setelah TPG Nusantara S.a.r.l mengakuisisi 71,61% saham BTPN. </w:t>
      </w:r>
      <w:r w:rsidRPr="004D1BDD">
        <w:rPr>
          <w:rFonts w:ascii="Times New Roman" w:hAnsi="Times New Roman" w:cs="Times New Roman"/>
          <w:sz w:val="24"/>
          <w:szCs w:val="24"/>
          <w:lang w:val="nl-NL"/>
        </w:rPr>
        <w:t xml:space="preserve">Fokus Bank pun bertambah ke sektor Usaha Mikro Kecil dan Menengah (UMKM). BTPN melakukan transformasi lanjutan melalui melakukan merger dengan PT Bank Sumitomo Mitsui Indonesia (SMBCI) yang efektif sejak tanggal 1 Februari 2019. </w:t>
      </w:r>
      <w:r w:rsidRPr="00C46A01">
        <w:rPr>
          <w:rFonts w:ascii="Times New Roman" w:hAnsi="Times New Roman" w:cs="Times New Roman"/>
          <w:sz w:val="24"/>
          <w:szCs w:val="24"/>
        </w:rPr>
        <w:t xml:space="preserve">Sejak tahun itu, BTPN resmi beroperasi sebagai bank baru hasil penggabungan usaha. Dalam menjalankan bisnisnya, Bank menjadi bank universal yang memiliki bisnis </w:t>
      </w:r>
      <w:r w:rsidRPr="00C46A01">
        <w:rPr>
          <w:rFonts w:ascii="Times New Roman" w:hAnsi="Times New Roman" w:cs="Times New Roman"/>
          <w:sz w:val="24"/>
          <w:szCs w:val="24"/>
        </w:rPr>
        <w:lastRenderedPageBreak/>
        <w:t>lebih lengkap dan melayani nasabah lebih luas, mulai dari segmen ritel hingga korporasi.</w:t>
      </w:r>
    </w:p>
    <w:p w14:paraId="0B50FBAF"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Visi :</w:t>
      </w:r>
    </w:p>
    <w:p w14:paraId="3CD414C8"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Menjadi bank pilihan utama di Indonesia, yang dapat memberikan perubahan berarti dalam kehidupan jutaan orang, terutama dengan dukungan teknologi digital.</w:t>
      </w:r>
    </w:p>
    <w:p w14:paraId="2F2E1CF1"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Misi :</w:t>
      </w:r>
    </w:p>
    <w:p w14:paraId="17190CB0" w14:textId="77777777" w:rsidR="00724F0B" w:rsidRPr="00C46A01" w:rsidRDefault="00724F0B" w:rsidP="00095897">
      <w:pPr>
        <w:pStyle w:val="ListParagraph"/>
        <w:numPr>
          <w:ilvl w:val="0"/>
          <w:numId w:val="68"/>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Menawarkan solusi dan layanan keuangan yang lengkap ke berbagai segmen ritel, mikro, UKM dan korporat bisnis di Indonesia, serta Bangsa dan Negara Indonesia secara keseluruhan.</w:t>
      </w:r>
    </w:p>
    <w:p w14:paraId="37088C30" w14:textId="77777777" w:rsidR="00724F0B" w:rsidRPr="00C46A01" w:rsidRDefault="00724F0B" w:rsidP="00095897">
      <w:pPr>
        <w:pStyle w:val="ListParagraph"/>
        <w:numPr>
          <w:ilvl w:val="0"/>
          <w:numId w:val="68"/>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Memberikan kesempatan berharga bagi pertumbuhan profesional karyawan Bank BTPN.</w:t>
      </w:r>
    </w:p>
    <w:p w14:paraId="5DF6D584" w14:textId="77777777" w:rsidR="00724F0B" w:rsidRPr="00C46A01" w:rsidRDefault="00724F0B" w:rsidP="00095897">
      <w:pPr>
        <w:pStyle w:val="ListParagraph"/>
        <w:numPr>
          <w:ilvl w:val="0"/>
          <w:numId w:val="68"/>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Menciptakan nilai yang signifikan dan berkesinambungan bagi stakeholder termasuk masyarakat Indonesia.</w:t>
      </w:r>
    </w:p>
    <w:p w14:paraId="616A1F1D" w14:textId="77777777" w:rsidR="00724F0B" w:rsidRPr="00C46A01" w:rsidRDefault="00724F0B" w:rsidP="00095897">
      <w:pPr>
        <w:pStyle w:val="ListParagraph"/>
        <w:numPr>
          <w:ilvl w:val="0"/>
          <w:numId w:val="68"/>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Memanfaatkan inovasi teknologi sebagai pembeda utama untuk memberikan kualitas dan pengalaman terbaik di kelasnya kepada nasabah dan mitra Bank BTPN.</w:t>
      </w:r>
    </w:p>
    <w:p w14:paraId="3F388688" w14:textId="77777777" w:rsidR="00724F0B" w:rsidRPr="00C46A01" w:rsidRDefault="00724F0B" w:rsidP="00095897">
      <w:pPr>
        <w:pStyle w:val="ListParagraph"/>
        <w:numPr>
          <w:ilvl w:val="0"/>
          <w:numId w:val="50"/>
        </w:numPr>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 xml:space="preserve">Gambaran umum </w:t>
      </w:r>
      <w:r w:rsidRPr="00C46A01">
        <w:rPr>
          <w:rFonts w:ascii="Times New Roman" w:hAnsi="Times New Roman" w:cs="Times New Roman"/>
          <w:sz w:val="24"/>
          <w:szCs w:val="24"/>
          <w:lang w:val="id-ID"/>
        </w:rPr>
        <w:t>Bank Victoria Internasional Tbk</w:t>
      </w:r>
    </w:p>
    <w:p w14:paraId="768DF7EE"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 xml:space="preserve">Bank Victoria didirikan pada tanggal 28 Oktober 1992 dengan nama PT Bank Victoria dan melakukan perubahan nama menjadi PT Bank Victoria International pada tahun 1993. Bank memulai operasi sebagai bank umum secara komersial berdasarkan izin dari Menteri Keuangan Republik Indonesia pada tanggal 5 Oktober 1994. Kemudian, pada tahun 1997, Bank </w:t>
      </w:r>
      <w:r w:rsidRPr="00C46A01">
        <w:rPr>
          <w:rFonts w:ascii="Times New Roman" w:hAnsi="Times New Roman" w:cs="Times New Roman"/>
          <w:sz w:val="24"/>
          <w:szCs w:val="24"/>
        </w:rPr>
        <w:lastRenderedPageBreak/>
        <w:t>Victoria memperluas portofolio layanan dengan memperdagangkan valuta asing.</w:t>
      </w:r>
    </w:p>
    <w:p w14:paraId="3F6D4E36"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Pada tahun 1999, Bank melaksanakan penawaran umum perdana saham dan mencatatkan saham di Bursa Efek Surabaya (sekarang Bursa Efek Indonesia) dengan kode saham BVIC. Dengan demikian, sebagian saham PT Bank Victoria dimiliki oleh masyarakat umum dan berubah status menjadi PT Bank Victoria International Tbk.</w:t>
      </w:r>
    </w:p>
    <w:p w14:paraId="5F5E450F" w14:textId="77777777" w:rsidR="00724F0B" w:rsidRPr="004D1BDD" w:rsidRDefault="00724F0B" w:rsidP="00724F0B">
      <w:pPr>
        <w:pStyle w:val="ListParagraph"/>
        <w:spacing w:line="480" w:lineRule="auto"/>
        <w:ind w:left="993"/>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Visi:</w:t>
      </w:r>
    </w:p>
    <w:p w14:paraId="3E8C2951" w14:textId="77777777" w:rsidR="00724F0B" w:rsidRPr="004D1BDD" w:rsidRDefault="00724F0B" w:rsidP="00724F0B">
      <w:pPr>
        <w:pStyle w:val="ListParagraph"/>
        <w:spacing w:line="480" w:lineRule="auto"/>
        <w:ind w:left="993"/>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Menjadi bank pilihan nasabah yang terpercaya, dan efisien, dan mendukung pertumbuhan berkelanjutan.</w:t>
      </w:r>
    </w:p>
    <w:p w14:paraId="2219CC3D"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Misi :</w:t>
      </w:r>
    </w:p>
    <w:p w14:paraId="52BD0265" w14:textId="77777777" w:rsidR="00724F0B" w:rsidRPr="00C46A01" w:rsidRDefault="00724F0B" w:rsidP="00095897">
      <w:pPr>
        <w:pStyle w:val="ListParagraph"/>
        <w:numPr>
          <w:ilvl w:val="0"/>
          <w:numId w:val="69"/>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Customers, Senantiasa berupaya memenuhi kebutuhan nasabah, membina hubungan yang baik dengan nasabah, serta memberi layanan yang terbaik kepada para nasabah.</w:t>
      </w:r>
    </w:p>
    <w:p w14:paraId="3811CC69" w14:textId="77777777" w:rsidR="00724F0B" w:rsidRPr="00C46A01" w:rsidRDefault="00724F0B" w:rsidP="00095897">
      <w:pPr>
        <w:pStyle w:val="ListParagraph"/>
        <w:numPr>
          <w:ilvl w:val="0"/>
          <w:numId w:val="69"/>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People, Mengembangkan sumber daya manusia yang profesional, berprinsip, dan berdedikasi untuk memberikan layanan serta memenuhi kebutuhan nasabah.</w:t>
      </w:r>
    </w:p>
    <w:p w14:paraId="1DDBAB51" w14:textId="77777777" w:rsidR="00724F0B" w:rsidRPr="004D1BDD" w:rsidRDefault="00724F0B" w:rsidP="00095897">
      <w:pPr>
        <w:pStyle w:val="ListParagraph"/>
        <w:numPr>
          <w:ilvl w:val="0"/>
          <w:numId w:val="69"/>
        </w:numPr>
        <w:spacing w:line="480" w:lineRule="auto"/>
        <w:ind w:left="1418"/>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Operations, Menjalankan operasional perbankan dengan menerapkan prinsip kehati-hatian efisien dan berkesinambungan.</w:t>
      </w:r>
    </w:p>
    <w:p w14:paraId="0F480DBB" w14:textId="77777777" w:rsidR="00724F0B" w:rsidRPr="004D1BDD" w:rsidRDefault="00724F0B" w:rsidP="00095897">
      <w:pPr>
        <w:pStyle w:val="ListParagraph"/>
        <w:numPr>
          <w:ilvl w:val="0"/>
          <w:numId w:val="69"/>
        </w:numPr>
        <w:spacing w:line="480" w:lineRule="auto"/>
        <w:ind w:left="1418"/>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Risk Management, Mengimplementasikan proses manajemen risiko secara hati-hati dan konsisten, tanpa mengabaikan prinsipprinsip kehatian-hatian, tata kelola Bank dan keuangan berkelanjutan (sustainable finance).</w:t>
      </w:r>
    </w:p>
    <w:p w14:paraId="239751F2" w14:textId="77777777" w:rsidR="00724F0B" w:rsidRPr="00C46A01" w:rsidRDefault="00724F0B" w:rsidP="00095897">
      <w:pPr>
        <w:pStyle w:val="ListParagraph"/>
        <w:numPr>
          <w:ilvl w:val="0"/>
          <w:numId w:val="50"/>
        </w:numPr>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lastRenderedPageBreak/>
        <w:t>Gambaran umum Bank Artha Graha Internasional Tbk</w:t>
      </w:r>
    </w:p>
    <w:p w14:paraId="7F2F63A3"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PT Bank Artha Graha Internasional Tbk berkedudukan di Jakarta Selatan didirikan berdasarkan Akta Pendirian No. 12 tanggal 7 September 1973 dan Akta Perubahan No. 26 tanggal 13 Desember 1974. Pada 23 Agustus 1990, PT Inter-Pacific Financial Corporation mencatatkan saham di Bursa Efek Indonesia (d/h Bursa Efek Jakarta dan Surabaya). Selanjutnya, berdasarkan Akta No. 67 tanggal 19 Mei 1992 PT InterPacific Financial Corporation mengubah namanya menjadi PT Inter-Pacific Bank Tbk. yang sekaligus mengawali langkah Bank untuk memasuki industri perbankan setelah mendapat izin usaha melalui Surat Keputusan Menteri Keuangan Republik Indonesia No. 176/KMK.017/1993 pada tanggal 24 Februari 1993. Pada tahun 1997, Bank mengubah namanya menjadi PT Bank Inter-Pacific Tbk, berdasarkan Akta No. 44 tanggal 13 Juni 1997.</w:t>
      </w:r>
    </w:p>
    <w:p w14:paraId="580E634B"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Pada tahun 2005, PT Bank Inter-Pacific Tbk melakukan merger dengan PT Bank Artha Graha dan kemudian mengubah namanya menjadi PT Bank Artha Graha Internasional Tbk yang digunakan hingga saat ini. Aksi tersebut telah mendapatkan pernyataan efektif dari Badan Pengawas Pasar Modal dan Lembaga Keuangan (Bapepam dan LK) berdasarkan Surat Ketua Bapepam. tanggal 15 Juni 2005 tentang Pemberian Izin Penggabungan Usaha (Merger) PT Bank Artha Graha ke dalam PT Bank Inter-Pacific Tbk. Dengan demikian, izin usaha PT Bank Inter-Pacific Tbk diubah berdasarkan Surat Keputusan Gubernur Bank Indonesia No. 7/49/KEP. GBI/2005 tanggal 16 Agustus 2005 tentang Perubahan Izin Usaha atas Nama PT Bank Inter-</w:t>
      </w:r>
      <w:r w:rsidRPr="00C46A01">
        <w:rPr>
          <w:rFonts w:ascii="Times New Roman" w:hAnsi="Times New Roman" w:cs="Times New Roman"/>
          <w:sz w:val="24"/>
          <w:szCs w:val="24"/>
        </w:rPr>
        <w:lastRenderedPageBreak/>
        <w:t>Pacific Tbk menjadi Izin Usaha atas Nama PT Bank Artha Graha Internasional Tbk.</w:t>
      </w:r>
    </w:p>
    <w:p w14:paraId="3B04107C"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Bank Artha Graha Internasional menyediakan beragam produk dan layanan perbankan bagi nasabah. Selain produk simpanan, pinjaman, dan jasa perbankan, Bank juga terus melakukan inovasi pengembangan layanan digital untuk mengakomodir kebutuhan nasabah meliputi ATM Grahacash, Mobile Banking, Internet Banking, Laku Pandai serta layanan QRIS. Selain itu, Bank juga membuka peluang bisnis baru melalui kerja sama dengan mitra bisnis berbasis digital melalui implementasi layanan API (Application Programming Interface) yang terus dikembangkan untuk memenuhi kebutuhan kerja sama B2B (Business to Business) dalam rangka membentuk ekosistem digital.</w:t>
      </w:r>
    </w:p>
    <w:p w14:paraId="25F92F87"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Kegiatan Usaha Utama</w:t>
      </w:r>
    </w:p>
    <w:p w14:paraId="63A116A6" w14:textId="77777777" w:rsidR="00724F0B" w:rsidRPr="00C46A01" w:rsidRDefault="00724F0B" w:rsidP="00095897">
      <w:pPr>
        <w:pStyle w:val="ListParagraph"/>
        <w:numPr>
          <w:ilvl w:val="0"/>
          <w:numId w:val="70"/>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Menghimpun dana dari masyarakat dalam bentuk simpanan giro, deposito berjangka, sertifikat deposito, tabungan dan/atau bentuk lainnya yang dipersamakan dengan itu</w:t>
      </w:r>
    </w:p>
    <w:p w14:paraId="35EEB885" w14:textId="77777777" w:rsidR="00724F0B" w:rsidRPr="004D1BDD" w:rsidRDefault="00724F0B" w:rsidP="00095897">
      <w:pPr>
        <w:pStyle w:val="ListParagraph"/>
        <w:numPr>
          <w:ilvl w:val="0"/>
          <w:numId w:val="70"/>
        </w:numPr>
        <w:spacing w:line="480" w:lineRule="auto"/>
        <w:ind w:left="1418"/>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Memberikan kredit baik kredit jangka menengah, panjang atau pendek maupun jenis lainnya yang lazim dalam dunia perbankan</w:t>
      </w:r>
    </w:p>
    <w:p w14:paraId="22299478" w14:textId="77777777" w:rsidR="00724F0B" w:rsidRPr="00C46A01" w:rsidRDefault="00724F0B" w:rsidP="00095897">
      <w:pPr>
        <w:pStyle w:val="ListParagraph"/>
        <w:numPr>
          <w:ilvl w:val="0"/>
          <w:numId w:val="70"/>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Menerbitkan surat pengakuan utang, dll.</w:t>
      </w:r>
    </w:p>
    <w:p w14:paraId="30318461" w14:textId="77777777" w:rsidR="00724F0B" w:rsidRPr="00C46A01" w:rsidRDefault="00724F0B" w:rsidP="00724F0B">
      <w:pPr>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Visi :</w:t>
      </w:r>
    </w:p>
    <w:p w14:paraId="76B04D55" w14:textId="77777777" w:rsidR="00724F0B" w:rsidRPr="00C46A01" w:rsidRDefault="00724F0B" w:rsidP="00724F0B">
      <w:pPr>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Menjadi Institusi Keuangan Terkemuka dengan Kinerja Prima yang Berkelanjutan dan Berkontribusi dalam Pembangunan Indonesia.</w:t>
      </w:r>
    </w:p>
    <w:p w14:paraId="6493BCBF" w14:textId="77777777" w:rsidR="00724F0B" w:rsidRPr="00C46A01" w:rsidRDefault="00724F0B" w:rsidP="00724F0B">
      <w:pPr>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lastRenderedPageBreak/>
        <w:t>Misi :</w:t>
      </w:r>
    </w:p>
    <w:p w14:paraId="12BCE9CB" w14:textId="77777777" w:rsidR="00724F0B" w:rsidRPr="004D1BDD" w:rsidRDefault="00724F0B" w:rsidP="00095897">
      <w:pPr>
        <w:pStyle w:val="ListParagraph"/>
        <w:numPr>
          <w:ilvl w:val="0"/>
          <w:numId w:val="71"/>
        </w:numPr>
        <w:spacing w:line="480" w:lineRule="auto"/>
        <w:ind w:left="1418"/>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Memberikan solusi keuangan berkelanjutan yang komprehensif dan inovatif</w:t>
      </w:r>
    </w:p>
    <w:p w14:paraId="7461D4A1" w14:textId="77777777" w:rsidR="00724F0B" w:rsidRPr="004D1BDD" w:rsidRDefault="00724F0B" w:rsidP="00095897">
      <w:pPr>
        <w:pStyle w:val="ListParagraph"/>
        <w:numPr>
          <w:ilvl w:val="0"/>
          <w:numId w:val="71"/>
        </w:numPr>
        <w:spacing w:line="480" w:lineRule="auto"/>
        <w:ind w:left="1418"/>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Meningkatkan jangkauan serta kualitas pelayanan melalui digitalisasi dan inklusi keuangan.</w:t>
      </w:r>
    </w:p>
    <w:p w14:paraId="6827140E" w14:textId="77777777" w:rsidR="00724F0B" w:rsidRPr="00C46A01" w:rsidRDefault="00724F0B" w:rsidP="00095897">
      <w:pPr>
        <w:pStyle w:val="ListParagraph"/>
        <w:numPr>
          <w:ilvl w:val="0"/>
          <w:numId w:val="71"/>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Mengembangkan sumber daya manusia yang andal dan berdedikasi.</w:t>
      </w:r>
    </w:p>
    <w:p w14:paraId="3E3948C2" w14:textId="77777777" w:rsidR="00724F0B" w:rsidRPr="00C46A01" w:rsidRDefault="00724F0B" w:rsidP="00095897">
      <w:pPr>
        <w:pStyle w:val="ListParagraph"/>
        <w:numPr>
          <w:ilvl w:val="0"/>
          <w:numId w:val="71"/>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Menjalankan tata kelola perusahaan yang baik serta peduli terhadap masyarakat dan lingkungan.</w:t>
      </w:r>
    </w:p>
    <w:p w14:paraId="36A914FE" w14:textId="77777777" w:rsidR="00724F0B" w:rsidRPr="00C46A01" w:rsidRDefault="00724F0B" w:rsidP="00095897">
      <w:pPr>
        <w:pStyle w:val="ListParagraph"/>
        <w:numPr>
          <w:ilvl w:val="0"/>
          <w:numId w:val="50"/>
        </w:numPr>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 xml:space="preserve">Gambaran umum </w:t>
      </w:r>
      <w:r w:rsidRPr="00C46A01">
        <w:rPr>
          <w:rFonts w:ascii="Times New Roman" w:hAnsi="Times New Roman" w:cs="Times New Roman"/>
          <w:sz w:val="24"/>
          <w:szCs w:val="24"/>
          <w:lang w:val="id-ID"/>
        </w:rPr>
        <w:t>Bank Multiarta Sentosa Tbk</w:t>
      </w:r>
    </w:p>
    <w:p w14:paraId="0F9717F0"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lang w:val="id-ID"/>
        </w:rPr>
      </w:pPr>
      <w:r w:rsidRPr="00C46A01">
        <w:rPr>
          <w:rFonts w:ascii="Times New Roman" w:hAnsi="Times New Roman" w:cs="Times New Roman"/>
          <w:sz w:val="24"/>
          <w:szCs w:val="24"/>
          <w:lang w:val="id-ID"/>
        </w:rPr>
        <w:t xml:space="preserve">Bank memperoleh ijin usaha sebagai bank umum non devisa melalui surat keputusan menteri keuangan republik indoonesia tanggal 15 oktober 1992 dan ijin usaha perdagangan valuta asing melalui surat keputusan direksi perizinan dan informasi perbankan  bank Indonesia tanggal 24 desember 2003. Sejak berdirinya MAS berkomitmen untuk memberikan layanan yang terbaik bagi nasabah. Menjelang akhir tahun 2013 menjadi babak baru bagi bank MAS dengan masuknya bank MAS menjadi bagian dari wings group, yang merupakan salah satu grub besar di Indonesia. Jumlah modal disetor pada akhir tahun 2014 menajadi Rp. 1.055 miliar dan sudah dicatat oleh Otoritas Jasa Keuangan. Tanggal 27 desember 2012 modal inti bank maka bank MAS dikelompokan dalam buku 2 dengan masuknya bank MAS ke kategori 2, maka bank MAS dapat lebih berkembang dan memberikan layanan yang lebih luas bagi nasabahnya. Pada tahun 2021 bank MAS secara </w:t>
      </w:r>
      <w:r w:rsidRPr="00C46A01">
        <w:rPr>
          <w:rFonts w:ascii="Times New Roman" w:hAnsi="Times New Roman" w:cs="Times New Roman"/>
          <w:sz w:val="24"/>
          <w:szCs w:val="24"/>
          <w:lang w:val="id-ID"/>
        </w:rPr>
        <w:lastRenderedPageBreak/>
        <w:t>resmi mencatatkan sahamnya sebagai perusahaan terbuka di bursa efek Indonesia pada tanggal 30 juni 2021.</w:t>
      </w:r>
    </w:p>
    <w:p w14:paraId="327E067D" w14:textId="77777777" w:rsidR="00724F0B" w:rsidRPr="00C46A01" w:rsidRDefault="00724F0B" w:rsidP="00724F0B">
      <w:pPr>
        <w:pStyle w:val="ListParagraph"/>
        <w:spacing w:line="480" w:lineRule="auto"/>
        <w:ind w:left="993"/>
        <w:jc w:val="both"/>
        <w:rPr>
          <w:rFonts w:ascii="Times New Roman" w:hAnsi="Times New Roman" w:cs="Times New Roman"/>
          <w:sz w:val="24"/>
          <w:szCs w:val="24"/>
          <w:lang w:val="id-ID"/>
        </w:rPr>
      </w:pPr>
      <w:r w:rsidRPr="00C46A01">
        <w:rPr>
          <w:rFonts w:ascii="Times New Roman" w:hAnsi="Times New Roman" w:cs="Times New Roman"/>
          <w:sz w:val="24"/>
          <w:szCs w:val="24"/>
          <w:lang w:val="id-ID"/>
        </w:rPr>
        <w:t>Visi :</w:t>
      </w:r>
    </w:p>
    <w:p w14:paraId="27CBBB02" w14:textId="77777777" w:rsidR="00724F0B" w:rsidRPr="00C46A01" w:rsidRDefault="00724F0B" w:rsidP="00724F0B">
      <w:pPr>
        <w:pStyle w:val="ListParagraph"/>
        <w:spacing w:line="480" w:lineRule="auto"/>
        <w:ind w:left="993"/>
        <w:jc w:val="both"/>
        <w:rPr>
          <w:rFonts w:ascii="Times New Roman" w:hAnsi="Times New Roman" w:cs="Times New Roman"/>
          <w:sz w:val="24"/>
          <w:szCs w:val="24"/>
          <w:lang w:val="id-ID"/>
        </w:rPr>
      </w:pPr>
      <w:r w:rsidRPr="00C46A01">
        <w:rPr>
          <w:rFonts w:ascii="Times New Roman" w:hAnsi="Times New Roman" w:cs="Times New Roman"/>
          <w:sz w:val="24"/>
          <w:szCs w:val="24"/>
          <w:lang w:val="id-ID"/>
        </w:rPr>
        <w:t>Menjadi bank andalan Anda.</w:t>
      </w:r>
    </w:p>
    <w:p w14:paraId="4DD20E26" w14:textId="77777777" w:rsidR="00724F0B" w:rsidRPr="00C46A01" w:rsidRDefault="00724F0B" w:rsidP="00724F0B">
      <w:pPr>
        <w:pStyle w:val="ListParagraph"/>
        <w:spacing w:line="480" w:lineRule="auto"/>
        <w:ind w:left="993"/>
        <w:jc w:val="both"/>
        <w:rPr>
          <w:rFonts w:ascii="Times New Roman" w:hAnsi="Times New Roman" w:cs="Times New Roman"/>
          <w:sz w:val="24"/>
          <w:szCs w:val="24"/>
          <w:lang w:val="id-ID"/>
        </w:rPr>
      </w:pPr>
      <w:r w:rsidRPr="00C46A01">
        <w:rPr>
          <w:rFonts w:ascii="Times New Roman" w:hAnsi="Times New Roman" w:cs="Times New Roman"/>
          <w:sz w:val="24"/>
          <w:szCs w:val="24"/>
          <w:lang w:val="id-ID"/>
        </w:rPr>
        <w:t>Misi :</w:t>
      </w:r>
    </w:p>
    <w:p w14:paraId="0E759A27" w14:textId="77777777" w:rsidR="00724F0B" w:rsidRPr="004D1BDD" w:rsidRDefault="00724F0B" w:rsidP="00C95CE3">
      <w:pPr>
        <w:pStyle w:val="ListParagraph"/>
        <w:spacing w:line="480" w:lineRule="auto"/>
        <w:ind w:left="993" w:firstLine="447"/>
        <w:jc w:val="both"/>
        <w:rPr>
          <w:rFonts w:ascii="Times New Roman" w:hAnsi="Times New Roman" w:cs="Times New Roman"/>
          <w:sz w:val="24"/>
          <w:szCs w:val="24"/>
          <w:lang w:val="id-ID"/>
        </w:rPr>
      </w:pPr>
      <w:r w:rsidRPr="004D1BDD">
        <w:rPr>
          <w:rFonts w:ascii="Times New Roman" w:hAnsi="Times New Roman" w:cs="Times New Roman"/>
          <w:sz w:val="24"/>
          <w:szCs w:val="24"/>
          <w:lang w:val="id-ID"/>
        </w:rPr>
        <w:t>Memberikan kepuasan nasabah melalui layanan perbankan kepada sektor komersial dan personal, dengan perhatian khusus pada sektor usaha kecil, menengah dan mikro dengan layanan perbankan konvensional, dan layanan digital untuk kebutuhan usaha dan kebutuhan personal sehari-hari dengan mempertimbangkan kesinambungan pertumbuhan yang seimbang antara pertumbuhan bisnis, lingkungan dan inklusivitas layanan perbankan.</w:t>
      </w:r>
    </w:p>
    <w:p w14:paraId="50A7958C" w14:textId="77777777" w:rsidR="00724F0B" w:rsidRPr="00C46A01" w:rsidRDefault="00724F0B" w:rsidP="00095897">
      <w:pPr>
        <w:pStyle w:val="ListParagraph"/>
        <w:numPr>
          <w:ilvl w:val="0"/>
          <w:numId w:val="50"/>
        </w:numPr>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Gambaran umum Bank Mayapada Internasional Tbk</w:t>
      </w:r>
    </w:p>
    <w:p w14:paraId="4820EB5C"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 xml:space="preserve">PT Bank Mayapada International didirikan pada tanggal 7 September 1989, dan selanjutnya bank diakui secara hukum oleh Menteri Kehakiman Republik Indonesia pada 10 Januari 1990. Pada 16 Maret 1990, Bank mengawali kegiatan operasi secara komersial dan mendapatkan izin dari Menteri Keuangan Republik Indonesia untuk menjadi bank umum. Berdasarkan surat izin dari Bank Indonesia pada 1 Juni 1993, Bank dinyatakan sebagai bank devisa. Berdasarkan Akta No. 104, pada tanggal 22 Desember 1995, Bank mengubah nama dari PT Bank Mayapada International menjadi PT Bank Mayapada Internasional. Untuk meningkatkan modal usaha, pada tanggal 10 Juni 1997, Bank melakukan go public dan mendaftar ke Bursa Efek Indonesia dengan kode saham ‘MAYA’. </w:t>
      </w:r>
      <w:r w:rsidRPr="00C46A01">
        <w:rPr>
          <w:rFonts w:ascii="Times New Roman" w:hAnsi="Times New Roman" w:cs="Times New Roman"/>
          <w:sz w:val="24"/>
          <w:szCs w:val="24"/>
        </w:rPr>
        <w:lastRenderedPageBreak/>
        <w:t xml:space="preserve">Saat ini, Bank lebih dikenal oleh masyarakat luas sebagai PT Bank Mayapada Internasional Tbk atau ‘Bank Mayapada’. </w:t>
      </w:r>
    </w:p>
    <w:p w14:paraId="31F1F78C"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Kegiatan utama Bank Mayapada adalah menghimpun dana masyarakat dan menyalurkan dana tersebut melalui pinjaman dalam bentuk fasilitas kredit. Bank terus melakukan perbaikan (continuous improvement), baik dari sisi sumber daya, kualitas produk dan jasa keuangan, maupun permodalan untuk mencapai visi dan misi. Bank juga melakukan peningkatan mutu operasionalnya untuk memenuhi kebutuhan nasabah sesuai standar internasional. Sejak tahun 2021, Bank melakukan penilaian atas sistem manajemen mutu atas layanan keuangan berdasarkan ISO 9001 yang dilakukan minimal 1 kali dalam setahun. Sertifikasi sistem manajemen mutu yang terbaru, yakni Sertifikat ISO 9001:2015 terbaru berlaku dari 3 Januari 2022 hingga 7 Agustus 2025.</w:t>
      </w:r>
    </w:p>
    <w:p w14:paraId="2AB28882"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Visi :</w:t>
      </w:r>
    </w:p>
    <w:p w14:paraId="1E2BA41E"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Menjadi salah satu bank swasta berkualitas di Indonesia dalam nilai aset, profitabilitas, dan tingkat kesehatan.</w:t>
      </w:r>
    </w:p>
    <w:p w14:paraId="0B43D1EB"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Misi :</w:t>
      </w:r>
    </w:p>
    <w:p w14:paraId="43D8CEA1"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Menjalankan operasional bank yang sehat dan memberikan nilai tambah maksimal kepada nasabah, karyawan, pemegang saham, dan pemerintah.</w:t>
      </w:r>
    </w:p>
    <w:p w14:paraId="6F7BE169" w14:textId="77777777" w:rsidR="00724F0B" w:rsidRPr="00C46A01" w:rsidRDefault="00724F0B" w:rsidP="00095897">
      <w:pPr>
        <w:pStyle w:val="ListParagraph"/>
        <w:numPr>
          <w:ilvl w:val="0"/>
          <w:numId w:val="50"/>
        </w:numPr>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 xml:space="preserve">Gambaran umum </w:t>
      </w:r>
      <w:r w:rsidRPr="00C46A01">
        <w:rPr>
          <w:rFonts w:ascii="Times New Roman" w:hAnsi="Times New Roman" w:cs="Times New Roman"/>
          <w:sz w:val="24"/>
          <w:szCs w:val="24"/>
          <w:lang w:val="id-ID"/>
        </w:rPr>
        <w:t>Bank China Construction Bank Indonesia Tbk</w:t>
      </w:r>
    </w:p>
    <w:p w14:paraId="7E835AB3"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 xml:space="preserve">PT Bank China Construction Bank Indonesia Tbk (“CCB Indonesia”) adalah Bank Umum Devisa yang tercatat di Bursa Efek Indonesia (BEI), dan merupakan hasil merger antara PT Bank Windu Kentjana International Tbk </w:t>
      </w:r>
      <w:r w:rsidRPr="00C46A01">
        <w:rPr>
          <w:rFonts w:ascii="Times New Roman" w:hAnsi="Times New Roman" w:cs="Times New Roman"/>
          <w:sz w:val="24"/>
          <w:szCs w:val="24"/>
        </w:rPr>
        <w:lastRenderedPageBreak/>
        <w:t>(“Bank Windu”) dan PT Bank Antardaerah (“Bank Anda”) pada 30 November 2016. Sebelumnya PT Bank Windu Kentjana International Tbk (“Bank Windu”) jugamerupakan bank hasil penggabungan (merger) antara PT Bank Multicor Tbk dan PT Bank Windu Kentjana (BWK) pada tanggal 8 Januari 2008.</w:t>
      </w:r>
    </w:p>
    <w:p w14:paraId="103B720D"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PT Bank Windu Kentjana (BWK) pada awalnya dibentuk pada tanggal 26 Mei 1967 oleh 3 (tiga) yayasan sosialsebagai pendirinya yaitu Yayasan Dharma Putra Kostrad, Yayasan Bantuan Beasiswa Yatim Piatu Trikora dan Yayasan Djajakarta. Pada tahun 1978, kepemilikan beralih kepada keluarga Salim (Grup Salim). Sementara Multicorsemula dikenal dengan nama PT Multinational Finance Corporation didirikan tahun 1974 dalam bentuk Lembaga Keuangan Bukan Bank (LKBB), merupakan suatu konsorsium (joint venture) dari bank domestik dengan bank-bank internasional yaitu Royal Bank of Scotland, BCA, LTCB Japan, Jardine Fleming, Chemical Bank dan Asia Insurance. Pada tahun 1993 berubah statusnya menjadi Bank Multicor. Latar belakang perubahan nama Perseroan ini terkait dengan masuknya pemegang saham pengendali baru yaitu China Construction Bank Corporation (“CCB”) yang saat ini telah memiliki 60% (enam puluh persen) saham Perseroan.</w:t>
      </w:r>
    </w:p>
    <w:p w14:paraId="53931B49"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Kegiatan Usaha Utama</w:t>
      </w:r>
    </w:p>
    <w:p w14:paraId="4D8AB30F" w14:textId="77777777" w:rsidR="00724F0B" w:rsidRPr="00C46A01" w:rsidRDefault="00724F0B" w:rsidP="00095897">
      <w:pPr>
        <w:pStyle w:val="ListParagraph"/>
        <w:numPr>
          <w:ilvl w:val="0"/>
          <w:numId w:val="72"/>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Menghimpun dana dari masyarakat dalam bentuk simpanan giro, deposito berjangka, sertifikat deposito, tabungan dan/ atau bentuk lainnya yang dipersamakan dengan itu;</w:t>
      </w:r>
    </w:p>
    <w:p w14:paraId="5D0423BC" w14:textId="77777777" w:rsidR="00724F0B" w:rsidRPr="004D1BDD" w:rsidRDefault="00724F0B" w:rsidP="00095897">
      <w:pPr>
        <w:pStyle w:val="ListParagraph"/>
        <w:numPr>
          <w:ilvl w:val="0"/>
          <w:numId w:val="72"/>
        </w:numPr>
        <w:spacing w:line="480" w:lineRule="auto"/>
        <w:ind w:left="1418"/>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lastRenderedPageBreak/>
        <w:t>Memberikan kredit baik kredit jangka menengah, Panjang atau pendek maupun jenis lainnya yang lazim dalam dunia perbankan</w:t>
      </w:r>
    </w:p>
    <w:p w14:paraId="02DBC29C" w14:textId="77777777" w:rsidR="00724F0B" w:rsidRPr="00C46A01" w:rsidRDefault="00724F0B" w:rsidP="00095897">
      <w:pPr>
        <w:pStyle w:val="ListParagraph"/>
        <w:numPr>
          <w:ilvl w:val="0"/>
          <w:numId w:val="72"/>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Menerbitkan surat pengakuan hutang.</w:t>
      </w:r>
    </w:p>
    <w:p w14:paraId="43C58FF2" w14:textId="77777777" w:rsidR="00724F0B" w:rsidRPr="00C46A01" w:rsidRDefault="00724F0B" w:rsidP="00095897">
      <w:pPr>
        <w:pStyle w:val="ListParagraph"/>
        <w:numPr>
          <w:ilvl w:val="0"/>
          <w:numId w:val="50"/>
        </w:numPr>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 xml:space="preserve">Gambaran umum </w:t>
      </w:r>
      <w:r w:rsidRPr="00C46A01">
        <w:rPr>
          <w:rFonts w:ascii="Times New Roman" w:hAnsi="Times New Roman" w:cs="Times New Roman"/>
          <w:sz w:val="24"/>
          <w:szCs w:val="24"/>
          <w:lang w:val="id-ID"/>
        </w:rPr>
        <w:t>Bank Mega Tbk</w:t>
      </w:r>
    </w:p>
    <w:p w14:paraId="0D301661" w14:textId="77777777" w:rsidR="00724F0B" w:rsidRPr="004D1BDD" w:rsidRDefault="00724F0B" w:rsidP="00C95CE3">
      <w:pPr>
        <w:pStyle w:val="ListParagraph"/>
        <w:spacing w:line="480" w:lineRule="auto"/>
        <w:ind w:left="993" w:firstLine="447"/>
        <w:jc w:val="both"/>
        <w:rPr>
          <w:rFonts w:ascii="Times New Roman" w:hAnsi="Times New Roman" w:cs="Times New Roman"/>
          <w:sz w:val="24"/>
          <w:szCs w:val="24"/>
          <w:lang w:val="nl-NL"/>
        </w:rPr>
      </w:pPr>
      <w:r w:rsidRPr="00C46A01">
        <w:rPr>
          <w:rFonts w:ascii="Times New Roman" w:hAnsi="Times New Roman" w:cs="Times New Roman"/>
          <w:sz w:val="24"/>
          <w:szCs w:val="24"/>
        </w:rPr>
        <w:t xml:space="preserve">Bank Mega berdiri berdasarkan Akta Pendirian PT Bank Karman No.32 tanggal 15 April 1969 juncto akta perubahan No.47 tanggal 26 November 1969 di Surabaya dengan nama PT Bank Karman. </w:t>
      </w:r>
      <w:r w:rsidRPr="004D1BDD">
        <w:rPr>
          <w:rFonts w:ascii="Times New Roman" w:hAnsi="Times New Roman" w:cs="Times New Roman"/>
          <w:sz w:val="24"/>
          <w:szCs w:val="24"/>
          <w:lang w:val="nl-NL"/>
        </w:rPr>
        <w:t>Pada tahun 1992 Bank Karman merelokasi kantor pusatnya ke Jakarta dan mengubah nama menjadi PT Mega Bank. Pada tahun 1996, PARA Group, yang terdiri dari PT Para Global Investindo dan PT Para Rekan Investama (kemudian berubah nama menjadi PT CT Corpora atau “CT Corp), sebuah holding company yang kini dimiliki pengusaha nasional, Chairul Tanjung, mengambil alih kepemilikan Bank Mega (saat itu bernama PT Mega Bank).</w:t>
      </w:r>
    </w:p>
    <w:p w14:paraId="08D73B18" w14:textId="77777777" w:rsidR="00724F0B" w:rsidRPr="004D1BDD" w:rsidRDefault="00724F0B" w:rsidP="00C95CE3">
      <w:pPr>
        <w:pStyle w:val="ListParagraph"/>
        <w:spacing w:line="480" w:lineRule="auto"/>
        <w:ind w:left="993" w:firstLine="447"/>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Dalam rangka memperkuat struktur permodalan maka pada tahun 2000, Bank Mega melaksanakan Initial Public Offering dan mencatatkan sahamnya di Bursa Efek Indonesia (d/h Bursa Efek Jakarta dan Bursa Efek Surabaya) dengan kode saham MEGA. Dengan demikian sebagian saham PT Bank Mega dimiliki oleh masyarakat umum dan berubah namanya menjadi PT Bank Mega, Tbk. Saat ini pemegang saham mayoritas Bank Mega adalah PT Mega Corpora yang merupakan holding company (perusahaan induk) untuk seluruh perusahaan di bidang keuangan di bawah kelompok usaha CT Corp</w:t>
      </w:r>
    </w:p>
    <w:p w14:paraId="4402AF81"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Kegiatan usaha utama</w:t>
      </w:r>
    </w:p>
    <w:p w14:paraId="3613D303" w14:textId="77777777" w:rsidR="00724F0B" w:rsidRPr="00C46A01" w:rsidRDefault="00724F0B" w:rsidP="00095897">
      <w:pPr>
        <w:pStyle w:val="ListParagraph"/>
        <w:numPr>
          <w:ilvl w:val="0"/>
          <w:numId w:val="73"/>
        </w:numPr>
        <w:spacing w:line="480" w:lineRule="auto"/>
        <w:ind w:left="1418"/>
        <w:jc w:val="both"/>
        <w:rPr>
          <w:rFonts w:ascii="Times New Roman" w:hAnsi="Times New Roman" w:cs="Times New Roman"/>
          <w:sz w:val="24"/>
          <w:szCs w:val="24"/>
          <w:lang w:val="id-ID"/>
        </w:rPr>
      </w:pPr>
      <w:r w:rsidRPr="00C46A01">
        <w:rPr>
          <w:rFonts w:ascii="Times New Roman" w:hAnsi="Times New Roman" w:cs="Times New Roman"/>
          <w:sz w:val="24"/>
          <w:szCs w:val="24"/>
        </w:rPr>
        <w:lastRenderedPageBreak/>
        <w:t>Menghimpun dana dari masyarakat dalam bentuk simpanan berupa giro, deposito berjangka, sertifikat deposito, tabungan dan atau bentuk lainnya yang dipersamakan dengan itu.</w:t>
      </w:r>
    </w:p>
    <w:p w14:paraId="3192EA30" w14:textId="77777777" w:rsidR="00724F0B" w:rsidRPr="00C46A01" w:rsidRDefault="00724F0B" w:rsidP="00095897">
      <w:pPr>
        <w:pStyle w:val="ListParagraph"/>
        <w:numPr>
          <w:ilvl w:val="0"/>
          <w:numId w:val="73"/>
        </w:numPr>
        <w:spacing w:line="480" w:lineRule="auto"/>
        <w:ind w:left="1418"/>
        <w:jc w:val="both"/>
        <w:rPr>
          <w:rFonts w:ascii="Times New Roman" w:hAnsi="Times New Roman" w:cs="Times New Roman"/>
          <w:sz w:val="24"/>
          <w:szCs w:val="24"/>
          <w:lang w:val="id-ID"/>
        </w:rPr>
      </w:pPr>
      <w:r w:rsidRPr="00C46A01">
        <w:rPr>
          <w:rFonts w:ascii="Times New Roman" w:hAnsi="Times New Roman" w:cs="Times New Roman"/>
          <w:sz w:val="24"/>
          <w:szCs w:val="24"/>
        </w:rPr>
        <w:t>Memberikan kredit.</w:t>
      </w:r>
    </w:p>
    <w:p w14:paraId="6C2F13F1" w14:textId="77777777" w:rsidR="00724F0B" w:rsidRPr="00C46A01" w:rsidRDefault="00724F0B" w:rsidP="00095897">
      <w:pPr>
        <w:pStyle w:val="ListParagraph"/>
        <w:numPr>
          <w:ilvl w:val="0"/>
          <w:numId w:val="73"/>
        </w:numPr>
        <w:spacing w:line="480" w:lineRule="auto"/>
        <w:ind w:left="1418"/>
        <w:jc w:val="both"/>
        <w:rPr>
          <w:rFonts w:ascii="Times New Roman" w:hAnsi="Times New Roman" w:cs="Times New Roman"/>
          <w:sz w:val="24"/>
          <w:szCs w:val="24"/>
          <w:lang w:val="id-ID"/>
        </w:rPr>
      </w:pPr>
      <w:r w:rsidRPr="00C46A01">
        <w:rPr>
          <w:rFonts w:ascii="Times New Roman" w:hAnsi="Times New Roman" w:cs="Times New Roman"/>
          <w:sz w:val="24"/>
          <w:szCs w:val="24"/>
        </w:rPr>
        <w:t>Menerbitkan surat pengakuan berhutang.</w:t>
      </w:r>
    </w:p>
    <w:p w14:paraId="651D02F4" w14:textId="77777777" w:rsidR="00724F0B" w:rsidRPr="00C46A01" w:rsidRDefault="00724F0B" w:rsidP="00095897">
      <w:pPr>
        <w:pStyle w:val="ListParagraph"/>
        <w:numPr>
          <w:ilvl w:val="0"/>
          <w:numId w:val="73"/>
        </w:numPr>
        <w:spacing w:line="480" w:lineRule="auto"/>
        <w:ind w:left="1418"/>
        <w:jc w:val="both"/>
        <w:rPr>
          <w:rFonts w:ascii="Times New Roman" w:hAnsi="Times New Roman" w:cs="Times New Roman"/>
          <w:sz w:val="24"/>
          <w:szCs w:val="24"/>
          <w:lang w:val="id-ID"/>
        </w:rPr>
      </w:pPr>
      <w:r w:rsidRPr="00C46A01">
        <w:rPr>
          <w:rFonts w:ascii="Times New Roman" w:hAnsi="Times New Roman" w:cs="Times New Roman"/>
          <w:sz w:val="24"/>
          <w:szCs w:val="24"/>
        </w:rPr>
        <w:t>Membeli, menjual dan menjamin atas resiko sendiri maupun untuk kepentingan dan atas perintah nasabahnya.</w:t>
      </w:r>
    </w:p>
    <w:p w14:paraId="250734F7" w14:textId="77777777" w:rsidR="00724F0B" w:rsidRPr="00C46A01" w:rsidRDefault="00724F0B" w:rsidP="00724F0B">
      <w:pPr>
        <w:pStyle w:val="ListParagraph"/>
        <w:spacing w:line="480" w:lineRule="auto"/>
        <w:ind w:left="993"/>
        <w:jc w:val="both"/>
        <w:rPr>
          <w:rFonts w:ascii="Times New Roman" w:hAnsi="Times New Roman" w:cs="Times New Roman"/>
          <w:sz w:val="24"/>
          <w:szCs w:val="24"/>
          <w:lang w:val="id-ID"/>
        </w:rPr>
      </w:pPr>
      <w:r w:rsidRPr="00C46A01">
        <w:rPr>
          <w:rFonts w:ascii="Times New Roman" w:hAnsi="Times New Roman" w:cs="Times New Roman"/>
          <w:sz w:val="24"/>
          <w:szCs w:val="24"/>
          <w:lang w:val="id-ID"/>
        </w:rPr>
        <w:t>Visi :</w:t>
      </w:r>
    </w:p>
    <w:p w14:paraId="2087B7E8" w14:textId="77777777" w:rsidR="00724F0B" w:rsidRPr="00C46A01" w:rsidRDefault="00724F0B" w:rsidP="00724F0B">
      <w:pPr>
        <w:pStyle w:val="ListParagraph"/>
        <w:spacing w:line="480" w:lineRule="auto"/>
        <w:ind w:left="993"/>
        <w:jc w:val="both"/>
        <w:rPr>
          <w:rFonts w:ascii="Times New Roman" w:hAnsi="Times New Roman" w:cs="Times New Roman"/>
          <w:sz w:val="24"/>
          <w:szCs w:val="24"/>
          <w:lang w:val="id-ID"/>
        </w:rPr>
      </w:pPr>
      <w:r w:rsidRPr="00C46A01">
        <w:rPr>
          <w:rFonts w:ascii="Times New Roman" w:hAnsi="Times New Roman" w:cs="Times New Roman"/>
          <w:sz w:val="24"/>
          <w:szCs w:val="24"/>
        </w:rPr>
        <w:t>Menjadi Kebanggaan Bangsa</w:t>
      </w:r>
    </w:p>
    <w:p w14:paraId="11A70066" w14:textId="77777777" w:rsidR="00724F0B" w:rsidRPr="00C46A01" w:rsidRDefault="00724F0B" w:rsidP="00724F0B">
      <w:pPr>
        <w:pStyle w:val="ListParagraph"/>
        <w:spacing w:line="480" w:lineRule="auto"/>
        <w:ind w:left="993"/>
        <w:jc w:val="both"/>
        <w:rPr>
          <w:rFonts w:ascii="Times New Roman" w:hAnsi="Times New Roman" w:cs="Times New Roman"/>
          <w:sz w:val="24"/>
          <w:szCs w:val="24"/>
          <w:lang w:val="id-ID"/>
        </w:rPr>
      </w:pPr>
      <w:r w:rsidRPr="00C46A01">
        <w:rPr>
          <w:rFonts w:ascii="Times New Roman" w:hAnsi="Times New Roman" w:cs="Times New Roman"/>
          <w:sz w:val="24"/>
          <w:szCs w:val="24"/>
          <w:lang w:val="id-ID"/>
        </w:rPr>
        <w:t>Misi :</w:t>
      </w:r>
    </w:p>
    <w:p w14:paraId="4EC6F69C" w14:textId="77777777" w:rsidR="00724F0B" w:rsidRPr="004D1BDD" w:rsidRDefault="00724F0B" w:rsidP="00C95CE3">
      <w:pPr>
        <w:pStyle w:val="ListParagraph"/>
        <w:spacing w:line="480" w:lineRule="auto"/>
        <w:ind w:left="993" w:firstLine="447"/>
        <w:jc w:val="both"/>
        <w:rPr>
          <w:rFonts w:ascii="Times New Roman" w:hAnsi="Times New Roman" w:cs="Times New Roman"/>
          <w:sz w:val="24"/>
          <w:szCs w:val="24"/>
          <w:lang w:val="id-ID"/>
        </w:rPr>
      </w:pPr>
      <w:r w:rsidRPr="004D1BDD">
        <w:rPr>
          <w:rFonts w:ascii="Times New Roman" w:hAnsi="Times New Roman" w:cs="Times New Roman"/>
          <w:sz w:val="24"/>
          <w:szCs w:val="24"/>
          <w:lang w:val="id-ID"/>
        </w:rPr>
        <w:t>Mewujudkan hubungan baik yang berkesinambungan dengan nasabah melalui layanan perbankan inovatif dan sinergi dengan didukung oleh ekosistem yang terintegrasi, sumber daya manusia yang profesional serta kemampuan kinerja organisasi terbaik untuk memberikan nilai tambah yang tinggi bagi seluruh pemangku kepentingan (stakeholder).</w:t>
      </w:r>
    </w:p>
    <w:p w14:paraId="41EFA94C" w14:textId="77777777" w:rsidR="00724F0B" w:rsidRPr="00C46A01" w:rsidRDefault="00724F0B" w:rsidP="00095897">
      <w:pPr>
        <w:pStyle w:val="ListParagraph"/>
        <w:numPr>
          <w:ilvl w:val="0"/>
          <w:numId w:val="50"/>
        </w:numPr>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Gambaran umum Bank OCBC NISP Tbk</w:t>
      </w:r>
    </w:p>
    <w:p w14:paraId="223E8E4B"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 xml:space="preserve">Berdiri pada tahun 1941, Bank baru benar-benar dikembangkan oleh keluarga Karmaka Surjaudaja dan Lelarati Lukman, dengan mengedepankan prinsip kehati-hatian sebagai prinsip utama. Bank berhasil bertumbuh dengan sangat sehat, bahkan di tengah kondisi krisis nasional dan global, seperti krisis ekonomi, politik, dan sosial pada akhir 1960- an, serta krisis perbankan Asia pada tahun 1998 di mana sangat banyak bank berjatuhan. Kemampuan Bank untuk bertahan dan menjaga performa positif menarik </w:t>
      </w:r>
      <w:r w:rsidRPr="00C46A01">
        <w:rPr>
          <w:rFonts w:ascii="Times New Roman" w:hAnsi="Times New Roman" w:cs="Times New Roman"/>
          <w:sz w:val="24"/>
          <w:szCs w:val="24"/>
        </w:rPr>
        <w:lastRenderedPageBreak/>
        <w:t>perhatian berbagai institusi keuangan regional serta internasional, antara lain OCBC Bank (berkantor pusat di Singapura). Selanjutnya OCBC Bank secara bertahap masuk menjadi pemegang saham pengendali.</w:t>
      </w:r>
    </w:p>
    <w:p w14:paraId="54E5AA3D"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Bank memperkuat komitmen sebagai mitra nasabah dalam menghadirkan solusi finansial, untuk mewujudkan visi. Bank mendukung terciptanya masyarakat yang bugar secara finansial dan mempertegas fokus pada pemberdayaan UMKM sebagai kontributor terbesar dalam perekonomian Indonesia, bersamaan dengan fokus terhadap aspek keberlanjutan yang diwujudkan melalui pembiayaan sektor bisnis pilihan yang dapat memberikan dampak positif bagi ekonomi, sosial, dan lingkungan.</w:t>
      </w:r>
    </w:p>
    <w:p w14:paraId="09C0BB95" w14:textId="77777777" w:rsidR="00724F0B" w:rsidRPr="004D1BDD" w:rsidRDefault="00724F0B" w:rsidP="00724F0B">
      <w:pPr>
        <w:pStyle w:val="ListParagraph"/>
        <w:spacing w:line="480" w:lineRule="auto"/>
        <w:ind w:left="993"/>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Visi :</w:t>
      </w:r>
    </w:p>
    <w:p w14:paraId="41E8F94D" w14:textId="77777777" w:rsidR="00724F0B" w:rsidRPr="004D1BDD" w:rsidRDefault="00724F0B" w:rsidP="00724F0B">
      <w:pPr>
        <w:pStyle w:val="ListParagraph"/>
        <w:spacing w:line="480" w:lineRule="auto"/>
        <w:ind w:left="993"/>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Menjadi mitra terpecaya untuk meningkatkan kualitas hidup.</w:t>
      </w:r>
    </w:p>
    <w:p w14:paraId="21B0E554"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Misi :</w:t>
      </w:r>
    </w:p>
    <w:p w14:paraId="1A5A7FA4" w14:textId="77777777" w:rsidR="00724F0B" w:rsidRPr="00C46A01" w:rsidRDefault="00724F0B" w:rsidP="00095897">
      <w:pPr>
        <w:pStyle w:val="ListParagraph"/>
        <w:numPr>
          <w:ilvl w:val="0"/>
          <w:numId w:val="74"/>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Memberikan solusi inovatif dan relevan melebihi harapan para pemangku kepentingan.</w:t>
      </w:r>
    </w:p>
    <w:p w14:paraId="1CDF6BEE" w14:textId="77777777" w:rsidR="00724F0B" w:rsidRPr="004D1BDD" w:rsidRDefault="00724F0B" w:rsidP="00095897">
      <w:pPr>
        <w:pStyle w:val="ListParagraph"/>
        <w:numPr>
          <w:ilvl w:val="0"/>
          <w:numId w:val="74"/>
        </w:numPr>
        <w:spacing w:line="480" w:lineRule="auto"/>
        <w:ind w:left="1418"/>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Membangun kolaborasi yang saling menguntungkan berlandaskan kepercayaan dan kehati-hatian.</w:t>
      </w:r>
    </w:p>
    <w:p w14:paraId="423C4986" w14:textId="77777777" w:rsidR="00724F0B" w:rsidRPr="00C46A01" w:rsidRDefault="00724F0B" w:rsidP="00095897">
      <w:pPr>
        <w:pStyle w:val="ListParagraph"/>
        <w:numPr>
          <w:ilvl w:val="0"/>
          <w:numId w:val="74"/>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Menciptakan lingkungan yang progresif dengan semangat kekeluargaan.</w:t>
      </w:r>
    </w:p>
    <w:p w14:paraId="2D62824F" w14:textId="77777777" w:rsidR="00724F0B" w:rsidRPr="00C46A01" w:rsidRDefault="00724F0B" w:rsidP="00095897">
      <w:pPr>
        <w:pStyle w:val="ListParagraph"/>
        <w:numPr>
          <w:ilvl w:val="0"/>
          <w:numId w:val="50"/>
        </w:numPr>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 xml:space="preserve">Gambaran umum </w:t>
      </w:r>
      <w:r w:rsidRPr="00C46A01">
        <w:rPr>
          <w:rFonts w:ascii="Times New Roman" w:hAnsi="Times New Roman" w:cs="Times New Roman"/>
          <w:sz w:val="24"/>
          <w:szCs w:val="24"/>
          <w:lang w:val="id-ID"/>
        </w:rPr>
        <w:t>Bank Pan Indonesia Tbk</w:t>
      </w:r>
    </w:p>
    <w:p w14:paraId="372DCF57"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 xml:space="preserve">PT Bank Pan Indonesia Tbk (“PaninBank” atau “Bank”) didirikan pada tahun 1971. Pendirian PaninBank bermula dari penggabungan usaha 3 (tiga) </w:t>
      </w:r>
      <w:r w:rsidRPr="00C46A01">
        <w:rPr>
          <w:rFonts w:ascii="Times New Roman" w:hAnsi="Times New Roman" w:cs="Times New Roman"/>
          <w:sz w:val="24"/>
          <w:szCs w:val="24"/>
        </w:rPr>
        <w:lastRenderedPageBreak/>
        <w:t>Bank swasta, yaitu Bank Kemakmuran, Bank Industri Djaja, dan Bank Industri dan Dagang Indonesia. Selanjutnya, PaninBank kembali melakukan merger bersama 4 (empat) Bank lainnya, antara lain PT Bank Lingga Harta, Bank Abadi Djaja, Bank Pembangunan Ekonomi dan Bank Pembangunan Sulawesi.</w:t>
      </w:r>
    </w:p>
    <w:p w14:paraId="737810BF"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Pada tahun 1982, PaninBank memasuki babak baru dalam sejarah perjalanan bisnisnya dengan melakukan penawaran saham perdana di Bursa Efek Indonesia dengan Kode Saham: “PNBN”. Atas aksi korporasi tersebut, PaninBank resmi tercatat sebagai bank swasta pertama di Indonesia yang melantai di bursa saham.</w:t>
      </w:r>
    </w:p>
    <w:p w14:paraId="60276EEA" w14:textId="19DFEA54" w:rsidR="00724F0B" w:rsidRPr="00C46A01" w:rsidRDefault="00C95CE3" w:rsidP="00C95CE3">
      <w:pPr>
        <w:pStyle w:val="ListParagraph"/>
        <w:spacing w:line="480" w:lineRule="auto"/>
        <w:ind w:left="993" w:firstLine="360"/>
        <w:jc w:val="both"/>
        <w:rPr>
          <w:rFonts w:ascii="Times New Roman" w:hAnsi="Times New Roman" w:cs="Times New Roman"/>
          <w:sz w:val="24"/>
          <w:szCs w:val="24"/>
        </w:rPr>
      </w:pPr>
      <w:r w:rsidRPr="00C46A01">
        <w:rPr>
          <w:rFonts w:ascii="Times New Roman" w:hAnsi="Times New Roman" w:cs="Times New Roman"/>
          <w:sz w:val="24"/>
          <w:szCs w:val="24"/>
        </w:rPr>
        <w:t>A</w:t>
      </w:r>
      <w:r w:rsidR="00724F0B" w:rsidRPr="00C46A01">
        <w:rPr>
          <w:rFonts w:ascii="Times New Roman" w:hAnsi="Times New Roman" w:cs="Times New Roman"/>
          <w:sz w:val="24"/>
          <w:szCs w:val="24"/>
        </w:rPr>
        <w:t>dapun tujuan utama kegiatan usaha Bank adalah menjalankan usaha sebagai bank umum. Untuk mencapai maksud dan tujuan tersebut, Bank dapat melaksanakan kegiatan usaha sebagai berikut:</w:t>
      </w:r>
    </w:p>
    <w:p w14:paraId="63D6E6D7" w14:textId="77777777" w:rsidR="00724F0B" w:rsidRPr="00C46A01" w:rsidRDefault="00724F0B" w:rsidP="00095897">
      <w:pPr>
        <w:pStyle w:val="ListParagraph"/>
        <w:numPr>
          <w:ilvl w:val="0"/>
          <w:numId w:val="76"/>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Menghimpun dana dari masyarakat dalam bentuk simpanan giro, deposito berjangka, sertifikat deposito, tabungan, dan/atau bentuk lainnya dipersamakan dengan itu.</w:t>
      </w:r>
    </w:p>
    <w:p w14:paraId="4662AC28" w14:textId="77777777" w:rsidR="00724F0B" w:rsidRPr="004D1BDD" w:rsidRDefault="00724F0B" w:rsidP="00095897">
      <w:pPr>
        <w:pStyle w:val="ListParagraph"/>
        <w:numPr>
          <w:ilvl w:val="0"/>
          <w:numId w:val="76"/>
        </w:numPr>
        <w:spacing w:line="480" w:lineRule="auto"/>
        <w:ind w:left="1418"/>
        <w:jc w:val="both"/>
        <w:rPr>
          <w:rFonts w:ascii="Times New Roman" w:hAnsi="Times New Roman" w:cs="Times New Roman"/>
          <w:sz w:val="24"/>
          <w:szCs w:val="24"/>
          <w:lang w:val="nl-NL"/>
        </w:rPr>
      </w:pPr>
      <w:r w:rsidRPr="00C46A01">
        <w:rPr>
          <w:rFonts w:ascii="Times New Roman" w:hAnsi="Times New Roman" w:cs="Times New Roman"/>
          <w:sz w:val="24"/>
          <w:szCs w:val="24"/>
        </w:rPr>
        <w:t xml:space="preserve"> </w:t>
      </w:r>
      <w:r w:rsidRPr="004D1BDD">
        <w:rPr>
          <w:rFonts w:ascii="Times New Roman" w:hAnsi="Times New Roman" w:cs="Times New Roman"/>
          <w:sz w:val="24"/>
          <w:szCs w:val="24"/>
          <w:lang w:val="nl-NL"/>
        </w:rPr>
        <w:t>Memberikan kredit, baik kredit jangka menengah, panjang atau pendek, dan jenis lainnya yang lazim dalam dunia perbankan</w:t>
      </w:r>
    </w:p>
    <w:p w14:paraId="52736381" w14:textId="77777777" w:rsidR="00724F0B" w:rsidRPr="00C46A01" w:rsidRDefault="00724F0B" w:rsidP="00095897">
      <w:pPr>
        <w:pStyle w:val="ListParagraph"/>
        <w:numPr>
          <w:ilvl w:val="0"/>
          <w:numId w:val="76"/>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Menerbitkan surat pengakuan utang, dll.</w:t>
      </w:r>
    </w:p>
    <w:p w14:paraId="2FBD3810"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Visi :</w:t>
      </w:r>
    </w:p>
    <w:p w14:paraId="091C7C62" w14:textId="77777777" w:rsidR="00724F0B" w:rsidRPr="004D1BDD" w:rsidRDefault="00724F0B" w:rsidP="00724F0B">
      <w:pPr>
        <w:pStyle w:val="ListParagraph"/>
        <w:spacing w:line="480" w:lineRule="auto"/>
        <w:ind w:left="993"/>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Menjadi Bank pilihan utama bagi nasabah individu dan bisnis dengan kearifan lokal</w:t>
      </w:r>
    </w:p>
    <w:p w14:paraId="24DC626B"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Misi :</w:t>
      </w:r>
    </w:p>
    <w:p w14:paraId="35B859CB" w14:textId="77777777" w:rsidR="00724F0B" w:rsidRPr="00C46A01" w:rsidRDefault="00724F0B" w:rsidP="00095897">
      <w:pPr>
        <w:pStyle w:val="ListParagraph"/>
        <w:numPr>
          <w:ilvl w:val="0"/>
          <w:numId w:val="75"/>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lastRenderedPageBreak/>
        <w:t>Menyediakan inovasi layanan dan produk yang sesuai kebutuhan nasabah dengan dukungan digitally-enabled dan keberlanjutan.</w:t>
      </w:r>
    </w:p>
    <w:p w14:paraId="7C59A00D" w14:textId="77777777" w:rsidR="00724F0B" w:rsidRPr="004D1BDD" w:rsidRDefault="00724F0B" w:rsidP="00095897">
      <w:pPr>
        <w:pStyle w:val="ListParagraph"/>
        <w:numPr>
          <w:ilvl w:val="0"/>
          <w:numId w:val="75"/>
        </w:numPr>
        <w:spacing w:line="480" w:lineRule="auto"/>
        <w:ind w:left="1418"/>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Meningkatkan taraf hidup masyarakat, ketahanan bisnis, dan pengaruh terhadap komunitas di lingkungan sekitar Bank.</w:t>
      </w:r>
    </w:p>
    <w:p w14:paraId="155E14BA" w14:textId="77777777" w:rsidR="00724F0B" w:rsidRPr="004D1BDD" w:rsidRDefault="00724F0B" w:rsidP="00095897">
      <w:pPr>
        <w:pStyle w:val="ListParagraph"/>
        <w:numPr>
          <w:ilvl w:val="0"/>
          <w:numId w:val="75"/>
        </w:numPr>
        <w:spacing w:line="480" w:lineRule="auto"/>
        <w:ind w:left="1418"/>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Meningkatkan nilai tambah bagi para pemangku kepentingan, terutama pemegang saham.</w:t>
      </w:r>
    </w:p>
    <w:p w14:paraId="554DDCBD" w14:textId="77777777" w:rsidR="00724F0B" w:rsidRPr="00C46A01" w:rsidRDefault="00724F0B" w:rsidP="00095897">
      <w:pPr>
        <w:pStyle w:val="ListParagraph"/>
        <w:numPr>
          <w:ilvl w:val="0"/>
          <w:numId w:val="50"/>
        </w:numPr>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 xml:space="preserve">Gambaran umum </w:t>
      </w:r>
      <w:r w:rsidRPr="00C46A01">
        <w:rPr>
          <w:rFonts w:ascii="Times New Roman" w:hAnsi="Times New Roman" w:cs="Times New Roman"/>
          <w:sz w:val="24"/>
          <w:szCs w:val="24"/>
          <w:lang w:val="id-ID"/>
        </w:rPr>
        <w:t xml:space="preserve">Bank </w:t>
      </w:r>
      <w:r w:rsidRPr="00C46A01">
        <w:rPr>
          <w:rFonts w:ascii="Times New Roman" w:hAnsi="Times New Roman" w:cs="Times New Roman"/>
          <w:sz w:val="24"/>
          <w:szCs w:val="24"/>
        </w:rPr>
        <w:t>Woori Saudara Indonesia 1906 Tbk</w:t>
      </w:r>
    </w:p>
    <w:p w14:paraId="271A2F34"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Bank Woori Saudara atau “BWS”, atau “Bank”, atau “Perseroan”, bermula pada tahun 1906 ketika Organisasi Saudagar Passer Baroe yang diprakarsai oleh H. Basoeni, H. Damiri, dan H. Bajoen, bersama tujuh saudagar lainnya. Tahun 2006 merupakan babak baru bagi Bank dengan menjadi Perusahaan Terbuka melalui Penawaran Umum Saham Perdana kepada masyarakat (Initial Public Offering) atas 500.000.000 saham dengan nilai nominal Rp100 per saham, harga penawaran Rp115 per saham dan melakukan pencatatan pada Bursa Efek Indonesia (dahulu Bursa Efek Jakarta) dengan kode “SDRA” pada tanggal 15 Desember 2006. Sehubungan dengan penawaran umum perdana tersebut.</w:t>
      </w:r>
    </w:p>
    <w:p w14:paraId="3291B0FD" w14:textId="77777777" w:rsidR="00724F0B" w:rsidRPr="00C46A01" w:rsidRDefault="00724F0B" w:rsidP="00C95CE3">
      <w:pPr>
        <w:pStyle w:val="ListParagraph"/>
        <w:spacing w:line="480" w:lineRule="auto"/>
        <w:ind w:left="993" w:firstLine="447"/>
        <w:jc w:val="both"/>
        <w:rPr>
          <w:rFonts w:ascii="Times New Roman" w:hAnsi="Times New Roman" w:cs="Times New Roman"/>
          <w:sz w:val="24"/>
          <w:szCs w:val="24"/>
        </w:rPr>
      </w:pPr>
      <w:r w:rsidRPr="00C46A01">
        <w:rPr>
          <w:rFonts w:ascii="Times New Roman" w:hAnsi="Times New Roman" w:cs="Times New Roman"/>
          <w:sz w:val="24"/>
          <w:szCs w:val="24"/>
        </w:rPr>
        <w:t xml:space="preserve">Tahun 2014, PT Bank Woori Indonesia secara resmi melakukan penggabungan usaha (merger) ke dalam PT Bank Himpunan Saudara 1906 Tbk dengan diterbitkannya Surat Keputusan Menteri Hukum dan Hak Asasi Manusia Republik Indonesia Nomor AHU-00128.40.40.2014 tertanggal 30 Desember 2014. Dengan telah efektifnya penggabungan usaha, nama PT </w:t>
      </w:r>
      <w:r w:rsidRPr="00C46A01">
        <w:rPr>
          <w:rFonts w:ascii="Times New Roman" w:hAnsi="Times New Roman" w:cs="Times New Roman"/>
          <w:sz w:val="24"/>
          <w:szCs w:val="24"/>
        </w:rPr>
        <w:lastRenderedPageBreak/>
        <w:t>Bank Himpunan Saudara 1906 Tbk berubah menjadi “PT Bank Woori Saudara Indonesia 1906, Tbk”.</w:t>
      </w:r>
    </w:p>
    <w:p w14:paraId="1A3F9E3F"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kegiatan usaha yang dijalankan Bank yaitu:</w:t>
      </w:r>
    </w:p>
    <w:p w14:paraId="15A6A38B" w14:textId="77777777" w:rsidR="00724F0B" w:rsidRPr="00C46A01" w:rsidRDefault="00724F0B" w:rsidP="00095897">
      <w:pPr>
        <w:pStyle w:val="ListParagraph"/>
        <w:numPr>
          <w:ilvl w:val="0"/>
          <w:numId w:val="78"/>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Menghimpun dana dari masyarakat dalam bentuk simpanan berupa giro, deposito berjangka, sertifikat deposito, tabungan dan/atau bentuk lainnya yang dipersamakan dengan itu.</w:t>
      </w:r>
    </w:p>
    <w:p w14:paraId="34DCB801" w14:textId="77777777" w:rsidR="00724F0B" w:rsidRPr="00C46A01" w:rsidRDefault="00724F0B" w:rsidP="00095897">
      <w:pPr>
        <w:pStyle w:val="ListParagraph"/>
        <w:numPr>
          <w:ilvl w:val="0"/>
          <w:numId w:val="78"/>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Memberikan kredit.</w:t>
      </w:r>
    </w:p>
    <w:p w14:paraId="128BD429" w14:textId="77777777" w:rsidR="00724F0B" w:rsidRPr="00C46A01" w:rsidRDefault="00724F0B" w:rsidP="00095897">
      <w:pPr>
        <w:pStyle w:val="ListParagraph"/>
        <w:numPr>
          <w:ilvl w:val="0"/>
          <w:numId w:val="78"/>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Menerbitkan surat pengakuan hutang.</w:t>
      </w:r>
    </w:p>
    <w:p w14:paraId="649429AA" w14:textId="30424A25" w:rsidR="00724F0B" w:rsidRPr="00C46A01" w:rsidRDefault="00724F0B" w:rsidP="00095897">
      <w:pPr>
        <w:pStyle w:val="ListParagraph"/>
        <w:numPr>
          <w:ilvl w:val="0"/>
          <w:numId w:val="78"/>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Membeli, menjual, dan menjamin atas risiko sendiri untuk kepentingan dan atas perintah nasabah.</w:t>
      </w:r>
    </w:p>
    <w:p w14:paraId="230F4F3A"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Visi :</w:t>
      </w:r>
    </w:p>
    <w:p w14:paraId="1D5F3033"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Menjadi Top-15 Bank di Indonesia yang Mengedepankan Keselarasan Aspek Ekonomi, Sosial, dan Lingkungan Hidup.</w:t>
      </w:r>
    </w:p>
    <w:p w14:paraId="67C8DCFB" w14:textId="77777777" w:rsidR="00724F0B" w:rsidRPr="00C46A01" w:rsidRDefault="00724F0B" w:rsidP="00724F0B">
      <w:pPr>
        <w:pStyle w:val="ListParagraph"/>
        <w:spacing w:line="480" w:lineRule="auto"/>
        <w:ind w:left="993"/>
        <w:jc w:val="both"/>
        <w:rPr>
          <w:rFonts w:ascii="Times New Roman" w:hAnsi="Times New Roman" w:cs="Times New Roman"/>
          <w:sz w:val="24"/>
          <w:szCs w:val="24"/>
        </w:rPr>
      </w:pPr>
      <w:r w:rsidRPr="00C46A01">
        <w:rPr>
          <w:rFonts w:ascii="Times New Roman" w:hAnsi="Times New Roman" w:cs="Times New Roman"/>
          <w:sz w:val="24"/>
          <w:szCs w:val="24"/>
        </w:rPr>
        <w:t>Misi :</w:t>
      </w:r>
    </w:p>
    <w:p w14:paraId="1FD27BD3" w14:textId="77777777" w:rsidR="00724F0B" w:rsidRPr="004D1BDD" w:rsidRDefault="00724F0B" w:rsidP="00095897">
      <w:pPr>
        <w:pStyle w:val="ListParagraph"/>
        <w:numPr>
          <w:ilvl w:val="0"/>
          <w:numId w:val="77"/>
        </w:numPr>
        <w:spacing w:line="480" w:lineRule="auto"/>
        <w:ind w:left="1418"/>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Diversifikasi portofolio bisnis termasuk penyediaan pembiayaan bisnis berkelanjutan.</w:t>
      </w:r>
    </w:p>
    <w:p w14:paraId="68E5240B" w14:textId="77777777" w:rsidR="00724F0B" w:rsidRPr="00C46A01" w:rsidRDefault="00724F0B" w:rsidP="00095897">
      <w:pPr>
        <w:pStyle w:val="ListParagraph"/>
        <w:numPr>
          <w:ilvl w:val="0"/>
          <w:numId w:val="77"/>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Mendukung program pembangunan nasional untuk pertumbuhan ekonomi Indonesia.</w:t>
      </w:r>
    </w:p>
    <w:p w14:paraId="39A4A465" w14:textId="77777777" w:rsidR="00724F0B" w:rsidRPr="004D1BDD" w:rsidRDefault="00724F0B" w:rsidP="00095897">
      <w:pPr>
        <w:pStyle w:val="ListParagraph"/>
        <w:numPr>
          <w:ilvl w:val="0"/>
          <w:numId w:val="77"/>
        </w:numPr>
        <w:spacing w:line="480" w:lineRule="auto"/>
        <w:ind w:left="1418"/>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Memperkuat struktur organisasi dan pengembangan kapasitas internal.</w:t>
      </w:r>
    </w:p>
    <w:p w14:paraId="4FA36554" w14:textId="77777777" w:rsidR="00E721EB" w:rsidRPr="004D1BDD" w:rsidRDefault="00E721EB" w:rsidP="00E721EB">
      <w:pPr>
        <w:pStyle w:val="ListParagraph"/>
        <w:spacing w:line="480" w:lineRule="auto"/>
        <w:ind w:left="1418"/>
        <w:jc w:val="both"/>
        <w:rPr>
          <w:rFonts w:ascii="Times New Roman" w:hAnsi="Times New Roman" w:cs="Times New Roman"/>
          <w:sz w:val="24"/>
          <w:szCs w:val="24"/>
          <w:lang w:val="nl-NL"/>
        </w:rPr>
      </w:pPr>
    </w:p>
    <w:p w14:paraId="7C438DD4" w14:textId="77777777" w:rsidR="00724F0B" w:rsidRPr="006E197C" w:rsidRDefault="00724F0B" w:rsidP="00095897">
      <w:pPr>
        <w:pStyle w:val="Heading2"/>
        <w:numPr>
          <w:ilvl w:val="0"/>
          <w:numId w:val="98"/>
        </w:numPr>
        <w:spacing w:line="480" w:lineRule="auto"/>
        <w:rPr>
          <w:rFonts w:ascii="Times New Roman" w:hAnsi="Times New Roman" w:cs="Times New Roman"/>
          <w:b/>
          <w:color w:val="000000" w:themeColor="text1"/>
          <w:sz w:val="24"/>
        </w:rPr>
      </w:pPr>
      <w:bookmarkStart w:id="2" w:name="_Toc170067696"/>
      <w:r w:rsidRPr="006E197C">
        <w:rPr>
          <w:rFonts w:ascii="Times New Roman" w:hAnsi="Times New Roman" w:cs="Times New Roman"/>
          <w:b/>
          <w:color w:val="000000" w:themeColor="text1"/>
          <w:sz w:val="24"/>
        </w:rPr>
        <w:lastRenderedPageBreak/>
        <w:t>Analisis Data</w:t>
      </w:r>
      <w:bookmarkEnd w:id="2"/>
    </w:p>
    <w:p w14:paraId="46A507BC" w14:textId="035747F4" w:rsidR="00724F0B" w:rsidRPr="00C46A01" w:rsidRDefault="00724F0B" w:rsidP="00AA386B">
      <w:pPr>
        <w:pStyle w:val="ListParagraph"/>
        <w:spacing w:line="480" w:lineRule="auto"/>
        <w:ind w:firstLine="414"/>
        <w:jc w:val="both"/>
        <w:rPr>
          <w:rFonts w:ascii="Times New Roman" w:hAnsi="Times New Roman" w:cs="Times New Roman"/>
          <w:sz w:val="24"/>
          <w:szCs w:val="24"/>
        </w:rPr>
      </w:pPr>
      <w:r w:rsidRPr="00C46A01">
        <w:rPr>
          <w:rFonts w:ascii="Times New Roman" w:hAnsi="Times New Roman" w:cs="Times New Roman"/>
          <w:sz w:val="24"/>
          <w:szCs w:val="24"/>
        </w:rPr>
        <w:t>Penelitian</w:t>
      </w:r>
      <w:r w:rsidR="00685099" w:rsidRPr="00C46A01">
        <w:rPr>
          <w:rFonts w:ascii="Times New Roman" w:hAnsi="Times New Roman" w:cs="Times New Roman"/>
          <w:sz w:val="24"/>
          <w:szCs w:val="24"/>
        </w:rPr>
        <w:t xml:space="preserve"> yang saya gunakan</w:t>
      </w:r>
      <w:r w:rsidRPr="00C46A01">
        <w:rPr>
          <w:rFonts w:ascii="Times New Roman" w:hAnsi="Times New Roman" w:cs="Times New Roman"/>
          <w:sz w:val="24"/>
          <w:szCs w:val="24"/>
        </w:rPr>
        <w:t xml:space="preserve"> dalam penelitian ini adalah </w:t>
      </w:r>
      <w:r w:rsidR="00685099" w:rsidRPr="00C46A01">
        <w:rPr>
          <w:rFonts w:ascii="Times New Roman" w:hAnsi="Times New Roman" w:cs="Times New Roman"/>
          <w:sz w:val="24"/>
          <w:szCs w:val="24"/>
        </w:rPr>
        <w:t xml:space="preserve">menggunakan </w:t>
      </w:r>
      <w:r w:rsidRPr="00C46A01">
        <w:rPr>
          <w:rFonts w:ascii="Times New Roman" w:hAnsi="Times New Roman" w:cs="Times New Roman"/>
          <w:sz w:val="24"/>
          <w:szCs w:val="24"/>
        </w:rPr>
        <w:t>analisis statisti</w:t>
      </w:r>
      <w:r w:rsidR="00685099" w:rsidRPr="00C46A01">
        <w:rPr>
          <w:rFonts w:ascii="Times New Roman" w:hAnsi="Times New Roman" w:cs="Times New Roman"/>
          <w:sz w:val="24"/>
          <w:szCs w:val="24"/>
        </w:rPr>
        <w:t>k</w:t>
      </w:r>
      <w:r w:rsidRPr="00C46A01">
        <w:rPr>
          <w:rFonts w:ascii="Times New Roman" w:hAnsi="Times New Roman" w:cs="Times New Roman"/>
          <w:sz w:val="24"/>
          <w:szCs w:val="24"/>
        </w:rPr>
        <w:t xml:space="preserve"> deskriptif, uji asumsi klasik, analisis regresi linear berganda, pengujian hipotesis dan koefisien determinasi dengan menggunakan SPSS versi 22.</w:t>
      </w:r>
    </w:p>
    <w:p w14:paraId="44268BBE" w14:textId="23314AFE" w:rsidR="00724F0B" w:rsidRPr="00C46A01" w:rsidRDefault="00724F0B" w:rsidP="00095897">
      <w:pPr>
        <w:pStyle w:val="ListParagraph"/>
        <w:numPr>
          <w:ilvl w:val="0"/>
          <w:numId w:val="85"/>
        </w:numPr>
        <w:spacing w:line="480" w:lineRule="auto"/>
        <w:ind w:left="1134"/>
        <w:jc w:val="both"/>
        <w:rPr>
          <w:rFonts w:ascii="Times New Roman" w:hAnsi="Times New Roman" w:cs="Times New Roman"/>
          <w:b/>
          <w:bCs/>
          <w:sz w:val="24"/>
          <w:szCs w:val="24"/>
        </w:rPr>
      </w:pPr>
      <w:r w:rsidRPr="00C46A01">
        <w:rPr>
          <w:rFonts w:ascii="Times New Roman" w:hAnsi="Times New Roman" w:cs="Times New Roman"/>
          <w:b/>
          <w:bCs/>
          <w:sz w:val="24"/>
          <w:szCs w:val="24"/>
        </w:rPr>
        <w:t>Analisis Statisti</w:t>
      </w:r>
      <w:r w:rsidR="00885497" w:rsidRPr="00C46A01">
        <w:rPr>
          <w:rFonts w:ascii="Times New Roman" w:hAnsi="Times New Roman" w:cs="Times New Roman"/>
          <w:b/>
          <w:bCs/>
          <w:sz w:val="24"/>
          <w:szCs w:val="24"/>
        </w:rPr>
        <w:t>k</w:t>
      </w:r>
      <w:r w:rsidRPr="00C46A01">
        <w:rPr>
          <w:rFonts w:ascii="Times New Roman" w:hAnsi="Times New Roman" w:cs="Times New Roman"/>
          <w:b/>
          <w:bCs/>
          <w:sz w:val="24"/>
          <w:szCs w:val="24"/>
        </w:rPr>
        <w:t xml:space="preserve"> Deskriptif</w:t>
      </w:r>
    </w:p>
    <w:p w14:paraId="2A7A0E7C" w14:textId="7CE67225" w:rsidR="00681ACB" w:rsidRDefault="00681ACB" w:rsidP="00681ACB">
      <w:pPr>
        <w:pStyle w:val="Caption"/>
        <w:framePr w:hSpace="180" w:wrap="around" w:vAnchor="text" w:hAnchor="page" w:x="3140" w:y="2139"/>
        <w:spacing w:after="0"/>
        <w:jc w:val="center"/>
        <w:rPr>
          <w:rFonts w:ascii="Times New Roman" w:hAnsi="Times New Roman" w:cs="Times New Roman"/>
          <w:i w:val="0"/>
          <w:iCs w:val="0"/>
          <w:color w:val="auto"/>
          <w:sz w:val="24"/>
          <w:szCs w:val="24"/>
        </w:rPr>
      </w:pPr>
      <w:bookmarkStart w:id="3" w:name="_Toc167784723"/>
      <w:r w:rsidRPr="00681ACB">
        <w:rPr>
          <w:rFonts w:ascii="Times New Roman" w:hAnsi="Times New Roman" w:cs="Times New Roman"/>
          <w:i w:val="0"/>
          <w:iCs w:val="0"/>
          <w:color w:val="auto"/>
          <w:sz w:val="24"/>
          <w:szCs w:val="24"/>
        </w:rPr>
        <w:t xml:space="preserve">Tabel </w:t>
      </w:r>
      <w:r>
        <w:rPr>
          <w:rFonts w:ascii="Times New Roman" w:hAnsi="Times New Roman" w:cs="Times New Roman"/>
          <w:i w:val="0"/>
          <w:iCs w:val="0"/>
          <w:color w:val="auto"/>
          <w:sz w:val="24"/>
          <w:szCs w:val="24"/>
        </w:rPr>
        <w:fldChar w:fldCharType="begin"/>
      </w:r>
      <w:r>
        <w:rPr>
          <w:rFonts w:ascii="Times New Roman" w:hAnsi="Times New Roman" w:cs="Times New Roman"/>
          <w:i w:val="0"/>
          <w:iCs w:val="0"/>
          <w:color w:val="auto"/>
          <w:sz w:val="24"/>
          <w:szCs w:val="24"/>
        </w:rPr>
        <w:instrText xml:space="preserve"> SEQ Tabel \* ARABIC </w:instrText>
      </w:r>
      <w:r>
        <w:rPr>
          <w:rFonts w:ascii="Times New Roman" w:hAnsi="Times New Roman" w:cs="Times New Roman"/>
          <w:i w:val="0"/>
          <w:iCs w:val="0"/>
          <w:color w:val="auto"/>
          <w:sz w:val="24"/>
          <w:szCs w:val="24"/>
        </w:rPr>
        <w:fldChar w:fldCharType="separate"/>
      </w:r>
      <w:r w:rsidR="00383519">
        <w:rPr>
          <w:rFonts w:ascii="Times New Roman" w:hAnsi="Times New Roman" w:cs="Times New Roman"/>
          <w:i w:val="0"/>
          <w:iCs w:val="0"/>
          <w:noProof/>
          <w:color w:val="auto"/>
          <w:sz w:val="24"/>
          <w:szCs w:val="24"/>
        </w:rPr>
        <w:t>6</w:t>
      </w:r>
      <w:bookmarkEnd w:id="3"/>
      <w:r>
        <w:rPr>
          <w:rFonts w:ascii="Times New Roman" w:hAnsi="Times New Roman" w:cs="Times New Roman"/>
          <w:i w:val="0"/>
          <w:iCs w:val="0"/>
          <w:color w:val="auto"/>
          <w:sz w:val="24"/>
          <w:szCs w:val="24"/>
        </w:rPr>
        <w:fldChar w:fldCharType="end"/>
      </w:r>
    </w:p>
    <w:p w14:paraId="6A557FC6" w14:textId="6D13C504" w:rsidR="00681ACB" w:rsidRPr="00681ACB" w:rsidRDefault="00681ACB" w:rsidP="00681ACB">
      <w:pPr>
        <w:pStyle w:val="Caption"/>
        <w:framePr w:hSpace="180" w:wrap="around" w:vAnchor="text" w:hAnchor="page" w:x="3140" w:y="2139"/>
        <w:spacing w:after="0"/>
        <w:jc w:val="center"/>
        <w:rPr>
          <w:rFonts w:ascii="Times New Roman" w:hAnsi="Times New Roman" w:cs="Times New Roman"/>
          <w:i w:val="0"/>
          <w:iCs w:val="0"/>
          <w:color w:val="auto"/>
          <w:sz w:val="24"/>
          <w:szCs w:val="24"/>
        </w:rPr>
      </w:pPr>
      <w:r w:rsidRPr="00681ACB">
        <w:rPr>
          <w:rFonts w:ascii="Times New Roman" w:hAnsi="Times New Roman" w:cs="Times New Roman"/>
          <w:i w:val="0"/>
          <w:iCs w:val="0"/>
          <w:color w:val="auto"/>
          <w:sz w:val="24"/>
          <w:szCs w:val="24"/>
        </w:rPr>
        <w:t xml:space="preserve"> Hasil Uji Statistik Deskriptif</w:t>
      </w:r>
    </w:p>
    <w:p w14:paraId="36B3E2AC" w14:textId="15A24A6F" w:rsidR="00885497" w:rsidRPr="004D1BDD" w:rsidRDefault="00685099" w:rsidP="00685099">
      <w:pPr>
        <w:pStyle w:val="ListParagraph"/>
        <w:spacing w:line="480" w:lineRule="auto"/>
        <w:ind w:left="1134" w:firstLine="306"/>
        <w:jc w:val="both"/>
        <w:rPr>
          <w:rFonts w:ascii="Times New Roman" w:hAnsi="Times New Roman" w:cs="Times New Roman"/>
          <w:sz w:val="24"/>
          <w:szCs w:val="24"/>
          <w:lang w:val="nl-NL"/>
        </w:rPr>
      </w:pPr>
      <w:r w:rsidRPr="009355EF">
        <w:rPr>
          <w:rFonts w:ascii="Times New Roman" w:hAnsi="Times New Roman" w:cs="Times New Roman"/>
          <w:sz w:val="24"/>
          <w:szCs w:val="24"/>
          <w:shd w:val="clear" w:color="auto" w:fill="FFFFFF"/>
        </w:rPr>
        <w:t xml:space="preserve">Statistik deskriptif memberikan gambaran atau gambaran </w:t>
      </w:r>
      <w:r w:rsidRPr="009355EF">
        <w:rPr>
          <w:rStyle w:val="words"/>
          <w:rFonts w:ascii="Times New Roman" w:hAnsi="Times New Roman" w:cs="Times New Roman"/>
          <w:sz w:val="24"/>
          <w:szCs w:val="24"/>
        </w:rPr>
        <w:t>informasi</w:t>
      </w:r>
      <w:r w:rsidRPr="009355EF">
        <w:rPr>
          <w:rFonts w:ascii="Times New Roman" w:hAnsi="Times New Roman" w:cs="Times New Roman"/>
          <w:sz w:val="24"/>
          <w:szCs w:val="24"/>
          <w:shd w:val="clear" w:color="auto" w:fill="FFFFFF"/>
        </w:rPr>
        <w:t xml:space="preserve"> mulai dari </w:t>
      </w:r>
      <w:r w:rsidRPr="009355EF">
        <w:rPr>
          <w:rStyle w:val="words"/>
          <w:rFonts w:ascii="Times New Roman" w:hAnsi="Times New Roman" w:cs="Times New Roman"/>
          <w:sz w:val="24"/>
          <w:szCs w:val="24"/>
        </w:rPr>
        <w:t>cruel</w:t>
      </w:r>
      <w:r w:rsidRPr="009355EF">
        <w:rPr>
          <w:rFonts w:ascii="Times New Roman" w:hAnsi="Times New Roman" w:cs="Times New Roman"/>
          <w:sz w:val="24"/>
          <w:szCs w:val="24"/>
          <w:shd w:val="clear" w:color="auto" w:fill="FFFFFF"/>
        </w:rPr>
        <w:t xml:space="preserve"> (rata-rata), standar deviasi, varians, maksimum, jumlah, rentang, kurtosis, dan skewness (perbedaan sebaran) </w:t>
      </w:r>
      <w:r w:rsidR="00885497" w:rsidRPr="009355EF">
        <w:rPr>
          <w:rFonts w:ascii="Times New Roman" w:hAnsi="Times New Roman" w:cs="Times New Roman"/>
          <w:sz w:val="24"/>
          <w:szCs w:val="24"/>
        </w:rPr>
        <w:fldChar w:fldCharType="begin" w:fldLock="1"/>
      </w:r>
      <w:r w:rsidR="008908E5">
        <w:rPr>
          <w:rFonts w:ascii="Times New Roman" w:hAnsi="Times New Roman" w:cs="Times New Roman"/>
          <w:sz w:val="24"/>
          <w:szCs w:val="24"/>
        </w:rPr>
        <w:instrText>ADDIN CSL_CITATION {"citationItems":[{"id":"ITEM-1","itemData":{"ISBN":"979.704.015.1","author":[{"dropping-particle":"","family":"Imam Ghozali","given":"","non-dropping-particle":"","parse-names":false,"suffix":""}],"edition":"edisi 8","id":"ITEM-1","issued":{"date-parts":[["2016"]]},"publisher":"BADAN PENERBIT UNIVERSITAS DIPONEGORO","publisher-place":"Semarang","title":"Aplikasi Analisis Multivariete dengan program IBM SPSS 23","type":"book"},"uris":["http://www.mendeley.com/documents/?uuid=03bb8d45-457a-4b75-90ca-8d832573c544"]}],"mendeley":{"formattedCitation":"(Imam Ghozali, 2016)","manualFormatting":"(Ghozali, 2016: 19)","plainTextFormattedCitation":"(Imam Ghozali, 2016)","previouslyFormattedCitation":"(Imam Ghozali, 2016)"},"properties":{"noteIndex":0},"schema":"https://github.com/citation-style-language/schema/raw/master/csl-citation.json"}</w:instrText>
      </w:r>
      <w:r w:rsidR="00885497" w:rsidRPr="009355EF">
        <w:rPr>
          <w:rFonts w:ascii="Times New Roman" w:hAnsi="Times New Roman" w:cs="Times New Roman"/>
          <w:sz w:val="24"/>
          <w:szCs w:val="24"/>
        </w:rPr>
        <w:fldChar w:fldCharType="separate"/>
      </w:r>
      <w:r w:rsidR="00885497" w:rsidRPr="009355EF">
        <w:rPr>
          <w:rFonts w:ascii="Times New Roman" w:hAnsi="Times New Roman" w:cs="Times New Roman"/>
          <w:noProof/>
          <w:sz w:val="24"/>
          <w:szCs w:val="24"/>
        </w:rPr>
        <w:t>(Ghozali, 2016: 19)</w:t>
      </w:r>
      <w:r w:rsidR="00885497" w:rsidRPr="009355EF">
        <w:rPr>
          <w:rFonts w:ascii="Times New Roman" w:hAnsi="Times New Roman" w:cs="Times New Roman"/>
          <w:sz w:val="24"/>
          <w:szCs w:val="24"/>
        </w:rPr>
        <w:fldChar w:fldCharType="end"/>
      </w:r>
      <w:r w:rsidR="00885497" w:rsidRPr="00C46A01">
        <w:rPr>
          <w:rFonts w:ascii="Times New Roman" w:hAnsi="Times New Roman" w:cs="Times New Roman"/>
          <w:sz w:val="24"/>
          <w:szCs w:val="24"/>
        </w:rPr>
        <w:t xml:space="preserve">. </w:t>
      </w:r>
      <w:r w:rsidR="00885497" w:rsidRPr="004D1BDD">
        <w:rPr>
          <w:rFonts w:ascii="Times New Roman" w:hAnsi="Times New Roman" w:cs="Times New Roman"/>
          <w:sz w:val="24"/>
          <w:szCs w:val="24"/>
          <w:lang w:val="nl-NL"/>
        </w:rPr>
        <w:t>Hasil statistik deskriptif dalam penelitian ini disajikan dalam tabel berikut.</w:t>
      </w:r>
    </w:p>
    <w:p w14:paraId="0D832E15" w14:textId="351CD06C" w:rsidR="00BB6BE6" w:rsidRPr="004D1BDD" w:rsidRDefault="00BB6BE6" w:rsidP="00BB6BE6">
      <w:pPr>
        <w:pStyle w:val="Caption"/>
        <w:keepNext/>
        <w:spacing w:after="0" w:line="276" w:lineRule="auto"/>
        <w:ind w:left="993"/>
        <w:jc w:val="center"/>
        <w:rPr>
          <w:rFonts w:ascii="Times New Roman" w:hAnsi="Times New Roman" w:cs="Times New Roman"/>
          <w:i w:val="0"/>
          <w:iCs w:val="0"/>
          <w:color w:val="auto"/>
          <w:sz w:val="24"/>
          <w:szCs w:val="24"/>
          <w:lang w:val="nl-NL"/>
        </w:rPr>
      </w:pPr>
    </w:p>
    <w:tbl>
      <w:tblPr>
        <w:tblpPr w:leftFromText="180" w:rightFromText="180" w:vertAnchor="text" w:horzAnchor="page" w:tblpX="3478" w:tblpY="16"/>
        <w:tblW w:w="7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8"/>
        <w:gridCol w:w="850"/>
        <w:gridCol w:w="1418"/>
        <w:gridCol w:w="1232"/>
        <w:gridCol w:w="1092"/>
        <w:gridCol w:w="1445"/>
      </w:tblGrid>
      <w:tr w:rsidR="00BB6BE6" w:rsidRPr="00AB6A1B" w14:paraId="7CDEA20C" w14:textId="77777777" w:rsidTr="00BB6BE6">
        <w:trPr>
          <w:cantSplit/>
        </w:trPr>
        <w:tc>
          <w:tcPr>
            <w:tcW w:w="7455" w:type="dxa"/>
            <w:gridSpan w:val="6"/>
            <w:tcBorders>
              <w:top w:val="nil"/>
              <w:left w:val="nil"/>
              <w:bottom w:val="nil"/>
              <w:right w:val="nil"/>
            </w:tcBorders>
            <w:shd w:val="clear" w:color="auto" w:fill="FFFFFF"/>
            <w:vAlign w:val="center"/>
          </w:tcPr>
          <w:p w14:paraId="5567741F" w14:textId="77777777" w:rsidR="00BB6BE6" w:rsidRPr="00AB6A1B" w:rsidRDefault="00BB6BE6" w:rsidP="00BB6BE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B6A1B">
              <w:rPr>
                <w:rFonts w:ascii="Times New Roman" w:hAnsi="Times New Roman" w:cs="Times New Roman"/>
                <w:b/>
                <w:bCs/>
                <w:color w:val="000000"/>
                <w:sz w:val="24"/>
                <w:szCs w:val="24"/>
              </w:rPr>
              <w:t>Descriptive Statistics</w:t>
            </w:r>
          </w:p>
        </w:tc>
      </w:tr>
      <w:tr w:rsidR="00BB6BE6" w:rsidRPr="00AB6A1B" w14:paraId="68AD1FB0" w14:textId="77777777" w:rsidTr="00CB5C25">
        <w:trPr>
          <w:cantSplit/>
        </w:trPr>
        <w:tc>
          <w:tcPr>
            <w:tcW w:w="141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3FBAFEF" w14:textId="77777777" w:rsidR="00BB6BE6" w:rsidRPr="00AB6A1B" w:rsidRDefault="00BB6BE6" w:rsidP="00BB6BE6">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16" w:space="0" w:color="000000"/>
              <w:left w:val="single" w:sz="16" w:space="0" w:color="000000"/>
              <w:bottom w:val="single" w:sz="16" w:space="0" w:color="000000"/>
            </w:tcBorders>
            <w:shd w:val="clear" w:color="auto" w:fill="FFFFFF"/>
            <w:vAlign w:val="bottom"/>
          </w:tcPr>
          <w:p w14:paraId="699903D1" w14:textId="77777777" w:rsidR="00BB6BE6" w:rsidRPr="00AB6A1B" w:rsidRDefault="00BB6BE6" w:rsidP="00BB6BE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B6A1B">
              <w:rPr>
                <w:rFonts w:ascii="Times New Roman" w:hAnsi="Times New Roman" w:cs="Times New Roman"/>
                <w:color w:val="000000"/>
                <w:sz w:val="24"/>
                <w:szCs w:val="24"/>
              </w:rPr>
              <w:t>N</w:t>
            </w:r>
          </w:p>
        </w:tc>
        <w:tc>
          <w:tcPr>
            <w:tcW w:w="1418" w:type="dxa"/>
            <w:tcBorders>
              <w:top w:val="single" w:sz="16" w:space="0" w:color="000000"/>
              <w:bottom w:val="single" w:sz="16" w:space="0" w:color="000000"/>
            </w:tcBorders>
            <w:shd w:val="clear" w:color="auto" w:fill="FFFFFF"/>
            <w:vAlign w:val="bottom"/>
          </w:tcPr>
          <w:p w14:paraId="2E345845" w14:textId="77777777" w:rsidR="00BB6BE6" w:rsidRPr="00AB6A1B" w:rsidRDefault="00BB6BE6" w:rsidP="00BB6BE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B6A1B">
              <w:rPr>
                <w:rFonts w:ascii="Times New Roman" w:hAnsi="Times New Roman" w:cs="Times New Roman"/>
                <w:color w:val="000000"/>
                <w:sz w:val="24"/>
                <w:szCs w:val="24"/>
              </w:rPr>
              <w:t>Minimum</w:t>
            </w:r>
          </w:p>
        </w:tc>
        <w:tc>
          <w:tcPr>
            <w:tcW w:w="1232" w:type="dxa"/>
            <w:tcBorders>
              <w:top w:val="single" w:sz="16" w:space="0" w:color="000000"/>
              <w:bottom w:val="single" w:sz="16" w:space="0" w:color="000000"/>
            </w:tcBorders>
            <w:shd w:val="clear" w:color="auto" w:fill="FFFFFF"/>
            <w:vAlign w:val="bottom"/>
          </w:tcPr>
          <w:p w14:paraId="292B25C3" w14:textId="77777777" w:rsidR="00BB6BE6" w:rsidRPr="00AB6A1B" w:rsidRDefault="00BB6BE6" w:rsidP="00BB6BE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B6A1B">
              <w:rPr>
                <w:rFonts w:ascii="Times New Roman" w:hAnsi="Times New Roman" w:cs="Times New Roman"/>
                <w:color w:val="000000"/>
                <w:sz w:val="24"/>
                <w:szCs w:val="24"/>
              </w:rPr>
              <w:t>Maximum</w:t>
            </w:r>
          </w:p>
        </w:tc>
        <w:tc>
          <w:tcPr>
            <w:tcW w:w="1092" w:type="dxa"/>
            <w:tcBorders>
              <w:top w:val="single" w:sz="16" w:space="0" w:color="000000"/>
              <w:bottom w:val="single" w:sz="16" w:space="0" w:color="000000"/>
            </w:tcBorders>
            <w:shd w:val="clear" w:color="auto" w:fill="FFFFFF"/>
            <w:vAlign w:val="bottom"/>
          </w:tcPr>
          <w:p w14:paraId="77546362" w14:textId="77777777" w:rsidR="00BB6BE6" w:rsidRPr="00AB6A1B" w:rsidRDefault="00BB6BE6" w:rsidP="00BB6BE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B6A1B">
              <w:rPr>
                <w:rFonts w:ascii="Times New Roman" w:hAnsi="Times New Roman" w:cs="Times New Roman"/>
                <w:color w:val="000000"/>
                <w:sz w:val="24"/>
                <w:szCs w:val="24"/>
              </w:rPr>
              <w:t>Mean</w:t>
            </w:r>
          </w:p>
        </w:tc>
        <w:tc>
          <w:tcPr>
            <w:tcW w:w="1445" w:type="dxa"/>
            <w:tcBorders>
              <w:top w:val="single" w:sz="16" w:space="0" w:color="000000"/>
              <w:bottom w:val="single" w:sz="16" w:space="0" w:color="000000"/>
              <w:right w:val="single" w:sz="16" w:space="0" w:color="000000"/>
            </w:tcBorders>
            <w:shd w:val="clear" w:color="auto" w:fill="FFFFFF"/>
            <w:vAlign w:val="bottom"/>
          </w:tcPr>
          <w:p w14:paraId="7B75939E" w14:textId="77777777" w:rsidR="00BB6BE6" w:rsidRPr="00AB6A1B" w:rsidRDefault="00BB6BE6" w:rsidP="00BB6BE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B6A1B">
              <w:rPr>
                <w:rFonts w:ascii="Times New Roman" w:hAnsi="Times New Roman" w:cs="Times New Roman"/>
                <w:color w:val="000000"/>
                <w:sz w:val="24"/>
                <w:szCs w:val="24"/>
              </w:rPr>
              <w:t>Std. Deviation</w:t>
            </w:r>
          </w:p>
        </w:tc>
      </w:tr>
      <w:tr w:rsidR="00BB6BE6" w:rsidRPr="00AB6A1B" w14:paraId="33EF6D04" w14:textId="77777777" w:rsidTr="00CB5C25">
        <w:trPr>
          <w:cantSplit/>
        </w:trPr>
        <w:tc>
          <w:tcPr>
            <w:tcW w:w="1418" w:type="dxa"/>
            <w:tcBorders>
              <w:top w:val="single" w:sz="16" w:space="0" w:color="000000"/>
              <w:left w:val="single" w:sz="16" w:space="0" w:color="000000"/>
              <w:bottom w:val="nil"/>
              <w:right w:val="single" w:sz="16" w:space="0" w:color="000000"/>
            </w:tcBorders>
            <w:shd w:val="clear" w:color="auto" w:fill="FFFFFF"/>
          </w:tcPr>
          <w:p w14:paraId="54A5968D" w14:textId="77777777" w:rsidR="00BB6BE6" w:rsidRPr="00AB6A1B" w:rsidRDefault="00BB6BE6" w:rsidP="00BB6BE6">
            <w:pPr>
              <w:autoSpaceDE w:val="0"/>
              <w:autoSpaceDN w:val="0"/>
              <w:adjustRightInd w:val="0"/>
              <w:spacing w:after="0" w:line="320" w:lineRule="atLeast"/>
              <w:ind w:left="60" w:right="60"/>
              <w:rPr>
                <w:rFonts w:ascii="Times New Roman" w:hAnsi="Times New Roman" w:cs="Times New Roman"/>
                <w:color w:val="000000"/>
                <w:sz w:val="24"/>
                <w:szCs w:val="24"/>
              </w:rPr>
            </w:pPr>
            <w:r w:rsidRPr="00AB6A1B">
              <w:rPr>
                <w:rFonts w:ascii="Times New Roman" w:hAnsi="Times New Roman" w:cs="Times New Roman"/>
                <w:color w:val="000000"/>
                <w:sz w:val="24"/>
                <w:szCs w:val="24"/>
              </w:rPr>
              <w:t>NPL</w:t>
            </w:r>
          </w:p>
        </w:tc>
        <w:tc>
          <w:tcPr>
            <w:tcW w:w="850" w:type="dxa"/>
            <w:tcBorders>
              <w:top w:val="single" w:sz="16" w:space="0" w:color="000000"/>
              <w:left w:val="single" w:sz="16" w:space="0" w:color="000000"/>
              <w:bottom w:val="nil"/>
            </w:tcBorders>
            <w:shd w:val="clear" w:color="auto" w:fill="FFFFFF"/>
            <w:vAlign w:val="center"/>
          </w:tcPr>
          <w:p w14:paraId="6F8D8379" w14:textId="77777777" w:rsidR="00BB6BE6" w:rsidRPr="00AB6A1B" w:rsidRDefault="00BB6BE6" w:rsidP="00BB6BE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150</w:t>
            </w:r>
          </w:p>
        </w:tc>
        <w:tc>
          <w:tcPr>
            <w:tcW w:w="1418" w:type="dxa"/>
            <w:tcBorders>
              <w:top w:val="single" w:sz="16" w:space="0" w:color="000000"/>
              <w:bottom w:val="nil"/>
            </w:tcBorders>
            <w:shd w:val="clear" w:color="auto" w:fill="FFFFFF"/>
            <w:vAlign w:val="center"/>
          </w:tcPr>
          <w:p w14:paraId="22F9BA83" w14:textId="77777777" w:rsidR="00BB6BE6" w:rsidRPr="00AB6A1B" w:rsidRDefault="00BB6BE6" w:rsidP="00BB6BE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-3.30</w:t>
            </w:r>
          </w:p>
        </w:tc>
        <w:tc>
          <w:tcPr>
            <w:tcW w:w="1232" w:type="dxa"/>
            <w:tcBorders>
              <w:top w:val="single" w:sz="16" w:space="0" w:color="000000"/>
              <w:bottom w:val="nil"/>
            </w:tcBorders>
            <w:shd w:val="clear" w:color="auto" w:fill="FFFFFF"/>
            <w:vAlign w:val="center"/>
          </w:tcPr>
          <w:p w14:paraId="6174E950" w14:textId="77777777" w:rsidR="00BB6BE6" w:rsidRPr="00AB6A1B" w:rsidRDefault="00BB6BE6" w:rsidP="00BB6BE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7.99</w:t>
            </w:r>
          </w:p>
        </w:tc>
        <w:tc>
          <w:tcPr>
            <w:tcW w:w="1092" w:type="dxa"/>
            <w:tcBorders>
              <w:top w:val="single" w:sz="16" w:space="0" w:color="000000"/>
              <w:bottom w:val="nil"/>
            </w:tcBorders>
            <w:shd w:val="clear" w:color="auto" w:fill="FFFFFF"/>
            <w:vAlign w:val="center"/>
          </w:tcPr>
          <w:p w14:paraId="5D2784F7" w14:textId="77777777" w:rsidR="00BB6BE6" w:rsidRPr="00AB6A1B" w:rsidRDefault="00BB6BE6" w:rsidP="00BB6BE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2.8285</w:t>
            </w:r>
          </w:p>
        </w:tc>
        <w:tc>
          <w:tcPr>
            <w:tcW w:w="1445" w:type="dxa"/>
            <w:tcBorders>
              <w:top w:val="single" w:sz="16" w:space="0" w:color="000000"/>
              <w:bottom w:val="nil"/>
              <w:right w:val="single" w:sz="16" w:space="0" w:color="000000"/>
            </w:tcBorders>
            <w:shd w:val="clear" w:color="auto" w:fill="FFFFFF"/>
            <w:vAlign w:val="center"/>
          </w:tcPr>
          <w:p w14:paraId="5024EEF1" w14:textId="77777777" w:rsidR="00BB6BE6" w:rsidRPr="00AB6A1B" w:rsidRDefault="00BB6BE6" w:rsidP="00BB6BE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1.58217</w:t>
            </w:r>
          </w:p>
        </w:tc>
      </w:tr>
      <w:tr w:rsidR="00BB6BE6" w:rsidRPr="00AB6A1B" w14:paraId="328BD03E" w14:textId="77777777" w:rsidTr="00CB5C25">
        <w:trPr>
          <w:cantSplit/>
        </w:trPr>
        <w:tc>
          <w:tcPr>
            <w:tcW w:w="1418" w:type="dxa"/>
            <w:tcBorders>
              <w:top w:val="nil"/>
              <w:left w:val="single" w:sz="16" w:space="0" w:color="000000"/>
              <w:bottom w:val="nil"/>
              <w:right w:val="single" w:sz="16" w:space="0" w:color="000000"/>
            </w:tcBorders>
            <w:shd w:val="clear" w:color="auto" w:fill="FFFFFF"/>
          </w:tcPr>
          <w:p w14:paraId="033607A7" w14:textId="77777777" w:rsidR="00BB6BE6" w:rsidRPr="00AB6A1B" w:rsidRDefault="00BB6BE6" w:rsidP="00BB6BE6">
            <w:pPr>
              <w:autoSpaceDE w:val="0"/>
              <w:autoSpaceDN w:val="0"/>
              <w:adjustRightInd w:val="0"/>
              <w:spacing w:after="0" w:line="320" w:lineRule="atLeast"/>
              <w:ind w:left="60" w:right="60"/>
              <w:rPr>
                <w:rFonts w:ascii="Times New Roman" w:hAnsi="Times New Roman" w:cs="Times New Roman"/>
                <w:color w:val="000000"/>
                <w:sz w:val="24"/>
                <w:szCs w:val="24"/>
              </w:rPr>
            </w:pPr>
            <w:r w:rsidRPr="00AB6A1B">
              <w:rPr>
                <w:rFonts w:ascii="Times New Roman" w:hAnsi="Times New Roman" w:cs="Times New Roman"/>
                <w:color w:val="000000"/>
                <w:sz w:val="24"/>
                <w:szCs w:val="24"/>
              </w:rPr>
              <w:t>ROA</w:t>
            </w:r>
          </w:p>
        </w:tc>
        <w:tc>
          <w:tcPr>
            <w:tcW w:w="850" w:type="dxa"/>
            <w:tcBorders>
              <w:top w:val="nil"/>
              <w:left w:val="single" w:sz="16" w:space="0" w:color="000000"/>
              <w:bottom w:val="nil"/>
            </w:tcBorders>
            <w:shd w:val="clear" w:color="auto" w:fill="FFFFFF"/>
            <w:vAlign w:val="center"/>
          </w:tcPr>
          <w:p w14:paraId="4AD032F0" w14:textId="77777777" w:rsidR="00BB6BE6" w:rsidRPr="00AB6A1B" w:rsidRDefault="00BB6BE6" w:rsidP="00BB6BE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150</w:t>
            </w:r>
          </w:p>
        </w:tc>
        <w:tc>
          <w:tcPr>
            <w:tcW w:w="1418" w:type="dxa"/>
            <w:tcBorders>
              <w:top w:val="nil"/>
              <w:bottom w:val="nil"/>
            </w:tcBorders>
            <w:shd w:val="clear" w:color="auto" w:fill="FFFFFF"/>
            <w:vAlign w:val="center"/>
          </w:tcPr>
          <w:p w14:paraId="303EED8B" w14:textId="77777777" w:rsidR="00BB6BE6" w:rsidRPr="00AB6A1B" w:rsidRDefault="00BB6BE6" w:rsidP="00BB6BE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-4.75</w:t>
            </w:r>
          </w:p>
        </w:tc>
        <w:tc>
          <w:tcPr>
            <w:tcW w:w="1232" w:type="dxa"/>
            <w:tcBorders>
              <w:top w:val="nil"/>
              <w:bottom w:val="nil"/>
            </w:tcBorders>
            <w:shd w:val="clear" w:color="auto" w:fill="FFFFFF"/>
            <w:vAlign w:val="center"/>
          </w:tcPr>
          <w:p w14:paraId="792BBB7E" w14:textId="77777777" w:rsidR="00BB6BE6" w:rsidRPr="00AB6A1B" w:rsidRDefault="00BB6BE6" w:rsidP="00BB6BE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7.20</w:t>
            </w:r>
          </w:p>
        </w:tc>
        <w:tc>
          <w:tcPr>
            <w:tcW w:w="1092" w:type="dxa"/>
            <w:tcBorders>
              <w:top w:val="nil"/>
              <w:bottom w:val="nil"/>
            </w:tcBorders>
            <w:shd w:val="clear" w:color="auto" w:fill="FFFFFF"/>
            <w:vAlign w:val="center"/>
          </w:tcPr>
          <w:p w14:paraId="1DC4D45A" w14:textId="77777777" w:rsidR="00BB6BE6" w:rsidRPr="00AB6A1B" w:rsidRDefault="00BB6BE6" w:rsidP="00BB6BE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1.5081</w:t>
            </w:r>
          </w:p>
        </w:tc>
        <w:tc>
          <w:tcPr>
            <w:tcW w:w="1445" w:type="dxa"/>
            <w:tcBorders>
              <w:top w:val="nil"/>
              <w:bottom w:val="nil"/>
              <w:right w:val="single" w:sz="16" w:space="0" w:color="000000"/>
            </w:tcBorders>
            <w:shd w:val="clear" w:color="auto" w:fill="FFFFFF"/>
            <w:vAlign w:val="center"/>
          </w:tcPr>
          <w:p w14:paraId="231332AD" w14:textId="77777777" w:rsidR="00BB6BE6" w:rsidRPr="00AB6A1B" w:rsidRDefault="00BB6BE6" w:rsidP="00BB6BE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1.38255</w:t>
            </w:r>
          </w:p>
        </w:tc>
      </w:tr>
      <w:tr w:rsidR="00BB6BE6" w:rsidRPr="00AB6A1B" w14:paraId="412DC024" w14:textId="77777777" w:rsidTr="00CB5C25">
        <w:trPr>
          <w:cantSplit/>
        </w:trPr>
        <w:tc>
          <w:tcPr>
            <w:tcW w:w="1418" w:type="dxa"/>
            <w:tcBorders>
              <w:top w:val="nil"/>
              <w:left w:val="single" w:sz="16" w:space="0" w:color="000000"/>
              <w:bottom w:val="nil"/>
              <w:right w:val="single" w:sz="16" w:space="0" w:color="000000"/>
            </w:tcBorders>
            <w:shd w:val="clear" w:color="auto" w:fill="FFFFFF"/>
          </w:tcPr>
          <w:p w14:paraId="38C0B99C" w14:textId="77777777" w:rsidR="00BB6BE6" w:rsidRPr="00AB6A1B" w:rsidRDefault="00BB6BE6" w:rsidP="00BB6BE6">
            <w:pPr>
              <w:autoSpaceDE w:val="0"/>
              <w:autoSpaceDN w:val="0"/>
              <w:adjustRightInd w:val="0"/>
              <w:spacing w:after="0" w:line="320" w:lineRule="atLeast"/>
              <w:ind w:left="60" w:right="60"/>
              <w:rPr>
                <w:rFonts w:ascii="Times New Roman" w:hAnsi="Times New Roman" w:cs="Times New Roman"/>
                <w:color w:val="000000"/>
                <w:sz w:val="24"/>
                <w:szCs w:val="24"/>
              </w:rPr>
            </w:pPr>
            <w:r w:rsidRPr="00AB6A1B">
              <w:rPr>
                <w:rFonts w:ascii="Times New Roman" w:hAnsi="Times New Roman" w:cs="Times New Roman"/>
                <w:color w:val="000000"/>
                <w:sz w:val="24"/>
                <w:szCs w:val="24"/>
              </w:rPr>
              <w:t>PDN</w:t>
            </w:r>
          </w:p>
        </w:tc>
        <w:tc>
          <w:tcPr>
            <w:tcW w:w="850" w:type="dxa"/>
            <w:tcBorders>
              <w:top w:val="nil"/>
              <w:left w:val="single" w:sz="16" w:space="0" w:color="000000"/>
              <w:bottom w:val="nil"/>
            </w:tcBorders>
            <w:shd w:val="clear" w:color="auto" w:fill="FFFFFF"/>
            <w:vAlign w:val="center"/>
          </w:tcPr>
          <w:p w14:paraId="549D5C67" w14:textId="77777777" w:rsidR="00BB6BE6" w:rsidRPr="00AB6A1B" w:rsidRDefault="00BB6BE6" w:rsidP="00BB6BE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150</w:t>
            </w:r>
          </w:p>
        </w:tc>
        <w:tc>
          <w:tcPr>
            <w:tcW w:w="1418" w:type="dxa"/>
            <w:tcBorders>
              <w:top w:val="nil"/>
              <w:bottom w:val="nil"/>
            </w:tcBorders>
            <w:shd w:val="clear" w:color="auto" w:fill="FFFFFF"/>
            <w:vAlign w:val="center"/>
          </w:tcPr>
          <w:p w14:paraId="33EEC73E" w14:textId="77777777" w:rsidR="00BB6BE6" w:rsidRPr="00AB6A1B" w:rsidRDefault="00BB6BE6" w:rsidP="00BB6BE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.00</w:t>
            </w:r>
          </w:p>
        </w:tc>
        <w:tc>
          <w:tcPr>
            <w:tcW w:w="1232" w:type="dxa"/>
            <w:tcBorders>
              <w:top w:val="nil"/>
              <w:bottom w:val="nil"/>
            </w:tcBorders>
            <w:shd w:val="clear" w:color="auto" w:fill="FFFFFF"/>
            <w:vAlign w:val="center"/>
          </w:tcPr>
          <w:p w14:paraId="6A5E579C" w14:textId="77777777" w:rsidR="00BB6BE6" w:rsidRPr="00AB6A1B" w:rsidRDefault="00BB6BE6" w:rsidP="00BB6BE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9.99</w:t>
            </w:r>
          </w:p>
        </w:tc>
        <w:tc>
          <w:tcPr>
            <w:tcW w:w="1092" w:type="dxa"/>
            <w:tcBorders>
              <w:top w:val="nil"/>
              <w:bottom w:val="nil"/>
            </w:tcBorders>
            <w:shd w:val="clear" w:color="auto" w:fill="FFFFFF"/>
            <w:vAlign w:val="center"/>
          </w:tcPr>
          <w:p w14:paraId="4053DD74" w14:textId="77777777" w:rsidR="00BB6BE6" w:rsidRPr="00AB6A1B" w:rsidRDefault="00BB6BE6" w:rsidP="00BB6BE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1.4718</w:t>
            </w:r>
          </w:p>
        </w:tc>
        <w:tc>
          <w:tcPr>
            <w:tcW w:w="1445" w:type="dxa"/>
            <w:tcBorders>
              <w:top w:val="nil"/>
              <w:bottom w:val="nil"/>
              <w:right w:val="single" w:sz="16" w:space="0" w:color="000000"/>
            </w:tcBorders>
            <w:shd w:val="clear" w:color="auto" w:fill="FFFFFF"/>
            <w:vAlign w:val="center"/>
          </w:tcPr>
          <w:p w14:paraId="6C63868D" w14:textId="77777777" w:rsidR="00BB6BE6" w:rsidRPr="00AB6A1B" w:rsidRDefault="00BB6BE6" w:rsidP="00BB6BE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1.90524</w:t>
            </w:r>
          </w:p>
        </w:tc>
      </w:tr>
      <w:tr w:rsidR="00BB6BE6" w:rsidRPr="00AB6A1B" w14:paraId="2BCBC831" w14:textId="77777777" w:rsidTr="00CB5C25">
        <w:trPr>
          <w:cantSplit/>
        </w:trPr>
        <w:tc>
          <w:tcPr>
            <w:tcW w:w="1418" w:type="dxa"/>
            <w:tcBorders>
              <w:top w:val="nil"/>
              <w:left w:val="single" w:sz="16" w:space="0" w:color="000000"/>
              <w:bottom w:val="nil"/>
              <w:right w:val="single" w:sz="16" w:space="0" w:color="000000"/>
            </w:tcBorders>
            <w:shd w:val="clear" w:color="auto" w:fill="FFFFFF"/>
          </w:tcPr>
          <w:p w14:paraId="1330F4BB" w14:textId="77777777" w:rsidR="00BB6BE6" w:rsidRPr="00AB6A1B" w:rsidRDefault="00BB6BE6" w:rsidP="00BB6BE6">
            <w:pPr>
              <w:autoSpaceDE w:val="0"/>
              <w:autoSpaceDN w:val="0"/>
              <w:adjustRightInd w:val="0"/>
              <w:spacing w:after="0" w:line="320" w:lineRule="atLeast"/>
              <w:ind w:left="60" w:right="60"/>
              <w:rPr>
                <w:rFonts w:ascii="Times New Roman" w:hAnsi="Times New Roman" w:cs="Times New Roman"/>
                <w:color w:val="000000"/>
                <w:sz w:val="24"/>
                <w:szCs w:val="24"/>
              </w:rPr>
            </w:pPr>
            <w:r w:rsidRPr="00AB6A1B">
              <w:rPr>
                <w:rFonts w:ascii="Times New Roman" w:hAnsi="Times New Roman" w:cs="Times New Roman"/>
                <w:color w:val="000000"/>
                <w:sz w:val="24"/>
                <w:szCs w:val="24"/>
              </w:rPr>
              <w:t>BOPO</w:t>
            </w:r>
          </w:p>
        </w:tc>
        <w:tc>
          <w:tcPr>
            <w:tcW w:w="850" w:type="dxa"/>
            <w:tcBorders>
              <w:top w:val="nil"/>
              <w:left w:val="single" w:sz="16" w:space="0" w:color="000000"/>
              <w:bottom w:val="nil"/>
            </w:tcBorders>
            <w:shd w:val="clear" w:color="auto" w:fill="FFFFFF"/>
            <w:vAlign w:val="center"/>
          </w:tcPr>
          <w:p w14:paraId="582960A1" w14:textId="77777777" w:rsidR="00BB6BE6" w:rsidRPr="00AB6A1B" w:rsidRDefault="00BB6BE6" w:rsidP="00BB6BE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150</w:t>
            </w:r>
          </w:p>
        </w:tc>
        <w:tc>
          <w:tcPr>
            <w:tcW w:w="1418" w:type="dxa"/>
            <w:tcBorders>
              <w:top w:val="nil"/>
              <w:bottom w:val="nil"/>
            </w:tcBorders>
            <w:shd w:val="clear" w:color="auto" w:fill="FFFFFF"/>
            <w:vAlign w:val="center"/>
          </w:tcPr>
          <w:p w14:paraId="466CF141" w14:textId="77777777" w:rsidR="00BB6BE6" w:rsidRPr="00AB6A1B" w:rsidRDefault="00BB6BE6" w:rsidP="00BB6BE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43.80</w:t>
            </w:r>
          </w:p>
        </w:tc>
        <w:tc>
          <w:tcPr>
            <w:tcW w:w="1232" w:type="dxa"/>
            <w:tcBorders>
              <w:top w:val="nil"/>
              <w:bottom w:val="nil"/>
            </w:tcBorders>
            <w:shd w:val="clear" w:color="auto" w:fill="FFFFFF"/>
            <w:vAlign w:val="center"/>
          </w:tcPr>
          <w:p w14:paraId="5C70329D" w14:textId="77777777" w:rsidR="00BB6BE6" w:rsidRPr="00AB6A1B" w:rsidRDefault="00BB6BE6" w:rsidP="00BB6BE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119.43</w:t>
            </w:r>
          </w:p>
        </w:tc>
        <w:tc>
          <w:tcPr>
            <w:tcW w:w="1092" w:type="dxa"/>
            <w:tcBorders>
              <w:top w:val="nil"/>
              <w:bottom w:val="nil"/>
            </w:tcBorders>
            <w:shd w:val="clear" w:color="auto" w:fill="FFFFFF"/>
            <w:vAlign w:val="center"/>
          </w:tcPr>
          <w:p w14:paraId="57528F5E" w14:textId="77777777" w:rsidR="00BB6BE6" w:rsidRPr="00AB6A1B" w:rsidRDefault="00BB6BE6" w:rsidP="00BB6BE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83.3184</w:t>
            </w:r>
          </w:p>
        </w:tc>
        <w:tc>
          <w:tcPr>
            <w:tcW w:w="1445" w:type="dxa"/>
            <w:tcBorders>
              <w:top w:val="nil"/>
              <w:bottom w:val="nil"/>
              <w:right w:val="single" w:sz="16" w:space="0" w:color="000000"/>
            </w:tcBorders>
            <w:shd w:val="clear" w:color="auto" w:fill="FFFFFF"/>
            <w:vAlign w:val="center"/>
          </w:tcPr>
          <w:p w14:paraId="1552FD4A" w14:textId="77777777" w:rsidR="00BB6BE6" w:rsidRPr="00AB6A1B" w:rsidRDefault="00BB6BE6" w:rsidP="00BB6BE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13.93840</w:t>
            </w:r>
          </w:p>
        </w:tc>
      </w:tr>
      <w:tr w:rsidR="00BB6BE6" w:rsidRPr="00AB6A1B" w14:paraId="419DB0FB" w14:textId="77777777" w:rsidTr="00CB5C25">
        <w:trPr>
          <w:cantSplit/>
        </w:trPr>
        <w:tc>
          <w:tcPr>
            <w:tcW w:w="1418" w:type="dxa"/>
            <w:tcBorders>
              <w:top w:val="nil"/>
              <w:left w:val="single" w:sz="16" w:space="0" w:color="000000"/>
              <w:bottom w:val="nil"/>
              <w:right w:val="single" w:sz="16" w:space="0" w:color="000000"/>
            </w:tcBorders>
            <w:shd w:val="clear" w:color="auto" w:fill="FFFFFF"/>
          </w:tcPr>
          <w:p w14:paraId="43CBBE24" w14:textId="77777777" w:rsidR="00BB6BE6" w:rsidRPr="00AB6A1B" w:rsidRDefault="00BB6BE6" w:rsidP="00BB6BE6">
            <w:pPr>
              <w:autoSpaceDE w:val="0"/>
              <w:autoSpaceDN w:val="0"/>
              <w:adjustRightInd w:val="0"/>
              <w:spacing w:after="0" w:line="320" w:lineRule="atLeast"/>
              <w:ind w:left="60" w:right="60"/>
              <w:rPr>
                <w:rFonts w:ascii="Times New Roman" w:hAnsi="Times New Roman" w:cs="Times New Roman"/>
                <w:color w:val="000000"/>
                <w:sz w:val="24"/>
                <w:szCs w:val="24"/>
              </w:rPr>
            </w:pPr>
            <w:r w:rsidRPr="00AB6A1B">
              <w:rPr>
                <w:rFonts w:ascii="Times New Roman" w:hAnsi="Times New Roman" w:cs="Times New Roman"/>
                <w:color w:val="000000"/>
                <w:sz w:val="24"/>
                <w:szCs w:val="24"/>
              </w:rPr>
              <w:t>DER</w:t>
            </w:r>
          </w:p>
        </w:tc>
        <w:tc>
          <w:tcPr>
            <w:tcW w:w="850" w:type="dxa"/>
            <w:tcBorders>
              <w:top w:val="nil"/>
              <w:left w:val="single" w:sz="16" w:space="0" w:color="000000"/>
              <w:bottom w:val="nil"/>
            </w:tcBorders>
            <w:shd w:val="clear" w:color="auto" w:fill="FFFFFF"/>
            <w:vAlign w:val="center"/>
          </w:tcPr>
          <w:p w14:paraId="7A4A49B6" w14:textId="77777777" w:rsidR="00BB6BE6" w:rsidRPr="00AB6A1B" w:rsidRDefault="00BB6BE6" w:rsidP="00BB6BE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150</w:t>
            </w:r>
          </w:p>
        </w:tc>
        <w:tc>
          <w:tcPr>
            <w:tcW w:w="1418" w:type="dxa"/>
            <w:tcBorders>
              <w:top w:val="nil"/>
              <w:bottom w:val="nil"/>
            </w:tcBorders>
            <w:shd w:val="clear" w:color="auto" w:fill="FFFFFF"/>
            <w:vAlign w:val="center"/>
          </w:tcPr>
          <w:p w14:paraId="0EFAB4C5" w14:textId="77777777" w:rsidR="00BB6BE6" w:rsidRPr="00AB6A1B" w:rsidRDefault="00BB6BE6" w:rsidP="00BB6BE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32.89</w:t>
            </w:r>
          </w:p>
        </w:tc>
        <w:tc>
          <w:tcPr>
            <w:tcW w:w="1232" w:type="dxa"/>
            <w:tcBorders>
              <w:top w:val="nil"/>
              <w:bottom w:val="nil"/>
            </w:tcBorders>
            <w:shd w:val="clear" w:color="auto" w:fill="FFFFFF"/>
            <w:vAlign w:val="center"/>
          </w:tcPr>
          <w:p w14:paraId="42F5A18A" w14:textId="77777777" w:rsidR="00BB6BE6" w:rsidRPr="00AB6A1B" w:rsidRDefault="00BB6BE6" w:rsidP="00BB6BE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1607.86</w:t>
            </w:r>
          </w:p>
        </w:tc>
        <w:tc>
          <w:tcPr>
            <w:tcW w:w="1092" w:type="dxa"/>
            <w:tcBorders>
              <w:top w:val="nil"/>
              <w:bottom w:val="nil"/>
            </w:tcBorders>
            <w:shd w:val="clear" w:color="auto" w:fill="FFFFFF"/>
            <w:vAlign w:val="center"/>
          </w:tcPr>
          <w:p w14:paraId="6442F8E8" w14:textId="77777777" w:rsidR="00BB6BE6" w:rsidRPr="00AB6A1B" w:rsidRDefault="00BB6BE6" w:rsidP="00BB6BE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559.9726</w:t>
            </w:r>
          </w:p>
        </w:tc>
        <w:tc>
          <w:tcPr>
            <w:tcW w:w="1445" w:type="dxa"/>
            <w:tcBorders>
              <w:top w:val="nil"/>
              <w:bottom w:val="nil"/>
              <w:right w:val="single" w:sz="16" w:space="0" w:color="000000"/>
            </w:tcBorders>
            <w:shd w:val="clear" w:color="auto" w:fill="FFFFFF"/>
            <w:vAlign w:val="center"/>
          </w:tcPr>
          <w:p w14:paraId="7853CAF2" w14:textId="77777777" w:rsidR="00BB6BE6" w:rsidRPr="00AB6A1B" w:rsidRDefault="00BB6BE6" w:rsidP="00BB6BE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257.06273</w:t>
            </w:r>
          </w:p>
        </w:tc>
      </w:tr>
      <w:tr w:rsidR="00BB6BE6" w:rsidRPr="00AB6A1B" w14:paraId="430301B8" w14:textId="77777777" w:rsidTr="00CB5C25">
        <w:trPr>
          <w:cantSplit/>
        </w:trPr>
        <w:tc>
          <w:tcPr>
            <w:tcW w:w="1418" w:type="dxa"/>
            <w:tcBorders>
              <w:top w:val="nil"/>
              <w:left w:val="single" w:sz="16" w:space="0" w:color="000000"/>
              <w:bottom w:val="nil"/>
              <w:right w:val="single" w:sz="16" w:space="0" w:color="000000"/>
            </w:tcBorders>
            <w:shd w:val="clear" w:color="auto" w:fill="FFFFFF"/>
          </w:tcPr>
          <w:p w14:paraId="599B6BD1" w14:textId="77777777" w:rsidR="00BB6BE6" w:rsidRPr="00AB6A1B" w:rsidRDefault="00BB6BE6" w:rsidP="00BB6BE6">
            <w:pPr>
              <w:autoSpaceDE w:val="0"/>
              <w:autoSpaceDN w:val="0"/>
              <w:adjustRightInd w:val="0"/>
              <w:spacing w:after="0" w:line="320" w:lineRule="atLeast"/>
              <w:ind w:left="60" w:right="60"/>
              <w:rPr>
                <w:rFonts w:ascii="Times New Roman" w:hAnsi="Times New Roman" w:cs="Times New Roman"/>
                <w:color w:val="000000"/>
                <w:sz w:val="24"/>
                <w:szCs w:val="24"/>
              </w:rPr>
            </w:pPr>
            <w:r w:rsidRPr="00AB6A1B">
              <w:rPr>
                <w:rFonts w:ascii="Times New Roman" w:hAnsi="Times New Roman" w:cs="Times New Roman"/>
                <w:color w:val="000000"/>
                <w:sz w:val="24"/>
                <w:szCs w:val="24"/>
              </w:rPr>
              <w:t>CAR</w:t>
            </w:r>
          </w:p>
        </w:tc>
        <w:tc>
          <w:tcPr>
            <w:tcW w:w="850" w:type="dxa"/>
            <w:tcBorders>
              <w:top w:val="nil"/>
              <w:left w:val="single" w:sz="16" w:space="0" w:color="000000"/>
              <w:bottom w:val="nil"/>
            </w:tcBorders>
            <w:shd w:val="clear" w:color="auto" w:fill="FFFFFF"/>
            <w:vAlign w:val="center"/>
          </w:tcPr>
          <w:p w14:paraId="3A841A93" w14:textId="77777777" w:rsidR="00BB6BE6" w:rsidRPr="00AB6A1B" w:rsidRDefault="00BB6BE6" w:rsidP="00BB6BE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150</w:t>
            </w:r>
          </w:p>
        </w:tc>
        <w:tc>
          <w:tcPr>
            <w:tcW w:w="1418" w:type="dxa"/>
            <w:tcBorders>
              <w:top w:val="nil"/>
              <w:bottom w:val="nil"/>
            </w:tcBorders>
            <w:shd w:val="clear" w:color="auto" w:fill="FFFFFF"/>
            <w:vAlign w:val="center"/>
          </w:tcPr>
          <w:p w14:paraId="78FC5796" w14:textId="77777777" w:rsidR="00BB6BE6" w:rsidRPr="00AB6A1B" w:rsidRDefault="00BB6BE6" w:rsidP="00BB6BE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10.78</w:t>
            </w:r>
          </w:p>
        </w:tc>
        <w:tc>
          <w:tcPr>
            <w:tcW w:w="1232" w:type="dxa"/>
            <w:tcBorders>
              <w:top w:val="nil"/>
              <w:bottom w:val="nil"/>
            </w:tcBorders>
            <w:shd w:val="clear" w:color="auto" w:fill="FFFFFF"/>
            <w:vAlign w:val="center"/>
          </w:tcPr>
          <w:p w14:paraId="03B8FBB3" w14:textId="77777777" w:rsidR="00BB6BE6" w:rsidRPr="00AB6A1B" w:rsidRDefault="00BB6BE6" w:rsidP="00BB6BE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119.23</w:t>
            </w:r>
          </w:p>
        </w:tc>
        <w:tc>
          <w:tcPr>
            <w:tcW w:w="1092" w:type="dxa"/>
            <w:tcBorders>
              <w:top w:val="nil"/>
              <w:bottom w:val="nil"/>
            </w:tcBorders>
            <w:shd w:val="clear" w:color="auto" w:fill="FFFFFF"/>
            <w:vAlign w:val="center"/>
          </w:tcPr>
          <w:p w14:paraId="6A9CAC36" w14:textId="77777777" w:rsidR="00BB6BE6" w:rsidRPr="00AB6A1B" w:rsidRDefault="00BB6BE6" w:rsidP="00BB6BE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28.7335</w:t>
            </w:r>
          </w:p>
        </w:tc>
        <w:tc>
          <w:tcPr>
            <w:tcW w:w="1445" w:type="dxa"/>
            <w:tcBorders>
              <w:top w:val="nil"/>
              <w:bottom w:val="nil"/>
              <w:right w:val="single" w:sz="16" w:space="0" w:color="000000"/>
            </w:tcBorders>
            <w:shd w:val="clear" w:color="auto" w:fill="FFFFFF"/>
            <w:vAlign w:val="center"/>
          </w:tcPr>
          <w:p w14:paraId="17877793" w14:textId="77777777" w:rsidR="00BB6BE6" w:rsidRPr="00AB6A1B" w:rsidRDefault="00BB6BE6" w:rsidP="00BB6BE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15.99262</w:t>
            </w:r>
          </w:p>
        </w:tc>
      </w:tr>
      <w:tr w:rsidR="00BB6BE6" w:rsidRPr="00AB6A1B" w14:paraId="103B81B8" w14:textId="77777777" w:rsidTr="00CB5C25">
        <w:trPr>
          <w:cantSplit/>
        </w:trPr>
        <w:tc>
          <w:tcPr>
            <w:tcW w:w="1418" w:type="dxa"/>
            <w:tcBorders>
              <w:top w:val="nil"/>
              <w:left w:val="single" w:sz="16" w:space="0" w:color="000000"/>
              <w:bottom w:val="single" w:sz="16" w:space="0" w:color="000000"/>
              <w:right w:val="single" w:sz="16" w:space="0" w:color="000000"/>
            </w:tcBorders>
            <w:shd w:val="clear" w:color="auto" w:fill="FFFFFF"/>
          </w:tcPr>
          <w:p w14:paraId="6565B5FA" w14:textId="77777777" w:rsidR="00BB6BE6" w:rsidRPr="00AB6A1B" w:rsidRDefault="00BB6BE6" w:rsidP="00BB6BE6">
            <w:pPr>
              <w:autoSpaceDE w:val="0"/>
              <w:autoSpaceDN w:val="0"/>
              <w:adjustRightInd w:val="0"/>
              <w:spacing w:after="0" w:line="320" w:lineRule="atLeast"/>
              <w:ind w:left="60" w:right="60"/>
              <w:rPr>
                <w:rFonts w:ascii="Times New Roman" w:hAnsi="Times New Roman" w:cs="Times New Roman"/>
                <w:color w:val="000000"/>
                <w:sz w:val="24"/>
                <w:szCs w:val="24"/>
              </w:rPr>
            </w:pPr>
            <w:r w:rsidRPr="00AB6A1B">
              <w:rPr>
                <w:rFonts w:ascii="Times New Roman" w:hAnsi="Times New Roman" w:cs="Times New Roman"/>
                <w:color w:val="000000"/>
                <w:sz w:val="24"/>
                <w:szCs w:val="24"/>
              </w:rPr>
              <w:t>Valid N (listwise)</w:t>
            </w:r>
          </w:p>
        </w:tc>
        <w:tc>
          <w:tcPr>
            <w:tcW w:w="850" w:type="dxa"/>
            <w:tcBorders>
              <w:top w:val="nil"/>
              <w:left w:val="single" w:sz="16" w:space="0" w:color="000000"/>
              <w:bottom w:val="single" w:sz="16" w:space="0" w:color="000000"/>
            </w:tcBorders>
            <w:shd w:val="clear" w:color="auto" w:fill="FFFFFF"/>
            <w:vAlign w:val="center"/>
          </w:tcPr>
          <w:p w14:paraId="0A031243" w14:textId="77777777" w:rsidR="00BB6BE6" w:rsidRPr="00AB6A1B" w:rsidRDefault="00BB6BE6" w:rsidP="00BB6BE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150</w:t>
            </w:r>
          </w:p>
        </w:tc>
        <w:tc>
          <w:tcPr>
            <w:tcW w:w="1418" w:type="dxa"/>
            <w:tcBorders>
              <w:top w:val="nil"/>
              <w:bottom w:val="single" w:sz="16" w:space="0" w:color="000000"/>
            </w:tcBorders>
            <w:shd w:val="clear" w:color="auto" w:fill="FFFFFF"/>
            <w:vAlign w:val="center"/>
          </w:tcPr>
          <w:p w14:paraId="32E05108" w14:textId="77777777" w:rsidR="00BB6BE6" w:rsidRPr="00AB6A1B" w:rsidRDefault="00BB6BE6" w:rsidP="00BB6BE6">
            <w:pPr>
              <w:autoSpaceDE w:val="0"/>
              <w:autoSpaceDN w:val="0"/>
              <w:adjustRightInd w:val="0"/>
              <w:spacing w:after="0" w:line="240" w:lineRule="auto"/>
              <w:rPr>
                <w:rFonts w:ascii="Times New Roman" w:hAnsi="Times New Roman" w:cs="Times New Roman"/>
                <w:sz w:val="24"/>
                <w:szCs w:val="24"/>
              </w:rPr>
            </w:pPr>
          </w:p>
        </w:tc>
        <w:tc>
          <w:tcPr>
            <w:tcW w:w="1232" w:type="dxa"/>
            <w:tcBorders>
              <w:top w:val="nil"/>
              <w:bottom w:val="single" w:sz="16" w:space="0" w:color="000000"/>
            </w:tcBorders>
            <w:shd w:val="clear" w:color="auto" w:fill="FFFFFF"/>
            <w:vAlign w:val="center"/>
          </w:tcPr>
          <w:p w14:paraId="62917EB0" w14:textId="77777777" w:rsidR="00BB6BE6" w:rsidRPr="00AB6A1B" w:rsidRDefault="00BB6BE6" w:rsidP="00BB6BE6">
            <w:pPr>
              <w:autoSpaceDE w:val="0"/>
              <w:autoSpaceDN w:val="0"/>
              <w:adjustRightInd w:val="0"/>
              <w:spacing w:after="0" w:line="240" w:lineRule="auto"/>
              <w:rPr>
                <w:rFonts w:ascii="Times New Roman" w:hAnsi="Times New Roman" w:cs="Times New Roman"/>
                <w:sz w:val="24"/>
                <w:szCs w:val="24"/>
              </w:rPr>
            </w:pPr>
          </w:p>
        </w:tc>
        <w:tc>
          <w:tcPr>
            <w:tcW w:w="1092" w:type="dxa"/>
            <w:tcBorders>
              <w:top w:val="nil"/>
              <w:bottom w:val="single" w:sz="16" w:space="0" w:color="000000"/>
            </w:tcBorders>
            <w:shd w:val="clear" w:color="auto" w:fill="FFFFFF"/>
            <w:vAlign w:val="center"/>
          </w:tcPr>
          <w:p w14:paraId="02B61D87" w14:textId="77777777" w:rsidR="00BB6BE6" w:rsidRPr="00AB6A1B" w:rsidRDefault="00BB6BE6" w:rsidP="00BB6BE6">
            <w:pPr>
              <w:autoSpaceDE w:val="0"/>
              <w:autoSpaceDN w:val="0"/>
              <w:adjustRightInd w:val="0"/>
              <w:spacing w:after="0" w:line="240" w:lineRule="auto"/>
              <w:rPr>
                <w:rFonts w:ascii="Times New Roman" w:hAnsi="Times New Roman" w:cs="Times New Roman"/>
                <w:sz w:val="24"/>
                <w:szCs w:val="24"/>
              </w:rPr>
            </w:pPr>
          </w:p>
        </w:tc>
        <w:tc>
          <w:tcPr>
            <w:tcW w:w="1445" w:type="dxa"/>
            <w:tcBorders>
              <w:top w:val="nil"/>
              <w:bottom w:val="single" w:sz="16" w:space="0" w:color="000000"/>
              <w:right w:val="single" w:sz="16" w:space="0" w:color="000000"/>
            </w:tcBorders>
            <w:shd w:val="clear" w:color="auto" w:fill="FFFFFF"/>
            <w:vAlign w:val="center"/>
          </w:tcPr>
          <w:p w14:paraId="1F9773A0" w14:textId="77777777" w:rsidR="00BB6BE6" w:rsidRPr="00AB6A1B" w:rsidRDefault="00BB6BE6" w:rsidP="00681ACB">
            <w:pPr>
              <w:keepNext/>
              <w:autoSpaceDE w:val="0"/>
              <w:autoSpaceDN w:val="0"/>
              <w:adjustRightInd w:val="0"/>
              <w:spacing w:after="0" w:line="240" w:lineRule="auto"/>
              <w:rPr>
                <w:rFonts w:ascii="Times New Roman" w:hAnsi="Times New Roman" w:cs="Times New Roman"/>
                <w:sz w:val="24"/>
                <w:szCs w:val="24"/>
              </w:rPr>
            </w:pPr>
          </w:p>
        </w:tc>
      </w:tr>
    </w:tbl>
    <w:p w14:paraId="736D460B" w14:textId="77777777" w:rsidR="00AB6A1B" w:rsidRPr="00AB6A1B" w:rsidRDefault="00AB6A1B" w:rsidP="00AB6A1B">
      <w:pPr>
        <w:spacing w:line="480" w:lineRule="auto"/>
        <w:rPr>
          <w:rFonts w:ascii="Times New Roman" w:hAnsi="Times New Roman" w:cs="Times New Roman"/>
          <w:sz w:val="24"/>
          <w:szCs w:val="24"/>
        </w:rPr>
      </w:pPr>
    </w:p>
    <w:p w14:paraId="0CF741CF" w14:textId="6512A322" w:rsidR="00D06E2A" w:rsidRPr="00AB6A1B" w:rsidRDefault="00AB6A1B" w:rsidP="00AB6A1B">
      <w:pPr>
        <w:pStyle w:val="ListParagraph"/>
        <w:spacing w:line="480" w:lineRule="auto"/>
        <w:ind w:left="1134" w:firstLine="142"/>
        <w:jc w:val="both"/>
        <w:rPr>
          <w:rFonts w:ascii="Times New Roman" w:hAnsi="Times New Roman" w:cs="Times New Roman"/>
          <w:sz w:val="24"/>
          <w:szCs w:val="24"/>
        </w:rPr>
      </w:pPr>
      <w:r w:rsidRPr="00AB6A1B">
        <w:rPr>
          <w:rFonts w:ascii="Times New Roman" w:hAnsi="Times New Roman" w:cs="Times New Roman"/>
          <w:sz w:val="24"/>
          <w:szCs w:val="24"/>
        </w:rPr>
        <w:t>Sumber : Output SPSS 22, data yang diolah (2024)</w:t>
      </w:r>
    </w:p>
    <w:p w14:paraId="4FC61C89" w14:textId="344E00AA" w:rsidR="00291F58" w:rsidRPr="004D1BDD" w:rsidRDefault="00291F58" w:rsidP="00CB0619">
      <w:pPr>
        <w:pStyle w:val="ListParagraph"/>
        <w:spacing w:line="480" w:lineRule="auto"/>
        <w:ind w:left="1134" w:firstLine="306"/>
        <w:jc w:val="both"/>
        <w:rPr>
          <w:rFonts w:ascii="Times New Roman" w:hAnsi="Times New Roman" w:cs="Times New Roman"/>
          <w:iCs/>
          <w:sz w:val="24"/>
          <w:szCs w:val="24"/>
          <w:lang w:val="nl-NL"/>
        </w:rPr>
      </w:pPr>
      <w:r w:rsidRPr="004D1BDD">
        <w:rPr>
          <w:rFonts w:ascii="Times New Roman" w:hAnsi="Times New Roman" w:cs="Times New Roman"/>
          <w:sz w:val="24"/>
          <w:szCs w:val="24"/>
          <w:lang w:val="nl-NL"/>
        </w:rPr>
        <w:t xml:space="preserve">Berdasarkan tabel 6 di atas, menunjukkan hasil uji statistik deskriptif. Jumlah sampel digunakan yaitu 150 untuk setiap variabel. Secara statistik, hasil analisis variabel kualitas asset menunjukkan nilai minimum sebesar </w:t>
      </w:r>
      <w:r w:rsidRPr="004D1BDD">
        <w:rPr>
          <w:rFonts w:ascii="Times New Roman" w:hAnsi="Times New Roman" w:cs="Times New Roman"/>
          <w:sz w:val="24"/>
          <w:szCs w:val="24"/>
          <w:lang w:val="nl-NL"/>
        </w:rPr>
        <w:lastRenderedPageBreak/>
        <w:t xml:space="preserve">10,78 dan nilai maksimum sebesar 119,23 dengan rata-rata sebesar </w:t>
      </w:r>
      <w:r w:rsidRPr="004D1BDD">
        <w:rPr>
          <w:rFonts w:ascii="Times New Roman" w:hAnsi="Times New Roman" w:cs="Times New Roman"/>
          <w:iCs/>
          <w:sz w:val="24"/>
          <w:szCs w:val="24"/>
          <w:lang w:val="nl-NL"/>
        </w:rPr>
        <w:t xml:space="preserve">28,7335 </w:t>
      </w:r>
      <w:r w:rsidRPr="004D1BDD">
        <w:rPr>
          <w:rFonts w:ascii="Times New Roman" w:hAnsi="Times New Roman" w:cs="Times New Roman"/>
          <w:sz w:val="24"/>
          <w:szCs w:val="24"/>
          <w:lang w:val="nl-NL"/>
        </w:rPr>
        <w:t xml:space="preserve">dan standar deviasinya sebesar </w:t>
      </w:r>
      <w:r w:rsidRPr="004D1BDD">
        <w:rPr>
          <w:rFonts w:ascii="Times New Roman" w:hAnsi="Times New Roman" w:cs="Times New Roman"/>
          <w:iCs/>
          <w:sz w:val="24"/>
          <w:szCs w:val="24"/>
          <w:lang w:val="nl-NL"/>
        </w:rPr>
        <w:t>15,99262.</w:t>
      </w:r>
    </w:p>
    <w:p w14:paraId="21D967FF" w14:textId="0174F368" w:rsidR="00CB0619" w:rsidRDefault="00291F58" w:rsidP="00CB0619">
      <w:pPr>
        <w:pStyle w:val="ListParagraph"/>
        <w:spacing w:line="480" w:lineRule="auto"/>
        <w:ind w:left="1134" w:firstLine="306"/>
        <w:jc w:val="both"/>
        <w:rPr>
          <w:rFonts w:ascii="Times New Roman" w:hAnsi="Times New Roman" w:cs="Times New Roman"/>
          <w:sz w:val="24"/>
          <w:szCs w:val="24"/>
        </w:rPr>
      </w:pPr>
      <w:r w:rsidRPr="004D1BDD">
        <w:rPr>
          <w:rFonts w:ascii="Times New Roman" w:hAnsi="Times New Roman" w:cs="Times New Roman"/>
          <w:sz w:val="24"/>
          <w:szCs w:val="24"/>
          <w:lang w:val="nl-NL"/>
        </w:rPr>
        <w:t xml:space="preserve">Hasil statistik perhitungan variabel independen </w:t>
      </w:r>
      <w:r w:rsidR="001E143E" w:rsidRPr="004D1BDD">
        <w:rPr>
          <w:rFonts w:ascii="Times New Roman" w:hAnsi="Times New Roman" w:cs="Times New Roman"/>
          <w:sz w:val="24"/>
          <w:szCs w:val="24"/>
          <w:lang w:val="nl-NL"/>
        </w:rPr>
        <w:t xml:space="preserve">kualitas asset </w:t>
      </w:r>
      <w:r w:rsidRPr="004D1BDD">
        <w:rPr>
          <w:rFonts w:ascii="Times New Roman" w:hAnsi="Times New Roman" w:cs="Times New Roman"/>
          <w:sz w:val="24"/>
          <w:szCs w:val="24"/>
          <w:lang w:val="nl-NL"/>
        </w:rPr>
        <w:t xml:space="preserve">diperoleh nilai </w:t>
      </w:r>
      <w:r w:rsidR="001E143E" w:rsidRPr="004D1BDD">
        <w:rPr>
          <w:rFonts w:ascii="Times New Roman" w:hAnsi="Times New Roman" w:cs="Times New Roman"/>
          <w:sz w:val="24"/>
          <w:szCs w:val="24"/>
          <w:lang w:val="nl-NL"/>
        </w:rPr>
        <w:t>minimum -3,30 dan nilai maksimum 7,79</w:t>
      </w:r>
      <w:r w:rsidRPr="004D1BDD">
        <w:rPr>
          <w:rFonts w:ascii="Times New Roman" w:hAnsi="Times New Roman" w:cs="Times New Roman"/>
          <w:sz w:val="24"/>
          <w:szCs w:val="24"/>
          <w:lang w:val="nl-NL"/>
        </w:rPr>
        <w:t>. Be</w:t>
      </w:r>
      <w:r w:rsidR="001E143E" w:rsidRPr="004D1BDD">
        <w:rPr>
          <w:rFonts w:ascii="Times New Roman" w:hAnsi="Times New Roman" w:cs="Times New Roman"/>
          <w:sz w:val="24"/>
          <w:szCs w:val="24"/>
          <w:lang w:val="nl-NL"/>
        </w:rPr>
        <w:t>sarnya rata-rata adalah 2,8285</w:t>
      </w:r>
      <w:r w:rsidRPr="004D1BDD">
        <w:rPr>
          <w:rFonts w:ascii="Times New Roman" w:hAnsi="Times New Roman" w:cs="Times New Roman"/>
          <w:sz w:val="24"/>
          <w:szCs w:val="24"/>
          <w:lang w:val="nl-NL"/>
        </w:rPr>
        <w:t xml:space="preserve"> dengan nilai stan</w:t>
      </w:r>
      <w:r w:rsidR="001E143E" w:rsidRPr="004D1BDD">
        <w:rPr>
          <w:rFonts w:ascii="Times New Roman" w:hAnsi="Times New Roman" w:cs="Times New Roman"/>
          <w:sz w:val="24"/>
          <w:szCs w:val="24"/>
          <w:lang w:val="nl-NL"/>
        </w:rPr>
        <w:t>dar deviasinya sebesar 1,58217</w:t>
      </w:r>
      <w:r w:rsidRPr="004D1BDD">
        <w:rPr>
          <w:rFonts w:ascii="Times New Roman" w:hAnsi="Times New Roman" w:cs="Times New Roman"/>
          <w:sz w:val="24"/>
          <w:szCs w:val="24"/>
          <w:lang w:val="nl-NL"/>
        </w:rPr>
        <w:t>. Nilai min</w:t>
      </w:r>
      <w:r w:rsidR="001E143E" w:rsidRPr="004D1BDD">
        <w:rPr>
          <w:rFonts w:ascii="Times New Roman" w:hAnsi="Times New Roman" w:cs="Times New Roman"/>
          <w:sz w:val="24"/>
          <w:szCs w:val="24"/>
          <w:lang w:val="nl-NL"/>
        </w:rPr>
        <w:t>imum variabel rentabilitas didapatkan sejumlah -4,75</w:t>
      </w:r>
      <w:r w:rsidRPr="004D1BDD">
        <w:rPr>
          <w:rFonts w:ascii="Times New Roman" w:hAnsi="Times New Roman" w:cs="Times New Roman"/>
          <w:sz w:val="24"/>
          <w:szCs w:val="24"/>
          <w:lang w:val="nl-NL"/>
        </w:rPr>
        <w:t xml:space="preserve"> dan nil</w:t>
      </w:r>
      <w:r w:rsidR="001E143E" w:rsidRPr="004D1BDD">
        <w:rPr>
          <w:rFonts w:ascii="Times New Roman" w:hAnsi="Times New Roman" w:cs="Times New Roman"/>
          <w:sz w:val="24"/>
          <w:szCs w:val="24"/>
          <w:lang w:val="nl-NL"/>
        </w:rPr>
        <w:t>ai maksimumnya sejumlah 7,20</w:t>
      </w:r>
      <w:r w:rsidRPr="004D1BDD">
        <w:rPr>
          <w:rFonts w:ascii="Times New Roman" w:hAnsi="Times New Roman" w:cs="Times New Roman"/>
          <w:sz w:val="24"/>
          <w:szCs w:val="24"/>
          <w:lang w:val="nl-NL"/>
        </w:rPr>
        <w:t>. Nilai rata-rata (me</w:t>
      </w:r>
      <w:r w:rsidR="001E143E" w:rsidRPr="004D1BDD">
        <w:rPr>
          <w:rFonts w:ascii="Times New Roman" w:hAnsi="Times New Roman" w:cs="Times New Roman"/>
          <w:sz w:val="24"/>
          <w:szCs w:val="24"/>
          <w:lang w:val="nl-NL"/>
        </w:rPr>
        <w:t>an) diperoleh sebesar 1,5081</w:t>
      </w:r>
      <w:r w:rsidRPr="004D1BDD">
        <w:rPr>
          <w:rFonts w:ascii="Times New Roman" w:hAnsi="Times New Roman" w:cs="Times New Roman"/>
          <w:sz w:val="24"/>
          <w:szCs w:val="24"/>
          <w:lang w:val="nl-NL"/>
        </w:rPr>
        <w:t xml:space="preserve"> denga</w:t>
      </w:r>
      <w:r w:rsidR="001E143E" w:rsidRPr="004D1BDD">
        <w:rPr>
          <w:rFonts w:ascii="Times New Roman" w:hAnsi="Times New Roman" w:cs="Times New Roman"/>
          <w:sz w:val="24"/>
          <w:szCs w:val="24"/>
          <w:lang w:val="nl-NL"/>
        </w:rPr>
        <w:t xml:space="preserve">n standar deviasinya 1,38255. </w:t>
      </w:r>
      <w:r w:rsidR="001E143E" w:rsidRPr="00CB0619">
        <w:rPr>
          <w:rFonts w:ascii="Times New Roman" w:hAnsi="Times New Roman" w:cs="Times New Roman"/>
          <w:sz w:val="24"/>
          <w:szCs w:val="24"/>
        </w:rPr>
        <w:t>Variabel sensitivitas risiko pasar nilai minimumnya yaitu 0,00 dan nilai maksimumnya yaitu 9,99</w:t>
      </w:r>
      <w:r w:rsidRPr="00CB0619">
        <w:rPr>
          <w:rFonts w:ascii="Times New Roman" w:hAnsi="Times New Roman" w:cs="Times New Roman"/>
          <w:sz w:val="24"/>
          <w:szCs w:val="24"/>
        </w:rPr>
        <w:t>. Bes</w:t>
      </w:r>
      <w:r w:rsidR="001E143E" w:rsidRPr="00CB0619">
        <w:rPr>
          <w:rFonts w:ascii="Times New Roman" w:hAnsi="Times New Roman" w:cs="Times New Roman"/>
          <w:sz w:val="24"/>
          <w:szCs w:val="24"/>
        </w:rPr>
        <w:t>arnya nilai mean yaitu 1,4718</w:t>
      </w:r>
      <w:r w:rsidRPr="00CB0619">
        <w:rPr>
          <w:rFonts w:ascii="Times New Roman" w:hAnsi="Times New Roman" w:cs="Times New Roman"/>
          <w:sz w:val="24"/>
          <w:szCs w:val="24"/>
        </w:rPr>
        <w:t xml:space="preserve"> dengan st</w:t>
      </w:r>
      <w:r w:rsidR="001E143E" w:rsidRPr="00CB0619">
        <w:rPr>
          <w:rFonts w:ascii="Times New Roman" w:hAnsi="Times New Roman" w:cs="Times New Roman"/>
          <w:sz w:val="24"/>
          <w:szCs w:val="24"/>
        </w:rPr>
        <w:t>andar deviasinya yaitu 1,90524</w:t>
      </w:r>
      <w:r w:rsidRPr="00CB0619">
        <w:rPr>
          <w:rFonts w:ascii="Times New Roman" w:hAnsi="Times New Roman" w:cs="Times New Roman"/>
          <w:sz w:val="24"/>
          <w:szCs w:val="24"/>
        </w:rPr>
        <w:t xml:space="preserve">. Serta untuk variabel </w:t>
      </w:r>
      <w:r w:rsidR="001E143E" w:rsidRPr="00CB0619">
        <w:rPr>
          <w:rFonts w:ascii="Times New Roman" w:hAnsi="Times New Roman" w:cs="Times New Roman"/>
          <w:sz w:val="24"/>
          <w:szCs w:val="24"/>
        </w:rPr>
        <w:t>efisiensi operasional</w:t>
      </w:r>
      <w:r w:rsidRPr="00CB0619">
        <w:rPr>
          <w:rFonts w:ascii="Times New Roman" w:hAnsi="Times New Roman" w:cs="Times New Roman"/>
          <w:sz w:val="24"/>
          <w:szCs w:val="24"/>
        </w:rPr>
        <w:t xml:space="preserve"> diperoleh has</w:t>
      </w:r>
      <w:r w:rsidR="001E143E" w:rsidRPr="00CB0619">
        <w:rPr>
          <w:rFonts w:ascii="Times New Roman" w:hAnsi="Times New Roman" w:cs="Times New Roman"/>
          <w:sz w:val="24"/>
          <w:szCs w:val="24"/>
        </w:rPr>
        <w:t>il nilai minimum sejumlah 43,80</w:t>
      </w:r>
      <w:r w:rsidRPr="00CB0619">
        <w:rPr>
          <w:rFonts w:ascii="Times New Roman" w:hAnsi="Times New Roman" w:cs="Times New Roman"/>
          <w:sz w:val="24"/>
          <w:szCs w:val="24"/>
        </w:rPr>
        <w:t xml:space="preserve"> dan nilai </w:t>
      </w:r>
      <w:r w:rsidR="001E143E" w:rsidRPr="00CB0619">
        <w:rPr>
          <w:rFonts w:ascii="Times New Roman" w:hAnsi="Times New Roman" w:cs="Times New Roman"/>
          <w:sz w:val="24"/>
          <w:szCs w:val="24"/>
        </w:rPr>
        <w:t>maksimunya yaitu sejumlah 119,43</w:t>
      </w:r>
      <w:r w:rsidRPr="00CB0619">
        <w:rPr>
          <w:rFonts w:ascii="Times New Roman" w:hAnsi="Times New Roman" w:cs="Times New Roman"/>
          <w:sz w:val="24"/>
          <w:szCs w:val="24"/>
        </w:rPr>
        <w:t xml:space="preserve"> dengan besarnya nilai rata-rata dan s</w:t>
      </w:r>
      <w:r w:rsidR="001E143E" w:rsidRPr="00CB0619">
        <w:rPr>
          <w:rFonts w:ascii="Times New Roman" w:hAnsi="Times New Roman" w:cs="Times New Roman"/>
          <w:sz w:val="24"/>
          <w:szCs w:val="24"/>
        </w:rPr>
        <w:t>tandar deviasinya yakni 83,3184 dan 13,93840</w:t>
      </w:r>
      <w:r w:rsidRPr="00CB0619">
        <w:rPr>
          <w:rFonts w:ascii="Times New Roman" w:hAnsi="Times New Roman" w:cs="Times New Roman"/>
          <w:sz w:val="24"/>
          <w:szCs w:val="24"/>
        </w:rPr>
        <w:t>.</w:t>
      </w:r>
      <w:r w:rsidR="001E143E" w:rsidRPr="00CB0619">
        <w:rPr>
          <w:rFonts w:ascii="Times New Roman" w:hAnsi="Times New Roman" w:cs="Times New Roman"/>
          <w:sz w:val="24"/>
          <w:szCs w:val="24"/>
        </w:rPr>
        <w:t xml:space="preserve"> </w:t>
      </w:r>
      <w:r w:rsidR="001E143E" w:rsidRPr="004D1BDD">
        <w:rPr>
          <w:rFonts w:ascii="Times New Roman" w:hAnsi="Times New Roman" w:cs="Times New Roman"/>
          <w:sz w:val="24"/>
          <w:szCs w:val="24"/>
          <w:lang w:val="nl-NL"/>
        </w:rPr>
        <w:t xml:space="preserve">Dan untuk variabel </w:t>
      </w:r>
      <w:r w:rsidR="001E143E" w:rsidRPr="004D1BDD">
        <w:rPr>
          <w:rFonts w:ascii="Times New Roman" w:hAnsi="Times New Roman" w:cs="Times New Roman"/>
          <w:i/>
          <w:sz w:val="24"/>
          <w:szCs w:val="24"/>
          <w:lang w:val="nl-NL"/>
        </w:rPr>
        <w:t xml:space="preserve">leverage </w:t>
      </w:r>
      <w:r w:rsidR="001E143E" w:rsidRPr="004D1BDD">
        <w:rPr>
          <w:rFonts w:ascii="Times New Roman" w:hAnsi="Times New Roman" w:cs="Times New Roman"/>
          <w:sz w:val="24"/>
          <w:szCs w:val="24"/>
          <w:lang w:val="nl-NL"/>
        </w:rPr>
        <w:t xml:space="preserve">nilai minimumnya yaitu 32,89 dan nilai maksimumnya yaitu 1607,86. </w:t>
      </w:r>
      <w:r w:rsidR="001E143E" w:rsidRPr="00CB0619">
        <w:rPr>
          <w:rFonts w:ascii="Times New Roman" w:hAnsi="Times New Roman" w:cs="Times New Roman"/>
          <w:sz w:val="24"/>
          <w:szCs w:val="24"/>
        </w:rPr>
        <w:t>Besarnya nilai mean yaitu 559,9726 dengan standar deviasinya yaitu 257</w:t>
      </w:r>
      <w:r w:rsidR="00CB0619" w:rsidRPr="00CB0619">
        <w:rPr>
          <w:rFonts w:ascii="Times New Roman" w:hAnsi="Times New Roman" w:cs="Times New Roman"/>
          <w:sz w:val="24"/>
          <w:szCs w:val="24"/>
        </w:rPr>
        <w:t>,06273</w:t>
      </w:r>
      <w:r w:rsidR="001E143E" w:rsidRPr="00CB0619">
        <w:rPr>
          <w:rFonts w:ascii="Times New Roman" w:hAnsi="Times New Roman" w:cs="Times New Roman"/>
          <w:sz w:val="24"/>
          <w:szCs w:val="24"/>
        </w:rPr>
        <w:t xml:space="preserve">. </w:t>
      </w:r>
    </w:p>
    <w:p w14:paraId="26247A12" w14:textId="77777777" w:rsidR="00187459" w:rsidRDefault="00187459" w:rsidP="00CB0619">
      <w:pPr>
        <w:pStyle w:val="ListParagraph"/>
        <w:spacing w:line="480" w:lineRule="auto"/>
        <w:ind w:left="1134" w:firstLine="306"/>
        <w:jc w:val="both"/>
        <w:rPr>
          <w:rFonts w:ascii="Times New Roman" w:hAnsi="Times New Roman" w:cs="Times New Roman"/>
          <w:sz w:val="24"/>
          <w:szCs w:val="24"/>
        </w:rPr>
      </w:pPr>
    </w:p>
    <w:p w14:paraId="606BDC47" w14:textId="77777777" w:rsidR="00187459" w:rsidRDefault="00187459" w:rsidP="00CB0619">
      <w:pPr>
        <w:pStyle w:val="ListParagraph"/>
        <w:spacing w:line="480" w:lineRule="auto"/>
        <w:ind w:left="1134" w:firstLine="306"/>
        <w:jc w:val="both"/>
        <w:rPr>
          <w:rFonts w:ascii="Times New Roman" w:hAnsi="Times New Roman" w:cs="Times New Roman"/>
          <w:sz w:val="24"/>
          <w:szCs w:val="24"/>
        </w:rPr>
      </w:pPr>
    </w:p>
    <w:p w14:paraId="24EE8489" w14:textId="77777777" w:rsidR="00187459" w:rsidRDefault="00187459" w:rsidP="00CB0619">
      <w:pPr>
        <w:pStyle w:val="ListParagraph"/>
        <w:spacing w:line="480" w:lineRule="auto"/>
        <w:ind w:left="1134" w:firstLine="306"/>
        <w:jc w:val="both"/>
        <w:rPr>
          <w:rFonts w:ascii="Times New Roman" w:hAnsi="Times New Roman" w:cs="Times New Roman"/>
          <w:sz w:val="24"/>
          <w:szCs w:val="24"/>
        </w:rPr>
      </w:pPr>
    </w:p>
    <w:p w14:paraId="6D5F2F18" w14:textId="77777777" w:rsidR="00187459" w:rsidRDefault="00187459" w:rsidP="00CB0619">
      <w:pPr>
        <w:pStyle w:val="ListParagraph"/>
        <w:spacing w:line="480" w:lineRule="auto"/>
        <w:ind w:left="1134" w:firstLine="306"/>
        <w:jc w:val="both"/>
        <w:rPr>
          <w:rFonts w:ascii="Times New Roman" w:hAnsi="Times New Roman" w:cs="Times New Roman"/>
          <w:sz w:val="24"/>
          <w:szCs w:val="24"/>
        </w:rPr>
      </w:pPr>
    </w:p>
    <w:p w14:paraId="779E95D0" w14:textId="77777777" w:rsidR="00187459" w:rsidRDefault="00187459" w:rsidP="00CB0619">
      <w:pPr>
        <w:pStyle w:val="ListParagraph"/>
        <w:spacing w:line="480" w:lineRule="auto"/>
        <w:ind w:left="1134" w:firstLine="306"/>
        <w:jc w:val="both"/>
        <w:rPr>
          <w:rFonts w:ascii="Times New Roman" w:hAnsi="Times New Roman" w:cs="Times New Roman"/>
          <w:sz w:val="24"/>
          <w:szCs w:val="24"/>
        </w:rPr>
      </w:pPr>
    </w:p>
    <w:p w14:paraId="19E6548F" w14:textId="77777777" w:rsidR="00187459" w:rsidRDefault="00187459" w:rsidP="00CB0619">
      <w:pPr>
        <w:pStyle w:val="ListParagraph"/>
        <w:spacing w:line="480" w:lineRule="auto"/>
        <w:ind w:left="1134" w:firstLine="306"/>
        <w:jc w:val="both"/>
        <w:rPr>
          <w:rFonts w:ascii="Times New Roman" w:hAnsi="Times New Roman" w:cs="Times New Roman"/>
          <w:sz w:val="24"/>
          <w:szCs w:val="24"/>
        </w:rPr>
      </w:pPr>
    </w:p>
    <w:p w14:paraId="3446BF80" w14:textId="77777777" w:rsidR="00187459" w:rsidRDefault="00187459" w:rsidP="00CB0619">
      <w:pPr>
        <w:pStyle w:val="ListParagraph"/>
        <w:spacing w:line="480" w:lineRule="auto"/>
        <w:ind w:left="1134" w:firstLine="306"/>
        <w:jc w:val="both"/>
        <w:rPr>
          <w:rFonts w:ascii="Times New Roman" w:hAnsi="Times New Roman" w:cs="Times New Roman"/>
          <w:sz w:val="24"/>
          <w:szCs w:val="24"/>
        </w:rPr>
      </w:pPr>
    </w:p>
    <w:p w14:paraId="03C24525" w14:textId="7095369B" w:rsidR="00CB0619" w:rsidRPr="007C47B0" w:rsidRDefault="00CB0619" w:rsidP="00CB0619">
      <w:pPr>
        <w:pStyle w:val="ListParagraph"/>
        <w:numPr>
          <w:ilvl w:val="0"/>
          <w:numId w:val="102"/>
        </w:numPr>
        <w:spacing w:line="480" w:lineRule="auto"/>
        <w:ind w:left="1560"/>
        <w:jc w:val="both"/>
        <w:rPr>
          <w:rFonts w:ascii="Times New Roman" w:hAnsi="Times New Roman" w:cs="Times New Roman"/>
          <w:sz w:val="24"/>
          <w:szCs w:val="24"/>
        </w:rPr>
      </w:pPr>
      <w:r w:rsidRPr="007C47B0">
        <w:rPr>
          <w:rFonts w:ascii="Times New Roman" w:hAnsi="Times New Roman" w:cs="Times New Roman"/>
          <w:sz w:val="24"/>
          <w:szCs w:val="24"/>
        </w:rPr>
        <w:lastRenderedPageBreak/>
        <w:t>Rasio Kecukupan Modal</w:t>
      </w:r>
    </w:p>
    <w:p w14:paraId="75EE28B7" w14:textId="2DB8F09B" w:rsidR="00CB0619" w:rsidRPr="00967CBC" w:rsidRDefault="00E976A0" w:rsidP="00FA7319">
      <w:pPr>
        <w:pStyle w:val="ListParagraph"/>
        <w:spacing w:line="480" w:lineRule="auto"/>
        <w:ind w:left="1560" w:firstLine="600"/>
        <w:jc w:val="both"/>
        <w:rPr>
          <w:rFonts w:ascii="Times New Roman" w:hAnsi="Times New Roman" w:cs="Times New Roman"/>
          <w:sz w:val="24"/>
          <w:szCs w:val="24"/>
        </w:rPr>
      </w:pPr>
      <w:r w:rsidRPr="00C46A01">
        <w:rPr>
          <w:rFonts w:ascii="Times New Roman" w:hAnsi="Times New Roman" w:cs="Times New Roman"/>
          <w:sz w:val="24"/>
          <w:szCs w:val="24"/>
        </w:rPr>
        <w:t xml:space="preserve">Rasio kecukupan modal merupakan rasio yang menjelaskan kecukupan modal bank yang disediakan oleh pemilik yang menanggung aset berisiko. </w:t>
      </w:r>
      <w:r w:rsidRPr="004D1BDD">
        <w:rPr>
          <w:rFonts w:ascii="Times New Roman" w:hAnsi="Times New Roman" w:cs="Times New Roman"/>
          <w:sz w:val="24"/>
          <w:szCs w:val="24"/>
          <w:lang w:val="nl-NL"/>
        </w:rPr>
        <w:t xml:space="preserve">Rasio ini digunakan untuk mengukur kecukupan modal minimum </w:t>
      </w:r>
      <w:r w:rsidRPr="00C46A01">
        <w:rPr>
          <w:rFonts w:ascii="Times New Roman" w:hAnsi="Times New Roman" w:cs="Times New Roman"/>
          <w:sz w:val="24"/>
          <w:szCs w:val="24"/>
        </w:rPr>
        <w:fldChar w:fldCharType="begin" w:fldLock="1"/>
      </w:r>
      <w:r w:rsidRPr="004D1BDD">
        <w:rPr>
          <w:rFonts w:ascii="Times New Roman" w:hAnsi="Times New Roman" w:cs="Times New Roman"/>
          <w:sz w:val="24"/>
          <w:szCs w:val="24"/>
          <w:lang w:val="nl-NL"/>
        </w:rPr>
        <w:instrText>ADDIN CSL_CITATION {"citationItems":[{"id":"ITEM-1","itemData":{"DOI":"10.46306/rev.v3i1.86","ISSN":"2723-6498","abstract":"The capital adequacy ratio is an aspect that predicts whether the funds owned by a bank are sufficient to support its operational activities. In other terms, the bank can repay the disbursement of the depositor’s fees within the time it is billed and can fulfill the credit request that has been submitted. The purpose of this study is to determine the effect of liqiudity on the capital adequacy ratio and the effect of profitability on the capital adequacy ratio of banking companies listed on the indonesian stock exchange in 2018-2020. The method used in this study is quantitative. The type of data used is panel data. Panel is a combination of time series data with cross section data. Sources of data in this study using secondary data. The population in this study are all banking companies listed on the indonesia stock exchange in 2018-2020 totalling 44 companies. The sampling technique was using purposive sampling technique. The analysis technique in this research is panel data regression.Based on the results of the study, all independent variables have a simultaneous effect on the capital adequacy ratio. Partially, liquidity has a significant effect on the capital adequacy ratio and profitability has a significant effect on the capital adequacy ratio","author":[{"dropping-particle":"","family":"Dewi","given":"Mike Kusuma","non-dropping-particle":"","parse-names":false,"suffix":""},{"dropping-particle":"","family":"Dewi","given":"Nadia Rapika","non-dropping-particle":"","parse-names":false,"suffix":""}],"container-title":"Jurnal Revenue : Jurnal Ilmiah Akuntansi","id":"ITEM-1","issue":"1","issued":{"date-parts":[["2022"]]},"page":"165-177","title":"Pengaruh Likuiditas Dan Rentabilitas Terhadap Rasio Kecukupan Modal Pada Perbankan Yang Terdaftar Di Bursa Efek Indonesia","type":"article-journal","volume":"3"},"uris":["http://www.mendeley.com/documents/?uuid=7bef3c92-8c52-46cc-a733-6df47c92d9bc"]}],"mendeley":{"formattedCitation":"(Dewi &amp; Dewi, 2022)","plainTextFormattedCitation":"(Dewi &amp; Dewi, 2022)","previouslyFormattedCitation":"(Dewi &amp; Dewi, 2022)"},"properties":{"noteIndex":0},"schema":"https://github.com/citation-style-language/schema/raw/master/csl-citation.json"}</w:instrText>
      </w:r>
      <w:r w:rsidRPr="00C46A01">
        <w:rPr>
          <w:rFonts w:ascii="Times New Roman" w:hAnsi="Times New Roman" w:cs="Times New Roman"/>
          <w:sz w:val="24"/>
          <w:szCs w:val="24"/>
        </w:rPr>
        <w:fldChar w:fldCharType="separate"/>
      </w:r>
      <w:r w:rsidRPr="004D1BDD">
        <w:rPr>
          <w:rFonts w:ascii="Times New Roman" w:hAnsi="Times New Roman" w:cs="Times New Roman"/>
          <w:noProof/>
          <w:sz w:val="24"/>
          <w:szCs w:val="24"/>
          <w:lang w:val="nl-NL"/>
        </w:rPr>
        <w:t>(Dewi &amp; Dewi, 2022)</w:t>
      </w:r>
      <w:r w:rsidRPr="00C46A01">
        <w:rPr>
          <w:rFonts w:ascii="Times New Roman" w:hAnsi="Times New Roman" w:cs="Times New Roman"/>
          <w:sz w:val="24"/>
          <w:szCs w:val="24"/>
        </w:rPr>
        <w:fldChar w:fldCharType="end"/>
      </w:r>
      <w:r w:rsidRPr="004D1BDD">
        <w:rPr>
          <w:rFonts w:ascii="Times New Roman" w:hAnsi="Times New Roman" w:cs="Times New Roman"/>
          <w:sz w:val="24"/>
          <w:szCs w:val="24"/>
          <w:lang w:val="nl-NL"/>
        </w:rPr>
        <w:t xml:space="preserve">. </w:t>
      </w:r>
      <w:r w:rsidR="00CB0619" w:rsidRPr="00967CBC">
        <w:rPr>
          <w:rFonts w:ascii="Times New Roman" w:hAnsi="Times New Roman" w:cs="Times New Roman"/>
          <w:sz w:val="24"/>
          <w:szCs w:val="24"/>
        </w:rPr>
        <w:t>Berdasarkan lampiran perhitungan variabel kecukupan modal, maka dapat diperoleh grafik data tahun 2019-2023 seperti berikut.</w:t>
      </w:r>
    </w:p>
    <w:p w14:paraId="4644874B" w14:textId="67F99090" w:rsidR="00CB0619" w:rsidRPr="00967CBC" w:rsidRDefault="00187459" w:rsidP="00F45213">
      <w:pPr>
        <w:pStyle w:val="ListParagraph"/>
        <w:spacing w:line="480" w:lineRule="auto"/>
        <w:ind w:left="1560"/>
        <w:jc w:val="both"/>
        <w:rPr>
          <w:rFonts w:ascii="Times New Roman" w:hAnsi="Times New Roman" w:cs="Times New Roman"/>
          <w:sz w:val="24"/>
          <w:szCs w:val="24"/>
        </w:rPr>
      </w:pPr>
      <w:r w:rsidRPr="00967CBC">
        <w:rPr>
          <w:rFonts w:ascii="Times New Roman" w:hAnsi="Times New Roman" w:cs="Times New Roman"/>
          <w:noProof/>
          <w:sz w:val="24"/>
          <w:szCs w:val="24"/>
        </w:rPr>
        <w:drawing>
          <wp:inline distT="0" distB="0" distL="0" distR="0" wp14:anchorId="6C2BC6FE" wp14:editId="061D7399">
            <wp:extent cx="4738895" cy="2138362"/>
            <wp:effectExtent l="0" t="0" r="5080" b="1460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ECC57BB" w14:textId="6D1505C7" w:rsidR="008B45C8" w:rsidRDefault="008B45C8" w:rsidP="008B45C8">
      <w:pPr>
        <w:pStyle w:val="Caption"/>
        <w:spacing w:after="0"/>
        <w:ind w:left="1134"/>
        <w:jc w:val="center"/>
        <w:rPr>
          <w:rFonts w:ascii="Times New Roman" w:hAnsi="Times New Roman" w:cs="Times New Roman"/>
          <w:i w:val="0"/>
          <w:iCs w:val="0"/>
          <w:color w:val="auto"/>
          <w:sz w:val="24"/>
          <w:szCs w:val="24"/>
        </w:rPr>
      </w:pPr>
      <w:bookmarkStart w:id="4" w:name="_Toc169268204"/>
      <w:r w:rsidRPr="008B45C8">
        <w:rPr>
          <w:rFonts w:ascii="Times New Roman" w:hAnsi="Times New Roman" w:cs="Times New Roman"/>
          <w:i w:val="0"/>
          <w:iCs w:val="0"/>
          <w:color w:val="auto"/>
          <w:sz w:val="24"/>
          <w:szCs w:val="24"/>
        </w:rPr>
        <w:t xml:space="preserve">Grafik </w:t>
      </w:r>
      <w:r w:rsidRPr="008B45C8">
        <w:rPr>
          <w:rFonts w:ascii="Times New Roman" w:hAnsi="Times New Roman" w:cs="Times New Roman"/>
          <w:i w:val="0"/>
          <w:iCs w:val="0"/>
          <w:color w:val="auto"/>
          <w:sz w:val="24"/>
          <w:szCs w:val="24"/>
        </w:rPr>
        <w:fldChar w:fldCharType="begin"/>
      </w:r>
      <w:r w:rsidRPr="008B45C8">
        <w:rPr>
          <w:rFonts w:ascii="Times New Roman" w:hAnsi="Times New Roman" w:cs="Times New Roman"/>
          <w:i w:val="0"/>
          <w:iCs w:val="0"/>
          <w:color w:val="auto"/>
          <w:sz w:val="24"/>
          <w:szCs w:val="24"/>
        </w:rPr>
        <w:instrText xml:space="preserve"> SEQ grafik \* ARABIC </w:instrText>
      </w:r>
      <w:r w:rsidRPr="008B45C8">
        <w:rPr>
          <w:rFonts w:ascii="Times New Roman" w:hAnsi="Times New Roman" w:cs="Times New Roman"/>
          <w:i w:val="0"/>
          <w:iCs w:val="0"/>
          <w:color w:val="auto"/>
          <w:sz w:val="24"/>
          <w:szCs w:val="24"/>
        </w:rPr>
        <w:fldChar w:fldCharType="separate"/>
      </w:r>
      <w:r w:rsidR="00383519">
        <w:rPr>
          <w:rFonts w:ascii="Times New Roman" w:hAnsi="Times New Roman" w:cs="Times New Roman"/>
          <w:i w:val="0"/>
          <w:iCs w:val="0"/>
          <w:noProof/>
          <w:color w:val="auto"/>
          <w:sz w:val="24"/>
          <w:szCs w:val="24"/>
        </w:rPr>
        <w:t>2</w:t>
      </w:r>
      <w:bookmarkEnd w:id="4"/>
      <w:r w:rsidRPr="008B45C8">
        <w:rPr>
          <w:rFonts w:ascii="Times New Roman" w:hAnsi="Times New Roman" w:cs="Times New Roman"/>
          <w:i w:val="0"/>
          <w:iCs w:val="0"/>
          <w:color w:val="auto"/>
          <w:sz w:val="24"/>
          <w:szCs w:val="24"/>
        </w:rPr>
        <w:fldChar w:fldCharType="end"/>
      </w:r>
    </w:p>
    <w:p w14:paraId="5A51FA06" w14:textId="097A2307" w:rsidR="008B45C8" w:rsidRPr="008B45C8" w:rsidRDefault="008B45C8" w:rsidP="008B45C8">
      <w:pPr>
        <w:pStyle w:val="Caption"/>
        <w:spacing w:after="0"/>
        <w:ind w:left="1134"/>
        <w:jc w:val="center"/>
        <w:rPr>
          <w:rFonts w:ascii="Times New Roman" w:hAnsi="Times New Roman" w:cs="Times New Roman"/>
          <w:i w:val="0"/>
          <w:iCs w:val="0"/>
          <w:sz w:val="24"/>
          <w:szCs w:val="24"/>
        </w:rPr>
      </w:pPr>
      <w:r w:rsidRPr="008B45C8">
        <w:rPr>
          <w:rFonts w:ascii="Times New Roman" w:hAnsi="Times New Roman" w:cs="Times New Roman"/>
          <w:i w:val="0"/>
          <w:iCs w:val="0"/>
          <w:color w:val="auto"/>
          <w:sz w:val="24"/>
          <w:szCs w:val="24"/>
        </w:rPr>
        <w:t>Perhitungan Rasio Kecukupan Modal</w:t>
      </w:r>
    </w:p>
    <w:p w14:paraId="5E170550" w14:textId="285F0ED2" w:rsidR="00187459" w:rsidRPr="00967CBC" w:rsidRDefault="00187459" w:rsidP="00FA7319">
      <w:pPr>
        <w:pStyle w:val="ListParagraph"/>
        <w:spacing w:before="240" w:line="480" w:lineRule="auto"/>
        <w:ind w:left="1560" w:firstLine="600"/>
        <w:jc w:val="both"/>
        <w:rPr>
          <w:rFonts w:ascii="Times New Roman" w:hAnsi="Times New Roman" w:cs="Times New Roman"/>
          <w:sz w:val="24"/>
          <w:szCs w:val="24"/>
        </w:rPr>
      </w:pPr>
      <w:r w:rsidRPr="00967CBC">
        <w:rPr>
          <w:rFonts w:ascii="Times New Roman" w:hAnsi="Times New Roman" w:cs="Times New Roman"/>
          <w:sz w:val="24"/>
          <w:szCs w:val="24"/>
        </w:rPr>
        <w:t>Berdasarkan grafik di atas, dapat dilihat nilai rasio kecukupan modal dari 30 sampel per</w:t>
      </w:r>
      <w:r w:rsidR="00967CBC" w:rsidRPr="00967CBC">
        <w:rPr>
          <w:rFonts w:ascii="Times New Roman" w:hAnsi="Times New Roman" w:cs="Times New Roman"/>
          <w:sz w:val="24"/>
          <w:szCs w:val="24"/>
        </w:rPr>
        <w:t>bankan</w:t>
      </w:r>
      <w:r w:rsidRPr="00967CBC">
        <w:rPr>
          <w:rFonts w:ascii="Times New Roman" w:hAnsi="Times New Roman" w:cs="Times New Roman"/>
          <w:sz w:val="24"/>
          <w:szCs w:val="24"/>
        </w:rPr>
        <w:t xml:space="preserve"> menunjukkan bahwa </w:t>
      </w:r>
      <w:r w:rsidR="00967CBC" w:rsidRPr="00967CBC">
        <w:rPr>
          <w:rFonts w:ascii="Times New Roman" w:hAnsi="Times New Roman" w:cs="Times New Roman"/>
          <w:sz w:val="24"/>
          <w:szCs w:val="24"/>
        </w:rPr>
        <w:t>pada</w:t>
      </w:r>
      <w:r w:rsidRPr="00967CBC">
        <w:rPr>
          <w:rFonts w:ascii="Times New Roman" w:hAnsi="Times New Roman" w:cs="Times New Roman"/>
          <w:sz w:val="24"/>
          <w:szCs w:val="24"/>
        </w:rPr>
        <w:t xml:space="preserve"> tahun 2019</w:t>
      </w:r>
      <w:r w:rsidR="00967CBC" w:rsidRPr="00967CBC">
        <w:rPr>
          <w:rFonts w:ascii="Times New Roman" w:hAnsi="Times New Roman" w:cs="Times New Roman"/>
          <w:sz w:val="24"/>
          <w:szCs w:val="24"/>
        </w:rPr>
        <w:t xml:space="preserve"> &amp; 2020</w:t>
      </w:r>
      <w:r w:rsidRPr="00967CBC">
        <w:rPr>
          <w:rFonts w:ascii="Times New Roman" w:hAnsi="Times New Roman" w:cs="Times New Roman"/>
          <w:sz w:val="24"/>
          <w:szCs w:val="24"/>
        </w:rPr>
        <w:t xml:space="preserve"> nilai rasio kecukupan modal tertinggi terdapat pada </w:t>
      </w:r>
      <w:r w:rsidR="00967CBC" w:rsidRPr="00967CBC">
        <w:rPr>
          <w:rFonts w:ascii="Times New Roman" w:hAnsi="Times New Roman" w:cs="Times New Roman"/>
          <w:sz w:val="24"/>
          <w:szCs w:val="24"/>
        </w:rPr>
        <w:t xml:space="preserve">bank mestika dharma Tbk </w:t>
      </w:r>
      <w:r w:rsidRPr="00967CBC">
        <w:rPr>
          <w:rFonts w:ascii="Times New Roman" w:hAnsi="Times New Roman" w:cs="Times New Roman"/>
          <w:sz w:val="24"/>
          <w:szCs w:val="24"/>
        </w:rPr>
        <w:t>dengan nilai rasio kecukupan modal sebesar</w:t>
      </w:r>
      <w:r w:rsidR="00967CBC" w:rsidRPr="00967CBC">
        <w:rPr>
          <w:rFonts w:ascii="Times New Roman" w:hAnsi="Times New Roman" w:cs="Times New Roman"/>
          <w:sz w:val="24"/>
          <w:szCs w:val="24"/>
        </w:rPr>
        <w:t xml:space="preserve"> 38,6 &amp; 46,49</w:t>
      </w:r>
      <w:r w:rsidRPr="00967CBC">
        <w:rPr>
          <w:rFonts w:ascii="Times New Roman" w:hAnsi="Times New Roman" w:cs="Times New Roman"/>
          <w:sz w:val="24"/>
          <w:szCs w:val="24"/>
        </w:rPr>
        <w:t xml:space="preserve">. </w:t>
      </w:r>
      <w:r w:rsidR="00967CBC" w:rsidRPr="00967CBC">
        <w:rPr>
          <w:rFonts w:ascii="Times New Roman" w:hAnsi="Times New Roman" w:cs="Times New Roman"/>
          <w:sz w:val="24"/>
          <w:szCs w:val="24"/>
        </w:rPr>
        <w:t xml:space="preserve">Sedangkan sepanjang tahun 2021-2023 nilai rasio kecukupan modal tertinggi terdapat pada bank Ganesha Tbk dengan nilai masing-masing sebesar 67,78, 106,41 dan 94,67. </w:t>
      </w:r>
      <w:r w:rsidRPr="00967CBC">
        <w:rPr>
          <w:rFonts w:ascii="Times New Roman" w:hAnsi="Times New Roman" w:cs="Times New Roman"/>
          <w:sz w:val="24"/>
          <w:szCs w:val="24"/>
        </w:rPr>
        <w:t xml:space="preserve">Nilai terendah dari rasio </w:t>
      </w:r>
      <w:r w:rsidRPr="00967CBC">
        <w:rPr>
          <w:rFonts w:ascii="Times New Roman" w:hAnsi="Times New Roman" w:cs="Times New Roman"/>
          <w:sz w:val="24"/>
          <w:szCs w:val="24"/>
        </w:rPr>
        <w:lastRenderedPageBreak/>
        <w:t xml:space="preserve">kecukupan modal </w:t>
      </w:r>
      <w:r w:rsidR="00967CBC" w:rsidRPr="00967CBC">
        <w:rPr>
          <w:rFonts w:ascii="Times New Roman" w:hAnsi="Times New Roman" w:cs="Times New Roman"/>
          <w:sz w:val="24"/>
          <w:szCs w:val="24"/>
        </w:rPr>
        <w:t xml:space="preserve">pada </w:t>
      </w:r>
      <w:r w:rsidRPr="00967CBC">
        <w:rPr>
          <w:rFonts w:ascii="Times New Roman" w:hAnsi="Times New Roman" w:cs="Times New Roman"/>
          <w:sz w:val="24"/>
          <w:szCs w:val="24"/>
        </w:rPr>
        <w:t xml:space="preserve">tahun 2019 terdapat pada </w:t>
      </w:r>
      <w:r w:rsidR="00967CBC" w:rsidRPr="00967CBC">
        <w:rPr>
          <w:rFonts w:ascii="Times New Roman" w:hAnsi="Times New Roman" w:cs="Times New Roman"/>
          <w:sz w:val="24"/>
          <w:szCs w:val="24"/>
        </w:rPr>
        <w:t xml:space="preserve">bank capital Indonesia Tbk </w:t>
      </w:r>
      <w:r w:rsidRPr="00967CBC">
        <w:rPr>
          <w:rFonts w:ascii="Times New Roman" w:hAnsi="Times New Roman" w:cs="Times New Roman"/>
          <w:sz w:val="24"/>
          <w:szCs w:val="24"/>
        </w:rPr>
        <w:t xml:space="preserve">nilai </w:t>
      </w:r>
      <w:r w:rsidR="00967CBC" w:rsidRPr="00967CBC">
        <w:rPr>
          <w:rFonts w:ascii="Times New Roman" w:hAnsi="Times New Roman" w:cs="Times New Roman"/>
          <w:sz w:val="24"/>
          <w:szCs w:val="24"/>
        </w:rPr>
        <w:t xml:space="preserve">sebesar 12,67. Pada tahun 2021 nilai terendah rasio kecukupan modal terdapat pada bank Maspion Indonesia Tbk sebesar 13,69. Sedangkan pada tahun 2020, 2022 dan 2023 nilai terendah rasio kecukupan modal terdapat pada bank mayapada internasional Tbk memiliki nilai masing-masing sebesar 15,45, 11,13 dan 10,78. </w:t>
      </w:r>
    </w:p>
    <w:p w14:paraId="192D6B44" w14:textId="47DF7126" w:rsidR="00187459" w:rsidRPr="007C47B0" w:rsidRDefault="00CB0619" w:rsidP="00F45213">
      <w:pPr>
        <w:pStyle w:val="ListParagraph"/>
        <w:numPr>
          <w:ilvl w:val="0"/>
          <w:numId w:val="102"/>
        </w:numPr>
        <w:spacing w:line="480" w:lineRule="auto"/>
        <w:ind w:left="1560"/>
        <w:jc w:val="both"/>
        <w:rPr>
          <w:rFonts w:ascii="Times New Roman" w:hAnsi="Times New Roman" w:cs="Times New Roman"/>
          <w:sz w:val="24"/>
          <w:szCs w:val="24"/>
        </w:rPr>
      </w:pPr>
      <w:r w:rsidRPr="007C47B0">
        <w:rPr>
          <w:rFonts w:ascii="Times New Roman" w:hAnsi="Times New Roman" w:cs="Times New Roman"/>
          <w:sz w:val="24"/>
          <w:szCs w:val="24"/>
        </w:rPr>
        <w:t>Kualitas Asset</w:t>
      </w:r>
    </w:p>
    <w:p w14:paraId="3DD26A01" w14:textId="4E16537D" w:rsidR="00187459" w:rsidRPr="00967CBC" w:rsidRDefault="00CE01F8" w:rsidP="00FA7319">
      <w:pPr>
        <w:pStyle w:val="ListParagraph"/>
        <w:spacing w:line="480" w:lineRule="auto"/>
        <w:ind w:left="1560" w:firstLine="600"/>
        <w:jc w:val="both"/>
        <w:rPr>
          <w:rFonts w:ascii="Times New Roman" w:hAnsi="Times New Roman" w:cs="Times New Roman"/>
          <w:sz w:val="24"/>
          <w:szCs w:val="24"/>
        </w:rPr>
      </w:pPr>
      <w:r w:rsidRPr="00C46A01">
        <w:rPr>
          <w:rFonts w:ascii="Times New Roman" w:hAnsi="Times New Roman" w:cs="Times New Roman"/>
          <w:sz w:val="24"/>
          <w:szCs w:val="24"/>
        </w:rPr>
        <w:t>Kualitas aset merupakan perbandingan antara aset yang tergolong (kredit diragukan, kredit kurang lancar, kredit macet) terhadap jumlah total kredit yang diberikan</w:t>
      </w:r>
      <w:r>
        <w:rPr>
          <w:rFonts w:ascii="Times New Roman" w:hAnsi="Times New Roman" w:cs="Times New Roman"/>
          <w:sz w:val="24"/>
          <w:szCs w:val="24"/>
        </w:rPr>
        <w:t xml:space="preserve"> </w:t>
      </w:r>
      <w:r w:rsidRPr="00C46A01">
        <w:rPr>
          <w:rFonts w:ascii="Times New Roman" w:hAnsi="Times New Roman" w:cs="Times New Roman"/>
          <w:sz w:val="24"/>
          <w:szCs w:val="24"/>
          <w:lang w:val="id-ID"/>
        </w:rPr>
        <w:t>(</w:t>
      </w:r>
      <w:r w:rsidRPr="00C46A0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{"citationItems":[{"id":"ITEM-1","itemData":{"DOI":"10.53512/valid.v19i1.199","ISSN":"1829-5037","abstract":"This study aims to understand and determine the effect of asset quality, liquidity, profitability, and operational efficiency on the adequacy of private banks listed on the Indonesia Stock Exchange in 2015-2020. The method used is the classic assumption test: normality test, multicollinearity test, heteroscedasticity test, durbin witson autocorrelation test, hypothesis testing: t test and f test, and multiple linear regression analysis, analysis of the coefficient of determination assisted by the SPSS 16 program. Types of data used that is secondary with quantitative data in the form of annual financial data of banking companies. The population in this study were 39 private banking companies, with the selected sample being 5 banking companies with the 2015-2020 period listed on the Indonesia Stock Exchange. The technique used is purposive sampling. Based on the results of the hypothesis, it shows that the variables of asset quality, liquidity, profitability and operational efficiency have no partial effect on the capital adequacy variable, while simultaneously there is a significant influence between the variables of asset quality, liquidity, profitability and operational efficiency on the capital adequacy variable, with a simultaneous level of influence. of 49.9%, while the rest can be influenced by other variables or factors not included in this study","author":[{"dropping-particle":"","family":"Hasanah","given":"Neneng Uswatun","non-dropping-particle":"","parse-names":false,"suffix":""},{"dropping-particle":"","family":"Manda","given":"Gusganda Suria","non-dropping-particle":"","parse-names":false,"suffix":""}],"container-title":"Valid: Jurnal Ilmiah","id":"ITEM-1","issue":"1","issued":{"date-parts":[["2021"]]},"page":"87-96","title":"Pengaruh Kualitas Aset, Likuiditas, Rentabilitas dan Efesiensi Operasional terhadap Kecukupan Modal","type":"article-journal","volume":"19"},"uris":["http://www.mendeley.com/documents/?uuid=4b50c647-2186-4cf8-93e9-378d6d4ca75a"]}],"mendeley":{"formattedCitation":"(Hasanah &amp; Manda, 2021)","manualFormatting":"Hasanah &amp; Manda, 2021)","plainTextFormattedCitation":"(Hasanah &amp; Manda, 2021)","previouslyFormattedCitation":"(Hasanah &amp; Manda, 2021)"},"properties":{"noteIndex":0},"schema":"https://github.com/citation-style-language/schema/raw/master/csl-citation.json"}</w:instrText>
      </w:r>
      <w:r w:rsidRPr="00C46A01">
        <w:rPr>
          <w:rFonts w:ascii="Times New Roman" w:hAnsi="Times New Roman" w:cs="Times New Roman"/>
          <w:sz w:val="24"/>
          <w:szCs w:val="24"/>
        </w:rPr>
        <w:fldChar w:fldCharType="separate"/>
      </w:r>
      <w:r w:rsidRPr="00C46A01">
        <w:rPr>
          <w:rFonts w:ascii="Times New Roman" w:hAnsi="Times New Roman" w:cs="Times New Roman"/>
          <w:noProof/>
          <w:sz w:val="24"/>
          <w:szCs w:val="24"/>
        </w:rPr>
        <w:t>Hasanah &amp; Manda, 2021)</w:t>
      </w:r>
      <w:r w:rsidRPr="00C46A01">
        <w:rPr>
          <w:rFonts w:ascii="Times New Roman" w:hAnsi="Times New Roman" w:cs="Times New Roman"/>
          <w:sz w:val="24"/>
          <w:szCs w:val="24"/>
        </w:rPr>
        <w:fldChar w:fldCharType="end"/>
      </w:r>
      <w:r w:rsidRPr="00C46A01">
        <w:rPr>
          <w:rFonts w:ascii="Times New Roman" w:hAnsi="Times New Roman" w:cs="Times New Roman"/>
          <w:sz w:val="24"/>
          <w:szCs w:val="24"/>
        </w:rPr>
        <w:t xml:space="preserve">. </w:t>
      </w:r>
      <w:r w:rsidR="00187459" w:rsidRPr="00967CBC">
        <w:rPr>
          <w:rFonts w:ascii="Times New Roman" w:hAnsi="Times New Roman" w:cs="Times New Roman"/>
          <w:sz w:val="24"/>
          <w:szCs w:val="24"/>
        </w:rPr>
        <w:t xml:space="preserve">Berdasarkan lampiran perhitungan variabel </w:t>
      </w:r>
      <w:r w:rsidR="00431A92" w:rsidRPr="00967CBC">
        <w:rPr>
          <w:rFonts w:ascii="Times New Roman" w:hAnsi="Times New Roman" w:cs="Times New Roman"/>
          <w:sz w:val="24"/>
          <w:szCs w:val="24"/>
        </w:rPr>
        <w:t>kualitas aset</w:t>
      </w:r>
      <w:r w:rsidR="00187459" w:rsidRPr="00967CBC">
        <w:rPr>
          <w:rFonts w:ascii="Times New Roman" w:hAnsi="Times New Roman" w:cs="Times New Roman"/>
          <w:sz w:val="24"/>
          <w:szCs w:val="24"/>
        </w:rPr>
        <w:t>, maka dapat diperoleh grafik data tahun 2019-2023 seperti berikut.</w:t>
      </w:r>
    </w:p>
    <w:p w14:paraId="178D1B0B" w14:textId="154CB9BE" w:rsidR="00187459" w:rsidRPr="00967CBC" w:rsidRDefault="00187459" w:rsidP="00F45213">
      <w:pPr>
        <w:pStyle w:val="ListParagraph"/>
        <w:spacing w:line="480" w:lineRule="auto"/>
        <w:ind w:left="1560"/>
        <w:jc w:val="both"/>
        <w:rPr>
          <w:rFonts w:ascii="Times New Roman" w:hAnsi="Times New Roman" w:cs="Times New Roman"/>
          <w:sz w:val="24"/>
          <w:szCs w:val="24"/>
        </w:rPr>
      </w:pPr>
      <w:r w:rsidRPr="00967CBC">
        <w:rPr>
          <w:rFonts w:ascii="Times New Roman" w:hAnsi="Times New Roman" w:cs="Times New Roman"/>
          <w:noProof/>
          <w:sz w:val="24"/>
          <w:szCs w:val="24"/>
        </w:rPr>
        <w:drawing>
          <wp:inline distT="0" distB="0" distL="0" distR="0" wp14:anchorId="3B7E6087" wp14:editId="7EF739CB">
            <wp:extent cx="4848224" cy="2224087"/>
            <wp:effectExtent l="0" t="0" r="10160" b="508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C1CF024" w14:textId="45A97BC1" w:rsidR="008B45C8" w:rsidRDefault="008B45C8" w:rsidP="008B45C8">
      <w:pPr>
        <w:pStyle w:val="Caption"/>
        <w:spacing w:after="0"/>
        <w:ind w:left="1560"/>
        <w:jc w:val="center"/>
        <w:rPr>
          <w:rFonts w:ascii="Times New Roman" w:hAnsi="Times New Roman" w:cs="Times New Roman"/>
          <w:i w:val="0"/>
          <w:iCs w:val="0"/>
          <w:color w:val="auto"/>
          <w:sz w:val="24"/>
          <w:szCs w:val="24"/>
        </w:rPr>
      </w:pPr>
      <w:bookmarkStart w:id="5" w:name="_Toc169268205"/>
      <w:r w:rsidRPr="008B45C8">
        <w:rPr>
          <w:rFonts w:ascii="Times New Roman" w:hAnsi="Times New Roman" w:cs="Times New Roman"/>
          <w:i w:val="0"/>
          <w:iCs w:val="0"/>
          <w:color w:val="auto"/>
          <w:sz w:val="24"/>
          <w:szCs w:val="24"/>
        </w:rPr>
        <w:t xml:space="preserve">Grafik </w:t>
      </w:r>
      <w:r w:rsidRPr="008B45C8">
        <w:rPr>
          <w:rFonts w:ascii="Times New Roman" w:hAnsi="Times New Roman" w:cs="Times New Roman"/>
          <w:i w:val="0"/>
          <w:iCs w:val="0"/>
          <w:color w:val="auto"/>
          <w:sz w:val="24"/>
          <w:szCs w:val="24"/>
        </w:rPr>
        <w:fldChar w:fldCharType="begin"/>
      </w:r>
      <w:r w:rsidRPr="008B45C8">
        <w:rPr>
          <w:rFonts w:ascii="Times New Roman" w:hAnsi="Times New Roman" w:cs="Times New Roman"/>
          <w:i w:val="0"/>
          <w:iCs w:val="0"/>
          <w:color w:val="auto"/>
          <w:sz w:val="24"/>
          <w:szCs w:val="24"/>
        </w:rPr>
        <w:instrText xml:space="preserve"> SEQ grafik \* ARABIC </w:instrText>
      </w:r>
      <w:r w:rsidRPr="008B45C8">
        <w:rPr>
          <w:rFonts w:ascii="Times New Roman" w:hAnsi="Times New Roman" w:cs="Times New Roman"/>
          <w:i w:val="0"/>
          <w:iCs w:val="0"/>
          <w:color w:val="auto"/>
          <w:sz w:val="24"/>
          <w:szCs w:val="24"/>
        </w:rPr>
        <w:fldChar w:fldCharType="separate"/>
      </w:r>
      <w:r w:rsidR="00383519">
        <w:rPr>
          <w:rFonts w:ascii="Times New Roman" w:hAnsi="Times New Roman" w:cs="Times New Roman"/>
          <w:i w:val="0"/>
          <w:iCs w:val="0"/>
          <w:noProof/>
          <w:color w:val="auto"/>
          <w:sz w:val="24"/>
          <w:szCs w:val="24"/>
        </w:rPr>
        <w:t>3</w:t>
      </w:r>
      <w:bookmarkEnd w:id="5"/>
      <w:r w:rsidRPr="008B45C8">
        <w:rPr>
          <w:rFonts w:ascii="Times New Roman" w:hAnsi="Times New Roman" w:cs="Times New Roman"/>
          <w:i w:val="0"/>
          <w:iCs w:val="0"/>
          <w:color w:val="auto"/>
          <w:sz w:val="24"/>
          <w:szCs w:val="24"/>
        </w:rPr>
        <w:fldChar w:fldCharType="end"/>
      </w:r>
    </w:p>
    <w:p w14:paraId="2611B2CB" w14:textId="40021CF0" w:rsidR="008B45C8" w:rsidRPr="008B45C8" w:rsidRDefault="008B45C8" w:rsidP="008B45C8">
      <w:pPr>
        <w:pStyle w:val="Caption"/>
        <w:spacing w:after="0"/>
        <w:ind w:left="1560"/>
        <w:jc w:val="center"/>
        <w:rPr>
          <w:rFonts w:ascii="Times New Roman" w:hAnsi="Times New Roman" w:cs="Times New Roman"/>
          <w:i w:val="0"/>
          <w:iCs w:val="0"/>
          <w:color w:val="auto"/>
          <w:sz w:val="24"/>
          <w:szCs w:val="24"/>
        </w:rPr>
      </w:pPr>
      <w:r w:rsidRPr="008B45C8">
        <w:rPr>
          <w:rFonts w:ascii="Times New Roman" w:hAnsi="Times New Roman" w:cs="Times New Roman"/>
          <w:i w:val="0"/>
          <w:iCs w:val="0"/>
          <w:color w:val="auto"/>
          <w:sz w:val="24"/>
          <w:szCs w:val="24"/>
        </w:rPr>
        <w:t>Perhitungan Kualitas Aset</w:t>
      </w:r>
    </w:p>
    <w:p w14:paraId="02954430" w14:textId="6C43B56E" w:rsidR="00187459" w:rsidRPr="00967CBC" w:rsidRDefault="00187459" w:rsidP="00FA7319">
      <w:pPr>
        <w:pStyle w:val="ListParagraph"/>
        <w:spacing w:before="240" w:line="480" w:lineRule="auto"/>
        <w:ind w:left="1560" w:firstLine="600"/>
        <w:jc w:val="both"/>
        <w:rPr>
          <w:rFonts w:ascii="Times New Roman" w:hAnsi="Times New Roman" w:cs="Times New Roman"/>
          <w:sz w:val="24"/>
          <w:szCs w:val="24"/>
        </w:rPr>
      </w:pPr>
      <w:r w:rsidRPr="00967CBC">
        <w:rPr>
          <w:rFonts w:ascii="Times New Roman" w:hAnsi="Times New Roman" w:cs="Times New Roman"/>
          <w:sz w:val="24"/>
          <w:szCs w:val="24"/>
        </w:rPr>
        <w:t xml:space="preserve">Berdasarkan grafik di atas, dapat dilihat nilai </w:t>
      </w:r>
      <w:r w:rsidR="00431A92" w:rsidRPr="00967CBC">
        <w:rPr>
          <w:rFonts w:ascii="Times New Roman" w:hAnsi="Times New Roman" w:cs="Times New Roman"/>
          <w:sz w:val="24"/>
          <w:szCs w:val="24"/>
        </w:rPr>
        <w:t>kualitas asset</w:t>
      </w:r>
      <w:r w:rsidRPr="00967CBC">
        <w:rPr>
          <w:rFonts w:ascii="Times New Roman" w:hAnsi="Times New Roman" w:cs="Times New Roman"/>
          <w:sz w:val="24"/>
          <w:szCs w:val="24"/>
        </w:rPr>
        <w:t xml:space="preserve"> dari 30 sampel p</w:t>
      </w:r>
      <w:r w:rsidR="001D3730" w:rsidRPr="00967CBC">
        <w:rPr>
          <w:rFonts w:ascii="Times New Roman" w:hAnsi="Times New Roman" w:cs="Times New Roman"/>
          <w:sz w:val="24"/>
          <w:szCs w:val="24"/>
        </w:rPr>
        <w:t>erbankan</w:t>
      </w:r>
      <w:r w:rsidRPr="00967CBC">
        <w:rPr>
          <w:rFonts w:ascii="Times New Roman" w:hAnsi="Times New Roman" w:cs="Times New Roman"/>
          <w:sz w:val="24"/>
          <w:szCs w:val="24"/>
        </w:rPr>
        <w:t xml:space="preserve"> menunju</w:t>
      </w:r>
      <w:r w:rsidR="00057582" w:rsidRPr="00967CBC">
        <w:rPr>
          <w:rFonts w:ascii="Times New Roman" w:hAnsi="Times New Roman" w:cs="Times New Roman"/>
          <w:sz w:val="24"/>
          <w:szCs w:val="24"/>
        </w:rPr>
        <w:t xml:space="preserve">kkan bahwa sepanjang tahun 2019 &amp; </w:t>
      </w:r>
      <w:r w:rsidR="00057582" w:rsidRPr="00967CBC">
        <w:rPr>
          <w:rFonts w:ascii="Times New Roman" w:hAnsi="Times New Roman" w:cs="Times New Roman"/>
          <w:sz w:val="24"/>
          <w:szCs w:val="24"/>
        </w:rPr>
        <w:lastRenderedPageBreak/>
        <w:t>2022</w:t>
      </w:r>
      <w:r w:rsidRPr="00967CBC">
        <w:rPr>
          <w:rFonts w:ascii="Times New Roman" w:hAnsi="Times New Roman" w:cs="Times New Roman"/>
          <w:sz w:val="24"/>
          <w:szCs w:val="24"/>
        </w:rPr>
        <w:t xml:space="preserve"> nilai </w:t>
      </w:r>
      <w:r w:rsidR="00431A92" w:rsidRPr="00967CBC">
        <w:rPr>
          <w:rFonts w:ascii="Times New Roman" w:hAnsi="Times New Roman" w:cs="Times New Roman"/>
          <w:sz w:val="24"/>
          <w:szCs w:val="24"/>
        </w:rPr>
        <w:t>kualitas asset</w:t>
      </w:r>
      <w:r w:rsidRPr="00967CBC">
        <w:rPr>
          <w:rFonts w:ascii="Times New Roman" w:hAnsi="Times New Roman" w:cs="Times New Roman"/>
          <w:sz w:val="24"/>
          <w:szCs w:val="24"/>
        </w:rPr>
        <w:t xml:space="preserve"> ter</w:t>
      </w:r>
      <w:r w:rsidR="001D3730" w:rsidRPr="00967CBC">
        <w:rPr>
          <w:rFonts w:ascii="Times New Roman" w:hAnsi="Times New Roman" w:cs="Times New Roman"/>
          <w:sz w:val="24"/>
          <w:szCs w:val="24"/>
        </w:rPr>
        <w:t xml:space="preserve">tinggi terdapat pada bank sinarmas Tbk </w:t>
      </w:r>
      <w:r w:rsidRPr="00967CBC">
        <w:rPr>
          <w:rFonts w:ascii="Times New Roman" w:hAnsi="Times New Roman" w:cs="Times New Roman"/>
          <w:sz w:val="24"/>
          <w:szCs w:val="24"/>
        </w:rPr>
        <w:t xml:space="preserve">dengan nilai </w:t>
      </w:r>
      <w:r w:rsidR="00431A92" w:rsidRPr="00967CBC">
        <w:rPr>
          <w:rFonts w:ascii="Times New Roman" w:hAnsi="Times New Roman" w:cs="Times New Roman"/>
          <w:sz w:val="24"/>
          <w:szCs w:val="24"/>
        </w:rPr>
        <w:t>kualitas aset</w:t>
      </w:r>
      <w:r w:rsidRPr="00967CBC">
        <w:rPr>
          <w:rFonts w:ascii="Times New Roman" w:hAnsi="Times New Roman" w:cs="Times New Roman"/>
          <w:sz w:val="24"/>
          <w:szCs w:val="24"/>
        </w:rPr>
        <w:t xml:space="preserve"> sebesar</w:t>
      </w:r>
      <w:r w:rsidR="001D3730" w:rsidRPr="00967CBC">
        <w:rPr>
          <w:rFonts w:ascii="Times New Roman" w:hAnsi="Times New Roman" w:cs="Times New Roman"/>
          <w:sz w:val="24"/>
          <w:szCs w:val="24"/>
        </w:rPr>
        <w:t xml:space="preserve"> 7,89</w:t>
      </w:r>
      <w:r w:rsidR="00431A92" w:rsidRPr="00967CBC">
        <w:rPr>
          <w:rFonts w:ascii="Times New Roman" w:hAnsi="Times New Roman" w:cs="Times New Roman"/>
          <w:sz w:val="24"/>
          <w:szCs w:val="24"/>
        </w:rPr>
        <w:t xml:space="preserve"> dan</w:t>
      </w:r>
      <w:r w:rsidR="001D3730" w:rsidRPr="00967CBC">
        <w:rPr>
          <w:rFonts w:ascii="Times New Roman" w:hAnsi="Times New Roman" w:cs="Times New Roman"/>
          <w:sz w:val="24"/>
          <w:szCs w:val="24"/>
        </w:rPr>
        <w:t xml:space="preserve"> 7,99</w:t>
      </w:r>
      <w:r w:rsidRPr="00967CBC">
        <w:rPr>
          <w:rFonts w:ascii="Times New Roman" w:hAnsi="Times New Roman" w:cs="Times New Roman"/>
          <w:sz w:val="24"/>
          <w:szCs w:val="24"/>
        </w:rPr>
        <w:t>.</w:t>
      </w:r>
      <w:r w:rsidR="001D3730" w:rsidRPr="00967CBC">
        <w:rPr>
          <w:rFonts w:ascii="Times New Roman" w:hAnsi="Times New Roman" w:cs="Times New Roman"/>
          <w:sz w:val="24"/>
          <w:szCs w:val="24"/>
        </w:rPr>
        <w:t xml:space="preserve"> Tahun 2020 &amp;</w:t>
      </w:r>
      <w:r w:rsidRPr="00967CBC">
        <w:rPr>
          <w:rFonts w:ascii="Times New Roman" w:hAnsi="Times New Roman" w:cs="Times New Roman"/>
          <w:sz w:val="24"/>
          <w:szCs w:val="24"/>
        </w:rPr>
        <w:t xml:space="preserve"> </w:t>
      </w:r>
      <w:r w:rsidR="001D3730" w:rsidRPr="00967CBC">
        <w:rPr>
          <w:rFonts w:ascii="Times New Roman" w:hAnsi="Times New Roman" w:cs="Times New Roman"/>
          <w:sz w:val="24"/>
          <w:szCs w:val="24"/>
        </w:rPr>
        <w:t xml:space="preserve">2021 kualitas asset tertinggi terdapat pada bank Victoria internasional Tbk sebesar 7,58 &amp; 7,27. Sedangkan tahun 2023 kualitas asset tertinggi terdapat pada bank bumi arta Tbk sebesar 4,43.  </w:t>
      </w:r>
      <w:r w:rsidRPr="00967CBC">
        <w:rPr>
          <w:rFonts w:ascii="Times New Roman" w:hAnsi="Times New Roman" w:cs="Times New Roman"/>
          <w:sz w:val="24"/>
          <w:szCs w:val="24"/>
        </w:rPr>
        <w:t xml:space="preserve">Nilai terendah dari </w:t>
      </w:r>
      <w:r w:rsidR="00431A92" w:rsidRPr="00967CBC">
        <w:rPr>
          <w:rFonts w:ascii="Times New Roman" w:hAnsi="Times New Roman" w:cs="Times New Roman"/>
          <w:sz w:val="24"/>
          <w:szCs w:val="24"/>
        </w:rPr>
        <w:t>kualitas asset</w:t>
      </w:r>
      <w:r w:rsidR="001D3730" w:rsidRPr="00967CBC">
        <w:rPr>
          <w:rFonts w:ascii="Times New Roman" w:hAnsi="Times New Roman" w:cs="Times New Roman"/>
          <w:sz w:val="24"/>
          <w:szCs w:val="24"/>
        </w:rPr>
        <w:t xml:space="preserve"> sepanjang</w:t>
      </w:r>
      <w:r w:rsidR="006D45C6">
        <w:rPr>
          <w:rFonts w:ascii="Times New Roman" w:hAnsi="Times New Roman" w:cs="Times New Roman"/>
          <w:sz w:val="24"/>
          <w:szCs w:val="24"/>
        </w:rPr>
        <w:t xml:space="preserve"> tahun 2019 terdapat pada bank B</w:t>
      </w:r>
      <w:r w:rsidR="001D3730" w:rsidRPr="00967CBC">
        <w:rPr>
          <w:rFonts w:ascii="Times New Roman" w:hAnsi="Times New Roman" w:cs="Times New Roman"/>
          <w:sz w:val="24"/>
          <w:szCs w:val="24"/>
        </w:rPr>
        <w:t xml:space="preserve">TPN Tbk sebesar 0,8. Sedangkan nilai terendah kualitas asset pada tahun 2020-2023 terdapat pada bank capital Indonesia Tbk </w:t>
      </w:r>
      <w:r w:rsidRPr="00967CBC">
        <w:rPr>
          <w:rFonts w:ascii="Times New Roman" w:hAnsi="Times New Roman" w:cs="Times New Roman"/>
          <w:sz w:val="24"/>
          <w:szCs w:val="24"/>
        </w:rPr>
        <w:t>dengan masing-masing nilai tiap tahun yaitu</w:t>
      </w:r>
      <w:r w:rsidR="001D3730" w:rsidRPr="00967CBC">
        <w:rPr>
          <w:rFonts w:ascii="Times New Roman" w:hAnsi="Times New Roman" w:cs="Times New Roman"/>
          <w:sz w:val="24"/>
          <w:szCs w:val="24"/>
        </w:rPr>
        <w:t xml:space="preserve"> 0, 0, 0,17</w:t>
      </w:r>
      <w:r w:rsidRPr="00967CBC">
        <w:rPr>
          <w:rFonts w:ascii="Times New Roman" w:hAnsi="Times New Roman" w:cs="Times New Roman"/>
          <w:sz w:val="24"/>
          <w:szCs w:val="24"/>
        </w:rPr>
        <w:t xml:space="preserve"> dan </w:t>
      </w:r>
      <w:r w:rsidR="001D3730" w:rsidRPr="00967CBC">
        <w:rPr>
          <w:rFonts w:ascii="Times New Roman" w:hAnsi="Times New Roman" w:cs="Times New Roman"/>
          <w:sz w:val="24"/>
          <w:szCs w:val="24"/>
        </w:rPr>
        <w:t>0,07.</w:t>
      </w:r>
    </w:p>
    <w:p w14:paraId="47CA00EB" w14:textId="77777777" w:rsidR="00CB0619" w:rsidRPr="007C47B0" w:rsidRDefault="00CB0619" w:rsidP="00F45213">
      <w:pPr>
        <w:pStyle w:val="ListParagraph"/>
        <w:numPr>
          <w:ilvl w:val="0"/>
          <w:numId w:val="102"/>
        </w:numPr>
        <w:spacing w:line="480" w:lineRule="auto"/>
        <w:ind w:left="1560"/>
        <w:jc w:val="both"/>
        <w:rPr>
          <w:rFonts w:ascii="Times New Roman" w:hAnsi="Times New Roman" w:cs="Times New Roman"/>
          <w:sz w:val="24"/>
          <w:szCs w:val="24"/>
        </w:rPr>
      </w:pPr>
      <w:r w:rsidRPr="007C47B0">
        <w:rPr>
          <w:rFonts w:ascii="Times New Roman" w:hAnsi="Times New Roman" w:cs="Times New Roman"/>
          <w:sz w:val="24"/>
          <w:szCs w:val="24"/>
        </w:rPr>
        <w:t>Rentabilitas</w:t>
      </w:r>
    </w:p>
    <w:p w14:paraId="577E028B" w14:textId="301CF33E" w:rsidR="00431A92" w:rsidRPr="00967CBC" w:rsidRDefault="00CE01F8" w:rsidP="00FA7319">
      <w:pPr>
        <w:pStyle w:val="ListParagraph"/>
        <w:spacing w:line="480" w:lineRule="auto"/>
        <w:ind w:left="1560" w:firstLine="600"/>
        <w:jc w:val="both"/>
        <w:rPr>
          <w:rFonts w:ascii="Times New Roman" w:hAnsi="Times New Roman" w:cs="Times New Roman"/>
          <w:sz w:val="24"/>
          <w:szCs w:val="24"/>
        </w:rPr>
      </w:pPr>
      <w:r w:rsidRPr="004D1BDD">
        <w:rPr>
          <w:rFonts w:ascii="Times New Roman" w:hAnsi="Times New Roman" w:cs="Times New Roman"/>
          <w:bCs/>
          <w:sz w:val="24"/>
          <w:szCs w:val="24"/>
          <w:lang w:val="nl-NL"/>
        </w:rPr>
        <w:t>Rentabilitas merupakan penilaian berdasarkan kemampuan bank dalam menghasilkan keuntungan</w:t>
      </w:r>
      <w:r w:rsidRPr="004D1BDD">
        <w:rPr>
          <w:rFonts w:ascii="Times New Roman" w:hAnsi="Times New Roman" w:cs="Times New Roman"/>
          <w:sz w:val="24"/>
          <w:szCs w:val="24"/>
          <w:lang w:val="nl-NL"/>
        </w:rPr>
        <w:t xml:space="preserve"> (</w:t>
      </w:r>
      <w:r w:rsidRPr="004D1BDD">
        <w:rPr>
          <w:rFonts w:ascii="Times New Roman" w:hAnsi="Times New Roman" w:cs="Times New Roman"/>
          <w:bCs/>
          <w:noProof/>
          <w:sz w:val="24"/>
          <w:szCs w:val="24"/>
          <w:lang w:val="nl-NL"/>
        </w:rPr>
        <w:t xml:space="preserve">Fatra ,dkk, 2020). </w:t>
      </w:r>
      <w:r w:rsidR="00431A92" w:rsidRPr="00967CBC">
        <w:rPr>
          <w:rFonts w:ascii="Times New Roman" w:hAnsi="Times New Roman" w:cs="Times New Roman"/>
          <w:sz w:val="24"/>
          <w:szCs w:val="24"/>
        </w:rPr>
        <w:t>Berdasarkan lampiran perhitungan variabel rentabilitas, maka dapat diperoleh grafik data tahun 2019-2023 seperti berikut.</w:t>
      </w:r>
    </w:p>
    <w:p w14:paraId="3AE993D7" w14:textId="013D6EDE" w:rsidR="00431A92" w:rsidRPr="00967CBC" w:rsidRDefault="00431A92" w:rsidP="00F45213">
      <w:pPr>
        <w:pStyle w:val="ListParagraph"/>
        <w:spacing w:line="480" w:lineRule="auto"/>
        <w:ind w:left="1560"/>
        <w:jc w:val="both"/>
        <w:rPr>
          <w:rFonts w:ascii="Times New Roman" w:hAnsi="Times New Roman" w:cs="Times New Roman"/>
          <w:sz w:val="24"/>
          <w:szCs w:val="24"/>
        </w:rPr>
      </w:pPr>
      <w:r w:rsidRPr="00967CBC">
        <w:rPr>
          <w:rFonts w:ascii="Times New Roman" w:hAnsi="Times New Roman" w:cs="Times New Roman"/>
          <w:noProof/>
          <w:sz w:val="24"/>
          <w:szCs w:val="24"/>
        </w:rPr>
        <w:drawing>
          <wp:inline distT="0" distB="0" distL="0" distR="0" wp14:anchorId="2CD2DF5D" wp14:editId="2EEFB30B">
            <wp:extent cx="4729369" cy="2219739"/>
            <wp:effectExtent l="0" t="0" r="14605"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E9EEBC" w14:textId="75464264" w:rsidR="008B45C8" w:rsidRDefault="008B45C8" w:rsidP="008B45C8">
      <w:pPr>
        <w:pStyle w:val="Caption"/>
        <w:spacing w:after="0"/>
        <w:ind w:left="1560"/>
        <w:jc w:val="center"/>
        <w:rPr>
          <w:rFonts w:ascii="Times New Roman" w:hAnsi="Times New Roman" w:cs="Times New Roman"/>
          <w:i w:val="0"/>
          <w:iCs w:val="0"/>
          <w:color w:val="auto"/>
          <w:sz w:val="24"/>
          <w:szCs w:val="24"/>
        </w:rPr>
      </w:pPr>
      <w:bookmarkStart w:id="6" w:name="_Toc169268206"/>
      <w:r w:rsidRPr="008B45C8">
        <w:rPr>
          <w:rFonts w:ascii="Times New Roman" w:hAnsi="Times New Roman" w:cs="Times New Roman"/>
          <w:i w:val="0"/>
          <w:iCs w:val="0"/>
          <w:color w:val="auto"/>
          <w:sz w:val="24"/>
          <w:szCs w:val="24"/>
        </w:rPr>
        <w:t xml:space="preserve">Grafik </w:t>
      </w:r>
      <w:r w:rsidRPr="008B45C8">
        <w:rPr>
          <w:rFonts w:ascii="Times New Roman" w:hAnsi="Times New Roman" w:cs="Times New Roman"/>
          <w:i w:val="0"/>
          <w:iCs w:val="0"/>
          <w:color w:val="auto"/>
          <w:sz w:val="24"/>
          <w:szCs w:val="24"/>
        </w:rPr>
        <w:fldChar w:fldCharType="begin"/>
      </w:r>
      <w:r w:rsidRPr="008B45C8">
        <w:rPr>
          <w:rFonts w:ascii="Times New Roman" w:hAnsi="Times New Roman" w:cs="Times New Roman"/>
          <w:i w:val="0"/>
          <w:iCs w:val="0"/>
          <w:color w:val="auto"/>
          <w:sz w:val="24"/>
          <w:szCs w:val="24"/>
        </w:rPr>
        <w:instrText xml:space="preserve"> SEQ grafik \* ARABIC </w:instrText>
      </w:r>
      <w:r w:rsidRPr="008B45C8">
        <w:rPr>
          <w:rFonts w:ascii="Times New Roman" w:hAnsi="Times New Roman" w:cs="Times New Roman"/>
          <w:i w:val="0"/>
          <w:iCs w:val="0"/>
          <w:color w:val="auto"/>
          <w:sz w:val="24"/>
          <w:szCs w:val="24"/>
        </w:rPr>
        <w:fldChar w:fldCharType="separate"/>
      </w:r>
      <w:r w:rsidR="00383519">
        <w:rPr>
          <w:rFonts w:ascii="Times New Roman" w:hAnsi="Times New Roman" w:cs="Times New Roman"/>
          <w:i w:val="0"/>
          <w:iCs w:val="0"/>
          <w:noProof/>
          <w:color w:val="auto"/>
          <w:sz w:val="24"/>
          <w:szCs w:val="24"/>
        </w:rPr>
        <w:t>4</w:t>
      </w:r>
      <w:bookmarkEnd w:id="6"/>
      <w:r w:rsidRPr="008B45C8">
        <w:rPr>
          <w:rFonts w:ascii="Times New Roman" w:hAnsi="Times New Roman" w:cs="Times New Roman"/>
          <w:i w:val="0"/>
          <w:iCs w:val="0"/>
          <w:color w:val="auto"/>
          <w:sz w:val="24"/>
          <w:szCs w:val="24"/>
        </w:rPr>
        <w:fldChar w:fldCharType="end"/>
      </w:r>
    </w:p>
    <w:p w14:paraId="7766FF71" w14:textId="6ADEFF02" w:rsidR="008B45C8" w:rsidRPr="008B45C8" w:rsidRDefault="008B45C8" w:rsidP="008B45C8">
      <w:pPr>
        <w:pStyle w:val="Caption"/>
        <w:spacing w:after="0"/>
        <w:ind w:left="1560"/>
        <w:jc w:val="center"/>
        <w:rPr>
          <w:rFonts w:ascii="Times New Roman" w:hAnsi="Times New Roman" w:cs="Times New Roman"/>
          <w:i w:val="0"/>
          <w:iCs w:val="0"/>
          <w:color w:val="auto"/>
          <w:sz w:val="24"/>
          <w:szCs w:val="24"/>
        </w:rPr>
      </w:pPr>
      <w:r w:rsidRPr="008B45C8">
        <w:rPr>
          <w:rFonts w:ascii="Times New Roman" w:hAnsi="Times New Roman" w:cs="Times New Roman"/>
          <w:i w:val="0"/>
          <w:iCs w:val="0"/>
          <w:color w:val="auto"/>
          <w:sz w:val="24"/>
          <w:szCs w:val="24"/>
        </w:rPr>
        <w:t>Perhitungan Rentabilitas</w:t>
      </w:r>
    </w:p>
    <w:p w14:paraId="5F66C1A3" w14:textId="57F4D96A" w:rsidR="00967CBC" w:rsidRPr="00F45213" w:rsidRDefault="00431A92" w:rsidP="00FA7319">
      <w:pPr>
        <w:pStyle w:val="ListParagraph"/>
        <w:spacing w:before="240" w:line="480" w:lineRule="auto"/>
        <w:ind w:left="1560" w:firstLine="600"/>
        <w:jc w:val="both"/>
        <w:rPr>
          <w:rFonts w:ascii="Times New Roman" w:hAnsi="Times New Roman" w:cs="Times New Roman"/>
          <w:sz w:val="24"/>
          <w:szCs w:val="24"/>
        </w:rPr>
      </w:pPr>
      <w:r w:rsidRPr="00967CBC">
        <w:rPr>
          <w:rFonts w:ascii="Times New Roman" w:hAnsi="Times New Roman" w:cs="Times New Roman"/>
          <w:sz w:val="24"/>
          <w:szCs w:val="24"/>
        </w:rPr>
        <w:lastRenderedPageBreak/>
        <w:t>Berdasarkan grafik di atas, dapat dilihat nilai rentabilitas dari 30 sampel per</w:t>
      </w:r>
      <w:r w:rsidR="00D062A7" w:rsidRPr="00967CBC">
        <w:rPr>
          <w:rFonts w:ascii="Times New Roman" w:hAnsi="Times New Roman" w:cs="Times New Roman"/>
          <w:sz w:val="24"/>
          <w:szCs w:val="24"/>
        </w:rPr>
        <w:t>bankan</w:t>
      </w:r>
      <w:r w:rsidRPr="00967CBC">
        <w:rPr>
          <w:rFonts w:ascii="Times New Roman" w:hAnsi="Times New Roman" w:cs="Times New Roman"/>
          <w:sz w:val="24"/>
          <w:szCs w:val="24"/>
        </w:rPr>
        <w:t xml:space="preserve"> menunjukkan bahwa </w:t>
      </w:r>
      <w:r w:rsidR="00D062A7" w:rsidRPr="00967CBC">
        <w:rPr>
          <w:rFonts w:ascii="Times New Roman" w:hAnsi="Times New Roman" w:cs="Times New Roman"/>
          <w:sz w:val="24"/>
          <w:szCs w:val="24"/>
        </w:rPr>
        <w:t>tahun 2019</w:t>
      </w:r>
      <w:r w:rsidRPr="00967CBC">
        <w:rPr>
          <w:rFonts w:ascii="Times New Roman" w:hAnsi="Times New Roman" w:cs="Times New Roman"/>
          <w:sz w:val="24"/>
          <w:szCs w:val="24"/>
        </w:rPr>
        <w:t xml:space="preserve"> nilai rentabilitas te</w:t>
      </w:r>
      <w:r w:rsidR="00D062A7" w:rsidRPr="00967CBC">
        <w:rPr>
          <w:rFonts w:ascii="Times New Roman" w:hAnsi="Times New Roman" w:cs="Times New Roman"/>
          <w:sz w:val="24"/>
          <w:szCs w:val="24"/>
        </w:rPr>
        <w:t>rtinggi terdapat pada bank permata</w:t>
      </w:r>
      <w:r w:rsidRPr="00967CBC">
        <w:rPr>
          <w:rFonts w:ascii="Times New Roman" w:hAnsi="Times New Roman" w:cs="Times New Roman"/>
          <w:sz w:val="24"/>
          <w:szCs w:val="24"/>
        </w:rPr>
        <w:t xml:space="preserve"> dengan nilai rentabilitas sebesar</w:t>
      </w:r>
      <w:r w:rsidR="00D062A7" w:rsidRPr="00967CBC">
        <w:rPr>
          <w:rFonts w:ascii="Times New Roman" w:hAnsi="Times New Roman" w:cs="Times New Roman"/>
          <w:sz w:val="24"/>
          <w:szCs w:val="24"/>
        </w:rPr>
        <w:t xml:space="preserve"> 7,2</w:t>
      </w:r>
      <w:r w:rsidRPr="00967CBC">
        <w:rPr>
          <w:rFonts w:ascii="Times New Roman" w:hAnsi="Times New Roman" w:cs="Times New Roman"/>
          <w:sz w:val="24"/>
          <w:szCs w:val="24"/>
        </w:rPr>
        <w:t xml:space="preserve">. </w:t>
      </w:r>
      <w:r w:rsidR="00D062A7" w:rsidRPr="00967CBC">
        <w:rPr>
          <w:rFonts w:ascii="Times New Roman" w:hAnsi="Times New Roman" w:cs="Times New Roman"/>
          <w:sz w:val="24"/>
          <w:szCs w:val="24"/>
        </w:rPr>
        <w:t xml:space="preserve">Tahun 2020 &amp; 2022 nilai rentabilitas tertinggi terdapat pada bank bank mega Tbk sebesar 3,64 &amp; 4. Sedangkan tahun 2021 &amp; 2023 nilai rentabilitas tertinggi terdapat pada bank mestika dharma Tbk &amp; bank mandiri (persero) Tbk masing-masing sebesar 4,31 &amp; 4,03. </w:t>
      </w:r>
      <w:r w:rsidRPr="00967CBC">
        <w:rPr>
          <w:rFonts w:ascii="Times New Roman" w:hAnsi="Times New Roman" w:cs="Times New Roman"/>
          <w:sz w:val="24"/>
          <w:szCs w:val="24"/>
        </w:rPr>
        <w:t>Nilai terendah dari ren</w:t>
      </w:r>
      <w:r w:rsidR="00D062A7" w:rsidRPr="00967CBC">
        <w:rPr>
          <w:rFonts w:ascii="Times New Roman" w:hAnsi="Times New Roman" w:cs="Times New Roman"/>
          <w:sz w:val="24"/>
          <w:szCs w:val="24"/>
        </w:rPr>
        <w:t>tabilitas tahun 2019, 2020, 2021 terdapat pada bank artha graha internasional Tbk, bank Victoria internasional Tbk, dan bank raya Indonesia Tbk masing-masing sebesar -0,3, -1,26 dan -14,75. Sedangkan nilai terendah</w:t>
      </w:r>
      <w:r w:rsidR="009F6623" w:rsidRPr="00967CBC">
        <w:rPr>
          <w:rFonts w:ascii="Times New Roman" w:hAnsi="Times New Roman" w:cs="Times New Roman"/>
          <w:sz w:val="24"/>
          <w:szCs w:val="24"/>
        </w:rPr>
        <w:t xml:space="preserve"> renta</w:t>
      </w:r>
      <w:r w:rsidR="00967CBC" w:rsidRPr="00967CBC">
        <w:rPr>
          <w:rFonts w:ascii="Times New Roman" w:hAnsi="Times New Roman" w:cs="Times New Roman"/>
          <w:sz w:val="24"/>
          <w:szCs w:val="24"/>
        </w:rPr>
        <w:t>b</w:t>
      </w:r>
      <w:r w:rsidR="009F6623" w:rsidRPr="00967CBC">
        <w:rPr>
          <w:rFonts w:ascii="Times New Roman" w:hAnsi="Times New Roman" w:cs="Times New Roman"/>
          <w:sz w:val="24"/>
          <w:szCs w:val="24"/>
        </w:rPr>
        <w:t>ilitas</w:t>
      </w:r>
      <w:r w:rsidR="00D062A7" w:rsidRPr="00967CBC">
        <w:rPr>
          <w:rFonts w:ascii="Times New Roman" w:hAnsi="Times New Roman" w:cs="Times New Roman"/>
          <w:sz w:val="24"/>
          <w:szCs w:val="24"/>
        </w:rPr>
        <w:t xml:space="preserve"> pada tahun 2022</w:t>
      </w:r>
      <w:r w:rsidR="009F6623" w:rsidRPr="00967CBC">
        <w:rPr>
          <w:rFonts w:ascii="Times New Roman" w:hAnsi="Times New Roman" w:cs="Times New Roman"/>
          <w:sz w:val="24"/>
          <w:szCs w:val="24"/>
        </w:rPr>
        <w:t xml:space="preserve"> &amp; </w:t>
      </w:r>
      <w:r w:rsidR="00D062A7" w:rsidRPr="00967CBC">
        <w:rPr>
          <w:rFonts w:ascii="Times New Roman" w:hAnsi="Times New Roman" w:cs="Times New Roman"/>
          <w:sz w:val="24"/>
          <w:szCs w:val="24"/>
        </w:rPr>
        <w:t>2023</w:t>
      </w:r>
      <w:r w:rsidR="009F6623" w:rsidRPr="00967CBC">
        <w:rPr>
          <w:rFonts w:ascii="Times New Roman" w:hAnsi="Times New Roman" w:cs="Times New Roman"/>
          <w:sz w:val="24"/>
          <w:szCs w:val="24"/>
        </w:rPr>
        <w:t xml:space="preserve"> terdapat pada bank mayapada internasional Tbk dengan masing-masing sebesar 0,04 &amp; 0,04.</w:t>
      </w:r>
    </w:p>
    <w:p w14:paraId="57E0DC82" w14:textId="77777777" w:rsidR="00CB0619" w:rsidRPr="007C47B0" w:rsidRDefault="00CB0619" w:rsidP="00F45213">
      <w:pPr>
        <w:pStyle w:val="ListParagraph"/>
        <w:numPr>
          <w:ilvl w:val="0"/>
          <w:numId w:val="102"/>
        </w:numPr>
        <w:spacing w:line="480" w:lineRule="auto"/>
        <w:ind w:left="1560"/>
        <w:jc w:val="both"/>
        <w:rPr>
          <w:rFonts w:ascii="Times New Roman" w:hAnsi="Times New Roman" w:cs="Times New Roman"/>
          <w:sz w:val="24"/>
          <w:szCs w:val="24"/>
        </w:rPr>
      </w:pPr>
      <w:r w:rsidRPr="007C47B0">
        <w:rPr>
          <w:rFonts w:ascii="Times New Roman" w:hAnsi="Times New Roman" w:cs="Times New Roman"/>
          <w:sz w:val="24"/>
          <w:szCs w:val="24"/>
        </w:rPr>
        <w:t>Sensitivitas Risiko Pasar</w:t>
      </w:r>
    </w:p>
    <w:p w14:paraId="5141855F" w14:textId="1AB6FC64" w:rsidR="00431A92" w:rsidRPr="00967CBC" w:rsidRDefault="00CE01F8" w:rsidP="00FA7319">
      <w:pPr>
        <w:pStyle w:val="ListParagraph"/>
        <w:spacing w:line="480" w:lineRule="auto"/>
        <w:ind w:left="1560" w:firstLine="600"/>
        <w:jc w:val="both"/>
        <w:rPr>
          <w:rFonts w:ascii="Times New Roman" w:hAnsi="Times New Roman" w:cs="Times New Roman"/>
          <w:sz w:val="24"/>
          <w:szCs w:val="24"/>
        </w:rPr>
      </w:pPr>
      <w:r w:rsidRPr="00C46A01">
        <w:rPr>
          <w:rFonts w:ascii="Times New Roman" w:hAnsi="Times New Roman" w:cs="Times New Roman"/>
          <w:bCs/>
          <w:sz w:val="24"/>
          <w:szCs w:val="24"/>
        </w:rPr>
        <w:t xml:space="preserve">Sensitivitas Risiko Pasar menilai kemampuan modal bank dalam memperbaiki kerugian akibat  perubahan risiko pasar dan kecukupan manajemen risiko pasar </w:t>
      </w:r>
      <w:r w:rsidRPr="00C46A01">
        <w:rPr>
          <w:rFonts w:ascii="Times New Roman" w:hAnsi="Times New Roman" w:cs="Times New Roman"/>
          <w:bCs/>
          <w:sz w:val="24"/>
          <w:szCs w:val="24"/>
        </w:rPr>
        <w:fldChar w:fldCharType="begin" w:fldLock="1"/>
      </w:r>
      <w:r w:rsidRPr="00C46A01">
        <w:rPr>
          <w:rFonts w:ascii="Times New Roman" w:hAnsi="Times New Roman" w:cs="Times New Roman"/>
          <w:bCs/>
          <w:sz w:val="24"/>
          <w:szCs w:val="24"/>
        </w:rPr>
        <w:instrText>ADDIN CSL_CITATION {"citationItems":[{"id":"ITEM-1","itemData":{"abstract":"The purpose of this study was to examine how the influence of firm size, asset growth, profitability and corporate income tax on the capital structure of cosmetic companies listed on the Indonesia Stock Exchange in 2013-2017. The population in this study are all cosmetic companies listed on the Indonesia Stock Exchange. The sample selection uses a purposive sampling method. Based on the criteria obtained by 4 cosmetic companies listed on the Indonesia Stock Exchange in 2013-2017. The test method used is a multiple linear regression analysis test with hypothesis testing using the t test and F test. The results of this study indicate that firm size, asset growth and profitability (ROE) have no effect on capital structure (DER). Whereas corporate income tax affects the capital structure. Simultaneously, the four independent variables influence the capital structure.","author":[{"dropping-particle":"","family":"Anjani","given":"Ayu Giri","non-dropping-particle":"","parse-names":false,"suffix":""},{"dropping-particle":"","family":"Susyanti","given":"Jeni","non-dropping-particle":"","parse-names":false,"suffix":""},{"dropping-particle":"","family":"Salim","given":"M Agus","non-dropping-particle":"","parse-names":false,"suffix":""}],"container-title":"Jurnal Riset Manajemen","id":"ITEM-1","issue":"08","issued":{"date-parts":[["2019"]]},"page":"218-230","title":"Pengaruh Kualitas Aset, Likuiditas, Rentabilitas, Efisiensi Operasional, Dan Sensitivitas Terhadap Tingkat Kecukupan Modal Perbankan Yang Terdaftar Di Bursa Efek Indonesia","type":"article-journal","volume":"08"},"uris":["http://www.mendeley.com/documents/?uuid=7f5753fe-35b5-42fe-8a4b-35ab55a00131"]}],"mendeley":{"formattedCitation":"(Anjani et al., 2019)","manualFormatting":"(Anjani, 2019)","plainTextFormattedCitation":"(Anjani et al., 2019)","previouslyFormattedCitation":"(Anjani et al., 2019)"},"properties":{"noteIndex":0},"schema":"https://github.com/citation-style-language/schema/raw/master/csl-citation.json"}</w:instrText>
      </w:r>
      <w:r w:rsidRPr="00C46A01">
        <w:rPr>
          <w:rFonts w:ascii="Times New Roman" w:hAnsi="Times New Roman" w:cs="Times New Roman"/>
          <w:bCs/>
          <w:sz w:val="24"/>
          <w:szCs w:val="24"/>
        </w:rPr>
        <w:fldChar w:fldCharType="separate"/>
      </w:r>
      <w:r w:rsidRPr="00C46A01">
        <w:rPr>
          <w:rFonts w:ascii="Times New Roman" w:hAnsi="Times New Roman" w:cs="Times New Roman"/>
          <w:bCs/>
          <w:noProof/>
          <w:sz w:val="24"/>
          <w:szCs w:val="24"/>
        </w:rPr>
        <w:t>(Anjani, 2019)</w:t>
      </w:r>
      <w:r w:rsidRPr="00C46A01">
        <w:rPr>
          <w:rFonts w:ascii="Times New Roman" w:hAnsi="Times New Roman" w:cs="Times New Roman"/>
          <w:bCs/>
          <w:sz w:val="24"/>
          <w:szCs w:val="24"/>
        </w:rPr>
        <w:fldChar w:fldCharType="end"/>
      </w:r>
      <w:r w:rsidRPr="00C46A01">
        <w:rPr>
          <w:rFonts w:ascii="Times New Roman" w:hAnsi="Times New Roman" w:cs="Times New Roman"/>
          <w:bCs/>
          <w:sz w:val="24"/>
          <w:szCs w:val="24"/>
        </w:rPr>
        <w:t>.</w:t>
      </w:r>
      <w:r>
        <w:rPr>
          <w:rFonts w:ascii="Times New Roman" w:hAnsi="Times New Roman" w:cs="Times New Roman"/>
          <w:bCs/>
          <w:sz w:val="24"/>
          <w:szCs w:val="24"/>
        </w:rPr>
        <w:t xml:space="preserve"> </w:t>
      </w:r>
      <w:r w:rsidR="00431A92" w:rsidRPr="00967CBC">
        <w:rPr>
          <w:rFonts w:ascii="Times New Roman" w:hAnsi="Times New Roman" w:cs="Times New Roman"/>
          <w:sz w:val="24"/>
          <w:szCs w:val="24"/>
        </w:rPr>
        <w:t>Berdasarkan lampiran perhitungan variabel Sensitivitas Risiko Pasar, maka dapat diperoleh grafik data tahun 2019-2023 seperti berikut.</w:t>
      </w:r>
    </w:p>
    <w:p w14:paraId="072C8045" w14:textId="02BA76A8" w:rsidR="00431A92" w:rsidRPr="00967CBC" w:rsidRDefault="0049524F" w:rsidP="00F45213">
      <w:pPr>
        <w:pStyle w:val="ListParagraph"/>
        <w:spacing w:before="240" w:line="480" w:lineRule="auto"/>
        <w:ind w:left="1560"/>
        <w:jc w:val="both"/>
        <w:rPr>
          <w:rFonts w:ascii="Times New Roman" w:hAnsi="Times New Roman" w:cs="Times New Roman"/>
          <w:sz w:val="24"/>
          <w:szCs w:val="24"/>
        </w:rPr>
      </w:pPr>
      <w:r w:rsidRPr="00967CBC">
        <w:rPr>
          <w:rFonts w:ascii="Times New Roman" w:hAnsi="Times New Roman" w:cs="Times New Roman"/>
          <w:noProof/>
          <w:sz w:val="24"/>
          <w:szCs w:val="24"/>
        </w:rPr>
        <w:lastRenderedPageBreak/>
        <w:drawing>
          <wp:inline distT="0" distB="0" distL="0" distR="0" wp14:anchorId="4666BBF6" wp14:editId="7ECA21A9">
            <wp:extent cx="4810125" cy="2224088"/>
            <wp:effectExtent l="0" t="0" r="9525" b="508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8B4D57" w14:textId="04453AC0" w:rsidR="008B45C8" w:rsidRDefault="008B45C8" w:rsidP="008B45C8">
      <w:pPr>
        <w:pStyle w:val="Caption"/>
        <w:spacing w:after="0"/>
        <w:ind w:left="1560"/>
        <w:jc w:val="center"/>
        <w:rPr>
          <w:rFonts w:ascii="Times New Roman" w:hAnsi="Times New Roman" w:cs="Times New Roman"/>
          <w:i w:val="0"/>
          <w:iCs w:val="0"/>
          <w:color w:val="auto"/>
          <w:sz w:val="24"/>
          <w:szCs w:val="24"/>
        </w:rPr>
      </w:pPr>
      <w:bookmarkStart w:id="7" w:name="_Toc169268207"/>
      <w:r w:rsidRPr="008B45C8">
        <w:rPr>
          <w:rFonts w:ascii="Times New Roman" w:hAnsi="Times New Roman" w:cs="Times New Roman"/>
          <w:i w:val="0"/>
          <w:iCs w:val="0"/>
          <w:color w:val="auto"/>
          <w:sz w:val="24"/>
          <w:szCs w:val="24"/>
        </w:rPr>
        <w:t xml:space="preserve">Grafik </w:t>
      </w:r>
      <w:r w:rsidRPr="008B45C8">
        <w:rPr>
          <w:rFonts w:ascii="Times New Roman" w:hAnsi="Times New Roman" w:cs="Times New Roman"/>
          <w:i w:val="0"/>
          <w:iCs w:val="0"/>
          <w:color w:val="auto"/>
          <w:sz w:val="24"/>
          <w:szCs w:val="24"/>
        </w:rPr>
        <w:fldChar w:fldCharType="begin"/>
      </w:r>
      <w:r w:rsidRPr="008B45C8">
        <w:rPr>
          <w:rFonts w:ascii="Times New Roman" w:hAnsi="Times New Roman" w:cs="Times New Roman"/>
          <w:i w:val="0"/>
          <w:iCs w:val="0"/>
          <w:color w:val="auto"/>
          <w:sz w:val="24"/>
          <w:szCs w:val="24"/>
        </w:rPr>
        <w:instrText xml:space="preserve"> SEQ grafik \* ARABIC </w:instrText>
      </w:r>
      <w:r w:rsidRPr="008B45C8">
        <w:rPr>
          <w:rFonts w:ascii="Times New Roman" w:hAnsi="Times New Roman" w:cs="Times New Roman"/>
          <w:i w:val="0"/>
          <w:iCs w:val="0"/>
          <w:color w:val="auto"/>
          <w:sz w:val="24"/>
          <w:szCs w:val="24"/>
        </w:rPr>
        <w:fldChar w:fldCharType="separate"/>
      </w:r>
      <w:r w:rsidR="00383519">
        <w:rPr>
          <w:rFonts w:ascii="Times New Roman" w:hAnsi="Times New Roman" w:cs="Times New Roman"/>
          <w:i w:val="0"/>
          <w:iCs w:val="0"/>
          <w:noProof/>
          <w:color w:val="auto"/>
          <w:sz w:val="24"/>
          <w:szCs w:val="24"/>
        </w:rPr>
        <w:t>5</w:t>
      </w:r>
      <w:bookmarkEnd w:id="7"/>
      <w:r w:rsidRPr="008B45C8">
        <w:rPr>
          <w:rFonts w:ascii="Times New Roman" w:hAnsi="Times New Roman" w:cs="Times New Roman"/>
          <w:i w:val="0"/>
          <w:iCs w:val="0"/>
          <w:color w:val="auto"/>
          <w:sz w:val="24"/>
          <w:szCs w:val="24"/>
        </w:rPr>
        <w:fldChar w:fldCharType="end"/>
      </w:r>
    </w:p>
    <w:p w14:paraId="16224D8D" w14:textId="285A195A" w:rsidR="008B45C8" w:rsidRPr="008B45C8" w:rsidRDefault="008B45C8" w:rsidP="008B45C8">
      <w:pPr>
        <w:pStyle w:val="Caption"/>
        <w:spacing w:after="0"/>
        <w:ind w:left="1560"/>
        <w:jc w:val="center"/>
        <w:rPr>
          <w:rFonts w:ascii="Times New Roman" w:hAnsi="Times New Roman" w:cs="Times New Roman"/>
          <w:i w:val="0"/>
          <w:iCs w:val="0"/>
          <w:color w:val="auto"/>
          <w:sz w:val="24"/>
          <w:szCs w:val="24"/>
        </w:rPr>
      </w:pPr>
      <w:r w:rsidRPr="008B45C8">
        <w:rPr>
          <w:rFonts w:ascii="Times New Roman" w:hAnsi="Times New Roman" w:cs="Times New Roman"/>
          <w:i w:val="0"/>
          <w:iCs w:val="0"/>
          <w:color w:val="auto"/>
          <w:sz w:val="24"/>
          <w:szCs w:val="24"/>
        </w:rPr>
        <w:t>Perhitungan Sensitivitas Risiko Pasar</w:t>
      </w:r>
    </w:p>
    <w:p w14:paraId="3DD76D60" w14:textId="7B18D8F7" w:rsidR="00431A92" w:rsidRDefault="00431A92" w:rsidP="00A4417F">
      <w:pPr>
        <w:pStyle w:val="ListParagraph"/>
        <w:spacing w:before="240" w:line="480" w:lineRule="auto"/>
        <w:ind w:left="1560" w:firstLine="600"/>
        <w:jc w:val="both"/>
        <w:rPr>
          <w:rFonts w:ascii="Times New Roman" w:hAnsi="Times New Roman" w:cs="Times New Roman"/>
          <w:sz w:val="24"/>
          <w:szCs w:val="24"/>
        </w:rPr>
      </w:pPr>
      <w:r w:rsidRPr="00967CBC">
        <w:rPr>
          <w:rFonts w:ascii="Times New Roman" w:hAnsi="Times New Roman" w:cs="Times New Roman"/>
          <w:sz w:val="24"/>
          <w:szCs w:val="24"/>
        </w:rPr>
        <w:t xml:space="preserve">Berdasarkan grafik di atas, dapat dilihat nilai sensitivitas </w:t>
      </w:r>
      <w:r w:rsidR="009F6623" w:rsidRPr="00967CBC">
        <w:rPr>
          <w:rFonts w:ascii="Times New Roman" w:hAnsi="Times New Roman" w:cs="Times New Roman"/>
          <w:sz w:val="24"/>
          <w:szCs w:val="24"/>
        </w:rPr>
        <w:t>risiko pasar dari 30 sampel perbankan menunjukkan bahwa tahun 2019</w:t>
      </w:r>
      <w:r w:rsidRPr="00967CBC">
        <w:rPr>
          <w:rFonts w:ascii="Times New Roman" w:hAnsi="Times New Roman" w:cs="Times New Roman"/>
          <w:sz w:val="24"/>
          <w:szCs w:val="24"/>
        </w:rPr>
        <w:t xml:space="preserve"> </w:t>
      </w:r>
      <w:r w:rsidR="009F6623" w:rsidRPr="00967CBC">
        <w:rPr>
          <w:rFonts w:ascii="Times New Roman" w:hAnsi="Times New Roman" w:cs="Times New Roman"/>
          <w:sz w:val="24"/>
          <w:szCs w:val="24"/>
        </w:rPr>
        <w:t xml:space="preserve">&amp; 2020 </w:t>
      </w:r>
      <w:r w:rsidRPr="00967CBC">
        <w:rPr>
          <w:rFonts w:ascii="Times New Roman" w:hAnsi="Times New Roman" w:cs="Times New Roman"/>
          <w:sz w:val="24"/>
          <w:szCs w:val="24"/>
        </w:rPr>
        <w:t xml:space="preserve">nilai sensitivitas risiko </w:t>
      </w:r>
      <w:r w:rsidR="009F6623" w:rsidRPr="00967CBC">
        <w:rPr>
          <w:rFonts w:ascii="Times New Roman" w:hAnsi="Times New Roman" w:cs="Times New Roman"/>
          <w:sz w:val="24"/>
          <w:szCs w:val="24"/>
        </w:rPr>
        <w:t>pasar tertinggi terdapat pada bank mega Tbk</w:t>
      </w:r>
      <w:r w:rsidRPr="00967CBC">
        <w:rPr>
          <w:rFonts w:ascii="Times New Roman" w:hAnsi="Times New Roman" w:cs="Times New Roman"/>
          <w:sz w:val="24"/>
          <w:szCs w:val="24"/>
        </w:rPr>
        <w:t xml:space="preserve"> </w:t>
      </w:r>
      <w:r w:rsidR="009F6623" w:rsidRPr="00967CBC">
        <w:rPr>
          <w:rFonts w:ascii="Times New Roman" w:hAnsi="Times New Roman" w:cs="Times New Roman"/>
          <w:sz w:val="24"/>
          <w:szCs w:val="24"/>
        </w:rPr>
        <w:t xml:space="preserve">&amp; bank maybank Indonesia Tbk </w:t>
      </w:r>
      <w:r w:rsidRPr="00967CBC">
        <w:rPr>
          <w:rFonts w:ascii="Times New Roman" w:hAnsi="Times New Roman" w:cs="Times New Roman"/>
          <w:sz w:val="24"/>
          <w:szCs w:val="24"/>
        </w:rPr>
        <w:t xml:space="preserve">dengan </w:t>
      </w:r>
      <w:r w:rsidR="009F6623" w:rsidRPr="00967CBC">
        <w:rPr>
          <w:rFonts w:ascii="Times New Roman" w:hAnsi="Times New Roman" w:cs="Times New Roman"/>
          <w:sz w:val="24"/>
          <w:szCs w:val="24"/>
        </w:rPr>
        <w:t xml:space="preserve">masing-masing </w:t>
      </w:r>
      <w:r w:rsidRPr="00967CBC">
        <w:rPr>
          <w:rFonts w:ascii="Times New Roman" w:hAnsi="Times New Roman" w:cs="Times New Roman"/>
          <w:sz w:val="24"/>
          <w:szCs w:val="24"/>
        </w:rPr>
        <w:t>nilai s</w:t>
      </w:r>
      <w:r w:rsidR="009F6623" w:rsidRPr="00967CBC">
        <w:rPr>
          <w:rFonts w:ascii="Times New Roman" w:hAnsi="Times New Roman" w:cs="Times New Roman"/>
          <w:sz w:val="24"/>
          <w:szCs w:val="24"/>
        </w:rPr>
        <w:t>ensitivitas risiko pasar sebesar 9,99 &amp; 7,37</w:t>
      </w:r>
      <w:r w:rsidRPr="00967CBC">
        <w:rPr>
          <w:rFonts w:ascii="Times New Roman" w:hAnsi="Times New Roman" w:cs="Times New Roman"/>
          <w:sz w:val="24"/>
          <w:szCs w:val="24"/>
        </w:rPr>
        <w:t>.</w:t>
      </w:r>
      <w:r w:rsidR="007E1AE9" w:rsidRPr="00967CBC">
        <w:rPr>
          <w:rFonts w:ascii="Times New Roman" w:hAnsi="Times New Roman" w:cs="Times New Roman"/>
          <w:sz w:val="24"/>
          <w:szCs w:val="24"/>
        </w:rPr>
        <w:t xml:space="preserve"> Tahun 2021 &amp; 2022 nilai sensitivitas risiko pasar tertinggi terdapat pada bank mandiri (persero) Tbk dengan masing-masing sebesar 4,27 &amp; 9,78. Sedangkan pada tahun 2023 nilai sensitivitas risiko pasar tertinggi pada bank pembangunan jawa barat dan banten Tbk sebesar 8,09. </w:t>
      </w:r>
      <w:r w:rsidRPr="00967CBC">
        <w:rPr>
          <w:rFonts w:ascii="Times New Roman" w:hAnsi="Times New Roman" w:cs="Times New Roman"/>
          <w:sz w:val="24"/>
          <w:szCs w:val="24"/>
        </w:rPr>
        <w:t>Nilai terendah dari sensitivitas ri</w:t>
      </w:r>
      <w:r w:rsidR="007E1AE9" w:rsidRPr="00967CBC">
        <w:rPr>
          <w:rFonts w:ascii="Times New Roman" w:hAnsi="Times New Roman" w:cs="Times New Roman"/>
          <w:sz w:val="24"/>
          <w:szCs w:val="24"/>
        </w:rPr>
        <w:t xml:space="preserve">siko pasar tahun 2019, 2022 &amp; 2023 terdapat pada bank ina perdana Tbk </w:t>
      </w:r>
      <w:r w:rsidRPr="00967CBC">
        <w:rPr>
          <w:rFonts w:ascii="Times New Roman" w:hAnsi="Times New Roman" w:cs="Times New Roman"/>
          <w:sz w:val="24"/>
          <w:szCs w:val="24"/>
        </w:rPr>
        <w:t xml:space="preserve">dengan masing-masing nilai yaitu </w:t>
      </w:r>
      <w:r w:rsidR="007E1AE9" w:rsidRPr="00967CBC">
        <w:rPr>
          <w:rFonts w:ascii="Times New Roman" w:hAnsi="Times New Roman" w:cs="Times New Roman"/>
          <w:sz w:val="24"/>
          <w:szCs w:val="24"/>
        </w:rPr>
        <w:t xml:space="preserve">0,00, 0,00 </w:t>
      </w:r>
      <w:r w:rsidRPr="00967CBC">
        <w:rPr>
          <w:rFonts w:ascii="Times New Roman" w:hAnsi="Times New Roman" w:cs="Times New Roman"/>
          <w:sz w:val="24"/>
          <w:szCs w:val="24"/>
        </w:rPr>
        <w:t xml:space="preserve">dan </w:t>
      </w:r>
      <w:r w:rsidR="007E1AE9" w:rsidRPr="00967CBC">
        <w:rPr>
          <w:rFonts w:ascii="Times New Roman" w:hAnsi="Times New Roman" w:cs="Times New Roman"/>
          <w:sz w:val="24"/>
          <w:szCs w:val="24"/>
        </w:rPr>
        <w:t>0,00. Sedangkan tahun 2020 &amp; 2021 nilai sensitivitas risiko pasar terendah terdapat pada bank central asia Tbk dengan nilai sebesar 0,04 &amp; 0,01.</w:t>
      </w:r>
    </w:p>
    <w:p w14:paraId="05F38BB3" w14:textId="77777777" w:rsidR="00BB4C2C" w:rsidRPr="00967CBC" w:rsidRDefault="00BB4C2C" w:rsidP="00F45213">
      <w:pPr>
        <w:pStyle w:val="ListParagraph"/>
        <w:spacing w:before="240" w:line="480" w:lineRule="auto"/>
        <w:ind w:left="1560"/>
        <w:jc w:val="both"/>
        <w:rPr>
          <w:rFonts w:ascii="Times New Roman" w:hAnsi="Times New Roman" w:cs="Times New Roman"/>
          <w:sz w:val="24"/>
          <w:szCs w:val="24"/>
        </w:rPr>
      </w:pPr>
    </w:p>
    <w:p w14:paraId="20CAA6A6" w14:textId="77777777" w:rsidR="00CB0619" w:rsidRPr="007C47B0" w:rsidRDefault="00CB0619" w:rsidP="00F45213">
      <w:pPr>
        <w:pStyle w:val="ListParagraph"/>
        <w:numPr>
          <w:ilvl w:val="0"/>
          <w:numId w:val="102"/>
        </w:numPr>
        <w:spacing w:line="480" w:lineRule="auto"/>
        <w:ind w:left="1560"/>
        <w:jc w:val="both"/>
        <w:rPr>
          <w:rFonts w:ascii="Times New Roman" w:hAnsi="Times New Roman" w:cs="Times New Roman"/>
          <w:sz w:val="24"/>
          <w:szCs w:val="24"/>
        </w:rPr>
      </w:pPr>
      <w:r w:rsidRPr="007C47B0">
        <w:rPr>
          <w:rFonts w:ascii="Times New Roman" w:hAnsi="Times New Roman" w:cs="Times New Roman"/>
          <w:sz w:val="24"/>
          <w:szCs w:val="24"/>
        </w:rPr>
        <w:t>Efisiensi Operasional</w:t>
      </w:r>
    </w:p>
    <w:p w14:paraId="169E1C7E" w14:textId="49A3FB15" w:rsidR="00431A92" w:rsidRPr="00967CBC" w:rsidRDefault="00E976A0" w:rsidP="00FA7319">
      <w:pPr>
        <w:pStyle w:val="ListParagraph"/>
        <w:spacing w:line="480" w:lineRule="auto"/>
        <w:ind w:left="1560" w:firstLine="600"/>
        <w:jc w:val="both"/>
        <w:rPr>
          <w:rFonts w:ascii="Times New Roman" w:hAnsi="Times New Roman" w:cs="Times New Roman"/>
          <w:sz w:val="24"/>
          <w:szCs w:val="24"/>
        </w:rPr>
      </w:pPr>
      <w:r w:rsidRPr="00C46A01">
        <w:rPr>
          <w:rFonts w:ascii="Times New Roman" w:hAnsi="Times New Roman" w:cs="Times New Roman"/>
          <w:sz w:val="24"/>
          <w:szCs w:val="24"/>
        </w:rPr>
        <w:t>Efisiensi operasional adalah kemampuan bank untuk memanfaatkan sumber dana yang dimilikinya beserta biaya yang terkait dengan operasinya</w:t>
      </w:r>
      <w:r w:rsidR="00CE01F8">
        <w:rPr>
          <w:rFonts w:ascii="Times New Roman" w:hAnsi="Times New Roman" w:cs="Times New Roman"/>
          <w:sz w:val="24"/>
          <w:szCs w:val="24"/>
        </w:rPr>
        <w:t xml:space="preserve"> (</w:t>
      </w:r>
      <w:r w:rsidR="00CE01F8" w:rsidRPr="00C46A01">
        <w:rPr>
          <w:rFonts w:ascii="Times New Roman" w:hAnsi="Times New Roman" w:cs="Times New Roman"/>
          <w:noProof/>
          <w:sz w:val="24"/>
          <w:szCs w:val="24"/>
        </w:rPr>
        <w:t>Mukaromah &amp; Supriono, 2020)</w:t>
      </w:r>
      <w:r w:rsidR="00CE01F8">
        <w:rPr>
          <w:rFonts w:ascii="Times New Roman" w:hAnsi="Times New Roman" w:cs="Times New Roman"/>
          <w:noProof/>
          <w:sz w:val="24"/>
          <w:szCs w:val="24"/>
        </w:rPr>
        <w:t>.</w:t>
      </w:r>
      <w:r w:rsidRPr="00967CBC">
        <w:rPr>
          <w:rFonts w:ascii="Times New Roman" w:hAnsi="Times New Roman" w:cs="Times New Roman"/>
          <w:sz w:val="24"/>
          <w:szCs w:val="24"/>
        </w:rPr>
        <w:t xml:space="preserve"> </w:t>
      </w:r>
      <w:r w:rsidR="00431A92" w:rsidRPr="00967CBC">
        <w:rPr>
          <w:rFonts w:ascii="Times New Roman" w:hAnsi="Times New Roman" w:cs="Times New Roman"/>
          <w:sz w:val="24"/>
          <w:szCs w:val="24"/>
        </w:rPr>
        <w:t>Berdasarkan lampiran perhitungan variabel Efisiensi Operasional, maka dapat diperoleh grafik data tahun 2019-2023 seperti berikut.</w:t>
      </w:r>
    </w:p>
    <w:p w14:paraId="4AB7B868" w14:textId="479A2330" w:rsidR="00431A92" w:rsidRPr="00967CBC" w:rsidRDefault="0049524F" w:rsidP="00F45213">
      <w:pPr>
        <w:pStyle w:val="ListParagraph"/>
        <w:spacing w:before="240" w:line="480" w:lineRule="auto"/>
        <w:ind w:left="1560"/>
        <w:jc w:val="both"/>
        <w:rPr>
          <w:rFonts w:ascii="Times New Roman" w:hAnsi="Times New Roman" w:cs="Times New Roman"/>
          <w:sz w:val="24"/>
          <w:szCs w:val="24"/>
        </w:rPr>
      </w:pPr>
      <w:r w:rsidRPr="00967CBC">
        <w:rPr>
          <w:rFonts w:ascii="Times New Roman" w:hAnsi="Times New Roman" w:cs="Times New Roman"/>
          <w:noProof/>
          <w:sz w:val="24"/>
          <w:szCs w:val="24"/>
        </w:rPr>
        <w:drawing>
          <wp:inline distT="0" distB="0" distL="0" distR="0" wp14:anchorId="7F44C319" wp14:editId="193F0E7F">
            <wp:extent cx="4791076" cy="2281238"/>
            <wp:effectExtent l="0" t="0" r="9525" b="508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4EC3969" w14:textId="69C7D1D0" w:rsidR="008B45C8" w:rsidRDefault="008B45C8" w:rsidP="008B45C8">
      <w:pPr>
        <w:pStyle w:val="Caption"/>
        <w:spacing w:after="0"/>
        <w:ind w:left="1560"/>
        <w:jc w:val="center"/>
        <w:rPr>
          <w:rFonts w:ascii="Times New Roman" w:hAnsi="Times New Roman" w:cs="Times New Roman"/>
          <w:i w:val="0"/>
          <w:iCs w:val="0"/>
          <w:color w:val="auto"/>
          <w:sz w:val="24"/>
          <w:szCs w:val="24"/>
        </w:rPr>
      </w:pPr>
      <w:bookmarkStart w:id="8" w:name="_Toc169268208"/>
      <w:r w:rsidRPr="008B45C8">
        <w:rPr>
          <w:rFonts w:ascii="Times New Roman" w:hAnsi="Times New Roman" w:cs="Times New Roman"/>
          <w:i w:val="0"/>
          <w:iCs w:val="0"/>
          <w:color w:val="auto"/>
          <w:sz w:val="24"/>
          <w:szCs w:val="24"/>
        </w:rPr>
        <w:t xml:space="preserve">Grafik </w:t>
      </w:r>
      <w:r w:rsidRPr="008B45C8">
        <w:rPr>
          <w:rFonts w:ascii="Times New Roman" w:hAnsi="Times New Roman" w:cs="Times New Roman"/>
          <w:i w:val="0"/>
          <w:iCs w:val="0"/>
          <w:color w:val="auto"/>
          <w:sz w:val="24"/>
          <w:szCs w:val="24"/>
        </w:rPr>
        <w:fldChar w:fldCharType="begin"/>
      </w:r>
      <w:r w:rsidRPr="008B45C8">
        <w:rPr>
          <w:rFonts w:ascii="Times New Roman" w:hAnsi="Times New Roman" w:cs="Times New Roman"/>
          <w:i w:val="0"/>
          <w:iCs w:val="0"/>
          <w:color w:val="auto"/>
          <w:sz w:val="24"/>
          <w:szCs w:val="24"/>
        </w:rPr>
        <w:instrText xml:space="preserve"> SEQ grafik \* ARABIC </w:instrText>
      </w:r>
      <w:r w:rsidRPr="008B45C8">
        <w:rPr>
          <w:rFonts w:ascii="Times New Roman" w:hAnsi="Times New Roman" w:cs="Times New Roman"/>
          <w:i w:val="0"/>
          <w:iCs w:val="0"/>
          <w:color w:val="auto"/>
          <w:sz w:val="24"/>
          <w:szCs w:val="24"/>
        </w:rPr>
        <w:fldChar w:fldCharType="separate"/>
      </w:r>
      <w:r w:rsidR="00383519">
        <w:rPr>
          <w:rFonts w:ascii="Times New Roman" w:hAnsi="Times New Roman" w:cs="Times New Roman"/>
          <w:i w:val="0"/>
          <w:iCs w:val="0"/>
          <w:noProof/>
          <w:color w:val="auto"/>
          <w:sz w:val="24"/>
          <w:szCs w:val="24"/>
        </w:rPr>
        <w:t>6</w:t>
      </w:r>
      <w:bookmarkEnd w:id="8"/>
      <w:r w:rsidRPr="008B45C8">
        <w:rPr>
          <w:rFonts w:ascii="Times New Roman" w:hAnsi="Times New Roman" w:cs="Times New Roman"/>
          <w:i w:val="0"/>
          <w:iCs w:val="0"/>
          <w:color w:val="auto"/>
          <w:sz w:val="24"/>
          <w:szCs w:val="24"/>
        </w:rPr>
        <w:fldChar w:fldCharType="end"/>
      </w:r>
    </w:p>
    <w:p w14:paraId="19275EC0" w14:textId="4F679C83" w:rsidR="008B45C8" w:rsidRPr="008B45C8" w:rsidRDefault="008B45C8" w:rsidP="008B45C8">
      <w:pPr>
        <w:pStyle w:val="Caption"/>
        <w:spacing w:after="0"/>
        <w:ind w:left="1560"/>
        <w:jc w:val="center"/>
        <w:rPr>
          <w:rFonts w:ascii="Times New Roman" w:hAnsi="Times New Roman" w:cs="Times New Roman"/>
          <w:i w:val="0"/>
          <w:iCs w:val="0"/>
          <w:color w:val="auto"/>
          <w:sz w:val="24"/>
          <w:szCs w:val="24"/>
        </w:rPr>
      </w:pPr>
      <w:r w:rsidRPr="008B45C8">
        <w:rPr>
          <w:rFonts w:ascii="Times New Roman" w:hAnsi="Times New Roman" w:cs="Times New Roman"/>
          <w:i w:val="0"/>
          <w:iCs w:val="0"/>
          <w:color w:val="auto"/>
          <w:sz w:val="24"/>
          <w:szCs w:val="24"/>
        </w:rPr>
        <w:t>Perhitungan Efisiensi Operasional</w:t>
      </w:r>
    </w:p>
    <w:p w14:paraId="6D35C0C7" w14:textId="4CD3A60E" w:rsidR="00967CBC" w:rsidRPr="00F45213" w:rsidRDefault="00431A92" w:rsidP="00A4417F">
      <w:pPr>
        <w:pStyle w:val="ListParagraph"/>
        <w:spacing w:before="240" w:line="480" w:lineRule="auto"/>
        <w:ind w:left="1560" w:firstLine="600"/>
        <w:jc w:val="both"/>
        <w:rPr>
          <w:rFonts w:ascii="Times New Roman" w:hAnsi="Times New Roman" w:cs="Times New Roman"/>
          <w:sz w:val="24"/>
          <w:szCs w:val="24"/>
        </w:rPr>
      </w:pPr>
      <w:r w:rsidRPr="00967CBC">
        <w:rPr>
          <w:rFonts w:ascii="Times New Roman" w:hAnsi="Times New Roman" w:cs="Times New Roman"/>
          <w:sz w:val="24"/>
          <w:szCs w:val="24"/>
        </w:rPr>
        <w:t xml:space="preserve">Berdasarkan grafik di atas, dapat dilihat nilai Efisiensi Operasional dari 30 sampel perusahaan menunjukkan bahwa </w:t>
      </w:r>
      <w:r w:rsidR="00626BA4" w:rsidRPr="00967CBC">
        <w:rPr>
          <w:rFonts w:ascii="Times New Roman" w:hAnsi="Times New Roman" w:cs="Times New Roman"/>
          <w:sz w:val="24"/>
          <w:szCs w:val="24"/>
        </w:rPr>
        <w:t>pada</w:t>
      </w:r>
      <w:r w:rsidRPr="00967CBC">
        <w:rPr>
          <w:rFonts w:ascii="Times New Roman" w:hAnsi="Times New Roman" w:cs="Times New Roman"/>
          <w:sz w:val="24"/>
          <w:szCs w:val="24"/>
        </w:rPr>
        <w:t xml:space="preserve"> tahun 2019</w:t>
      </w:r>
      <w:r w:rsidR="00626BA4" w:rsidRPr="00967CBC">
        <w:rPr>
          <w:rFonts w:ascii="Times New Roman" w:hAnsi="Times New Roman" w:cs="Times New Roman"/>
          <w:sz w:val="24"/>
          <w:szCs w:val="24"/>
        </w:rPr>
        <w:t xml:space="preserve"> &amp; </w:t>
      </w:r>
      <w:r w:rsidRPr="00967CBC">
        <w:rPr>
          <w:rFonts w:ascii="Times New Roman" w:hAnsi="Times New Roman" w:cs="Times New Roman"/>
          <w:sz w:val="24"/>
          <w:szCs w:val="24"/>
        </w:rPr>
        <w:t xml:space="preserve">2023 nilai Efisiensi Operasional tertinggi terdapat pada </w:t>
      </w:r>
      <w:r w:rsidR="00626BA4" w:rsidRPr="00967CBC">
        <w:rPr>
          <w:rFonts w:ascii="Times New Roman" w:hAnsi="Times New Roman" w:cs="Times New Roman"/>
          <w:sz w:val="24"/>
          <w:szCs w:val="24"/>
        </w:rPr>
        <w:t>bank sinarmas Tbk</w:t>
      </w:r>
      <w:r w:rsidRPr="00967CBC">
        <w:rPr>
          <w:rFonts w:ascii="Times New Roman" w:hAnsi="Times New Roman" w:cs="Times New Roman"/>
          <w:sz w:val="24"/>
          <w:szCs w:val="24"/>
        </w:rPr>
        <w:t xml:space="preserve"> dengan nilai Efisiensi Operasional sebesar </w:t>
      </w:r>
      <w:r w:rsidR="00626BA4" w:rsidRPr="00967CBC">
        <w:rPr>
          <w:rFonts w:ascii="Times New Roman" w:hAnsi="Times New Roman" w:cs="Times New Roman"/>
          <w:sz w:val="24"/>
          <w:szCs w:val="24"/>
        </w:rPr>
        <w:t>119,43 &amp; 103,36</w:t>
      </w:r>
      <w:r w:rsidRPr="00967CBC">
        <w:rPr>
          <w:rFonts w:ascii="Times New Roman" w:hAnsi="Times New Roman" w:cs="Times New Roman"/>
          <w:sz w:val="24"/>
          <w:szCs w:val="24"/>
        </w:rPr>
        <w:t>.</w:t>
      </w:r>
      <w:r w:rsidR="00626BA4" w:rsidRPr="00967CBC">
        <w:rPr>
          <w:rFonts w:ascii="Times New Roman" w:hAnsi="Times New Roman" w:cs="Times New Roman"/>
          <w:sz w:val="24"/>
          <w:szCs w:val="24"/>
        </w:rPr>
        <w:t xml:space="preserve"> Sedangkan pada tahun 2020, 2021 dan 2022 nilai efisiensi operasional tertinggi masing-masing terdapat pada bank Victoria internasional Tbk, bank raya Indonesia Tbk dan bank mayapada </w:t>
      </w:r>
      <w:r w:rsidR="00626BA4" w:rsidRPr="00967CBC">
        <w:rPr>
          <w:rFonts w:ascii="Times New Roman" w:hAnsi="Times New Roman" w:cs="Times New Roman"/>
          <w:sz w:val="24"/>
          <w:szCs w:val="24"/>
        </w:rPr>
        <w:lastRenderedPageBreak/>
        <w:t>internasional Tbk dengan nilai masing-masing sebesar 112,09, 287,86 dan 99,32.</w:t>
      </w:r>
      <w:r w:rsidRPr="00967CBC">
        <w:rPr>
          <w:rFonts w:ascii="Times New Roman" w:hAnsi="Times New Roman" w:cs="Times New Roman"/>
          <w:sz w:val="24"/>
          <w:szCs w:val="24"/>
        </w:rPr>
        <w:t xml:space="preserve"> Nilai terendah dari </w:t>
      </w:r>
      <w:r w:rsidR="0049524F" w:rsidRPr="00967CBC">
        <w:rPr>
          <w:rFonts w:ascii="Times New Roman" w:hAnsi="Times New Roman" w:cs="Times New Roman"/>
          <w:sz w:val="24"/>
          <w:szCs w:val="24"/>
        </w:rPr>
        <w:t xml:space="preserve">Efisiensi Operasional </w:t>
      </w:r>
      <w:r w:rsidRPr="00967CBC">
        <w:rPr>
          <w:rFonts w:ascii="Times New Roman" w:hAnsi="Times New Roman" w:cs="Times New Roman"/>
          <w:sz w:val="24"/>
          <w:szCs w:val="24"/>
        </w:rPr>
        <w:t>sepanjang tahun 2019</w:t>
      </w:r>
      <w:r w:rsidR="00626BA4" w:rsidRPr="00967CBC">
        <w:rPr>
          <w:rFonts w:ascii="Times New Roman" w:hAnsi="Times New Roman" w:cs="Times New Roman"/>
          <w:sz w:val="24"/>
          <w:szCs w:val="24"/>
        </w:rPr>
        <w:t>, 2020, 2022</w:t>
      </w:r>
      <w:r w:rsidR="00082D2A" w:rsidRPr="00967CBC">
        <w:rPr>
          <w:rFonts w:ascii="Times New Roman" w:hAnsi="Times New Roman" w:cs="Times New Roman"/>
          <w:sz w:val="24"/>
          <w:szCs w:val="24"/>
        </w:rPr>
        <w:t xml:space="preserve"> dan</w:t>
      </w:r>
      <w:r w:rsidR="00626BA4" w:rsidRPr="00967CBC">
        <w:rPr>
          <w:rFonts w:ascii="Times New Roman" w:hAnsi="Times New Roman" w:cs="Times New Roman"/>
          <w:sz w:val="24"/>
          <w:szCs w:val="24"/>
        </w:rPr>
        <w:t xml:space="preserve"> </w:t>
      </w:r>
      <w:r w:rsidRPr="00967CBC">
        <w:rPr>
          <w:rFonts w:ascii="Times New Roman" w:hAnsi="Times New Roman" w:cs="Times New Roman"/>
          <w:sz w:val="24"/>
          <w:szCs w:val="24"/>
        </w:rPr>
        <w:t xml:space="preserve">2023 terdapat pada </w:t>
      </w:r>
      <w:r w:rsidR="00626BA4" w:rsidRPr="00967CBC">
        <w:rPr>
          <w:rFonts w:ascii="Times New Roman" w:hAnsi="Times New Roman" w:cs="Times New Roman"/>
          <w:sz w:val="24"/>
          <w:szCs w:val="24"/>
        </w:rPr>
        <w:t xml:space="preserve">bank  central asia Tbk </w:t>
      </w:r>
      <w:r w:rsidRPr="00967CBC">
        <w:rPr>
          <w:rFonts w:ascii="Times New Roman" w:hAnsi="Times New Roman" w:cs="Times New Roman"/>
          <w:sz w:val="24"/>
          <w:szCs w:val="24"/>
        </w:rPr>
        <w:t xml:space="preserve">dengan masing-masing nilai tiap tahun yaitu </w:t>
      </w:r>
      <w:r w:rsidR="00082D2A" w:rsidRPr="00967CBC">
        <w:rPr>
          <w:rFonts w:ascii="Times New Roman" w:hAnsi="Times New Roman" w:cs="Times New Roman"/>
          <w:sz w:val="24"/>
          <w:szCs w:val="24"/>
        </w:rPr>
        <w:t xml:space="preserve">59,1, 63,5, 46,5 </w:t>
      </w:r>
      <w:r w:rsidRPr="00967CBC">
        <w:rPr>
          <w:rFonts w:ascii="Times New Roman" w:hAnsi="Times New Roman" w:cs="Times New Roman"/>
          <w:sz w:val="24"/>
          <w:szCs w:val="24"/>
        </w:rPr>
        <w:t xml:space="preserve">dan </w:t>
      </w:r>
      <w:r w:rsidR="00082D2A" w:rsidRPr="00967CBC">
        <w:rPr>
          <w:rFonts w:ascii="Times New Roman" w:hAnsi="Times New Roman" w:cs="Times New Roman"/>
          <w:sz w:val="24"/>
          <w:szCs w:val="24"/>
        </w:rPr>
        <w:t xml:space="preserve">43,8. Sedangkan pada tahun 2021 nilai efisiensi operasional terendah terdapat pada bank danamon Indonesia Tbk sebesar 51,7. </w:t>
      </w:r>
    </w:p>
    <w:p w14:paraId="035DB9F7" w14:textId="2BBE0336" w:rsidR="00CB0619" w:rsidRPr="007C47B0" w:rsidRDefault="0049524F" w:rsidP="00F45213">
      <w:pPr>
        <w:pStyle w:val="ListParagraph"/>
        <w:numPr>
          <w:ilvl w:val="0"/>
          <w:numId w:val="102"/>
        </w:numPr>
        <w:spacing w:line="480" w:lineRule="auto"/>
        <w:ind w:left="1560"/>
        <w:jc w:val="both"/>
        <w:rPr>
          <w:rFonts w:ascii="Times New Roman" w:hAnsi="Times New Roman" w:cs="Times New Roman"/>
          <w:i/>
          <w:sz w:val="24"/>
          <w:szCs w:val="24"/>
        </w:rPr>
      </w:pPr>
      <w:r w:rsidRPr="007C47B0">
        <w:rPr>
          <w:rFonts w:ascii="Times New Roman" w:hAnsi="Times New Roman" w:cs="Times New Roman"/>
          <w:i/>
          <w:sz w:val="24"/>
          <w:szCs w:val="24"/>
        </w:rPr>
        <w:t>L</w:t>
      </w:r>
      <w:r w:rsidR="00CB0619" w:rsidRPr="007C47B0">
        <w:rPr>
          <w:rFonts w:ascii="Times New Roman" w:hAnsi="Times New Roman" w:cs="Times New Roman"/>
          <w:i/>
          <w:sz w:val="24"/>
          <w:szCs w:val="24"/>
        </w:rPr>
        <w:t>everage</w:t>
      </w:r>
    </w:p>
    <w:p w14:paraId="338DFDAB" w14:textId="622EB833" w:rsidR="0049524F" w:rsidRPr="00967CBC" w:rsidRDefault="00E976A0" w:rsidP="00FA7319">
      <w:pPr>
        <w:pStyle w:val="ListParagraph"/>
        <w:spacing w:line="480" w:lineRule="auto"/>
        <w:ind w:left="1560" w:firstLine="600"/>
        <w:jc w:val="both"/>
        <w:rPr>
          <w:rFonts w:ascii="Times New Roman" w:hAnsi="Times New Roman" w:cs="Times New Roman"/>
          <w:sz w:val="24"/>
          <w:szCs w:val="24"/>
        </w:rPr>
      </w:pPr>
      <w:r w:rsidRPr="00B7015E">
        <w:rPr>
          <w:rFonts w:ascii="Times New Roman" w:hAnsi="Times New Roman" w:cs="Times New Roman"/>
          <w:i/>
          <w:sz w:val="24"/>
          <w:szCs w:val="24"/>
          <w:lang w:val="id-ID"/>
        </w:rPr>
        <w:t>Leverage</w:t>
      </w:r>
      <w:r>
        <w:rPr>
          <w:rFonts w:ascii="Times New Roman" w:hAnsi="Times New Roman" w:cs="Times New Roman"/>
          <w:i/>
          <w:sz w:val="24"/>
          <w:szCs w:val="24"/>
          <w:lang w:val="id-ID"/>
        </w:rPr>
        <w:t xml:space="preserve"> </w:t>
      </w:r>
      <w:r>
        <w:rPr>
          <w:rFonts w:ascii="Times New Roman" w:hAnsi="Times New Roman" w:cs="Times New Roman"/>
          <w:iCs/>
          <w:sz w:val="24"/>
          <w:szCs w:val="24"/>
          <w:lang w:val="id-ID"/>
        </w:rPr>
        <w:t xml:space="preserve">merupakan penggunaan dana pinjaman untuk meningkatkan potensi keuntungan dari suatu investasi </w:t>
      </w:r>
      <w:r w:rsidRPr="004D1BDD">
        <w:rPr>
          <w:rFonts w:ascii="Times New Roman" w:hAnsi="Times New Roman" w:cs="Times New Roman"/>
          <w:sz w:val="24"/>
          <w:szCs w:val="24"/>
          <w:lang w:val="nl-NL"/>
        </w:rPr>
        <w:t>(</w:t>
      </w:r>
      <w:r w:rsidRPr="00B7015E">
        <w:rPr>
          <w:rFonts w:ascii="Times New Roman" w:hAnsi="Times New Roman" w:cs="Times New Roman"/>
          <w:sz w:val="24"/>
          <w:szCs w:val="24"/>
        </w:rPr>
        <w:fldChar w:fldCharType="begin" w:fldLock="1"/>
      </w:r>
      <w:r w:rsidRPr="004D1BDD">
        <w:rPr>
          <w:rFonts w:ascii="Times New Roman" w:hAnsi="Times New Roman" w:cs="Times New Roman"/>
          <w:sz w:val="24"/>
          <w:szCs w:val="24"/>
          <w:lang w:val="nl-NL"/>
        </w:rPr>
        <w:instrText>ADDIN CSL_CITATION {"citationItems":[{"id":"ITEM-1","itemData":{"author":[{"dropping-particle":"","family":"Kartika Rusnidita","given":"","non-dropping-particle":"","parse-names":false,"suffix":""}],"container-title":"Jurnal Ilmiah Pendidikan","id":"ITEM-1","issue":"1","issued":{"date-parts":[["2021"]]},"page":"10-17","title":"Pengaruh Kualitas Aset, Likuiditas, Rentabilitas, Dan Efisiensi Operasional Terahadap Rasio Kecukupan Modal Pada Perusahaan Perbankan Konvensional Yang Terdaftar Di Bursa Efek Indonesia","type":"article-journal","volume":"1"},"uris":["http://www.mendeley.com/documents/?uuid=62ed0805-71c1-46f2-8532-92eea8680591"]}],"mendeley":{"formattedCitation":"(Kartika Rusnidita, 2021)","manualFormatting":"Rusnidita, 2021)","plainTextFormattedCitation":"(Kartika Rusnidita, 2021)","previouslyFormattedCitation":"(Kartika Rusnidita, 2021)"},"properties":{"noteIndex":0},"schema":"https://github.com/citation-style-language/schema/raw/master/csl-citation.json"}</w:instrText>
      </w:r>
      <w:r w:rsidRPr="00B7015E">
        <w:rPr>
          <w:rFonts w:ascii="Times New Roman" w:hAnsi="Times New Roman" w:cs="Times New Roman"/>
          <w:sz w:val="24"/>
          <w:szCs w:val="24"/>
        </w:rPr>
        <w:fldChar w:fldCharType="separate"/>
      </w:r>
      <w:r w:rsidRPr="004D1BDD">
        <w:rPr>
          <w:rFonts w:ascii="Times New Roman" w:hAnsi="Times New Roman" w:cs="Times New Roman"/>
          <w:noProof/>
          <w:sz w:val="24"/>
          <w:szCs w:val="24"/>
          <w:lang w:val="nl-NL"/>
        </w:rPr>
        <w:t>Rusnidita</w:t>
      </w:r>
      <w:r>
        <w:rPr>
          <w:rFonts w:ascii="Times New Roman" w:hAnsi="Times New Roman" w:cs="Times New Roman"/>
          <w:noProof/>
          <w:sz w:val="24"/>
          <w:szCs w:val="24"/>
          <w:lang w:val="id-ID"/>
        </w:rPr>
        <w:t>,</w:t>
      </w:r>
      <w:r w:rsidRPr="004D1BDD">
        <w:rPr>
          <w:rFonts w:ascii="Times New Roman" w:hAnsi="Times New Roman" w:cs="Times New Roman"/>
          <w:noProof/>
          <w:sz w:val="24"/>
          <w:szCs w:val="24"/>
          <w:lang w:val="nl-NL"/>
        </w:rPr>
        <w:t xml:space="preserve"> 2021)</w:t>
      </w:r>
      <w:r w:rsidRPr="00B7015E">
        <w:rPr>
          <w:rFonts w:ascii="Times New Roman" w:hAnsi="Times New Roman" w:cs="Times New Roman"/>
          <w:sz w:val="24"/>
          <w:szCs w:val="24"/>
        </w:rPr>
        <w:fldChar w:fldCharType="end"/>
      </w:r>
      <w:r>
        <w:rPr>
          <w:rFonts w:ascii="Times New Roman" w:hAnsi="Times New Roman" w:cs="Times New Roman"/>
          <w:iCs/>
          <w:sz w:val="24"/>
          <w:szCs w:val="24"/>
          <w:lang w:val="id-ID"/>
        </w:rPr>
        <w:t xml:space="preserve">. </w:t>
      </w:r>
      <w:r w:rsidR="0049524F" w:rsidRPr="00967CBC">
        <w:rPr>
          <w:rFonts w:ascii="Times New Roman" w:hAnsi="Times New Roman" w:cs="Times New Roman"/>
          <w:sz w:val="24"/>
          <w:szCs w:val="24"/>
        </w:rPr>
        <w:t xml:space="preserve">Berdasarkan lampiran perhitungan variabel </w:t>
      </w:r>
      <w:r w:rsidR="0049524F" w:rsidRPr="00967CBC">
        <w:rPr>
          <w:rFonts w:ascii="Times New Roman" w:hAnsi="Times New Roman" w:cs="Times New Roman"/>
          <w:i/>
          <w:sz w:val="24"/>
          <w:szCs w:val="24"/>
        </w:rPr>
        <w:t>leverage</w:t>
      </w:r>
      <w:r w:rsidR="0049524F" w:rsidRPr="00967CBC">
        <w:rPr>
          <w:rFonts w:ascii="Times New Roman" w:hAnsi="Times New Roman" w:cs="Times New Roman"/>
          <w:sz w:val="24"/>
          <w:szCs w:val="24"/>
        </w:rPr>
        <w:t>, maka dapat diperoleh grafik data tahun 2019-2023 seperti berikut.</w:t>
      </w:r>
    </w:p>
    <w:p w14:paraId="694954CC" w14:textId="65B6F4DE" w:rsidR="0049524F" w:rsidRPr="00967CBC" w:rsidRDefault="0049524F" w:rsidP="00F45213">
      <w:pPr>
        <w:pStyle w:val="ListParagraph"/>
        <w:spacing w:before="240" w:line="480" w:lineRule="auto"/>
        <w:ind w:left="1560"/>
        <w:jc w:val="both"/>
        <w:rPr>
          <w:rFonts w:ascii="Times New Roman" w:hAnsi="Times New Roman" w:cs="Times New Roman"/>
          <w:sz w:val="24"/>
          <w:szCs w:val="24"/>
        </w:rPr>
      </w:pPr>
      <w:r w:rsidRPr="00967CBC">
        <w:rPr>
          <w:rFonts w:ascii="Times New Roman" w:hAnsi="Times New Roman" w:cs="Times New Roman"/>
          <w:noProof/>
          <w:sz w:val="24"/>
          <w:szCs w:val="24"/>
        </w:rPr>
        <w:drawing>
          <wp:inline distT="0" distB="0" distL="0" distR="0" wp14:anchorId="36DCD585" wp14:editId="5ADF9A3F">
            <wp:extent cx="4800600" cy="2243138"/>
            <wp:effectExtent l="0" t="0" r="0" b="508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B4C56F7" w14:textId="02BF679E" w:rsidR="008B45C8" w:rsidRDefault="008B45C8" w:rsidP="008B45C8">
      <w:pPr>
        <w:pStyle w:val="Caption"/>
        <w:spacing w:after="0"/>
        <w:ind w:left="1560"/>
        <w:jc w:val="center"/>
        <w:rPr>
          <w:rFonts w:ascii="Times New Roman" w:hAnsi="Times New Roman" w:cs="Times New Roman"/>
          <w:i w:val="0"/>
          <w:iCs w:val="0"/>
          <w:color w:val="auto"/>
          <w:sz w:val="24"/>
          <w:szCs w:val="24"/>
        </w:rPr>
      </w:pPr>
      <w:bookmarkStart w:id="9" w:name="_Toc169268209"/>
      <w:r w:rsidRPr="008B45C8">
        <w:rPr>
          <w:rFonts w:ascii="Times New Roman" w:hAnsi="Times New Roman" w:cs="Times New Roman"/>
          <w:i w:val="0"/>
          <w:iCs w:val="0"/>
          <w:color w:val="auto"/>
          <w:sz w:val="24"/>
          <w:szCs w:val="24"/>
        </w:rPr>
        <w:t xml:space="preserve">Grafik </w:t>
      </w:r>
      <w:r w:rsidRPr="008B45C8">
        <w:rPr>
          <w:rFonts w:ascii="Times New Roman" w:hAnsi="Times New Roman" w:cs="Times New Roman"/>
          <w:i w:val="0"/>
          <w:iCs w:val="0"/>
          <w:color w:val="auto"/>
          <w:sz w:val="24"/>
          <w:szCs w:val="24"/>
        </w:rPr>
        <w:fldChar w:fldCharType="begin"/>
      </w:r>
      <w:r w:rsidRPr="008B45C8">
        <w:rPr>
          <w:rFonts w:ascii="Times New Roman" w:hAnsi="Times New Roman" w:cs="Times New Roman"/>
          <w:i w:val="0"/>
          <w:iCs w:val="0"/>
          <w:color w:val="auto"/>
          <w:sz w:val="24"/>
          <w:szCs w:val="24"/>
        </w:rPr>
        <w:instrText xml:space="preserve"> SEQ grafik \* ARABIC </w:instrText>
      </w:r>
      <w:r w:rsidRPr="008B45C8">
        <w:rPr>
          <w:rFonts w:ascii="Times New Roman" w:hAnsi="Times New Roman" w:cs="Times New Roman"/>
          <w:i w:val="0"/>
          <w:iCs w:val="0"/>
          <w:color w:val="auto"/>
          <w:sz w:val="24"/>
          <w:szCs w:val="24"/>
        </w:rPr>
        <w:fldChar w:fldCharType="separate"/>
      </w:r>
      <w:r w:rsidR="00383519">
        <w:rPr>
          <w:rFonts w:ascii="Times New Roman" w:hAnsi="Times New Roman" w:cs="Times New Roman"/>
          <w:i w:val="0"/>
          <w:iCs w:val="0"/>
          <w:noProof/>
          <w:color w:val="auto"/>
          <w:sz w:val="24"/>
          <w:szCs w:val="24"/>
        </w:rPr>
        <w:t>7</w:t>
      </w:r>
      <w:bookmarkEnd w:id="9"/>
      <w:r w:rsidRPr="008B45C8">
        <w:rPr>
          <w:rFonts w:ascii="Times New Roman" w:hAnsi="Times New Roman" w:cs="Times New Roman"/>
          <w:i w:val="0"/>
          <w:iCs w:val="0"/>
          <w:color w:val="auto"/>
          <w:sz w:val="24"/>
          <w:szCs w:val="24"/>
        </w:rPr>
        <w:fldChar w:fldCharType="end"/>
      </w:r>
    </w:p>
    <w:p w14:paraId="70C1C88F" w14:textId="3EF97D5F" w:rsidR="008B45C8" w:rsidRPr="008B45C8" w:rsidRDefault="008B45C8" w:rsidP="008B45C8">
      <w:pPr>
        <w:pStyle w:val="Caption"/>
        <w:spacing w:after="0"/>
        <w:ind w:left="1560"/>
        <w:jc w:val="center"/>
        <w:rPr>
          <w:rFonts w:ascii="Times New Roman" w:hAnsi="Times New Roman" w:cs="Times New Roman"/>
          <w:i w:val="0"/>
          <w:iCs w:val="0"/>
          <w:color w:val="auto"/>
          <w:sz w:val="24"/>
          <w:szCs w:val="24"/>
        </w:rPr>
      </w:pPr>
      <w:r w:rsidRPr="008B45C8">
        <w:rPr>
          <w:rFonts w:ascii="Times New Roman" w:hAnsi="Times New Roman" w:cs="Times New Roman"/>
          <w:i w:val="0"/>
          <w:iCs w:val="0"/>
          <w:color w:val="auto"/>
          <w:sz w:val="24"/>
          <w:szCs w:val="24"/>
        </w:rPr>
        <w:t xml:space="preserve">Perhitungan </w:t>
      </w:r>
      <w:r w:rsidR="007C47B0" w:rsidRPr="007C47B0">
        <w:rPr>
          <w:rFonts w:ascii="Times New Roman" w:hAnsi="Times New Roman" w:cs="Times New Roman"/>
          <w:iCs w:val="0"/>
          <w:color w:val="auto"/>
          <w:sz w:val="24"/>
          <w:szCs w:val="24"/>
        </w:rPr>
        <w:t>Leverage</w:t>
      </w:r>
    </w:p>
    <w:p w14:paraId="0EAC2FCF" w14:textId="4CB19FB1" w:rsidR="0049524F" w:rsidRPr="00967CBC" w:rsidRDefault="0049524F" w:rsidP="00A4417F">
      <w:pPr>
        <w:pStyle w:val="ListParagraph"/>
        <w:spacing w:before="240" w:line="480" w:lineRule="auto"/>
        <w:ind w:left="1560" w:firstLine="600"/>
        <w:jc w:val="both"/>
        <w:rPr>
          <w:rFonts w:ascii="Times New Roman" w:hAnsi="Times New Roman" w:cs="Times New Roman"/>
          <w:sz w:val="24"/>
          <w:szCs w:val="24"/>
        </w:rPr>
      </w:pPr>
      <w:r w:rsidRPr="00967CBC">
        <w:rPr>
          <w:rFonts w:ascii="Times New Roman" w:hAnsi="Times New Roman" w:cs="Times New Roman"/>
          <w:sz w:val="24"/>
          <w:szCs w:val="24"/>
        </w:rPr>
        <w:t xml:space="preserve">Berdasarkan grafik di atas, dapat dilihat nilai </w:t>
      </w:r>
      <w:r w:rsidRPr="00967CBC">
        <w:rPr>
          <w:rFonts w:ascii="Times New Roman" w:hAnsi="Times New Roman" w:cs="Times New Roman"/>
          <w:i/>
          <w:sz w:val="24"/>
          <w:szCs w:val="24"/>
        </w:rPr>
        <w:t>leverage</w:t>
      </w:r>
      <w:r w:rsidRPr="00967CBC">
        <w:rPr>
          <w:rFonts w:ascii="Times New Roman" w:hAnsi="Times New Roman" w:cs="Times New Roman"/>
          <w:sz w:val="24"/>
          <w:szCs w:val="24"/>
        </w:rPr>
        <w:t xml:space="preserve"> dari 30 sampel per</w:t>
      </w:r>
      <w:r w:rsidR="00082D2A" w:rsidRPr="00967CBC">
        <w:rPr>
          <w:rFonts w:ascii="Times New Roman" w:hAnsi="Times New Roman" w:cs="Times New Roman"/>
          <w:sz w:val="24"/>
          <w:szCs w:val="24"/>
        </w:rPr>
        <w:t>bankan</w:t>
      </w:r>
      <w:r w:rsidRPr="00967CBC">
        <w:rPr>
          <w:rFonts w:ascii="Times New Roman" w:hAnsi="Times New Roman" w:cs="Times New Roman"/>
          <w:sz w:val="24"/>
          <w:szCs w:val="24"/>
        </w:rPr>
        <w:t xml:space="preserve"> menunjukkan bahwa sepanjang tahun 2019-2023 nilai </w:t>
      </w:r>
      <w:r w:rsidRPr="00967CBC">
        <w:rPr>
          <w:rFonts w:ascii="Times New Roman" w:hAnsi="Times New Roman" w:cs="Times New Roman"/>
          <w:i/>
          <w:sz w:val="24"/>
          <w:szCs w:val="24"/>
        </w:rPr>
        <w:t>leverage</w:t>
      </w:r>
      <w:r w:rsidRPr="00967CBC">
        <w:rPr>
          <w:rFonts w:ascii="Times New Roman" w:hAnsi="Times New Roman" w:cs="Times New Roman"/>
          <w:sz w:val="24"/>
          <w:szCs w:val="24"/>
        </w:rPr>
        <w:t xml:space="preserve"> tertinggi terdapat pada </w:t>
      </w:r>
      <w:r w:rsidR="00483456">
        <w:rPr>
          <w:rFonts w:ascii="Times New Roman" w:hAnsi="Times New Roman" w:cs="Times New Roman"/>
          <w:sz w:val="24"/>
          <w:szCs w:val="24"/>
        </w:rPr>
        <w:t>bank t</w:t>
      </w:r>
      <w:r w:rsidR="00082D2A" w:rsidRPr="00967CBC">
        <w:rPr>
          <w:rFonts w:ascii="Times New Roman" w:hAnsi="Times New Roman" w:cs="Times New Roman"/>
          <w:sz w:val="24"/>
          <w:szCs w:val="24"/>
        </w:rPr>
        <w:t xml:space="preserve">abungan negara (Persero) </w:t>
      </w:r>
      <w:r w:rsidR="00082D2A" w:rsidRPr="00967CBC">
        <w:rPr>
          <w:rFonts w:ascii="Times New Roman" w:hAnsi="Times New Roman" w:cs="Times New Roman"/>
          <w:sz w:val="24"/>
          <w:szCs w:val="24"/>
        </w:rPr>
        <w:lastRenderedPageBreak/>
        <w:t>Tbk</w:t>
      </w:r>
      <w:r w:rsidRPr="00967CBC">
        <w:rPr>
          <w:rFonts w:ascii="Times New Roman" w:hAnsi="Times New Roman" w:cs="Times New Roman"/>
          <w:sz w:val="24"/>
          <w:szCs w:val="24"/>
        </w:rPr>
        <w:t xml:space="preserve"> dengan nilai </w:t>
      </w:r>
      <w:r w:rsidRPr="00967CBC">
        <w:rPr>
          <w:rFonts w:ascii="Times New Roman" w:hAnsi="Times New Roman" w:cs="Times New Roman"/>
          <w:i/>
          <w:sz w:val="24"/>
          <w:szCs w:val="24"/>
        </w:rPr>
        <w:t>leverage</w:t>
      </w:r>
      <w:r w:rsidRPr="00967CBC">
        <w:rPr>
          <w:rFonts w:ascii="Times New Roman" w:hAnsi="Times New Roman" w:cs="Times New Roman"/>
          <w:sz w:val="24"/>
          <w:szCs w:val="24"/>
        </w:rPr>
        <w:t xml:space="preserve"> tiap tahunnya sebesar</w:t>
      </w:r>
      <w:r w:rsidR="00082D2A" w:rsidRPr="00967CBC">
        <w:rPr>
          <w:rFonts w:ascii="Times New Roman" w:hAnsi="Times New Roman" w:cs="Times New Roman"/>
          <w:sz w:val="24"/>
          <w:szCs w:val="24"/>
        </w:rPr>
        <w:t xml:space="preserve"> 1.130,43, 1.607,86, 1.530,80, 1.356,18, </w:t>
      </w:r>
      <w:r w:rsidRPr="00967CBC">
        <w:rPr>
          <w:rFonts w:ascii="Times New Roman" w:hAnsi="Times New Roman" w:cs="Times New Roman"/>
          <w:sz w:val="24"/>
          <w:szCs w:val="24"/>
        </w:rPr>
        <w:t>dan</w:t>
      </w:r>
      <w:r w:rsidR="00082D2A" w:rsidRPr="00967CBC">
        <w:rPr>
          <w:rFonts w:ascii="Times New Roman" w:hAnsi="Times New Roman" w:cs="Times New Roman"/>
          <w:sz w:val="24"/>
          <w:szCs w:val="24"/>
        </w:rPr>
        <w:t xml:space="preserve"> 1.250,57</w:t>
      </w:r>
      <w:r w:rsidRPr="00967CBC">
        <w:rPr>
          <w:rFonts w:ascii="Times New Roman" w:hAnsi="Times New Roman" w:cs="Times New Roman"/>
          <w:sz w:val="24"/>
          <w:szCs w:val="24"/>
        </w:rPr>
        <w:t xml:space="preserve">. Nilai terendah dari </w:t>
      </w:r>
      <w:r w:rsidRPr="00967CBC">
        <w:rPr>
          <w:rFonts w:ascii="Times New Roman" w:hAnsi="Times New Roman" w:cs="Times New Roman"/>
          <w:i/>
          <w:sz w:val="24"/>
          <w:szCs w:val="24"/>
        </w:rPr>
        <w:t>leverage</w:t>
      </w:r>
      <w:r w:rsidRPr="00967CBC">
        <w:rPr>
          <w:rFonts w:ascii="Times New Roman" w:hAnsi="Times New Roman" w:cs="Times New Roman"/>
          <w:sz w:val="24"/>
          <w:szCs w:val="24"/>
        </w:rPr>
        <w:t xml:space="preserve"> </w:t>
      </w:r>
      <w:r w:rsidR="00082D2A" w:rsidRPr="00967CBC">
        <w:rPr>
          <w:rFonts w:ascii="Times New Roman" w:hAnsi="Times New Roman" w:cs="Times New Roman"/>
          <w:sz w:val="24"/>
          <w:szCs w:val="24"/>
        </w:rPr>
        <w:t>pada</w:t>
      </w:r>
      <w:r w:rsidRPr="00967CBC">
        <w:rPr>
          <w:rFonts w:ascii="Times New Roman" w:hAnsi="Times New Roman" w:cs="Times New Roman"/>
          <w:sz w:val="24"/>
          <w:szCs w:val="24"/>
        </w:rPr>
        <w:t xml:space="preserve"> tahun 2019</w:t>
      </w:r>
      <w:r w:rsidR="00082D2A" w:rsidRPr="00967CBC">
        <w:rPr>
          <w:rFonts w:ascii="Times New Roman" w:hAnsi="Times New Roman" w:cs="Times New Roman"/>
          <w:sz w:val="24"/>
          <w:szCs w:val="24"/>
        </w:rPr>
        <w:t xml:space="preserve"> &amp; </w:t>
      </w:r>
      <w:r w:rsidRPr="00967CBC">
        <w:rPr>
          <w:rFonts w:ascii="Times New Roman" w:hAnsi="Times New Roman" w:cs="Times New Roman"/>
          <w:sz w:val="24"/>
          <w:szCs w:val="24"/>
        </w:rPr>
        <w:t>202</w:t>
      </w:r>
      <w:r w:rsidR="00082D2A" w:rsidRPr="00967CBC">
        <w:rPr>
          <w:rFonts w:ascii="Times New Roman" w:hAnsi="Times New Roman" w:cs="Times New Roman"/>
          <w:sz w:val="24"/>
          <w:szCs w:val="24"/>
        </w:rPr>
        <w:t>1</w:t>
      </w:r>
      <w:r w:rsidRPr="00967CBC">
        <w:rPr>
          <w:rFonts w:ascii="Times New Roman" w:hAnsi="Times New Roman" w:cs="Times New Roman"/>
          <w:sz w:val="24"/>
          <w:szCs w:val="24"/>
        </w:rPr>
        <w:t xml:space="preserve"> terdapat pada </w:t>
      </w:r>
      <w:r w:rsidR="00082D2A" w:rsidRPr="00967CBC">
        <w:rPr>
          <w:rFonts w:ascii="Times New Roman" w:hAnsi="Times New Roman" w:cs="Times New Roman"/>
          <w:sz w:val="24"/>
          <w:szCs w:val="24"/>
        </w:rPr>
        <w:t xml:space="preserve">bank mestika dharma Tbk </w:t>
      </w:r>
      <w:r w:rsidRPr="00967CBC">
        <w:rPr>
          <w:rFonts w:ascii="Times New Roman" w:hAnsi="Times New Roman" w:cs="Times New Roman"/>
          <w:sz w:val="24"/>
          <w:szCs w:val="24"/>
        </w:rPr>
        <w:t>dengan masing-masing nilai yaitu</w:t>
      </w:r>
      <w:r w:rsidR="00082D2A" w:rsidRPr="00967CBC">
        <w:rPr>
          <w:rFonts w:ascii="Times New Roman" w:hAnsi="Times New Roman" w:cs="Times New Roman"/>
          <w:sz w:val="24"/>
          <w:szCs w:val="24"/>
        </w:rPr>
        <w:t xml:space="preserve"> 270,65</w:t>
      </w:r>
      <w:r w:rsidRPr="00967CBC">
        <w:rPr>
          <w:rFonts w:ascii="Times New Roman" w:hAnsi="Times New Roman" w:cs="Times New Roman"/>
          <w:sz w:val="24"/>
          <w:szCs w:val="24"/>
        </w:rPr>
        <w:t xml:space="preserve"> </w:t>
      </w:r>
      <w:r w:rsidR="00082D2A" w:rsidRPr="00967CBC">
        <w:rPr>
          <w:rFonts w:ascii="Times New Roman" w:hAnsi="Times New Roman" w:cs="Times New Roman"/>
          <w:sz w:val="24"/>
          <w:szCs w:val="24"/>
        </w:rPr>
        <w:t xml:space="preserve">&amp; 272,58. Tahun 2020 nilai </w:t>
      </w:r>
      <w:r w:rsidR="00082D2A" w:rsidRPr="00967CBC">
        <w:rPr>
          <w:rFonts w:ascii="Times New Roman" w:hAnsi="Times New Roman" w:cs="Times New Roman"/>
          <w:i/>
          <w:iCs/>
          <w:sz w:val="24"/>
          <w:szCs w:val="24"/>
        </w:rPr>
        <w:t xml:space="preserve">leverage </w:t>
      </w:r>
      <w:r w:rsidR="00082D2A" w:rsidRPr="00967CBC">
        <w:rPr>
          <w:rFonts w:ascii="Times New Roman" w:hAnsi="Times New Roman" w:cs="Times New Roman"/>
          <w:sz w:val="24"/>
          <w:szCs w:val="24"/>
        </w:rPr>
        <w:t xml:space="preserve">terendah terdapat pada bank woori saudara Indonesia 1906 Tbk sebesar 233. Sedangkan pada tahun 2022 &amp; 2023 nilai </w:t>
      </w:r>
      <w:r w:rsidR="00082D2A" w:rsidRPr="00967CBC">
        <w:rPr>
          <w:rFonts w:ascii="Times New Roman" w:hAnsi="Times New Roman" w:cs="Times New Roman"/>
          <w:i/>
          <w:iCs/>
          <w:sz w:val="24"/>
          <w:szCs w:val="24"/>
        </w:rPr>
        <w:t>leverage</w:t>
      </w:r>
      <w:r w:rsidR="00082D2A" w:rsidRPr="00967CBC">
        <w:rPr>
          <w:rFonts w:ascii="Times New Roman" w:hAnsi="Times New Roman" w:cs="Times New Roman"/>
          <w:sz w:val="24"/>
          <w:szCs w:val="24"/>
        </w:rPr>
        <w:t xml:space="preserve"> terendah terdapat pada bank bumi arta Tbk masing-masing memiliki nilai sebesar 166,88 &amp; 155,98.</w:t>
      </w:r>
    </w:p>
    <w:p w14:paraId="15CBC6B3" w14:textId="77777777" w:rsidR="00724F0B" w:rsidRPr="00C46A01" w:rsidRDefault="00724F0B" w:rsidP="00095897">
      <w:pPr>
        <w:pStyle w:val="ListParagraph"/>
        <w:numPr>
          <w:ilvl w:val="0"/>
          <w:numId w:val="85"/>
        </w:numPr>
        <w:spacing w:line="480" w:lineRule="auto"/>
        <w:ind w:left="1134"/>
        <w:jc w:val="both"/>
        <w:rPr>
          <w:rFonts w:ascii="Times New Roman" w:hAnsi="Times New Roman" w:cs="Times New Roman"/>
          <w:b/>
          <w:bCs/>
          <w:sz w:val="24"/>
          <w:szCs w:val="24"/>
        </w:rPr>
      </w:pPr>
      <w:r w:rsidRPr="00C46A01">
        <w:rPr>
          <w:rFonts w:ascii="Times New Roman" w:hAnsi="Times New Roman" w:cs="Times New Roman"/>
          <w:b/>
          <w:bCs/>
          <w:sz w:val="24"/>
          <w:szCs w:val="24"/>
        </w:rPr>
        <w:t>Uji Asumsi Klasik</w:t>
      </w:r>
    </w:p>
    <w:p w14:paraId="12A03FDF" w14:textId="38CAD312" w:rsidR="004579EF" w:rsidRPr="00C46A01" w:rsidRDefault="004579EF" w:rsidP="009A5D9A">
      <w:pPr>
        <w:pStyle w:val="ListParagraph"/>
        <w:spacing w:line="480" w:lineRule="auto"/>
        <w:ind w:left="1134" w:firstLine="720"/>
        <w:jc w:val="both"/>
        <w:rPr>
          <w:rFonts w:ascii="Times New Roman" w:hAnsi="Times New Roman" w:cs="Times New Roman"/>
          <w:sz w:val="24"/>
          <w:szCs w:val="24"/>
        </w:rPr>
      </w:pPr>
      <w:r w:rsidRPr="00C46A01">
        <w:rPr>
          <w:rFonts w:ascii="Times New Roman" w:hAnsi="Times New Roman" w:cs="Times New Roman"/>
          <w:sz w:val="24"/>
          <w:szCs w:val="24"/>
        </w:rPr>
        <w:t xml:space="preserve">Uji asumsi klasik harus dilakukan dalam penelitian ini </w:t>
      </w:r>
      <w:r w:rsidR="009A5D9A" w:rsidRPr="00C46A01">
        <w:rPr>
          <w:rFonts w:ascii="Times New Roman" w:hAnsi="Times New Roman" w:cs="Times New Roman"/>
          <w:sz w:val="24"/>
          <w:szCs w:val="24"/>
        </w:rPr>
        <w:t xml:space="preserve">bertujuan </w:t>
      </w:r>
      <w:r w:rsidRPr="00C46A01">
        <w:rPr>
          <w:rFonts w:ascii="Times New Roman" w:hAnsi="Times New Roman" w:cs="Times New Roman"/>
          <w:sz w:val="24"/>
          <w:szCs w:val="24"/>
        </w:rPr>
        <w:t>untuk menguji apakah data</w:t>
      </w:r>
      <w:r w:rsidR="009A5D9A" w:rsidRPr="00C46A01">
        <w:rPr>
          <w:rFonts w:ascii="Times New Roman" w:hAnsi="Times New Roman" w:cs="Times New Roman"/>
          <w:sz w:val="24"/>
          <w:szCs w:val="24"/>
        </w:rPr>
        <w:t xml:space="preserve"> dalam penelitian</w:t>
      </w:r>
      <w:r w:rsidRPr="00C46A01">
        <w:rPr>
          <w:rFonts w:ascii="Times New Roman" w:hAnsi="Times New Roman" w:cs="Times New Roman"/>
          <w:sz w:val="24"/>
          <w:szCs w:val="24"/>
        </w:rPr>
        <w:t xml:space="preserve"> memenuhi asumsi klasik. Hal ini dilakukan untuk menghindari terjadinya estimasi yang bias. Pen</w:t>
      </w:r>
      <w:r w:rsidR="009A5D9A" w:rsidRPr="00C46A01">
        <w:rPr>
          <w:rFonts w:ascii="Times New Roman" w:hAnsi="Times New Roman" w:cs="Times New Roman"/>
          <w:sz w:val="24"/>
          <w:szCs w:val="24"/>
        </w:rPr>
        <w:t>g</w:t>
      </w:r>
      <w:r w:rsidRPr="00C46A01">
        <w:rPr>
          <w:rFonts w:ascii="Times New Roman" w:hAnsi="Times New Roman" w:cs="Times New Roman"/>
          <w:sz w:val="24"/>
          <w:szCs w:val="24"/>
        </w:rPr>
        <w:t xml:space="preserve">ujian yang dilakukan dalam penelitian ini meliputi uji normalitas, uji multikolinearitas, uji autokorelasi, dan uji heterokedastisitas. </w:t>
      </w:r>
    </w:p>
    <w:p w14:paraId="5B5C94B1" w14:textId="36E25CF2" w:rsidR="004579EF" w:rsidRPr="00C46A01" w:rsidRDefault="004579EF" w:rsidP="00095897">
      <w:pPr>
        <w:pStyle w:val="ListParagraph"/>
        <w:numPr>
          <w:ilvl w:val="0"/>
          <w:numId w:val="87"/>
        </w:numPr>
        <w:spacing w:line="480" w:lineRule="auto"/>
        <w:ind w:left="1560"/>
        <w:jc w:val="both"/>
        <w:rPr>
          <w:rFonts w:ascii="Times New Roman" w:hAnsi="Times New Roman" w:cs="Times New Roman"/>
          <w:sz w:val="24"/>
          <w:szCs w:val="24"/>
        </w:rPr>
      </w:pPr>
      <w:r w:rsidRPr="00C46A01">
        <w:rPr>
          <w:rFonts w:ascii="Times New Roman" w:hAnsi="Times New Roman" w:cs="Times New Roman"/>
          <w:sz w:val="24"/>
          <w:szCs w:val="24"/>
        </w:rPr>
        <w:t>Uji Normalitas</w:t>
      </w:r>
    </w:p>
    <w:p w14:paraId="05EAF1D2" w14:textId="4A731EF5" w:rsidR="00AB6A1B" w:rsidRPr="00AB6A1B" w:rsidRDefault="00F92C37" w:rsidP="00E721EB">
      <w:pPr>
        <w:pStyle w:val="ListParagraph"/>
        <w:spacing w:line="480" w:lineRule="auto"/>
        <w:ind w:left="1571" w:firstLine="589"/>
        <w:jc w:val="both"/>
        <w:rPr>
          <w:rFonts w:ascii="Times New Roman" w:hAnsi="Times New Roman" w:cs="Times New Roman"/>
          <w:sz w:val="24"/>
          <w:szCs w:val="24"/>
        </w:rPr>
      </w:pPr>
      <w:r w:rsidRPr="00C46A01">
        <w:rPr>
          <w:rFonts w:ascii="Times New Roman" w:hAnsi="Times New Roman" w:cs="Times New Roman"/>
          <w:sz w:val="24"/>
          <w:szCs w:val="24"/>
        </w:rPr>
        <w:t xml:space="preserve">Uji normalitas dilakukan </w:t>
      </w:r>
      <w:r w:rsidR="009A5D9A" w:rsidRPr="00C46A01">
        <w:rPr>
          <w:rFonts w:ascii="Times New Roman" w:hAnsi="Times New Roman" w:cs="Times New Roman"/>
          <w:sz w:val="24"/>
          <w:szCs w:val="24"/>
        </w:rPr>
        <w:t xml:space="preserve">memiliki </w:t>
      </w:r>
      <w:r w:rsidRPr="00C46A01">
        <w:rPr>
          <w:rFonts w:ascii="Times New Roman" w:hAnsi="Times New Roman" w:cs="Times New Roman"/>
          <w:sz w:val="24"/>
          <w:szCs w:val="24"/>
        </w:rPr>
        <w:t xml:space="preserve">tujuan untuk mengetahui apakah dalam model regresi variabel dependen dan variabel </w:t>
      </w:r>
      <w:r w:rsidR="00CB5C25">
        <w:rPr>
          <w:rFonts w:ascii="Times New Roman" w:hAnsi="Times New Roman" w:cs="Times New Roman"/>
          <w:sz w:val="24"/>
          <w:szCs w:val="24"/>
        </w:rPr>
        <w:t>independen</w:t>
      </w:r>
      <w:r w:rsidRPr="00C46A01">
        <w:rPr>
          <w:rFonts w:ascii="Times New Roman" w:hAnsi="Times New Roman" w:cs="Times New Roman"/>
          <w:sz w:val="24"/>
          <w:szCs w:val="24"/>
        </w:rPr>
        <w:t xml:space="preserve"> memliki distribusi normal atau tidak. Untuk menghindari terjadinya bias, data yang digunakan harus terdistribusi dengan normal. Model regresi yang baik adalah memiliki data yang normal atau mendekati normal. Uji yang digunakan yaitu Kolmogorov Smirnov apakah benar data yang diolah terdistribusi normal. Suatu </w:t>
      </w:r>
      <w:r w:rsidRPr="00C46A01">
        <w:rPr>
          <w:rFonts w:ascii="Times New Roman" w:hAnsi="Times New Roman" w:cs="Times New Roman"/>
          <w:sz w:val="24"/>
          <w:szCs w:val="24"/>
        </w:rPr>
        <w:lastRenderedPageBreak/>
        <w:t>persamaan regresi dikatakan lolos normalitas apabila nilai signifikasi Kolmogorov Smirnov lebih besar dari 0,05.</w:t>
      </w:r>
    </w:p>
    <w:p w14:paraId="7C266221" w14:textId="68BF1DCD" w:rsidR="00681ACB" w:rsidRPr="00681ACB" w:rsidRDefault="00681ACB" w:rsidP="00681ACB">
      <w:pPr>
        <w:pStyle w:val="Caption"/>
        <w:spacing w:after="0" w:line="276" w:lineRule="auto"/>
        <w:ind w:left="1276"/>
        <w:jc w:val="center"/>
        <w:rPr>
          <w:rFonts w:ascii="Times New Roman" w:hAnsi="Times New Roman" w:cs="Times New Roman"/>
          <w:i w:val="0"/>
          <w:iCs w:val="0"/>
          <w:color w:val="auto"/>
          <w:sz w:val="24"/>
          <w:szCs w:val="24"/>
        </w:rPr>
      </w:pPr>
      <w:bookmarkStart w:id="10" w:name="_Toc167784724"/>
      <w:r w:rsidRPr="00681ACB">
        <w:rPr>
          <w:rFonts w:ascii="Times New Roman" w:hAnsi="Times New Roman" w:cs="Times New Roman"/>
          <w:i w:val="0"/>
          <w:iCs w:val="0"/>
          <w:color w:val="auto"/>
          <w:sz w:val="24"/>
          <w:szCs w:val="24"/>
        </w:rPr>
        <w:t xml:space="preserve">Tabel </w:t>
      </w:r>
      <w:r>
        <w:rPr>
          <w:rFonts w:ascii="Times New Roman" w:hAnsi="Times New Roman" w:cs="Times New Roman"/>
          <w:i w:val="0"/>
          <w:iCs w:val="0"/>
          <w:color w:val="auto"/>
          <w:sz w:val="24"/>
          <w:szCs w:val="24"/>
        </w:rPr>
        <w:fldChar w:fldCharType="begin"/>
      </w:r>
      <w:r>
        <w:rPr>
          <w:rFonts w:ascii="Times New Roman" w:hAnsi="Times New Roman" w:cs="Times New Roman"/>
          <w:i w:val="0"/>
          <w:iCs w:val="0"/>
          <w:color w:val="auto"/>
          <w:sz w:val="24"/>
          <w:szCs w:val="24"/>
        </w:rPr>
        <w:instrText xml:space="preserve"> SEQ Tabel \* ARABIC </w:instrText>
      </w:r>
      <w:r>
        <w:rPr>
          <w:rFonts w:ascii="Times New Roman" w:hAnsi="Times New Roman" w:cs="Times New Roman"/>
          <w:i w:val="0"/>
          <w:iCs w:val="0"/>
          <w:color w:val="auto"/>
          <w:sz w:val="24"/>
          <w:szCs w:val="24"/>
        </w:rPr>
        <w:fldChar w:fldCharType="separate"/>
      </w:r>
      <w:r w:rsidR="00383519">
        <w:rPr>
          <w:rFonts w:ascii="Times New Roman" w:hAnsi="Times New Roman" w:cs="Times New Roman"/>
          <w:i w:val="0"/>
          <w:iCs w:val="0"/>
          <w:noProof/>
          <w:color w:val="auto"/>
          <w:sz w:val="24"/>
          <w:szCs w:val="24"/>
        </w:rPr>
        <w:t>7</w:t>
      </w:r>
      <w:bookmarkEnd w:id="10"/>
      <w:r>
        <w:rPr>
          <w:rFonts w:ascii="Times New Roman" w:hAnsi="Times New Roman" w:cs="Times New Roman"/>
          <w:i w:val="0"/>
          <w:iCs w:val="0"/>
          <w:color w:val="auto"/>
          <w:sz w:val="24"/>
          <w:szCs w:val="24"/>
        </w:rPr>
        <w:fldChar w:fldCharType="end"/>
      </w:r>
    </w:p>
    <w:p w14:paraId="246BAEBD" w14:textId="5E9E2927" w:rsidR="00681ACB" w:rsidRPr="00681ACB" w:rsidRDefault="00681ACB" w:rsidP="00681ACB">
      <w:pPr>
        <w:pStyle w:val="Caption"/>
        <w:spacing w:after="0" w:line="276" w:lineRule="auto"/>
        <w:ind w:left="1276"/>
        <w:jc w:val="center"/>
        <w:rPr>
          <w:rFonts w:ascii="Times New Roman" w:hAnsi="Times New Roman" w:cs="Times New Roman"/>
          <w:i w:val="0"/>
          <w:iCs w:val="0"/>
          <w:color w:val="auto"/>
          <w:sz w:val="24"/>
          <w:szCs w:val="24"/>
        </w:rPr>
      </w:pPr>
      <w:r w:rsidRPr="00681ACB">
        <w:rPr>
          <w:rFonts w:ascii="Times New Roman" w:hAnsi="Times New Roman" w:cs="Times New Roman"/>
          <w:i w:val="0"/>
          <w:iCs w:val="0"/>
          <w:color w:val="auto"/>
          <w:sz w:val="24"/>
          <w:szCs w:val="24"/>
        </w:rPr>
        <w:t>Uji Normalitas</w:t>
      </w:r>
    </w:p>
    <w:p w14:paraId="29ED06ED" w14:textId="0CEE136B" w:rsidR="00BB6BE6" w:rsidRPr="00BB6BE6" w:rsidRDefault="00BB6BE6" w:rsidP="00BB6BE6">
      <w:pPr>
        <w:pStyle w:val="Caption"/>
        <w:keepNext/>
        <w:spacing w:after="0" w:line="276" w:lineRule="auto"/>
        <w:ind w:left="1134"/>
        <w:jc w:val="center"/>
        <w:rPr>
          <w:rFonts w:ascii="Times New Roman" w:hAnsi="Times New Roman" w:cs="Times New Roman"/>
          <w:i w:val="0"/>
          <w:iCs w:val="0"/>
          <w:color w:val="auto"/>
          <w:sz w:val="24"/>
          <w:szCs w:val="24"/>
        </w:rPr>
      </w:pPr>
    </w:p>
    <w:tbl>
      <w:tblPr>
        <w:tblW w:w="6662" w:type="dxa"/>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88"/>
        <w:gridCol w:w="1445"/>
        <w:gridCol w:w="1929"/>
      </w:tblGrid>
      <w:tr w:rsidR="00212602" w:rsidRPr="00880450" w14:paraId="7C54A55C" w14:textId="77777777" w:rsidTr="00AB6A1B">
        <w:trPr>
          <w:cantSplit/>
        </w:trPr>
        <w:tc>
          <w:tcPr>
            <w:tcW w:w="6662" w:type="dxa"/>
            <w:gridSpan w:val="3"/>
            <w:tcBorders>
              <w:top w:val="nil"/>
              <w:left w:val="nil"/>
              <w:bottom w:val="nil"/>
              <w:right w:val="nil"/>
            </w:tcBorders>
            <w:shd w:val="clear" w:color="auto" w:fill="FFFFFF"/>
            <w:vAlign w:val="center"/>
          </w:tcPr>
          <w:p w14:paraId="7D994763" w14:textId="77777777" w:rsidR="00212602" w:rsidRPr="00AB6A1B" w:rsidRDefault="00212602" w:rsidP="00AB6A1B">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AB6A1B">
              <w:rPr>
                <w:rFonts w:ascii="Times New Roman" w:hAnsi="Times New Roman" w:cs="Times New Roman"/>
                <w:b/>
                <w:bCs/>
                <w:color w:val="000000"/>
                <w:sz w:val="24"/>
                <w:szCs w:val="24"/>
              </w:rPr>
              <w:t>One-Sample Kolmogorov-Smirnov Test</w:t>
            </w:r>
          </w:p>
        </w:tc>
      </w:tr>
      <w:tr w:rsidR="00212602" w:rsidRPr="00880450" w14:paraId="6329CE8E" w14:textId="77777777" w:rsidTr="00AB6A1B">
        <w:trPr>
          <w:cantSplit/>
        </w:trPr>
        <w:tc>
          <w:tcPr>
            <w:tcW w:w="4733" w:type="dxa"/>
            <w:gridSpan w:val="2"/>
            <w:tcBorders>
              <w:top w:val="single" w:sz="16" w:space="0" w:color="000000"/>
              <w:left w:val="single" w:sz="16" w:space="0" w:color="000000"/>
              <w:bottom w:val="single" w:sz="16" w:space="0" w:color="000000"/>
              <w:right w:val="nil"/>
            </w:tcBorders>
            <w:shd w:val="clear" w:color="auto" w:fill="FFFFFF"/>
            <w:vAlign w:val="bottom"/>
          </w:tcPr>
          <w:p w14:paraId="5658B920" w14:textId="77777777" w:rsidR="00212602" w:rsidRPr="00AB6A1B" w:rsidRDefault="00212602" w:rsidP="00AB6A1B">
            <w:pPr>
              <w:autoSpaceDE w:val="0"/>
              <w:autoSpaceDN w:val="0"/>
              <w:adjustRightInd w:val="0"/>
              <w:spacing w:after="0" w:line="276" w:lineRule="auto"/>
              <w:rPr>
                <w:rFonts w:ascii="Times New Roman" w:hAnsi="Times New Roman" w:cs="Times New Roman"/>
                <w:sz w:val="24"/>
                <w:szCs w:val="24"/>
              </w:rPr>
            </w:pPr>
          </w:p>
        </w:tc>
        <w:tc>
          <w:tcPr>
            <w:tcW w:w="192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4C2E076" w14:textId="77777777" w:rsidR="00212602" w:rsidRPr="00AB6A1B" w:rsidRDefault="00212602" w:rsidP="00AB6A1B">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AB6A1B">
              <w:rPr>
                <w:rFonts w:ascii="Times New Roman" w:hAnsi="Times New Roman" w:cs="Times New Roman"/>
                <w:color w:val="000000"/>
                <w:sz w:val="24"/>
                <w:szCs w:val="24"/>
              </w:rPr>
              <w:t>Unstandardized Residual</w:t>
            </w:r>
          </w:p>
        </w:tc>
      </w:tr>
      <w:tr w:rsidR="00212602" w:rsidRPr="00880450" w14:paraId="4DF1D85F" w14:textId="77777777" w:rsidTr="00AB6A1B">
        <w:trPr>
          <w:cantSplit/>
        </w:trPr>
        <w:tc>
          <w:tcPr>
            <w:tcW w:w="4733" w:type="dxa"/>
            <w:gridSpan w:val="2"/>
            <w:tcBorders>
              <w:top w:val="single" w:sz="16" w:space="0" w:color="000000"/>
              <w:left w:val="single" w:sz="16" w:space="0" w:color="000000"/>
              <w:bottom w:val="nil"/>
              <w:right w:val="nil"/>
            </w:tcBorders>
            <w:shd w:val="clear" w:color="auto" w:fill="FFFFFF"/>
          </w:tcPr>
          <w:p w14:paraId="55E6068F" w14:textId="77777777" w:rsidR="00212602" w:rsidRPr="00AB6A1B" w:rsidRDefault="00212602" w:rsidP="00AB6A1B">
            <w:pPr>
              <w:autoSpaceDE w:val="0"/>
              <w:autoSpaceDN w:val="0"/>
              <w:adjustRightInd w:val="0"/>
              <w:spacing w:after="0" w:line="276" w:lineRule="auto"/>
              <w:ind w:left="60" w:right="60"/>
              <w:rPr>
                <w:rFonts w:ascii="Times New Roman" w:hAnsi="Times New Roman" w:cs="Times New Roman"/>
                <w:color w:val="000000"/>
                <w:sz w:val="24"/>
                <w:szCs w:val="24"/>
              </w:rPr>
            </w:pPr>
            <w:r w:rsidRPr="00AB6A1B">
              <w:rPr>
                <w:rFonts w:ascii="Times New Roman" w:hAnsi="Times New Roman" w:cs="Times New Roman"/>
                <w:color w:val="000000"/>
                <w:sz w:val="24"/>
                <w:szCs w:val="24"/>
              </w:rPr>
              <w:t>N</w:t>
            </w:r>
          </w:p>
        </w:tc>
        <w:tc>
          <w:tcPr>
            <w:tcW w:w="1929" w:type="dxa"/>
            <w:tcBorders>
              <w:top w:val="single" w:sz="16" w:space="0" w:color="000000"/>
              <w:left w:val="single" w:sz="16" w:space="0" w:color="000000"/>
              <w:bottom w:val="nil"/>
              <w:right w:val="single" w:sz="16" w:space="0" w:color="000000"/>
            </w:tcBorders>
            <w:shd w:val="clear" w:color="auto" w:fill="FFFFFF"/>
            <w:vAlign w:val="center"/>
          </w:tcPr>
          <w:p w14:paraId="74968825" w14:textId="77777777" w:rsidR="00212602" w:rsidRPr="00AB6A1B" w:rsidRDefault="00212602" w:rsidP="00AB6A1B">
            <w:pPr>
              <w:autoSpaceDE w:val="0"/>
              <w:autoSpaceDN w:val="0"/>
              <w:adjustRightInd w:val="0"/>
              <w:spacing w:after="0" w:line="276" w:lineRule="auto"/>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150</w:t>
            </w:r>
          </w:p>
        </w:tc>
      </w:tr>
      <w:tr w:rsidR="00212602" w:rsidRPr="00880450" w14:paraId="719DB14A" w14:textId="77777777" w:rsidTr="00AB6A1B">
        <w:trPr>
          <w:cantSplit/>
        </w:trPr>
        <w:tc>
          <w:tcPr>
            <w:tcW w:w="3288" w:type="dxa"/>
            <w:vMerge w:val="restart"/>
            <w:tcBorders>
              <w:top w:val="nil"/>
              <w:left w:val="single" w:sz="16" w:space="0" w:color="000000"/>
              <w:bottom w:val="nil"/>
              <w:right w:val="nil"/>
            </w:tcBorders>
            <w:shd w:val="clear" w:color="auto" w:fill="FFFFFF"/>
          </w:tcPr>
          <w:p w14:paraId="520681C3" w14:textId="77777777" w:rsidR="00212602" w:rsidRPr="00AB6A1B" w:rsidRDefault="00212602" w:rsidP="00AB6A1B">
            <w:pPr>
              <w:autoSpaceDE w:val="0"/>
              <w:autoSpaceDN w:val="0"/>
              <w:adjustRightInd w:val="0"/>
              <w:spacing w:after="0" w:line="276" w:lineRule="auto"/>
              <w:ind w:left="60" w:right="60"/>
              <w:rPr>
                <w:rFonts w:ascii="Times New Roman" w:hAnsi="Times New Roman" w:cs="Times New Roman"/>
                <w:color w:val="000000"/>
                <w:sz w:val="24"/>
                <w:szCs w:val="24"/>
              </w:rPr>
            </w:pPr>
            <w:r w:rsidRPr="00AB6A1B">
              <w:rPr>
                <w:rFonts w:ascii="Times New Roman" w:hAnsi="Times New Roman" w:cs="Times New Roman"/>
                <w:color w:val="000000"/>
                <w:sz w:val="24"/>
                <w:szCs w:val="24"/>
              </w:rPr>
              <w:t>Normal Parameters</w:t>
            </w:r>
            <w:r w:rsidRPr="00AB6A1B">
              <w:rPr>
                <w:rFonts w:ascii="Times New Roman" w:hAnsi="Times New Roman" w:cs="Times New Roman"/>
                <w:color w:val="000000"/>
                <w:sz w:val="24"/>
                <w:szCs w:val="24"/>
                <w:vertAlign w:val="superscript"/>
              </w:rPr>
              <w:t>a,b</w:t>
            </w:r>
          </w:p>
        </w:tc>
        <w:tc>
          <w:tcPr>
            <w:tcW w:w="1445" w:type="dxa"/>
            <w:tcBorders>
              <w:top w:val="nil"/>
              <w:left w:val="nil"/>
              <w:bottom w:val="nil"/>
              <w:right w:val="single" w:sz="16" w:space="0" w:color="000000"/>
            </w:tcBorders>
            <w:shd w:val="clear" w:color="auto" w:fill="FFFFFF"/>
          </w:tcPr>
          <w:p w14:paraId="5EACFA18" w14:textId="77777777" w:rsidR="00212602" w:rsidRPr="00AB6A1B" w:rsidRDefault="00212602" w:rsidP="00AB6A1B">
            <w:pPr>
              <w:autoSpaceDE w:val="0"/>
              <w:autoSpaceDN w:val="0"/>
              <w:adjustRightInd w:val="0"/>
              <w:spacing w:after="0" w:line="276" w:lineRule="auto"/>
              <w:ind w:left="60" w:right="60"/>
              <w:rPr>
                <w:rFonts w:ascii="Times New Roman" w:hAnsi="Times New Roman" w:cs="Times New Roman"/>
                <w:color w:val="000000"/>
                <w:sz w:val="24"/>
                <w:szCs w:val="24"/>
              </w:rPr>
            </w:pPr>
            <w:r w:rsidRPr="00AB6A1B">
              <w:rPr>
                <w:rFonts w:ascii="Times New Roman" w:hAnsi="Times New Roman" w:cs="Times New Roman"/>
                <w:color w:val="000000"/>
                <w:sz w:val="24"/>
                <w:szCs w:val="24"/>
              </w:rPr>
              <w:t>Mean</w:t>
            </w:r>
          </w:p>
        </w:tc>
        <w:tc>
          <w:tcPr>
            <w:tcW w:w="1929" w:type="dxa"/>
            <w:tcBorders>
              <w:top w:val="nil"/>
              <w:left w:val="single" w:sz="16" w:space="0" w:color="000000"/>
              <w:bottom w:val="nil"/>
              <w:right w:val="single" w:sz="16" w:space="0" w:color="000000"/>
            </w:tcBorders>
            <w:shd w:val="clear" w:color="auto" w:fill="FFFFFF"/>
            <w:vAlign w:val="center"/>
          </w:tcPr>
          <w:p w14:paraId="2D0345E8" w14:textId="77777777" w:rsidR="00212602" w:rsidRPr="00AB6A1B" w:rsidRDefault="00212602" w:rsidP="00AB6A1B">
            <w:pPr>
              <w:autoSpaceDE w:val="0"/>
              <w:autoSpaceDN w:val="0"/>
              <w:adjustRightInd w:val="0"/>
              <w:spacing w:after="0" w:line="276" w:lineRule="auto"/>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.0000000</w:t>
            </w:r>
          </w:p>
        </w:tc>
      </w:tr>
      <w:tr w:rsidR="00212602" w:rsidRPr="00880450" w14:paraId="5D648F99" w14:textId="77777777" w:rsidTr="00AB6A1B">
        <w:trPr>
          <w:cantSplit/>
        </w:trPr>
        <w:tc>
          <w:tcPr>
            <w:tcW w:w="3288" w:type="dxa"/>
            <w:vMerge/>
            <w:tcBorders>
              <w:top w:val="nil"/>
              <w:left w:val="single" w:sz="16" w:space="0" w:color="000000"/>
              <w:bottom w:val="nil"/>
              <w:right w:val="nil"/>
            </w:tcBorders>
            <w:shd w:val="clear" w:color="auto" w:fill="FFFFFF"/>
          </w:tcPr>
          <w:p w14:paraId="49A7662F" w14:textId="77777777" w:rsidR="00212602" w:rsidRPr="00AB6A1B" w:rsidRDefault="00212602" w:rsidP="00AB6A1B">
            <w:pPr>
              <w:autoSpaceDE w:val="0"/>
              <w:autoSpaceDN w:val="0"/>
              <w:adjustRightInd w:val="0"/>
              <w:spacing w:after="0" w:line="276" w:lineRule="auto"/>
              <w:rPr>
                <w:rFonts w:ascii="Times New Roman" w:hAnsi="Times New Roman" w:cs="Times New Roman"/>
                <w:color w:val="000000"/>
                <w:sz w:val="24"/>
                <w:szCs w:val="24"/>
              </w:rPr>
            </w:pPr>
          </w:p>
        </w:tc>
        <w:tc>
          <w:tcPr>
            <w:tcW w:w="1445" w:type="dxa"/>
            <w:tcBorders>
              <w:top w:val="nil"/>
              <w:left w:val="nil"/>
              <w:bottom w:val="nil"/>
              <w:right w:val="single" w:sz="16" w:space="0" w:color="000000"/>
            </w:tcBorders>
            <w:shd w:val="clear" w:color="auto" w:fill="FFFFFF"/>
          </w:tcPr>
          <w:p w14:paraId="3607EE1E" w14:textId="77777777" w:rsidR="00212602" w:rsidRPr="00AB6A1B" w:rsidRDefault="00212602" w:rsidP="00AB6A1B">
            <w:pPr>
              <w:autoSpaceDE w:val="0"/>
              <w:autoSpaceDN w:val="0"/>
              <w:adjustRightInd w:val="0"/>
              <w:spacing w:after="0" w:line="276" w:lineRule="auto"/>
              <w:ind w:left="60" w:right="60"/>
              <w:rPr>
                <w:rFonts w:ascii="Times New Roman" w:hAnsi="Times New Roman" w:cs="Times New Roman"/>
                <w:color w:val="000000"/>
                <w:sz w:val="24"/>
                <w:szCs w:val="24"/>
              </w:rPr>
            </w:pPr>
            <w:r w:rsidRPr="00AB6A1B">
              <w:rPr>
                <w:rFonts w:ascii="Times New Roman" w:hAnsi="Times New Roman" w:cs="Times New Roman"/>
                <w:color w:val="000000"/>
                <w:sz w:val="24"/>
                <w:szCs w:val="24"/>
              </w:rPr>
              <w:t>Std. Deviation</w:t>
            </w:r>
          </w:p>
        </w:tc>
        <w:tc>
          <w:tcPr>
            <w:tcW w:w="1929" w:type="dxa"/>
            <w:tcBorders>
              <w:top w:val="nil"/>
              <w:left w:val="single" w:sz="16" w:space="0" w:color="000000"/>
              <w:bottom w:val="nil"/>
              <w:right w:val="single" w:sz="16" w:space="0" w:color="000000"/>
            </w:tcBorders>
            <w:shd w:val="clear" w:color="auto" w:fill="FFFFFF"/>
            <w:vAlign w:val="center"/>
          </w:tcPr>
          <w:p w14:paraId="6946D4F4" w14:textId="77777777" w:rsidR="00212602" w:rsidRPr="00AB6A1B" w:rsidRDefault="00212602" w:rsidP="00AB6A1B">
            <w:pPr>
              <w:autoSpaceDE w:val="0"/>
              <w:autoSpaceDN w:val="0"/>
              <w:adjustRightInd w:val="0"/>
              <w:spacing w:after="0" w:line="276" w:lineRule="auto"/>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.25307808</w:t>
            </w:r>
          </w:p>
        </w:tc>
      </w:tr>
      <w:tr w:rsidR="00212602" w:rsidRPr="00880450" w14:paraId="4E5CB715" w14:textId="77777777" w:rsidTr="00AB6A1B">
        <w:trPr>
          <w:cantSplit/>
        </w:trPr>
        <w:tc>
          <w:tcPr>
            <w:tcW w:w="3288" w:type="dxa"/>
            <w:vMerge w:val="restart"/>
            <w:tcBorders>
              <w:top w:val="nil"/>
              <w:left w:val="single" w:sz="16" w:space="0" w:color="000000"/>
              <w:bottom w:val="nil"/>
              <w:right w:val="nil"/>
            </w:tcBorders>
            <w:shd w:val="clear" w:color="auto" w:fill="FFFFFF"/>
          </w:tcPr>
          <w:p w14:paraId="75E5BD31" w14:textId="77777777" w:rsidR="00212602" w:rsidRPr="00AB6A1B" w:rsidRDefault="00212602" w:rsidP="00AB6A1B">
            <w:pPr>
              <w:autoSpaceDE w:val="0"/>
              <w:autoSpaceDN w:val="0"/>
              <w:adjustRightInd w:val="0"/>
              <w:spacing w:after="0" w:line="276" w:lineRule="auto"/>
              <w:ind w:left="60" w:right="60"/>
              <w:rPr>
                <w:rFonts w:ascii="Times New Roman" w:hAnsi="Times New Roman" w:cs="Times New Roman"/>
                <w:color w:val="000000"/>
                <w:sz w:val="24"/>
                <w:szCs w:val="24"/>
              </w:rPr>
            </w:pPr>
            <w:r w:rsidRPr="00AB6A1B">
              <w:rPr>
                <w:rFonts w:ascii="Times New Roman" w:hAnsi="Times New Roman" w:cs="Times New Roman"/>
                <w:color w:val="000000"/>
                <w:sz w:val="24"/>
                <w:szCs w:val="24"/>
              </w:rPr>
              <w:t>Most Extreme Differences</w:t>
            </w:r>
          </w:p>
        </w:tc>
        <w:tc>
          <w:tcPr>
            <w:tcW w:w="1445" w:type="dxa"/>
            <w:tcBorders>
              <w:top w:val="nil"/>
              <w:left w:val="nil"/>
              <w:bottom w:val="nil"/>
              <w:right w:val="single" w:sz="16" w:space="0" w:color="000000"/>
            </w:tcBorders>
            <w:shd w:val="clear" w:color="auto" w:fill="FFFFFF"/>
          </w:tcPr>
          <w:p w14:paraId="0997EE20" w14:textId="77777777" w:rsidR="00212602" w:rsidRPr="00AB6A1B" w:rsidRDefault="00212602" w:rsidP="00AB6A1B">
            <w:pPr>
              <w:autoSpaceDE w:val="0"/>
              <w:autoSpaceDN w:val="0"/>
              <w:adjustRightInd w:val="0"/>
              <w:spacing w:after="0" w:line="276" w:lineRule="auto"/>
              <w:ind w:left="60" w:right="60"/>
              <w:rPr>
                <w:rFonts w:ascii="Times New Roman" w:hAnsi="Times New Roman" w:cs="Times New Roman"/>
                <w:color w:val="000000"/>
                <w:sz w:val="24"/>
                <w:szCs w:val="24"/>
              </w:rPr>
            </w:pPr>
            <w:r w:rsidRPr="00AB6A1B">
              <w:rPr>
                <w:rFonts w:ascii="Times New Roman" w:hAnsi="Times New Roman" w:cs="Times New Roman"/>
                <w:color w:val="000000"/>
                <w:sz w:val="24"/>
                <w:szCs w:val="24"/>
              </w:rPr>
              <w:t>Absolute</w:t>
            </w:r>
          </w:p>
        </w:tc>
        <w:tc>
          <w:tcPr>
            <w:tcW w:w="1929" w:type="dxa"/>
            <w:tcBorders>
              <w:top w:val="nil"/>
              <w:left w:val="single" w:sz="16" w:space="0" w:color="000000"/>
              <w:bottom w:val="nil"/>
              <w:right w:val="single" w:sz="16" w:space="0" w:color="000000"/>
            </w:tcBorders>
            <w:shd w:val="clear" w:color="auto" w:fill="FFFFFF"/>
            <w:vAlign w:val="center"/>
          </w:tcPr>
          <w:p w14:paraId="2496F5B4" w14:textId="77777777" w:rsidR="00212602" w:rsidRPr="00AB6A1B" w:rsidRDefault="00212602" w:rsidP="00AB6A1B">
            <w:pPr>
              <w:autoSpaceDE w:val="0"/>
              <w:autoSpaceDN w:val="0"/>
              <w:adjustRightInd w:val="0"/>
              <w:spacing w:after="0" w:line="276" w:lineRule="auto"/>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.071</w:t>
            </w:r>
          </w:p>
        </w:tc>
      </w:tr>
      <w:tr w:rsidR="00212602" w:rsidRPr="00880450" w14:paraId="0DFA0D54" w14:textId="77777777" w:rsidTr="00AB6A1B">
        <w:trPr>
          <w:cantSplit/>
        </w:trPr>
        <w:tc>
          <w:tcPr>
            <w:tcW w:w="3288" w:type="dxa"/>
            <w:vMerge/>
            <w:tcBorders>
              <w:top w:val="nil"/>
              <w:left w:val="single" w:sz="16" w:space="0" w:color="000000"/>
              <w:bottom w:val="nil"/>
              <w:right w:val="nil"/>
            </w:tcBorders>
            <w:shd w:val="clear" w:color="auto" w:fill="FFFFFF"/>
          </w:tcPr>
          <w:p w14:paraId="55E87F6A" w14:textId="77777777" w:rsidR="00212602" w:rsidRPr="00AB6A1B" w:rsidRDefault="00212602" w:rsidP="00AB6A1B">
            <w:pPr>
              <w:autoSpaceDE w:val="0"/>
              <w:autoSpaceDN w:val="0"/>
              <w:adjustRightInd w:val="0"/>
              <w:spacing w:after="0" w:line="276" w:lineRule="auto"/>
              <w:rPr>
                <w:rFonts w:ascii="Times New Roman" w:hAnsi="Times New Roman" w:cs="Times New Roman"/>
                <w:color w:val="000000"/>
                <w:sz w:val="24"/>
                <w:szCs w:val="24"/>
              </w:rPr>
            </w:pPr>
          </w:p>
        </w:tc>
        <w:tc>
          <w:tcPr>
            <w:tcW w:w="1445" w:type="dxa"/>
            <w:tcBorders>
              <w:top w:val="nil"/>
              <w:left w:val="nil"/>
              <w:bottom w:val="nil"/>
              <w:right w:val="single" w:sz="16" w:space="0" w:color="000000"/>
            </w:tcBorders>
            <w:shd w:val="clear" w:color="auto" w:fill="FFFFFF"/>
          </w:tcPr>
          <w:p w14:paraId="536CD6BB" w14:textId="77777777" w:rsidR="00212602" w:rsidRPr="00AB6A1B" w:rsidRDefault="00212602" w:rsidP="00AB6A1B">
            <w:pPr>
              <w:autoSpaceDE w:val="0"/>
              <w:autoSpaceDN w:val="0"/>
              <w:adjustRightInd w:val="0"/>
              <w:spacing w:after="0" w:line="276" w:lineRule="auto"/>
              <w:ind w:left="60" w:right="60"/>
              <w:rPr>
                <w:rFonts w:ascii="Times New Roman" w:hAnsi="Times New Roman" w:cs="Times New Roman"/>
                <w:color w:val="000000"/>
                <w:sz w:val="24"/>
                <w:szCs w:val="24"/>
              </w:rPr>
            </w:pPr>
            <w:r w:rsidRPr="00AB6A1B">
              <w:rPr>
                <w:rFonts w:ascii="Times New Roman" w:hAnsi="Times New Roman" w:cs="Times New Roman"/>
                <w:color w:val="000000"/>
                <w:sz w:val="24"/>
                <w:szCs w:val="24"/>
              </w:rPr>
              <w:t>Positive</w:t>
            </w:r>
          </w:p>
        </w:tc>
        <w:tc>
          <w:tcPr>
            <w:tcW w:w="1929" w:type="dxa"/>
            <w:tcBorders>
              <w:top w:val="nil"/>
              <w:left w:val="single" w:sz="16" w:space="0" w:color="000000"/>
              <w:bottom w:val="nil"/>
              <w:right w:val="single" w:sz="16" w:space="0" w:color="000000"/>
            </w:tcBorders>
            <w:shd w:val="clear" w:color="auto" w:fill="FFFFFF"/>
            <w:vAlign w:val="center"/>
          </w:tcPr>
          <w:p w14:paraId="117699E1" w14:textId="77777777" w:rsidR="00212602" w:rsidRPr="00AB6A1B" w:rsidRDefault="00212602" w:rsidP="00AB6A1B">
            <w:pPr>
              <w:autoSpaceDE w:val="0"/>
              <w:autoSpaceDN w:val="0"/>
              <w:adjustRightInd w:val="0"/>
              <w:spacing w:after="0" w:line="276" w:lineRule="auto"/>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.071</w:t>
            </w:r>
          </w:p>
        </w:tc>
      </w:tr>
      <w:tr w:rsidR="00212602" w:rsidRPr="00880450" w14:paraId="71D7D63F" w14:textId="77777777" w:rsidTr="00AB6A1B">
        <w:trPr>
          <w:cantSplit/>
        </w:trPr>
        <w:tc>
          <w:tcPr>
            <w:tcW w:w="3288" w:type="dxa"/>
            <w:vMerge/>
            <w:tcBorders>
              <w:top w:val="nil"/>
              <w:left w:val="single" w:sz="16" w:space="0" w:color="000000"/>
              <w:bottom w:val="nil"/>
              <w:right w:val="nil"/>
            </w:tcBorders>
            <w:shd w:val="clear" w:color="auto" w:fill="FFFFFF"/>
          </w:tcPr>
          <w:p w14:paraId="4CDE1905" w14:textId="77777777" w:rsidR="00212602" w:rsidRPr="00AB6A1B" w:rsidRDefault="00212602" w:rsidP="00AB6A1B">
            <w:pPr>
              <w:autoSpaceDE w:val="0"/>
              <w:autoSpaceDN w:val="0"/>
              <w:adjustRightInd w:val="0"/>
              <w:spacing w:after="0" w:line="276" w:lineRule="auto"/>
              <w:rPr>
                <w:rFonts w:ascii="Times New Roman" w:hAnsi="Times New Roman" w:cs="Times New Roman"/>
                <w:color w:val="000000"/>
                <w:sz w:val="24"/>
                <w:szCs w:val="24"/>
              </w:rPr>
            </w:pPr>
          </w:p>
        </w:tc>
        <w:tc>
          <w:tcPr>
            <w:tcW w:w="1445" w:type="dxa"/>
            <w:tcBorders>
              <w:top w:val="nil"/>
              <w:left w:val="nil"/>
              <w:bottom w:val="nil"/>
              <w:right w:val="single" w:sz="16" w:space="0" w:color="000000"/>
            </w:tcBorders>
            <w:shd w:val="clear" w:color="auto" w:fill="FFFFFF"/>
          </w:tcPr>
          <w:p w14:paraId="7F72B5EC" w14:textId="77777777" w:rsidR="00212602" w:rsidRPr="00AB6A1B" w:rsidRDefault="00212602" w:rsidP="00AB6A1B">
            <w:pPr>
              <w:autoSpaceDE w:val="0"/>
              <w:autoSpaceDN w:val="0"/>
              <w:adjustRightInd w:val="0"/>
              <w:spacing w:after="0" w:line="276" w:lineRule="auto"/>
              <w:ind w:left="60" w:right="60"/>
              <w:rPr>
                <w:rFonts w:ascii="Times New Roman" w:hAnsi="Times New Roman" w:cs="Times New Roman"/>
                <w:color w:val="000000"/>
                <w:sz w:val="24"/>
                <w:szCs w:val="24"/>
              </w:rPr>
            </w:pPr>
            <w:r w:rsidRPr="00AB6A1B">
              <w:rPr>
                <w:rFonts w:ascii="Times New Roman" w:hAnsi="Times New Roman" w:cs="Times New Roman"/>
                <w:color w:val="000000"/>
                <w:sz w:val="24"/>
                <w:szCs w:val="24"/>
              </w:rPr>
              <w:t>Negative</w:t>
            </w:r>
          </w:p>
        </w:tc>
        <w:tc>
          <w:tcPr>
            <w:tcW w:w="1929" w:type="dxa"/>
            <w:tcBorders>
              <w:top w:val="nil"/>
              <w:left w:val="single" w:sz="16" w:space="0" w:color="000000"/>
              <w:bottom w:val="nil"/>
              <w:right w:val="single" w:sz="16" w:space="0" w:color="000000"/>
            </w:tcBorders>
            <w:shd w:val="clear" w:color="auto" w:fill="FFFFFF"/>
            <w:vAlign w:val="center"/>
          </w:tcPr>
          <w:p w14:paraId="6EBA0828" w14:textId="77777777" w:rsidR="00212602" w:rsidRPr="00AB6A1B" w:rsidRDefault="00212602" w:rsidP="00AB6A1B">
            <w:pPr>
              <w:autoSpaceDE w:val="0"/>
              <w:autoSpaceDN w:val="0"/>
              <w:adjustRightInd w:val="0"/>
              <w:spacing w:after="0" w:line="276" w:lineRule="auto"/>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-.049</w:t>
            </w:r>
          </w:p>
        </w:tc>
      </w:tr>
      <w:tr w:rsidR="00212602" w:rsidRPr="00880450" w14:paraId="514FFA6D" w14:textId="77777777" w:rsidTr="00AB6A1B">
        <w:trPr>
          <w:cantSplit/>
        </w:trPr>
        <w:tc>
          <w:tcPr>
            <w:tcW w:w="4733" w:type="dxa"/>
            <w:gridSpan w:val="2"/>
            <w:tcBorders>
              <w:top w:val="nil"/>
              <w:left w:val="single" w:sz="16" w:space="0" w:color="000000"/>
              <w:bottom w:val="nil"/>
              <w:right w:val="nil"/>
            </w:tcBorders>
            <w:shd w:val="clear" w:color="auto" w:fill="FFFFFF"/>
          </w:tcPr>
          <w:p w14:paraId="00432880" w14:textId="77777777" w:rsidR="00212602" w:rsidRPr="00AB6A1B" w:rsidRDefault="00212602" w:rsidP="00AB6A1B">
            <w:pPr>
              <w:autoSpaceDE w:val="0"/>
              <w:autoSpaceDN w:val="0"/>
              <w:adjustRightInd w:val="0"/>
              <w:spacing w:after="0" w:line="276" w:lineRule="auto"/>
              <w:ind w:left="60" w:right="60"/>
              <w:rPr>
                <w:rFonts w:ascii="Times New Roman" w:hAnsi="Times New Roman" w:cs="Times New Roman"/>
                <w:color w:val="000000"/>
                <w:sz w:val="24"/>
                <w:szCs w:val="24"/>
              </w:rPr>
            </w:pPr>
            <w:r w:rsidRPr="00AB6A1B">
              <w:rPr>
                <w:rFonts w:ascii="Times New Roman" w:hAnsi="Times New Roman" w:cs="Times New Roman"/>
                <w:color w:val="000000"/>
                <w:sz w:val="24"/>
                <w:szCs w:val="24"/>
              </w:rPr>
              <w:t>Test Statistic</w:t>
            </w:r>
          </w:p>
        </w:tc>
        <w:tc>
          <w:tcPr>
            <w:tcW w:w="1929" w:type="dxa"/>
            <w:tcBorders>
              <w:top w:val="nil"/>
              <w:left w:val="single" w:sz="16" w:space="0" w:color="000000"/>
              <w:bottom w:val="nil"/>
              <w:right w:val="single" w:sz="16" w:space="0" w:color="000000"/>
            </w:tcBorders>
            <w:shd w:val="clear" w:color="auto" w:fill="FFFFFF"/>
            <w:vAlign w:val="center"/>
          </w:tcPr>
          <w:p w14:paraId="2B75627C" w14:textId="77777777" w:rsidR="00212602" w:rsidRPr="00AB6A1B" w:rsidRDefault="00212602" w:rsidP="00AB6A1B">
            <w:pPr>
              <w:autoSpaceDE w:val="0"/>
              <w:autoSpaceDN w:val="0"/>
              <w:adjustRightInd w:val="0"/>
              <w:spacing w:after="0" w:line="276" w:lineRule="auto"/>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.071</w:t>
            </w:r>
          </w:p>
        </w:tc>
      </w:tr>
      <w:tr w:rsidR="00212602" w:rsidRPr="00880450" w14:paraId="230EB3E9" w14:textId="77777777" w:rsidTr="00AB6A1B">
        <w:trPr>
          <w:cantSplit/>
        </w:trPr>
        <w:tc>
          <w:tcPr>
            <w:tcW w:w="4733" w:type="dxa"/>
            <w:gridSpan w:val="2"/>
            <w:tcBorders>
              <w:top w:val="nil"/>
              <w:left w:val="single" w:sz="16" w:space="0" w:color="000000"/>
              <w:bottom w:val="single" w:sz="16" w:space="0" w:color="000000"/>
              <w:right w:val="nil"/>
            </w:tcBorders>
            <w:shd w:val="clear" w:color="auto" w:fill="FFFFFF"/>
          </w:tcPr>
          <w:p w14:paraId="0447057D" w14:textId="77777777" w:rsidR="00212602" w:rsidRPr="00AB6A1B" w:rsidRDefault="00212602" w:rsidP="00AB6A1B">
            <w:pPr>
              <w:autoSpaceDE w:val="0"/>
              <w:autoSpaceDN w:val="0"/>
              <w:adjustRightInd w:val="0"/>
              <w:spacing w:after="0" w:line="276" w:lineRule="auto"/>
              <w:ind w:left="60" w:right="60"/>
              <w:rPr>
                <w:rFonts w:ascii="Times New Roman" w:hAnsi="Times New Roman" w:cs="Times New Roman"/>
                <w:color w:val="000000"/>
                <w:sz w:val="24"/>
                <w:szCs w:val="24"/>
              </w:rPr>
            </w:pPr>
            <w:r w:rsidRPr="00AB6A1B">
              <w:rPr>
                <w:rFonts w:ascii="Times New Roman" w:hAnsi="Times New Roman" w:cs="Times New Roman"/>
                <w:color w:val="000000"/>
                <w:sz w:val="24"/>
                <w:szCs w:val="24"/>
              </w:rPr>
              <w:t>Asymp. Sig. (2-tailed)</w:t>
            </w:r>
          </w:p>
        </w:tc>
        <w:tc>
          <w:tcPr>
            <w:tcW w:w="1929" w:type="dxa"/>
            <w:tcBorders>
              <w:top w:val="nil"/>
              <w:left w:val="single" w:sz="16" w:space="0" w:color="000000"/>
              <w:bottom w:val="single" w:sz="16" w:space="0" w:color="000000"/>
              <w:right w:val="single" w:sz="16" w:space="0" w:color="000000"/>
            </w:tcBorders>
            <w:shd w:val="clear" w:color="auto" w:fill="FFFFFF"/>
            <w:vAlign w:val="center"/>
          </w:tcPr>
          <w:p w14:paraId="33AA3060" w14:textId="77777777" w:rsidR="00212602" w:rsidRPr="00AB6A1B" w:rsidRDefault="00212602" w:rsidP="00AB6A1B">
            <w:pPr>
              <w:autoSpaceDE w:val="0"/>
              <w:autoSpaceDN w:val="0"/>
              <w:adjustRightInd w:val="0"/>
              <w:spacing w:after="0" w:line="276" w:lineRule="auto"/>
              <w:ind w:left="60" w:right="60"/>
              <w:jc w:val="right"/>
              <w:rPr>
                <w:rFonts w:ascii="Times New Roman" w:hAnsi="Times New Roman" w:cs="Times New Roman"/>
                <w:color w:val="000000"/>
                <w:sz w:val="24"/>
                <w:szCs w:val="24"/>
              </w:rPr>
            </w:pPr>
            <w:r w:rsidRPr="00AB6A1B">
              <w:rPr>
                <w:rFonts w:ascii="Times New Roman" w:hAnsi="Times New Roman" w:cs="Times New Roman"/>
                <w:color w:val="000000"/>
                <w:sz w:val="24"/>
                <w:szCs w:val="24"/>
              </w:rPr>
              <w:t>.060</w:t>
            </w:r>
            <w:r w:rsidRPr="00AB6A1B">
              <w:rPr>
                <w:rFonts w:ascii="Times New Roman" w:hAnsi="Times New Roman" w:cs="Times New Roman"/>
                <w:color w:val="000000"/>
                <w:sz w:val="24"/>
                <w:szCs w:val="24"/>
                <w:vertAlign w:val="superscript"/>
              </w:rPr>
              <w:t>c</w:t>
            </w:r>
          </w:p>
        </w:tc>
      </w:tr>
      <w:tr w:rsidR="00212602" w:rsidRPr="00880450" w14:paraId="7BCDF90F" w14:textId="77777777" w:rsidTr="00AB6A1B">
        <w:trPr>
          <w:cantSplit/>
        </w:trPr>
        <w:tc>
          <w:tcPr>
            <w:tcW w:w="6662" w:type="dxa"/>
            <w:gridSpan w:val="3"/>
            <w:tcBorders>
              <w:top w:val="nil"/>
              <w:left w:val="nil"/>
              <w:bottom w:val="nil"/>
              <w:right w:val="nil"/>
            </w:tcBorders>
            <w:shd w:val="clear" w:color="auto" w:fill="FFFFFF"/>
          </w:tcPr>
          <w:p w14:paraId="0618ADBE" w14:textId="77777777" w:rsidR="00212602" w:rsidRPr="00AB6A1B" w:rsidRDefault="00212602" w:rsidP="00AB7A8E">
            <w:pPr>
              <w:autoSpaceDE w:val="0"/>
              <w:autoSpaceDN w:val="0"/>
              <w:adjustRightInd w:val="0"/>
              <w:spacing w:after="0" w:line="360" w:lineRule="auto"/>
              <w:ind w:left="60" w:right="60"/>
              <w:rPr>
                <w:rFonts w:ascii="Times New Roman" w:hAnsi="Times New Roman" w:cs="Times New Roman"/>
                <w:color w:val="000000"/>
                <w:sz w:val="24"/>
                <w:szCs w:val="24"/>
              </w:rPr>
            </w:pPr>
            <w:r w:rsidRPr="00AB6A1B">
              <w:rPr>
                <w:rFonts w:ascii="Times New Roman" w:hAnsi="Times New Roman" w:cs="Times New Roman"/>
                <w:color w:val="000000"/>
                <w:sz w:val="24"/>
                <w:szCs w:val="24"/>
              </w:rPr>
              <w:t>a. Test distribution is Normal.</w:t>
            </w:r>
          </w:p>
        </w:tc>
      </w:tr>
      <w:tr w:rsidR="00212602" w:rsidRPr="00880450" w14:paraId="3D7DB486" w14:textId="77777777" w:rsidTr="00AB6A1B">
        <w:trPr>
          <w:cantSplit/>
        </w:trPr>
        <w:tc>
          <w:tcPr>
            <w:tcW w:w="6662" w:type="dxa"/>
            <w:gridSpan w:val="3"/>
            <w:tcBorders>
              <w:top w:val="nil"/>
              <w:left w:val="nil"/>
              <w:bottom w:val="nil"/>
              <w:right w:val="nil"/>
            </w:tcBorders>
            <w:shd w:val="clear" w:color="auto" w:fill="FFFFFF"/>
          </w:tcPr>
          <w:p w14:paraId="27D8A6A4" w14:textId="77777777" w:rsidR="00212602" w:rsidRPr="00AB6A1B" w:rsidRDefault="00212602" w:rsidP="00AB7A8E">
            <w:pPr>
              <w:autoSpaceDE w:val="0"/>
              <w:autoSpaceDN w:val="0"/>
              <w:adjustRightInd w:val="0"/>
              <w:spacing w:after="0" w:line="360" w:lineRule="auto"/>
              <w:ind w:left="60" w:right="60"/>
              <w:rPr>
                <w:rFonts w:ascii="Times New Roman" w:hAnsi="Times New Roman" w:cs="Times New Roman"/>
                <w:color w:val="000000"/>
                <w:sz w:val="24"/>
                <w:szCs w:val="24"/>
              </w:rPr>
            </w:pPr>
            <w:r w:rsidRPr="00AB6A1B">
              <w:rPr>
                <w:rFonts w:ascii="Times New Roman" w:hAnsi="Times New Roman" w:cs="Times New Roman"/>
                <w:color w:val="000000"/>
                <w:sz w:val="24"/>
                <w:szCs w:val="24"/>
              </w:rPr>
              <w:t>b. Calculated from data.</w:t>
            </w:r>
          </w:p>
        </w:tc>
      </w:tr>
      <w:tr w:rsidR="00212602" w:rsidRPr="00880450" w14:paraId="3B71A4F2" w14:textId="77777777" w:rsidTr="00AB6A1B">
        <w:trPr>
          <w:cantSplit/>
        </w:trPr>
        <w:tc>
          <w:tcPr>
            <w:tcW w:w="6662" w:type="dxa"/>
            <w:gridSpan w:val="3"/>
            <w:tcBorders>
              <w:top w:val="nil"/>
              <w:left w:val="nil"/>
              <w:bottom w:val="nil"/>
              <w:right w:val="nil"/>
            </w:tcBorders>
            <w:shd w:val="clear" w:color="auto" w:fill="FFFFFF"/>
          </w:tcPr>
          <w:p w14:paraId="7C3CDA81" w14:textId="77777777" w:rsidR="00212602" w:rsidRDefault="00212602" w:rsidP="00AB7A8E">
            <w:pPr>
              <w:autoSpaceDE w:val="0"/>
              <w:autoSpaceDN w:val="0"/>
              <w:adjustRightInd w:val="0"/>
              <w:spacing w:after="0" w:line="360" w:lineRule="auto"/>
              <w:ind w:left="60" w:right="60"/>
              <w:rPr>
                <w:rFonts w:ascii="Times New Roman" w:hAnsi="Times New Roman" w:cs="Times New Roman"/>
                <w:color w:val="000000"/>
                <w:sz w:val="24"/>
                <w:szCs w:val="24"/>
              </w:rPr>
            </w:pPr>
            <w:r w:rsidRPr="00AB6A1B">
              <w:rPr>
                <w:rFonts w:ascii="Times New Roman" w:hAnsi="Times New Roman" w:cs="Times New Roman"/>
                <w:color w:val="000000"/>
                <w:sz w:val="24"/>
                <w:szCs w:val="24"/>
              </w:rPr>
              <w:t>c. Lilliefors Significance Correction.</w:t>
            </w:r>
          </w:p>
          <w:p w14:paraId="1A835572" w14:textId="70F223DC" w:rsidR="00AB7A8E" w:rsidRPr="00AB7A8E" w:rsidRDefault="00AB7A8E" w:rsidP="00681ACB">
            <w:pPr>
              <w:keepNext/>
              <w:spacing w:line="480" w:lineRule="auto"/>
              <w:jc w:val="both"/>
              <w:rPr>
                <w:rFonts w:ascii="Times New Roman" w:hAnsi="Times New Roman" w:cs="Times New Roman"/>
                <w:sz w:val="24"/>
                <w:szCs w:val="24"/>
              </w:rPr>
            </w:pPr>
            <w:r w:rsidRPr="00AB7A8E">
              <w:rPr>
                <w:rFonts w:ascii="Times New Roman" w:hAnsi="Times New Roman" w:cs="Times New Roman"/>
                <w:sz w:val="24"/>
                <w:szCs w:val="24"/>
              </w:rPr>
              <w:t>Sumber : Output SPSS 22, data yang diolah (2024)</w:t>
            </w:r>
          </w:p>
        </w:tc>
      </w:tr>
    </w:tbl>
    <w:p w14:paraId="709D13CB" w14:textId="4F4C3475" w:rsidR="009A5D9A" w:rsidRDefault="00212602" w:rsidP="00AB7A8E">
      <w:pPr>
        <w:pStyle w:val="ListParagraph"/>
        <w:spacing w:line="480" w:lineRule="auto"/>
        <w:ind w:left="1571" w:firstLine="589"/>
        <w:jc w:val="both"/>
        <w:rPr>
          <w:rFonts w:ascii="Times New Roman" w:hAnsi="Times New Roman" w:cs="Times New Roman"/>
          <w:sz w:val="24"/>
          <w:szCs w:val="24"/>
        </w:rPr>
      </w:pPr>
      <w:r>
        <w:rPr>
          <w:rFonts w:ascii="Times New Roman" w:hAnsi="Times New Roman" w:cs="Times New Roman"/>
          <w:sz w:val="24"/>
          <w:szCs w:val="24"/>
        </w:rPr>
        <w:t>Berdasarkan data output SPSS 22, uji normalitas seperti tampak pada tabel memuat nilai signifikansi yaitu sebesar 0.060. Sementara nilai signifikansi ini lebih tinggi nilainya dari level signifikansi 0,05. Fakta ini telah membuktikan bahwa nilai residua</w:t>
      </w:r>
      <w:r w:rsidR="00D23E3A">
        <w:rPr>
          <w:rFonts w:ascii="Times New Roman" w:hAnsi="Times New Roman" w:cs="Times New Roman"/>
          <w:sz w:val="24"/>
          <w:szCs w:val="24"/>
        </w:rPr>
        <w:t>l</w:t>
      </w:r>
      <w:r>
        <w:rPr>
          <w:rFonts w:ascii="Times New Roman" w:hAnsi="Times New Roman" w:cs="Times New Roman"/>
          <w:sz w:val="24"/>
          <w:szCs w:val="24"/>
        </w:rPr>
        <w:t xml:space="preserve"> </w:t>
      </w:r>
      <w:r w:rsidR="00D23E3A">
        <w:rPr>
          <w:rFonts w:ascii="Times New Roman" w:hAnsi="Times New Roman" w:cs="Times New Roman"/>
          <w:sz w:val="24"/>
          <w:szCs w:val="24"/>
        </w:rPr>
        <w:t>a</w:t>
      </w:r>
      <w:r>
        <w:rPr>
          <w:rFonts w:ascii="Times New Roman" w:hAnsi="Times New Roman" w:cs="Times New Roman"/>
          <w:sz w:val="24"/>
          <w:szCs w:val="24"/>
        </w:rPr>
        <w:t>tau nilai kesalahan (selisih antara nilai data actual dengan nilai data hasil peramalan) yang dihasilkan berdistribusi normal.</w:t>
      </w:r>
    </w:p>
    <w:p w14:paraId="74275B5B" w14:textId="77777777" w:rsidR="00AB7A8E" w:rsidRDefault="00AB7A8E" w:rsidP="00212602">
      <w:pPr>
        <w:pStyle w:val="ListParagraph"/>
        <w:spacing w:line="480" w:lineRule="auto"/>
        <w:ind w:left="1571" w:hanging="11"/>
        <w:jc w:val="center"/>
        <w:rPr>
          <w:rFonts w:ascii="Times New Roman" w:hAnsi="Times New Roman" w:cs="Times New Roman"/>
          <w:sz w:val="24"/>
          <w:szCs w:val="24"/>
        </w:rPr>
      </w:pPr>
    </w:p>
    <w:p w14:paraId="7F1A40AE" w14:textId="77777777" w:rsidR="00AB7A8E" w:rsidRPr="00FA7319" w:rsidRDefault="00AB7A8E" w:rsidP="00FA7319">
      <w:pPr>
        <w:spacing w:line="480" w:lineRule="auto"/>
        <w:rPr>
          <w:rFonts w:ascii="Times New Roman" w:hAnsi="Times New Roman" w:cs="Times New Roman"/>
          <w:sz w:val="24"/>
          <w:szCs w:val="24"/>
        </w:rPr>
      </w:pPr>
    </w:p>
    <w:p w14:paraId="25860AC8" w14:textId="77777777" w:rsidR="00A0722E" w:rsidRDefault="00212602" w:rsidP="00A0722E">
      <w:pPr>
        <w:pStyle w:val="ListParagraph"/>
        <w:keepNext/>
        <w:spacing w:line="480" w:lineRule="auto"/>
        <w:ind w:left="1571" w:firstLine="130"/>
        <w:jc w:val="center"/>
      </w:pPr>
      <w:r>
        <w:rPr>
          <w:noProof/>
        </w:rPr>
        <w:lastRenderedPageBreak/>
        <w:drawing>
          <wp:inline distT="0" distB="0" distL="0" distR="0" wp14:anchorId="2B495BB8" wp14:editId="58A3CD29">
            <wp:extent cx="4794885" cy="2551814"/>
            <wp:effectExtent l="0" t="0" r="5715" b="1270"/>
            <wp:docPr id="177749899" name="Picture 177749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91043" cy="2602989"/>
                    </a:xfrm>
                    <a:prstGeom prst="rect">
                      <a:avLst/>
                    </a:prstGeom>
                    <a:noFill/>
                    <a:ln>
                      <a:noFill/>
                    </a:ln>
                  </pic:spPr>
                </pic:pic>
              </a:graphicData>
            </a:graphic>
          </wp:inline>
        </w:drawing>
      </w:r>
    </w:p>
    <w:p w14:paraId="36903716" w14:textId="7B177B84" w:rsidR="00A0722E" w:rsidRPr="00A0722E" w:rsidRDefault="00A0722E" w:rsidP="00A0722E">
      <w:pPr>
        <w:pStyle w:val="ListParagraph"/>
        <w:spacing w:line="276" w:lineRule="auto"/>
        <w:ind w:left="1571" w:firstLine="589"/>
        <w:jc w:val="both"/>
        <w:rPr>
          <w:rFonts w:ascii="Times New Roman" w:hAnsi="Times New Roman" w:cs="Times New Roman"/>
          <w:sz w:val="24"/>
          <w:szCs w:val="24"/>
        </w:rPr>
      </w:pPr>
      <w:r w:rsidRPr="00AB7A8E">
        <w:rPr>
          <w:rFonts w:ascii="Times New Roman" w:hAnsi="Times New Roman" w:cs="Times New Roman"/>
          <w:sz w:val="24"/>
          <w:szCs w:val="24"/>
        </w:rPr>
        <w:t>Sumber : Output SPSS 22, data yang diolah (2024)</w:t>
      </w:r>
    </w:p>
    <w:p w14:paraId="35AEE168" w14:textId="5DAB23F1" w:rsidR="001416FC" w:rsidRDefault="001416FC" w:rsidP="001416FC">
      <w:pPr>
        <w:pStyle w:val="Caption"/>
        <w:spacing w:after="0"/>
        <w:ind w:left="1276"/>
        <w:jc w:val="center"/>
        <w:rPr>
          <w:rFonts w:ascii="Times New Roman" w:hAnsi="Times New Roman" w:cs="Times New Roman"/>
          <w:i w:val="0"/>
          <w:iCs w:val="0"/>
          <w:color w:val="auto"/>
          <w:sz w:val="24"/>
          <w:szCs w:val="24"/>
        </w:rPr>
      </w:pPr>
      <w:bookmarkStart w:id="11" w:name="_Toc169268210"/>
      <w:r w:rsidRPr="001416FC">
        <w:rPr>
          <w:rFonts w:ascii="Times New Roman" w:hAnsi="Times New Roman" w:cs="Times New Roman"/>
          <w:i w:val="0"/>
          <w:iCs w:val="0"/>
          <w:color w:val="auto"/>
          <w:sz w:val="24"/>
          <w:szCs w:val="24"/>
        </w:rPr>
        <w:t xml:space="preserve">Grafik </w:t>
      </w:r>
      <w:r w:rsidR="008B45C8" w:rsidRPr="001416FC">
        <w:rPr>
          <w:rFonts w:ascii="Times New Roman" w:hAnsi="Times New Roman" w:cs="Times New Roman"/>
          <w:i w:val="0"/>
          <w:iCs w:val="0"/>
          <w:color w:val="auto"/>
          <w:sz w:val="24"/>
          <w:szCs w:val="24"/>
        </w:rPr>
        <w:fldChar w:fldCharType="begin"/>
      </w:r>
      <w:r w:rsidR="008B45C8" w:rsidRPr="001416FC">
        <w:rPr>
          <w:rFonts w:ascii="Times New Roman" w:hAnsi="Times New Roman" w:cs="Times New Roman"/>
          <w:i w:val="0"/>
          <w:iCs w:val="0"/>
          <w:color w:val="auto"/>
          <w:sz w:val="24"/>
          <w:szCs w:val="24"/>
        </w:rPr>
        <w:instrText xml:space="preserve"> SEQ grafik \* ARABIC </w:instrText>
      </w:r>
      <w:r w:rsidR="008B45C8" w:rsidRPr="001416FC">
        <w:rPr>
          <w:rFonts w:ascii="Times New Roman" w:hAnsi="Times New Roman" w:cs="Times New Roman"/>
          <w:i w:val="0"/>
          <w:iCs w:val="0"/>
          <w:color w:val="auto"/>
          <w:sz w:val="24"/>
          <w:szCs w:val="24"/>
        </w:rPr>
        <w:fldChar w:fldCharType="separate"/>
      </w:r>
      <w:r w:rsidR="00383519">
        <w:rPr>
          <w:rFonts w:ascii="Times New Roman" w:hAnsi="Times New Roman" w:cs="Times New Roman"/>
          <w:i w:val="0"/>
          <w:iCs w:val="0"/>
          <w:noProof/>
          <w:color w:val="auto"/>
          <w:sz w:val="24"/>
          <w:szCs w:val="24"/>
        </w:rPr>
        <w:t>8</w:t>
      </w:r>
      <w:bookmarkEnd w:id="11"/>
      <w:r w:rsidR="008B45C8" w:rsidRPr="001416FC">
        <w:rPr>
          <w:rFonts w:ascii="Times New Roman" w:hAnsi="Times New Roman" w:cs="Times New Roman"/>
          <w:i w:val="0"/>
          <w:iCs w:val="0"/>
          <w:color w:val="auto"/>
          <w:sz w:val="24"/>
          <w:szCs w:val="24"/>
        </w:rPr>
        <w:fldChar w:fldCharType="end"/>
      </w:r>
    </w:p>
    <w:p w14:paraId="228168B7" w14:textId="2CD2FFDF" w:rsidR="00212602" w:rsidRPr="001416FC" w:rsidRDefault="008B45C8" w:rsidP="001416FC">
      <w:pPr>
        <w:pStyle w:val="Caption"/>
        <w:spacing w:after="0" w:line="480" w:lineRule="auto"/>
        <w:ind w:left="1276"/>
        <w:jc w:val="center"/>
        <w:rPr>
          <w:rFonts w:ascii="Times New Roman" w:hAnsi="Times New Roman" w:cs="Times New Roman"/>
          <w:i w:val="0"/>
          <w:iCs w:val="0"/>
          <w:color w:val="auto"/>
          <w:sz w:val="24"/>
          <w:szCs w:val="24"/>
        </w:rPr>
      </w:pPr>
      <w:r w:rsidRPr="001416FC">
        <w:rPr>
          <w:rFonts w:ascii="Times New Roman" w:hAnsi="Times New Roman" w:cs="Times New Roman"/>
          <w:i w:val="0"/>
          <w:iCs w:val="0"/>
          <w:color w:val="auto"/>
          <w:sz w:val="24"/>
          <w:szCs w:val="24"/>
        </w:rPr>
        <w:t>Histogram Hasil Uji Normalitas</w:t>
      </w:r>
    </w:p>
    <w:p w14:paraId="4233A838" w14:textId="3E1BA887" w:rsidR="00FA7319" w:rsidRPr="00FA7319" w:rsidRDefault="00AB7A8E" w:rsidP="00FA7319">
      <w:pPr>
        <w:pStyle w:val="ListParagraph"/>
        <w:spacing w:line="480" w:lineRule="auto"/>
        <w:ind w:left="1571" w:firstLine="589"/>
        <w:jc w:val="both"/>
        <w:rPr>
          <w:rFonts w:ascii="Times New Roman" w:hAnsi="Times New Roman" w:cs="Times New Roman"/>
          <w:sz w:val="24"/>
          <w:szCs w:val="24"/>
        </w:rPr>
      </w:pPr>
      <w:r>
        <w:rPr>
          <w:rFonts w:ascii="Times New Roman" w:hAnsi="Times New Roman" w:cs="Times New Roman"/>
          <w:sz w:val="24"/>
          <w:szCs w:val="24"/>
        </w:rPr>
        <w:t xml:space="preserve">Berdasarkan grafik histogram data residual, yang dapat dilihat pada gambar diatas, </w:t>
      </w:r>
      <w:r w:rsidR="00BB4C2C">
        <w:rPr>
          <w:rFonts w:ascii="Times New Roman" w:hAnsi="Times New Roman" w:cs="Times New Roman"/>
          <w:sz w:val="24"/>
          <w:szCs w:val="24"/>
        </w:rPr>
        <w:t>menunjukkan</w:t>
      </w:r>
      <w:r>
        <w:rPr>
          <w:rFonts w:ascii="Times New Roman" w:hAnsi="Times New Roman" w:cs="Times New Roman"/>
          <w:sz w:val="24"/>
          <w:szCs w:val="24"/>
        </w:rPr>
        <w:t xml:space="preserve"> bahwa data menunjukkan pola yang lonceng, yang </w:t>
      </w:r>
      <w:r w:rsidR="00BB4C2C">
        <w:rPr>
          <w:rFonts w:ascii="Times New Roman" w:hAnsi="Times New Roman" w:cs="Times New Roman"/>
          <w:sz w:val="24"/>
          <w:szCs w:val="24"/>
        </w:rPr>
        <w:t>menunjukkan</w:t>
      </w:r>
      <w:r>
        <w:rPr>
          <w:rFonts w:ascii="Times New Roman" w:hAnsi="Times New Roman" w:cs="Times New Roman"/>
          <w:sz w:val="24"/>
          <w:szCs w:val="24"/>
        </w:rPr>
        <w:t xml:space="preserve"> bahwa model regresi berdistribusi normal.</w:t>
      </w:r>
    </w:p>
    <w:p w14:paraId="2707037A" w14:textId="77777777" w:rsidR="00A0722E" w:rsidRDefault="00AB7A8E" w:rsidP="00A0722E">
      <w:pPr>
        <w:pStyle w:val="ListParagraph"/>
        <w:keepNext/>
        <w:spacing w:line="480" w:lineRule="auto"/>
        <w:ind w:left="1985" w:hanging="1145"/>
        <w:jc w:val="center"/>
      </w:pPr>
      <w:r>
        <w:rPr>
          <w:rFonts w:ascii="Times New Roman" w:hAnsi="Times New Roman" w:cs="Times New Roman"/>
          <w:noProof/>
          <w:sz w:val="24"/>
          <w:szCs w:val="24"/>
        </w:rPr>
        <w:drawing>
          <wp:inline distT="0" distB="0" distL="0" distR="0" wp14:anchorId="76471ADE" wp14:editId="03D66013">
            <wp:extent cx="4152935" cy="1951463"/>
            <wp:effectExtent l="0" t="0" r="0" b="0"/>
            <wp:docPr id="111699003" name="Picture 111699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9190" cy="1973198"/>
                    </a:xfrm>
                    <a:prstGeom prst="rect">
                      <a:avLst/>
                    </a:prstGeom>
                    <a:noFill/>
                    <a:ln>
                      <a:noFill/>
                    </a:ln>
                  </pic:spPr>
                </pic:pic>
              </a:graphicData>
            </a:graphic>
          </wp:inline>
        </w:drawing>
      </w:r>
    </w:p>
    <w:p w14:paraId="27C632C0" w14:textId="7E9DA2FA" w:rsidR="00A0722E" w:rsidRPr="00A0722E" w:rsidRDefault="00A0722E" w:rsidP="00A0722E">
      <w:pPr>
        <w:spacing w:after="0" w:line="276" w:lineRule="auto"/>
        <w:ind w:left="1560" w:firstLine="600"/>
        <w:jc w:val="center"/>
        <w:rPr>
          <w:rFonts w:ascii="Times New Roman" w:hAnsi="Times New Roman" w:cs="Times New Roman"/>
          <w:sz w:val="24"/>
          <w:szCs w:val="24"/>
        </w:rPr>
      </w:pPr>
      <w:r w:rsidRPr="00AB7A8E">
        <w:rPr>
          <w:rFonts w:ascii="Times New Roman" w:hAnsi="Times New Roman" w:cs="Times New Roman"/>
          <w:sz w:val="24"/>
          <w:szCs w:val="24"/>
        </w:rPr>
        <w:t>Sumber : Output SPSS 22, data yang diolah (2024)</w:t>
      </w:r>
    </w:p>
    <w:p w14:paraId="4172314D" w14:textId="1FDAC60B" w:rsidR="001416FC" w:rsidRDefault="001416FC" w:rsidP="001416FC">
      <w:pPr>
        <w:pStyle w:val="Caption"/>
        <w:spacing w:after="0"/>
        <w:ind w:left="1560"/>
        <w:jc w:val="center"/>
        <w:rPr>
          <w:rFonts w:ascii="Times New Roman" w:hAnsi="Times New Roman" w:cs="Times New Roman"/>
          <w:i w:val="0"/>
          <w:iCs w:val="0"/>
          <w:color w:val="auto"/>
          <w:sz w:val="24"/>
          <w:szCs w:val="24"/>
        </w:rPr>
      </w:pPr>
      <w:bookmarkStart w:id="12" w:name="_Toc169268211"/>
      <w:r w:rsidRPr="001416FC">
        <w:rPr>
          <w:rFonts w:ascii="Times New Roman" w:hAnsi="Times New Roman" w:cs="Times New Roman"/>
          <w:i w:val="0"/>
          <w:iCs w:val="0"/>
          <w:color w:val="auto"/>
          <w:sz w:val="24"/>
          <w:szCs w:val="24"/>
        </w:rPr>
        <w:t xml:space="preserve">Grafik </w:t>
      </w:r>
      <w:r w:rsidRPr="001416FC">
        <w:rPr>
          <w:rFonts w:ascii="Times New Roman" w:hAnsi="Times New Roman" w:cs="Times New Roman"/>
          <w:i w:val="0"/>
          <w:iCs w:val="0"/>
          <w:color w:val="auto"/>
          <w:sz w:val="24"/>
          <w:szCs w:val="24"/>
        </w:rPr>
        <w:fldChar w:fldCharType="begin"/>
      </w:r>
      <w:r w:rsidRPr="001416FC">
        <w:rPr>
          <w:rFonts w:ascii="Times New Roman" w:hAnsi="Times New Roman" w:cs="Times New Roman"/>
          <w:i w:val="0"/>
          <w:iCs w:val="0"/>
          <w:color w:val="auto"/>
          <w:sz w:val="24"/>
          <w:szCs w:val="24"/>
        </w:rPr>
        <w:instrText xml:space="preserve"> SEQ grafik \* ARABIC </w:instrText>
      </w:r>
      <w:r w:rsidRPr="001416FC">
        <w:rPr>
          <w:rFonts w:ascii="Times New Roman" w:hAnsi="Times New Roman" w:cs="Times New Roman"/>
          <w:i w:val="0"/>
          <w:iCs w:val="0"/>
          <w:color w:val="auto"/>
          <w:sz w:val="24"/>
          <w:szCs w:val="24"/>
        </w:rPr>
        <w:fldChar w:fldCharType="separate"/>
      </w:r>
      <w:r w:rsidR="00383519">
        <w:rPr>
          <w:rFonts w:ascii="Times New Roman" w:hAnsi="Times New Roman" w:cs="Times New Roman"/>
          <w:i w:val="0"/>
          <w:iCs w:val="0"/>
          <w:noProof/>
          <w:color w:val="auto"/>
          <w:sz w:val="24"/>
          <w:szCs w:val="24"/>
        </w:rPr>
        <w:t>9</w:t>
      </w:r>
      <w:bookmarkEnd w:id="12"/>
      <w:r w:rsidRPr="001416FC">
        <w:rPr>
          <w:rFonts w:ascii="Times New Roman" w:hAnsi="Times New Roman" w:cs="Times New Roman"/>
          <w:i w:val="0"/>
          <w:iCs w:val="0"/>
          <w:color w:val="auto"/>
          <w:sz w:val="24"/>
          <w:szCs w:val="24"/>
        </w:rPr>
        <w:fldChar w:fldCharType="end"/>
      </w:r>
    </w:p>
    <w:p w14:paraId="14BF9EC0" w14:textId="2583842B" w:rsidR="001416FC" w:rsidRPr="001416FC" w:rsidRDefault="001416FC" w:rsidP="001416FC">
      <w:pPr>
        <w:pStyle w:val="Caption"/>
        <w:spacing w:after="0"/>
        <w:ind w:left="1560"/>
        <w:jc w:val="center"/>
        <w:rPr>
          <w:rFonts w:ascii="Times New Roman" w:hAnsi="Times New Roman" w:cs="Times New Roman"/>
          <w:i w:val="0"/>
          <w:iCs w:val="0"/>
          <w:color w:val="auto"/>
          <w:sz w:val="24"/>
          <w:szCs w:val="24"/>
        </w:rPr>
      </w:pPr>
      <w:r w:rsidRPr="001416FC">
        <w:rPr>
          <w:rFonts w:ascii="Times New Roman" w:hAnsi="Times New Roman" w:cs="Times New Roman"/>
          <w:i w:val="0"/>
          <w:iCs w:val="0"/>
          <w:color w:val="auto"/>
          <w:sz w:val="24"/>
          <w:szCs w:val="24"/>
        </w:rPr>
        <w:t>P-Plot Uji Normalitas</w:t>
      </w:r>
    </w:p>
    <w:p w14:paraId="0DE8F7F5" w14:textId="5DA001FD" w:rsidR="00E4602A" w:rsidRPr="00E4602A" w:rsidRDefault="00C03645" w:rsidP="00E4602A">
      <w:pPr>
        <w:spacing w:line="480" w:lineRule="auto"/>
        <w:ind w:left="1560" w:firstLine="600"/>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dari P-Plot diatas </w:t>
      </w:r>
      <w:r w:rsidR="00BB4C2C">
        <w:rPr>
          <w:rFonts w:ascii="Times New Roman" w:hAnsi="Times New Roman" w:cs="Times New Roman"/>
          <w:sz w:val="24"/>
          <w:szCs w:val="24"/>
        </w:rPr>
        <w:t>menunjukkan</w:t>
      </w:r>
      <w:r>
        <w:rPr>
          <w:rFonts w:ascii="Times New Roman" w:hAnsi="Times New Roman" w:cs="Times New Roman"/>
          <w:sz w:val="24"/>
          <w:szCs w:val="24"/>
        </w:rPr>
        <w:t xml:space="preserve"> bahwa data menyebar disekitar dan mengikuti garis diagonal, hal ini </w:t>
      </w:r>
      <w:r w:rsidR="00BB4C2C">
        <w:rPr>
          <w:rFonts w:ascii="Times New Roman" w:hAnsi="Times New Roman" w:cs="Times New Roman"/>
          <w:sz w:val="24"/>
          <w:szCs w:val="24"/>
        </w:rPr>
        <w:t>menunjukkan</w:t>
      </w:r>
      <w:r>
        <w:rPr>
          <w:rFonts w:ascii="Times New Roman" w:hAnsi="Times New Roman" w:cs="Times New Roman"/>
          <w:sz w:val="24"/>
          <w:szCs w:val="24"/>
        </w:rPr>
        <w:t xml:space="preserve"> bahwa data residual berdistribusi normal. Oleh karena itu, model regresi yang menganlisis pengaruh variabel independen terhadap variabel dependen memenuhi persyaratan normalitas data.</w:t>
      </w:r>
    </w:p>
    <w:p w14:paraId="20D5B8B3" w14:textId="4F83C9FE" w:rsidR="004579EF" w:rsidRPr="00C46A01" w:rsidRDefault="004579EF" w:rsidP="00095897">
      <w:pPr>
        <w:pStyle w:val="ListParagraph"/>
        <w:numPr>
          <w:ilvl w:val="0"/>
          <w:numId w:val="87"/>
        </w:numPr>
        <w:spacing w:line="480" w:lineRule="auto"/>
        <w:jc w:val="both"/>
        <w:rPr>
          <w:rFonts w:ascii="Times New Roman" w:hAnsi="Times New Roman" w:cs="Times New Roman"/>
          <w:sz w:val="24"/>
          <w:szCs w:val="24"/>
        </w:rPr>
      </w:pPr>
      <w:r w:rsidRPr="00C46A01">
        <w:rPr>
          <w:rFonts w:ascii="Times New Roman" w:hAnsi="Times New Roman" w:cs="Times New Roman"/>
          <w:sz w:val="24"/>
          <w:szCs w:val="24"/>
        </w:rPr>
        <w:t>Uji Multikolinearitas</w:t>
      </w:r>
    </w:p>
    <w:p w14:paraId="3CCC4C6E" w14:textId="2A37FBF1" w:rsidR="00B07656" w:rsidRPr="00AA386B" w:rsidRDefault="003D296D" w:rsidP="00FA7319">
      <w:pPr>
        <w:spacing w:line="480" w:lineRule="auto"/>
        <w:ind w:left="1560" w:firstLine="884"/>
        <w:jc w:val="both"/>
        <w:rPr>
          <w:rFonts w:ascii="Times New Roman" w:hAnsi="Times New Roman" w:cs="Times New Roman"/>
          <w:sz w:val="24"/>
          <w:szCs w:val="24"/>
        </w:rPr>
      </w:pPr>
      <w:r w:rsidRPr="00C46A01">
        <w:rPr>
          <w:rFonts w:ascii="Times New Roman" w:hAnsi="Times New Roman" w:cs="Times New Roman"/>
          <w:sz w:val="24"/>
          <w:szCs w:val="24"/>
        </w:rPr>
        <w:t xml:space="preserve">Uji ini bertujuan untuk mendeteksi ada atau tidaknya multikolinearitas di dalam model regresi yaitu dengan melihat R2 yang </w:t>
      </w:r>
      <w:r w:rsidR="00BB4C2C">
        <w:rPr>
          <w:rFonts w:ascii="Times New Roman" w:hAnsi="Times New Roman" w:cs="Times New Roman"/>
          <w:sz w:val="24"/>
          <w:szCs w:val="24"/>
        </w:rPr>
        <w:t>menunjukkan</w:t>
      </w:r>
      <w:r w:rsidRPr="00C46A01">
        <w:rPr>
          <w:rFonts w:ascii="Times New Roman" w:hAnsi="Times New Roman" w:cs="Times New Roman"/>
          <w:sz w:val="24"/>
          <w:szCs w:val="24"/>
        </w:rPr>
        <w:t xml:space="preserve"> nilai tinggi, tetapi secara individual banyak variabel independen yang tidak signifikan mempengaruhi variabel dependennya. Dapat juga dilihat dari matrik korelasi variabel-variabel independent dan juga </w:t>
      </w:r>
      <w:r w:rsidR="009A5D9A" w:rsidRPr="00C46A01">
        <w:rPr>
          <w:rFonts w:ascii="Times New Roman" w:hAnsi="Times New Roman" w:cs="Times New Roman"/>
          <w:sz w:val="24"/>
          <w:szCs w:val="24"/>
        </w:rPr>
        <w:t>dapat</w:t>
      </w:r>
      <w:r w:rsidRPr="00C46A01">
        <w:rPr>
          <w:rFonts w:ascii="Times New Roman" w:hAnsi="Times New Roman" w:cs="Times New Roman"/>
          <w:sz w:val="24"/>
          <w:szCs w:val="24"/>
        </w:rPr>
        <w:t xml:space="preserve"> </w:t>
      </w:r>
      <w:r w:rsidR="006315FA" w:rsidRPr="00C46A01">
        <w:rPr>
          <w:rFonts w:ascii="Times New Roman" w:hAnsi="Times New Roman" w:cs="Times New Roman"/>
          <w:sz w:val="24"/>
          <w:szCs w:val="24"/>
        </w:rPr>
        <w:t xml:space="preserve">dilihat dari </w:t>
      </w:r>
      <w:r w:rsidR="006315FA" w:rsidRPr="00C46A01">
        <w:rPr>
          <w:rFonts w:ascii="Times New Roman" w:hAnsi="Times New Roman" w:cs="Times New Roman"/>
          <w:i/>
          <w:iCs/>
          <w:sz w:val="24"/>
          <w:szCs w:val="24"/>
        </w:rPr>
        <w:t xml:space="preserve">nilai tolerance </w:t>
      </w:r>
      <w:r w:rsidR="006315FA" w:rsidRPr="00C46A01">
        <w:rPr>
          <w:rFonts w:ascii="Times New Roman" w:hAnsi="Times New Roman" w:cs="Times New Roman"/>
          <w:sz w:val="24"/>
          <w:szCs w:val="24"/>
        </w:rPr>
        <w:t xml:space="preserve">dan </w:t>
      </w:r>
      <w:r w:rsidR="006315FA" w:rsidRPr="00C46A01">
        <w:rPr>
          <w:rFonts w:ascii="Times New Roman" w:hAnsi="Times New Roman" w:cs="Times New Roman"/>
          <w:i/>
          <w:sz w:val="24"/>
          <w:szCs w:val="24"/>
        </w:rPr>
        <w:t>varian inflation factor</w:t>
      </w:r>
      <w:r w:rsidR="006315FA" w:rsidRPr="00C46A01">
        <w:rPr>
          <w:rFonts w:ascii="Times New Roman" w:hAnsi="Times New Roman" w:cs="Times New Roman"/>
          <w:sz w:val="24"/>
          <w:szCs w:val="24"/>
        </w:rPr>
        <w:t xml:space="preserve"> (VIF), untuk menentukan apakah model regresi peneliti multikolinearitas. </w:t>
      </w:r>
      <w:r w:rsidR="006315FA" w:rsidRPr="00C46A01">
        <w:rPr>
          <w:rFonts w:ascii="Times New Roman" w:hAnsi="Times New Roman" w:cs="Times New Roman"/>
          <w:i/>
          <w:iCs/>
          <w:sz w:val="24"/>
          <w:szCs w:val="24"/>
        </w:rPr>
        <w:t>Tolerance</w:t>
      </w:r>
      <w:r w:rsidR="006315FA" w:rsidRPr="00C46A01">
        <w:rPr>
          <w:rFonts w:ascii="Times New Roman" w:hAnsi="Times New Roman" w:cs="Times New Roman"/>
          <w:sz w:val="24"/>
          <w:szCs w:val="24"/>
        </w:rPr>
        <w:t xml:space="preserve"> </w:t>
      </w:r>
      <w:r w:rsidR="009A5D9A" w:rsidRPr="00C46A01">
        <w:rPr>
          <w:rFonts w:ascii="Times New Roman" w:hAnsi="Times New Roman" w:cs="Times New Roman"/>
          <w:sz w:val="24"/>
          <w:szCs w:val="24"/>
        </w:rPr>
        <w:t xml:space="preserve">bertujuan untuk </w:t>
      </w:r>
      <w:r w:rsidR="006315FA" w:rsidRPr="00C46A01">
        <w:rPr>
          <w:rFonts w:ascii="Times New Roman" w:hAnsi="Times New Roman" w:cs="Times New Roman"/>
          <w:sz w:val="24"/>
          <w:szCs w:val="24"/>
        </w:rPr>
        <w:t xml:space="preserve">mengukur variabilitas variabel independen terpilih yang tidak dapat dijelaskan oleh variabel independen lainnya. Oleh karena itu, nilai toleransi yang rendah sama dengan nilai VIF yang tinggi (karena VIF = 1/nilai toleransi). Ambang batas yang umum digunakan untuk menunjukkan adanya multikolinearitas adalah nilai toleransi ≤ 0,10 atau nilai VIF ≥ 10 </w:t>
      </w:r>
      <w:r w:rsidR="006315FA" w:rsidRPr="00C46A01">
        <w:rPr>
          <w:rFonts w:ascii="Times New Roman" w:hAnsi="Times New Roman" w:cs="Times New Roman"/>
          <w:sz w:val="24"/>
          <w:szCs w:val="24"/>
        </w:rPr>
        <w:fldChar w:fldCharType="begin" w:fldLock="1"/>
      </w:r>
      <w:r w:rsidR="008908E5">
        <w:rPr>
          <w:rFonts w:ascii="Times New Roman" w:hAnsi="Times New Roman" w:cs="Times New Roman"/>
          <w:sz w:val="24"/>
          <w:szCs w:val="24"/>
        </w:rPr>
        <w:instrText>ADDIN CSL_CITATION {"citationItems":[{"id":"ITEM-1","itemData":{"ISBN":"979.704.015.1","author":[{"dropping-particle":"","family":"Imam Ghozali","given":"","non-dropping-particle":"","parse-names":false,"suffix":""}],"edition":"edisi 8","id":"ITEM-1","issued":{"date-parts":[["2016"]]},"publisher":"BADAN PENERBIT UNIVERSITAS DIPONEGORO","publisher-place":"Semarang","title":"Aplikasi Analisis Multivariete dengan program IBM SPSS 23","type":"book"},"uris":["http://www.mendeley.com/documents/?uuid=03bb8d45-457a-4b75-90ca-8d832573c544"]}],"mendeley":{"formattedCitation":"(Imam Ghozali, 2016)","manualFormatting":"(Ghozali, 2016: 103-104)","plainTextFormattedCitation":"(Imam Ghozali, 2016)","previouslyFormattedCitation":"(Imam Ghozali, 2016)"},"properties":{"noteIndex":0},"schema":"https://github.com/citation-style-language/schema/raw/master/csl-citation.json"}</w:instrText>
      </w:r>
      <w:r w:rsidR="006315FA" w:rsidRPr="00C46A01">
        <w:rPr>
          <w:rFonts w:ascii="Times New Roman" w:hAnsi="Times New Roman" w:cs="Times New Roman"/>
          <w:sz w:val="24"/>
          <w:szCs w:val="24"/>
        </w:rPr>
        <w:fldChar w:fldCharType="separate"/>
      </w:r>
      <w:r w:rsidR="006315FA" w:rsidRPr="00C46A01">
        <w:rPr>
          <w:rFonts w:ascii="Times New Roman" w:hAnsi="Times New Roman" w:cs="Times New Roman"/>
          <w:noProof/>
          <w:sz w:val="24"/>
          <w:szCs w:val="24"/>
        </w:rPr>
        <w:t>(Ghozali, 2016: 103-104)</w:t>
      </w:r>
      <w:r w:rsidR="006315FA" w:rsidRPr="00C46A01">
        <w:rPr>
          <w:rFonts w:ascii="Times New Roman" w:hAnsi="Times New Roman" w:cs="Times New Roman"/>
          <w:sz w:val="24"/>
          <w:szCs w:val="24"/>
        </w:rPr>
        <w:fldChar w:fldCharType="end"/>
      </w:r>
    </w:p>
    <w:p w14:paraId="5C550EF2" w14:textId="01ED07A5" w:rsidR="00681ACB" w:rsidRPr="00681ACB" w:rsidRDefault="00681ACB" w:rsidP="00681ACB">
      <w:pPr>
        <w:pStyle w:val="Caption"/>
        <w:keepNext/>
        <w:spacing w:after="0" w:line="276" w:lineRule="auto"/>
        <w:ind w:left="1701"/>
        <w:jc w:val="center"/>
        <w:rPr>
          <w:rFonts w:ascii="Times New Roman" w:hAnsi="Times New Roman" w:cs="Times New Roman"/>
          <w:i w:val="0"/>
          <w:iCs w:val="0"/>
          <w:color w:val="auto"/>
          <w:sz w:val="24"/>
          <w:szCs w:val="24"/>
        </w:rPr>
      </w:pPr>
      <w:bookmarkStart w:id="13" w:name="_Toc167784725"/>
      <w:r w:rsidRPr="00681ACB">
        <w:rPr>
          <w:rFonts w:ascii="Times New Roman" w:hAnsi="Times New Roman" w:cs="Times New Roman"/>
          <w:i w:val="0"/>
          <w:iCs w:val="0"/>
          <w:color w:val="auto"/>
          <w:sz w:val="24"/>
          <w:szCs w:val="24"/>
        </w:rPr>
        <w:lastRenderedPageBreak/>
        <w:t xml:space="preserve">Tabel </w:t>
      </w:r>
      <w:r w:rsidRPr="00681ACB">
        <w:rPr>
          <w:rFonts w:ascii="Times New Roman" w:hAnsi="Times New Roman" w:cs="Times New Roman"/>
          <w:i w:val="0"/>
          <w:iCs w:val="0"/>
          <w:color w:val="auto"/>
          <w:sz w:val="24"/>
          <w:szCs w:val="24"/>
        </w:rPr>
        <w:fldChar w:fldCharType="begin"/>
      </w:r>
      <w:r w:rsidRPr="00681ACB">
        <w:rPr>
          <w:rFonts w:ascii="Times New Roman" w:hAnsi="Times New Roman" w:cs="Times New Roman"/>
          <w:i w:val="0"/>
          <w:iCs w:val="0"/>
          <w:color w:val="auto"/>
          <w:sz w:val="24"/>
          <w:szCs w:val="24"/>
        </w:rPr>
        <w:instrText xml:space="preserve"> SEQ Tabel \* ARABIC </w:instrText>
      </w:r>
      <w:r w:rsidRPr="00681ACB">
        <w:rPr>
          <w:rFonts w:ascii="Times New Roman" w:hAnsi="Times New Roman" w:cs="Times New Roman"/>
          <w:i w:val="0"/>
          <w:iCs w:val="0"/>
          <w:color w:val="auto"/>
          <w:sz w:val="24"/>
          <w:szCs w:val="24"/>
        </w:rPr>
        <w:fldChar w:fldCharType="separate"/>
      </w:r>
      <w:r w:rsidR="00383519">
        <w:rPr>
          <w:rFonts w:ascii="Times New Roman" w:hAnsi="Times New Roman" w:cs="Times New Roman"/>
          <w:i w:val="0"/>
          <w:iCs w:val="0"/>
          <w:noProof/>
          <w:color w:val="auto"/>
          <w:sz w:val="24"/>
          <w:szCs w:val="24"/>
        </w:rPr>
        <w:t>8</w:t>
      </w:r>
      <w:bookmarkEnd w:id="13"/>
      <w:r w:rsidRPr="00681ACB">
        <w:rPr>
          <w:rFonts w:ascii="Times New Roman" w:hAnsi="Times New Roman" w:cs="Times New Roman"/>
          <w:i w:val="0"/>
          <w:iCs w:val="0"/>
          <w:color w:val="auto"/>
          <w:sz w:val="24"/>
          <w:szCs w:val="24"/>
        </w:rPr>
        <w:fldChar w:fldCharType="end"/>
      </w:r>
    </w:p>
    <w:p w14:paraId="138EB1AE" w14:textId="1D0B7A07" w:rsidR="00681ACB" w:rsidRPr="00681ACB" w:rsidRDefault="00681ACB" w:rsidP="00681ACB">
      <w:pPr>
        <w:pStyle w:val="Caption"/>
        <w:keepNext/>
        <w:spacing w:after="0" w:line="276" w:lineRule="auto"/>
        <w:ind w:left="1701"/>
        <w:jc w:val="center"/>
        <w:rPr>
          <w:rFonts w:ascii="Times New Roman" w:hAnsi="Times New Roman" w:cs="Times New Roman"/>
          <w:i w:val="0"/>
          <w:iCs w:val="0"/>
          <w:color w:val="auto"/>
          <w:sz w:val="24"/>
          <w:szCs w:val="24"/>
        </w:rPr>
      </w:pPr>
      <w:r w:rsidRPr="00681ACB">
        <w:rPr>
          <w:rFonts w:ascii="Times New Roman" w:hAnsi="Times New Roman" w:cs="Times New Roman"/>
          <w:i w:val="0"/>
          <w:iCs w:val="0"/>
          <w:color w:val="auto"/>
          <w:sz w:val="24"/>
          <w:szCs w:val="24"/>
        </w:rPr>
        <w:t>Uji Multikoleniaritas</w:t>
      </w:r>
    </w:p>
    <w:tbl>
      <w:tblPr>
        <w:tblW w:w="9729" w:type="dxa"/>
        <w:tblInd w:w="1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80"/>
        <w:gridCol w:w="972"/>
        <w:gridCol w:w="1542"/>
        <w:gridCol w:w="170"/>
        <w:gridCol w:w="1531"/>
        <w:gridCol w:w="3634"/>
      </w:tblGrid>
      <w:tr w:rsidR="00E4602A" w:rsidRPr="00DE1827" w14:paraId="048EC587" w14:textId="77777777" w:rsidTr="00DE1827">
        <w:trPr>
          <w:gridAfter w:val="2"/>
          <w:wAfter w:w="5165" w:type="dxa"/>
          <w:cantSplit/>
          <w:trHeight w:val="321"/>
        </w:trPr>
        <w:tc>
          <w:tcPr>
            <w:tcW w:w="4564" w:type="dxa"/>
            <w:gridSpan w:val="4"/>
            <w:tcBorders>
              <w:top w:val="nil"/>
              <w:left w:val="nil"/>
              <w:bottom w:val="nil"/>
              <w:right w:val="nil"/>
            </w:tcBorders>
            <w:shd w:val="clear" w:color="auto" w:fill="FFFFFF"/>
            <w:vAlign w:val="center"/>
          </w:tcPr>
          <w:p w14:paraId="0257FCED" w14:textId="4D89D107" w:rsidR="00E4602A" w:rsidRPr="00DE1827" w:rsidRDefault="00DE1827"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E1827">
              <w:rPr>
                <w:rFonts w:ascii="Times New Roman" w:hAnsi="Times New Roman" w:cs="Times New Roman"/>
                <w:b/>
                <w:bCs/>
                <w:color w:val="000000"/>
                <w:sz w:val="24"/>
                <w:szCs w:val="24"/>
              </w:rPr>
              <w:t xml:space="preserve">                          </w:t>
            </w:r>
            <w:r w:rsidR="00E4602A" w:rsidRPr="00DE1827">
              <w:rPr>
                <w:rFonts w:ascii="Times New Roman" w:hAnsi="Times New Roman" w:cs="Times New Roman"/>
                <w:b/>
                <w:bCs/>
                <w:color w:val="000000"/>
                <w:sz w:val="24"/>
                <w:szCs w:val="24"/>
              </w:rPr>
              <w:t>Coefficients</w:t>
            </w:r>
            <w:r w:rsidR="00E4602A" w:rsidRPr="00DE1827">
              <w:rPr>
                <w:rFonts w:ascii="Times New Roman" w:hAnsi="Times New Roman" w:cs="Times New Roman"/>
                <w:b/>
                <w:bCs/>
                <w:color w:val="000000"/>
                <w:sz w:val="24"/>
                <w:szCs w:val="24"/>
                <w:vertAlign w:val="superscript"/>
              </w:rPr>
              <w:t>a</w:t>
            </w:r>
          </w:p>
        </w:tc>
      </w:tr>
      <w:tr w:rsidR="00E4602A" w:rsidRPr="00DE1827" w14:paraId="651D272D" w14:textId="77777777" w:rsidTr="00DE1827">
        <w:trPr>
          <w:gridAfter w:val="1"/>
          <w:wAfter w:w="3634" w:type="dxa"/>
          <w:cantSplit/>
          <w:trHeight w:val="321"/>
        </w:trPr>
        <w:tc>
          <w:tcPr>
            <w:tcW w:w="2852" w:type="dxa"/>
            <w:gridSpan w:val="2"/>
            <w:vMerge w:val="restart"/>
            <w:tcBorders>
              <w:top w:val="single" w:sz="16" w:space="0" w:color="000000"/>
              <w:left w:val="single" w:sz="16" w:space="0" w:color="000000"/>
              <w:bottom w:val="nil"/>
              <w:right w:val="nil"/>
            </w:tcBorders>
            <w:shd w:val="clear" w:color="auto" w:fill="FFFFFF"/>
            <w:vAlign w:val="bottom"/>
          </w:tcPr>
          <w:p w14:paraId="743C6CB6" w14:textId="77777777" w:rsidR="00E4602A" w:rsidRPr="00DE1827" w:rsidRDefault="00E4602A" w:rsidP="00DE1827">
            <w:pPr>
              <w:autoSpaceDE w:val="0"/>
              <w:autoSpaceDN w:val="0"/>
              <w:adjustRightInd w:val="0"/>
              <w:spacing w:after="0" w:line="320" w:lineRule="atLeast"/>
              <w:ind w:left="49" w:right="60"/>
              <w:rPr>
                <w:rFonts w:ascii="Times New Roman" w:hAnsi="Times New Roman" w:cs="Times New Roman"/>
                <w:color w:val="000000"/>
                <w:sz w:val="24"/>
                <w:szCs w:val="24"/>
              </w:rPr>
            </w:pPr>
            <w:r w:rsidRPr="00DE1827">
              <w:rPr>
                <w:rFonts w:ascii="Times New Roman" w:hAnsi="Times New Roman" w:cs="Times New Roman"/>
                <w:color w:val="000000"/>
                <w:sz w:val="24"/>
                <w:szCs w:val="24"/>
              </w:rPr>
              <w:t>Model</w:t>
            </w:r>
          </w:p>
        </w:tc>
        <w:tc>
          <w:tcPr>
            <w:tcW w:w="3243" w:type="dxa"/>
            <w:gridSpan w:val="3"/>
            <w:tcBorders>
              <w:top w:val="single" w:sz="16" w:space="0" w:color="000000"/>
              <w:right w:val="single" w:sz="16" w:space="0" w:color="000000"/>
            </w:tcBorders>
            <w:shd w:val="clear" w:color="auto" w:fill="FFFFFF"/>
            <w:vAlign w:val="bottom"/>
          </w:tcPr>
          <w:p w14:paraId="4D237A71" w14:textId="77777777" w:rsidR="00E4602A" w:rsidRPr="00DE1827" w:rsidRDefault="00E4602A"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E1827">
              <w:rPr>
                <w:rFonts w:ascii="Times New Roman" w:hAnsi="Times New Roman" w:cs="Times New Roman"/>
                <w:color w:val="000000"/>
                <w:sz w:val="24"/>
                <w:szCs w:val="24"/>
              </w:rPr>
              <w:t>Collinearity Statistics</w:t>
            </w:r>
          </w:p>
        </w:tc>
      </w:tr>
      <w:tr w:rsidR="00E4602A" w:rsidRPr="00DE1827" w14:paraId="5072F75A" w14:textId="77777777" w:rsidTr="00DE1827">
        <w:trPr>
          <w:gridAfter w:val="1"/>
          <w:wAfter w:w="3634" w:type="dxa"/>
          <w:cantSplit/>
          <w:trHeight w:val="145"/>
        </w:trPr>
        <w:tc>
          <w:tcPr>
            <w:tcW w:w="2852" w:type="dxa"/>
            <w:gridSpan w:val="2"/>
            <w:vMerge/>
            <w:tcBorders>
              <w:top w:val="single" w:sz="16" w:space="0" w:color="000000"/>
              <w:left w:val="single" w:sz="16" w:space="0" w:color="000000"/>
              <w:bottom w:val="nil"/>
              <w:right w:val="nil"/>
            </w:tcBorders>
            <w:shd w:val="clear" w:color="auto" w:fill="FFFFFF"/>
            <w:vAlign w:val="bottom"/>
          </w:tcPr>
          <w:p w14:paraId="2A74D94B" w14:textId="77777777" w:rsidR="00E4602A" w:rsidRPr="00DE1827" w:rsidRDefault="00E4602A" w:rsidP="008908E5">
            <w:pPr>
              <w:autoSpaceDE w:val="0"/>
              <w:autoSpaceDN w:val="0"/>
              <w:adjustRightInd w:val="0"/>
              <w:spacing w:after="0" w:line="240" w:lineRule="auto"/>
              <w:rPr>
                <w:rFonts w:ascii="Times New Roman" w:hAnsi="Times New Roman" w:cs="Times New Roman"/>
                <w:color w:val="000000"/>
                <w:sz w:val="24"/>
                <w:szCs w:val="24"/>
              </w:rPr>
            </w:pPr>
          </w:p>
        </w:tc>
        <w:tc>
          <w:tcPr>
            <w:tcW w:w="1542" w:type="dxa"/>
            <w:tcBorders>
              <w:bottom w:val="single" w:sz="16" w:space="0" w:color="000000"/>
            </w:tcBorders>
            <w:shd w:val="clear" w:color="auto" w:fill="FFFFFF"/>
            <w:vAlign w:val="bottom"/>
          </w:tcPr>
          <w:p w14:paraId="5FC0D3F5" w14:textId="77777777" w:rsidR="00E4602A" w:rsidRPr="00DE1827" w:rsidRDefault="00E4602A"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E1827">
              <w:rPr>
                <w:rFonts w:ascii="Times New Roman" w:hAnsi="Times New Roman" w:cs="Times New Roman"/>
                <w:color w:val="000000"/>
                <w:sz w:val="24"/>
                <w:szCs w:val="24"/>
              </w:rPr>
              <w:t>Tolerance</w:t>
            </w:r>
          </w:p>
        </w:tc>
        <w:tc>
          <w:tcPr>
            <w:tcW w:w="1701" w:type="dxa"/>
            <w:gridSpan w:val="2"/>
            <w:tcBorders>
              <w:bottom w:val="single" w:sz="16" w:space="0" w:color="000000"/>
              <w:right w:val="single" w:sz="16" w:space="0" w:color="000000"/>
            </w:tcBorders>
            <w:shd w:val="clear" w:color="auto" w:fill="FFFFFF"/>
            <w:vAlign w:val="bottom"/>
          </w:tcPr>
          <w:p w14:paraId="03904350" w14:textId="77777777" w:rsidR="00E4602A" w:rsidRPr="00DE1827" w:rsidRDefault="00E4602A"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E1827">
              <w:rPr>
                <w:rFonts w:ascii="Times New Roman" w:hAnsi="Times New Roman" w:cs="Times New Roman"/>
                <w:color w:val="000000"/>
                <w:sz w:val="24"/>
                <w:szCs w:val="24"/>
              </w:rPr>
              <w:t>VIF</w:t>
            </w:r>
          </w:p>
        </w:tc>
      </w:tr>
      <w:tr w:rsidR="00E4602A" w:rsidRPr="00DE1827" w14:paraId="64E6D3F8" w14:textId="77777777" w:rsidTr="00DE1827">
        <w:trPr>
          <w:gridAfter w:val="1"/>
          <w:wAfter w:w="3634" w:type="dxa"/>
          <w:cantSplit/>
          <w:trHeight w:val="321"/>
        </w:trPr>
        <w:tc>
          <w:tcPr>
            <w:tcW w:w="1880" w:type="dxa"/>
            <w:vMerge w:val="restart"/>
            <w:tcBorders>
              <w:top w:val="single" w:sz="16" w:space="0" w:color="000000"/>
              <w:left w:val="single" w:sz="16" w:space="0" w:color="000000"/>
              <w:bottom w:val="single" w:sz="16" w:space="0" w:color="000000"/>
              <w:right w:val="nil"/>
            </w:tcBorders>
            <w:shd w:val="clear" w:color="auto" w:fill="FFFFFF"/>
          </w:tcPr>
          <w:p w14:paraId="658826BD" w14:textId="77777777" w:rsidR="00E4602A" w:rsidRPr="00DE1827" w:rsidRDefault="00E4602A"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DE1827">
              <w:rPr>
                <w:rFonts w:ascii="Times New Roman" w:hAnsi="Times New Roman" w:cs="Times New Roman"/>
                <w:color w:val="000000"/>
                <w:sz w:val="24"/>
                <w:szCs w:val="24"/>
              </w:rPr>
              <w:t>1</w:t>
            </w:r>
          </w:p>
        </w:tc>
        <w:tc>
          <w:tcPr>
            <w:tcW w:w="972" w:type="dxa"/>
            <w:tcBorders>
              <w:top w:val="single" w:sz="16" w:space="0" w:color="000000"/>
              <w:left w:val="nil"/>
              <w:bottom w:val="nil"/>
              <w:right w:val="single" w:sz="16" w:space="0" w:color="000000"/>
            </w:tcBorders>
            <w:shd w:val="clear" w:color="auto" w:fill="FFFFFF"/>
          </w:tcPr>
          <w:p w14:paraId="334301D8" w14:textId="77777777" w:rsidR="00E4602A" w:rsidRPr="00DE1827" w:rsidRDefault="00E4602A" w:rsidP="00DE1827">
            <w:pPr>
              <w:autoSpaceDE w:val="0"/>
              <w:autoSpaceDN w:val="0"/>
              <w:adjustRightInd w:val="0"/>
              <w:spacing w:after="0" w:line="320" w:lineRule="atLeast"/>
              <w:ind w:right="60"/>
              <w:rPr>
                <w:rFonts w:ascii="Times New Roman" w:hAnsi="Times New Roman" w:cs="Times New Roman"/>
                <w:color w:val="000000"/>
                <w:sz w:val="24"/>
                <w:szCs w:val="24"/>
              </w:rPr>
            </w:pPr>
            <w:r w:rsidRPr="00DE1827">
              <w:rPr>
                <w:rFonts w:ascii="Times New Roman" w:hAnsi="Times New Roman" w:cs="Times New Roman"/>
                <w:color w:val="000000"/>
                <w:sz w:val="24"/>
                <w:szCs w:val="24"/>
              </w:rPr>
              <w:t>(Constant)</w:t>
            </w:r>
          </w:p>
        </w:tc>
        <w:tc>
          <w:tcPr>
            <w:tcW w:w="1542" w:type="dxa"/>
            <w:tcBorders>
              <w:top w:val="single" w:sz="16" w:space="0" w:color="000000"/>
              <w:bottom w:val="nil"/>
            </w:tcBorders>
            <w:shd w:val="clear" w:color="auto" w:fill="FFFFFF"/>
            <w:vAlign w:val="center"/>
          </w:tcPr>
          <w:p w14:paraId="2CAA8580" w14:textId="77777777" w:rsidR="00E4602A" w:rsidRPr="00DE1827" w:rsidRDefault="00E4602A" w:rsidP="008908E5">
            <w:pPr>
              <w:autoSpaceDE w:val="0"/>
              <w:autoSpaceDN w:val="0"/>
              <w:adjustRightInd w:val="0"/>
              <w:spacing w:after="0" w:line="240" w:lineRule="auto"/>
              <w:rPr>
                <w:rFonts w:ascii="Times New Roman" w:hAnsi="Times New Roman" w:cs="Times New Roman"/>
                <w:sz w:val="24"/>
                <w:szCs w:val="24"/>
              </w:rPr>
            </w:pPr>
          </w:p>
        </w:tc>
        <w:tc>
          <w:tcPr>
            <w:tcW w:w="1701" w:type="dxa"/>
            <w:gridSpan w:val="2"/>
            <w:tcBorders>
              <w:top w:val="single" w:sz="16" w:space="0" w:color="000000"/>
              <w:bottom w:val="nil"/>
              <w:right w:val="single" w:sz="16" w:space="0" w:color="000000"/>
            </w:tcBorders>
            <w:shd w:val="clear" w:color="auto" w:fill="FFFFFF"/>
            <w:vAlign w:val="center"/>
          </w:tcPr>
          <w:p w14:paraId="24D044A9" w14:textId="77777777" w:rsidR="00E4602A" w:rsidRPr="00DE1827" w:rsidRDefault="00E4602A" w:rsidP="008908E5">
            <w:pPr>
              <w:autoSpaceDE w:val="0"/>
              <w:autoSpaceDN w:val="0"/>
              <w:adjustRightInd w:val="0"/>
              <w:spacing w:after="0" w:line="240" w:lineRule="auto"/>
              <w:rPr>
                <w:rFonts w:ascii="Times New Roman" w:hAnsi="Times New Roman" w:cs="Times New Roman"/>
                <w:sz w:val="24"/>
                <w:szCs w:val="24"/>
              </w:rPr>
            </w:pPr>
          </w:p>
        </w:tc>
      </w:tr>
      <w:tr w:rsidR="00E4602A" w:rsidRPr="00DE1827" w14:paraId="189926FC" w14:textId="77777777" w:rsidTr="00DE1827">
        <w:trPr>
          <w:gridAfter w:val="1"/>
          <w:wAfter w:w="3634" w:type="dxa"/>
          <w:cantSplit/>
          <w:trHeight w:val="145"/>
        </w:trPr>
        <w:tc>
          <w:tcPr>
            <w:tcW w:w="1880" w:type="dxa"/>
            <w:vMerge/>
            <w:tcBorders>
              <w:top w:val="single" w:sz="16" w:space="0" w:color="000000"/>
              <w:left w:val="single" w:sz="16" w:space="0" w:color="000000"/>
              <w:bottom w:val="single" w:sz="16" w:space="0" w:color="000000"/>
              <w:right w:val="nil"/>
            </w:tcBorders>
            <w:shd w:val="clear" w:color="auto" w:fill="FFFFFF"/>
          </w:tcPr>
          <w:p w14:paraId="065EC35D" w14:textId="77777777" w:rsidR="00E4602A" w:rsidRPr="00DE1827" w:rsidRDefault="00E4602A" w:rsidP="008908E5">
            <w:pPr>
              <w:autoSpaceDE w:val="0"/>
              <w:autoSpaceDN w:val="0"/>
              <w:adjustRightInd w:val="0"/>
              <w:spacing w:after="0" w:line="240" w:lineRule="auto"/>
              <w:rPr>
                <w:rFonts w:ascii="Times New Roman" w:hAnsi="Times New Roman" w:cs="Times New Roman"/>
                <w:sz w:val="24"/>
                <w:szCs w:val="24"/>
              </w:rPr>
            </w:pPr>
          </w:p>
        </w:tc>
        <w:tc>
          <w:tcPr>
            <w:tcW w:w="972" w:type="dxa"/>
            <w:tcBorders>
              <w:top w:val="nil"/>
              <w:left w:val="nil"/>
              <w:bottom w:val="nil"/>
              <w:right w:val="single" w:sz="16" w:space="0" w:color="000000"/>
            </w:tcBorders>
            <w:shd w:val="clear" w:color="auto" w:fill="FFFFFF"/>
          </w:tcPr>
          <w:p w14:paraId="7C797A55" w14:textId="77777777" w:rsidR="00E4602A" w:rsidRPr="00DE1827" w:rsidRDefault="00E4602A"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DE1827">
              <w:rPr>
                <w:rFonts w:ascii="Times New Roman" w:hAnsi="Times New Roman" w:cs="Times New Roman"/>
                <w:color w:val="000000"/>
                <w:sz w:val="24"/>
                <w:szCs w:val="24"/>
              </w:rPr>
              <w:t>NPL</w:t>
            </w:r>
          </w:p>
        </w:tc>
        <w:tc>
          <w:tcPr>
            <w:tcW w:w="1542" w:type="dxa"/>
            <w:tcBorders>
              <w:top w:val="nil"/>
              <w:bottom w:val="nil"/>
            </w:tcBorders>
            <w:shd w:val="clear" w:color="auto" w:fill="FFFFFF"/>
            <w:vAlign w:val="center"/>
          </w:tcPr>
          <w:p w14:paraId="5B570DE2" w14:textId="77777777" w:rsidR="00E4602A" w:rsidRPr="00DE1827" w:rsidRDefault="00E4602A"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E1827">
              <w:rPr>
                <w:rFonts w:ascii="Times New Roman" w:hAnsi="Times New Roman" w:cs="Times New Roman"/>
                <w:color w:val="000000"/>
                <w:sz w:val="24"/>
                <w:szCs w:val="24"/>
              </w:rPr>
              <w:t>.772</w:t>
            </w:r>
          </w:p>
        </w:tc>
        <w:tc>
          <w:tcPr>
            <w:tcW w:w="1701" w:type="dxa"/>
            <w:gridSpan w:val="2"/>
            <w:tcBorders>
              <w:top w:val="nil"/>
              <w:bottom w:val="nil"/>
              <w:right w:val="single" w:sz="16" w:space="0" w:color="000000"/>
            </w:tcBorders>
            <w:shd w:val="clear" w:color="auto" w:fill="FFFFFF"/>
            <w:vAlign w:val="center"/>
          </w:tcPr>
          <w:p w14:paraId="35BC6C72" w14:textId="77777777" w:rsidR="00E4602A" w:rsidRPr="00DE1827" w:rsidRDefault="00E4602A"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E1827">
              <w:rPr>
                <w:rFonts w:ascii="Times New Roman" w:hAnsi="Times New Roman" w:cs="Times New Roman"/>
                <w:color w:val="000000"/>
                <w:sz w:val="24"/>
                <w:szCs w:val="24"/>
              </w:rPr>
              <w:t>1.295</w:t>
            </w:r>
          </w:p>
        </w:tc>
      </w:tr>
      <w:tr w:rsidR="00E4602A" w:rsidRPr="00DE1827" w14:paraId="6755D6A9" w14:textId="77777777" w:rsidTr="00DE1827">
        <w:trPr>
          <w:gridAfter w:val="1"/>
          <w:wAfter w:w="3634" w:type="dxa"/>
          <w:cantSplit/>
          <w:trHeight w:val="145"/>
        </w:trPr>
        <w:tc>
          <w:tcPr>
            <w:tcW w:w="1880" w:type="dxa"/>
            <w:vMerge/>
            <w:tcBorders>
              <w:top w:val="single" w:sz="16" w:space="0" w:color="000000"/>
              <w:left w:val="single" w:sz="16" w:space="0" w:color="000000"/>
              <w:bottom w:val="single" w:sz="16" w:space="0" w:color="000000"/>
              <w:right w:val="nil"/>
            </w:tcBorders>
            <w:shd w:val="clear" w:color="auto" w:fill="FFFFFF"/>
          </w:tcPr>
          <w:p w14:paraId="467955A8" w14:textId="77777777" w:rsidR="00E4602A" w:rsidRPr="00DE1827" w:rsidRDefault="00E4602A" w:rsidP="008908E5">
            <w:pPr>
              <w:autoSpaceDE w:val="0"/>
              <w:autoSpaceDN w:val="0"/>
              <w:adjustRightInd w:val="0"/>
              <w:spacing w:after="0" w:line="240" w:lineRule="auto"/>
              <w:rPr>
                <w:rFonts w:ascii="Times New Roman" w:hAnsi="Times New Roman" w:cs="Times New Roman"/>
                <w:color w:val="000000"/>
                <w:sz w:val="24"/>
                <w:szCs w:val="24"/>
              </w:rPr>
            </w:pPr>
          </w:p>
        </w:tc>
        <w:tc>
          <w:tcPr>
            <w:tcW w:w="972" w:type="dxa"/>
            <w:tcBorders>
              <w:top w:val="nil"/>
              <w:left w:val="nil"/>
              <w:bottom w:val="nil"/>
              <w:right w:val="single" w:sz="16" w:space="0" w:color="000000"/>
            </w:tcBorders>
            <w:shd w:val="clear" w:color="auto" w:fill="FFFFFF"/>
          </w:tcPr>
          <w:p w14:paraId="37D7EC24" w14:textId="77777777" w:rsidR="00E4602A" w:rsidRPr="00DE1827" w:rsidRDefault="00E4602A"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DE1827">
              <w:rPr>
                <w:rFonts w:ascii="Times New Roman" w:hAnsi="Times New Roman" w:cs="Times New Roman"/>
                <w:color w:val="000000"/>
                <w:sz w:val="24"/>
                <w:szCs w:val="24"/>
              </w:rPr>
              <w:t>ROA</w:t>
            </w:r>
          </w:p>
        </w:tc>
        <w:tc>
          <w:tcPr>
            <w:tcW w:w="1542" w:type="dxa"/>
            <w:tcBorders>
              <w:top w:val="nil"/>
              <w:bottom w:val="nil"/>
            </w:tcBorders>
            <w:shd w:val="clear" w:color="auto" w:fill="FFFFFF"/>
            <w:vAlign w:val="center"/>
          </w:tcPr>
          <w:p w14:paraId="718B004F" w14:textId="77777777" w:rsidR="00E4602A" w:rsidRPr="00DE1827" w:rsidRDefault="00E4602A"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E1827">
              <w:rPr>
                <w:rFonts w:ascii="Times New Roman" w:hAnsi="Times New Roman" w:cs="Times New Roman"/>
                <w:color w:val="000000"/>
                <w:sz w:val="24"/>
                <w:szCs w:val="24"/>
              </w:rPr>
              <w:t>.443</w:t>
            </w:r>
          </w:p>
        </w:tc>
        <w:tc>
          <w:tcPr>
            <w:tcW w:w="1701" w:type="dxa"/>
            <w:gridSpan w:val="2"/>
            <w:tcBorders>
              <w:top w:val="nil"/>
              <w:bottom w:val="nil"/>
              <w:right w:val="single" w:sz="16" w:space="0" w:color="000000"/>
            </w:tcBorders>
            <w:shd w:val="clear" w:color="auto" w:fill="FFFFFF"/>
            <w:vAlign w:val="center"/>
          </w:tcPr>
          <w:p w14:paraId="7C97D1BA" w14:textId="77777777" w:rsidR="00E4602A" w:rsidRPr="00DE1827" w:rsidRDefault="00E4602A"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E1827">
              <w:rPr>
                <w:rFonts w:ascii="Times New Roman" w:hAnsi="Times New Roman" w:cs="Times New Roman"/>
                <w:color w:val="000000"/>
                <w:sz w:val="24"/>
                <w:szCs w:val="24"/>
              </w:rPr>
              <w:t>2.257</w:t>
            </w:r>
          </w:p>
        </w:tc>
      </w:tr>
      <w:tr w:rsidR="00E4602A" w:rsidRPr="00DE1827" w14:paraId="5A1B4754" w14:textId="77777777" w:rsidTr="00DE1827">
        <w:trPr>
          <w:gridAfter w:val="1"/>
          <w:wAfter w:w="3634" w:type="dxa"/>
          <w:cantSplit/>
          <w:trHeight w:val="145"/>
        </w:trPr>
        <w:tc>
          <w:tcPr>
            <w:tcW w:w="1880" w:type="dxa"/>
            <w:vMerge/>
            <w:tcBorders>
              <w:top w:val="single" w:sz="16" w:space="0" w:color="000000"/>
              <w:left w:val="single" w:sz="16" w:space="0" w:color="000000"/>
              <w:bottom w:val="single" w:sz="16" w:space="0" w:color="000000"/>
              <w:right w:val="nil"/>
            </w:tcBorders>
            <w:shd w:val="clear" w:color="auto" w:fill="FFFFFF"/>
          </w:tcPr>
          <w:p w14:paraId="6319089B" w14:textId="77777777" w:rsidR="00E4602A" w:rsidRPr="00DE1827" w:rsidRDefault="00E4602A" w:rsidP="008908E5">
            <w:pPr>
              <w:autoSpaceDE w:val="0"/>
              <w:autoSpaceDN w:val="0"/>
              <w:adjustRightInd w:val="0"/>
              <w:spacing w:after="0" w:line="240" w:lineRule="auto"/>
              <w:rPr>
                <w:rFonts w:ascii="Times New Roman" w:hAnsi="Times New Roman" w:cs="Times New Roman"/>
                <w:color w:val="000000"/>
                <w:sz w:val="24"/>
                <w:szCs w:val="24"/>
              </w:rPr>
            </w:pPr>
          </w:p>
        </w:tc>
        <w:tc>
          <w:tcPr>
            <w:tcW w:w="972" w:type="dxa"/>
            <w:tcBorders>
              <w:top w:val="nil"/>
              <w:left w:val="nil"/>
              <w:bottom w:val="nil"/>
              <w:right w:val="single" w:sz="16" w:space="0" w:color="000000"/>
            </w:tcBorders>
            <w:shd w:val="clear" w:color="auto" w:fill="FFFFFF"/>
          </w:tcPr>
          <w:p w14:paraId="526BFBC6" w14:textId="77777777" w:rsidR="00E4602A" w:rsidRPr="00DE1827" w:rsidRDefault="00E4602A"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DE1827">
              <w:rPr>
                <w:rFonts w:ascii="Times New Roman" w:hAnsi="Times New Roman" w:cs="Times New Roman"/>
                <w:color w:val="000000"/>
                <w:sz w:val="24"/>
                <w:szCs w:val="24"/>
              </w:rPr>
              <w:t>PDN</w:t>
            </w:r>
          </w:p>
        </w:tc>
        <w:tc>
          <w:tcPr>
            <w:tcW w:w="1542" w:type="dxa"/>
            <w:tcBorders>
              <w:top w:val="nil"/>
              <w:bottom w:val="nil"/>
            </w:tcBorders>
            <w:shd w:val="clear" w:color="auto" w:fill="FFFFFF"/>
            <w:vAlign w:val="center"/>
          </w:tcPr>
          <w:p w14:paraId="13A6B020" w14:textId="77777777" w:rsidR="00E4602A" w:rsidRPr="00DE1827" w:rsidRDefault="00E4602A"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E1827">
              <w:rPr>
                <w:rFonts w:ascii="Times New Roman" w:hAnsi="Times New Roman" w:cs="Times New Roman"/>
                <w:color w:val="000000"/>
                <w:sz w:val="24"/>
                <w:szCs w:val="24"/>
              </w:rPr>
              <w:t>.868</w:t>
            </w:r>
          </w:p>
        </w:tc>
        <w:tc>
          <w:tcPr>
            <w:tcW w:w="1701" w:type="dxa"/>
            <w:gridSpan w:val="2"/>
            <w:tcBorders>
              <w:top w:val="nil"/>
              <w:bottom w:val="nil"/>
              <w:right w:val="single" w:sz="16" w:space="0" w:color="000000"/>
            </w:tcBorders>
            <w:shd w:val="clear" w:color="auto" w:fill="FFFFFF"/>
            <w:vAlign w:val="center"/>
          </w:tcPr>
          <w:p w14:paraId="7CBF8341" w14:textId="77777777" w:rsidR="00E4602A" w:rsidRPr="00DE1827" w:rsidRDefault="00E4602A"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E1827">
              <w:rPr>
                <w:rFonts w:ascii="Times New Roman" w:hAnsi="Times New Roman" w:cs="Times New Roman"/>
                <w:color w:val="000000"/>
                <w:sz w:val="24"/>
                <w:szCs w:val="24"/>
              </w:rPr>
              <w:t>1.152</w:t>
            </w:r>
          </w:p>
        </w:tc>
      </w:tr>
      <w:tr w:rsidR="00E4602A" w:rsidRPr="00DE1827" w14:paraId="30BAC2B4" w14:textId="77777777" w:rsidTr="00DE1827">
        <w:trPr>
          <w:gridAfter w:val="1"/>
          <w:wAfter w:w="3634" w:type="dxa"/>
          <w:cantSplit/>
          <w:trHeight w:val="145"/>
        </w:trPr>
        <w:tc>
          <w:tcPr>
            <w:tcW w:w="1880" w:type="dxa"/>
            <w:vMerge/>
            <w:tcBorders>
              <w:top w:val="single" w:sz="16" w:space="0" w:color="000000"/>
              <w:left w:val="single" w:sz="16" w:space="0" w:color="000000"/>
              <w:bottom w:val="single" w:sz="16" w:space="0" w:color="000000"/>
              <w:right w:val="nil"/>
            </w:tcBorders>
            <w:shd w:val="clear" w:color="auto" w:fill="FFFFFF"/>
          </w:tcPr>
          <w:p w14:paraId="638C3EF3" w14:textId="77777777" w:rsidR="00E4602A" w:rsidRPr="00DE1827" w:rsidRDefault="00E4602A" w:rsidP="008908E5">
            <w:pPr>
              <w:autoSpaceDE w:val="0"/>
              <w:autoSpaceDN w:val="0"/>
              <w:adjustRightInd w:val="0"/>
              <w:spacing w:after="0" w:line="240" w:lineRule="auto"/>
              <w:rPr>
                <w:rFonts w:ascii="Times New Roman" w:hAnsi="Times New Roman" w:cs="Times New Roman"/>
                <w:color w:val="000000"/>
                <w:sz w:val="24"/>
                <w:szCs w:val="24"/>
              </w:rPr>
            </w:pPr>
          </w:p>
        </w:tc>
        <w:tc>
          <w:tcPr>
            <w:tcW w:w="972" w:type="dxa"/>
            <w:tcBorders>
              <w:top w:val="nil"/>
              <w:left w:val="nil"/>
              <w:bottom w:val="nil"/>
              <w:right w:val="single" w:sz="16" w:space="0" w:color="000000"/>
            </w:tcBorders>
            <w:shd w:val="clear" w:color="auto" w:fill="FFFFFF"/>
          </w:tcPr>
          <w:p w14:paraId="1657DD87" w14:textId="77777777" w:rsidR="00E4602A" w:rsidRPr="00DE1827" w:rsidRDefault="00E4602A"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DE1827">
              <w:rPr>
                <w:rFonts w:ascii="Times New Roman" w:hAnsi="Times New Roman" w:cs="Times New Roman"/>
                <w:color w:val="000000"/>
                <w:sz w:val="24"/>
                <w:szCs w:val="24"/>
              </w:rPr>
              <w:t>BOPO</w:t>
            </w:r>
          </w:p>
        </w:tc>
        <w:tc>
          <w:tcPr>
            <w:tcW w:w="1542" w:type="dxa"/>
            <w:tcBorders>
              <w:top w:val="nil"/>
              <w:bottom w:val="nil"/>
            </w:tcBorders>
            <w:shd w:val="clear" w:color="auto" w:fill="FFFFFF"/>
            <w:vAlign w:val="center"/>
          </w:tcPr>
          <w:p w14:paraId="43DA3113" w14:textId="77777777" w:rsidR="00E4602A" w:rsidRPr="00DE1827" w:rsidRDefault="00E4602A"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E1827">
              <w:rPr>
                <w:rFonts w:ascii="Times New Roman" w:hAnsi="Times New Roman" w:cs="Times New Roman"/>
                <w:color w:val="000000"/>
                <w:sz w:val="24"/>
                <w:szCs w:val="24"/>
              </w:rPr>
              <w:t>.432</w:t>
            </w:r>
          </w:p>
        </w:tc>
        <w:tc>
          <w:tcPr>
            <w:tcW w:w="1701" w:type="dxa"/>
            <w:gridSpan w:val="2"/>
            <w:tcBorders>
              <w:top w:val="nil"/>
              <w:bottom w:val="nil"/>
              <w:right w:val="single" w:sz="16" w:space="0" w:color="000000"/>
            </w:tcBorders>
            <w:shd w:val="clear" w:color="auto" w:fill="FFFFFF"/>
            <w:vAlign w:val="center"/>
          </w:tcPr>
          <w:p w14:paraId="2499861D" w14:textId="77777777" w:rsidR="00E4602A" w:rsidRPr="00DE1827" w:rsidRDefault="00E4602A"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E1827">
              <w:rPr>
                <w:rFonts w:ascii="Times New Roman" w:hAnsi="Times New Roman" w:cs="Times New Roman"/>
                <w:color w:val="000000"/>
                <w:sz w:val="24"/>
                <w:szCs w:val="24"/>
              </w:rPr>
              <w:t>2.313</w:t>
            </w:r>
          </w:p>
        </w:tc>
      </w:tr>
      <w:tr w:rsidR="00E4602A" w:rsidRPr="00DE1827" w14:paraId="1A34AEEF" w14:textId="77777777" w:rsidTr="00DE1827">
        <w:trPr>
          <w:gridAfter w:val="1"/>
          <w:wAfter w:w="3634" w:type="dxa"/>
          <w:cantSplit/>
          <w:trHeight w:val="145"/>
        </w:trPr>
        <w:tc>
          <w:tcPr>
            <w:tcW w:w="1880" w:type="dxa"/>
            <w:vMerge/>
            <w:tcBorders>
              <w:top w:val="single" w:sz="16" w:space="0" w:color="000000"/>
              <w:left w:val="single" w:sz="16" w:space="0" w:color="000000"/>
              <w:bottom w:val="single" w:sz="16" w:space="0" w:color="000000"/>
              <w:right w:val="nil"/>
            </w:tcBorders>
            <w:shd w:val="clear" w:color="auto" w:fill="FFFFFF"/>
          </w:tcPr>
          <w:p w14:paraId="07CC47C3" w14:textId="77777777" w:rsidR="00E4602A" w:rsidRPr="00DE1827" w:rsidRDefault="00E4602A" w:rsidP="008908E5">
            <w:pPr>
              <w:autoSpaceDE w:val="0"/>
              <w:autoSpaceDN w:val="0"/>
              <w:adjustRightInd w:val="0"/>
              <w:spacing w:after="0" w:line="240" w:lineRule="auto"/>
              <w:rPr>
                <w:rFonts w:ascii="Times New Roman" w:hAnsi="Times New Roman" w:cs="Times New Roman"/>
                <w:color w:val="000000"/>
                <w:sz w:val="24"/>
                <w:szCs w:val="24"/>
              </w:rPr>
            </w:pPr>
          </w:p>
        </w:tc>
        <w:tc>
          <w:tcPr>
            <w:tcW w:w="972" w:type="dxa"/>
            <w:tcBorders>
              <w:top w:val="nil"/>
              <w:left w:val="nil"/>
              <w:bottom w:val="single" w:sz="16" w:space="0" w:color="000000"/>
              <w:right w:val="single" w:sz="16" w:space="0" w:color="000000"/>
            </w:tcBorders>
            <w:shd w:val="clear" w:color="auto" w:fill="FFFFFF"/>
          </w:tcPr>
          <w:p w14:paraId="42E9CB8C" w14:textId="77777777" w:rsidR="00E4602A" w:rsidRPr="00DE1827" w:rsidRDefault="00E4602A"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DE1827">
              <w:rPr>
                <w:rFonts w:ascii="Times New Roman" w:hAnsi="Times New Roman" w:cs="Times New Roman"/>
                <w:color w:val="000000"/>
                <w:sz w:val="24"/>
                <w:szCs w:val="24"/>
              </w:rPr>
              <w:t>DER</w:t>
            </w:r>
          </w:p>
        </w:tc>
        <w:tc>
          <w:tcPr>
            <w:tcW w:w="1542" w:type="dxa"/>
            <w:tcBorders>
              <w:top w:val="nil"/>
              <w:bottom w:val="single" w:sz="16" w:space="0" w:color="000000"/>
            </w:tcBorders>
            <w:shd w:val="clear" w:color="auto" w:fill="FFFFFF"/>
            <w:vAlign w:val="center"/>
          </w:tcPr>
          <w:p w14:paraId="1E328D2F" w14:textId="77777777" w:rsidR="00E4602A" w:rsidRPr="00DE1827" w:rsidRDefault="00E4602A"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E1827">
              <w:rPr>
                <w:rFonts w:ascii="Times New Roman" w:hAnsi="Times New Roman" w:cs="Times New Roman"/>
                <w:color w:val="000000"/>
                <w:sz w:val="24"/>
                <w:szCs w:val="24"/>
              </w:rPr>
              <w:t>.916</w:t>
            </w:r>
          </w:p>
        </w:tc>
        <w:tc>
          <w:tcPr>
            <w:tcW w:w="1701" w:type="dxa"/>
            <w:gridSpan w:val="2"/>
            <w:tcBorders>
              <w:top w:val="nil"/>
              <w:bottom w:val="single" w:sz="16" w:space="0" w:color="000000"/>
              <w:right w:val="single" w:sz="16" w:space="0" w:color="000000"/>
            </w:tcBorders>
            <w:shd w:val="clear" w:color="auto" w:fill="FFFFFF"/>
            <w:vAlign w:val="center"/>
          </w:tcPr>
          <w:p w14:paraId="145EF6F4" w14:textId="77777777" w:rsidR="00E4602A" w:rsidRPr="00DE1827" w:rsidRDefault="00E4602A"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E1827">
              <w:rPr>
                <w:rFonts w:ascii="Times New Roman" w:hAnsi="Times New Roman" w:cs="Times New Roman"/>
                <w:color w:val="000000"/>
                <w:sz w:val="24"/>
                <w:szCs w:val="24"/>
              </w:rPr>
              <w:t>1.092</w:t>
            </w:r>
          </w:p>
        </w:tc>
      </w:tr>
      <w:tr w:rsidR="00E4602A" w:rsidRPr="00DE1827" w14:paraId="7842B7BB" w14:textId="77777777" w:rsidTr="00DE1827">
        <w:trPr>
          <w:cantSplit/>
          <w:trHeight w:val="321"/>
        </w:trPr>
        <w:tc>
          <w:tcPr>
            <w:tcW w:w="9729" w:type="dxa"/>
            <w:gridSpan w:val="6"/>
            <w:tcBorders>
              <w:top w:val="nil"/>
              <w:left w:val="nil"/>
              <w:bottom w:val="nil"/>
              <w:right w:val="nil"/>
            </w:tcBorders>
            <w:shd w:val="clear" w:color="auto" w:fill="FFFFFF"/>
          </w:tcPr>
          <w:p w14:paraId="7227B474" w14:textId="77777777" w:rsidR="00E4602A" w:rsidRPr="00DE1827" w:rsidRDefault="00E4602A"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DE1827">
              <w:rPr>
                <w:rFonts w:ascii="Times New Roman" w:hAnsi="Times New Roman" w:cs="Times New Roman"/>
                <w:color w:val="000000"/>
                <w:sz w:val="24"/>
                <w:szCs w:val="24"/>
              </w:rPr>
              <w:t>a. Dependent Variable: CAR</w:t>
            </w:r>
          </w:p>
        </w:tc>
      </w:tr>
    </w:tbl>
    <w:p w14:paraId="7D059CD4" w14:textId="356EAB71" w:rsidR="006315FA" w:rsidRPr="00C46A01" w:rsidRDefault="00DE1827" w:rsidP="00DE1827">
      <w:pPr>
        <w:pStyle w:val="ListParagraph"/>
        <w:spacing w:line="480" w:lineRule="auto"/>
        <w:ind w:left="1985"/>
        <w:jc w:val="both"/>
        <w:rPr>
          <w:rFonts w:ascii="Times New Roman" w:hAnsi="Times New Roman" w:cs="Times New Roman"/>
          <w:sz w:val="24"/>
          <w:szCs w:val="24"/>
        </w:rPr>
      </w:pPr>
      <w:r w:rsidRPr="00AB7A8E">
        <w:rPr>
          <w:rFonts w:ascii="Times New Roman" w:hAnsi="Times New Roman" w:cs="Times New Roman"/>
          <w:sz w:val="24"/>
          <w:szCs w:val="24"/>
        </w:rPr>
        <w:t>Sumber : Output SPSS 22, data yang diolah (2024)</w:t>
      </w:r>
    </w:p>
    <w:p w14:paraId="2538C126" w14:textId="32B46539" w:rsidR="00B07656" w:rsidRPr="00C9227C" w:rsidRDefault="00F6256C" w:rsidP="00E20473">
      <w:pPr>
        <w:pStyle w:val="ListParagraph"/>
        <w:spacing w:line="480" w:lineRule="auto"/>
        <w:ind w:left="1560" w:firstLine="720"/>
        <w:jc w:val="both"/>
        <w:rPr>
          <w:rFonts w:ascii="Times New Roman" w:hAnsi="Times New Roman" w:cs="Times New Roman"/>
          <w:sz w:val="24"/>
          <w:szCs w:val="24"/>
        </w:rPr>
      </w:pPr>
      <w:r w:rsidRPr="00C46A01">
        <w:rPr>
          <w:rFonts w:ascii="Times New Roman" w:hAnsi="Times New Roman" w:cs="Times New Roman"/>
          <w:sz w:val="24"/>
          <w:szCs w:val="24"/>
        </w:rPr>
        <w:t xml:space="preserve">Berdasarkan data output SPSS 22 uji multikolinearitas seperti tampak tabel tertera nilai-nilai </w:t>
      </w:r>
      <w:r w:rsidRPr="00E20473">
        <w:rPr>
          <w:rFonts w:ascii="Times New Roman" w:hAnsi="Times New Roman" w:cs="Times New Roman"/>
          <w:i/>
          <w:iCs/>
          <w:sz w:val="24"/>
          <w:szCs w:val="24"/>
        </w:rPr>
        <w:t>tolerance</w:t>
      </w:r>
      <w:r w:rsidRPr="00C46A01">
        <w:rPr>
          <w:rFonts w:ascii="Times New Roman" w:hAnsi="Times New Roman" w:cs="Times New Roman"/>
          <w:sz w:val="24"/>
          <w:szCs w:val="24"/>
        </w:rPr>
        <w:t xml:space="preserve"> dari variabel </w:t>
      </w:r>
      <w:r w:rsidRPr="00C46A01">
        <w:rPr>
          <w:rFonts w:ascii="Times New Roman" w:hAnsi="Times New Roman" w:cs="Times New Roman"/>
          <w:i/>
          <w:sz w:val="24"/>
          <w:szCs w:val="24"/>
        </w:rPr>
        <w:t xml:space="preserve">non-performing loan </w:t>
      </w:r>
      <w:r w:rsidRPr="00C46A01">
        <w:rPr>
          <w:rFonts w:ascii="Times New Roman" w:hAnsi="Times New Roman" w:cs="Times New Roman"/>
          <w:iCs/>
          <w:sz w:val="24"/>
          <w:szCs w:val="24"/>
        </w:rPr>
        <w:t>(NPL)</w:t>
      </w:r>
      <w:r w:rsidR="00E20473">
        <w:rPr>
          <w:rFonts w:ascii="Times New Roman" w:hAnsi="Times New Roman" w:cs="Times New Roman"/>
          <w:iCs/>
          <w:sz w:val="24"/>
          <w:szCs w:val="24"/>
        </w:rPr>
        <w:t xml:space="preserve"> sebesar 0.772</w:t>
      </w:r>
      <w:r w:rsidRPr="00C46A01">
        <w:rPr>
          <w:rFonts w:ascii="Times New Roman" w:hAnsi="Times New Roman" w:cs="Times New Roman"/>
          <w:iCs/>
          <w:sz w:val="24"/>
          <w:szCs w:val="24"/>
        </w:rPr>
        <w:t xml:space="preserve">, </w:t>
      </w:r>
      <w:r w:rsidRPr="00C46A01">
        <w:rPr>
          <w:rFonts w:ascii="Times New Roman" w:hAnsi="Times New Roman" w:cs="Times New Roman"/>
          <w:bCs/>
          <w:i/>
          <w:sz w:val="24"/>
          <w:szCs w:val="24"/>
        </w:rPr>
        <w:t>Return on Aset</w:t>
      </w:r>
      <w:r w:rsidRPr="00C46A01">
        <w:rPr>
          <w:rFonts w:ascii="Times New Roman" w:hAnsi="Times New Roman" w:cs="Times New Roman"/>
          <w:bCs/>
          <w:sz w:val="24"/>
          <w:szCs w:val="24"/>
        </w:rPr>
        <w:t xml:space="preserve"> (ROA)</w:t>
      </w:r>
      <w:r w:rsidR="00E20473">
        <w:rPr>
          <w:rFonts w:ascii="Times New Roman" w:hAnsi="Times New Roman" w:cs="Times New Roman"/>
          <w:bCs/>
          <w:sz w:val="24"/>
          <w:szCs w:val="24"/>
        </w:rPr>
        <w:t xml:space="preserve"> </w:t>
      </w:r>
      <w:r w:rsidR="00E20473">
        <w:rPr>
          <w:rFonts w:ascii="Times New Roman" w:hAnsi="Times New Roman" w:cs="Times New Roman"/>
          <w:iCs/>
          <w:sz w:val="24"/>
          <w:szCs w:val="24"/>
        </w:rPr>
        <w:t>sebesar0.443</w:t>
      </w:r>
      <w:r w:rsidRPr="00C46A01">
        <w:rPr>
          <w:rFonts w:ascii="Times New Roman" w:hAnsi="Times New Roman" w:cs="Times New Roman"/>
          <w:bCs/>
          <w:sz w:val="24"/>
          <w:szCs w:val="24"/>
        </w:rPr>
        <w:t xml:space="preserve">, </w:t>
      </w:r>
      <w:r w:rsidR="00E20473">
        <w:rPr>
          <w:rFonts w:ascii="Times New Roman" w:hAnsi="Times New Roman" w:cs="Times New Roman"/>
          <w:iCs/>
          <w:sz w:val="24"/>
          <w:szCs w:val="24"/>
        </w:rPr>
        <w:t xml:space="preserve">Posisi Devisa Neto </w:t>
      </w:r>
      <w:r w:rsidRPr="00C46A01">
        <w:rPr>
          <w:rFonts w:ascii="Times New Roman" w:hAnsi="Times New Roman" w:cs="Times New Roman"/>
          <w:sz w:val="24"/>
          <w:szCs w:val="24"/>
        </w:rPr>
        <w:t>(</w:t>
      </w:r>
      <w:r w:rsidR="00E20473">
        <w:rPr>
          <w:rFonts w:ascii="Times New Roman" w:hAnsi="Times New Roman" w:cs="Times New Roman"/>
          <w:sz w:val="24"/>
          <w:szCs w:val="24"/>
        </w:rPr>
        <w:t>PDN</w:t>
      </w:r>
      <w:r w:rsidRPr="00C46A01">
        <w:rPr>
          <w:rFonts w:ascii="Times New Roman" w:hAnsi="Times New Roman" w:cs="Times New Roman"/>
          <w:sz w:val="24"/>
          <w:szCs w:val="24"/>
        </w:rPr>
        <w:t>)</w:t>
      </w:r>
      <w:r w:rsidR="00E20473">
        <w:rPr>
          <w:rFonts w:ascii="Times New Roman" w:hAnsi="Times New Roman" w:cs="Times New Roman"/>
          <w:sz w:val="24"/>
          <w:szCs w:val="24"/>
        </w:rPr>
        <w:t xml:space="preserve"> </w:t>
      </w:r>
      <w:r w:rsidR="00E20473">
        <w:rPr>
          <w:rFonts w:ascii="Times New Roman" w:hAnsi="Times New Roman" w:cs="Times New Roman"/>
          <w:iCs/>
          <w:sz w:val="24"/>
          <w:szCs w:val="24"/>
        </w:rPr>
        <w:t>sebesar 0.868</w:t>
      </w:r>
      <w:r w:rsidRPr="00C46A01">
        <w:rPr>
          <w:rFonts w:ascii="Times New Roman" w:hAnsi="Times New Roman" w:cs="Times New Roman"/>
          <w:sz w:val="24"/>
          <w:szCs w:val="24"/>
        </w:rPr>
        <w:t>, Biaya Operasional Pendapatan Operasional (BOPO)</w:t>
      </w:r>
      <w:r w:rsidR="00E20473">
        <w:rPr>
          <w:rFonts w:ascii="Times New Roman" w:hAnsi="Times New Roman" w:cs="Times New Roman"/>
          <w:sz w:val="24"/>
          <w:szCs w:val="24"/>
        </w:rPr>
        <w:t xml:space="preserve"> </w:t>
      </w:r>
      <w:r w:rsidR="00E20473">
        <w:rPr>
          <w:rFonts w:ascii="Times New Roman" w:hAnsi="Times New Roman" w:cs="Times New Roman"/>
          <w:iCs/>
          <w:sz w:val="24"/>
          <w:szCs w:val="24"/>
        </w:rPr>
        <w:t>sebesar 0.432</w:t>
      </w:r>
      <w:r w:rsidRPr="00C46A01">
        <w:rPr>
          <w:rFonts w:ascii="Times New Roman" w:hAnsi="Times New Roman" w:cs="Times New Roman"/>
          <w:sz w:val="24"/>
          <w:szCs w:val="24"/>
        </w:rPr>
        <w:t xml:space="preserve">, dan </w:t>
      </w:r>
      <w:r w:rsidRPr="00C46A01">
        <w:rPr>
          <w:rFonts w:ascii="Times New Roman" w:hAnsi="Times New Roman" w:cs="Times New Roman"/>
          <w:i/>
          <w:sz w:val="24"/>
          <w:szCs w:val="24"/>
        </w:rPr>
        <w:t>Debt to Equity Ratio (DER</w:t>
      </w:r>
      <w:r w:rsidRPr="00C46A01">
        <w:rPr>
          <w:rFonts w:ascii="Times New Roman" w:hAnsi="Times New Roman" w:cs="Times New Roman"/>
          <w:sz w:val="24"/>
          <w:szCs w:val="24"/>
        </w:rPr>
        <w:t xml:space="preserve">) </w:t>
      </w:r>
      <w:r w:rsidR="00E20473">
        <w:rPr>
          <w:rFonts w:ascii="Times New Roman" w:hAnsi="Times New Roman" w:cs="Times New Roman"/>
          <w:iCs/>
          <w:sz w:val="24"/>
          <w:szCs w:val="24"/>
        </w:rPr>
        <w:t>sebesar</w:t>
      </w:r>
      <w:r w:rsidR="00E20473" w:rsidRPr="00C46A01">
        <w:rPr>
          <w:rFonts w:ascii="Times New Roman" w:hAnsi="Times New Roman" w:cs="Times New Roman"/>
          <w:sz w:val="24"/>
          <w:szCs w:val="24"/>
        </w:rPr>
        <w:t xml:space="preserve"> </w:t>
      </w:r>
      <w:r w:rsidR="00E20473">
        <w:rPr>
          <w:rFonts w:ascii="Times New Roman" w:hAnsi="Times New Roman" w:cs="Times New Roman"/>
          <w:sz w:val="24"/>
          <w:szCs w:val="24"/>
        </w:rPr>
        <w:t>0.916. S</w:t>
      </w:r>
      <w:r w:rsidRPr="00C46A01">
        <w:rPr>
          <w:rFonts w:ascii="Times New Roman" w:hAnsi="Times New Roman" w:cs="Times New Roman"/>
          <w:sz w:val="24"/>
          <w:szCs w:val="24"/>
        </w:rPr>
        <w:t>ecara keseluruhan</w:t>
      </w:r>
      <w:r w:rsidR="00E20473">
        <w:rPr>
          <w:rFonts w:ascii="Times New Roman" w:hAnsi="Times New Roman" w:cs="Times New Roman"/>
          <w:sz w:val="24"/>
          <w:szCs w:val="24"/>
        </w:rPr>
        <w:t xml:space="preserve"> variabel independent dalam penelitian ini memiliki nilai </w:t>
      </w:r>
      <w:r w:rsidR="00E20473" w:rsidRPr="00E20473">
        <w:rPr>
          <w:rFonts w:ascii="Times New Roman" w:hAnsi="Times New Roman" w:cs="Times New Roman"/>
          <w:i/>
          <w:iCs/>
          <w:sz w:val="24"/>
          <w:szCs w:val="24"/>
        </w:rPr>
        <w:t>tolerance</w:t>
      </w:r>
      <w:r w:rsidR="00E20473">
        <w:rPr>
          <w:rFonts w:ascii="Times New Roman" w:hAnsi="Times New Roman" w:cs="Times New Roman"/>
          <w:sz w:val="24"/>
          <w:szCs w:val="24"/>
        </w:rPr>
        <w:t xml:space="preserve"> lebih dari 0,10. S</w:t>
      </w:r>
      <w:r w:rsidRPr="00C46A01">
        <w:rPr>
          <w:rFonts w:ascii="Times New Roman" w:hAnsi="Times New Roman" w:cs="Times New Roman"/>
          <w:sz w:val="24"/>
          <w:szCs w:val="24"/>
        </w:rPr>
        <w:t>ementara nilai VIF dari variabel</w:t>
      </w:r>
      <w:r w:rsidR="00F92C37" w:rsidRPr="00C46A01">
        <w:rPr>
          <w:rFonts w:ascii="Times New Roman" w:hAnsi="Times New Roman" w:cs="Times New Roman"/>
          <w:sz w:val="24"/>
          <w:szCs w:val="24"/>
        </w:rPr>
        <w:t xml:space="preserve"> </w:t>
      </w:r>
      <w:r w:rsidR="00F92C37" w:rsidRPr="00C46A01">
        <w:rPr>
          <w:rFonts w:ascii="Times New Roman" w:hAnsi="Times New Roman" w:cs="Times New Roman"/>
          <w:i/>
          <w:sz w:val="24"/>
          <w:szCs w:val="24"/>
        </w:rPr>
        <w:t xml:space="preserve">non-performing loan </w:t>
      </w:r>
      <w:r w:rsidR="00F92C37" w:rsidRPr="00C46A01">
        <w:rPr>
          <w:rFonts w:ascii="Times New Roman" w:hAnsi="Times New Roman" w:cs="Times New Roman"/>
          <w:iCs/>
          <w:sz w:val="24"/>
          <w:szCs w:val="24"/>
        </w:rPr>
        <w:t>(NPL)</w:t>
      </w:r>
      <w:r w:rsidR="00E20473">
        <w:rPr>
          <w:rFonts w:ascii="Times New Roman" w:hAnsi="Times New Roman" w:cs="Times New Roman"/>
          <w:iCs/>
          <w:sz w:val="24"/>
          <w:szCs w:val="24"/>
        </w:rPr>
        <w:t xml:space="preserve"> sebesar 1.295</w:t>
      </w:r>
      <w:r w:rsidR="00F92C37" w:rsidRPr="00C46A01">
        <w:rPr>
          <w:rFonts w:ascii="Times New Roman" w:hAnsi="Times New Roman" w:cs="Times New Roman"/>
          <w:iCs/>
          <w:sz w:val="24"/>
          <w:szCs w:val="24"/>
        </w:rPr>
        <w:t xml:space="preserve">, </w:t>
      </w:r>
      <w:r w:rsidR="00F92C37" w:rsidRPr="00C46A01">
        <w:rPr>
          <w:rFonts w:ascii="Times New Roman" w:hAnsi="Times New Roman" w:cs="Times New Roman"/>
          <w:bCs/>
          <w:i/>
          <w:sz w:val="24"/>
          <w:szCs w:val="24"/>
        </w:rPr>
        <w:t>Return on Aset</w:t>
      </w:r>
      <w:r w:rsidR="00F92C37" w:rsidRPr="00C46A01">
        <w:rPr>
          <w:rFonts w:ascii="Times New Roman" w:hAnsi="Times New Roman" w:cs="Times New Roman"/>
          <w:bCs/>
          <w:sz w:val="24"/>
          <w:szCs w:val="24"/>
        </w:rPr>
        <w:t xml:space="preserve"> (ROA)</w:t>
      </w:r>
      <w:r w:rsidR="00E20473">
        <w:rPr>
          <w:rFonts w:ascii="Times New Roman" w:hAnsi="Times New Roman" w:cs="Times New Roman"/>
          <w:bCs/>
          <w:sz w:val="24"/>
          <w:szCs w:val="24"/>
        </w:rPr>
        <w:t xml:space="preserve"> 2.257</w:t>
      </w:r>
      <w:r w:rsidR="00F92C37" w:rsidRPr="00C46A01">
        <w:rPr>
          <w:rFonts w:ascii="Times New Roman" w:hAnsi="Times New Roman" w:cs="Times New Roman"/>
          <w:bCs/>
          <w:sz w:val="24"/>
          <w:szCs w:val="24"/>
        </w:rPr>
        <w:t xml:space="preserve">, </w:t>
      </w:r>
      <w:r w:rsidR="00DE1827" w:rsidRPr="00DE1827">
        <w:rPr>
          <w:rFonts w:ascii="Times New Roman" w:hAnsi="Times New Roman" w:cs="Times New Roman"/>
          <w:iCs/>
          <w:sz w:val="24"/>
          <w:szCs w:val="24"/>
        </w:rPr>
        <w:t>Posisi Devisa Neto</w:t>
      </w:r>
      <w:r w:rsidR="00DE1827" w:rsidRPr="00DE1827">
        <w:rPr>
          <w:rFonts w:ascii="Times New Roman" w:hAnsi="Times New Roman" w:cs="Times New Roman"/>
          <w:i/>
          <w:sz w:val="24"/>
          <w:szCs w:val="24"/>
        </w:rPr>
        <w:t xml:space="preserve"> </w:t>
      </w:r>
      <w:r w:rsidR="00F92C37" w:rsidRPr="00DE1827">
        <w:rPr>
          <w:rFonts w:ascii="Times New Roman" w:hAnsi="Times New Roman" w:cs="Times New Roman"/>
          <w:sz w:val="24"/>
          <w:szCs w:val="24"/>
        </w:rPr>
        <w:t>(</w:t>
      </w:r>
      <w:r w:rsidR="00DE1827">
        <w:rPr>
          <w:rFonts w:ascii="Times New Roman" w:hAnsi="Times New Roman" w:cs="Times New Roman"/>
          <w:sz w:val="24"/>
          <w:szCs w:val="24"/>
        </w:rPr>
        <w:t>PDN</w:t>
      </w:r>
      <w:r w:rsidR="00F92C37" w:rsidRPr="00DE1827">
        <w:rPr>
          <w:rFonts w:ascii="Times New Roman" w:hAnsi="Times New Roman" w:cs="Times New Roman"/>
          <w:sz w:val="24"/>
          <w:szCs w:val="24"/>
        </w:rPr>
        <w:t>)</w:t>
      </w:r>
      <w:r w:rsidR="00E20473">
        <w:rPr>
          <w:rFonts w:ascii="Times New Roman" w:hAnsi="Times New Roman" w:cs="Times New Roman"/>
          <w:sz w:val="24"/>
          <w:szCs w:val="24"/>
        </w:rPr>
        <w:t xml:space="preserve"> </w:t>
      </w:r>
      <w:r w:rsidR="00E20473">
        <w:rPr>
          <w:rFonts w:ascii="Times New Roman" w:hAnsi="Times New Roman" w:cs="Times New Roman"/>
          <w:iCs/>
          <w:sz w:val="24"/>
          <w:szCs w:val="24"/>
        </w:rPr>
        <w:t>sebesar 1.152</w:t>
      </w:r>
      <w:r w:rsidR="00F92C37" w:rsidRPr="00DE1827">
        <w:rPr>
          <w:rFonts w:ascii="Times New Roman" w:hAnsi="Times New Roman" w:cs="Times New Roman"/>
          <w:sz w:val="24"/>
          <w:szCs w:val="24"/>
        </w:rPr>
        <w:t xml:space="preserve">, Biaya </w:t>
      </w:r>
      <w:r w:rsidR="00F92C37" w:rsidRPr="00C46A01">
        <w:rPr>
          <w:rFonts w:ascii="Times New Roman" w:hAnsi="Times New Roman" w:cs="Times New Roman"/>
          <w:sz w:val="24"/>
          <w:szCs w:val="24"/>
        </w:rPr>
        <w:t>Operasional Pendapatan Operasional (BOPO)</w:t>
      </w:r>
      <w:r w:rsidR="00E20473">
        <w:rPr>
          <w:rFonts w:ascii="Times New Roman" w:hAnsi="Times New Roman" w:cs="Times New Roman"/>
          <w:sz w:val="24"/>
          <w:szCs w:val="24"/>
        </w:rPr>
        <w:t xml:space="preserve"> </w:t>
      </w:r>
      <w:r w:rsidR="00E20473">
        <w:rPr>
          <w:rFonts w:ascii="Times New Roman" w:hAnsi="Times New Roman" w:cs="Times New Roman"/>
          <w:iCs/>
          <w:sz w:val="24"/>
          <w:szCs w:val="24"/>
        </w:rPr>
        <w:t>sebesar2.313</w:t>
      </w:r>
      <w:r w:rsidR="00F92C37" w:rsidRPr="00C46A01">
        <w:rPr>
          <w:rFonts w:ascii="Times New Roman" w:hAnsi="Times New Roman" w:cs="Times New Roman"/>
          <w:sz w:val="24"/>
          <w:szCs w:val="24"/>
        </w:rPr>
        <w:t xml:space="preserve">, dan </w:t>
      </w:r>
      <w:r w:rsidR="00F92C37" w:rsidRPr="00C46A01">
        <w:rPr>
          <w:rFonts w:ascii="Times New Roman" w:hAnsi="Times New Roman" w:cs="Times New Roman"/>
          <w:i/>
          <w:sz w:val="24"/>
          <w:szCs w:val="24"/>
        </w:rPr>
        <w:t>Debt to Equity Ratio (DER</w:t>
      </w:r>
      <w:r w:rsidR="00F92C37" w:rsidRPr="00C46A01">
        <w:rPr>
          <w:rFonts w:ascii="Times New Roman" w:hAnsi="Times New Roman" w:cs="Times New Roman"/>
          <w:sz w:val="24"/>
          <w:szCs w:val="24"/>
        </w:rPr>
        <w:t>)</w:t>
      </w:r>
      <w:r w:rsidR="00E20473">
        <w:rPr>
          <w:rFonts w:ascii="Times New Roman" w:hAnsi="Times New Roman" w:cs="Times New Roman"/>
          <w:sz w:val="24"/>
          <w:szCs w:val="24"/>
        </w:rPr>
        <w:t xml:space="preserve"> </w:t>
      </w:r>
      <w:r w:rsidR="00E20473">
        <w:rPr>
          <w:rFonts w:ascii="Times New Roman" w:hAnsi="Times New Roman" w:cs="Times New Roman"/>
          <w:iCs/>
          <w:sz w:val="24"/>
          <w:szCs w:val="24"/>
        </w:rPr>
        <w:t>sebesar1.092</w:t>
      </w:r>
      <w:r w:rsidR="00F92C37" w:rsidRPr="00C46A01">
        <w:rPr>
          <w:rFonts w:ascii="Times New Roman" w:hAnsi="Times New Roman" w:cs="Times New Roman"/>
          <w:sz w:val="24"/>
          <w:szCs w:val="24"/>
        </w:rPr>
        <w:t xml:space="preserve"> secara keseluruha</w:t>
      </w:r>
      <w:r w:rsidR="00B07656">
        <w:rPr>
          <w:rFonts w:ascii="Times New Roman" w:hAnsi="Times New Roman" w:cs="Times New Roman"/>
          <w:sz w:val="24"/>
          <w:szCs w:val="24"/>
        </w:rPr>
        <w:t>n lebih kecil dari 10. F</w:t>
      </w:r>
      <w:r w:rsidR="00F92C37" w:rsidRPr="00C46A01">
        <w:rPr>
          <w:rFonts w:ascii="Times New Roman" w:hAnsi="Times New Roman" w:cs="Times New Roman"/>
          <w:sz w:val="24"/>
          <w:szCs w:val="24"/>
        </w:rPr>
        <w:t>akta ini telah membuktikan bahwa model regres</w:t>
      </w:r>
      <w:r w:rsidR="00B07656">
        <w:rPr>
          <w:rFonts w:ascii="Times New Roman" w:hAnsi="Times New Roman" w:cs="Times New Roman"/>
          <w:sz w:val="24"/>
          <w:szCs w:val="24"/>
        </w:rPr>
        <w:t>i terbebas dari gejala multikolinearitas.</w:t>
      </w:r>
    </w:p>
    <w:p w14:paraId="04FD8ADD" w14:textId="6270CC91" w:rsidR="004579EF" w:rsidRDefault="004579EF" w:rsidP="00095897">
      <w:pPr>
        <w:pStyle w:val="ListParagraph"/>
        <w:numPr>
          <w:ilvl w:val="0"/>
          <w:numId w:val="87"/>
        </w:numPr>
        <w:spacing w:line="480" w:lineRule="auto"/>
        <w:jc w:val="both"/>
        <w:rPr>
          <w:rFonts w:ascii="Times New Roman" w:hAnsi="Times New Roman" w:cs="Times New Roman"/>
          <w:sz w:val="24"/>
          <w:szCs w:val="24"/>
        </w:rPr>
      </w:pPr>
      <w:r w:rsidRPr="00C46A01">
        <w:rPr>
          <w:rFonts w:ascii="Times New Roman" w:hAnsi="Times New Roman" w:cs="Times New Roman"/>
          <w:sz w:val="24"/>
          <w:szCs w:val="24"/>
        </w:rPr>
        <w:lastRenderedPageBreak/>
        <w:t xml:space="preserve">Uji </w:t>
      </w:r>
      <w:r w:rsidR="003D296D" w:rsidRPr="00C46A01">
        <w:rPr>
          <w:rFonts w:ascii="Times New Roman" w:hAnsi="Times New Roman" w:cs="Times New Roman"/>
          <w:sz w:val="24"/>
          <w:szCs w:val="24"/>
        </w:rPr>
        <w:t>A</w:t>
      </w:r>
      <w:r w:rsidRPr="00C46A01">
        <w:rPr>
          <w:rFonts w:ascii="Times New Roman" w:hAnsi="Times New Roman" w:cs="Times New Roman"/>
          <w:sz w:val="24"/>
          <w:szCs w:val="24"/>
        </w:rPr>
        <w:t>utokorelasi</w:t>
      </w:r>
    </w:p>
    <w:p w14:paraId="2034EDF6" w14:textId="1780FE77" w:rsidR="00FA7319" w:rsidRPr="00FA7319" w:rsidRDefault="00C9227C" w:rsidP="00FA7319">
      <w:pPr>
        <w:pStyle w:val="ListParagraph"/>
        <w:spacing w:line="480" w:lineRule="auto"/>
        <w:ind w:left="1571" w:firstLine="589"/>
        <w:jc w:val="both"/>
        <w:rPr>
          <w:rFonts w:ascii="Times New Roman" w:hAnsi="Times New Roman" w:cs="Times New Roman"/>
          <w:sz w:val="24"/>
          <w:szCs w:val="24"/>
        </w:rPr>
      </w:pPr>
      <w:r>
        <w:rPr>
          <w:rFonts w:ascii="Times New Roman" w:hAnsi="Times New Roman" w:cs="Times New Roman"/>
          <w:sz w:val="24"/>
          <w:szCs w:val="24"/>
        </w:rPr>
        <w:t>Uji autokorelasi bertujuan untuk mengetahui apakah kesalahan penggangu pada periode t dan kesalahan pengganggu pada periode t-1 dalam model regresi linear berkorelasi satu sama lain. Ketika ada korelasi yang berarti ada masalah yang disebut autokorelasi. Autokorelasi muncul ketika observasi yang berurutan sepanjang waktu berkaitan satu sama lain (Ghozali, 2016: 107). Pada penelitian ini uji autokorelasi menggunakan uji Lagrange Multiplier (LM Test).</w:t>
      </w:r>
    </w:p>
    <w:p w14:paraId="1B1EF505" w14:textId="228ECBF7" w:rsidR="00C9227C" w:rsidRPr="00FA7319" w:rsidRDefault="00C9227C" w:rsidP="00FA7319">
      <w:pPr>
        <w:pStyle w:val="ListParagraph"/>
        <w:spacing w:line="480" w:lineRule="auto"/>
        <w:ind w:left="1571" w:hanging="11"/>
        <w:jc w:val="both"/>
        <w:rPr>
          <w:rFonts w:ascii="Times New Roman" w:hAnsi="Times New Roman" w:cs="Times New Roman"/>
          <w:sz w:val="24"/>
          <w:szCs w:val="24"/>
        </w:rPr>
      </w:pPr>
      <w:r w:rsidRPr="00FA7319">
        <w:rPr>
          <w:rFonts w:ascii="Times New Roman" w:hAnsi="Times New Roman" w:cs="Times New Roman"/>
          <w:sz w:val="24"/>
          <w:szCs w:val="24"/>
        </w:rPr>
        <w:t xml:space="preserve"> Berikut hasil pengujian LM Test:    </w:t>
      </w:r>
    </w:p>
    <w:p w14:paraId="484528DA" w14:textId="4745AFFF" w:rsidR="00681ACB" w:rsidRPr="00681ACB" w:rsidRDefault="00681ACB" w:rsidP="00681ACB">
      <w:pPr>
        <w:pStyle w:val="Caption"/>
        <w:keepNext/>
        <w:spacing w:after="0" w:line="276" w:lineRule="auto"/>
        <w:ind w:left="1843"/>
        <w:jc w:val="center"/>
        <w:rPr>
          <w:rFonts w:ascii="Times New Roman" w:hAnsi="Times New Roman" w:cs="Times New Roman"/>
          <w:i w:val="0"/>
          <w:iCs w:val="0"/>
          <w:color w:val="auto"/>
          <w:sz w:val="24"/>
          <w:szCs w:val="24"/>
        </w:rPr>
      </w:pPr>
      <w:bookmarkStart w:id="14" w:name="_Toc167784726"/>
      <w:r w:rsidRPr="00681ACB">
        <w:rPr>
          <w:rFonts w:ascii="Times New Roman" w:hAnsi="Times New Roman" w:cs="Times New Roman"/>
          <w:i w:val="0"/>
          <w:iCs w:val="0"/>
          <w:color w:val="auto"/>
          <w:sz w:val="24"/>
          <w:szCs w:val="24"/>
        </w:rPr>
        <w:t xml:space="preserve">Tabel </w:t>
      </w:r>
      <w:r w:rsidRPr="00681ACB">
        <w:rPr>
          <w:rFonts w:ascii="Times New Roman" w:hAnsi="Times New Roman" w:cs="Times New Roman"/>
          <w:i w:val="0"/>
          <w:iCs w:val="0"/>
          <w:color w:val="auto"/>
          <w:sz w:val="24"/>
          <w:szCs w:val="24"/>
        </w:rPr>
        <w:fldChar w:fldCharType="begin"/>
      </w:r>
      <w:r w:rsidRPr="00681ACB">
        <w:rPr>
          <w:rFonts w:ascii="Times New Roman" w:hAnsi="Times New Roman" w:cs="Times New Roman"/>
          <w:i w:val="0"/>
          <w:iCs w:val="0"/>
          <w:color w:val="auto"/>
          <w:sz w:val="24"/>
          <w:szCs w:val="24"/>
        </w:rPr>
        <w:instrText xml:space="preserve"> SEQ Tabel \* ARABIC </w:instrText>
      </w:r>
      <w:r w:rsidRPr="00681ACB">
        <w:rPr>
          <w:rFonts w:ascii="Times New Roman" w:hAnsi="Times New Roman" w:cs="Times New Roman"/>
          <w:i w:val="0"/>
          <w:iCs w:val="0"/>
          <w:color w:val="auto"/>
          <w:sz w:val="24"/>
          <w:szCs w:val="24"/>
        </w:rPr>
        <w:fldChar w:fldCharType="separate"/>
      </w:r>
      <w:r w:rsidR="00383519">
        <w:rPr>
          <w:rFonts w:ascii="Times New Roman" w:hAnsi="Times New Roman" w:cs="Times New Roman"/>
          <w:i w:val="0"/>
          <w:iCs w:val="0"/>
          <w:noProof/>
          <w:color w:val="auto"/>
          <w:sz w:val="24"/>
          <w:szCs w:val="24"/>
        </w:rPr>
        <w:t>9</w:t>
      </w:r>
      <w:bookmarkEnd w:id="14"/>
      <w:r w:rsidRPr="00681ACB">
        <w:rPr>
          <w:rFonts w:ascii="Times New Roman" w:hAnsi="Times New Roman" w:cs="Times New Roman"/>
          <w:i w:val="0"/>
          <w:iCs w:val="0"/>
          <w:color w:val="auto"/>
          <w:sz w:val="24"/>
          <w:szCs w:val="24"/>
        </w:rPr>
        <w:fldChar w:fldCharType="end"/>
      </w:r>
      <w:r w:rsidRPr="00681ACB">
        <w:rPr>
          <w:rFonts w:ascii="Times New Roman" w:hAnsi="Times New Roman" w:cs="Times New Roman"/>
          <w:i w:val="0"/>
          <w:iCs w:val="0"/>
          <w:color w:val="auto"/>
          <w:sz w:val="24"/>
          <w:szCs w:val="24"/>
        </w:rPr>
        <w:t xml:space="preserve"> </w:t>
      </w:r>
    </w:p>
    <w:p w14:paraId="2D2B00F8" w14:textId="5981D0A0" w:rsidR="00D23C67" w:rsidRPr="00D23C67" w:rsidRDefault="00681ACB" w:rsidP="00681ACB">
      <w:pPr>
        <w:pStyle w:val="Caption"/>
        <w:keepNext/>
        <w:spacing w:after="0" w:line="276" w:lineRule="auto"/>
        <w:ind w:left="1843"/>
        <w:jc w:val="center"/>
        <w:rPr>
          <w:rFonts w:ascii="Times New Roman" w:hAnsi="Times New Roman" w:cs="Times New Roman"/>
          <w:i w:val="0"/>
          <w:iCs w:val="0"/>
          <w:color w:val="auto"/>
          <w:sz w:val="24"/>
          <w:szCs w:val="24"/>
        </w:rPr>
      </w:pPr>
      <w:r w:rsidRPr="00681ACB">
        <w:rPr>
          <w:rFonts w:ascii="Times New Roman" w:hAnsi="Times New Roman" w:cs="Times New Roman"/>
          <w:i w:val="0"/>
          <w:iCs w:val="0"/>
          <w:color w:val="auto"/>
          <w:sz w:val="24"/>
          <w:szCs w:val="24"/>
        </w:rPr>
        <w:t>Hasil Uji Test Autokorelasi</w:t>
      </w:r>
    </w:p>
    <w:tbl>
      <w:tblPr>
        <w:tblW w:w="7314" w:type="dxa"/>
        <w:tblInd w:w="1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91"/>
        <w:gridCol w:w="992"/>
        <w:gridCol w:w="1134"/>
        <w:gridCol w:w="1560"/>
        <w:gridCol w:w="850"/>
        <w:gridCol w:w="851"/>
      </w:tblGrid>
      <w:tr w:rsidR="00B07656" w:rsidRPr="00E20473" w14:paraId="5E11CC81" w14:textId="77777777" w:rsidTr="00520C1B">
        <w:trPr>
          <w:cantSplit/>
        </w:trPr>
        <w:tc>
          <w:tcPr>
            <w:tcW w:w="7314" w:type="dxa"/>
            <w:gridSpan w:val="7"/>
            <w:tcBorders>
              <w:top w:val="nil"/>
              <w:left w:val="nil"/>
              <w:bottom w:val="nil"/>
              <w:right w:val="nil"/>
            </w:tcBorders>
            <w:shd w:val="clear" w:color="auto" w:fill="FFFFFF"/>
            <w:vAlign w:val="center"/>
          </w:tcPr>
          <w:p w14:paraId="68D8BE84" w14:textId="77777777" w:rsidR="00B07656" w:rsidRPr="00E20473" w:rsidRDefault="00B07656"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20473">
              <w:rPr>
                <w:rFonts w:ascii="Times New Roman" w:hAnsi="Times New Roman" w:cs="Times New Roman"/>
                <w:b/>
                <w:bCs/>
                <w:color w:val="000000"/>
                <w:sz w:val="24"/>
                <w:szCs w:val="24"/>
              </w:rPr>
              <w:t>Coefficients</w:t>
            </w:r>
            <w:r w:rsidRPr="00E20473">
              <w:rPr>
                <w:rFonts w:ascii="Times New Roman" w:hAnsi="Times New Roman" w:cs="Times New Roman"/>
                <w:b/>
                <w:bCs/>
                <w:color w:val="000000"/>
                <w:sz w:val="24"/>
                <w:szCs w:val="24"/>
                <w:vertAlign w:val="superscript"/>
              </w:rPr>
              <w:t>a</w:t>
            </w:r>
          </w:p>
        </w:tc>
      </w:tr>
      <w:tr w:rsidR="00B07656" w:rsidRPr="00E20473" w14:paraId="2BA2E0D9" w14:textId="77777777" w:rsidTr="00520C1B">
        <w:trPr>
          <w:cantSplit/>
        </w:trPr>
        <w:tc>
          <w:tcPr>
            <w:tcW w:w="1927" w:type="dxa"/>
            <w:gridSpan w:val="2"/>
            <w:vMerge w:val="restart"/>
            <w:tcBorders>
              <w:top w:val="single" w:sz="16" w:space="0" w:color="000000"/>
              <w:left w:val="single" w:sz="16" w:space="0" w:color="000000"/>
              <w:bottom w:val="nil"/>
              <w:right w:val="nil"/>
            </w:tcBorders>
            <w:shd w:val="clear" w:color="auto" w:fill="FFFFFF"/>
            <w:vAlign w:val="bottom"/>
          </w:tcPr>
          <w:p w14:paraId="6BDF690C" w14:textId="77777777" w:rsidR="00B07656" w:rsidRPr="00E20473" w:rsidRDefault="00B07656"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E20473">
              <w:rPr>
                <w:rFonts w:ascii="Times New Roman" w:hAnsi="Times New Roman" w:cs="Times New Roman"/>
                <w:color w:val="000000"/>
                <w:sz w:val="24"/>
                <w:szCs w:val="24"/>
              </w:rPr>
              <w:t>Model</w:t>
            </w:r>
          </w:p>
        </w:tc>
        <w:tc>
          <w:tcPr>
            <w:tcW w:w="2126" w:type="dxa"/>
            <w:gridSpan w:val="2"/>
            <w:tcBorders>
              <w:top w:val="single" w:sz="16" w:space="0" w:color="000000"/>
              <w:left w:val="single" w:sz="16" w:space="0" w:color="000000"/>
            </w:tcBorders>
            <w:shd w:val="clear" w:color="auto" w:fill="FFFFFF"/>
            <w:vAlign w:val="bottom"/>
          </w:tcPr>
          <w:p w14:paraId="74CDD8AF" w14:textId="77777777" w:rsidR="00B07656" w:rsidRPr="00E20473" w:rsidRDefault="00B07656"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20473">
              <w:rPr>
                <w:rFonts w:ascii="Times New Roman" w:hAnsi="Times New Roman" w:cs="Times New Roman"/>
                <w:color w:val="000000"/>
                <w:sz w:val="24"/>
                <w:szCs w:val="24"/>
              </w:rPr>
              <w:t>Unstandardized Coefficients</w:t>
            </w:r>
          </w:p>
        </w:tc>
        <w:tc>
          <w:tcPr>
            <w:tcW w:w="1560" w:type="dxa"/>
            <w:tcBorders>
              <w:top w:val="single" w:sz="16" w:space="0" w:color="000000"/>
            </w:tcBorders>
            <w:shd w:val="clear" w:color="auto" w:fill="FFFFFF"/>
            <w:vAlign w:val="bottom"/>
          </w:tcPr>
          <w:p w14:paraId="17FE9E00" w14:textId="77777777" w:rsidR="00B07656" w:rsidRPr="00E20473" w:rsidRDefault="00B07656"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20473">
              <w:rPr>
                <w:rFonts w:ascii="Times New Roman" w:hAnsi="Times New Roman" w:cs="Times New Roman"/>
                <w:color w:val="000000"/>
                <w:sz w:val="24"/>
                <w:szCs w:val="24"/>
              </w:rPr>
              <w:t>Standardized Coefficients</w:t>
            </w:r>
          </w:p>
        </w:tc>
        <w:tc>
          <w:tcPr>
            <w:tcW w:w="850" w:type="dxa"/>
            <w:vMerge w:val="restart"/>
            <w:tcBorders>
              <w:top w:val="single" w:sz="16" w:space="0" w:color="000000"/>
            </w:tcBorders>
            <w:shd w:val="clear" w:color="auto" w:fill="FFFFFF"/>
            <w:vAlign w:val="bottom"/>
          </w:tcPr>
          <w:p w14:paraId="1E00132F" w14:textId="77777777" w:rsidR="00B07656" w:rsidRPr="00E20473" w:rsidRDefault="00B07656"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20473">
              <w:rPr>
                <w:rFonts w:ascii="Times New Roman" w:hAnsi="Times New Roman" w:cs="Times New Roman"/>
                <w:color w:val="000000"/>
                <w:sz w:val="24"/>
                <w:szCs w:val="24"/>
              </w:rPr>
              <w:t>t</w:t>
            </w:r>
          </w:p>
        </w:tc>
        <w:tc>
          <w:tcPr>
            <w:tcW w:w="851" w:type="dxa"/>
            <w:vMerge w:val="restart"/>
            <w:tcBorders>
              <w:top w:val="single" w:sz="16" w:space="0" w:color="000000"/>
              <w:right w:val="single" w:sz="16" w:space="0" w:color="000000"/>
            </w:tcBorders>
            <w:shd w:val="clear" w:color="auto" w:fill="FFFFFF"/>
            <w:vAlign w:val="bottom"/>
          </w:tcPr>
          <w:p w14:paraId="03ECB9DC" w14:textId="77777777" w:rsidR="00B07656" w:rsidRPr="00E20473" w:rsidRDefault="00B07656"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20473">
              <w:rPr>
                <w:rFonts w:ascii="Times New Roman" w:hAnsi="Times New Roman" w:cs="Times New Roman"/>
                <w:color w:val="000000"/>
                <w:sz w:val="24"/>
                <w:szCs w:val="24"/>
              </w:rPr>
              <w:t>Sig.</w:t>
            </w:r>
          </w:p>
        </w:tc>
      </w:tr>
      <w:tr w:rsidR="00B07656" w:rsidRPr="00E20473" w14:paraId="7CEA1D62" w14:textId="77777777" w:rsidTr="00520C1B">
        <w:trPr>
          <w:cantSplit/>
        </w:trPr>
        <w:tc>
          <w:tcPr>
            <w:tcW w:w="1927" w:type="dxa"/>
            <w:gridSpan w:val="2"/>
            <w:vMerge/>
            <w:tcBorders>
              <w:top w:val="single" w:sz="16" w:space="0" w:color="000000"/>
              <w:left w:val="single" w:sz="16" w:space="0" w:color="000000"/>
              <w:bottom w:val="nil"/>
              <w:right w:val="nil"/>
            </w:tcBorders>
            <w:shd w:val="clear" w:color="auto" w:fill="FFFFFF"/>
            <w:vAlign w:val="bottom"/>
          </w:tcPr>
          <w:p w14:paraId="2298B9F4" w14:textId="77777777" w:rsidR="00B07656" w:rsidRPr="00E20473" w:rsidRDefault="00B07656" w:rsidP="008908E5">
            <w:pPr>
              <w:autoSpaceDE w:val="0"/>
              <w:autoSpaceDN w:val="0"/>
              <w:adjustRightInd w:val="0"/>
              <w:spacing w:after="0" w:line="240" w:lineRule="auto"/>
              <w:rPr>
                <w:rFonts w:ascii="Times New Roman" w:hAnsi="Times New Roman" w:cs="Times New Roman"/>
                <w:color w:val="000000"/>
                <w:sz w:val="24"/>
                <w:szCs w:val="24"/>
              </w:rPr>
            </w:pPr>
          </w:p>
        </w:tc>
        <w:tc>
          <w:tcPr>
            <w:tcW w:w="992" w:type="dxa"/>
            <w:tcBorders>
              <w:left w:val="single" w:sz="16" w:space="0" w:color="000000"/>
              <w:bottom w:val="single" w:sz="16" w:space="0" w:color="000000"/>
            </w:tcBorders>
            <w:shd w:val="clear" w:color="auto" w:fill="FFFFFF"/>
            <w:vAlign w:val="bottom"/>
          </w:tcPr>
          <w:p w14:paraId="5822864D" w14:textId="77777777" w:rsidR="00B07656" w:rsidRPr="00E20473" w:rsidRDefault="00B07656"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20473">
              <w:rPr>
                <w:rFonts w:ascii="Times New Roman" w:hAnsi="Times New Roman" w:cs="Times New Roman"/>
                <w:color w:val="000000"/>
                <w:sz w:val="24"/>
                <w:szCs w:val="24"/>
              </w:rPr>
              <w:t>B</w:t>
            </w:r>
          </w:p>
        </w:tc>
        <w:tc>
          <w:tcPr>
            <w:tcW w:w="1134" w:type="dxa"/>
            <w:tcBorders>
              <w:bottom w:val="single" w:sz="16" w:space="0" w:color="000000"/>
            </w:tcBorders>
            <w:shd w:val="clear" w:color="auto" w:fill="FFFFFF"/>
            <w:vAlign w:val="bottom"/>
          </w:tcPr>
          <w:p w14:paraId="3F872ECF" w14:textId="77777777" w:rsidR="00B07656" w:rsidRPr="00E20473" w:rsidRDefault="00B07656"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20473">
              <w:rPr>
                <w:rFonts w:ascii="Times New Roman" w:hAnsi="Times New Roman" w:cs="Times New Roman"/>
                <w:color w:val="000000"/>
                <w:sz w:val="24"/>
                <w:szCs w:val="24"/>
              </w:rPr>
              <w:t>Std. Error</w:t>
            </w:r>
          </w:p>
        </w:tc>
        <w:tc>
          <w:tcPr>
            <w:tcW w:w="1560" w:type="dxa"/>
            <w:tcBorders>
              <w:bottom w:val="single" w:sz="16" w:space="0" w:color="000000"/>
            </w:tcBorders>
            <w:shd w:val="clear" w:color="auto" w:fill="FFFFFF"/>
            <w:vAlign w:val="bottom"/>
          </w:tcPr>
          <w:p w14:paraId="401B9830" w14:textId="77777777" w:rsidR="00B07656" w:rsidRPr="00E20473" w:rsidRDefault="00B07656"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20473">
              <w:rPr>
                <w:rFonts w:ascii="Times New Roman" w:hAnsi="Times New Roman" w:cs="Times New Roman"/>
                <w:color w:val="000000"/>
                <w:sz w:val="24"/>
                <w:szCs w:val="24"/>
              </w:rPr>
              <w:t>Beta</w:t>
            </w:r>
          </w:p>
        </w:tc>
        <w:tc>
          <w:tcPr>
            <w:tcW w:w="850" w:type="dxa"/>
            <w:vMerge/>
            <w:tcBorders>
              <w:top w:val="single" w:sz="16" w:space="0" w:color="000000"/>
            </w:tcBorders>
            <w:shd w:val="clear" w:color="auto" w:fill="FFFFFF"/>
            <w:vAlign w:val="bottom"/>
          </w:tcPr>
          <w:p w14:paraId="7DAA2CDF" w14:textId="77777777" w:rsidR="00B07656" w:rsidRPr="00E20473" w:rsidRDefault="00B07656" w:rsidP="008908E5">
            <w:pPr>
              <w:autoSpaceDE w:val="0"/>
              <w:autoSpaceDN w:val="0"/>
              <w:adjustRightInd w:val="0"/>
              <w:spacing w:after="0" w:line="240" w:lineRule="auto"/>
              <w:rPr>
                <w:rFonts w:ascii="Times New Roman" w:hAnsi="Times New Roman" w:cs="Times New Roman"/>
                <w:color w:val="000000"/>
                <w:sz w:val="24"/>
                <w:szCs w:val="24"/>
              </w:rPr>
            </w:pPr>
          </w:p>
        </w:tc>
        <w:tc>
          <w:tcPr>
            <w:tcW w:w="851" w:type="dxa"/>
            <w:vMerge/>
            <w:tcBorders>
              <w:top w:val="single" w:sz="16" w:space="0" w:color="000000"/>
              <w:right w:val="single" w:sz="16" w:space="0" w:color="000000"/>
            </w:tcBorders>
            <w:shd w:val="clear" w:color="auto" w:fill="FFFFFF"/>
            <w:vAlign w:val="bottom"/>
          </w:tcPr>
          <w:p w14:paraId="04885323" w14:textId="77777777" w:rsidR="00B07656" w:rsidRPr="00E20473" w:rsidRDefault="00B07656" w:rsidP="008908E5">
            <w:pPr>
              <w:autoSpaceDE w:val="0"/>
              <w:autoSpaceDN w:val="0"/>
              <w:adjustRightInd w:val="0"/>
              <w:spacing w:after="0" w:line="240" w:lineRule="auto"/>
              <w:rPr>
                <w:rFonts w:ascii="Times New Roman" w:hAnsi="Times New Roman" w:cs="Times New Roman"/>
                <w:color w:val="000000"/>
                <w:sz w:val="24"/>
                <w:szCs w:val="24"/>
              </w:rPr>
            </w:pPr>
          </w:p>
        </w:tc>
      </w:tr>
      <w:tr w:rsidR="00B07656" w:rsidRPr="00E20473" w14:paraId="6F9D7352" w14:textId="77777777" w:rsidTr="00520C1B">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3C76373B" w14:textId="77777777" w:rsidR="00B07656" w:rsidRPr="00E20473" w:rsidRDefault="00B07656"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E20473">
              <w:rPr>
                <w:rFonts w:ascii="Times New Roman" w:hAnsi="Times New Roman" w:cs="Times New Roman"/>
                <w:color w:val="000000"/>
                <w:sz w:val="24"/>
                <w:szCs w:val="24"/>
              </w:rPr>
              <w:t>1</w:t>
            </w:r>
          </w:p>
        </w:tc>
        <w:tc>
          <w:tcPr>
            <w:tcW w:w="1191" w:type="dxa"/>
            <w:tcBorders>
              <w:top w:val="single" w:sz="16" w:space="0" w:color="000000"/>
              <w:left w:val="nil"/>
              <w:bottom w:val="nil"/>
              <w:right w:val="single" w:sz="16" w:space="0" w:color="000000"/>
            </w:tcBorders>
            <w:shd w:val="clear" w:color="auto" w:fill="FFFFFF"/>
          </w:tcPr>
          <w:p w14:paraId="1E31AB60" w14:textId="77777777" w:rsidR="00B07656" w:rsidRPr="00E20473" w:rsidRDefault="00B07656"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E20473">
              <w:rPr>
                <w:rFonts w:ascii="Times New Roman" w:hAnsi="Times New Roman" w:cs="Times New Roman"/>
                <w:color w:val="000000"/>
                <w:sz w:val="24"/>
                <w:szCs w:val="24"/>
              </w:rPr>
              <w:t>(Constant)</w:t>
            </w:r>
          </w:p>
        </w:tc>
        <w:tc>
          <w:tcPr>
            <w:tcW w:w="992" w:type="dxa"/>
            <w:tcBorders>
              <w:top w:val="single" w:sz="16" w:space="0" w:color="000000"/>
              <w:left w:val="single" w:sz="16" w:space="0" w:color="000000"/>
              <w:bottom w:val="nil"/>
            </w:tcBorders>
            <w:shd w:val="clear" w:color="auto" w:fill="FFFFFF"/>
            <w:vAlign w:val="center"/>
          </w:tcPr>
          <w:p w14:paraId="72884CA7" w14:textId="77777777" w:rsidR="00B07656" w:rsidRPr="00E20473" w:rsidRDefault="00B07656"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0473">
              <w:rPr>
                <w:rFonts w:ascii="Times New Roman" w:hAnsi="Times New Roman" w:cs="Times New Roman"/>
                <w:color w:val="000000"/>
                <w:sz w:val="24"/>
                <w:szCs w:val="24"/>
              </w:rPr>
              <w:t>.095</w:t>
            </w:r>
          </w:p>
        </w:tc>
        <w:tc>
          <w:tcPr>
            <w:tcW w:w="1134" w:type="dxa"/>
            <w:tcBorders>
              <w:top w:val="single" w:sz="16" w:space="0" w:color="000000"/>
              <w:bottom w:val="nil"/>
            </w:tcBorders>
            <w:shd w:val="clear" w:color="auto" w:fill="FFFFFF"/>
            <w:vAlign w:val="center"/>
          </w:tcPr>
          <w:p w14:paraId="71F18725" w14:textId="77777777" w:rsidR="00B07656" w:rsidRPr="00E20473" w:rsidRDefault="00B07656"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0473">
              <w:rPr>
                <w:rFonts w:ascii="Times New Roman" w:hAnsi="Times New Roman" w:cs="Times New Roman"/>
                <w:color w:val="000000"/>
                <w:sz w:val="24"/>
                <w:szCs w:val="24"/>
              </w:rPr>
              <w:t>.845</w:t>
            </w:r>
          </w:p>
        </w:tc>
        <w:tc>
          <w:tcPr>
            <w:tcW w:w="1560" w:type="dxa"/>
            <w:tcBorders>
              <w:top w:val="single" w:sz="16" w:space="0" w:color="000000"/>
              <w:bottom w:val="nil"/>
            </w:tcBorders>
            <w:shd w:val="clear" w:color="auto" w:fill="FFFFFF"/>
            <w:vAlign w:val="center"/>
          </w:tcPr>
          <w:p w14:paraId="59DA869C" w14:textId="77777777" w:rsidR="00B07656" w:rsidRPr="00E20473" w:rsidRDefault="00B07656" w:rsidP="008908E5">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16" w:space="0" w:color="000000"/>
              <w:bottom w:val="nil"/>
            </w:tcBorders>
            <w:shd w:val="clear" w:color="auto" w:fill="FFFFFF"/>
            <w:vAlign w:val="center"/>
          </w:tcPr>
          <w:p w14:paraId="2F6AE55E" w14:textId="77777777" w:rsidR="00B07656" w:rsidRPr="00E20473" w:rsidRDefault="00B07656"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0473">
              <w:rPr>
                <w:rFonts w:ascii="Times New Roman" w:hAnsi="Times New Roman" w:cs="Times New Roman"/>
                <w:color w:val="000000"/>
                <w:sz w:val="24"/>
                <w:szCs w:val="24"/>
              </w:rPr>
              <w:t>.112</w:t>
            </w:r>
          </w:p>
        </w:tc>
        <w:tc>
          <w:tcPr>
            <w:tcW w:w="851" w:type="dxa"/>
            <w:tcBorders>
              <w:top w:val="single" w:sz="16" w:space="0" w:color="000000"/>
              <w:bottom w:val="nil"/>
              <w:right w:val="single" w:sz="16" w:space="0" w:color="000000"/>
            </w:tcBorders>
            <w:shd w:val="clear" w:color="auto" w:fill="FFFFFF"/>
            <w:vAlign w:val="center"/>
          </w:tcPr>
          <w:p w14:paraId="32EE00B2" w14:textId="77777777" w:rsidR="00B07656" w:rsidRPr="00E20473" w:rsidRDefault="00B07656"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0473">
              <w:rPr>
                <w:rFonts w:ascii="Times New Roman" w:hAnsi="Times New Roman" w:cs="Times New Roman"/>
                <w:color w:val="000000"/>
                <w:sz w:val="24"/>
                <w:szCs w:val="24"/>
              </w:rPr>
              <w:t>.911</w:t>
            </w:r>
          </w:p>
        </w:tc>
      </w:tr>
      <w:tr w:rsidR="00B07656" w:rsidRPr="00E20473" w14:paraId="04B5E79F" w14:textId="77777777" w:rsidTr="00520C1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065DF5A5" w14:textId="77777777" w:rsidR="00B07656" w:rsidRPr="00E20473" w:rsidRDefault="00B07656" w:rsidP="008908E5">
            <w:pPr>
              <w:autoSpaceDE w:val="0"/>
              <w:autoSpaceDN w:val="0"/>
              <w:adjustRightInd w:val="0"/>
              <w:spacing w:after="0" w:line="240" w:lineRule="auto"/>
              <w:rPr>
                <w:rFonts w:ascii="Times New Roman" w:hAnsi="Times New Roman" w:cs="Times New Roman"/>
                <w:color w:val="000000"/>
                <w:sz w:val="24"/>
                <w:szCs w:val="24"/>
              </w:rPr>
            </w:pPr>
          </w:p>
        </w:tc>
        <w:tc>
          <w:tcPr>
            <w:tcW w:w="1191" w:type="dxa"/>
            <w:tcBorders>
              <w:top w:val="nil"/>
              <w:left w:val="nil"/>
              <w:bottom w:val="nil"/>
              <w:right w:val="single" w:sz="16" w:space="0" w:color="000000"/>
            </w:tcBorders>
            <w:shd w:val="clear" w:color="auto" w:fill="FFFFFF"/>
          </w:tcPr>
          <w:p w14:paraId="5DA5814C" w14:textId="77777777" w:rsidR="00B07656" w:rsidRPr="00E20473" w:rsidRDefault="00B07656"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E20473">
              <w:rPr>
                <w:rFonts w:ascii="Times New Roman" w:hAnsi="Times New Roman" w:cs="Times New Roman"/>
                <w:color w:val="000000"/>
                <w:sz w:val="24"/>
                <w:szCs w:val="24"/>
              </w:rPr>
              <w:t>NPL</w:t>
            </w:r>
          </w:p>
        </w:tc>
        <w:tc>
          <w:tcPr>
            <w:tcW w:w="992" w:type="dxa"/>
            <w:tcBorders>
              <w:top w:val="nil"/>
              <w:left w:val="single" w:sz="16" w:space="0" w:color="000000"/>
              <w:bottom w:val="nil"/>
            </w:tcBorders>
            <w:shd w:val="clear" w:color="auto" w:fill="FFFFFF"/>
            <w:vAlign w:val="center"/>
          </w:tcPr>
          <w:p w14:paraId="315E2FF4" w14:textId="77777777" w:rsidR="00B07656" w:rsidRPr="00E20473" w:rsidRDefault="00B07656"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0473">
              <w:rPr>
                <w:rFonts w:ascii="Times New Roman" w:hAnsi="Times New Roman" w:cs="Times New Roman"/>
                <w:color w:val="000000"/>
                <w:sz w:val="24"/>
                <w:szCs w:val="24"/>
              </w:rPr>
              <w:t>-.012</w:t>
            </w:r>
          </w:p>
        </w:tc>
        <w:tc>
          <w:tcPr>
            <w:tcW w:w="1134" w:type="dxa"/>
            <w:tcBorders>
              <w:top w:val="nil"/>
              <w:bottom w:val="nil"/>
            </w:tcBorders>
            <w:shd w:val="clear" w:color="auto" w:fill="FFFFFF"/>
            <w:vAlign w:val="center"/>
          </w:tcPr>
          <w:p w14:paraId="05627A56" w14:textId="77777777" w:rsidR="00B07656" w:rsidRPr="00E20473" w:rsidRDefault="00B07656"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0473">
              <w:rPr>
                <w:rFonts w:ascii="Times New Roman" w:hAnsi="Times New Roman" w:cs="Times New Roman"/>
                <w:color w:val="000000"/>
                <w:sz w:val="24"/>
                <w:szCs w:val="24"/>
              </w:rPr>
              <w:t>.082</w:t>
            </w:r>
          </w:p>
        </w:tc>
        <w:tc>
          <w:tcPr>
            <w:tcW w:w="1560" w:type="dxa"/>
            <w:tcBorders>
              <w:top w:val="nil"/>
              <w:bottom w:val="nil"/>
            </w:tcBorders>
            <w:shd w:val="clear" w:color="auto" w:fill="FFFFFF"/>
            <w:vAlign w:val="center"/>
          </w:tcPr>
          <w:p w14:paraId="2DFBEECA" w14:textId="77777777" w:rsidR="00B07656" w:rsidRPr="00E20473" w:rsidRDefault="00B07656"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0473">
              <w:rPr>
                <w:rFonts w:ascii="Times New Roman" w:hAnsi="Times New Roman" w:cs="Times New Roman"/>
                <w:color w:val="000000"/>
                <w:sz w:val="24"/>
                <w:szCs w:val="24"/>
              </w:rPr>
              <w:t>-.014</w:t>
            </w:r>
          </w:p>
        </w:tc>
        <w:tc>
          <w:tcPr>
            <w:tcW w:w="850" w:type="dxa"/>
            <w:tcBorders>
              <w:top w:val="nil"/>
              <w:bottom w:val="nil"/>
            </w:tcBorders>
            <w:shd w:val="clear" w:color="auto" w:fill="FFFFFF"/>
            <w:vAlign w:val="center"/>
          </w:tcPr>
          <w:p w14:paraId="3504820B" w14:textId="77777777" w:rsidR="00B07656" w:rsidRPr="00E20473" w:rsidRDefault="00B07656"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0473">
              <w:rPr>
                <w:rFonts w:ascii="Times New Roman" w:hAnsi="Times New Roman" w:cs="Times New Roman"/>
                <w:color w:val="000000"/>
                <w:sz w:val="24"/>
                <w:szCs w:val="24"/>
              </w:rPr>
              <w:t>-.149</w:t>
            </w:r>
          </w:p>
        </w:tc>
        <w:tc>
          <w:tcPr>
            <w:tcW w:w="851" w:type="dxa"/>
            <w:tcBorders>
              <w:top w:val="nil"/>
              <w:bottom w:val="nil"/>
              <w:right w:val="single" w:sz="16" w:space="0" w:color="000000"/>
            </w:tcBorders>
            <w:shd w:val="clear" w:color="auto" w:fill="FFFFFF"/>
            <w:vAlign w:val="center"/>
          </w:tcPr>
          <w:p w14:paraId="08FD9E7D" w14:textId="77777777" w:rsidR="00B07656" w:rsidRPr="00E20473" w:rsidRDefault="00B07656"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0473">
              <w:rPr>
                <w:rFonts w:ascii="Times New Roman" w:hAnsi="Times New Roman" w:cs="Times New Roman"/>
                <w:color w:val="000000"/>
                <w:sz w:val="24"/>
                <w:szCs w:val="24"/>
              </w:rPr>
              <w:t>.882</w:t>
            </w:r>
          </w:p>
        </w:tc>
      </w:tr>
      <w:tr w:rsidR="00B07656" w:rsidRPr="00E20473" w14:paraId="1AA898A5" w14:textId="77777777" w:rsidTr="00520C1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518379CE" w14:textId="77777777" w:rsidR="00B07656" w:rsidRPr="00E20473" w:rsidRDefault="00B07656" w:rsidP="008908E5">
            <w:pPr>
              <w:autoSpaceDE w:val="0"/>
              <w:autoSpaceDN w:val="0"/>
              <w:adjustRightInd w:val="0"/>
              <w:spacing w:after="0" w:line="240" w:lineRule="auto"/>
              <w:rPr>
                <w:rFonts w:ascii="Times New Roman" w:hAnsi="Times New Roman" w:cs="Times New Roman"/>
                <w:color w:val="000000"/>
                <w:sz w:val="24"/>
                <w:szCs w:val="24"/>
              </w:rPr>
            </w:pPr>
          </w:p>
        </w:tc>
        <w:tc>
          <w:tcPr>
            <w:tcW w:w="1191" w:type="dxa"/>
            <w:tcBorders>
              <w:top w:val="nil"/>
              <w:left w:val="nil"/>
              <w:bottom w:val="nil"/>
              <w:right w:val="single" w:sz="16" w:space="0" w:color="000000"/>
            </w:tcBorders>
            <w:shd w:val="clear" w:color="auto" w:fill="FFFFFF"/>
          </w:tcPr>
          <w:p w14:paraId="3BE4B2C5" w14:textId="77777777" w:rsidR="00B07656" w:rsidRPr="00E20473" w:rsidRDefault="00B07656"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E20473">
              <w:rPr>
                <w:rFonts w:ascii="Times New Roman" w:hAnsi="Times New Roman" w:cs="Times New Roman"/>
                <w:color w:val="000000"/>
                <w:sz w:val="24"/>
                <w:szCs w:val="24"/>
              </w:rPr>
              <w:t>ROA</w:t>
            </w:r>
          </w:p>
        </w:tc>
        <w:tc>
          <w:tcPr>
            <w:tcW w:w="992" w:type="dxa"/>
            <w:tcBorders>
              <w:top w:val="nil"/>
              <w:left w:val="single" w:sz="16" w:space="0" w:color="000000"/>
              <w:bottom w:val="nil"/>
            </w:tcBorders>
            <w:shd w:val="clear" w:color="auto" w:fill="FFFFFF"/>
            <w:vAlign w:val="center"/>
          </w:tcPr>
          <w:p w14:paraId="4FAB0EBA" w14:textId="77777777" w:rsidR="00B07656" w:rsidRPr="00E20473" w:rsidRDefault="00B07656"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0473">
              <w:rPr>
                <w:rFonts w:ascii="Times New Roman" w:hAnsi="Times New Roman" w:cs="Times New Roman"/>
                <w:color w:val="000000"/>
                <w:sz w:val="24"/>
                <w:szCs w:val="24"/>
              </w:rPr>
              <w:t>.013</w:t>
            </w:r>
          </w:p>
        </w:tc>
        <w:tc>
          <w:tcPr>
            <w:tcW w:w="1134" w:type="dxa"/>
            <w:tcBorders>
              <w:top w:val="nil"/>
              <w:bottom w:val="nil"/>
            </w:tcBorders>
            <w:shd w:val="clear" w:color="auto" w:fill="FFFFFF"/>
            <w:vAlign w:val="center"/>
          </w:tcPr>
          <w:p w14:paraId="7060C345" w14:textId="77777777" w:rsidR="00B07656" w:rsidRPr="00E20473" w:rsidRDefault="00B07656"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0473">
              <w:rPr>
                <w:rFonts w:ascii="Times New Roman" w:hAnsi="Times New Roman" w:cs="Times New Roman"/>
                <w:color w:val="000000"/>
                <w:sz w:val="24"/>
                <w:szCs w:val="24"/>
              </w:rPr>
              <w:t>.142</w:t>
            </w:r>
          </w:p>
        </w:tc>
        <w:tc>
          <w:tcPr>
            <w:tcW w:w="1560" w:type="dxa"/>
            <w:tcBorders>
              <w:top w:val="nil"/>
              <w:bottom w:val="nil"/>
            </w:tcBorders>
            <w:shd w:val="clear" w:color="auto" w:fill="FFFFFF"/>
            <w:vAlign w:val="center"/>
          </w:tcPr>
          <w:p w14:paraId="4B3015C4" w14:textId="77777777" w:rsidR="00B07656" w:rsidRPr="00E20473" w:rsidRDefault="00B07656"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0473">
              <w:rPr>
                <w:rFonts w:ascii="Times New Roman" w:hAnsi="Times New Roman" w:cs="Times New Roman"/>
                <w:color w:val="000000"/>
                <w:sz w:val="24"/>
                <w:szCs w:val="24"/>
              </w:rPr>
              <w:t>.012</w:t>
            </w:r>
          </w:p>
        </w:tc>
        <w:tc>
          <w:tcPr>
            <w:tcW w:w="850" w:type="dxa"/>
            <w:tcBorders>
              <w:top w:val="nil"/>
              <w:bottom w:val="nil"/>
            </w:tcBorders>
            <w:shd w:val="clear" w:color="auto" w:fill="FFFFFF"/>
            <w:vAlign w:val="center"/>
          </w:tcPr>
          <w:p w14:paraId="0EBFE908" w14:textId="77777777" w:rsidR="00B07656" w:rsidRPr="00E20473" w:rsidRDefault="00B07656"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0473">
              <w:rPr>
                <w:rFonts w:ascii="Times New Roman" w:hAnsi="Times New Roman" w:cs="Times New Roman"/>
                <w:color w:val="000000"/>
                <w:sz w:val="24"/>
                <w:szCs w:val="24"/>
              </w:rPr>
              <w:t>.092</w:t>
            </w:r>
          </w:p>
        </w:tc>
        <w:tc>
          <w:tcPr>
            <w:tcW w:w="851" w:type="dxa"/>
            <w:tcBorders>
              <w:top w:val="nil"/>
              <w:bottom w:val="nil"/>
              <w:right w:val="single" w:sz="16" w:space="0" w:color="000000"/>
            </w:tcBorders>
            <w:shd w:val="clear" w:color="auto" w:fill="FFFFFF"/>
            <w:vAlign w:val="center"/>
          </w:tcPr>
          <w:p w14:paraId="735B8FCD" w14:textId="77777777" w:rsidR="00B07656" w:rsidRPr="00E20473" w:rsidRDefault="00B07656"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0473">
              <w:rPr>
                <w:rFonts w:ascii="Times New Roman" w:hAnsi="Times New Roman" w:cs="Times New Roman"/>
                <w:color w:val="000000"/>
                <w:sz w:val="24"/>
                <w:szCs w:val="24"/>
              </w:rPr>
              <w:t>.927</w:t>
            </w:r>
          </w:p>
        </w:tc>
      </w:tr>
      <w:tr w:rsidR="00B07656" w:rsidRPr="00E20473" w14:paraId="44016080" w14:textId="77777777" w:rsidTr="00520C1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50F4BE71" w14:textId="77777777" w:rsidR="00B07656" w:rsidRPr="00E20473" w:rsidRDefault="00B07656" w:rsidP="008908E5">
            <w:pPr>
              <w:autoSpaceDE w:val="0"/>
              <w:autoSpaceDN w:val="0"/>
              <w:adjustRightInd w:val="0"/>
              <w:spacing w:after="0" w:line="240" w:lineRule="auto"/>
              <w:rPr>
                <w:rFonts w:ascii="Times New Roman" w:hAnsi="Times New Roman" w:cs="Times New Roman"/>
                <w:color w:val="000000"/>
                <w:sz w:val="24"/>
                <w:szCs w:val="24"/>
              </w:rPr>
            </w:pPr>
          </w:p>
        </w:tc>
        <w:tc>
          <w:tcPr>
            <w:tcW w:w="1191" w:type="dxa"/>
            <w:tcBorders>
              <w:top w:val="nil"/>
              <w:left w:val="nil"/>
              <w:bottom w:val="nil"/>
              <w:right w:val="single" w:sz="16" w:space="0" w:color="000000"/>
            </w:tcBorders>
            <w:shd w:val="clear" w:color="auto" w:fill="FFFFFF"/>
          </w:tcPr>
          <w:p w14:paraId="583AE059" w14:textId="77777777" w:rsidR="00B07656" w:rsidRPr="00E20473" w:rsidRDefault="00B07656"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E20473">
              <w:rPr>
                <w:rFonts w:ascii="Times New Roman" w:hAnsi="Times New Roman" w:cs="Times New Roman"/>
                <w:color w:val="000000"/>
                <w:sz w:val="24"/>
                <w:szCs w:val="24"/>
              </w:rPr>
              <w:t>PDN</w:t>
            </w:r>
          </w:p>
        </w:tc>
        <w:tc>
          <w:tcPr>
            <w:tcW w:w="992" w:type="dxa"/>
            <w:tcBorders>
              <w:top w:val="nil"/>
              <w:left w:val="single" w:sz="16" w:space="0" w:color="000000"/>
              <w:bottom w:val="nil"/>
            </w:tcBorders>
            <w:shd w:val="clear" w:color="auto" w:fill="FFFFFF"/>
            <w:vAlign w:val="center"/>
          </w:tcPr>
          <w:p w14:paraId="65BD945D" w14:textId="77777777" w:rsidR="00B07656" w:rsidRPr="00E20473" w:rsidRDefault="00B07656"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0473">
              <w:rPr>
                <w:rFonts w:ascii="Times New Roman" w:hAnsi="Times New Roman" w:cs="Times New Roman"/>
                <w:color w:val="000000"/>
                <w:sz w:val="24"/>
                <w:szCs w:val="24"/>
              </w:rPr>
              <w:t>-.003</w:t>
            </w:r>
          </w:p>
        </w:tc>
        <w:tc>
          <w:tcPr>
            <w:tcW w:w="1134" w:type="dxa"/>
            <w:tcBorders>
              <w:top w:val="nil"/>
              <w:bottom w:val="nil"/>
            </w:tcBorders>
            <w:shd w:val="clear" w:color="auto" w:fill="FFFFFF"/>
            <w:vAlign w:val="center"/>
          </w:tcPr>
          <w:p w14:paraId="34F1B26A" w14:textId="77777777" w:rsidR="00B07656" w:rsidRPr="00E20473" w:rsidRDefault="00B07656"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0473">
              <w:rPr>
                <w:rFonts w:ascii="Times New Roman" w:hAnsi="Times New Roman" w:cs="Times New Roman"/>
                <w:color w:val="000000"/>
                <w:sz w:val="24"/>
                <w:szCs w:val="24"/>
              </w:rPr>
              <w:t>.075</w:t>
            </w:r>
          </w:p>
        </w:tc>
        <w:tc>
          <w:tcPr>
            <w:tcW w:w="1560" w:type="dxa"/>
            <w:tcBorders>
              <w:top w:val="nil"/>
              <w:bottom w:val="nil"/>
            </w:tcBorders>
            <w:shd w:val="clear" w:color="auto" w:fill="FFFFFF"/>
            <w:vAlign w:val="center"/>
          </w:tcPr>
          <w:p w14:paraId="3756654C" w14:textId="77777777" w:rsidR="00B07656" w:rsidRPr="00E20473" w:rsidRDefault="00B07656"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0473">
              <w:rPr>
                <w:rFonts w:ascii="Times New Roman" w:hAnsi="Times New Roman" w:cs="Times New Roman"/>
                <w:color w:val="000000"/>
                <w:sz w:val="24"/>
                <w:szCs w:val="24"/>
              </w:rPr>
              <w:t>-.003</w:t>
            </w:r>
          </w:p>
        </w:tc>
        <w:tc>
          <w:tcPr>
            <w:tcW w:w="850" w:type="dxa"/>
            <w:tcBorders>
              <w:top w:val="nil"/>
              <w:bottom w:val="nil"/>
            </w:tcBorders>
            <w:shd w:val="clear" w:color="auto" w:fill="FFFFFF"/>
            <w:vAlign w:val="center"/>
          </w:tcPr>
          <w:p w14:paraId="0878F7D1" w14:textId="77777777" w:rsidR="00B07656" w:rsidRPr="00E20473" w:rsidRDefault="00B07656"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0473">
              <w:rPr>
                <w:rFonts w:ascii="Times New Roman" w:hAnsi="Times New Roman" w:cs="Times New Roman"/>
                <w:color w:val="000000"/>
                <w:sz w:val="24"/>
                <w:szCs w:val="24"/>
              </w:rPr>
              <w:t>-.033</w:t>
            </w:r>
          </w:p>
        </w:tc>
        <w:tc>
          <w:tcPr>
            <w:tcW w:w="851" w:type="dxa"/>
            <w:tcBorders>
              <w:top w:val="nil"/>
              <w:bottom w:val="nil"/>
              <w:right w:val="single" w:sz="16" w:space="0" w:color="000000"/>
            </w:tcBorders>
            <w:shd w:val="clear" w:color="auto" w:fill="FFFFFF"/>
            <w:vAlign w:val="center"/>
          </w:tcPr>
          <w:p w14:paraId="23C7D349" w14:textId="77777777" w:rsidR="00B07656" w:rsidRPr="00E20473" w:rsidRDefault="00B07656"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0473">
              <w:rPr>
                <w:rFonts w:ascii="Times New Roman" w:hAnsi="Times New Roman" w:cs="Times New Roman"/>
                <w:color w:val="000000"/>
                <w:sz w:val="24"/>
                <w:szCs w:val="24"/>
              </w:rPr>
              <w:t>.973</w:t>
            </w:r>
          </w:p>
        </w:tc>
      </w:tr>
      <w:tr w:rsidR="00B07656" w:rsidRPr="00E20473" w14:paraId="0DEEB6C7" w14:textId="77777777" w:rsidTr="00520C1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03DFE532" w14:textId="77777777" w:rsidR="00B07656" w:rsidRPr="00E20473" w:rsidRDefault="00B07656" w:rsidP="008908E5">
            <w:pPr>
              <w:autoSpaceDE w:val="0"/>
              <w:autoSpaceDN w:val="0"/>
              <w:adjustRightInd w:val="0"/>
              <w:spacing w:after="0" w:line="240" w:lineRule="auto"/>
              <w:rPr>
                <w:rFonts w:ascii="Times New Roman" w:hAnsi="Times New Roman" w:cs="Times New Roman"/>
                <w:color w:val="000000"/>
                <w:sz w:val="24"/>
                <w:szCs w:val="24"/>
              </w:rPr>
            </w:pPr>
          </w:p>
        </w:tc>
        <w:tc>
          <w:tcPr>
            <w:tcW w:w="1191" w:type="dxa"/>
            <w:tcBorders>
              <w:top w:val="nil"/>
              <w:left w:val="nil"/>
              <w:bottom w:val="nil"/>
              <w:right w:val="single" w:sz="16" w:space="0" w:color="000000"/>
            </w:tcBorders>
            <w:shd w:val="clear" w:color="auto" w:fill="FFFFFF"/>
          </w:tcPr>
          <w:p w14:paraId="3F6868B6" w14:textId="77777777" w:rsidR="00B07656" w:rsidRPr="00E20473" w:rsidRDefault="00B07656"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E20473">
              <w:rPr>
                <w:rFonts w:ascii="Times New Roman" w:hAnsi="Times New Roman" w:cs="Times New Roman"/>
                <w:color w:val="000000"/>
                <w:sz w:val="24"/>
                <w:szCs w:val="24"/>
              </w:rPr>
              <w:t>BOPO</w:t>
            </w:r>
          </w:p>
        </w:tc>
        <w:tc>
          <w:tcPr>
            <w:tcW w:w="992" w:type="dxa"/>
            <w:tcBorders>
              <w:top w:val="nil"/>
              <w:left w:val="single" w:sz="16" w:space="0" w:color="000000"/>
              <w:bottom w:val="nil"/>
            </w:tcBorders>
            <w:shd w:val="clear" w:color="auto" w:fill="FFFFFF"/>
            <w:vAlign w:val="center"/>
          </w:tcPr>
          <w:p w14:paraId="2385D4C7" w14:textId="77777777" w:rsidR="00B07656" w:rsidRPr="00E20473" w:rsidRDefault="00B07656"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0473">
              <w:rPr>
                <w:rFonts w:ascii="Times New Roman" w:hAnsi="Times New Roman" w:cs="Times New Roman"/>
                <w:color w:val="000000"/>
                <w:sz w:val="24"/>
                <w:szCs w:val="24"/>
              </w:rPr>
              <w:t>-.024</w:t>
            </w:r>
          </w:p>
        </w:tc>
        <w:tc>
          <w:tcPr>
            <w:tcW w:w="1134" w:type="dxa"/>
            <w:tcBorders>
              <w:top w:val="nil"/>
              <w:bottom w:val="nil"/>
            </w:tcBorders>
            <w:shd w:val="clear" w:color="auto" w:fill="FFFFFF"/>
            <w:vAlign w:val="center"/>
          </w:tcPr>
          <w:p w14:paraId="604094C8" w14:textId="77777777" w:rsidR="00B07656" w:rsidRPr="00E20473" w:rsidRDefault="00B07656"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0473">
              <w:rPr>
                <w:rFonts w:ascii="Times New Roman" w:hAnsi="Times New Roman" w:cs="Times New Roman"/>
                <w:color w:val="000000"/>
                <w:sz w:val="24"/>
                <w:szCs w:val="24"/>
              </w:rPr>
              <w:t>.185</w:t>
            </w:r>
          </w:p>
        </w:tc>
        <w:tc>
          <w:tcPr>
            <w:tcW w:w="1560" w:type="dxa"/>
            <w:tcBorders>
              <w:top w:val="nil"/>
              <w:bottom w:val="nil"/>
            </w:tcBorders>
            <w:shd w:val="clear" w:color="auto" w:fill="FFFFFF"/>
            <w:vAlign w:val="center"/>
          </w:tcPr>
          <w:p w14:paraId="2898A93B" w14:textId="77777777" w:rsidR="00B07656" w:rsidRPr="00E20473" w:rsidRDefault="00B07656"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0473">
              <w:rPr>
                <w:rFonts w:ascii="Times New Roman" w:hAnsi="Times New Roman" w:cs="Times New Roman"/>
                <w:color w:val="000000"/>
                <w:sz w:val="24"/>
                <w:szCs w:val="24"/>
              </w:rPr>
              <w:t>-.017</w:t>
            </w:r>
          </w:p>
        </w:tc>
        <w:tc>
          <w:tcPr>
            <w:tcW w:w="850" w:type="dxa"/>
            <w:tcBorders>
              <w:top w:val="nil"/>
              <w:bottom w:val="nil"/>
            </w:tcBorders>
            <w:shd w:val="clear" w:color="auto" w:fill="FFFFFF"/>
            <w:vAlign w:val="center"/>
          </w:tcPr>
          <w:p w14:paraId="03A0F77B" w14:textId="77777777" w:rsidR="00B07656" w:rsidRPr="00E20473" w:rsidRDefault="00B07656"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0473">
              <w:rPr>
                <w:rFonts w:ascii="Times New Roman" w:hAnsi="Times New Roman" w:cs="Times New Roman"/>
                <w:color w:val="000000"/>
                <w:sz w:val="24"/>
                <w:szCs w:val="24"/>
              </w:rPr>
              <w:t>-.127</w:t>
            </w:r>
          </w:p>
        </w:tc>
        <w:tc>
          <w:tcPr>
            <w:tcW w:w="851" w:type="dxa"/>
            <w:tcBorders>
              <w:top w:val="nil"/>
              <w:bottom w:val="nil"/>
              <w:right w:val="single" w:sz="16" w:space="0" w:color="000000"/>
            </w:tcBorders>
            <w:shd w:val="clear" w:color="auto" w:fill="FFFFFF"/>
            <w:vAlign w:val="center"/>
          </w:tcPr>
          <w:p w14:paraId="5142E241" w14:textId="77777777" w:rsidR="00B07656" w:rsidRPr="00E20473" w:rsidRDefault="00B07656"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0473">
              <w:rPr>
                <w:rFonts w:ascii="Times New Roman" w:hAnsi="Times New Roman" w:cs="Times New Roman"/>
                <w:color w:val="000000"/>
                <w:sz w:val="24"/>
                <w:szCs w:val="24"/>
              </w:rPr>
              <w:t>.899</w:t>
            </w:r>
          </w:p>
        </w:tc>
      </w:tr>
      <w:tr w:rsidR="00B07656" w:rsidRPr="00E20473" w14:paraId="15F9FA07" w14:textId="77777777" w:rsidTr="00520C1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19E697A2" w14:textId="77777777" w:rsidR="00B07656" w:rsidRPr="00E20473" w:rsidRDefault="00B07656" w:rsidP="008908E5">
            <w:pPr>
              <w:autoSpaceDE w:val="0"/>
              <w:autoSpaceDN w:val="0"/>
              <w:adjustRightInd w:val="0"/>
              <w:spacing w:after="0" w:line="240" w:lineRule="auto"/>
              <w:rPr>
                <w:rFonts w:ascii="Times New Roman" w:hAnsi="Times New Roman" w:cs="Times New Roman"/>
                <w:color w:val="000000"/>
                <w:sz w:val="24"/>
                <w:szCs w:val="24"/>
              </w:rPr>
            </w:pPr>
          </w:p>
        </w:tc>
        <w:tc>
          <w:tcPr>
            <w:tcW w:w="1191" w:type="dxa"/>
            <w:tcBorders>
              <w:top w:val="nil"/>
              <w:left w:val="nil"/>
              <w:bottom w:val="nil"/>
              <w:right w:val="single" w:sz="16" w:space="0" w:color="000000"/>
            </w:tcBorders>
            <w:shd w:val="clear" w:color="auto" w:fill="FFFFFF"/>
          </w:tcPr>
          <w:p w14:paraId="3E53E331" w14:textId="77777777" w:rsidR="00B07656" w:rsidRPr="00E20473" w:rsidRDefault="00B07656"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E20473">
              <w:rPr>
                <w:rFonts w:ascii="Times New Roman" w:hAnsi="Times New Roman" w:cs="Times New Roman"/>
                <w:color w:val="000000"/>
                <w:sz w:val="24"/>
                <w:szCs w:val="24"/>
              </w:rPr>
              <w:t>DER</w:t>
            </w:r>
          </w:p>
        </w:tc>
        <w:tc>
          <w:tcPr>
            <w:tcW w:w="992" w:type="dxa"/>
            <w:tcBorders>
              <w:top w:val="nil"/>
              <w:left w:val="single" w:sz="16" w:space="0" w:color="000000"/>
              <w:bottom w:val="nil"/>
            </w:tcBorders>
            <w:shd w:val="clear" w:color="auto" w:fill="FFFFFF"/>
            <w:vAlign w:val="center"/>
          </w:tcPr>
          <w:p w14:paraId="333F9143" w14:textId="77777777" w:rsidR="00B07656" w:rsidRPr="00E20473" w:rsidRDefault="00B07656"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0473">
              <w:rPr>
                <w:rFonts w:ascii="Times New Roman" w:hAnsi="Times New Roman" w:cs="Times New Roman"/>
                <w:color w:val="000000"/>
                <w:sz w:val="24"/>
                <w:szCs w:val="24"/>
              </w:rPr>
              <w:t>.002</w:t>
            </w:r>
          </w:p>
        </w:tc>
        <w:tc>
          <w:tcPr>
            <w:tcW w:w="1134" w:type="dxa"/>
            <w:tcBorders>
              <w:top w:val="nil"/>
              <w:bottom w:val="nil"/>
            </w:tcBorders>
            <w:shd w:val="clear" w:color="auto" w:fill="FFFFFF"/>
            <w:vAlign w:val="center"/>
          </w:tcPr>
          <w:p w14:paraId="28B4959A" w14:textId="77777777" w:rsidR="00B07656" w:rsidRPr="00E20473" w:rsidRDefault="00B07656"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0473">
              <w:rPr>
                <w:rFonts w:ascii="Times New Roman" w:hAnsi="Times New Roman" w:cs="Times New Roman"/>
                <w:color w:val="000000"/>
                <w:sz w:val="24"/>
                <w:szCs w:val="24"/>
              </w:rPr>
              <w:t>.043</w:t>
            </w:r>
          </w:p>
        </w:tc>
        <w:tc>
          <w:tcPr>
            <w:tcW w:w="1560" w:type="dxa"/>
            <w:tcBorders>
              <w:top w:val="nil"/>
              <w:bottom w:val="nil"/>
            </w:tcBorders>
            <w:shd w:val="clear" w:color="auto" w:fill="FFFFFF"/>
            <w:vAlign w:val="center"/>
          </w:tcPr>
          <w:p w14:paraId="32DBFBC1" w14:textId="77777777" w:rsidR="00B07656" w:rsidRPr="00E20473" w:rsidRDefault="00B07656"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0473">
              <w:rPr>
                <w:rFonts w:ascii="Times New Roman" w:hAnsi="Times New Roman" w:cs="Times New Roman"/>
                <w:color w:val="000000"/>
                <w:sz w:val="24"/>
                <w:szCs w:val="24"/>
              </w:rPr>
              <w:t>.003</w:t>
            </w:r>
          </w:p>
        </w:tc>
        <w:tc>
          <w:tcPr>
            <w:tcW w:w="850" w:type="dxa"/>
            <w:tcBorders>
              <w:top w:val="nil"/>
              <w:bottom w:val="nil"/>
            </w:tcBorders>
            <w:shd w:val="clear" w:color="auto" w:fill="FFFFFF"/>
            <w:vAlign w:val="center"/>
          </w:tcPr>
          <w:p w14:paraId="3C55E78A" w14:textId="77777777" w:rsidR="00B07656" w:rsidRPr="00E20473" w:rsidRDefault="00B07656"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0473">
              <w:rPr>
                <w:rFonts w:ascii="Times New Roman" w:hAnsi="Times New Roman" w:cs="Times New Roman"/>
                <w:color w:val="000000"/>
                <w:sz w:val="24"/>
                <w:szCs w:val="24"/>
              </w:rPr>
              <w:t>.039</w:t>
            </w:r>
          </w:p>
        </w:tc>
        <w:tc>
          <w:tcPr>
            <w:tcW w:w="851" w:type="dxa"/>
            <w:tcBorders>
              <w:top w:val="nil"/>
              <w:bottom w:val="nil"/>
              <w:right w:val="single" w:sz="16" w:space="0" w:color="000000"/>
            </w:tcBorders>
            <w:shd w:val="clear" w:color="auto" w:fill="FFFFFF"/>
            <w:vAlign w:val="center"/>
          </w:tcPr>
          <w:p w14:paraId="46A07D76" w14:textId="77777777" w:rsidR="00B07656" w:rsidRPr="00E20473" w:rsidRDefault="00B07656"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0473">
              <w:rPr>
                <w:rFonts w:ascii="Times New Roman" w:hAnsi="Times New Roman" w:cs="Times New Roman"/>
                <w:color w:val="000000"/>
                <w:sz w:val="24"/>
                <w:szCs w:val="24"/>
              </w:rPr>
              <w:t>.969</w:t>
            </w:r>
          </w:p>
        </w:tc>
      </w:tr>
      <w:tr w:rsidR="00B07656" w:rsidRPr="00E20473" w14:paraId="276122D1" w14:textId="77777777" w:rsidTr="00520C1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31F99012" w14:textId="77777777" w:rsidR="00B07656" w:rsidRPr="00E20473" w:rsidRDefault="00B07656" w:rsidP="008908E5">
            <w:pPr>
              <w:autoSpaceDE w:val="0"/>
              <w:autoSpaceDN w:val="0"/>
              <w:adjustRightInd w:val="0"/>
              <w:spacing w:after="0" w:line="240" w:lineRule="auto"/>
              <w:rPr>
                <w:rFonts w:ascii="Times New Roman" w:hAnsi="Times New Roman" w:cs="Times New Roman"/>
                <w:color w:val="000000"/>
                <w:sz w:val="24"/>
                <w:szCs w:val="24"/>
              </w:rPr>
            </w:pPr>
          </w:p>
        </w:tc>
        <w:tc>
          <w:tcPr>
            <w:tcW w:w="1191" w:type="dxa"/>
            <w:tcBorders>
              <w:top w:val="nil"/>
              <w:left w:val="nil"/>
              <w:bottom w:val="single" w:sz="16" w:space="0" w:color="000000"/>
              <w:right w:val="single" w:sz="16" w:space="0" w:color="000000"/>
            </w:tcBorders>
            <w:shd w:val="clear" w:color="auto" w:fill="FFFFFF"/>
          </w:tcPr>
          <w:p w14:paraId="4E18DEDA" w14:textId="77777777" w:rsidR="00B07656" w:rsidRPr="00E20473" w:rsidRDefault="00B07656"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E20473">
              <w:rPr>
                <w:rFonts w:ascii="Times New Roman" w:hAnsi="Times New Roman" w:cs="Times New Roman"/>
                <w:color w:val="000000"/>
                <w:sz w:val="24"/>
                <w:szCs w:val="24"/>
              </w:rPr>
              <w:t>LAG_RES</w:t>
            </w:r>
          </w:p>
        </w:tc>
        <w:tc>
          <w:tcPr>
            <w:tcW w:w="992" w:type="dxa"/>
            <w:tcBorders>
              <w:top w:val="nil"/>
              <w:left w:val="single" w:sz="16" w:space="0" w:color="000000"/>
              <w:bottom w:val="single" w:sz="16" w:space="0" w:color="000000"/>
            </w:tcBorders>
            <w:shd w:val="clear" w:color="auto" w:fill="FFFFFF"/>
            <w:vAlign w:val="center"/>
          </w:tcPr>
          <w:p w14:paraId="2B2A22A5" w14:textId="77777777" w:rsidR="00B07656" w:rsidRPr="00E20473" w:rsidRDefault="00B07656"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0473">
              <w:rPr>
                <w:rFonts w:ascii="Times New Roman" w:hAnsi="Times New Roman" w:cs="Times New Roman"/>
                <w:color w:val="000000"/>
                <w:sz w:val="24"/>
                <w:szCs w:val="24"/>
              </w:rPr>
              <w:t>.006</w:t>
            </w:r>
          </w:p>
        </w:tc>
        <w:tc>
          <w:tcPr>
            <w:tcW w:w="1134" w:type="dxa"/>
            <w:tcBorders>
              <w:top w:val="nil"/>
              <w:bottom w:val="single" w:sz="16" w:space="0" w:color="000000"/>
            </w:tcBorders>
            <w:shd w:val="clear" w:color="auto" w:fill="FFFFFF"/>
            <w:vAlign w:val="center"/>
          </w:tcPr>
          <w:p w14:paraId="0A7FD86E" w14:textId="77777777" w:rsidR="00B07656" w:rsidRPr="00E20473" w:rsidRDefault="00B07656"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0473">
              <w:rPr>
                <w:rFonts w:ascii="Times New Roman" w:hAnsi="Times New Roman" w:cs="Times New Roman"/>
                <w:color w:val="000000"/>
                <w:sz w:val="24"/>
                <w:szCs w:val="24"/>
              </w:rPr>
              <w:t>.087</w:t>
            </w:r>
          </w:p>
        </w:tc>
        <w:tc>
          <w:tcPr>
            <w:tcW w:w="1560" w:type="dxa"/>
            <w:tcBorders>
              <w:top w:val="nil"/>
              <w:bottom w:val="single" w:sz="16" w:space="0" w:color="000000"/>
            </w:tcBorders>
            <w:shd w:val="clear" w:color="auto" w:fill="FFFFFF"/>
            <w:vAlign w:val="center"/>
          </w:tcPr>
          <w:p w14:paraId="659EA82F" w14:textId="77777777" w:rsidR="00B07656" w:rsidRPr="00E20473" w:rsidRDefault="00B07656"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0473">
              <w:rPr>
                <w:rFonts w:ascii="Times New Roman" w:hAnsi="Times New Roman" w:cs="Times New Roman"/>
                <w:color w:val="000000"/>
                <w:sz w:val="24"/>
                <w:szCs w:val="24"/>
              </w:rPr>
              <w:t>.006</w:t>
            </w:r>
          </w:p>
        </w:tc>
        <w:tc>
          <w:tcPr>
            <w:tcW w:w="850" w:type="dxa"/>
            <w:tcBorders>
              <w:top w:val="nil"/>
              <w:bottom w:val="single" w:sz="16" w:space="0" w:color="000000"/>
            </w:tcBorders>
            <w:shd w:val="clear" w:color="auto" w:fill="FFFFFF"/>
            <w:vAlign w:val="center"/>
          </w:tcPr>
          <w:p w14:paraId="12A70412" w14:textId="77777777" w:rsidR="00B07656" w:rsidRPr="00E20473" w:rsidRDefault="00B07656"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0473">
              <w:rPr>
                <w:rFonts w:ascii="Times New Roman" w:hAnsi="Times New Roman" w:cs="Times New Roman"/>
                <w:color w:val="000000"/>
                <w:sz w:val="24"/>
                <w:szCs w:val="24"/>
              </w:rPr>
              <w:t>.066</w:t>
            </w:r>
          </w:p>
        </w:tc>
        <w:tc>
          <w:tcPr>
            <w:tcW w:w="851" w:type="dxa"/>
            <w:tcBorders>
              <w:top w:val="nil"/>
              <w:bottom w:val="single" w:sz="16" w:space="0" w:color="000000"/>
              <w:right w:val="single" w:sz="16" w:space="0" w:color="000000"/>
            </w:tcBorders>
            <w:shd w:val="clear" w:color="auto" w:fill="FFFFFF"/>
            <w:vAlign w:val="center"/>
          </w:tcPr>
          <w:p w14:paraId="2C53D6B8" w14:textId="77777777" w:rsidR="00B07656" w:rsidRPr="00E20473" w:rsidRDefault="00B07656"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0473">
              <w:rPr>
                <w:rFonts w:ascii="Times New Roman" w:hAnsi="Times New Roman" w:cs="Times New Roman"/>
                <w:color w:val="000000"/>
                <w:sz w:val="24"/>
                <w:szCs w:val="24"/>
              </w:rPr>
              <w:t>.948</w:t>
            </w:r>
          </w:p>
        </w:tc>
      </w:tr>
      <w:tr w:rsidR="00B07656" w:rsidRPr="00E20473" w14:paraId="0651D4C3" w14:textId="77777777" w:rsidTr="00520C1B">
        <w:trPr>
          <w:cantSplit/>
        </w:trPr>
        <w:tc>
          <w:tcPr>
            <w:tcW w:w="7314" w:type="dxa"/>
            <w:gridSpan w:val="7"/>
            <w:tcBorders>
              <w:top w:val="nil"/>
              <w:left w:val="nil"/>
              <w:bottom w:val="nil"/>
              <w:right w:val="nil"/>
            </w:tcBorders>
            <w:shd w:val="clear" w:color="auto" w:fill="FFFFFF"/>
          </w:tcPr>
          <w:p w14:paraId="54817AD3" w14:textId="77777777" w:rsidR="00B07656" w:rsidRPr="00E20473" w:rsidRDefault="00B07656" w:rsidP="00520C1B">
            <w:pPr>
              <w:autoSpaceDE w:val="0"/>
              <w:autoSpaceDN w:val="0"/>
              <w:adjustRightInd w:val="0"/>
              <w:spacing w:after="0" w:line="360" w:lineRule="auto"/>
              <w:ind w:left="60" w:right="60"/>
              <w:rPr>
                <w:rFonts w:ascii="Times New Roman" w:hAnsi="Times New Roman" w:cs="Times New Roman"/>
                <w:color w:val="000000"/>
                <w:sz w:val="24"/>
                <w:szCs w:val="24"/>
              </w:rPr>
            </w:pPr>
            <w:r w:rsidRPr="00E20473">
              <w:rPr>
                <w:rFonts w:ascii="Times New Roman" w:hAnsi="Times New Roman" w:cs="Times New Roman"/>
                <w:color w:val="000000"/>
                <w:sz w:val="24"/>
                <w:szCs w:val="24"/>
              </w:rPr>
              <w:t>a. Dependent Variable: Unstandardized Residual</w:t>
            </w:r>
          </w:p>
        </w:tc>
      </w:tr>
    </w:tbl>
    <w:p w14:paraId="56F2D9FB" w14:textId="1AA932F4" w:rsidR="00B07656" w:rsidRPr="00D23C67" w:rsidRDefault="00520C1B" w:rsidP="00D23C67">
      <w:pPr>
        <w:spacing w:line="360" w:lineRule="auto"/>
        <w:ind w:left="1560"/>
        <w:jc w:val="both"/>
        <w:rPr>
          <w:rFonts w:ascii="Times New Roman" w:hAnsi="Times New Roman" w:cs="Times New Roman"/>
          <w:sz w:val="24"/>
          <w:szCs w:val="24"/>
        </w:rPr>
      </w:pPr>
      <w:r w:rsidRPr="00520C1B">
        <w:rPr>
          <w:rFonts w:ascii="Times New Roman" w:hAnsi="Times New Roman" w:cs="Times New Roman"/>
          <w:sz w:val="24"/>
          <w:szCs w:val="24"/>
        </w:rPr>
        <w:t>Sumber : Output SPSS 22, data yang diolah (2024)</w:t>
      </w:r>
    </w:p>
    <w:p w14:paraId="4E223F2C" w14:textId="0D3E5E02" w:rsidR="00B07656" w:rsidRPr="00C46A01" w:rsidRDefault="00B34913" w:rsidP="00C9227C">
      <w:pPr>
        <w:pStyle w:val="ListParagraph"/>
        <w:spacing w:line="480" w:lineRule="auto"/>
        <w:ind w:left="1571" w:firstLine="589"/>
        <w:jc w:val="both"/>
        <w:rPr>
          <w:rFonts w:ascii="Times New Roman" w:hAnsi="Times New Roman" w:cs="Times New Roman"/>
          <w:sz w:val="24"/>
          <w:szCs w:val="24"/>
        </w:rPr>
      </w:pPr>
      <w:r>
        <w:rPr>
          <w:rFonts w:ascii="Times New Roman" w:hAnsi="Times New Roman" w:cs="Times New Roman"/>
          <w:sz w:val="24"/>
          <w:szCs w:val="24"/>
        </w:rPr>
        <w:t>Berdasarkan hasil output SPSS terlihat bahwa nilai sig tiap variabel X1 sebesar 0.882, X2 seb</w:t>
      </w:r>
      <w:r w:rsidR="00D23E3A">
        <w:rPr>
          <w:rFonts w:ascii="Times New Roman" w:hAnsi="Times New Roman" w:cs="Times New Roman"/>
          <w:sz w:val="24"/>
          <w:szCs w:val="24"/>
        </w:rPr>
        <w:t>e</w:t>
      </w:r>
      <w:r>
        <w:rPr>
          <w:rFonts w:ascii="Times New Roman" w:hAnsi="Times New Roman" w:cs="Times New Roman"/>
          <w:sz w:val="24"/>
          <w:szCs w:val="24"/>
        </w:rPr>
        <w:t xml:space="preserve">sar 0.927, X3 sebesar 0.973, X4 sebesar 0.899, X5 sebesar 0.969 dan LAG_RES sebesar 0.948 yang </w:t>
      </w:r>
      <w:r w:rsidR="00BB4C2C">
        <w:rPr>
          <w:rFonts w:ascii="Times New Roman" w:hAnsi="Times New Roman" w:cs="Times New Roman"/>
          <w:sz w:val="24"/>
          <w:szCs w:val="24"/>
        </w:rPr>
        <w:lastRenderedPageBreak/>
        <w:t>menunjukkan</w:t>
      </w:r>
      <w:r>
        <w:rPr>
          <w:rFonts w:ascii="Times New Roman" w:hAnsi="Times New Roman" w:cs="Times New Roman"/>
          <w:sz w:val="24"/>
          <w:szCs w:val="24"/>
        </w:rPr>
        <w:t xml:space="preserve"> nilai-nilai tersebut lebih besar dari 0,05. Hasil tersebut </w:t>
      </w:r>
      <w:r w:rsidR="00BB4C2C">
        <w:rPr>
          <w:rFonts w:ascii="Times New Roman" w:hAnsi="Times New Roman" w:cs="Times New Roman"/>
          <w:sz w:val="24"/>
          <w:szCs w:val="24"/>
        </w:rPr>
        <w:t>menunjukkan</w:t>
      </w:r>
      <w:r>
        <w:rPr>
          <w:rFonts w:ascii="Times New Roman" w:hAnsi="Times New Roman" w:cs="Times New Roman"/>
          <w:sz w:val="24"/>
          <w:szCs w:val="24"/>
        </w:rPr>
        <w:t xml:space="preserve"> bahwa tidak ada gejala autokorelasi dan dapat dikatakan data memenuhi persyaratan uji autokorelasi. </w:t>
      </w:r>
    </w:p>
    <w:p w14:paraId="6E5588D2" w14:textId="5E392519" w:rsidR="004579EF" w:rsidRPr="00C46A01" w:rsidRDefault="004579EF" w:rsidP="00095897">
      <w:pPr>
        <w:pStyle w:val="ListParagraph"/>
        <w:numPr>
          <w:ilvl w:val="0"/>
          <w:numId w:val="87"/>
        </w:numPr>
        <w:spacing w:line="480" w:lineRule="auto"/>
        <w:jc w:val="both"/>
        <w:rPr>
          <w:rFonts w:ascii="Times New Roman" w:hAnsi="Times New Roman" w:cs="Times New Roman"/>
          <w:sz w:val="24"/>
          <w:szCs w:val="24"/>
        </w:rPr>
      </w:pPr>
      <w:r w:rsidRPr="00C46A01">
        <w:rPr>
          <w:rFonts w:ascii="Times New Roman" w:hAnsi="Times New Roman" w:cs="Times New Roman"/>
          <w:sz w:val="24"/>
          <w:szCs w:val="24"/>
        </w:rPr>
        <w:t xml:space="preserve">Uji </w:t>
      </w:r>
      <w:r w:rsidR="003D296D" w:rsidRPr="00C46A01">
        <w:rPr>
          <w:rFonts w:ascii="Times New Roman" w:hAnsi="Times New Roman" w:cs="Times New Roman"/>
          <w:sz w:val="24"/>
          <w:szCs w:val="24"/>
        </w:rPr>
        <w:t>H</w:t>
      </w:r>
      <w:r w:rsidRPr="00C46A01">
        <w:rPr>
          <w:rFonts w:ascii="Times New Roman" w:hAnsi="Times New Roman" w:cs="Times New Roman"/>
          <w:sz w:val="24"/>
          <w:szCs w:val="24"/>
        </w:rPr>
        <w:t>eterokedastisitas</w:t>
      </w:r>
    </w:p>
    <w:p w14:paraId="35C54FA7" w14:textId="448CE442" w:rsidR="00F053DA" w:rsidRPr="001939BC" w:rsidRDefault="00474CC9" w:rsidP="001939BC">
      <w:pPr>
        <w:pStyle w:val="ListParagraph"/>
        <w:spacing w:line="480" w:lineRule="auto"/>
        <w:ind w:left="1571" w:firstLine="589"/>
        <w:jc w:val="both"/>
        <w:rPr>
          <w:rFonts w:ascii="Times New Roman" w:hAnsi="Times New Roman" w:cs="Times New Roman"/>
          <w:sz w:val="24"/>
          <w:szCs w:val="24"/>
        </w:rPr>
      </w:pPr>
      <w:r w:rsidRPr="00C46A01">
        <w:rPr>
          <w:rFonts w:ascii="Times New Roman" w:hAnsi="Times New Roman" w:cs="Times New Roman"/>
          <w:sz w:val="24"/>
          <w:szCs w:val="24"/>
        </w:rPr>
        <w:t xml:space="preserve">Uji heterokedastisitas </w:t>
      </w:r>
      <w:r w:rsidR="009F72C3" w:rsidRPr="00C46A01">
        <w:rPr>
          <w:rFonts w:ascii="Times New Roman" w:hAnsi="Times New Roman" w:cs="Times New Roman"/>
          <w:sz w:val="24"/>
          <w:szCs w:val="24"/>
        </w:rPr>
        <w:t xml:space="preserve">memiliki </w:t>
      </w:r>
      <w:r w:rsidRPr="00C46A01">
        <w:rPr>
          <w:rFonts w:ascii="Times New Roman" w:hAnsi="Times New Roman" w:cs="Times New Roman"/>
          <w:sz w:val="24"/>
          <w:szCs w:val="24"/>
        </w:rPr>
        <w:t>tujuan untuk me</w:t>
      </w:r>
      <w:r w:rsidR="009F72C3" w:rsidRPr="00C46A01">
        <w:rPr>
          <w:rFonts w:ascii="Times New Roman" w:hAnsi="Times New Roman" w:cs="Times New Roman"/>
          <w:sz w:val="24"/>
          <w:szCs w:val="24"/>
        </w:rPr>
        <w:t>ngetahui</w:t>
      </w:r>
      <w:r w:rsidRPr="00C46A01">
        <w:rPr>
          <w:rFonts w:ascii="Times New Roman" w:hAnsi="Times New Roman" w:cs="Times New Roman"/>
          <w:sz w:val="24"/>
          <w:szCs w:val="24"/>
        </w:rPr>
        <w:t xml:space="preserve"> apakah nilai residua</w:t>
      </w:r>
      <w:r w:rsidR="009F72C3" w:rsidRPr="00C46A01">
        <w:rPr>
          <w:rFonts w:ascii="Times New Roman" w:hAnsi="Times New Roman" w:cs="Times New Roman"/>
          <w:sz w:val="24"/>
          <w:szCs w:val="24"/>
        </w:rPr>
        <w:t>l</w:t>
      </w:r>
      <w:r w:rsidRPr="00C46A01">
        <w:rPr>
          <w:rFonts w:ascii="Times New Roman" w:hAnsi="Times New Roman" w:cs="Times New Roman"/>
          <w:sz w:val="24"/>
          <w:szCs w:val="24"/>
        </w:rPr>
        <w:t xml:space="preserve"> </w:t>
      </w:r>
      <w:r w:rsidR="009F72C3" w:rsidRPr="00C46A01">
        <w:rPr>
          <w:rFonts w:ascii="Times New Roman" w:hAnsi="Times New Roman" w:cs="Times New Roman"/>
          <w:sz w:val="24"/>
          <w:szCs w:val="24"/>
        </w:rPr>
        <w:t>a</w:t>
      </w:r>
      <w:r w:rsidRPr="00C46A01">
        <w:rPr>
          <w:rFonts w:ascii="Times New Roman" w:hAnsi="Times New Roman" w:cs="Times New Roman"/>
          <w:sz w:val="24"/>
          <w:szCs w:val="24"/>
        </w:rPr>
        <w:t>tau nilai kesalahan memiliki nilai varians yang konstan atau tidak.</w:t>
      </w:r>
      <w:r w:rsidR="00F053DA" w:rsidRPr="00C46A01">
        <w:rPr>
          <w:rFonts w:ascii="Times New Roman" w:hAnsi="Times New Roman" w:cs="Times New Roman"/>
          <w:sz w:val="24"/>
          <w:szCs w:val="24"/>
        </w:rPr>
        <w:t xml:space="preserve"> Uji heteroskedastisitas ini menggunakan uj</w:t>
      </w:r>
      <w:r w:rsidR="00D23E3A">
        <w:rPr>
          <w:rFonts w:ascii="Times New Roman" w:hAnsi="Times New Roman" w:cs="Times New Roman"/>
          <w:sz w:val="24"/>
          <w:szCs w:val="24"/>
        </w:rPr>
        <w:t>i glejer</w:t>
      </w:r>
      <w:r w:rsidR="00F053DA" w:rsidRPr="00C46A01">
        <w:rPr>
          <w:rFonts w:ascii="Times New Roman" w:hAnsi="Times New Roman" w:cs="Times New Roman"/>
          <w:sz w:val="24"/>
          <w:szCs w:val="24"/>
        </w:rPr>
        <w:t xml:space="preserve"> kriteria pengujian adalah Ho diterima jika nilai probabilitas atau nilai signifikansi ˃ 0,05, maka persamaan regresi berganda tidak terjadi gejala heteroskedastisitas. Sebaliknya Ho ditolak nilai probabilitas atau nilai signifikasi &lt; 0,05, maka persamaan regresi berganda terjadi gejala heteroskedastisitas. Hasil ouput SPSS</w:t>
      </w:r>
      <w:r w:rsidR="00520C1B">
        <w:rPr>
          <w:rFonts w:ascii="Times New Roman" w:hAnsi="Times New Roman" w:cs="Times New Roman"/>
          <w:sz w:val="24"/>
          <w:szCs w:val="24"/>
        </w:rPr>
        <w:t xml:space="preserve"> 22</w:t>
      </w:r>
      <w:r w:rsidR="00F053DA" w:rsidRPr="00C46A01">
        <w:rPr>
          <w:rFonts w:ascii="Times New Roman" w:hAnsi="Times New Roman" w:cs="Times New Roman"/>
          <w:sz w:val="24"/>
          <w:szCs w:val="24"/>
        </w:rPr>
        <w:t xml:space="preserve"> uji heteroskedastisitas adalah sebagai berikut:</w:t>
      </w:r>
    </w:p>
    <w:p w14:paraId="1245693B" w14:textId="6057D885" w:rsidR="001939BC" w:rsidRPr="001939BC" w:rsidRDefault="001939BC" w:rsidP="001939BC">
      <w:pPr>
        <w:pStyle w:val="Caption"/>
        <w:keepNext/>
        <w:spacing w:after="0" w:line="276" w:lineRule="auto"/>
        <w:ind w:left="1560"/>
        <w:jc w:val="center"/>
        <w:rPr>
          <w:rFonts w:ascii="Times New Roman" w:hAnsi="Times New Roman" w:cs="Times New Roman"/>
          <w:i w:val="0"/>
          <w:iCs w:val="0"/>
          <w:color w:val="auto"/>
          <w:sz w:val="24"/>
          <w:szCs w:val="24"/>
        </w:rPr>
      </w:pPr>
      <w:bookmarkStart w:id="15" w:name="_Toc167784727"/>
      <w:r w:rsidRPr="001939BC">
        <w:rPr>
          <w:rFonts w:ascii="Times New Roman" w:hAnsi="Times New Roman" w:cs="Times New Roman"/>
          <w:i w:val="0"/>
          <w:iCs w:val="0"/>
          <w:color w:val="auto"/>
          <w:sz w:val="24"/>
          <w:szCs w:val="24"/>
        </w:rPr>
        <w:t xml:space="preserve">Tabel </w:t>
      </w:r>
      <w:r w:rsidRPr="001939BC">
        <w:rPr>
          <w:rFonts w:ascii="Times New Roman" w:hAnsi="Times New Roman" w:cs="Times New Roman"/>
          <w:i w:val="0"/>
          <w:iCs w:val="0"/>
          <w:color w:val="auto"/>
          <w:sz w:val="24"/>
          <w:szCs w:val="24"/>
        </w:rPr>
        <w:fldChar w:fldCharType="begin"/>
      </w:r>
      <w:r w:rsidRPr="001939BC">
        <w:rPr>
          <w:rFonts w:ascii="Times New Roman" w:hAnsi="Times New Roman" w:cs="Times New Roman"/>
          <w:i w:val="0"/>
          <w:iCs w:val="0"/>
          <w:color w:val="auto"/>
          <w:sz w:val="24"/>
          <w:szCs w:val="24"/>
        </w:rPr>
        <w:instrText xml:space="preserve"> SEQ Tabel \* ARABIC </w:instrText>
      </w:r>
      <w:r w:rsidRPr="001939BC">
        <w:rPr>
          <w:rFonts w:ascii="Times New Roman" w:hAnsi="Times New Roman" w:cs="Times New Roman"/>
          <w:i w:val="0"/>
          <w:iCs w:val="0"/>
          <w:color w:val="auto"/>
          <w:sz w:val="24"/>
          <w:szCs w:val="24"/>
        </w:rPr>
        <w:fldChar w:fldCharType="separate"/>
      </w:r>
      <w:r w:rsidR="00383519">
        <w:rPr>
          <w:rFonts w:ascii="Times New Roman" w:hAnsi="Times New Roman" w:cs="Times New Roman"/>
          <w:i w:val="0"/>
          <w:iCs w:val="0"/>
          <w:noProof/>
          <w:color w:val="auto"/>
          <w:sz w:val="24"/>
          <w:szCs w:val="24"/>
        </w:rPr>
        <w:t>10</w:t>
      </w:r>
      <w:bookmarkEnd w:id="15"/>
      <w:r w:rsidRPr="001939BC">
        <w:rPr>
          <w:rFonts w:ascii="Times New Roman" w:hAnsi="Times New Roman" w:cs="Times New Roman"/>
          <w:i w:val="0"/>
          <w:iCs w:val="0"/>
          <w:color w:val="auto"/>
          <w:sz w:val="24"/>
          <w:szCs w:val="24"/>
        </w:rPr>
        <w:fldChar w:fldCharType="end"/>
      </w:r>
    </w:p>
    <w:p w14:paraId="32F071F6" w14:textId="49EE802E" w:rsidR="001939BC" w:rsidRPr="001939BC" w:rsidRDefault="001939BC" w:rsidP="001939BC">
      <w:pPr>
        <w:pStyle w:val="Caption"/>
        <w:keepNext/>
        <w:spacing w:after="0" w:line="276" w:lineRule="auto"/>
        <w:ind w:left="1560"/>
        <w:jc w:val="center"/>
        <w:rPr>
          <w:rFonts w:ascii="Times New Roman" w:hAnsi="Times New Roman" w:cs="Times New Roman"/>
          <w:i w:val="0"/>
          <w:iCs w:val="0"/>
          <w:color w:val="auto"/>
          <w:sz w:val="24"/>
          <w:szCs w:val="24"/>
        </w:rPr>
      </w:pPr>
      <w:r w:rsidRPr="001939BC">
        <w:rPr>
          <w:rFonts w:ascii="Times New Roman" w:hAnsi="Times New Roman" w:cs="Times New Roman"/>
          <w:i w:val="0"/>
          <w:iCs w:val="0"/>
          <w:color w:val="auto"/>
          <w:sz w:val="24"/>
          <w:szCs w:val="24"/>
        </w:rPr>
        <w:t>Hasil Uji Glejer</w:t>
      </w:r>
    </w:p>
    <w:tbl>
      <w:tblPr>
        <w:tblW w:w="7435" w:type="dxa"/>
        <w:tblInd w:w="1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6"/>
        <w:gridCol w:w="1268"/>
        <w:gridCol w:w="978"/>
        <w:gridCol w:w="1064"/>
        <w:gridCol w:w="1516"/>
        <w:gridCol w:w="910"/>
        <w:gridCol w:w="913"/>
      </w:tblGrid>
      <w:tr w:rsidR="00F328AC" w:rsidRPr="00520C1B" w14:paraId="37254601" w14:textId="77777777" w:rsidTr="00D23C67">
        <w:trPr>
          <w:cantSplit/>
          <w:trHeight w:val="94"/>
        </w:trPr>
        <w:tc>
          <w:tcPr>
            <w:tcW w:w="7435" w:type="dxa"/>
            <w:gridSpan w:val="7"/>
            <w:tcBorders>
              <w:top w:val="nil"/>
              <w:left w:val="nil"/>
              <w:bottom w:val="nil"/>
              <w:right w:val="nil"/>
            </w:tcBorders>
            <w:shd w:val="clear" w:color="auto" w:fill="FFFFFF"/>
            <w:vAlign w:val="center"/>
          </w:tcPr>
          <w:p w14:paraId="73AFB7A6" w14:textId="77777777" w:rsidR="00F328AC" w:rsidRPr="00520C1B" w:rsidRDefault="00F328AC"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20C1B">
              <w:rPr>
                <w:rFonts w:ascii="Times New Roman" w:hAnsi="Times New Roman" w:cs="Times New Roman"/>
                <w:b/>
                <w:bCs/>
                <w:color w:val="000000"/>
                <w:sz w:val="24"/>
                <w:szCs w:val="24"/>
              </w:rPr>
              <w:t>Coefficients</w:t>
            </w:r>
            <w:r w:rsidRPr="00520C1B">
              <w:rPr>
                <w:rFonts w:ascii="Times New Roman" w:hAnsi="Times New Roman" w:cs="Times New Roman"/>
                <w:b/>
                <w:bCs/>
                <w:color w:val="000000"/>
                <w:sz w:val="24"/>
                <w:szCs w:val="24"/>
                <w:vertAlign w:val="superscript"/>
              </w:rPr>
              <w:t>a</w:t>
            </w:r>
          </w:p>
        </w:tc>
      </w:tr>
      <w:tr w:rsidR="00F328AC" w:rsidRPr="00520C1B" w14:paraId="0F192B9D" w14:textId="77777777" w:rsidTr="001939BC">
        <w:trPr>
          <w:cantSplit/>
          <w:trHeight w:val="502"/>
        </w:trPr>
        <w:tc>
          <w:tcPr>
            <w:tcW w:w="2054" w:type="dxa"/>
            <w:gridSpan w:val="2"/>
            <w:vMerge w:val="restart"/>
            <w:tcBorders>
              <w:top w:val="single" w:sz="16" w:space="0" w:color="000000"/>
              <w:left w:val="single" w:sz="16" w:space="0" w:color="000000"/>
              <w:bottom w:val="nil"/>
              <w:right w:val="nil"/>
            </w:tcBorders>
            <w:shd w:val="clear" w:color="auto" w:fill="FFFFFF"/>
            <w:vAlign w:val="bottom"/>
          </w:tcPr>
          <w:p w14:paraId="2BFB6104" w14:textId="77777777" w:rsidR="00F328AC" w:rsidRPr="00520C1B" w:rsidRDefault="00F328AC"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520C1B">
              <w:rPr>
                <w:rFonts w:ascii="Times New Roman" w:hAnsi="Times New Roman" w:cs="Times New Roman"/>
                <w:color w:val="000000"/>
                <w:sz w:val="24"/>
                <w:szCs w:val="24"/>
              </w:rPr>
              <w:t>Model</w:t>
            </w:r>
          </w:p>
        </w:tc>
        <w:tc>
          <w:tcPr>
            <w:tcW w:w="2042" w:type="dxa"/>
            <w:gridSpan w:val="2"/>
            <w:tcBorders>
              <w:top w:val="single" w:sz="16" w:space="0" w:color="000000"/>
              <w:left w:val="single" w:sz="16" w:space="0" w:color="000000"/>
            </w:tcBorders>
            <w:shd w:val="clear" w:color="auto" w:fill="FFFFFF"/>
            <w:vAlign w:val="bottom"/>
          </w:tcPr>
          <w:p w14:paraId="65C5A952" w14:textId="77777777" w:rsidR="00F328AC" w:rsidRPr="00520C1B" w:rsidRDefault="00F328AC"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20C1B">
              <w:rPr>
                <w:rFonts w:ascii="Times New Roman" w:hAnsi="Times New Roman" w:cs="Times New Roman"/>
                <w:color w:val="000000"/>
                <w:sz w:val="24"/>
                <w:szCs w:val="24"/>
              </w:rPr>
              <w:t>Unstandardized Coefficients</w:t>
            </w:r>
          </w:p>
        </w:tc>
        <w:tc>
          <w:tcPr>
            <w:tcW w:w="1516" w:type="dxa"/>
            <w:tcBorders>
              <w:top w:val="single" w:sz="16" w:space="0" w:color="000000"/>
            </w:tcBorders>
            <w:shd w:val="clear" w:color="auto" w:fill="FFFFFF"/>
            <w:vAlign w:val="bottom"/>
          </w:tcPr>
          <w:p w14:paraId="6AFDAAF1" w14:textId="77777777" w:rsidR="00F328AC" w:rsidRPr="00520C1B" w:rsidRDefault="00F328AC"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20C1B">
              <w:rPr>
                <w:rFonts w:ascii="Times New Roman" w:hAnsi="Times New Roman" w:cs="Times New Roman"/>
                <w:color w:val="000000"/>
                <w:sz w:val="24"/>
                <w:szCs w:val="24"/>
              </w:rPr>
              <w:t>Standardized Coefficients</w:t>
            </w:r>
          </w:p>
        </w:tc>
        <w:tc>
          <w:tcPr>
            <w:tcW w:w="910" w:type="dxa"/>
            <w:vMerge w:val="restart"/>
            <w:tcBorders>
              <w:top w:val="single" w:sz="16" w:space="0" w:color="000000"/>
            </w:tcBorders>
            <w:shd w:val="clear" w:color="auto" w:fill="FFFFFF"/>
            <w:vAlign w:val="bottom"/>
          </w:tcPr>
          <w:p w14:paraId="2093DEEE" w14:textId="77777777" w:rsidR="00F328AC" w:rsidRPr="00520C1B" w:rsidRDefault="00F328AC"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20C1B">
              <w:rPr>
                <w:rFonts w:ascii="Times New Roman" w:hAnsi="Times New Roman" w:cs="Times New Roman"/>
                <w:color w:val="000000"/>
                <w:sz w:val="24"/>
                <w:szCs w:val="24"/>
              </w:rPr>
              <w:t>t</w:t>
            </w:r>
          </w:p>
        </w:tc>
        <w:tc>
          <w:tcPr>
            <w:tcW w:w="913" w:type="dxa"/>
            <w:vMerge w:val="restart"/>
            <w:tcBorders>
              <w:top w:val="single" w:sz="16" w:space="0" w:color="000000"/>
              <w:right w:val="single" w:sz="16" w:space="0" w:color="000000"/>
            </w:tcBorders>
            <w:shd w:val="clear" w:color="auto" w:fill="FFFFFF"/>
            <w:vAlign w:val="bottom"/>
          </w:tcPr>
          <w:p w14:paraId="63DC2235" w14:textId="77777777" w:rsidR="00F328AC" w:rsidRPr="00520C1B" w:rsidRDefault="00F328AC"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20C1B">
              <w:rPr>
                <w:rFonts w:ascii="Times New Roman" w:hAnsi="Times New Roman" w:cs="Times New Roman"/>
                <w:color w:val="000000"/>
                <w:sz w:val="24"/>
                <w:szCs w:val="24"/>
              </w:rPr>
              <w:t>Sig.</w:t>
            </w:r>
          </w:p>
        </w:tc>
      </w:tr>
      <w:tr w:rsidR="00F328AC" w:rsidRPr="00520C1B" w14:paraId="3FC664AF" w14:textId="77777777" w:rsidTr="001939BC">
        <w:trPr>
          <w:cantSplit/>
          <w:trHeight w:val="110"/>
        </w:trPr>
        <w:tc>
          <w:tcPr>
            <w:tcW w:w="2054" w:type="dxa"/>
            <w:gridSpan w:val="2"/>
            <w:vMerge/>
            <w:tcBorders>
              <w:top w:val="single" w:sz="16" w:space="0" w:color="000000"/>
              <w:left w:val="single" w:sz="16" w:space="0" w:color="000000"/>
              <w:bottom w:val="nil"/>
              <w:right w:val="nil"/>
            </w:tcBorders>
            <w:shd w:val="clear" w:color="auto" w:fill="FFFFFF"/>
            <w:vAlign w:val="bottom"/>
          </w:tcPr>
          <w:p w14:paraId="53AAF023" w14:textId="77777777" w:rsidR="00F328AC" w:rsidRPr="00520C1B" w:rsidRDefault="00F328AC" w:rsidP="008908E5">
            <w:pPr>
              <w:autoSpaceDE w:val="0"/>
              <w:autoSpaceDN w:val="0"/>
              <w:adjustRightInd w:val="0"/>
              <w:spacing w:after="0" w:line="240" w:lineRule="auto"/>
              <w:rPr>
                <w:rFonts w:ascii="Times New Roman" w:hAnsi="Times New Roman" w:cs="Times New Roman"/>
                <w:color w:val="000000"/>
                <w:sz w:val="24"/>
                <w:szCs w:val="24"/>
              </w:rPr>
            </w:pPr>
          </w:p>
        </w:tc>
        <w:tc>
          <w:tcPr>
            <w:tcW w:w="978" w:type="dxa"/>
            <w:tcBorders>
              <w:left w:val="single" w:sz="16" w:space="0" w:color="000000"/>
              <w:bottom w:val="single" w:sz="16" w:space="0" w:color="000000"/>
            </w:tcBorders>
            <w:shd w:val="clear" w:color="auto" w:fill="FFFFFF"/>
            <w:vAlign w:val="bottom"/>
          </w:tcPr>
          <w:p w14:paraId="5FCB6134" w14:textId="77777777" w:rsidR="00F328AC" w:rsidRPr="00520C1B" w:rsidRDefault="00F328AC"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20C1B">
              <w:rPr>
                <w:rFonts w:ascii="Times New Roman" w:hAnsi="Times New Roman" w:cs="Times New Roman"/>
                <w:color w:val="000000"/>
                <w:sz w:val="24"/>
                <w:szCs w:val="24"/>
              </w:rPr>
              <w:t>B</w:t>
            </w:r>
          </w:p>
        </w:tc>
        <w:tc>
          <w:tcPr>
            <w:tcW w:w="1064" w:type="dxa"/>
            <w:tcBorders>
              <w:bottom w:val="single" w:sz="16" w:space="0" w:color="000000"/>
            </w:tcBorders>
            <w:shd w:val="clear" w:color="auto" w:fill="FFFFFF"/>
            <w:vAlign w:val="bottom"/>
          </w:tcPr>
          <w:p w14:paraId="185CF6B6" w14:textId="77777777" w:rsidR="00F328AC" w:rsidRPr="00520C1B" w:rsidRDefault="00F328AC"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20C1B">
              <w:rPr>
                <w:rFonts w:ascii="Times New Roman" w:hAnsi="Times New Roman" w:cs="Times New Roman"/>
                <w:color w:val="000000"/>
                <w:sz w:val="24"/>
                <w:szCs w:val="24"/>
              </w:rPr>
              <w:t>Std. Error</w:t>
            </w:r>
          </w:p>
        </w:tc>
        <w:tc>
          <w:tcPr>
            <w:tcW w:w="1516" w:type="dxa"/>
            <w:tcBorders>
              <w:bottom w:val="single" w:sz="16" w:space="0" w:color="000000"/>
            </w:tcBorders>
            <w:shd w:val="clear" w:color="auto" w:fill="FFFFFF"/>
            <w:vAlign w:val="bottom"/>
          </w:tcPr>
          <w:p w14:paraId="41717065" w14:textId="77777777" w:rsidR="00F328AC" w:rsidRPr="00520C1B" w:rsidRDefault="00F328AC"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20C1B">
              <w:rPr>
                <w:rFonts w:ascii="Times New Roman" w:hAnsi="Times New Roman" w:cs="Times New Roman"/>
                <w:color w:val="000000"/>
                <w:sz w:val="24"/>
                <w:szCs w:val="24"/>
              </w:rPr>
              <w:t>Beta</w:t>
            </w:r>
          </w:p>
        </w:tc>
        <w:tc>
          <w:tcPr>
            <w:tcW w:w="910" w:type="dxa"/>
            <w:vMerge/>
            <w:tcBorders>
              <w:top w:val="single" w:sz="16" w:space="0" w:color="000000"/>
            </w:tcBorders>
            <w:shd w:val="clear" w:color="auto" w:fill="FFFFFF"/>
            <w:vAlign w:val="bottom"/>
          </w:tcPr>
          <w:p w14:paraId="37F1A916" w14:textId="77777777" w:rsidR="00F328AC" w:rsidRPr="00520C1B" w:rsidRDefault="00F328AC" w:rsidP="008908E5">
            <w:pPr>
              <w:autoSpaceDE w:val="0"/>
              <w:autoSpaceDN w:val="0"/>
              <w:adjustRightInd w:val="0"/>
              <w:spacing w:after="0" w:line="240" w:lineRule="auto"/>
              <w:rPr>
                <w:rFonts w:ascii="Times New Roman" w:hAnsi="Times New Roman" w:cs="Times New Roman"/>
                <w:color w:val="000000"/>
                <w:sz w:val="24"/>
                <w:szCs w:val="24"/>
              </w:rPr>
            </w:pPr>
          </w:p>
        </w:tc>
        <w:tc>
          <w:tcPr>
            <w:tcW w:w="913" w:type="dxa"/>
            <w:vMerge/>
            <w:tcBorders>
              <w:top w:val="single" w:sz="16" w:space="0" w:color="000000"/>
              <w:right w:val="single" w:sz="16" w:space="0" w:color="000000"/>
            </w:tcBorders>
            <w:shd w:val="clear" w:color="auto" w:fill="FFFFFF"/>
            <w:vAlign w:val="bottom"/>
          </w:tcPr>
          <w:p w14:paraId="4CF07507" w14:textId="77777777" w:rsidR="00F328AC" w:rsidRPr="00520C1B" w:rsidRDefault="00F328AC" w:rsidP="008908E5">
            <w:pPr>
              <w:autoSpaceDE w:val="0"/>
              <w:autoSpaceDN w:val="0"/>
              <w:adjustRightInd w:val="0"/>
              <w:spacing w:after="0" w:line="240" w:lineRule="auto"/>
              <w:rPr>
                <w:rFonts w:ascii="Times New Roman" w:hAnsi="Times New Roman" w:cs="Times New Roman"/>
                <w:color w:val="000000"/>
                <w:sz w:val="24"/>
                <w:szCs w:val="24"/>
              </w:rPr>
            </w:pPr>
          </w:p>
        </w:tc>
      </w:tr>
      <w:tr w:rsidR="00F328AC" w:rsidRPr="00520C1B" w14:paraId="565A7889" w14:textId="77777777" w:rsidTr="001939BC">
        <w:trPr>
          <w:cantSplit/>
          <w:trHeight w:val="242"/>
        </w:trPr>
        <w:tc>
          <w:tcPr>
            <w:tcW w:w="786" w:type="dxa"/>
            <w:vMerge w:val="restart"/>
            <w:tcBorders>
              <w:top w:val="single" w:sz="16" w:space="0" w:color="000000"/>
              <w:left w:val="single" w:sz="16" w:space="0" w:color="000000"/>
              <w:bottom w:val="single" w:sz="16" w:space="0" w:color="000000"/>
              <w:right w:val="nil"/>
            </w:tcBorders>
            <w:shd w:val="clear" w:color="auto" w:fill="FFFFFF"/>
          </w:tcPr>
          <w:p w14:paraId="391170EE" w14:textId="77777777" w:rsidR="00F328AC" w:rsidRPr="00520C1B" w:rsidRDefault="00F328AC"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520C1B">
              <w:rPr>
                <w:rFonts w:ascii="Times New Roman" w:hAnsi="Times New Roman" w:cs="Times New Roman"/>
                <w:color w:val="000000"/>
                <w:sz w:val="24"/>
                <w:szCs w:val="24"/>
              </w:rPr>
              <w:t>1</w:t>
            </w:r>
          </w:p>
        </w:tc>
        <w:tc>
          <w:tcPr>
            <w:tcW w:w="1268" w:type="dxa"/>
            <w:tcBorders>
              <w:top w:val="single" w:sz="16" w:space="0" w:color="000000"/>
              <w:left w:val="nil"/>
              <w:bottom w:val="nil"/>
              <w:right w:val="single" w:sz="16" w:space="0" w:color="000000"/>
            </w:tcBorders>
            <w:shd w:val="clear" w:color="auto" w:fill="FFFFFF"/>
          </w:tcPr>
          <w:p w14:paraId="6D262EC1" w14:textId="77777777" w:rsidR="00F328AC" w:rsidRPr="00520C1B" w:rsidRDefault="00F328AC"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520C1B">
              <w:rPr>
                <w:rFonts w:ascii="Times New Roman" w:hAnsi="Times New Roman" w:cs="Times New Roman"/>
                <w:color w:val="000000"/>
                <w:sz w:val="24"/>
                <w:szCs w:val="24"/>
              </w:rPr>
              <w:t>(Constant)</w:t>
            </w:r>
          </w:p>
        </w:tc>
        <w:tc>
          <w:tcPr>
            <w:tcW w:w="978" w:type="dxa"/>
            <w:tcBorders>
              <w:top w:val="single" w:sz="16" w:space="0" w:color="000000"/>
              <w:left w:val="single" w:sz="16" w:space="0" w:color="000000"/>
              <w:bottom w:val="nil"/>
            </w:tcBorders>
            <w:shd w:val="clear" w:color="auto" w:fill="FFFFFF"/>
            <w:vAlign w:val="center"/>
          </w:tcPr>
          <w:p w14:paraId="6CDC8936" w14:textId="77777777" w:rsidR="00F328AC" w:rsidRPr="00520C1B" w:rsidRDefault="00F328A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0C1B">
              <w:rPr>
                <w:rFonts w:ascii="Times New Roman" w:hAnsi="Times New Roman" w:cs="Times New Roman"/>
                <w:color w:val="000000"/>
                <w:sz w:val="24"/>
                <w:szCs w:val="24"/>
              </w:rPr>
              <w:t>-.928</w:t>
            </w:r>
          </w:p>
        </w:tc>
        <w:tc>
          <w:tcPr>
            <w:tcW w:w="1064" w:type="dxa"/>
            <w:tcBorders>
              <w:top w:val="single" w:sz="16" w:space="0" w:color="000000"/>
              <w:bottom w:val="nil"/>
            </w:tcBorders>
            <w:shd w:val="clear" w:color="auto" w:fill="FFFFFF"/>
            <w:vAlign w:val="center"/>
          </w:tcPr>
          <w:p w14:paraId="6388DA6C" w14:textId="77777777" w:rsidR="00F328AC" w:rsidRPr="00520C1B" w:rsidRDefault="00F328A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0C1B">
              <w:rPr>
                <w:rFonts w:ascii="Times New Roman" w:hAnsi="Times New Roman" w:cs="Times New Roman"/>
                <w:color w:val="000000"/>
                <w:sz w:val="24"/>
                <w:szCs w:val="24"/>
              </w:rPr>
              <w:t>.519</w:t>
            </w:r>
          </w:p>
        </w:tc>
        <w:tc>
          <w:tcPr>
            <w:tcW w:w="1516" w:type="dxa"/>
            <w:tcBorders>
              <w:top w:val="single" w:sz="16" w:space="0" w:color="000000"/>
              <w:bottom w:val="nil"/>
            </w:tcBorders>
            <w:shd w:val="clear" w:color="auto" w:fill="FFFFFF"/>
            <w:vAlign w:val="center"/>
          </w:tcPr>
          <w:p w14:paraId="14303A2D" w14:textId="77777777" w:rsidR="00F328AC" w:rsidRPr="00520C1B" w:rsidRDefault="00F328AC" w:rsidP="008908E5">
            <w:pPr>
              <w:autoSpaceDE w:val="0"/>
              <w:autoSpaceDN w:val="0"/>
              <w:adjustRightInd w:val="0"/>
              <w:spacing w:after="0" w:line="240" w:lineRule="auto"/>
              <w:rPr>
                <w:rFonts w:ascii="Times New Roman" w:hAnsi="Times New Roman" w:cs="Times New Roman"/>
                <w:sz w:val="24"/>
                <w:szCs w:val="24"/>
              </w:rPr>
            </w:pPr>
          </w:p>
        </w:tc>
        <w:tc>
          <w:tcPr>
            <w:tcW w:w="910" w:type="dxa"/>
            <w:tcBorders>
              <w:top w:val="single" w:sz="16" w:space="0" w:color="000000"/>
              <w:bottom w:val="nil"/>
            </w:tcBorders>
            <w:shd w:val="clear" w:color="auto" w:fill="FFFFFF"/>
            <w:vAlign w:val="center"/>
          </w:tcPr>
          <w:p w14:paraId="19349B21" w14:textId="77777777" w:rsidR="00F328AC" w:rsidRPr="00520C1B" w:rsidRDefault="00F328A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0C1B">
              <w:rPr>
                <w:rFonts w:ascii="Times New Roman" w:hAnsi="Times New Roman" w:cs="Times New Roman"/>
                <w:color w:val="000000"/>
                <w:sz w:val="24"/>
                <w:szCs w:val="24"/>
              </w:rPr>
              <w:t>-1.789</w:t>
            </w:r>
          </w:p>
        </w:tc>
        <w:tc>
          <w:tcPr>
            <w:tcW w:w="913" w:type="dxa"/>
            <w:tcBorders>
              <w:top w:val="single" w:sz="16" w:space="0" w:color="000000"/>
              <w:bottom w:val="nil"/>
              <w:right w:val="single" w:sz="16" w:space="0" w:color="000000"/>
            </w:tcBorders>
            <w:shd w:val="clear" w:color="auto" w:fill="FFFFFF"/>
            <w:vAlign w:val="center"/>
          </w:tcPr>
          <w:p w14:paraId="122FFF1B" w14:textId="77777777" w:rsidR="00F328AC" w:rsidRPr="00520C1B" w:rsidRDefault="00F328A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0C1B">
              <w:rPr>
                <w:rFonts w:ascii="Times New Roman" w:hAnsi="Times New Roman" w:cs="Times New Roman"/>
                <w:color w:val="000000"/>
                <w:sz w:val="24"/>
                <w:szCs w:val="24"/>
              </w:rPr>
              <w:t>.076</w:t>
            </w:r>
          </w:p>
        </w:tc>
      </w:tr>
      <w:tr w:rsidR="00F328AC" w:rsidRPr="00520C1B" w14:paraId="343E302E" w14:textId="77777777" w:rsidTr="001939BC">
        <w:trPr>
          <w:cantSplit/>
          <w:trHeight w:val="110"/>
        </w:trPr>
        <w:tc>
          <w:tcPr>
            <w:tcW w:w="786" w:type="dxa"/>
            <w:vMerge/>
            <w:tcBorders>
              <w:top w:val="single" w:sz="16" w:space="0" w:color="000000"/>
              <w:left w:val="single" w:sz="16" w:space="0" w:color="000000"/>
              <w:bottom w:val="single" w:sz="16" w:space="0" w:color="000000"/>
              <w:right w:val="nil"/>
            </w:tcBorders>
            <w:shd w:val="clear" w:color="auto" w:fill="FFFFFF"/>
          </w:tcPr>
          <w:p w14:paraId="67CF15C8" w14:textId="77777777" w:rsidR="00F328AC" w:rsidRPr="00520C1B" w:rsidRDefault="00F328AC" w:rsidP="008908E5">
            <w:pPr>
              <w:autoSpaceDE w:val="0"/>
              <w:autoSpaceDN w:val="0"/>
              <w:adjustRightInd w:val="0"/>
              <w:spacing w:after="0" w:line="240" w:lineRule="auto"/>
              <w:rPr>
                <w:rFonts w:ascii="Times New Roman" w:hAnsi="Times New Roman" w:cs="Times New Roman"/>
                <w:color w:val="000000"/>
                <w:sz w:val="24"/>
                <w:szCs w:val="24"/>
              </w:rPr>
            </w:pPr>
          </w:p>
        </w:tc>
        <w:tc>
          <w:tcPr>
            <w:tcW w:w="1268" w:type="dxa"/>
            <w:tcBorders>
              <w:top w:val="nil"/>
              <w:left w:val="nil"/>
              <w:bottom w:val="nil"/>
              <w:right w:val="single" w:sz="16" w:space="0" w:color="000000"/>
            </w:tcBorders>
            <w:shd w:val="clear" w:color="auto" w:fill="FFFFFF"/>
          </w:tcPr>
          <w:p w14:paraId="0E8376B8" w14:textId="77777777" w:rsidR="00F328AC" w:rsidRPr="00520C1B" w:rsidRDefault="00F328AC"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520C1B">
              <w:rPr>
                <w:rFonts w:ascii="Times New Roman" w:hAnsi="Times New Roman" w:cs="Times New Roman"/>
                <w:color w:val="000000"/>
                <w:sz w:val="24"/>
                <w:szCs w:val="24"/>
              </w:rPr>
              <w:t>NPL</w:t>
            </w:r>
          </w:p>
        </w:tc>
        <w:tc>
          <w:tcPr>
            <w:tcW w:w="978" w:type="dxa"/>
            <w:tcBorders>
              <w:top w:val="nil"/>
              <w:left w:val="single" w:sz="16" w:space="0" w:color="000000"/>
              <w:bottom w:val="nil"/>
            </w:tcBorders>
            <w:shd w:val="clear" w:color="auto" w:fill="FFFFFF"/>
            <w:vAlign w:val="center"/>
          </w:tcPr>
          <w:p w14:paraId="646E3B3F" w14:textId="77777777" w:rsidR="00F328AC" w:rsidRPr="00520C1B" w:rsidRDefault="00F328A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0C1B">
              <w:rPr>
                <w:rFonts w:ascii="Times New Roman" w:hAnsi="Times New Roman" w:cs="Times New Roman"/>
                <w:color w:val="000000"/>
                <w:sz w:val="24"/>
                <w:szCs w:val="24"/>
              </w:rPr>
              <w:t>.064</w:t>
            </w:r>
          </w:p>
        </w:tc>
        <w:tc>
          <w:tcPr>
            <w:tcW w:w="1064" w:type="dxa"/>
            <w:tcBorders>
              <w:top w:val="nil"/>
              <w:bottom w:val="nil"/>
            </w:tcBorders>
            <w:shd w:val="clear" w:color="auto" w:fill="FFFFFF"/>
            <w:vAlign w:val="center"/>
          </w:tcPr>
          <w:p w14:paraId="73E3C7E2" w14:textId="77777777" w:rsidR="00F328AC" w:rsidRPr="00520C1B" w:rsidRDefault="00F328A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0C1B">
              <w:rPr>
                <w:rFonts w:ascii="Times New Roman" w:hAnsi="Times New Roman" w:cs="Times New Roman"/>
                <w:color w:val="000000"/>
                <w:sz w:val="24"/>
                <w:szCs w:val="24"/>
              </w:rPr>
              <w:t>.050</w:t>
            </w:r>
          </w:p>
        </w:tc>
        <w:tc>
          <w:tcPr>
            <w:tcW w:w="1516" w:type="dxa"/>
            <w:tcBorders>
              <w:top w:val="nil"/>
              <w:bottom w:val="nil"/>
            </w:tcBorders>
            <w:shd w:val="clear" w:color="auto" w:fill="FFFFFF"/>
            <w:vAlign w:val="center"/>
          </w:tcPr>
          <w:p w14:paraId="04782DCE" w14:textId="77777777" w:rsidR="00F328AC" w:rsidRPr="00520C1B" w:rsidRDefault="00F328A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0C1B">
              <w:rPr>
                <w:rFonts w:ascii="Times New Roman" w:hAnsi="Times New Roman" w:cs="Times New Roman"/>
                <w:color w:val="000000"/>
                <w:sz w:val="24"/>
                <w:szCs w:val="24"/>
              </w:rPr>
              <w:t>.116</w:t>
            </w:r>
          </w:p>
        </w:tc>
        <w:tc>
          <w:tcPr>
            <w:tcW w:w="910" w:type="dxa"/>
            <w:tcBorders>
              <w:top w:val="nil"/>
              <w:bottom w:val="nil"/>
            </w:tcBorders>
            <w:shd w:val="clear" w:color="auto" w:fill="FFFFFF"/>
            <w:vAlign w:val="center"/>
          </w:tcPr>
          <w:p w14:paraId="1181DF54" w14:textId="77777777" w:rsidR="00F328AC" w:rsidRPr="00520C1B" w:rsidRDefault="00F328A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0C1B">
              <w:rPr>
                <w:rFonts w:ascii="Times New Roman" w:hAnsi="Times New Roman" w:cs="Times New Roman"/>
                <w:color w:val="000000"/>
                <w:sz w:val="24"/>
                <w:szCs w:val="24"/>
              </w:rPr>
              <w:t>1.295</w:t>
            </w:r>
          </w:p>
        </w:tc>
        <w:tc>
          <w:tcPr>
            <w:tcW w:w="913" w:type="dxa"/>
            <w:tcBorders>
              <w:top w:val="nil"/>
              <w:bottom w:val="nil"/>
              <w:right w:val="single" w:sz="16" w:space="0" w:color="000000"/>
            </w:tcBorders>
            <w:shd w:val="clear" w:color="auto" w:fill="FFFFFF"/>
            <w:vAlign w:val="center"/>
          </w:tcPr>
          <w:p w14:paraId="3E61426D" w14:textId="77777777" w:rsidR="00F328AC" w:rsidRPr="00520C1B" w:rsidRDefault="00F328A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0C1B">
              <w:rPr>
                <w:rFonts w:ascii="Times New Roman" w:hAnsi="Times New Roman" w:cs="Times New Roman"/>
                <w:color w:val="000000"/>
                <w:sz w:val="24"/>
                <w:szCs w:val="24"/>
              </w:rPr>
              <w:t>.197</w:t>
            </w:r>
          </w:p>
        </w:tc>
      </w:tr>
      <w:tr w:rsidR="00F328AC" w:rsidRPr="00520C1B" w14:paraId="47FE6DDE" w14:textId="77777777" w:rsidTr="001939BC">
        <w:trPr>
          <w:cantSplit/>
          <w:trHeight w:val="110"/>
        </w:trPr>
        <w:tc>
          <w:tcPr>
            <w:tcW w:w="786" w:type="dxa"/>
            <w:vMerge/>
            <w:tcBorders>
              <w:top w:val="single" w:sz="16" w:space="0" w:color="000000"/>
              <w:left w:val="single" w:sz="16" w:space="0" w:color="000000"/>
              <w:bottom w:val="single" w:sz="16" w:space="0" w:color="000000"/>
              <w:right w:val="nil"/>
            </w:tcBorders>
            <w:shd w:val="clear" w:color="auto" w:fill="FFFFFF"/>
          </w:tcPr>
          <w:p w14:paraId="50CB33B8" w14:textId="77777777" w:rsidR="00F328AC" w:rsidRPr="00520C1B" w:rsidRDefault="00F328AC" w:rsidP="008908E5">
            <w:pPr>
              <w:autoSpaceDE w:val="0"/>
              <w:autoSpaceDN w:val="0"/>
              <w:adjustRightInd w:val="0"/>
              <w:spacing w:after="0" w:line="240" w:lineRule="auto"/>
              <w:rPr>
                <w:rFonts w:ascii="Times New Roman" w:hAnsi="Times New Roman" w:cs="Times New Roman"/>
                <w:color w:val="000000"/>
                <w:sz w:val="24"/>
                <w:szCs w:val="24"/>
              </w:rPr>
            </w:pPr>
          </w:p>
        </w:tc>
        <w:tc>
          <w:tcPr>
            <w:tcW w:w="1268" w:type="dxa"/>
            <w:tcBorders>
              <w:top w:val="nil"/>
              <w:left w:val="nil"/>
              <w:bottom w:val="nil"/>
              <w:right w:val="single" w:sz="16" w:space="0" w:color="000000"/>
            </w:tcBorders>
            <w:shd w:val="clear" w:color="auto" w:fill="FFFFFF"/>
          </w:tcPr>
          <w:p w14:paraId="1E8BFFF9" w14:textId="77777777" w:rsidR="00F328AC" w:rsidRPr="00520C1B" w:rsidRDefault="00F328AC"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520C1B">
              <w:rPr>
                <w:rFonts w:ascii="Times New Roman" w:hAnsi="Times New Roman" w:cs="Times New Roman"/>
                <w:color w:val="000000"/>
                <w:sz w:val="24"/>
                <w:szCs w:val="24"/>
              </w:rPr>
              <w:t>ROA</w:t>
            </w:r>
          </w:p>
        </w:tc>
        <w:tc>
          <w:tcPr>
            <w:tcW w:w="978" w:type="dxa"/>
            <w:tcBorders>
              <w:top w:val="nil"/>
              <w:left w:val="single" w:sz="16" w:space="0" w:color="000000"/>
              <w:bottom w:val="nil"/>
            </w:tcBorders>
            <w:shd w:val="clear" w:color="auto" w:fill="FFFFFF"/>
            <w:vAlign w:val="center"/>
          </w:tcPr>
          <w:p w14:paraId="7BE7BD09" w14:textId="77777777" w:rsidR="00F328AC" w:rsidRPr="00520C1B" w:rsidRDefault="00F328A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0C1B">
              <w:rPr>
                <w:rFonts w:ascii="Times New Roman" w:hAnsi="Times New Roman" w:cs="Times New Roman"/>
                <w:color w:val="000000"/>
                <w:sz w:val="24"/>
                <w:szCs w:val="24"/>
              </w:rPr>
              <w:t>.149</w:t>
            </w:r>
          </w:p>
        </w:tc>
        <w:tc>
          <w:tcPr>
            <w:tcW w:w="1064" w:type="dxa"/>
            <w:tcBorders>
              <w:top w:val="nil"/>
              <w:bottom w:val="nil"/>
            </w:tcBorders>
            <w:shd w:val="clear" w:color="auto" w:fill="FFFFFF"/>
            <w:vAlign w:val="center"/>
          </w:tcPr>
          <w:p w14:paraId="044BEA59" w14:textId="77777777" w:rsidR="00F328AC" w:rsidRPr="00520C1B" w:rsidRDefault="00F328A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0C1B">
              <w:rPr>
                <w:rFonts w:ascii="Times New Roman" w:hAnsi="Times New Roman" w:cs="Times New Roman"/>
                <w:color w:val="000000"/>
                <w:sz w:val="24"/>
                <w:szCs w:val="24"/>
              </w:rPr>
              <w:t>.088</w:t>
            </w:r>
          </w:p>
        </w:tc>
        <w:tc>
          <w:tcPr>
            <w:tcW w:w="1516" w:type="dxa"/>
            <w:tcBorders>
              <w:top w:val="nil"/>
              <w:bottom w:val="nil"/>
            </w:tcBorders>
            <w:shd w:val="clear" w:color="auto" w:fill="FFFFFF"/>
            <w:vAlign w:val="center"/>
          </w:tcPr>
          <w:p w14:paraId="6F6A1758" w14:textId="77777777" w:rsidR="00F328AC" w:rsidRPr="00520C1B" w:rsidRDefault="00F328A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0C1B">
              <w:rPr>
                <w:rFonts w:ascii="Times New Roman" w:hAnsi="Times New Roman" w:cs="Times New Roman"/>
                <w:color w:val="000000"/>
                <w:sz w:val="24"/>
                <w:szCs w:val="24"/>
              </w:rPr>
              <w:t>.200</w:t>
            </w:r>
          </w:p>
        </w:tc>
        <w:tc>
          <w:tcPr>
            <w:tcW w:w="910" w:type="dxa"/>
            <w:tcBorders>
              <w:top w:val="nil"/>
              <w:bottom w:val="nil"/>
            </w:tcBorders>
            <w:shd w:val="clear" w:color="auto" w:fill="FFFFFF"/>
            <w:vAlign w:val="center"/>
          </w:tcPr>
          <w:p w14:paraId="540E81F4" w14:textId="77777777" w:rsidR="00F328AC" w:rsidRPr="00520C1B" w:rsidRDefault="00F328A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0C1B">
              <w:rPr>
                <w:rFonts w:ascii="Times New Roman" w:hAnsi="Times New Roman" w:cs="Times New Roman"/>
                <w:color w:val="000000"/>
                <w:sz w:val="24"/>
                <w:szCs w:val="24"/>
              </w:rPr>
              <w:t>1.698</w:t>
            </w:r>
          </w:p>
        </w:tc>
        <w:tc>
          <w:tcPr>
            <w:tcW w:w="913" w:type="dxa"/>
            <w:tcBorders>
              <w:top w:val="nil"/>
              <w:bottom w:val="nil"/>
              <w:right w:val="single" w:sz="16" w:space="0" w:color="000000"/>
            </w:tcBorders>
            <w:shd w:val="clear" w:color="auto" w:fill="FFFFFF"/>
            <w:vAlign w:val="center"/>
          </w:tcPr>
          <w:p w14:paraId="4B9C5890" w14:textId="77777777" w:rsidR="00F328AC" w:rsidRPr="00520C1B" w:rsidRDefault="00F328A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0C1B">
              <w:rPr>
                <w:rFonts w:ascii="Times New Roman" w:hAnsi="Times New Roman" w:cs="Times New Roman"/>
                <w:color w:val="000000"/>
                <w:sz w:val="24"/>
                <w:szCs w:val="24"/>
              </w:rPr>
              <w:t>.092</w:t>
            </w:r>
          </w:p>
        </w:tc>
      </w:tr>
      <w:tr w:rsidR="00F328AC" w:rsidRPr="00520C1B" w14:paraId="536FCA05" w14:textId="77777777" w:rsidTr="001939BC">
        <w:trPr>
          <w:cantSplit/>
          <w:trHeight w:val="110"/>
        </w:trPr>
        <w:tc>
          <w:tcPr>
            <w:tcW w:w="786" w:type="dxa"/>
            <w:vMerge/>
            <w:tcBorders>
              <w:top w:val="single" w:sz="16" w:space="0" w:color="000000"/>
              <w:left w:val="single" w:sz="16" w:space="0" w:color="000000"/>
              <w:bottom w:val="single" w:sz="16" w:space="0" w:color="000000"/>
              <w:right w:val="nil"/>
            </w:tcBorders>
            <w:shd w:val="clear" w:color="auto" w:fill="FFFFFF"/>
          </w:tcPr>
          <w:p w14:paraId="06C9CA86" w14:textId="77777777" w:rsidR="00F328AC" w:rsidRPr="00520C1B" w:rsidRDefault="00F328AC" w:rsidP="008908E5">
            <w:pPr>
              <w:autoSpaceDE w:val="0"/>
              <w:autoSpaceDN w:val="0"/>
              <w:adjustRightInd w:val="0"/>
              <w:spacing w:after="0" w:line="240" w:lineRule="auto"/>
              <w:rPr>
                <w:rFonts w:ascii="Times New Roman" w:hAnsi="Times New Roman" w:cs="Times New Roman"/>
                <w:color w:val="000000"/>
                <w:sz w:val="24"/>
                <w:szCs w:val="24"/>
              </w:rPr>
            </w:pPr>
          </w:p>
        </w:tc>
        <w:tc>
          <w:tcPr>
            <w:tcW w:w="1268" w:type="dxa"/>
            <w:tcBorders>
              <w:top w:val="nil"/>
              <w:left w:val="nil"/>
              <w:bottom w:val="nil"/>
              <w:right w:val="single" w:sz="16" w:space="0" w:color="000000"/>
            </w:tcBorders>
            <w:shd w:val="clear" w:color="auto" w:fill="FFFFFF"/>
          </w:tcPr>
          <w:p w14:paraId="066B273D" w14:textId="77777777" w:rsidR="00F328AC" w:rsidRPr="00520C1B" w:rsidRDefault="00F328AC"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520C1B">
              <w:rPr>
                <w:rFonts w:ascii="Times New Roman" w:hAnsi="Times New Roman" w:cs="Times New Roman"/>
                <w:color w:val="000000"/>
                <w:sz w:val="24"/>
                <w:szCs w:val="24"/>
              </w:rPr>
              <w:t>PDN</w:t>
            </w:r>
          </w:p>
        </w:tc>
        <w:tc>
          <w:tcPr>
            <w:tcW w:w="978" w:type="dxa"/>
            <w:tcBorders>
              <w:top w:val="nil"/>
              <w:left w:val="single" w:sz="16" w:space="0" w:color="000000"/>
              <w:bottom w:val="nil"/>
            </w:tcBorders>
            <w:shd w:val="clear" w:color="auto" w:fill="FFFFFF"/>
            <w:vAlign w:val="center"/>
          </w:tcPr>
          <w:p w14:paraId="57CCF73F" w14:textId="77777777" w:rsidR="00F328AC" w:rsidRPr="00520C1B" w:rsidRDefault="00F328A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0C1B">
              <w:rPr>
                <w:rFonts w:ascii="Times New Roman" w:hAnsi="Times New Roman" w:cs="Times New Roman"/>
                <w:color w:val="000000"/>
                <w:sz w:val="24"/>
                <w:szCs w:val="24"/>
              </w:rPr>
              <w:t>.041</w:t>
            </w:r>
          </w:p>
        </w:tc>
        <w:tc>
          <w:tcPr>
            <w:tcW w:w="1064" w:type="dxa"/>
            <w:tcBorders>
              <w:top w:val="nil"/>
              <w:bottom w:val="nil"/>
            </w:tcBorders>
            <w:shd w:val="clear" w:color="auto" w:fill="FFFFFF"/>
            <w:vAlign w:val="center"/>
          </w:tcPr>
          <w:p w14:paraId="6D360C8B" w14:textId="77777777" w:rsidR="00F328AC" w:rsidRPr="00520C1B" w:rsidRDefault="00F328A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0C1B">
              <w:rPr>
                <w:rFonts w:ascii="Times New Roman" w:hAnsi="Times New Roman" w:cs="Times New Roman"/>
                <w:color w:val="000000"/>
                <w:sz w:val="24"/>
                <w:szCs w:val="24"/>
              </w:rPr>
              <w:t>.047</w:t>
            </w:r>
          </w:p>
        </w:tc>
        <w:tc>
          <w:tcPr>
            <w:tcW w:w="1516" w:type="dxa"/>
            <w:tcBorders>
              <w:top w:val="nil"/>
              <w:bottom w:val="nil"/>
            </w:tcBorders>
            <w:shd w:val="clear" w:color="auto" w:fill="FFFFFF"/>
            <w:vAlign w:val="center"/>
          </w:tcPr>
          <w:p w14:paraId="4D8C1679" w14:textId="77777777" w:rsidR="00F328AC" w:rsidRPr="00520C1B" w:rsidRDefault="00F328A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0C1B">
              <w:rPr>
                <w:rFonts w:ascii="Times New Roman" w:hAnsi="Times New Roman" w:cs="Times New Roman"/>
                <w:color w:val="000000"/>
                <w:sz w:val="24"/>
                <w:szCs w:val="24"/>
              </w:rPr>
              <w:t>.073</w:t>
            </w:r>
          </w:p>
        </w:tc>
        <w:tc>
          <w:tcPr>
            <w:tcW w:w="910" w:type="dxa"/>
            <w:tcBorders>
              <w:top w:val="nil"/>
              <w:bottom w:val="nil"/>
            </w:tcBorders>
            <w:shd w:val="clear" w:color="auto" w:fill="FFFFFF"/>
            <w:vAlign w:val="center"/>
          </w:tcPr>
          <w:p w14:paraId="1247020B" w14:textId="77777777" w:rsidR="00F328AC" w:rsidRPr="00520C1B" w:rsidRDefault="00F328A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0C1B">
              <w:rPr>
                <w:rFonts w:ascii="Times New Roman" w:hAnsi="Times New Roman" w:cs="Times New Roman"/>
                <w:color w:val="000000"/>
                <w:sz w:val="24"/>
                <w:szCs w:val="24"/>
              </w:rPr>
              <w:t>.872</w:t>
            </w:r>
          </w:p>
        </w:tc>
        <w:tc>
          <w:tcPr>
            <w:tcW w:w="913" w:type="dxa"/>
            <w:tcBorders>
              <w:top w:val="nil"/>
              <w:bottom w:val="nil"/>
              <w:right w:val="single" w:sz="16" w:space="0" w:color="000000"/>
            </w:tcBorders>
            <w:shd w:val="clear" w:color="auto" w:fill="FFFFFF"/>
            <w:vAlign w:val="center"/>
          </w:tcPr>
          <w:p w14:paraId="49260A8E" w14:textId="77777777" w:rsidR="00F328AC" w:rsidRPr="00520C1B" w:rsidRDefault="00F328A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0C1B">
              <w:rPr>
                <w:rFonts w:ascii="Times New Roman" w:hAnsi="Times New Roman" w:cs="Times New Roman"/>
                <w:color w:val="000000"/>
                <w:sz w:val="24"/>
                <w:szCs w:val="24"/>
              </w:rPr>
              <w:t>.385</w:t>
            </w:r>
          </w:p>
        </w:tc>
      </w:tr>
      <w:tr w:rsidR="00F328AC" w:rsidRPr="00520C1B" w14:paraId="2AEEE878" w14:textId="77777777" w:rsidTr="001939BC">
        <w:trPr>
          <w:cantSplit/>
          <w:trHeight w:val="110"/>
        </w:trPr>
        <w:tc>
          <w:tcPr>
            <w:tcW w:w="786" w:type="dxa"/>
            <w:vMerge/>
            <w:tcBorders>
              <w:top w:val="single" w:sz="16" w:space="0" w:color="000000"/>
              <w:left w:val="single" w:sz="16" w:space="0" w:color="000000"/>
              <w:bottom w:val="single" w:sz="16" w:space="0" w:color="000000"/>
              <w:right w:val="nil"/>
            </w:tcBorders>
            <w:shd w:val="clear" w:color="auto" w:fill="FFFFFF"/>
          </w:tcPr>
          <w:p w14:paraId="02A5F2E5" w14:textId="77777777" w:rsidR="00F328AC" w:rsidRPr="00520C1B" w:rsidRDefault="00F328AC" w:rsidP="008908E5">
            <w:pPr>
              <w:autoSpaceDE w:val="0"/>
              <w:autoSpaceDN w:val="0"/>
              <w:adjustRightInd w:val="0"/>
              <w:spacing w:after="0" w:line="240" w:lineRule="auto"/>
              <w:rPr>
                <w:rFonts w:ascii="Times New Roman" w:hAnsi="Times New Roman" w:cs="Times New Roman"/>
                <w:color w:val="000000"/>
                <w:sz w:val="24"/>
                <w:szCs w:val="24"/>
              </w:rPr>
            </w:pPr>
          </w:p>
        </w:tc>
        <w:tc>
          <w:tcPr>
            <w:tcW w:w="1268" w:type="dxa"/>
            <w:tcBorders>
              <w:top w:val="nil"/>
              <w:left w:val="nil"/>
              <w:bottom w:val="nil"/>
              <w:right w:val="single" w:sz="16" w:space="0" w:color="000000"/>
            </w:tcBorders>
            <w:shd w:val="clear" w:color="auto" w:fill="FFFFFF"/>
          </w:tcPr>
          <w:p w14:paraId="3363DCD6" w14:textId="77777777" w:rsidR="00F328AC" w:rsidRPr="00520C1B" w:rsidRDefault="00F328AC"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520C1B">
              <w:rPr>
                <w:rFonts w:ascii="Times New Roman" w:hAnsi="Times New Roman" w:cs="Times New Roman"/>
                <w:color w:val="000000"/>
                <w:sz w:val="24"/>
                <w:szCs w:val="24"/>
              </w:rPr>
              <w:t>BOPO</w:t>
            </w:r>
          </w:p>
        </w:tc>
        <w:tc>
          <w:tcPr>
            <w:tcW w:w="978" w:type="dxa"/>
            <w:tcBorders>
              <w:top w:val="nil"/>
              <w:left w:val="single" w:sz="16" w:space="0" w:color="000000"/>
              <w:bottom w:val="nil"/>
            </w:tcBorders>
            <w:shd w:val="clear" w:color="auto" w:fill="FFFFFF"/>
            <w:vAlign w:val="center"/>
          </w:tcPr>
          <w:p w14:paraId="191BC694" w14:textId="77777777" w:rsidR="00F328AC" w:rsidRPr="00520C1B" w:rsidRDefault="00F328A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0C1B">
              <w:rPr>
                <w:rFonts w:ascii="Times New Roman" w:hAnsi="Times New Roman" w:cs="Times New Roman"/>
                <w:color w:val="000000"/>
                <w:sz w:val="24"/>
                <w:szCs w:val="24"/>
              </w:rPr>
              <w:t>.166</w:t>
            </w:r>
          </w:p>
        </w:tc>
        <w:tc>
          <w:tcPr>
            <w:tcW w:w="1064" w:type="dxa"/>
            <w:tcBorders>
              <w:top w:val="nil"/>
              <w:bottom w:val="nil"/>
            </w:tcBorders>
            <w:shd w:val="clear" w:color="auto" w:fill="FFFFFF"/>
            <w:vAlign w:val="center"/>
          </w:tcPr>
          <w:p w14:paraId="599DD529" w14:textId="77777777" w:rsidR="00F328AC" w:rsidRPr="00520C1B" w:rsidRDefault="00F328A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0C1B">
              <w:rPr>
                <w:rFonts w:ascii="Times New Roman" w:hAnsi="Times New Roman" w:cs="Times New Roman"/>
                <w:color w:val="000000"/>
                <w:sz w:val="24"/>
                <w:szCs w:val="24"/>
              </w:rPr>
              <w:t>.112</w:t>
            </w:r>
          </w:p>
        </w:tc>
        <w:tc>
          <w:tcPr>
            <w:tcW w:w="1516" w:type="dxa"/>
            <w:tcBorders>
              <w:top w:val="nil"/>
              <w:bottom w:val="nil"/>
            </w:tcBorders>
            <w:shd w:val="clear" w:color="auto" w:fill="FFFFFF"/>
            <w:vAlign w:val="center"/>
          </w:tcPr>
          <w:p w14:paraId="170764FB" w14:textId="77777777" w:rsidR="00F328AC" w:rsidRPr="00520C1B" w:rsidRDefault="00F328A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0C1B">
              <w:rPr>
                <w:rFonts w:ascii="Times New Roman" w:hAnsi="Times New Roman" w:cs="Times New Roman"/>
                <w:color w:val="000000"/>
                <w:sz w:val="24"/>
                <w:szCs w:val="24"/>
              </w:rPr>
              <w:t>.176</w:t>
            </w:r>
          </w:p>
        </w:tc>
        <w:tc>
          <w:tcPr>
            <w:tcW w:w="910" w:type="dxa"/>
            <w:tcBorders>
              <w:top w:val="nil"/>
              <w:bottom w:val="nil"/>
            </w:tcBorders>
            <w:shd w:val="clear" w:color="auto" w:fill="FFFFFF"/>
            <w:vAlign w:val="center"/>
          </w:tcPr>
          <w:p w14:paraId="11B9B7EB" w14:textId="77777777" w:rsidR="00F328AC" w:rsidRPr="00520C1B" w:rsidRDefault="00F328A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0C1B">
              <w:rPr>
                <w:rFonts w:ascii="Times New Roman" w:hAnsi="Times New Roman" w:cs="Times New Roman"/>
                <w:color w:val="000000"/>
                <w:sz w:val="24"/>
                <w:szCs w:val="24"/>
              </w:rPr>
              <w:t>1.478</w:t>
            </w:r>
          </w:p>
        </w:tc>
        <w:tc>
          <w:tcPr>
            <w:tcW w:w="913" w:type="dxa"/>
            <w:tcBorders>
              <w:top w:val="nil"/>
              <w:bottom w:val="nil"/>
              <w:right w:val="single" w:sz="16" w:space="0" w:color="000000"/>
            </w:tcBorders>
            <w:shd w:val="clear" w:color="auto" w:fill="FFFFFF"/>
            <w:vAlign w:val="center"/>
          </w:tcPr>
          <w:p w14:paraId="1CD177D5" w14:textId="77777777" w:rsidR="00F328AC" w:rsidRPr="00520C1B" w:rsidRDefault="00F328A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0C1B">
              <w:rPr>
                <w:rFonts w:ascii="Times New Roman" w:hAnsi="Times New Roman" w:cs="Times New Roman"/>
                <w:color w:val="000000"/>
                <w:sz w:val="24"/>
                <w:szCs w:val="24"/>
              </w:rPr>
              <w:t>.142</w:t>
            </w:r>
          </w:p>
        </w:tc>
      </w:tr>
      <w:tr w:rsidR="00F328AC" w:rsidRPr="00520C1B" w14:paraId="46F899BB" w14:textId="77777777" w:rsidTr="001939BC">
        <w:trPr>
          <w:cantSplit/>
          <w:trHeight w:val="98"/>
        </w:trPr>
        <w:tc>
          <w:tcPr>
            <w:tcW w:w="786" w:type="dxa"/>
            <w:vMerge/>
            <w:tcBorders>
              <w:top w:val="single" w:sz="16" w:space="0" w:color="000000"/>
              <w:left w:val="single" w:sz="16" w:space="0" w:color="000000"/>
              <w:bottom w:val="single" w:sz="16" w:space="0" w:color="000000"/>
              <w:right w:val="nil"/>
            </w:tcBorders>
            <w:shd w:val="clear" w:color="auto" w:fill="FFFFFF"/>
          </w:tcPr>
          <w:p w14:paraId="2A58FF03" w14:textId="77777777" w:rsidR="00F328AC" w:rsidRPr="00520C1B" w:rsidRDefault="00F328AC" w:rsidP="008908E5">
            <w:pPr>
              <w:autoSpaceDE w:val="0"/>
              <w:autoSpaceDN w:val="0"/>
              <w:adjustRightInd w:val="0"/>
              <w:spacing w:after="0" w:line="240" w:lineRule="auto"/>
              <w:rPr>
                <w:rFonts w:ascii="Times New Roman" w:hAnsi="Times New Roman" w:cs="Times New Roman"/>
                <w:color w:val="000000"/>
                <w:sz w:val="24"/>
                <w:szCs w:val="24"/>
              </w:rPr>
            </w:pPr>
          </w:p>
        </w:tc>
        <w:tc>
          <w:tcPr>
            <w:tcW w:w="1268" w:type="dxa"/>
            <w:tcBorders>
              <w:top w:val="nil"/>
              <w:left w:val="nil"/>
              <w:bottom w:val="single" w:sz="16" w:space="0" w:color="000000"/>
              <w:right w:val="single" w:sz="16" w:space="0" w:color="000000"/>
            </w:tcBorders>
            <w:shd w:val="clear" w:color="auto" w:fill="FFFFFF"/>
          </w:tcPr>
          <w:p w14:paraId="333BF181" w14:textId="77777777" w:rsidR="00F328AC" w:rsidRPr="00520C1B" w:rsidRDefault="00F328AC"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520C1B">
              <w:rPr>
                <w:rFonts w:ascii="Times New Roman" w:hAnsi="Times New Roman" w:cs="Times New Roman"/>
                <w:color w:val="000000"/>
                <w:sz w:val="24"/>
                <w:szCs w:val="24"/>
              </w:rPr>
              <w:t>DER</w:t>
            </w:r>
          </w:p>
        </w:tc>
        <w:tc>
          <w:tcPr>
            <w:tcW w:w="978" w:type="dxa"/>
            <w:tcBorders>
              <w:top w:val="nil"/>
              <w:left w:val="single" w:sz="16" w:space="0" w:color="000000"/>
              <w:bottom w:val="single" w:sz="16" w:space="0" w:color="000000"/>
            </w:tcBorders>
            <w:shd w:val="clear" w:color="auto" w:fill="FFFFFF"/>
            <w:vAlign w:val="center"/>
          </w:tcPr>
          <w:p w14:paraId="1DACAC6B" w14:textId="77777777" w:rsidR="00F328AC" w:rsidRPr="00520C1B" w:rsidRDefault="00F328A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0C1B">
              <w:rPr>
                <w:rFonts w:ascii="Times New Roman" w:hAnsi="Times New Roman" w:cs="Times New Roman"/>
                <w:color w:val="000000"/>
                <w:sz w:val="24"/>
                <w:szCs w:val="24"/>
              </w:rPr>
              <w:t>-.019</w:t>
            </w:r>
          </w:p>
        </w:tc>
        <w:tc>
          <w:tcPr>
            <w:tcW w:w="1064" w:type="dxa"/>
            <w:tcBorders>
              <w:top w:val="nil"/>
              <w:bottom w:val="single" w:sz="16" w:space="0" w:color="000000"/>
            </w:tcBorders>
            <w:shd w:val="clear" w:color="auto" w:fill="FFFFFF"/>
            <w:vAlign w:val="center"/>
          </w:tcPr>
          <w:p w14:paraId="045F5473" w14:textId="77777777" w:rsidR="00F328AC" w:rsidRPr="00520C1B" w:rsidRDefault="00F328A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0C1B">
              <w:rPr>
                <w:rFonts w:ascii="Times New Roman" w:hAnsi="Times New Roman" w:cs="Times New Roman"/>
                <w:color w:val="000000"/>
                <w:sz w:val="24"/>
                <w:szCs w:val="24"/>
              </w:rPr>
              <w:t>.026</w:t>
            </w:r>
          </w:p>
        </w:tc>
        <w:tc>
          <w:tcPr>
            <w:tcW w:w="1516" w:type="dxa"/>
            <w:tcBorders>
              <w:top w:val="nil"/>
              <w:bottom w:val="single" w:sz="16" w:space="0" w:color="000000"/>
            </w:tcBorders>
            <w:shd w:val="clear" w:color="auto" w:fill="FFFFFF"/>
            <w:vAlign w:val="center"/>
          </w:tcPr>
          <w:p w14:paraId="58376F81" w14:textId="77777777" w:rsidR="00F328AC" w:rsidRPr="00520C1B" w:rsidRDefault="00F328A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0C1B">
              <w:rPr>
                <w:rFonts w:ascii="Times New Roman" w:hAnsi="Times New Roman" w:cs="Times New Roman"/>
                <w:color w:val="000000"/>
                <w:sz w:val="24"/>
                <w:szCs w:val="24"/>
              </w:rPr>
              <w:t>-.059</w:t>
            </w:r>
          </w:p>
        </w:tc>
        <w:tc>
          <w:tcPr>
            <w:tcW w:w="910" w:type="dxa"/>
            <w:tcBorders>
              <w:top w:val="nil"/>
              <w:bottom w:val="single" w:sz="16" w:space="0" w:color="000000"/>
            </w:tcBorders>
            <w:shd w:val="clear" w:color="auto" w:fill="FFFFFF"/>
            <w:vAlign w:val="center"/>
          </w:tcPr>
          <w:p w14:paraId="61BD9CC0" w14:textId="77777777" w:rsidR="00F328AC" w:rsidRPr="00520C1B" w:rsidRDefault="00F328A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0C1B">
              <w:rPr>
                <w:rFonts w:ascii="Times New Roman" w:hAnsi="Times New Roman" w:cs="Times New Roman"/>
                <w:color w:val="000000"/>
                <w:sz w:val="24"/>
                <w:szCs w:val="24"/>
              </w:rPr>
              <w:t>-.715</w:t>
            </w:r>
          </w:p>
        </w:tc>
        <w:tc>
          <w:tcPr>
            <w:tcW w:w="913" w:type="dxa"/>
            <w:tcBorders>
              <w:top w:val="nil"/>
              <w:bottom w:val="single" w:sz="16" w:space="0" w:color="000000"/>
              <w:right w:val="single" w:sz="16" w:space="0" w:color="000000"/>
            </w:tcBorders>
            <w:shd w:val="clear" w:color="auto" w:fill="FFFFFF"/>
            <w:vAlign w:val="center"/>
          </w:tcPr>
          <w:p w14:paraId="42335960" w14:textId="77777777" w:rsidR="00F328AC" w:rsidRPr="00520C1B" w:rsidRDefault="00F328A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0C1B">
              <w:rPr>
                <w:rFonts w:ascii="Times New Roman" w:hAnsi="Times New Roman" w:cs="Times New Roman"/>
                <w:color w:val="000000"/>
                <w:sz w:val="24"/>
                <w:szCs w:val="24"/>
              </w:rPr>
              <w:t>.476</w:t>
            </w:r>
          </w:p>
        </w:tc>
      </w:tr>
      <w:tr w:rsidR="00F328AC" w:rsidRPr="00520C1B" w14:paraId="748A52DB" w14:textId="77777777" w:rsidTr="00D23C67">
        <w:trPr>
          <w:cantSplit/>
          <w:trHeight w:val="324"/>
        </w:trPr>
        <w:tc>
          <w:tcPr>
            <w:tcW w:w="7435" w:type="dxa"/>
            <w:gridSpan w:val="7"/>
            <w:tcBorders>
              <w:top w:val="nil"/>
              <w:left w:val="nil"/>
              <w:bottom w:val="nil"/>
              <w:right w:val="nil"/>
            </w:tcBorders>
            <w:shd w:val="clear" w:color="auto" w:fill="FFFFFF"/>
          </w:tcPr>
          <w:p w14:paraId="4A2E7D50" w14:textId="77777777" w:rsidR="00F328AC" w:rsidRPr="00520C1B" w:rsidRDefault="00F328AC" w:rsidP="00520C1B">
            <w:pPr>
              <w:autoSpaceDE w:val="0"/>
              <w:autoSpaceDN w:val="0"/>
              <w:adjustRightInd w:val="0"/>
              <w:spacing w:after="0" w:line="360" w:lineRule="auto"/>
              <w:ind w:left="60" w:right="60"/>
              <w:rPr>
                <w:rFonts w:ascii="Times New Roman" w:hAnsi="Times New Roman" w:cs="Times New Roman"/>
                <w:color w:val="000000"/>
                <w:sz w:val="24"/>
                <w:szCs w:val="24"/>
              </w:rPr>
            </w:pPr>
            <w:r w:rsidRPr="00520C1B">
              <w:rPr>
                <w:rFonts w:ascii="Times New Roman" w:hAnsi="Times New Roman" w:cs="Times New Roman"/>
                <w:color w:val="000000"/>
                <w:sz w:val="24"/>
                <w:szCs w:val="24"/>
              </w:rPr>
              <w:t>a. Dependent Variable: ABS_RES</w:t>
            </w:r>
          </w:p>
        </w:tc>
      </w:tr>
    </w:tbl>
    <w:p w14:paraId="0372CA50" w14:textId="1672E0B0" w:rsidR="00520C1B" w:rsidRPr="002E099F" w:rsidRDefault="00F053DA" w:rsidP="002E099F">
      <w:pPr>
        <w:pStyle w:val="ListParagraph"/>
        <w:spacing w:line="480" w:lineRule="auto"/>
        <w:ind w:left="1571" w:firstLine="589"/>
        <w:jc w:val="both"/>
        <w:rPr>
          <w:rFonts w:ascii="Times New Roman" w:hAnsi="Times New Roman" w:cs="Times New Roman"/>
          <w:sz w:val="24"/>
          <w:szCs w:val="24"/>
        </w:rPr>
      </w:pPr>
      <w:r w:rsidRPr="00C46A01">
        <w:rPr>
          <w:rFonts w:ascii="Times New Roman" w:hAnsi="Times New Roman" w:cs="Times New Roman"/>
          <w:sz w:val="24"/>
          <w:szCs w:val="24"/>
        </w:rPr>
        <w:lastRenderedPageBreak/>
        <w:t xml:space="preserve">Menurut hasil data output SPSS uji heteroskedastisitas seperti tampak pada </w:t>
      </w:r>
      <w:r w:rsidRPr="002D5B40">
        <w:rPr>
          <w:rFonts w:ascii="Times New Roman" w:hAnsi="Times New Roman" w:cs="Times New Roman"/>
          <w:sz w:val="24"/>
          <w:szCs w:val="24"/>
        </w:rPr>
        <w:t xml:space="preserve">tabel 10 </w:t>
      </w:r>
      <w:r w:rsidRPr="00C46A01">
        <w:rPr>
          <w:rFonts w:ascii="Times New Roman" w:hAnsi="Times New Roman" w:cs="Times New Roman"/>
          <w:sz w:val="24"/>
          <w:szCs w:val="24"/>
        </w:rPr>
        <w:t xml:space="preserve">tertera nilai-nilai probabilitas atau nilai ρ dari </w:t>
      </w:r>
      <w:r w:rsidR="009F72C3" w:rsidRPr="00C46A01">
        <w:rPr>
          <w:rFonts w:ascii="Times New Roman" w:hAnsi="Times New Roman" w:cs="Times New Roman"/>
          <w:sz w:val="24"/>
          <w:szCs w:val="24"/>
        </w:rPr>
        <w:t xml:space="preserve">variabel </w:t>
      </w:r>
      <w:r w:rsidRPr="00C46A01">
        <w:rPr>
          <w:rFonts w:ascii="Times New Roman" w:hAnsi="Times New Roman" w:cs="Times New Roman"/>
          <w:i/>
          <w:iCs/>
          <w:sz w:val="24"/>
          <w:szCs w:val="24"/>
        </w:rPr>
        <w:t>Non Performing loan</w:t>
      </w:r>
      <w:r w:rsidRPr="00C46A01">
        <w:rPr>
          <w:rFonts w:ascii="Times New Roman" w:hAnsi="Times New Roman" w:cs="Times New Roman"/>
          <w:sz w:val="24"/>
          <w:szCs w:val="24"/>
        </w:rPr>
        <w:t xml:space="preserve"> (NPL)</w:t>
      </w:r>
      <w:r w:rsidR="00520C1B">
        <w:rPr>
          <w:rFonts w:ascii="Times New Roman" w:hAnsi="Times New Roman" w:cs="Times New Roman"/>
          <w:sz w:val="24"/>
          <w:szCs w:val="24"/>
        </w:rPr>
        <w:t xml:space="preserve"> sebesar 0.197</w:t>
      </w:r>
      <w:r w:rsidRPr="00C46A01">
        <w:rPr>
          <w:rFonts w:ascii="Times New Roman" w:hAnsi="Times New Roman" w:cs="Times New Roman"/>
          <w:sz w:val="24"/>
          <w:szCs w:val="24"/>
        </w:rPr>
        <w:t xml:space="preserve">, </w:t>
      </w:r>
      <w:r w:rsidRPr="00C46A01">
        <w:rPr>
          <w:rFonts w:ascii="Times New Roman" w:hAnsi="Times New Roman" w:cs="Times New Roman"/>
          <w:i/>
          <w:iCs/>
          <w:sz w:val="24"/>
          <w:szCs w:val="24"/>
        </w:rPr>
        <w:t>Return on Aset</w:t>
      </w:r>
      <w:r w:rsidRPr="00C46A01">
        <w:rPr>
          <w:rFonts w:ascii="Times New Roman" w:hAnsi="Times New Roman" w:cs="Times New Roman"/>
          <w:sz w:val="24"/>
          <w:szCs w:val="24"/>
        </w:rPr>
        <w:t xml:space="preserve"> (ROA)</w:t>
      </w:r>
      <w:r w:rsidR="00520C1B">
        <w:rPr>
          <w:rFonts w:ascii="Times New Roman" w:hAnsi="Times New Roman" w:cs="Times New Roman"/>
          <w:sz w:val="24"/>
          <w:szCs w:val="24"/>
        </w:rPr>
        <w:t xml:space="preserve"> sebesar 0.092, Posisi Devisa Neto</w:t>
      </w:r>
      <w:r w:rsidR="008A2CF2" w:rsidRPr="00C46A01">
        <w:rPr>
          <w:rFonts w:ascii="Times New Roman" w:hAnsi="Times New Roman" w:cs="Times New Roman"/>
          <w:sz w:val="24"/>
          <w:szCs w:val="24"/>
        </w:rPr>
        <w:t xml:space="preserve"> (</w:t>
      </w:r>
      <w:r w:rsidR="00520C1B">
        <w:rPr>
          <w:rFonts w:ascii="Times New Roman" w:hAnsi="Times New Roman" w:cs="Times New Roman"/>
          <w:sz w:val="24"/>
          <w:szCs w:val="24"/>
        </w:rPr>
        <w:t>PDN</w:t>
      </w:r>
      <w:r w:rsidR="008A2CF2" w:rsidRPr="00C46A01">
        <w:rPr>
          <w:rFonts w:ascii="Times New Roman" w:hAnsi="Times New Roman" w:cs="Times New Roman"/>
          <w:sz w:val="24"/>
          <w:szCs w:val="24"/>
        </w:rPr>
        <w:t>)</w:t>
      </w:r>
      <w:r w:rsidR="00520C1B">
        <w:rPr>
          <w:rFonts w:ascii="Times New Roman" w:hAnsi="Times New Roman" w:cs="Times New Roman"/>
          <w:sz w:val="24"/>
          <w:szCs w:val="24"/>
        </w:rPr>
        <w:t xml:space="preserve"> sebesar 0.385</w:t>
      </w:r>
      <w:r w:rsidR="008A2CF2" w:rsidRPr="00C46A01">
        <w:rPr>
          <w:rFonts w:ascii="Times New Roman" w:hAnsi="Times New Roman" w:cs="Times New Roman"/>
          <w:sz w:val="24"/>
          <w:szCs w:val="24"/>
        </w:rPr>
        <w:t>, Biaya Operasional Pendapatan Operasional (BOPO)</w:t>
      </w:r>
      <w:r w:rsidR="00520C1B">
        <w:rPr>
          <w:rFonts w:ascii="Times New Roman" w:hAnsi="Times New Roman" w:cs="Times New Roman"/>
          <w:sz w:val="24"/>
          <w:szCs w:val="24"/>
        </w:rPr>
        <w:t xml:space="preserve"> sebesar 0.142</w:t>
      </w:r>
      <w:r w:rsidR="008A2CF2" w:rsidRPr="00C46A01">
        <w:rPr>
          <w:rFonts w:ascii="Times New Roman" w:hAnsi="Times New Roman" w:cs="Times New Roman"/>
          <w:sz w:val="24"/>
          <w:szCs w:val="24"/>
        </w:rPr>
        <w:t xml:space="preserve">, dan </w:t>
      </w:r>
      <w:r w:rsidR="008A2CF2" w:rsidRPr="00C46A01">
        <w:rPr>
          <w:rFonts w:ascii="Times New Roman" w:hAnsi="Times New Roman" w:cs="Times New Roman"/>
          <w:i/>
          <w:sz w:val="24"/>
          <w:szCs w:val="24"/>
        </w:rPr>
        <w:t>Debt to Equity Ratio (DER</w:t>
      </w:r>
      <w:r w:rsidR="008A2CF2" w:rsidRPr="00C46A01">
        <w:rPr>
          <w:rFonts w:ascii="Times New Roman" w:hAnsi="Times New Roman" w:cs="Times New Roman"/>
          <w:sz w:val="24"/>
          <w:szCs w:val="24"/>
        </w:rPr>
        <w:t>)</w:t>
      </w:r>
      <w:r w:rsidR="00520C1B">
        <w:rPr>
          <w:rFonts w:ascii="Times New Roman" w:hAnsi="Times New Roman" w:cs="Times New Roman"/>
          <w:sz w:val="24"/>
          <w:szCs w:val="24"/>
        </w:rPr>
        <w:t xml:space="preserve"> sebesar0.476,</w:t>
      </w:r>
      <w:r w:rsidRPr="00C46A01">
        <w:rPr>
          <w:rFonts w:ascii="Times New Roman" w:hAnsi="Times New Roman" w:cs="Times New Roman"/>
          <w:sz w:val="24"/>
          <w:szCs w:val="24"/>
        </w:rPr>
        <w:t xml:space="preserve"> secara keseluruhan lebih besar dari 0,05. Fakta ini telah membuktikan bahwa model regresi yang dihasilkan terbebas dari gejala heteroskedastisitas.</w:t>
      </w:r>
    </w:p>
    <w:p w14:paraId="7E42C894" w14:textId="77777777" w:rsidR="00A0722E" w:rsidRDefault="00F328AC" w:rsidP="00A0722E">
      <w:pPr>
        <w:pStyle w:val="ListParagraph"/>
        <w:keepNext/>
        <w:spacing w:line="480" w:lineRule="auto"/>
        <w:ind w:left="1276"/>
        <w:jc w:val="center"/>
      </w:pPr>
      <w:r>
        <w:rPr>
          <w:rFonts w:ascii="Times New Roman" w:hAnsi="Times New Roman" w:cs="Times New Roman"/>
          <w:noProof/>
          <w:sz w:val="24"/>
          <w:szCs w:val="24"/>
        </w:rPr>
        <w:drawing>
          <wp:inline distT="0" distB="0" distL="0" distR="0" wp14:anchorId="0F3CFBE8" wp14:editId="3198A3E9">
            <wp:extent cx="4544563" cy="3638550"/>
            <wp:effectExtent l="0" t="0" r="8890" b="0"/>
            <wp:docPr id="1019042605" name="Picture 1019042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53223" cy="3645483"/>
                    </a:xfrm>
                    <a:prstGeom prst="rect">
                      <a:avLst/>
                    </a:prstGeom>
                    <a:noFill/>
                    <a:ln>
                      <a:noFill/>
                    </a:ln>
                  </pic:spPr>
                </pic:pic>
              </a:graphicData>
            </a:graphic>
          </wp:inline>
        </w:drawing>
      </w:r>
    </w:p>
    <w:p w14:paraId="263D0B9E" w14:textId="068C3CF5" w:rsidR="00A0722E" w:rsidRPr="00A0722E" w:rsidRDefault="00A0722E" w:rsidP="00A0722E">
      <w:pPr>
        <w:pStyle w:val="ListParagraph"/>
        <w:spacing w:after="0" w:line="276" w:lineRule="auto"/>
        <w:ind w:left="1985"/>
        <w:rPr>
          <w:rFonts w:ascii="Times New Roman" w:hAnsi="Times New Roman" w:cs="Times New Roman"/>
          <w:sz w:val="24"/>
          <w:szCs w:val="24"/>
        </w:rPr>
      </w:pPr>
      <w:r w:rsidRPr="00A0722E">
        <w:rPr>
          <w:rFonts w:ascii="Times New Roman" w:hAnsi="Times New Roman" w:cs="Times New Roman"/>
          <w:sz w:val="24"/>
          <w:szCs w:val="24"/>
        </w:rPr>
        <w:t>Sumber : Output SPSS 22, data yang diolah (2024)</w:t>
      </w:r>
    </w:p>
    <w:p w14:paraId="71139E2A" w14:textId="1BB4CB71" w:rsidR="001416FC" w:rsidRDefault="001416FC" w:rsidP="001416FC">
      <w:pPr>
        <w:pStyle w:val="Caption"/>
        <w:spacing w:after="0"/>
        <w:ind w:left="993"/>
        <w:jc w:val="center"/>
        <w:rPr>
          <w:rFonts w:ascii="Times New Roman" w:hAnsi="Times New Roman" w:cs="Times New Roman"/>
          <w:i w:val="0"/>
          <w:iCs w:val="0"/>
          <w:color w:val="auto"/>
          <w:sz w:val="24"/>
          <w:szCs w:val="24"/>
        </w:rPr>
      </w:pPr>
      <w:bookmarkStart w:id="16" w:name="_Toc169268212"/>
      <w:r w:rsidRPr="001416FC">
        <w:rPr>
          <w:rFonts w:ascii="Times New Roman" w:hAnsi="Times New Roman" w:cs="Times New Roman"/>
          <w:i w:val="0"/>
          <w:iCs w:val="0"/>
          <w:color w:val="auto"/>
          <w:sz w:val="24"/>
          <w:szCs w:val="24"/>
        </w:rPr>
        <w:t xml:space="preserve">Grafik </w:t>
      </w:r>
      <w:bookmarkEnd w:id="16"/>
      <w:r w:rsidR="00242334">
        <w:rPr>
          <w:rFonts w:ascii="Times New Roman" w:hAnsi="Times New Roman" w:cs="Times New Roman"/>
          <w:i w:val="0"/>
          <w:iCs w:val="0"/>
          <w:color w:val="auto"/>
          <w:sz w:val="24"/>
          <w:szCs w:val="24"/>
        </w:rPr>
        <w:t>10</w:t>
      </w:r>
    </w:p>
    <w:p w14:paraId="5E9292DC" w14:textId="39970124" w:rsidR="001416FC" w:rsidRPr="001416FC" w:rsidRDefault="001416FC" w:rsidP="001416FC">
      <w:pPr>
        <w:pStyle w:val="Caption"/>
        <w:spacing w:after="0" w:line="480" w:lineRule="auto"/>
        <w:ind w:left="993"/>
        <w:jc w:val="center"/>
        <w:rPr>
          <w:rFonts w:ascii="Times New Roman" w:hAnsi="Times New Roman" w:cs="Times New Roman"/>
          <w:i w:val="0"/>
          <w:iCs w:val="0"/>
          <w:color w:val="auto"/>
          <w:sz w:val="24"/>
          <w:szCs w:val="24"/>
        </w:rPr>
      </w:pPr>
      <w:r w:rsidRPr="001416FC">
        <w:rPr>
          <w:rFonts w:ascii="Times New Roman" w:hAnsi="Times New Roman" w:cs="Times New Roman"/>
          <w:i w:val="0"/>
          <w:iCs w:val="0"/>
          <w:color w:val="auto"/>
          <w:sz w:val="24"/>
          <w:szCs w:val="24"/>
        </w:rPr>
        <w:t>Scatterplot Uji Heterokedastisitas</w:t>
      </w:r>
    </w:p>
    <w:p w14:paraId="1561F585" w14:textId="11D3B64F" w:rsidR="00993411" w:rsidRPr="00C46A01" w:rsidRDefault="008A2CF2" w:rsidP="00A0722E">
      <w:pPr>
        <w:pStyle w:val="ListParagraph"/>
        <w:spacing w:line="480" w:lineRule="auto"/>
        <w:ind w:left="1571" w:firstLine="589"/>
        <w:jc w:val="both"/>
        <w:rPr>
          <w:rFonts w:ascii="Times New Roman" w:hAnsi="Times New Roman" w:cs="Times New Roman"/>
          <w:sz w:val="24"/>
          <w:szCs w:val="24"/>
        </w:rPr>
      </w:pPr>
      <w:r w:rsidRPr="00C46A01">
        <w:rPr>
          <w:rFonts w:ascii="Times New Roman" w:hAnsi="Times New Roman" w:cs="Times New Roman"/>
          <w:sz w:val="24"/>
          <w:szCs w:val="24"/>
        </w:rPr>
        <w:t xml:space="preserve">Berdasarkan Gambar 5 diatas, hasil uji heterokedastisitas yang telah diolah adalah grafik scatterplot </w:t>
      </w:r>
      <w:r w:rsidR="00BB4C2C">
        <w:rPr>
          <w:rFonts w:ascii="Times New Roman" w:hAnsi="Times New Roman" w:cs="Times New Roman"/>
          <w:sz w:val="24"/>
          <w:szCs w:val="24"/>
        </w:rPr>
        <w:t>menunjukkan</w:t>
      </w:r>
      <w:r w:rsidRPr="00C46A01">
        <w:rPr>
          <w:rFonts w:ascii="Times New Roman" w:hAnsi="Times New Roman" w:cs="Times New Roman"/>
          <w:sz w:val="24"/>
          <w:szCs w:val="24"/>
        </w:rPr>
        <w:t xml:space="preserve"> bahwa titik-titik </w:t>
      </w:r>
      <w:r w:rsidRPr="00C46A01">
        <w:rPr>
          <w:rFonts w:ascii="Times New Roman" w:hAnsi="Times New Roman" w:cs="Times New Roman"/>
          <w:sz w:val="24"/>
          <w:szCs w:val="24"/>
        </w:rPr>
        <w:lastRenderedPageBreak/>
        <w:t xml:space="preserve">menyebar secara acak serta tersebar baik diatas maupun dibawah angka 0 pada sumbu Y. Hal ini </w:t>
      </w:r>
      <w:r w:rsidR="00BB4C2C">
        <w:rPr>
          <w:rFonts w:ascii="Times New Roman" w:hAnsi="Times New Roman" w:cs="Times New Roman"/>
          <w:sz w:val="24"/>
          <w:szCs w:val="24"/>
        </w:rPr>
        <w:t>menunjukkan</w:t>
      </w:r>
      <w:r w:rsidRPr="00C46A01">
        <w:rPr>
          <w:rFonts w:ascii="Times New Roman" w:hAnsi="Times New Roman" w:cs="Times New Roman"/>
          <w:sz w:val="24"/>
          <w:szCs w:val="24"/>
        </w:rPr>
        <w:t xml:space="preserve"> bahwa tidak terjadi heterokedastisikas pada model regresi.</w:t>
      </w:r>
    </w:p>
    <w:p w14:paraId="4592903A" w14:textId="6151A19D" w:rsidR="00724F0B" w:rsidRPr="00C46A01" w:rsidRDefault="00D6479C" w:rsidP="00BA365E">
      <w:pPr>
        <w:pStyle w:val="ListParagraph"/>
        <w:numPr>
          <w:ilvl w:val="0"/>
          <w:numId w:val="85"/>
        </w:numPr>
        <w:spacing w:after="0" w:line="480" w:lineRule="auto"/>
        <w:ind w:left="1134"/>
        <w:jc w:val="both"/>
        <w:rPr>
          <w:rFonts w:ascii="Times New Roman" w:hAnsi="Times New Roman" w:cs="Times New Roman"/>
          <w:b/>
          <w:bCs/>
          <w:sz w:val="24"/>
          <w:szCs w:val="24"/>
        </w:rPr>
      </w:pPr>
      <w:r w:rsidRPr="00C46A01">
        <w:rPr>
          <w:rFonts w:ascii="Times New Roman" w:hAnsi="Times New Roman" w:cs="Times New Roman"/>
          <w:b/>
          <w:bCs/>
          <w:sz w:val="24"/>
          <w:szCs w:val="24"/>
        </w:rPr>
        <w:t>Analisis Regresi Linear Berganda</w:t>
      </w:r>
    </w:p>
    <w:p w14:paraId="49776C52" w14:textId="28BE9705" w:rsidR="002E099F" w:rsidRPr="00C46A01" w:rsidRDefault="00D6479C" w:rsidP="00A0722E">
      <w:pPr>
        <w:spacing w:line="480" w:lineRule="auto"/>
        <w:ind w:left="1134" w:firstLine="306"/>
        <w:jc w:val="both"/>
        <w:rPr>
          <w:rFonts w:ascii="Times New Roman" w:hAnsi="Times New Roman" w:cs="Times New Roman"/>
          <w:sz w:val="24"/>
          <w:szCs w:val="24"/>
        </w:rPr>
      </w:pPr>
      <w:r w:rsidRPr="00C46A01">
        <w:rPr>
          <w:rFonts w:ascii="Times New Roman" w:hAnsi="Times New Roman" w:cs="Times New Roman"/>
          <w:sz w:val="24"/>
          <w:szCs w:val="24"/>
        </w:rPr>
        <w:t>Uji regresi linear berganda bertujuan untuk memprediksi besarnya keterkaitan dengan menggunkan data variabel bebas yang sudah diketahui besarnya, regresi linear berganda juga dapat untuk menguji pengaruh antara varia</w:t>
      </w:r>
      <w:r w:rsidR="00CD394F">
        <w:rPr>
          <w:rFonts w:ascii="Times New Roman" w:hAnsi="Times New Roman" w:cs="Times New Roman"/>
          <w:sz w:val="24"/>
          <w:szCs w:val="24"/>
        </w:rPr>
        <w:t>be</w:t>
      </w:r>
      <w:r w:rsidRPr="00C46A01">
        <w:rPr>
          <w:rFonts w:ascii="Times New Roman" w:hAnsi="Times New Roman" w:cs="Times New Roman"/>
          <w:sz w:val="24"/>
          <w:szCs w:val="24"/>
        </w:rPr>
        <w:t>l bebas terhadap variab</w:t>
      </w:r>
      <w:r w:rsidR="00CD394F">
        <w:rPr>
          <w:rFonts w:ascii="Times New Roman" w:hAnsi="Times New Roman" w:cs="Times New Roman"/>
          <w:sz w:val="24"/>
          <w:szCs w:val="24"/>
        </w:rPr>
        <w:t>el</w:t>
      </w:r>
      <w:r w:rsidRPr="00C46A01">
        <w:rPr>
          <w:rFonts w:ascii="Times New Roman" w:hAnsi="Times New Roman" w:cs="Times New Roman"/>
          <w:sz w:val="24"/>
          <w:szCs w:val="24"/>
        </w:rPr>
        <w:t xml:space="preserve"> terikat. Untuk menganalisis pengaruh kuallitas asset, rentabilitas, sentivitas risiko pasar, efisiensi operasional dan </w:t>
      </w:r>
      <w:r w:rsidRPr="00C46A01">
        <w:rPr>
          <w:rFonts w:ascii="Times New Roman" w:hAnsi="Times New Roman" w:cs="Times New Roman"/>
          <w:i/>
          <w:iCs/>
          <w:sz w:val="24"/>
          <w:szCs w:val="24"/>
        </w:rPr>
        <w:t>leverage</w:t>
      </w:r>
      <w:r w:rsidRPr="00C46A01">
        <w:rPr>
          <w:rFonts w:ascii="Times New Roman" w:hAnsi="Times New Roman" w:cs="Times New Roman"/>
          <w:sz w:val="24"/>
          <w:szCs w:val="24"/>
        </w:rPr>
        <w:t xml:space="preserve"> terhadap rasio kecukupan modal pada sub sektor perbankan yang terdaftar di Bursa Efek Indonesia (BEI), bentuk umum persamaan regresi linear berganda adalah sebagai berikut</w:t>
      </w:r>
      <w:r w:rsidR="00706E4F" w:rsidRPr="00C46A01">
        <w:rPr>
          <w:rFonts w:ascii="Times New Roman" w:hAnsi="Times New Roman" w:cs="Times New Roman"/>
          <w:sz w:val="24"/>
          <w:szCs w:val="24"/>
        </w:rPr>
        <w:t>:</w:t>
      </w:r>
    </w:p>
    <w:p w14:paraId="63BC13E4" w14:textId="2058602F" w:rsidR="001939BC" w:rsidRPr="001939BC" w:rsidRDefault="001939BC" w:rsidP="00BA365E">
      <w:pPr>
        <w:pStyle w:val="Caption"/>
        <w:keepNext/>
        <w:spacing w:after="0"/>
        <w:ind w:left="1276"/>
        <w:jc w:val="center"/>
        <w:rPr>
          <w:rFonts w:ascii="Times New Roman" w:hAnsi="Times New Roman" w:cs="Times New Roman"/>
          <w:i w:val="0"/>
          <w:iCs w:val="0"/>
          <w:color w:val="auto"/>
          <w:sz w:val="24"/>
          <w:szCs w:val="24"/>
        </w:rPr>
      </w:pPr>
      <w:bookmarkStart w:id="17" w:name="_Toc167784728"/>
      <w:r w:rsidRPr="001939BC">
        <w:rPr>
          <w:rFonts w:ascii="Times New Roman" w:hAnsi="Times New Roman" w:cs="Times New Roman"/>
          <w:i w:val="0"/>
          <w:iCs w:val="0"/>
          <w:color w:val="auto"/>
          <w:sz w:val="24"/>
          <w:szCs w:val="24"/>
        </w:rPr>
        <w:t xml:space="preserve">Tabel </w:t>
      </w:r>
      <w:r w:rsidRPr="001939BC">
        <w:rPr>
          <w:rFonts w:ascii="Times New Roman" w:hAnsi="Times New Roman" w:cs="Times New Roman"/>
          <w:i w:val="0"/>
          <w:iCs w:val="0"/>
          <w:color w:val="auto"/>
          <w:sz w:val="24"/>
          <w:szCs w:val="24"/>
        </w:rPr>
        <w:fldChar w:fldCharType="begin"/>
      </w:r>
      <w:r w:rsidRPr="001939BC">
        <w:rPr>
          <w:rFonts w:ascii="Times New Roman" w:hAnsi="Times New Roman" w:cs="Times New Roman"/>
          <w:i w:val="0"/>
          <w:iCs w:val="0"/>
          <w:color w:val="auto"/>
          <w:sz w:val="24"/>
          <w:szCs w:val="24"/>
        </w:rPr>
        <w:instrText xml:space="preserve"> SEQ Tabel \* ARABIC </w:instrText>
      </w:r>
      <w:r w:rsidRPr="001939BC">
        <w:rPr>
          <w:rFonts w:ascii="Times New Roman" w:hAnsi="Times New Roman" w:cs="Times New Roman"/>
          <w:i w:val="0"/>
          <w:iCs w:val="0"/>
          <w:color w:val="auto"/>
          <w:sz w:val="24"/>
          <w:szCs w:val="24"/>
        </w:rPr>
        <w:fldChar w:fldCharType="separate"/>
      </w:r>
      <w:r w:rsidR="00383519">
        <w:rPr>
          <w:rFonts w:ascii="Times New Roman" w:hAnsi="Times New Roman" w:cs="Times New Roman"/>
          <w:i w:val="0"/>
          <w:iCs w:val="0"/>
          <w:noProof/>
          <w:color w:val="auto"/>
          <w:sz w:val="24"/>
          <w:szCs w:val="24"/>
        </w:rPr>
        <w:t>11</w:t>
      </w:r>
      <w:bookmarkEnd w:id="17"/>
      <w:r w:rsidRPr="001939BC">
        <w:rPr>
          <w:rFonts w:ascii="Times New Roman" w:hAnsi="Times New Roman" w:cs="Times New Roman"/>
          <w:i w:val="0"/>
          <w:iCs w:val="0"/>
          <w:color w:val="auto"/>
          <w:sz w:val="24"/>
          <w:szCs w:val="24"/>
        </w:rPr>
        <w:fldChar w:fldCharType="end"/>
      </w:r>
    </w:p>
    <w:p w14:paraId="560594A7" w14:textId="2A2EE2B5" w:rsidR="001939BC" w:rsidRPr="001939BC" w:rsidRDefault="001939BC" w:rsidP="00BA365E">
      <w:pPr>
        <w:pStyle w:val="Caption"/>
        <w:keepNext/>
        <w:spacing w:after="0"/>
        <w:ind w:left="1276"/>
        <w:jc w:val="center"/>
        <w:rPr>
          <w:rFonts w:ascii="Times New Roman" w:hAnsi="Times New Roman" w:cs="Times New Roman"/>
          <w:i w:val="0"/>
          <w:iCs w:val="0"/>
          <w:color w:val="auto"/>
          <w:sz w:val="24"/>
          <w:szCs w:val="24"/>
        </w:rPr>
      </w:pPr>
      <w:r w:rsidRPr="001939BC">
        <w:rPr>
          <w:rFonts w:ascii="Times New Roman" w:hAnsi="Times New Roman" w:cs="Times New Roman"/>
          <w:i w:val="0"/>
          <w:iCs w:val="0"/>
          <w:color w:val="auto"/>
          <w:sz w:val="24"/>
          <w:szCs w:val="24"/>
        </w:rPr>
        <w:t>Hasil Uji Analisis Regresi Linear Berganda</w:t>
      </w:r>
    </w:p>
    <w:p w14:paraId="63038B66" w14:textId="77777777" w:rsidR="00013DAA" w:rsidRPr="00013DAA" w:rsidRDefault="00013DAA" w:rsidP="00BA365E">
      <w:pPr>
        <w:autoSpaceDE w:val="0"/>
        <w:autoSpaceDN w:val="0"/>
        <w:adjustRightInd w:val="0"/>
        <w:spacing w:after="0" w:line="240" w:lineRule="auto"/>
        <w:rPr>
          <w:rFonts w:ascii="Times New Roman" w:hAnsi="Times New Roman" w:cs="Times New Roman"/>
          <w:sz w:val="24"/>
          <w:szCs w:val="24"/>
        </w:rPr>
      </w:pPr>
    </w:p>
    <w:tbl>
      <w:tblPr>
        <w:tblW w:w="8101"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3"/>
        <w:gridCol w:w="1338"/>
        <w:gridCol w:w="1338"/>
        <w:gridCol w:w="1476"/>
        <w:gridCol w:w="1015"/>
        <w:gridCol w:w="1015"/>
      </w:tblGrid>
      <w:tr w:rsidR="00013DAA" w:rsidRPr="00013DAA" w14:paraId="331C9161" w14:textId="77777777" w:rsidTr="00BA365E">
        <w:trPr>
          <w:cantSplit/>
        </w:trPr>
        <w:tc>
          <w:tcPr>
            <w:tcW w:w="8101" w:type="dxa"/>
            <w:gridSpan w:val="7"/>
            <w:tcBorders>
              <w:top w:val="nil"/>
              <w:left w:val="nil"/>
              <w:bottom w:val="nil"/>
              <w:right w:val="nil"/>
            </w:tcBorders>
            <w:shd w:val="clear" w:color="auto" w:fill="FFFFFF"/>
            <w:vAlign w:val="center"/>
          </w:tcPr>
          <w:p w14:paraId="1A07AA4A" w14:textId="77777777" w:rsidR="00013DAA" w:rsidRPr="00013DAA" w:rsidRDefault="00013DAA" w:rsidP="00BA365E">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13DAA">
              <w:rPr>
                <w:rFonts w:ascii="Times New Roman" w:hAnsi="Times New Roman" w:cs="Times New Roman"/>
                <w:b/>
                <w:bCs/>
                <w:color w:val="000000"/>
                <w:sz w:val="24"/>
                <w:szCs w:val="24"/>
              </w:rPr>
              <w:t>Coefficients</w:t>
            </w:r>
            <w:r w:rsidRPr="00013DAA">
              <w:rPr>
                <w:rFonts w:ascii="Times New Roman" w:hAnsi="Times New Roman" w:cs="Times New Roman"/>
                <w:b/>
                <w:bCs/>
                <w:color w:val="000000"/>
                <w:sz w:val="24"/>
                <w:szCs w:val="24"/>
                <w:vertAlign w:val="superscript"/>
              </w:rPr>
              <w:t>a</w:t>
            </w:r>
          </w:p>
        </w:tc>
      </w:tr>
      <w:tr w:rsidR="00013DAA" w:rsidRPr="00013DAA" w14:paraId="3C283FDB" w14:textId="77777777" w:rsidTr="00BA365E">
        <w:trPr>
          <w:cantSplit/>
        </w:trPr>
        <w:tc>
          <w:tcPr>
            <w:tcW w:w="1919" w:type="dxa"/>
            <w:gridSpan w:val="2"/>
            <w:vMerge w:val="restart"/>
            <w:tcBorders>
              <w:top w:val="single" w:sz="16" w:space="0" w:color="000000"/>
              <w:left w:val="single" w:sz="16" w:space="0" w:color="000000"/>
              <w:bottom w:val="nil"/>
              <w:right w:val="nil"/>
            </w:tcBorders>
            <w:shd w:val="clear" w:color="auto" w:fill="FFFFFF"/>
            <w:vAlign w:val="bottom"/>
          </w:tcPr>
          <w:p w14:paraId="6A020E6D" w14:textId="77777777" w:rsidR="00013DAA" w:rsidRPr="00013DAA" w:rsidRDefault="00013DAA" w:rsidP="00013DAA">
            <w:pPr>
              <w:autoSpaceDE w:val="0"/>
              <w:autoSpaceDN w:val="0"/>
              <w:adjustRightInd w:val="0"/>
              <w:spacing w:after="0" w:line="320" w:lineRule="atLeast"/>
              <w:ind w:left="60" w:right="60"/>
              <w:rPr>
                <w:rFonts w:ascii="Times New Roman" w:hAnsi="Times New Roman" w:cs="Times New Roman"/>
                <w:color w:val="000000"/>
                <w:sz w:val="24"/>
                <w:szCs w:val="24"/>
              </w:rPr>
            </w:pPr>
            <w:r w:rsidRPr="00013DAA">
              <w:rPr>
                <w:rFonts w:ascii="Times New Roman" w:hAnsi="Times New Roman" w:cs="Times New Roman"/>
                <w:color w:val="000000"/>
                <w:sz w:val="24"/>
                <w:szCs w:val="24"/>
              </w:rPr>
              <w:t>Model</w:t>
            </w:r>
          </w:p>
        </w:tc>
        <w:tc>
          <w:tcPr>
            <w:tcW w:w="2676" w:type="dxa"/>
            <w:gridSpan w:val="2"/>
            <w:tcBorders>
              <w:top w:val="single" w:sz="16" w:space="0" w:color="000000"/>
              <w:left w:val="single" w:sz="16" w:space="0" w:color="000000"/>
            </w:tcBorders>
            <w:shd w:val="clear" w:color="auto" w:fill="FFFFFF"/>
            <w:vAlign w:val="bottom"/>
          </w:tcPr>
          <w:p w14:paraId="6BF063C8" w14:textId="77777777" w:rsidR="00013DAA" w:rsidRPr="00013DAA" w:rsidRDefault="00013DAA" w:rsidP="00013DA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13DAA">
              <w:rPr>
                <w:rFonts w:ascii="Times New Roman" w:hAnsi="Times New Roman" w:cs="Times New Roman"/>
                <w:color w:val="000000"/>
                <w:sz w:val="24"/>
                <w:szCs w:val="24"/>
              </w:rPr>
              <w:t>Unstandardized Coefficients</w:t>
            </w:r>
          </w:p>
        </w:tc>
        <w:tc>
          <w:tcPr>
            <w:tcW w:w="1476" w:type="dxa"/>
            <w:tcBorders>
              <w:top w:val="single" w:sz="16" w:space="0" w:color="000000"/>
            </w:tcBorders>
            <w:shd w:val="clear" w:color="auto" w:fill="FFFFFF"/>
            <w:vAlign w:val="bottom"/>
          </w:tcPr>
          <w:p w14:paraId="0030D6FD" w14:textId="77777777" w:rsidR="00013DAA" w:rsidRPr="00013DAA" w:rsidRDefault="00013DAA" w:rsidP="00013DA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13DAA">
              <w:rPr>
                <w:rFonts w:ascii="Times New Roman" w:hAnsi="Times New Roman" w:cs="Times New Roman"/>
                <w:color w:val="000000"/>
                <w:sz w:val="24"/>
                <w:szCs w:val="24"/>
              </w:rPr>
              <w:t>Standardized Coefficients</w:t>
            </w:r>
          </w:p>
        </w:tc>
        <w:tc>
          <w:tcPr>
            <w:tcW w:w="1015" w:type="dxa"/>
            <w:vMerge w:val="restart"/>
            <w:tcBorders>
              <w:top w:val="single" w:sz="16" w:space="0" w:color="000000"/>
            </w:tcBorders>
            <w:shd w:val="clear" w:color="auto" w:fill="FFFFFF"/>
            <w:vAlign w:val="bottom"/>
          </w:tcPr>
          <w:p w14:paraId="6CB4479A" w14:textId="77777777" w:rsidR="00013DAA" w:rsidRPr="00013DAA" w:rsidRDefault="00013DAA" w:rsidP="00013DA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13DAA">
              <w:rPr>
                <w:rFonts w:ascii="Times New Roman" w:hAnsi="Times New Roman" w:cs="Times New Roman"/>
                <w:color w:val="000000"/>
                <w:sz w:val="24"/>
                <w:szCs w:val="24"/>
              </w:rPr>
              <w:t>t</w:t>
            </w:r>
          </w:p>
        </w:tc>
        <w:tc>
          <w:tcPr>
            <w:tcW w:w="1015" w:type="dxa"/>
            <w:vMerge w:val="restart"/>
            <w:tcBorders>
              <w:top w:val="single" w:sz="16" w:space="0" w:color="000000"/>
              <w:right w:val="single" w:sz="16" w:space="0" w:color="000000"/>
            </w:tcBorders>
            <w:shd w:val="clear" w:color="auto" w:fill="FFFFFF"/>
            <w:vAlign w:val="bottom"/>
          </w:tcPr>
          <w:p w14:paraId="5B2BD8C7" w14:textId="77777777" w:rsidR="00013DAA" w:rsidRPr="00013DAA" w:rsidRDefault="00013DAA" w:rsidP="00013DA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13DAA">
              <w:rPr>
                <w:rFonts w:ascii="Times New Roman" w:hAnsi="Times New Roman" w:cs="Times New Roman"/>
                <w:color w:val="000000"/>
                <w:sz w:val="24"/>
                <w:szCs w:val="24"/>
              </w:rPr>
              <w:t>Sig.</w:t>
            </w:r>
          </w:p>
        </w:tc>
      </w:tr>
      <w:tr w:rsidR="00013DAA" w:rsidRPr="00013DAA" w14:paraId="32AA671D" w14:textId="77777777" w:rsidTr="00BA365E">
        <w:trPr>
          <w:cantSplit/>
        </w:trPr>
        <w:tc>
          <w:tcPr>
            <w:tcW w:w="1919" w:type="dxa"/>
            <w:gridSpan w:val="2"/>
            <w:vMerge/>
            <w:tcBorders>
              <w:top w:val="single" w:sz="16" w:space="0" w:color="000000"/>
              <w:left w:val="single" w:sz="16" w:space="0" w:color="000000"/>
              <w:bottom w:val="nil"/>
              <w:right w:val="nil"/>
            </w:tcBorders>
            <w:shd w:val="clear" w:color="auto" w:fill="FFFFFF"/>
            <w:vAlign w:val="bottom"/>
          </w:tcPr>
          <w:p w14:paraId="6F268E2C" w14:textId="77777777" w:rsidR="00013DAA" w:rsidRPr="00013DAA" w:rsidRDefault="00013DAA" w:rsidP="00013DAA">
            <w:pPr>
              <w:autoSpaceDE w:val="0"/>
              <w:autoSpaceDN w:val="0"/>
              <w:adjustRightInd w:val="0"/>
              <w:spacing w:after="0" w:line="240" w:lineRule="auto"/>
              <w:rPr>
                <w:rFonts w:ascii="Times New Roman" w:hAnsi="Times New Roman" w:cs="Times New Roman"/>
                <w:color w:val="000000"/>
                <w:sz w:val="24"/>
                <w:szCs w:val="24"/>
              </w:rPr>
            </w:pPr>
          </w:p>
        </w:tc>
        <w:tc>
          <w:tcPr>
            <w:tcW w:w="1338" w:type="dxa"/>
            <w:tcBorders>
              <w:left w:val="single" w:sz="16" w:space="0" w:color="000000"/>
              <w:bottom w:val="single" w:sz="16" w:space="0" w:color="000000"/>
            </w:tcBorders>
            <w:shd w:val="clear" w:color="auto" w:fill="FFFFFF"/>
            <w:vAlign w:val="bottom"/>
          </w:tcPr>
          <w:p w14:paraId="3529111E" w14:textId="77777777" w:rsidR="00013DAA" w:rsidRPr="00013DAA" w:rsidRDefault="00013DAA" w:rsidP="00013DA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13DAA">
              <w:rPr>
                <w:rFonts w:ascii="Times New Roman" w:hAnsi="Times New Roman" w:cs="Times New Roman"/>
                <w:color w:val="000000"/>
                <w:sz w:val="24"/>
                <w:szCs w:val="24"/>
              </w:rPr>
              <w:t>B</w:t>
            </w:r>
          </w:p>
        </w:tc>
        <w:tc>
          <w:tcPr>
            <w:tcW w:w="1338" w:type="dxa"/>
            <w:tcBorders>
              <w:bottom w:val="single" w:sz="16" w:space="0" w:color="000000"/>
            </w:tcBorders>
            <w:shd w:val="clear" w:color="auto" w:fill="FFFFFF"/>
            <w:vAlign w:val="bottom"/>
          </w:tcPr>
          <w:p w14:paraId="03826B5E" w14:textId="77777777" w:rsidR="00013DAA" w:rsidRPr="00013DAA" w:rsidRDefault="00013DAA" w:rsidP="00013DA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13DAA">
              <w:rPr>
                <w:rFonts w:ascii="Times New Roman" w:hAnsi="Times New Roman" w:cs="Times New Roman"/>
                <w:color w:val="000000"/>
                <w:sz w:val="24"/>
                <w:szCs w:val="24"/>
              </w:rPr>
              <w:t>Std. Error</w:t>
            </w:r>
          </w:p>
        </w:tc>
        <w:tc>
          <w:tcPr>
            <w:tcW w:w="1476" w:type="dxa"/>
            <w:tcBorders>
              <w:bottom w:val="single" w:sz="16" w:space="0" w:color="000000"/>
            </w:tcBorders>
            <w:shd w:val="clear" w:color="auto" w:fill="FFFFFF"/>
            <w:vAlign w:val="bottom"/>
          </w:tcPr>
          <w:p w14:paraId="3D5DA2DB" w14:textId="77777777" w:rsidR="00013DAA" w:rsidRPr="00013DAA" w:rsidRDefault="00013DAA" w:rsidP="00013DA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13DAA">
              <w:rPr>
                <w:rFonts w:ascii="Times New Roman" w:hAnsi="Times New Roman" w:cs="Times New Roman"/>
                <w:color w:val="000000"/>
                <w:sz w:val="24"/>
                <w:szCs w:val="24"/>
              </w:rPr>
              <w:t>Beta</w:t>
            </w:r>
          </w:p>
        </w:tc>
        <w:tc>
          <w:tcPr>
            <w:tcW w:w="1015" w:type="dxa"/>
            <w:vMerge/>
            <w:tcBorders>
              <w:top w:val="single" w:sz="16" w:space="0" w:color="000000"/>
            </w:tcBorders>
            <w:shd w:val="clear" w:color="auto" w:fill="FFFFFF"/>
            <w:vAlign w:val="bottom"/>
          </w:tcPr>
          <w:p w14:paraId="4C3D7DC1" w14:textId="77777777" w:rsidR="00013DAA" w:rsidRPr="00013DAA" w:rsidRDefault="00013DAA" w:rsidP="00013DAA">
            <w:pPr>
              <w:autoSpaceDE w:val="0"/>
              <w:autoSpaceDN w:val="0"/>
              <w:adjustRightInd w:val="0"/>
              <w:spacing w:after="0" w:line="240" w:lineRule="auto"/>
              <w:rPr>
                <w:rFonts w:ascii="Times New Roman" w:hAnsi="Times New Roman" w:cs="Times New Roman"/>
                <w:color w:val="000000"/>
                <w:sz w:val="24"/>
                <w:szCs w:val="24"/>
              </w:rPr>
            </w:pPr>
          </w:p>
        </w:tc>
        <w:tc>
          <w:tcPr>
            <w:tcW w:w="1015" w:type="dxa"/>
            <w:vMerge/>
            <w:tcBorders>
              <w:top w:val="single" w:sz="16" w:space="0" w:color="000000"/>
              <w:right w:val="single" w:sz="16" w:space="0" w:color="000000"/>
            </w:tcBorders>
            <w:shd w:val="clear" w:color="auto" w:fill="FFFFFF"/>
            <w:vAlign w:val="bottom"/>
          </w:tcPr>
          <w:p w14:paraId="6E0E38EA" w14:textId="77777777" w:rsidR="00013DAA" w:rsidRPr="00013DAA" w:rsidRDefault="00013DAA" w:rsidP="00013DAA">
            <w:pPr>
              <w:autoSpaceDE w:val="0"/>
              <w:autoSpaceDN w:val="0"/>
              <w:adjustRightInd w:val="0"/>
              <w:spacing w:after="0" w:line="240" w:lineRule="auto"/>
              <w:rPr>
                <w:rFonts w:ascii="Times New Roman" w:hAnsi="Times New Roman" w:cs="Times New Roman"/>
                <w:color w:val="000000"/>
                <w:sz w:val="24"/>
                <w:szCs w:val="24"/>
              </w:rPr>
            </w:pPr>
          </w:p>
        </w:tc>
      </w:tr>
      <w:tr w:rsidR="00013DAA" w:rsidRPr="00013DAA" w14:paraId="5949E156" w14:textId="77777777" w:rsidTr="00BA365E">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4E4291FC" w14:textId="77777777" w:rsidR="00013DAA" w:rsidRPr="00013DAA" w:rsidRDefault="00013DAA" w:rsidP="00013DAA">
            <w:pPr>
              <w:autoSpaceDE w:val="0"/>
              <w:autoSpaceDN w:val="0"/>
              <w:adjustRightInd w:val="0"/>
              <w:spacing w:after="0" w:line="320" w:lineRule="atLeast"/>
              <w:ind w:left="60" w:right="60"/>
              <w:rPr>
                <w:rFonts w:ascii="Times New Roman" w:hAnsi="Times New Roman" w:cs="Times New Roman"/>
                <w:color w:val="000000"/>
                <w:sz w:val="24"/>
                <w:szCs w:val="24"/>
              </w:rPr>
            </w:pPr>
            <w:r w:rsidRPr="00013DAA">
              <w:rPr>
                <w:rFonts w:ascii="Times New Roman" w:hAnsi="Times New Roman" w:cs="Times New Roman"/>
                <w:color w:val="000000"/>
                <w:sz w:val="24"/>
                <w:szCs w:val="24"/>
              </w:rPr>
              <w:t>1</w:t>
            </w:r>
          </w:p>
        </w:tc>
        <w:tc>
          <w:tcPr>
            <w:tcW w:w="1183" w:type="dxa"/>
            <w:tcBorders>
              <w:top w:val="single" w:sz="16" w:space="0" w:color="000000"/>
              <w:left w:val="nil"/>
              <w:bottom w:val="nil"/>
              <w:right w:val="single" w:sz="16" w:space="0" w:color="000000"/>
            </w:tcBorders>
            <w:shd w:val="clear" w:color="auto" w:fill="FFFFFF"/>
          </w:tcPr>
          <w:p w14:paraId="6AE75134" w14:textId="77777777" w:rsidR="00013DAA" w:rsidRPr="00013DAA" w:rsidRDefault="00013DAA" w:rsidP="00013DAA">
            <w:pPr>
              <w:autoSpaceDE w:val="0"/>
              <w:autoSpaceDN w:val="0"/>
              <w:adjustRightInd w:val="0"/>
              <w:spacing w:after="0" w:line="320" w:lineRule="atLeast"/>
              <w:ind w:left="60" w:right="60"/>
              <w:rPr>
                <w:rFonts w:ascii="Times New Roman" w:hAnsi="Times New Roman" w:cs="Times New Roman"/>
                <w:color w:val="000000"/>
                <w:sz w:val="24"/>
                <w:szCs w:val="24"/>
              </w:rPr>
            </w:pPr>
            <w:r w:rsidRPr="00013DAA">
              <w:rPr>
                <w:rFonts w:ascii="Times New Roman" w:hAnsi="Times New Roman" w:cs="Times New Roman"/>
                <w:color w:val="000000"/>
                <w:sz w:val="24"/>
                <w:szCs w:val="24"/>
              </w:rPr>
              <w:t>(Constant)</w:t>
            </w:r>
          </w:p>
        </w:tc>
        <w:tc>
          <w:tcPr>
            <w:tcW w:w="1338" w:type="dxa"/>
            <w:tcBorders>
              <w:top w:val="single" w:sz="16" w:space="0" w:color="000000"/>
              <w:left w:val="single" w:sz="16" w:space="0" w:color="000000"/>
              <w:bottom w:val="nil"/>
            </w:tcBorders>
            <w:shd w:val="clear" w:color="auto" w:fill="FFFFFF"/>
            <w:vAlign w:val="center"/>
          </w:tcPr>
          <w:p w14:paraId="47231DDE" w14:textId="77777777" w:rsidR="00013DAA" w:rsidRPr="00013DAA" w:rsidRDefault="00013DAA" w:rsidP="00013D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13DAA">
              <w:rPr>
                <w:rFonts w:ascii="Times New Roman" w:hAnsi="Times New Roman" w:cs="Times New Roman"/>
                <w:color w:val="000000"/>
                <w:sz w:val="24"/>
                <w:szCs w:val="24"/>
              </w:rPr>
              <w:t>6.023</w:t>
            </w:r>
          </w:p>
        </w:tc>
        <w:tc>
          <w:tcPr>
            <w:tcW w:w="1338" w:type="dxa"/>
            <w:tcBorders>
              <w:top w:val="single" w:sz="16" w:space="0" w:color="000000"/>
              <w:bottom w:val="nil"/>
            </w:tcBorders>
            <w:shd w:val="clear" w:color="auto" w:fill="FFFFFF"/>
            <w:vAlign w:val="center"/>
          </w:tcPr>
          <w:p w14:paraId="293DAFBB" w14:textId="77777777" w:rsidR="00013DAA" w:rsidRPr="00013DAA" w:rsidRDefault="00013DAA" w:rsidP="00013D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13DAA">
              <w:rPr>
                <w:rFonts w:ascii="Times New Roman" w:hAnsi="Times New Roman" w:cs="Times New Roman"/>
                <w:color w:val="000000"/>
                <w:sz w:val="24"/>
                <w:szCs w:val="24"/>
              </w:rPr>
              <w:t>.829</w:t>
            </w:r>
          </w:p>
        </w:tc>
        <w:tc>
          <w:tcPr>
            <w:tcW w:w="1476" w:type="dxa"/>
            <w:tcBorders>
              <w:top w:val="single" w:sz="16" w:space="0" w:color="000000"/>
              <w:bottom w:val="nil"/>
            </w:tcBorders>
            <w:shd w:val="clear" w:color="auto" w:fill="FFFFFF"/>
            <w:vAlign w:val="center"/>
          </w:tcPr>
          <w:p w14:paraId="3E8B69DB" w14:textId="77777777" w:rsidR="00013DAA" w:rsidRPr="00013DAA" w:rsidRDefault="00013DAA" w:rsidP="00013DAA">
            <w:pPr>
              <w:autoSpaceDE w:val="0"/>
              <w:autoSpaceDN w:val="0"/>
              <w:adjustRightInd w:val="0"/>
              <w:spacing w:after="0" w:line="240" w:lineRule="auto"/>
              <w:rPr>
                <w:rFonts w:ascii="Times New Roman" w:hAnsi="Times New Roman" w:cs="Times New Roman"/>
                <w:sz w:val="24"/>
                <w:szCs w:val="24"/>
              </w:rPr>
            </w:pPr>
          </w:p>
        </w:tc>
        <w:tc>
          <w:tcPr>
            <w:tcW w:w="1015" w:type="dxa"/>
            <w:tcBorders>
              <w:top w:val="single" w:sz="16" w:space="0" w:color="000000"/>
              <w:bottom w:val="nil"/>
            </w:tcBorders>
            <w:shd w:val="clear" w:color="auto" w:fill="FFFFFF"/>
            <w:vAlign w:val="center"/>
          </w:tcPr>
          <w:p w14:paraId="0568D6FF" w14:textId="77777777" w:rsidR="00013DAA" w:rsidRPr="00013DAA" w:rsidRDefault="00013DAA" w:rsidP="00013D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13DAA">
              <w:rPr>
                <w:rFonts w:ascii="Times New Roman" w:hAnsi="Times New Roman" w:cs="Times New Roman"/>
                <w:color w:val="000000"/>
                <w:sz w:val="24"/>
                <w:szCs w:val="24"/>
              </w:rPr>
              <w:t>7.261</w:t>
            </w:r>
          </w:p>
        </w:tc>
        <w:tc>
          <w:tcPr>
            <w:tcW w:w="1015" w:type="dxa"/>
            <w:tcBorders>
              <w:top w:val="single" w:sz="16" w:space="0" w:color="000000"/>
              <w:bottom w:val="nil"/>
              <w:right w:val="single" w:sz="16" w:space="0" w:color="000000"/>
            </w:tcBorders>
            <w:shd w:val="clear" w:color="auto" w:fill="FFFFFF"/>
            <w:vAlign w:val="center"/>
          </w:tcPr>
          <w:p w14:paraId="220C9F59" w14:textId="77777777" w:rsidR="00013DAA" w:rsidRPr="00013DAA" w:rsidRDefault="00013DAA" w:rsidP="00013D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13DAA">
              <w:rPr>
                <w:rFonts w:ascii="Times New Roman" w:hAnsi="Times New Roman" w:cs="Times New Roman"/>
                <w:color w:val="000000"/>
                <w:sz w:val="24"/>
                <w:szCs w:val="24"/>
              </w:rPr>
              <w:t>.000</w:t>
            </w:r>
          </w:p>
        </w:tc>
      </w:tr>
      <w:tr w:rsidR="00013DAA" w:rsidRPr="00013DAA" w14:paraId="2590353D" w14:textId="77777777" w:rsidTr="00BA365E">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02568F71" w14:textId="77777777" w:rsidR="00013DAA" w:rsidRPr="00013DAA" w:rsidRDefault="00013DAA" w:rsidP="00013DAA">
            <w:pPr>
              <w:autoSpaceDE w:val="0"/>
              <w:autoSpaceDN w:val="0"/>
              <w:adjustRightInd w:val="0"/>
              <w:spacing w:after="0" w:line="240" w:lineRule="auto"/>
              <w:rPr>
                <w:rFonts w:ascii="Times New Roman" w:hAnsi="Times New Roman" w:cs="Times New Roman"/>
                <w:color w:val="000000"/>
                <w:sz w:val="24"/>
                <w:szCs w:val="24"/>
              </w:rPr>
            </w:pPr>
          </w:p>
        </w:tc>
        <w:tc>
          <w:tcPr>
            <w:tcW w:w="1183" w:type="dxa"/>
            <w:tcBorders>
              <w:top w:val="nil"/>
              <w:left w:val="nil"/>
              <w:bottom w:val="nil"/>
              <w:right w:val="single" w:sz="16" w:space="0" w:color="000000"/>
            </w:tcBorders>
            <w:shd w:val="clear" w:color="auto" w:fill="FFFFFF"/>
          </w:tcPr>
          <w:p w14:paraId="4DC98471" w14:textId="77777777" w:rsidR="00013DAA" w:rsidRPr="00013DAA" w:rsidRDefault="00013DAA" w:rsidP="00013DAA">
            <w:pPr>
              <w:autoSpaceDE w:val="0"/>
              <w:autoSpaceDN w:val="0"/>
              <w:adjustRightInd w:val="0"/>
              <w:spacing w:after="0" w:line="320" w:lineRule="atLeast"/>
              <w:ind w:left="60" w:right="60"/>
              <w:rPr>
                <w:rFonts w:ascii="Times New Roman" w:hAnsi="Times New Roman" w:cs="Times New Roman"/>
                <w:color w:val="000000"/>
                <w:sz w:val="24"/>
                <w:szCs w:val="24"/>
              </w:rPr>
            </w:pPr>
            <w:r w:rsidRPr="00013DAA">
              <w:rPr>
                <w:rFonts w:ascii="Times New Roman" w:hAnsi="Times New Roman" w:cs="Times New Roman"/>
                <w:color w:val="000000"/>
                <w:sz w:val="24"/>
                <w:szCs w:val="24"/>
              </w:rPr>
              <w:t>NPL</w:t>
            </w:r>
          </w:p>
        </w:tc>
        <w:tc>
          <w:tcPr>
            <w:tcW w:w="1338" w:type="dxa"/>
            <w:tcBorders>
              <w:top w:val="nil"/>
              <w:left w:val="single" w:sz="16" w:space="0" w:color="000000"/>
              <w:bottom w:val="nil"/>
            </w:tcBorders>
            <w:shd w:val="clear" w:color="auto" w:fill="FFFFFF"/>
            <w:vAlign w:val="center"/>
          </w:tcPr>
          <w:p w14:paraId="46EACB34" w14:textId="77777777" w:rsidR="00013DAA" w:rsidRPr="00013DAA" w:rsidRDefault="00013DAA" w:rsidP="00013D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13DAA">
              <w:rPr>
                <w:rFonts w:ascii="Times New Roman" w:hAnsi="Times New Roman" w:cs="Times New Roman"/>
                <w:color w:val="000000"/>
                <w:sz w:val="24"/>
                <w:szCs w:val="24"/>
              </w:rPr>
              <w:t>.170</w:t>
            </w:r>
          </w:p>
        </w:tc>
        <w:tc>
          <w:tcPr>
            <w:tcW w:w="1338" w:type="dxa"/>
            <w:tcBorders>
              <w:top w:val="nil"/>
              <w:bottom w:val="nil"/>
            </w:tcBorders>
            <w:shd w:val="clear" w:color="auto" w:fill="FFFFFF"/>
            <w:vAlign w:val="center"/>
          </w:tcPr>
          <w:p w14:paraId="388266CD" w14:textId="77777777" w:rsidR="00013DAA" w:rsidRPr="00013DAA" w:rsidRDefault="00013DAA" w:rsidP="00013D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13DAA">
              <w:rPr>
                <w:rFonts w:ascii="Times New Roman" w:hAnsi="Times New Roman" w:cs="Times New Roman"/>
                <w:color w:val="000000"/>
                <w:sz w:val="24"/>
                <w:szCs w:val="24"/>
              </w:rPr>
              <w:t>.080</w:t>
            </w:r>
          </w:p>
        </w:tc>
        <w:tc>
          <w:tcPr>
            <w:tcW w:w="1476" w:type="dxa"/>
            <w:tcBorders>
              <w:top w:val="nil"/>
              <w:bottom w:val="nil"/>
            </w:tcBorders>
            <w:shd w:val="clear" w:color="auto" w:fill="FFFFFF"/>
            <w:vAlign w:val="center"/>
          </w:tcPr>
          <w:p w14:paraId="7DAEA94D" w14:textId="77777777" w:rsidR="00013DAA" w:rsidRPr="00013DAA" w:rsidRDefault="00013DAA" w:rsidP="00013D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13DAA">
              <w:rPr>
                <w:rFonts w:ascii="Times New Roman" w:hAnsi="Times New Roman" w:cs="Times New Roman"/>
                <w:color w:val="000000"/>
                <w:sz w:val="24"/>
                <w:szCs w:val="24"/>
              </w:rPr>
              <w:t>.126</w:t>
            </w:r>
          </w:p>
        </w:tc>
        <w:tc>
          <w:tcPr>
            <w:tcW w:w="1015" w:type="dxa"/>
            <w:tcBorders>
              <w:top w:val="nil"/>
              <w:bottom w:val="nil"/>
            </w:tcBorders>
            <w:shd w:val="clear" w:color="auto" w:fill="FFFFFF"/>
            <w:vAlign w:val="center"/>
          </w:tcPr>
          <w:p w14:paraId="30A1DF37" w14:textId="77777777" w:rsidR="00013DAA" w:rsidRPr="00013DAA" w:rsidRDefault="00013DAA" w:rsidP="00013D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13DAA">
              <w:rPr>
                <w:rFonts w:ascii="Times New Roman" w:hAnsi="Times New Roman" w:cs="Times New Roman"/>
                <w:color w:val="000000"/>
                <w:sz w:val="24"/>
                <w:szCs w:val="24"/>
              </w:rPr>
              <w:t>2.134</w:t>
            </w:r>
          </w:p>
        </w:tc>
        <w:tc>
          <w:tcPr>
            <w:tcW w:w="1015" w:type="dxa"/>
            <w:tcBorders>
              <w:top w:val="nil"/>
              <w:bottom w:val="nil"/>
              <w:right w:val="single" w:sz="16" w:space="0" w:color="000000"/>
            </w:tcBorders>
            <w:shd w:val="clear" w:color="auto" w:fill="FFFFFF"/>
            <w:vAlign w:val="center"/>
          </w:tcPr>
          <w:p w14:paraId="4CFD1EB7" w14:textId="77777777" w:rsidR="00013DAA" w:rsidRPr="00013DAA" w:rsidRDefault="00013DAA" w:rsidP="00013D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13DAA">
              <w:rPr>
                <w:rFonts w:ascii="Times New Roman" w:hAnsi="Times New Roman" w:cs="Times New Roman"/>
                <w:color w:val="000000"/>
                <w:sz w:val="24"/>
                <w:szCs w:val="24"/>
              </w:rPr>
              <w:t>.035</w:t>
            </w:r>
          </w:p>
        </w:tc>
      </w:tr>
      <w:tr w:rsidR="00013DAA" w:rsidRPr="00013DAA" w14:paraId="5CCCA5EF" w14:textId="77777777" w:rsidTr="00BA365E">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28572813" w14:textId="77777777" w:rsidR="00013DAA" w:rsidRPr="00013DAA" w:rsidRDefault="00013DAA" w:rsidP="00013DAA">
            <w:pPr>
              <w:autoSpaceDE w:val="0"/>
              <w:autoSpaceDN w:val="0"/>
              <w:adjustRightInd w:val="0"/>
              <w:spacing w:after="0" w:line="240" w:lineRule="auto"/>
              <w:rPr>
                <w:rFonts w:ascii="Times New Roman" w:hAnsi="Times New Roman" w:cs="Times New Roman"/>
                <w:color w:val="000000"/>
                <w:sz w:val="24"/>
                <w:szCs w:val="24"/>
              </w:rPr>
            </w:pPr>
          </w:p>
        </w:tc>
        <w:tc>
          <w:tcPr>
            <w:tcW w:w="1183" w:type="dxa"/>
            <w:tcBorders>
              <w:top w:val="nil"/>
              <w:left w:val="nil"/>
              <w:bottom w:val="nil"/>
              <w:right w:val="single" w:sz="16" w:space="0" w:color="000000"/>
            </w:tcBorders>
            <w:shd w:val="clear" w:color="auto" w:fill="FFFFFF"/>
          </w:tcPr>
          <w:p w14:paraId="32A91C3F" w14:textId="77777777" w:rsidR="00013DAA" w:rsidRPr="00013DAA" w:rsidRDefault="00013DAA" w:rsidP="00013DAA">
            <w:pPr>
              <w:autoSpaceDE w:val="0"/>
              <w:autoSpaceDN w:val="0"/>
              <w:adjustRightInd w:val="0"/>
              <w:spacing w:after="0" w:line="320" w:lineRule="atLeast"/>
              <w:ind w:left="60" w:right="60"/>
              <w:rPr>
                <w:rFonts w:ascii="Times New Roman" w:hAnsi="Times New Roman" w:cs="Times New Roman"/>
                <w:color w:val="000000"/>
                <w:sz w:val="24"/>
                <w:szCs w:val="24"/>
              </w:rPr>
            </w:pPr>
            <w:r w:rsidRPr="00013DAA">
              <w:rPr>
                <w:rFonts w:ascii="Times New Roman" w:hAnsi="Times New Roman" w:cs="Times New Roman"/>
                <w:color w:val="000000"/>
                <w:sz w:val="24"/>
                <w:szCs w:val="24"/>
              </w:rPr>
              <w:t>ROA</w:t>
            </w:r>
          </w:p>
        </w:tc>
        <w:tc>
          <w:tcPr>
            <w:tcW w:w="1338" w:type="dxa"/>
            <w:tcBorders>
              <w:top w:val="nil"/>
              <w:left w:val="single" w:sz="16" w:space="0" w:color="000000"/>
              <w:bottom w:val="nil"/>
            </w:tcBorders>
            <w:shd w:val="clear" w:color="auto" w:fill="FFFFFF"/>
            <w:vAlign w:val="center"/>
          </w:tcPr>
          <w:p w14:paraId="1CAD7155" w14:textId="77777777" w:rsidR="00013DAA" w:rsidRPr="00013DAA" w:rsidRDefault="00013DAA" w:rsidP="00013D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13DAA">
              <w:rPr>
                <w:rFonts w:ascii="Times New Roman" w:hAnsi="Times New Roman" w:cs="Times New Roman"/>
                <w:color w:val="000000"/>
                <w:sz w:val="24"/>
                <w:szCs w:val="24"/>
              </w:rPr>
              <w:t>.067</w:t>
            </w:r>
          </w:p>
        </w:tc>
        <w:tc>
          <w:tcPr>
            <w:tcW w:w="1338" w:type="dxa"/>
            <w:tcBorders>
              <w:top w:val="nil"/>
              <w:bottom w:val="nil"/>
            </w:tcBorders>
            <w:shd w:val="clear" w:color="auto" w:fill="FFFFFF"/>
            <w:vAlign w:val="center"/>
          </w:tcPr>
          <w:p w14:paraId="44E1988E" w14:textId="77777777" w:rsidR="00013DAA" w:rsidRPr="00013DAA" w:rsidRDefault="00013DAA" w:rsidP="00013D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13DAA">
              <w:rPr>
                <w:rFonts w:ascii="Times New Roman" w:hAnsi="Times New Roman" w:cs="Times New Roman"/>
                <w:color w:val="000000"/>
                <w:sz w:val="24"/>
                <w:szCs w:val="24"/>
              </w:rPr>
              <w:t>.140</w:t>
            </w:r>
          </w:p>
        </w:tc>
        <w:tc>
          <w:tcPr>
            <w:tcW w:w="1476" w:type="dxa"/>
            <w:tcBorders>
              <w:top w:val="nil"/>
              <w:bottom w:val="nil"/>
            </w:tcBorders>
            <w:shd w:val="clear" w:color="auto" w:fill="FFFFFF"/>
            <w:vAlign w:val="center"/>
          </w:tcPr>
          <w:p w14:paraId="1DA64ECA" w14:textId="77777777" w:rsidR="00013DAA" w:rsidRPr="00013DAA" w:rsidRDefault="00013DAA" w:rsidP="00013D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13DAA">
              <w:rPr>
                <w:rFonts w:ascii="Times New Roman" w:hAnsi="Times New Roman" w:cs="Times New Roman"/>
                <w:color w:val="000000"/>
                <w:sz w:val="24"/>
                <w:szCs w:val="24"/>
              </w:rPr>
              <w:t>.038</w:t>
            </w:r>
          </w:p>
        </w:tc>
        <w:tc>
          <w:tcPr>
            <w:tcW w:w="1015" w:type="dxa"/>
            <w:tcBorders>
              <w:top w:val="nil"/>
              <w:bottom w:val="nil"/>
            </w:tcBorders>
            <w:shd w:val="clear" w:color="auto" w:fill="FFFFFF"/>
            <w:vAlign w:val="center"/>
          </w:tcPr>
          <w:p w14:paraId="10294EA3" w14:textId="77777777" w:rsidR="00013DAA" w:rsidRPr="00013DAA" w:rsidRDefault="00013DAA" w:rsidP="00013D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13DAA">
              <w:rPr>
                <w:rFonts w:ascii="Times New Roman" w:hAnsi="Times New Roman" w:cs="Times New Roman"/>
                <w:color w:val="000000"/>
                <w:sz w:val="24"/>
                <w:szCs w:val="24"/>
              </w:rPr>
              <w:t>.482</w:t>
            </w:r>
          </w:p>
        </w:tc>
        <w:tc>
          <w:tcPr>
            <w:tcW w:w="1015" w:type="dxa"/>
            <w:tcBorders>
              <w:top w:val="nil"/>
              <w:bottom w:val="nil"/>
              <w:right w:val="single" w:sz="16" w:space="0" w:color="000000"/>
            </w:tcBorders>
            <w:shd w:val="clear" w:color="auto" w:fill="FFFFFF"/>
            <w:vAlign w:val="center"/>
          </w:tcPr>
          <w:p w14:paraId="1BBA7FFC" w14:textId="77777777" w:rsidR="00013DAA" w:rsidRPr="00013DAA" w:rsidRDefault="00013DAA" w:rsidP="00013D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13DAA">
              <w:rPr>
                <w:rFonts w:ascii="Times New Roman" w:hAnsi="Times New Roman" w:cs="Times New Roman"/>
                <w:color w:val="000000"/>
                <w:sz w:val="24"/>
                <w:szCs w:val="24"/>
              </w:rPr>
              <w:t>.630</w:t>
            </w:r>
          </w:p>
        </w:tc>
      </w:tr>
      <w:tr w:rsidR="00013DAA" w:rsidRPr="00013DAA" w14:paraId="54756C0D" w14:textId="77777777" w:rsidTr="00BA365E">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3206B54A" w14:textId="77777777" w:rsidR="00013DAA" w:rsidRPr="00013DAA" w:rsidRDefault="00013DAA" w:rsidP="00013DAA">
            <w:pPr>
              <w:autoSpaceDE w:val="0"/>
              <w:autoSpaceDN w:val="0"/>
              <w:adjustRightInd w:val="0"/>
              <w:spacing w:after="0" w:line="240" w:lineRule="auto"/>
              <w:rPr>
                <w:rFonts w:ascii="Times New Roman" w:hAnsi="Times New Roman" w:cs="Times New Roman"/>
                <w:color w:val="000000"/>
                <w:sz w:val="24"/>
                <w:szCs w:val="24"/>
              </w:rPr>
            </w:pPr>
          </w:p>
        </w:tc>
        <w:tc>
          <w:tcPr>
            <w:tcW w:w="1183" w:type="dxa"/>
            <w:tcBorders>
              <w:top w:val="nil"/>
              <w:left w:val="nil"/>
              <w:bottom w:val="nil"/>
              <w:right w:val="single" w:sz="16" w:space="0" w:color="000000"/>
            </w:tcBorders>
            <w:shd w:val="clear" w:color="auto" w:fill="FFFFFF"/>
          </w:tcPr>
          <w:p w14:paraId="4665AE33" w14:textId="77777777" w:rsidR="00013DAA" w:rsidRPr="00013DAA" w:rsidRDefault="00013DAA" w:rsidP="00013DAA">
            <w:pPr>
              <w:autoSpaceDE w:val="0"/>
              <w:autoSpaceDN w:val="0"/>
              <w:adjustRightInd w:val="0"/>
              <w:spacing w:after="0" w:line="320" w:lineRule="atLeast"/>
              <w:ind w:left="60" w:right="60"/>
              <w:rPr>
                <w:rFonts w:ascii="Times New Roman" w:hAnsi="Times New Roman" w:cs="Times New Roman"/>
                <w:color w:val="000000"/>
                <w:sz w:val="24"/>
                <w:szCs w:val="24"/>
              </w:rPr>
            </w:pPr>
            <w:r w:rsidRPr="00013DAA">
              <w:rPr>
                <w:rFonts w:ascii="Times New Roman" w:hAnsi="Times New Roman" w:cs="Times New Roman"/>
                <w:color w:val="000000"/>
                <w:sz w:val="24"/>
                <w:szCs w:val="24"/>
              </w:rPr>
              <w:t>PDN</w:t>
            </w:r>
          </w:p>
        </w:tc>
        <w:tc>
          <w:tcPr>
            <w:tcW w:w="1338" w:type="dxa"/>
            <w:tcBorders>
              <w:top w:val="nil"/>
              <w:left w:val="single" w:sz="16" w:space="0" w:color="000000"/>
              <w:bottom w:val="nil"/>
            </w:tcBorders>
            <w:shd w:val="clear" w:color="auto" w:fill="FFFFFF"/>
            <w:vAlign w:val="center"/>
          </w:tcPr>
          <w:p w14:paraId="45D8BDF5" w14:textId="77777777" w:rsidR="00013DAA" w:rsidRPr="00013DAA" w:rsidRDefault="00013DAA" w:rsidP="00013D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13DAA">
              <w:rPr>
                <w:rFonts w:ascii="Times New Roman" w:hAnsi="Times New Roman" w:cs="Times New Roman"/>
                <w:color w:val="000000"/>
                <w:sz w:val="24"/>
                <w:szCs w:val="24"/>
              </w:rPr>
              <w:t>.094</w:t>
            </w:r>
          </w:p>
        </w:tc>
        <w:tc>
          <w:tcPr>
            <w:tcW w:w="1338" w:type="dxa"/>
            <w:tcBorders>
              <w:top w:val="nil"/>
              <w:bottom w:val="nil"/>
            </w:tcBorders>
            <w:shd w:val="clear" w:color="auto" w:fill="FFFFFF"/>
            <w:vAlign w:val="center"/>
          </w:tcPr>
          <w:p w14:paraId="26FC3B45" w14:textId="77777777" w:rsidR="00013DAA" w:rsidRPr="00013DAA" w:rsidRDefault="00013DAA" w:rsidP="00013D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13DAA">
              <w:rPr>
                <w:rFonts w:ascii="Times New Roman" w:hAnsi="Times New Roman" w:cs="Times New Roman"/>
                <w:color w:val="000000"/>
                <w:sz w:val="24"/>
                <w:szCs w:val="24"/>
              </w:rPr>
              <w:t>.074</w:t>
            </w:r>
          </w:p>
        </w:tc>
        <w:tc>
          <w:tcPr>
            <w:tcW w:w="1476" w:type="dxa"/>
            <w:tcBorders>
              <w:top w:val="nil"/>
              <w:bottom w:val="nil"/>
            </w:tcBorders>
            <w:shd w:val="clear" w:color="auto" w:fill="FFFFFF"/>
            <w:vAlign w:val="center"/>
          </w:tcPr>
          <w:p w14:paraId="357A82AF" w14:textId="77777777" w:rsidR="00013DAA" w:rsidRPr="00013DAA" w:rsidRDefault="00013DAA" w:rsidP="00013D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13DAA">
              <w:rPr>
                <w:rFonts w:ascii="Times New Roman" w:hAnsi="Times New Roman" w:cs="Times New Roman"/>
                <w:color w:val="000000"/>
                <w:sz w:val="24"/>
                <w:szCs w:val="24"/>
              </w:rPr>
              <w:t>.070</w:t>
            </w:r>
          </w:p>
        </w:tc>
        <w:tc>
          <w:tcPr>
            <w:tcW w:w="1015" w:type="dxa"/>
            <w:tcBorders>
              <w:top w:val="nil"/>
              <w:bottom w:val="nil"/>
            </w:tcBorders>
            <w:shd w:val="clear" w:color="auto" w:fill="FFFFFF"/>
            <w:vAlign w:val="center"/>
          </w:tcPr>
          <w:p w14:paraId="37F44B64" w14:textId="77777777" w:rsidR="00013DAA" w:rsidRPr="00013DAA" w:rsidRDefault="00013DAA" w:rsidP="00013D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13DAA">
              <w:rPr>
                <w:rFonts w:ascii="Times New Roman" w:hAnsi="Times New Roman" w:cs="Times New Roman"/>
                <w:color w:val="000000"/>
                <w:sz w:val="24"/>
                <w:szCs w:val="24"/>
              </w:rPr>
              <w:t>1.261</w:t>
            </w:r>
          </w:p>
        </w:tc>
        <w:tc>
          <w:tcPr>
            <w:tcW w:w="1015" w:type="dxa"/>
            <w:tcBorders>
              <w:top w:val="nil"/>
              <w:bottom w:val="nil"/>
              <w:right w:val="single" w:sz="16" w:space="0" w:color="000000"/>
            </w:tcBorders>
            <w:shd w:val="clear" w:color="auto" w:fill="FFFFFF"/>
            <w:vAlign w:val="center"/>
          </w:tcPr>
          <w:p w14:paraId="31FD10AC" w14:textId="77777777" w:rsidR="00013DAA" w:rsidRPr="00013DAA" w:rsidRDefault="00013DAA" w:rsidP="00013D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13DAA">
              <w:rPr>
                <w:rFonts w:ascii="Times New Roman" w:hAnsi="Times New Roman" w:cs="Times New Roman"/>
                <w:color w:val="000000"/>
                <w:sz w:val="24"/>
                <w:szCs w:val="24"/>
              </w:rPr>
              <w:t>.209</w:t>
            </w:r>
          </w:p>
        </w:tc>
      </w:tr>
      <w:tr w:rsidR="00013DAA" w:rsidRPr="00013DAA" w14:paraId="5670E6A0" w14:textId="77777777" w:rsidTr="00BA365E">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37BF1932" w14:textId="77777777" w:rsidR="00013DAA" w:rsidRPr="00013DAA" w:rsidRDefault="00013DAA" w:rsidP="00013DAA">
            <w:pPr>
              <w:autoSpaceDE w:val="0"/>
              <w:autoSpaceDN w:val="0"/>
              <w:adjustRightInd w:val="0"/>
              <w:spacing w:after="0" w:line="240" w:lineRule="auto"/>
              <w:rPr>
                <w:rFonts w:ascii="Times New Roman" w:hAnsi="Times New Roman" w:cs="Times New Roman"/>
                <w:color w:val="000000"/>
                <w:sz w:val="24"/>
                <w:szCs w:val="24"/>
              </w:rPr>
            </w:pPr>
          </w:p>
        </w:tc>
        <w:tc>
          <w:tcPr>
            <w:tcW w:w="1183" w:type="dxa"/>
            <w:tcBorders>
              <w:top w:val="nil"/>
              <w:left w:val="nil"/>
              <w:bottom w:val="nil"/>
              <w:right w:val="single" w:sz="16" w:space="0" w:color="000000"/>
            </w:tcBorders>
            <w:shd w:val="clear" w:color="auto" w:fill="FFFFFF"/>
          </w:tcPr>
          <w:p w14:paraId="39367146" w14:textId="77777777" w:rsidR="00013DAA" w:rsidRPr="00013DAA" w:rsidRDefault="00013DAA" w:rsidP="00013DAA">
            <w:pPr>
              <w:autoSpaceDE w:val="0"/>
              <w:autoSpaceDN w:val="0"/>
              <w:adjustRightInd w:val="0"/>
              <w:spacing w:after="0" w:line="320" w:lineRule="atLeast"/>
              <w:ind w:left="60" w:right="60"/>
              <w:rPr>
                <w:rFonts w:ascii="Times New Roman" w:hAnsi="Times New Roman" w:cs="Times New Roman"/>
                <w:color w:val="000000"/>
                <w:sz w:val="24"/>
                <w:szCs w:val="24"/>
              </w:rPr>
            </w:pPr>
            <w:r w:rsidRPr="00013DAA">
              <w:rPr>
                <w:rFonts w:ascii="Times New Roman" w:hAnsi="Times New Roman" w:cs="Times New Roman"/>
                <w:color w:val="000000"/>
                <w:sz w:val="24"/>
                <w:szCs w:val="24"/>
              </w:rPr>
              <w:t>BOPO</w:t>
            </w:r>
          </w:p>
        </w:tc>
        <w:tc>
          <w:tcPr>
            <w:tcW w:w="1338" w:type="dxa"/>
            <w:tcBorders>
              <w:top w:val="nil"/>
              <w:left w:val="single" w:sz="16" w:space="0" w:color="000000"/>
              <w:bottom w:val="nil"/>
            </w:tcBorders>
            <w:shd w:val="clear" w:color="auto" w:fill="FFFFFF"/>
            <w:vAlign w:val="center"/>
          </w:tcPr>
          <w:p w14:paraId="78A469A9" w14:textId="77777777" w:rsidR="00013DAA" w:rsidRPr="00013DAA" w:rsidRDefault="00013DAA" w:rsidP="00013D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13DAA">
              <w:rPr>
                <w:rFonts w:ascii="Times New Roman" w:hAnsi="Times New Roman" w:cs="Times New Roman"/>
                <w:color w:val="000000"/>
                <w:sz w:val="24"/>
                <w:szCs w:val="24"/>
              </w:rPr>
              <w:t>.028</w:t>
            </w:r>
          </w:p>
        </w:tc>
        <w:tc>
          <w:tcPr>
            <w:tcW w:w="1338" w:type="dxa"/>
            <w:tcBorders>
              <w:top w:val="nil"/>
              <w:bottom w:val="nil"/>
            </w:tcBorders>
            <w:shd w:val="clear" w:color="auto" w:fill="FFFFFF"/>
            <w:vAlign w:val="center"/>
          </w:tcPr>
          <w:p w14:paraId="5676736D" w14:textId="77777777" w:rsidR="00013DAA" w:rsidRPr="00013DAA" w:rsidRDefault="00013DAA" w:rsidP="00013D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13DAA">
              <w:rPr>
                <w:rFonts w:ascii="Times New Roman" w:hAnsi="Times New Roman" w:cs="Times New Roman"/>
                <w:color w:val="000000"/>
                <w:sz w:val="24"/>
                <w:szCs w:val="24"/>
              </w:rPr>
              <w:t>.179</w:t>
            </w:r>
          </w:p>
        </w:tc>
        <w:tc>
          <w:tcPr>
            <w:tcW w:w="1476" w:type="dxa"/>
            <w:tcBorders>
              <w:top w:val="nil"/>
              <w:bottom w:val="nil"/>
            </w:tcBorders>
            <w:shd w:val="clear" w:color="auto" w:fill="FFFFFF"/>
            <w:vAlign w:val="center"/>
          </w:tcPr>
          <w:p w14:paraId="19370054" w14:textId="77777777" w:rsidR="00013DAA" w:rsidRPr="00013DAA" w:rsidRDefault="00013DAA" w:rsidP="00013D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13DAA">
              <w:rPr>
                <w:rFonts w:ascii="Times New Roman" w:hAnsi="Times New Roman" w:cs="Times New Roman"/>
                <w:color w:val="000000"/>
                <w:sz w:val="24"/>
                <w:szCs w:val="24"/>
              </w:rPr>
              <w:t>.012</w:t>
            </w:r>
          </w:p>
        </w:tc>
        <w:tc>
          <w:tcPr>
            <w:tcW w:w="1015" w:type="dxa"/>
            <w:tcBorders>
              <w:top w:val="nil"/>
              <w:bottom w:val="nil"/>
            </w:tcBorders>
            <w:shd w:val="clear" w:color="auto" w:fill="FFFFFF"/>
            <w:vAlign w:val="center"/>
          </w:tcPr>
          <w:p w14:paraId="6E146749" w14:textId="77777777" w:rsidR="00013DAA" w:rsidRPr="00013DAA" w:rsidRDefault="00013DAA" w:rsidP="00013D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13DAA">
              <w:rPr>
                <w:rFonts w:ascii="Times New Roman" w:hAnsi="Times New Roman" w:cs="Times New Roman"/>
                <w:color w:val="000000"/>
                <w:sz w:val="24"/>
                <w:szCs w:val="24"/>
              </w:rPr>
              <w:t>.156</w:t>
            </w:r>
          </w:p>
        </w:tc>
        <w:tc>
          <w:tcPr>
            <w:tcW w:w="1015" w:type="dxa"/>
            <w:tcBorders>
              <w:top w:val="nil"/>
              <w:bottom w:val="nil"/>
              <w:right w:val="single" w:sz="16" w:space="0" w:color="000000"/>
            </w:tcBorders>
            <w:shd w:val="clear" w:color="auto" w:fill="FFFFFF"/>
            <w:vAlign w:val="center"/>
          </w:tcPr>
          <w:p w14:paraId="1FCB5462" w14:textId="77777777" w:rsidR="00013DAA" w:rsidRPr="00013DAA" w:rsidRDefault="00013DAA" w:rsidP="00013D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13DAA">
              <w:rPr>
                <w:rFonts w:ascii="Times New Roman" w:hAnsi="Times New Roman" w:cs="Times New Roman"/>
                <w:color w:val="000000"/>
                <w:sz w:val="24"/>
                <w:szCs w:val="24"/>
              </w:rPr>
              <w:t>.876</w:t>
            </w:r>
          </w:p>
        </w:tc>
      </w:tr>
      <w:tr w:rsidR="00013DAA" w:rsidRPr="00013DAA" w14:paraId="3DCB955E" w14:textId="77777777" w:rsidTr="00BA365E">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444C7CB7" w14:textId="77777777" w:rsidR="00013DAA" w:rsidRPr="00013DAA" w:rsidRDefault="00013DAA" w:rsidP="00013DAA">
            <w:pPr>
              <w:autoSpaceDE w:val="0"/>
              <w:autoSpaceDN w:val="0"/>
              <w:adjustRightInd w:val="0"/>
              <w:spacing w:after="0" w:line="240" w:lineRule="auto"/>
              <w:rPr>
                <w:rFonts w:ascii="Times New Roman" w:hAnsi="Times New Roman" w:cs="Times New Roman"/>
                <w:color w:val="000000"/>
                <w:sz w:val="24"/>
                <w:szCs w:val="24"/>
              </w:rPr>
            </w:pPr>
          </w:p>
        </w:tc>
        <w:tc>
          <w:tcPr>
            <w:tcW w:w="1183" w:type="dxa"/>
            <w:tcBorders>
              <w:top w:val="nil"/>
              <w:left w:val="nil"/>
              <w:bottom w:val="single" w:sz="16" w:space="0" w:color="000000"/>
              <w:right w:val="single" w:sz="16" w:space="0" w:color="000000"/>
            </w:tcBorders>
            <w:shd w:val="clear" w:color="auto" w:fill="FFFFFF"/>
          </w:tcPr>
          <w:p w14:paraId="4559443C" w14:textId="77777777" w:rsidR="00013DAA" w:rsidRPr="00013DAA" w:rsidRDefault="00013DAA" w:rsidP="00013DAA">
            <w:pPr>
              <w:autoSpaceDE w:val="0"/>
              <w:autoSpaceDN w:val="0"/>
              <w:adjustRightInd w:val="0"/>
              <w:spacing w:after="0" w:line="320" w:lineRule="atLeast"/>
              <w:ind w:left="60" w:right="60"/>
              <w:rPr>
                <w:rFonts w:ascii="Times New Roman" w:hAnsi="Times New Roman" w:cs="Times New Roman"/>
                <w:color w:val="000000"/>
                <w:sz w:val="24"/>
                <w:szCs w:val="24"/>
              </w:rPr>
            </w:pPr>
            <w:r w:rsidRPr="00013DAA">
              <w:rPr>
                <w:rFonts w:ascii="Times New Roman" w:hAnsi="Times New Roman" w:cs="Times New Roman"/>
                <w:color w:val="000000"/>
                <w:sz w:val="24"/>
                <w:szCs w:val="24"/>
              </w:rPr>
              <w:t>DER</w:t>
            </w:r>
          </w:p>
        </w:tc>
        <w:tc>
          <w:tcPr>
            <w:tcW w:w="1338" w:type="dxa"/>
            <w:tcBorders>
              <w:top w:val="nil"/>
              <w:left w:val="single" w:sz="16" w:space="0" w:color="000000"/>
              <w:bottom w:val="single" w:sz="16" w:space="0" w:color="000000"/>
            </w:tcBorders>
            <w:shd w:val="clear" w:color="auto" w:fill="FFFFFF"/>
            <w:vAlign w:val="center"/>
          </w:tcPr>
          <w:p w14:paraId="0C9B7DC7" w14:textId="77777777" w:rsidR="00013DAA" w:rsidRPr="00013DAA" w:rsidRDefault="00013DAA" w:rsidP="00013D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13DAA">
              <w:rPr>
                <w:rFonts w:ascii="Times New Roman" w:hAnsi="Times New Roman" w:cs="Times New Roman"/>
                <w:color w:val="000000"/>
                <w:sz w:val="24"/>
                <w:szCs w:val="24"/>
              </w:rPr>
              <w:t>-.571</w:t>
            </w:r>
          </w:p>
        </w:tc>
        <w:tc>
          <w:tcPr>
            <w:tcW w:w="1338" w:type="dxa"/>
            <w:tcBorders>
              <w:top w:val="nil"/>
              <w:bottom w:val="single" w:sz="16" w:space="0" w:color="000000"/>
            </w:tcBorders>
            <w:shd w:val="clear" w:color="auto" w:fill="FFFFFF"/>
            <w:vAlign w:val="center"/>
          </w:tcPr>
          <w:p w14:paraId="4434F5D0" w14:textId="77777777" w:rsidR="00013DAA" w:rsidRPr="00013DAA" w:rsidRDefault="00013DAA" w:rsidP="00013D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13DAA">
              <w:rPr>
                <w:rFonts w:ascii="Times New Roman" w:hAnsi="Times New Roman" w:cs="Times New Roman"/>
                <w:color w:val="000000"/>
                <w:sz w:val="24"/>
                <w:szCs w:val="24"/>
              </w:rPr>
              <w:t>.042</w:t>
            </w:r>
          </w:p>
        </w:tc>
        <w:tc>
          <w:tcPr>
            <w:tcW w:w="1476" w:type="dxa"/>
            <w:tcBorders>
              <w:top w:val="nil"/>
              <w:bottom w:val="single" w:sz="16" w:space="0" w:color="000000"/>
            </w:tcBorders>
            <w:shd w:val="clear" w:color="auto" w:fill="FFFFFF"/>
            <w:vAlign w:val="center"/>
          </w:tcPr>
          <w:p w14:paraId="3EC70115" w14:textId="77777777" w:rsidR="00013DAA" w:rsidRPr="00013DAA" w:rsidRDefault="00013DAA" w:rsidP="00013D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13DAA">
              <w:rPr>
                <w:rFonts w:ascii="Times New Roman" w:hAnsi="Times New Roman" w:cs="Times New Roman"/>
                <w:color w:val="000000"/>
                <w:sz w:val="24"/>
                <w:szCs w:val="24"/>
              </w:rPr>
              <w:t>-.740</w:t>
            </w:r>
          </w:p>
        </w:tc>
        <w:tc>
          <w:tcPr>
            <w:tcW w:w="1015" w:type="dxa"/>
            <w:tcBorders>
              <w:top w:val="nil"/>
              <w:bottom w:val="single" w:sz="16" w:space="0" w:color="000000"/>
            </w:tcBorders>
            <w:shd w:val="clear" w:color="auto" w:fill="FFFFFF"/>
            <w:vAlign w:val="center"/>
          </w:tcPr>
          <w:p w14:paraId="73815845" w14:textId="77777777" w:rsidR="00013DAA" w:rsidRPr="00013DAA" w:rsidRDefault="00013DAA" w:rsidP="00013D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13DAA">
              <w:rPr>
                <w:rFonts w:ascii="Times New Roman" w:hAnsi="Times New Roman" w:cs="Times New Roman"/>
                <w:color w:val="000000"/>
                <w:sz w:val="24"/>
                <w:szCs w:val="24"/>
              </w:rPr>
              <w:t>-13.635</w:t>
            </w:r>
          </w:p>
        </w:tc>
        <w:tc>
          <w:tcPr>
            <w:tcW w:w="1015" w:type="dxa"/>
            <w:tcBorders>
              <w:top w:val="nil"/>
              <w:bottom w:val="single" w:sz="16" w:space="0" w:color="000000"/>
              <w:right w:val="single" w:sz="16" w:space="0" w:color="000000"/>
            </w:tcBorders>
            <w:shd w:val="clear" w:color="auto" w:fill="FFFFFF"/>
            <w:vAlign w:val="center"/>
          </w:tcPr>
          <w:p w14:paraId="44244082" w14:textId="77777777" w:rsidR="00013DAA" w:rsidRPr="00013DAA" w:rsidRDefault="00013DAA" w:rsidP="00013D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13DAA">
              <w:rPr>
                <w:rFonts w:ascii="Times New Roman" w:hAnsi="Times New Roman" w:cs="Times New Roman"/>
                <w:color w:val="000000"/>
                <w:sz w:val="24"/>
                <w:szCs w:val="24"/>
              </w:rPr>
              <w:t>.000</w:t>
            </w:r>
          </w:p>
        </w:tc>
      </w:tr>
      <w:tr w:rsidR="00013DAA" w:rsidRPr="00013DAA" w14:paraId="6D82CBC8" w14:textId="77777777" w:rsidTr="00BA365E">
        <w:trPr>
          <w:cantSplit/>
        </w:trPr>
        <w:tc>
          <w:tcPr>
            <w:tcW w:w="8101" w:type="dxa"/>
            <w:gridSpan w:val="7"/>
            <w:tcBorders>
              <w:top w:val="nil"/>
              <w:left w:val="nil"/>
              <w:bottom w:val="nil"/>
              <w:right w:val="nil"/>
            </w:tcBorders>
            <w:shd w:val="clear" w:color="auto" w:fill="FFFFFF"/>
          </w:tcPr>
          <w:p w14:paraId="462DFE55" w14:textId="77777777" w:rsidR="00013DAA" w:rsidRPr="00013DAA" w:rsidRDefault="00013DAA" w:rsidP="00013DAA">
            <w:pPr>
              <w:autoSpaceDE w:val="0"/>
              <w:autoSpaceDN w:val="0"/>
              <w:adjustRightInd w:val="0"/>
              <w:spacing w:after="0" w:line="320" w:lineRule="atLeast"/>
              <w:ind w:left="60" w:right="60"/>
              <w:rPr>
                <w:rFonts w:ascii="Times New Roman" w:hAnsi="Times New Roman" w:cs="Times New Roman"/>
                <w:color w:val="000000"/>
                <w:sz w:val="24"/>
                <w:szCs w:val="24"/>
              </w:rPr>
            </w:pPr>
            <w:r w:rsidRPr="00013DAA">
              <w:rPr>
                <w:rFonts w:ascii="Times New Roman" w:hAnsi="Times New Roman" w:cs="Times New Roman"/>
                <w:color w:val="000000"/>
                <w:sz w:val="24"/>
                <w:szCs w:val="24"/>
              </w:rPr>
              <w:t>a. Dependent Variable: CAR</w:t>
            </w:r>
          </w:p>
        </w:tc>
      </w:tr>
    </w:tbl>
    <w:p w14:paraId="7F672EA6" w14:textId="6C1DB544" w:rsidR="00885D0B" w:rsidRPr="00BA365E" w:rsidRDefault="00B372FB" w:rsidP="00BA365E">
      <w:pPr>
        <w:spacing w:line="480" w:lineRule="auto"/>
        <w:ind w:left="567"/>
        <w:jc w:val="both"/>
        <w:rPr>
          <w:rFonts w:ascii="Times New Roman" w:hAnsi="Times New Roman" w:cs="Times New Roman"/>
          <w:sz w:val="24"/>
          <w:szCs w:val="24"/>
        </w:rPr>
      </w:pPr>
      <w:r w:rsidRPr="00BA365E">
        <w:rPr>
          <w:rFonts w:ascii="Times New Roman" w:hAnsi="Times New Roman" w:cs="Times New Roman"/>
          <w:sz w:val="24"/>
          <w:szCs w:val="24"/>
        </w:rPr>
        <w:t>Sumber : Output SPSS 22, data yang diolah (2024)</w:t>
      </w:r>
    </w:p>
    <w:p w14:paraId="1EE501EC" w14:textId="63213559" w:rsidR="00885D0B" w:rsidRPr="00C46A01" w:rsidRDefault="00B372FB" w:rsidP="00B372FB">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lastRenderedPageBreak/>
        <w:t>Berdasarkan</w:t>
      </w:r>
      <w:r w:rsidR="00885D0B" w:rsidRPr="00C46A01">
        <w:rPr>
          <w:rFonts w:ascii="Times New Roman" w:hAnsi="Times New Roman" w:cs="Times New Roman"/>
          <w:sz w:val="24"/>
          <w:szCs w:val="24"/>
        </w:rPr>
        <w:t xml:space="preserve"> hasil analisis regresi linear berganda diperoleh persamaan sebagai berikut:</w:t>
      </w:r>
    </w:p>
    <w:p w14:paraId="3831C995" w14:textId="7923EDE9" w:rsidR="009F72C3" w:rsidRPr="005F6326" w:rsidRDefault="00885D0B" w:rsidP="00B372FB">
      <w:pPr>
        <w:pStyle w:val="ListParagraph"/>
        <w:spacing w:line="480" w:lineRule="auto"/>
        <w:ind w:left="1134"/>
        <w:jc w:val="both"/>
        <w:rPr>
          <w:rFonts w:ascii="Times New Roman" w:hAnsi="Times New Roman" w:cs="Times New Roman"/>
          <w:b/>
          <w:bCs/>
          <w:sz w:val="24"/>
          <w:szCs w:val="24"/>
        </w:rPr>
      </w:pPr>
      <w:r w:rsidRPr="005F6326">
        <w:rPr>
          <w:rFonts w:ascii="Times New Roman" w:hAnsi="Times New Roman" w:cs="Times New Roman"/>
          <w:b/>
          <w:bCs/>
          <w:sz w:val="24"/>
          <w:szCs w:val="24"/>
        </w:rPr>
        <w:t>CAR=</w:t>
      </w:r>
      <w:r w:rsidR="00F328AC" w:rsidRPr="005F6326">
        <w:rPr>
          <w:rFonts w:ascii="Times New Roman" w:hAnsi="Times New Roman" w:cs="Times New Roman"/>
          <w:b/>
          <w:bCs/>
          <w:sz w:val="24"/>
          <w:szCs w:val="24"/>
        </w:rPr>
        <w:t xml:space="preserve"> 6.023 </w:t>
      </w:r>
      <w:r w:rsidR="005F6326">
        <w:rPr>
          <w:rFonts w:ascii="Times New Roman" w:hAnsi="Times New Roman" w:cs="Times New Roman"/>
          <w:b/>
          <w:bCs/>
          <w:sz w:val="24"/>
          <w:szCs w:val="24"/>
        </w:rPr>
        <w:t xml:space="preserve">+ </w:t>
      </w:r>
      <w:r w:rsidR="005F6326" w:rsidRPr="005F6326">
        <w:rPr>
          <w:rFonts w:ascii="Times New Roman" w:hAnsi="Times New Roman" w:cs="Times New Roman"/>
          <w:b/>
          <w:bCs/>
          <w:sz w:val="24"/>
          <w:szCs w:val="24"/>
        </w:rPr>
        <w:t>0.</w:t>
      </w:r>
      <w:r w:rsidR="00F328AC" w:rsidRPr="005F6326">
        <w:rPr>
          <w:rFonts w:ascii="Times New Roman" w:hAnsi="Times New Roman" w:cs="Times New Roman"/>
          <w:b/>
          <w:bCs/>
          <w:sz w:val="24"/>
          <w:szCs w:val="24"/>
        </w:rPr>
        <w:t xml:space="preserve">170NPL + </w:t>
      </w:r>
      <w:r w:rsidR="005F6326" w:rsidRPr="005F6326">
        <w:rPr>
          <w:rFonts w:ascii="Times New Roman" w:hAnsi="Times New Roman" w:cs="Times New Roman"/>
          <w:b/>
          <w:bCs/>
          <w:sz w:val="24"/>
          <w:szCs w:val="24"/>
        </w:rPr>
        <w:t xml:space="preserve">0.67ROA + </w:t>
      </w:r>
      <w:r w:rsidR="005015BD">
        <w:rPr>
          <w:rFonts w:ascii="Times New Roman" w:hAnsi="Times New Roman" w:cs="Times New Roman"/>
          <w:b/>
          <w:bCs/>
          <w:sz w:val="24"/>
          <w:szCs w:val="24"/>
        </w:rPr>
        <w:t xml:space="preserve">0.94PDN + 0.28BOPO – 0.571DER </w:t>
      </w:r>
    </w:p>
    <w:p w14:paraId="187AC13D" w14:textId="2D14A367" w:rsidR="00885D0B" w:rsidRPr="00C46A01" w:rsidRDefault="00885D0B" w:rsidP="00B372FB">
      <w:pPr>
        <w:pStyle w:val="ListParagraph"/>
        <w:spacing w:line="480" w:lineRule="auto"/>
        <w:ind w:left="1134" w:firstLine="306"/>
        <w:jc w:val="both"/>
        <w:rPr>
          <w:rFonts w:ascii="Times New Roman" w:hAnsi="Times New Roman" w:cs="Times New Roman"/>
          <w:sz w:val="24"/>
          <w:szCs w:val="24"/>
        </w:rPr>
      </w:pPr>
      <w:r w:rsidRPr="004D1BDD">
        <w:rPr>
          <w:rFonts w:ascii="Times New Roman" w:hAnsi="Times New Roman" w:cs="Times New Roman"/>
          <w:sz w:val="24"/>
          <w:szCs w:val="24"/>
          <w:lang w:val="nl-NL"/>
        </w:rPr>
        <w:t xml:space="preserve">Tabel </w:t>
      </w:r>
      <w:r w:rsidR="00B372FB" w:rsidRPr="004D1BDD">
        <w:rPr>
          <w:rFonts w:ascii="Times New Roman" w:hAnsi="Times New Roman" w:cs="Times New Roman"/>
          <w:sz w:val="24"/>
          <w:szCs w:val="24"/>
          <w:lang w:val="nl-NL"/>
        </w:rPr>
        <w:t>11</w:t>
      </w:r>
      <w:r w:rsidRPr="004D1BDD">
        <w:rPr>
          <w:rFonts w:ascii="Times New Roman" w:hAnsi="Times New Roman" w:cs="Times New Roman"/>
          <w:sz w:val="24"/>
          <w:szCs w:val="24"/>
          <w:lang w:val="nl-NL"/>
        </w:rPr>
        <w:t xml:space="preserve"> </w:t>
      </w:r>
      <w:r w:rsidR="00BB4C2C" w:rsidRPr="004D1BDD">
        <w:rPr>
          <w:rFonts w:ascii="Times New Roman" w:hAnsi="Times New Roman" w:cs="Times New Roman"/>
          <w:sz w:val="24"/>
          <w:szCs w:val="24"/>
          <w:lang w:val="nl-NL"/>
        </w:rPr>
        <w:t>menunjukkan</w:t>
      </w:r>
      <w:r w:rsidRPr="004D1BDD">
        <w:rPr>
          <w:rFonts w:ascii="Times New Roman" w:hAnsi="Times New Roman" w:cs="Times New Roman"/>
          <w:sz w:val="24"/>
          <w:szCs w:val="24"/>
          <w:lang w:val="nl-NL"/>
        </w:rPr>
        <w:t xml:space="preserve"> prediksi masing-masing variabel. </w:t>
      </w:r>
      <w:r w:rsidRPr="00C46A01">
        <w:rPr>
          <w:rFonts w:ascii="Times New Roman" w:hAnsi="Times New Roman" w:cs="Times New Roman"/>
          <w:sz w:val="24"/>
          <w:szCs w:val="24"/>
        </w:rPr>
        <w:t>Dari persamaan regresi berganda diatas dapat diambil kesimpulan sebagai berikut:</w:t>
      </w:r>
    </w:p>
    <w:p w14:paraId="162A5D4F" w14:textId="344D02E8" w:rsidR="00885D0B" w:rsidRPr="00C46A01" w:rsidRDefault="00885D0B" w:rsidP="00095897">
      <w:pPr>
        <w:pStyle w:val="ListParagraph"/>
        <w:numPr>
          <w:ilvl w:val="0"/>
          <w:numId w:val="89"/>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 xml:space="preserve">Nilai </w:t>
      </w:r>
      <w:r w:rsidR="003E2169">
        <w:rPr>
          <w:rFonts w:ascii="Times New Roman" w:hAnsi="Times New Roman" w:cs="Times New Roman"/>
          <w:sz w:val="24"/>
          <w:szCs w:val="24"/>
        </w:rPr>
        <w:t>a</w:t>
      </w:r>
      <w:r w:rsidRPr="00C46A01">
        <w:rPr>
          <w:rFonts w:ascii="Times New Roman" w:hAnsi="Times New Roman" w:cs="Times New Roman"/>
          <w:sz w:val="24"/>
          <w:szCs w:val="24"/>
        </w:rPr>
        <w:t xml:space="preserve"> sebesar</w:t>
      </w:r>
      <w:r w:rsidR="005F6326">
        <w:rPr>
          <w:rFonts w:ascii="Times New Roman" w:hAnsi="Times New Roman" w:cs="Times New Roman"/>
          <w:sz w:val="24"/>
          <w:szCs w:val="24"/>
        </w:rPr>
        <w:t xml:space="preserve"> 6.023 </w:t>
      </w:r>
      <w:r w:rsidRPr="00C46A01">
        <w:rPr>
          <w:rFonts w:ascii="Times New Roman" w:hAnsi="Times New Roman" w:cs="Times New Roman"/>
          <w:sz w:val="24"/>
          <w:szCs w:val="24"/>
        </w:rPr>
        <w:t>bermakna apabila kualitas asset, rentabilitas, sentivitas risiko pasar, efisiensi operasional dan leverage bernilai tetap atau konstan, maka variabel rasio kecukupan modal adalah sebes</w:t>
      </w:r>
      <w:r w:rsidR="005F6326">
        <w:rPr>
          <w:rFonts w:ascii="Times New Roman" w:hAnsi="Times New Roman" w:cs="Times New Roman"/>
          <w:sz w:val="24"/>
          <w:szCs w:val="24"/>
        </w:rPr>
        <w:t>ar 6.023.</w:t>
      </w:r>
    </w:p>
    <w:p w14:paraId="5330B981" w14:textId="7A1B7DFC" w:rsidR="00885D0B" w:rsidRPr="00C46A01" w:rsidRDefault="00885D0B" w:rsidP="00095897">
      <w:pPr>
        <w:pStyle w:val="ListParagraph"/>
        <w:numPr>
          <w:ilvl w:val="0"/>
          <w:numId w:val="89"/>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Nilai koefisien β</w:t>
      </w:r>
      <w:r w:rsidR="00EF6030" w:rsidRPr="00C46A01">
        <w:rPr>
          <w:rFonts w:ascii="Times New Roman" w:hAnsi="Times New Roman" w:cs="Times New Roman"/>
          <w:sz w:val="24"/>
          <w:szCs w:val="24"/>
        </w:rPr>
        <w:t xml:space="preserve">1 sebesar </w:t>
      </w:r>
      <w:r w:rsidR="005F6326">
        <w:rPr>
          <w:rFonts w:ascii="Times New Roman" w:hAnsi="Times New Roman" w:cs="Times New Roman"/>
          <w:sz w:val="24"/>
          <w:szCs w:val="24"/>
        </w:rPr>
        <w:t xml:space="preserve">0.170 </w:t>
      </w:r>
      <w:r w:rsidR="00EF6030" w:rsidRPr="00C46A01">
        <w:rPr>
          <w:rFonts w:ascii="Times New Roman" w:hAnsi="Times New Roman" w:cs="Times New Roman"/>
          <w:sz w:val="24"/>
          <w:szCs w:val="24"/>
        </w:rPr>
        <w:t xml:space="preserve">berarti jika </w:t>
      </w:r>
      <w:r w:rsidR="00EF6030" w:rsidRPr="00C46A01">
        <w:rPr>
          <w:rFonts w:ascii="Times New Roman" w:hAnsi="Times New Roman" w:cs="Times New Roman"/>
          <w:i/>
          <w:iCs/>
          <w:sz w:val="24"/>
          <w:szCs w:val="24"/>
        </w:rPr>
        <w:t xml:space="preserve">non performing loan </w:t>
      </w:r>
      <w:r w:rsidR="00EF6030" w:rsidRPr="00C46A01">
        <w:rPr>
          <w:rFonts w:ascii="Times New Roman" w:hAnsi="Times New Roman" w:cs="Times New Roman"/>
          <w:sz w:val="24"/>
          <w:szCs w:val="24"/>
        </w:rPr>
        <w:t xml:space="preserve">(NPL) </w:t>
      </w:r>
      <w:r w:rsidR="005F6326">
        <w:rPr>
          <w:rFonts w:ascii="Times New Roman" w:hAnsi="Times New Roman" w:cs="Times New Roman"/>
          <w:sz w:val="24"/>
          <w:szCs w:val="24"/>
        </w:rPr>
        <w:t xml:space="preserve">naik </w:t>
      </w:r>
      <w:r w:rsidR="00EF6030" w:rsidRPr="00C46A01">
        <w:rPr>
          <w:rFonts w:ascii="Times New Roman" w:hAnsi="Times New Roman" w:cs="Times New Roman"/>
          <w:sz w:val="24"/>
          <w:szCs w:val="24"/>
        </w:rPr>
        <w:t>sebesar</w:t>
      </w:r>
      <w:r w:rsidR="005F6326">
        <w:rPr>
          <w:rFonts w:ascii="Times New Roman" w:hAnsi="Times New Roman" w:cs="Times New Roman"/>
          <w:sz w:val="24"/>
          <w:szCs w:val="24"/>
        </w:rPr>
        <w:t xml:space="preserve"> satu persen</w:t>
      </w:r>
      <w:r w:rsidR="00EF6030" w:rsidRPr="00C46A01">
        <w:rPr>
          <w:rFonts w:ascii="Times New Roman" w:hAnsi="Times New Roman" w:cs="Times New Roman"/>
          <w:sz w:val="24"/>
          <w:szCs w:val="24"/>
        </w:rPr>
        <w:t xml:space="preserve"> maka nilai rasio kecukupan modal mengalami</w:t>
      </w:r>
      <w:r w:rsidR="005F6326">
        <w:rPr>
          <w:rFonts w:ascii="Times New Roman" w:hAnsi="Times New Roman" w:cs="Times New Roman"/>
          <w:sz w:val="24"/>
          <w:szCs w:val="24"/>
        </w:rPr>
        <w:t xml:space="preserve"> kenaikan sebesar </w:t>
      </w:r>
      <w:r w:rsidR="00D23E3A">
        <w:rPr>
          <w:rFonts w:ascii="Times New Roman" w:hAnsi="Times New Roman" w:cs="Times New Roman"/>
          <w:sz w:val="24"/>
          <w:szCs w:val="24"/>
        </w:rPr>
        <w:t>0,</w:t>
      </w:r>
      <w:r w:rsidR="005F6326">
        <w:rPr>
          <w:rFonts w:ascii="Times New Roman" w:hAnsi="Times New Roman" w:cs="Times New Roman"/>
          <w:sz w:val="24"/>
          <w:szCs w:val="24"/>
        </w:rPr>
        <w:t>17%.</w:t>
      </w:r>
    </w:p>
    <w:p w14:paraId="07968247" w14:textId="776F537F" w:rsidR="00EF6030" w:rsidRPr="00C46A01" w:rsidRDefault="00EF6030" w:rsidP="00095897">
      <w:pPr>
        <w:pStyle w:val="ListParagraph"/>
        <w:numPr>
          <w:ilvl w:val="0"/>
          <w:numId w:val="89"/>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Nilai koefisien β2 sebesar</w:t>
      </w:r>
      <w:r w:rsidR="005F6326">
        <w:rPr>
          <w:rFonts w:ascii="Times New Roman" w:hAnsi="Times New Roman" w:cs="Times New Roman"/>
          <w:sz w:val="24"/>
          <w:szCs w:val="24"/>
        </w:rPr>
        <w:t xml:space="preserve"> 0.67 </w:t>
      </w:r>
      <w:r w:rsidRPr="00C46A01">
        <w:rPr>
          <w:rFonts w:ascii="Times New Roman" w:hAnsi="Times New Roman" w:cs="Times New Roman"/>
          <w:sz w:val="24"/>
          <w:szCs w:val="24"/>
        </w:rPr>
        <w:t>berarti jika Return on Aset (ROA)</w:t>
      </w:r>
      <w:r w:rsidR="005F6326">
        <w:rPr>
          <w:rFonts w:ascii="Times New Roman" w:hAnsi="Times New Roman" w:cs="Times New Roman"/>
          <w:sz w:val="24"/>
          <w:szCs w:val="24"/>
        </w:rPr>
        <w:t xml:space="preserve"> naik</w:t>
      </w:r>
      <w:r w:rsidRPr="00C46A01">
        <w:rPr>
          <w:rFonts w:ascii="Times New Roman" w:hAnsi="Times New Roman" w:cs="Times New Roman"/>
          <w:sz w:val="24"/>
          <w:szCs w:val="24"/>
        </w:rPr>
        <w:t xml:space="preserve"> sebesar</w:t>
      </w:r>
      <w:r w:rsidR="005F6326">
        <w:rPr>
          <w:rFonts w:ascii="Times New Roman" w:hAnsi="Times New Roman" w:cs="Times New Roman"/>
          <w:sz w:val="24"/>
          <w:szCs w:val="24"/>
        </w:rPr>
        <w:t xml:space="preserve"> </w:t>
      </w:r>
      <w:r w:rsidR="00CE01F8">
        <w:rPr>
          <w:rFonts w:ascii="Times New Roman" w:hAnsi="Times New Roman" w:cs="Times New Roman"/>
          <w:sz w:val="24"/>
          <w:szCs w:val="24"/>
        </w:rPr>
        <w:t>satu persen</w:t>
      </w:r>
      <w:r w:rsidR="005F6326">
        <w:rPr>
          <w:rFonts w:ascii="Times New Roman" w:hAnsi="Times New Roman" w:cs="Times New Roman"/>
          <w:sz w:val="24"/>
          <w:szCs w:val="24"/>
        </w:rPr>
        <w:t xml:space="preserve"> </w:t>
      </w:r>
      <w:r w:rsidRPr="00C46A01">
        <w:rPr>
          <w:rFonts w:ascii="Times New Roman" w:hAnsi="Times New Roman" w:cs="Times New Roman"/>
          <w:sz w:val="24"/>
          <w:szCs w:val="24"/>
        </w:rPr>
        <w:t>maka nilai rasio kecukupan modal mengalami</w:t>
      </w:r>
      <w:r w:rsidR="005F6326">
        <w:rPr>
          <w:rFonts w:ascii="Times New Roman" w:hAnsi="Times New Roman" w:cs="Times New Roman"/>
          <w:sz w:val="24"/>
          <w:szCs w:val="24"/>
        </w:rPr>
        <w:t xml:space="preserve"> kenaikan</w:t>
      </w:r>
      <w:r w:rsidR="00863D4C">
        <w:rPr>
          <w:rFonts w:ascii="Times New Roman" w:hAnsi="Times New Roman" w:cs="Times New Roman"/>
          <w:sz w:val="24"/>
          <w:szCs w:val="24"/>
        </w:rPr>
        <w:t xml:space="preserve"> sebesar</w:t>
      </w:r>
      <w:r w:rsidR="005F6326">
        <w:rPr>
          <w:rFonts w:ascii="Times New Roman" w:hAnsi="Times New Roman" w:cs="Times New Roman"/>
          <w:sz w:val="24"/>
          <w:szCs w:val="24"/>
        </w:rPr>
        <w:t xml:space="preserve"> </w:t>
      </w:r>
      <w:r w:rsidR="00D23E3A">
        <w:rPr>
          <w:rFonts w:ascii="Times New Roman" w:hAnsi="Times New Roman" w:cs="Times New Roman"/>
          <w:sz w:val="24"/>
          <w:szCs w:val="24"/>
        </w:rPr>
        <w:t>0,</w:t>
      </w:r>
      <w:r w:rsidR="00863D4C">
        <w:rPr>
          <w:rFonts w:ascii="Times New Roman" w:hAnsi="Times New Roman" w:cs="Times New Roman"/>
          <w:sz w:val="24"/>
          <w:szCs w:val="24"/>
        </w:rPr>
        <w:t xml:space="preserve">67%. </w:t>
      </w:r>
    </w:p>
    <w:p w14:paraId="78E9C112" w14:textId="2C6618D2" w:rsidR="00EF6030" w:rsidRPr="00C46A01" w:rsidRDefault="00EF6030" w:rsidP="00095897">
      <w:pPr>
        <w:pStyle w:val="ListParagraph"/>
        <w:numPr>
          <w:ilvl w:val="0"/>
          <w:numId w:val="89"/>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 xml:space="preserve">Nilai koefisien β3 sebesar </w:t>
      </w:r>
      <w:r w:rsidR="00863D4C">
        <w:rPr>
          <w:rFonts w:ascii="Times New Roman" w:hAnsi="Times New Roman" w:cs="Times New Roman"/>
          <w:sz w:val="24"/>
          <w:szCs w:val="24"/>
        </w:rPr>
        <w:t xml:space="preserve">0.94 </w:t>
      </w:r>
      <w:r w:rsidRPr="00C46A01">
        <w:rPr>
          <w:rFonts w:ascii="Times New Roman" w:hAnsi="Times New Roman" w:cs="Times New Roman"/>
          <w:sz w:val="24"/>
          <w:szCs w:val="24"/>
        </w:rPr>
        <w:t xml:space="preserve">berarti jika </w:t>
      </w:r>
      <w:r w:rsidR="00863D4C" w:rsidRPr="00863D4C">
        <w:rPr>
          <w:rFonts w:ascii="Times New Roman" w:hAnsi="Times New Roman" w:cs="Times New Roman"/>
          <w:iCs/>
          <w:sz w:val="24"/>
          <w:szCs w:val="24"/>
        </w:rPr>
        <w:t xml:space="preserve">Posisi Devisa Neto (PDN) naik </w:t>
      </w:r>
      <w:r w:rsidRPr="00C46A01">
        <w:rPr>
          <w:rFonts w:ascii="Times New Roman" w:hAnsi="Times New Roman" w:cs="Times New Roman"/>
          <w:sz w:val="24"/>
          <w:szCs w:val="24"/>
        </w:rPr>
        <w:t xml:space="preserve">sebesar </w:t>
      </w:r>
      <w:r w:rsidR="00863D4C">
        <w:rPr>
          <w:rFonts w:ascii="Times New Roman" w:hAnsi="Times New Roman" w:cs="Times New Roman"/>
          <w:sz w:val="24"/>
          <w:szCs w:val="24"/>
        </w:rPr>
        <w:t xml:space="preserve">satu persen </w:t>
      </w:r>
      <w:r w:rsidRPr="00C46A01">
        <w:rPr>
          <w:rFonts w:ascii="Times New Roman" w:hAnsi="Times New Roman" w:cs="Times New Roman"/>
          <w:sz w:val="24"/>
          <w:szCs w:val="24"/>
        </w:rPr>
        <w:t>maka nilai rasio kecukupan modal mengalami</w:t>
      </w:r>
      <w:r w:rsidR="00863D4C">
        <w:rPr>
          <w:rFonts w:ascii="Times New Roman" w:hAnsi="Times New Roman" w:cs="Times New Roman"/>
          <w:sz w:val="24"/>
          <w:szCs w:val="24"/>
        </w:rPr>
        <w:t xml:space="preserve"> kenaikan sebesar </w:t>
      </w:r>
      <w:r w:rsidR="00D23E3A">
        <w:rPr>
          <w:rFonts w:ascii="Times New Roman" w:hAnsi="Times New Roman" w:cs="Times New Roman"/>
          <w:sz w:val="24"/>
          <w:szCs w:val="24"/>
        </w:rPr>
        <w:t>0,</w:t>
      </w:r>
      <w:r w:rsidR="00863D4C">
        <w:rPr>
          <w:rFonts w:ascii="Times New Roman" w:hAnsi="Times New Roman" w:cs="Times New Roman"/>
          <w:sz w:val="24"/>
          <w:szCs w:val="24"/>
        </w:rPr>
        <w:t>94%.</w:t>
      </w:r>
    </w:p>
    <w:p w14:paraId="59445723" w14:textId="37558B41" w:rsidR="00EF6030" w:rsidRPr="00C46A01" w:rsidRDefault="00EF6030" w:rsidP="00095897">
      <w:pPr>
        <w:pStyle w:val="ListParagraph"/>
        <w:numPr>
          <w:ilvl w:val="0"/>
          <w:numId w:val="89"/>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t>Nilai koefisien β4 sebesar</w:t>
      </w:r>
      <w:r w:rsidR="00863D4C">
        <w:rPr>
          <w:rFonts w:ascii="Times New Roman" w:hAnsi="Times New Roman" w:cs="Times New Roman"/>
          <w:sz w:val="24"/>
          <w:szCs w:val="24"/>
        </w:rPr>
        <w:t xml:space="preserve"> 0.28 </w:t>
      </w:r>
      <w:r w:rsidRPr="00C46A01">
        <w:rPr>
          <w:rFonts w:ascii="Times New Roman" w:hAnsi="Times New Roman" w:cs="Times New Roman"/>
          <w:sz w:val="24"/>
          <w:szCs w:val="24"/>
        </w:rPr>
        <w:t xml:space="preserve">berarti jika </w:t>
      </w:r>
      <w:r w:rsidRPr="00C46A01">
        <w:rPr>
          <w:rFonts w:ascii="Times New Roman" w:hAnsi="Times New Roman" w:cs="Times New Roman"/>
          <w:iCs/>
          <w:sz w:val="24"/>
          <w:szCs w:val="24"/>
        </w:rPr>
        <w:t>Biaya Operasional Pendpatan Operasional</w:t>
      </w:r>
      <w:r w:rsidRPr="00C46A01">
        <w:rPr>
          <w:rFonts w:ascii="Times New Roman" w:hAnsi="Times New Roman" w:cs="Times New Roman"/>
          <w:i/>
          <w:sz w:val="24"/>
          <w:szCs w:val="24"/>
        </w:rPr>
        <w:t xml:space="preserve"> </w:t>
      </w:r>
      <w:r w:rsidRPr="00C46A01">
        <w:rPr>
          <w:rFonts w:ascii="Times New Roman" w:hAnsi="Times New Roman" w:cs="Times New Roman"/>
          <w:sz w:val="24"/>
          <w:szCs w:val="24"/>
        </w:rPr>
        <w:t>(BOPO)</w:t>
      </w:r>
      <w:r w:rsidR="00863D4C">
        <w:rPr>
          <w:rFonts w:ascii="Times New Roman" w:hAnsi="Times New Roman" w:cs="Times New Roman"/>
          <w:sz w:val="24"/>
          <w:szCs w:val="24"/>
        </w:rPr>
        <w:t xml:space="preserve"> naik</w:t>
      </w:r>
      <w:r w:rsidRPr="00C46A01">
        <w:rPr>
          <w:rFonts w:ascii="Times New Roman" w:hAnsi="Times New Roman" w:cs="Times New Roman"/>
          <w:sz w:val="24"/>
          <w:szCs w:val="24"/>
        </w:rPr>
        <w:t xml:space="preserve"> sebesar</w:t>
      </w:r>
      <w:r w:rsidR="00863D4C">
        <w:rPr>
          <w:rFonts w:ascii="Times New Roman" w:hAnsi="Times New Roman" w:cs="Times New Roman"/>
          <w:sz w:val="24"/>
          <w:szCs w:val="24"/>
        </w:rPr>
        <w:t xml:space="preserve"> satu persen </w:t>
      </w:r>
      <w:r w:rsidRPr="00C46A01">
        <w:rPr>
          <w:rFonts w:ascii="Times New Roman" w:hAnsi="Times New Roman" w:cs="Times New Roman"/>
          <w:sz w:val="24"/>
          <w:szCs w:val="24"/>
        </w:rPr>
        <w:t>maka nilai rasio kecukupan modal mengalami</w:t>
      </w:r>
      <w:r w:rsidR="00863D4C">
        <w:rPr>
          <w:rFonts w:ascii="Times New Roman" w:hAnsi="Times New Roman" w:cs="Times New Roman"/>
          <w:sz w:val="24"/>
          <w:szCs w:val="24"/>
        </w:rPr>
        <w:t xml:space="preserve"> kenaikan </w:t>
      </w:r>
      <w:r w:rsidR="00D23E3A">
        <w:rPr>
          <w:rFonts w:ascii="Times New Roman" w:hAnsi="Times New Roman" w:cs="Times New Roman"/>
          <w:sz w:val="24"/>
          <w:szCs w:val="24"/>
        </w:rPr>
        <w:t>0,</w:t>
      </w:r>
      <w:r w:rsidR="00863D4C">
        <w:rPr>
          <w:rFonts w:ascii="Times New Roman" w:hAnsi="Times New Roman" w:cs="Times New Roman"/>
          <w:sz w:val="24"/>
          <w:szCs w:val="24"/>
        </w:rPr>
        <w:t>28%.</w:t>
      </w:r>
    </w:p>
    <w:p w14:paraId="0822ADF1" w14:textId="628BDDB5" w:rsidR="0023378E" w:rsidRPr="00C46A01" w:rsidRDefault="00EF6030" w:rsidP="00095897">
      <w:pPr>
        <w:pStyle w:val="ListParagraph"/>
        <w:numPr>
          <w:ilvl w:val="0"/>
          <w:numId w:val="89"/>
        </w:numPr>
        <w:spacing w:line="480" w:lineRule="auto"/>
        <w:ind w:left="1418"/>
        <w:jc w:val="both"/>
        <w:rPr>
          <w:rFonts w:ascii="Times New Roman" w:hAnsi="Times New Roman" w:cs="Times New Roman"/>
          <w:sz w:val="24"/>
          <w:szCs w:val="24"/>
        </w:rPr>
      </w:pPr>
      <w:r w:rsidRPr="00C46A01">
        <w:rPr>
          <w:rFonts w:ascii="Times New Roman" w:hAnsi="Times New Roman" w:cs="Times New Roman"/>
          <w:sz w:val="24"/>
          <w:szCs w:val="24"/>
        </w:rPr>
        <w:lastRenderedPageBreak/>
        <w:t xml:space="preserve">Nilai koefisien β5 sebesar </w:t>
      </w:r>
      <w:r w:rsidR="00863D4C">
        <w:rPr>
          <w:rFonts w:ascii="Times New Roman" w:hAnsi="Times New Roman" w:cs="Times New Roman"/>
          <w:sz w:val="24"/>
          <w:szCs w:val="24"/>
        </w:rPr>
        <w:t xml:space="preserve">-0.571 </w:t>
      </w:r>
      <w:r w:rsidRPr="00C46A01">
        <w:rPr>
          <w:rFonts w:ascii="Times New Roman" w:hAnsi="Times New Roman" w:cs="Times New Roman"/>
          <w:sz w:val="24"/>
          <w:szCs w:val="24"/>
        </w:rPr>
        <w:t xml:space="preserve">berarti jika </w:t>
      </w:r>
      <w:r w:rsidRPr="00C46A01">
        <w:rPr>
          <w:rFonts w:ascii="Times New Roman" w:hAnsi="Times New Roman" w:cs="Times New Roman"/>
          <w:i/>
          <w:sz w:val="24"/>
          <w:szCs w:val="24"/>
        </w:rPr>
        <w:t>Debt to Equity Ratio (DER</w:t>
      </w:r>
      <w:r w:rsidRPr="00C46A01">
        <w:rPr>
          <w:rFonts w:ascii="Times New Roman" w:hAnsi="Times New Roman" w:cs="Times New Roman"/>
          <w:sz w:val="24"/>
          <w:szCs w:val="24"/>
        </w:rPr>
        <w:t xml:space="preserve">) </w:t>
      </w:r>
      <w:r w:rsidR="00863D4C">
        <w:rPr>
          <w:rFonts w:ascii="Times New Roman" w:hAnsi="Times New Roman" w:cs="Times New Roman"/>
          <w:sz w:val="24"/>
          <w:szCs w:val="24"/>
        </w:rPr>
        <w:t xml:space="preserve">naik </w:t>
      </w:r>
      <w:r w:rsidRPr="00C46A01">
        <w:rPr>
          <w:rFonts w:ascii="Times New Roman" w:hAnsi="Times New Roman" w:cs="Times New Roman"/>
          <w:sz w:val="24"/>
          <w:szCs w:val="24"/>
        </w:rPr>
        <w:t xml:space="preserve">sebesar </w:t>
      </w:r>
      <w:r w:rsidR="00863D4C">
        <w:rPr>
          <w:rFonts w:ascii="Times New Roman" w:hAnsi="Times New Roman" w:cs="Times New Roman"/>
          <w:sz w:val="24"/>
          <w:szCs w:val="24"/>
        </w:rPr>
        <w:t>satu persen</w:t>
      </w:r>
      <w:r w:rsidRPr="00C46A01">
        <w:rPr>
          <w:rFonts w:ascii="Times New Roman" w:hAnsi="Times New Roman" w:cs="Times New Roman"/>
          <w:sz w:val="24"/>
          <w:szCs w:val="24"/>
        </w:rPr>
        <w:t xml:space="preserve"> maka nilai rasio kecukupan modal mengalami</w:t>
      </w:r>
      <w:r w:rsidR="00863D4C">
        <w:rPr>
          <w:rFonts w:ascii="Times New Roman" w:hAnsi="Times New Roman" w:cs="Times New Roman"/>
          <w:sz w:val="24"/>
          <w:szCs w:val="24"/>
        </w:rPr>
        <w:t xml:space="preserve"> penurunan </w:t>
      </w:r>
      <w:r w:rsidR="00D23E3A">
        <w:rPr>
          <w:rFonts w:ascii="Times New Roman" w:hAnsi="Times New Roman" w:cs="Times New Roman"/>
          <w:sz w:val="24"/>
          <w:szCs w:val="24"/>
        </w:rPr>
        <w:t>0,</w:t>
      </w:r>
      <w:r w:rsidR="00863D4C">
        <w:rPr>
          <w:rFonts w:ascii="Times New Roman" w:hAnsi="Times New Roman" w:cs="Times New Roman"/>
          <w:sz w:val="24"/>
          <w:szCs w:val="24"/>
        </w:rPr>
        <w:t>57%.</w:t>
      </w:r>
    </w:p>
    <w:p w14:paraId="078901BA" w14:textId="3B68B7DD" w:rsidR="00706E4F" w:rsidRPr="00C46A01" w:rsidRDefault="00706E4F" w:rsidP="00095897">
      <w:pPr>
        <w:pStyle w:val="ListParagraph"/>
        <w:numPr>
          <w:ilvl w:val="0"/>
          <w:numId w:val="94"/>
        </w:numPr>
        <w:spacing w:line="480" w:lineRule="auto"/>
        <w:ind w:left="1134"/>
        <w:jc w:val="both"/>
        <w:rPr>
          <w:rFonts w:ascii="Times New Roman" w:hAnsi="Times New Roman" w:cs="Times New Roman"/>
          <w:b/>
          <w:bCs/>
          <w:sz w:val="24"/>
          <w:szCs w:val="24"/>
        </w:rPr>
      </w:pPr>
      <w:r w:rsidRPr="00C46A01">
        <w:rPr>
          <w:rFonts w:ascii="Times New Roman" w:hAnsi="Times New Roman" w:cs="Times New Roman"/>
          <w:b/>
          <w:bCs/>
          <w:sz w:val="24"/>
          <w:szCs w:val="24"/>
        </w:rPr>
        <w:t>Uji Hipotesis</w:t>
      </w:r>
    </w:p>
    <w:p w14:paraId="67A68E46" w14:textId="6E6B1100" w:rsidR="00B372FB" w:rsidRPr="002E099F" w:rsidRDefault="00706E4F" w:rsidP="002E099F">
      <w:pPr>
        <w:pStyle w:val="ListParagraph"/>
        <w:spacing w:line="480" w:lineRule="auto"/>
        <w:ind w:left="1134" w:firstLine="306"/>
        <w:jc w:val="both"/>
        <w:rPr>
          <w:rFonts w:ascii="Times New Roman" w:hAnsi="Times New Roman" w:cs="Times New Roman"/>
          <w:sz w:val="24"/>
          <w:szCs w:val="24"/>
        </w:rPr>
      </w:pPr>
      <w:r w:rsidRPr="00C46A01">
        <w:rPr>
          <w:rFonts w:ascii="Times New Roman" w:hAnsi="Times New Roman" w:cs="Times New Roman"/>
          <w:sz w:val="24"/>
          <w:szCs w:val="24"/>
        </w:rPr>
        <w:t>Uji hipotesis dalam penelitian ini meliputi uji signifikan parsial (uji T) dan uji signifikan simultan (uji F)</w:t>
      </w:r>
      <w:r w:rsidR="00B372FB">
        <w:rPr>
          <w:rFonts w:ascii="Times New Roman" w:hAnsi="Times New Roman" w:cs="Times New Roman"/>
          <w:sz w:val="24"/>
          <w:szCs w:val="24"/>
        </w:rPr>
        <w:t>.</w:t>
      </w:r>
    </w:p>
    <w:p w14:paraId="742929B3" w14:textId="7B8E1AC5" w:rsidR="0023378E" w:rsidRPr="00C46A01" w:rsidRDefault="0023378E" w:rsidP="00095897">
      <w:pPr>
        <w:pStyle w:val="ListParagraph"/>
        <w:numPr>
          <w:ilvl w:val="0"/>
          <w:numId w:val="88"/>
        </w:numPr>
        <w:spacing w:line="480" w:lineRule="auto"/>
        <w:jc w:val="both"/>
        <w:rPr>
          <w:rFonts w:ascii="Times New Roman" w:hAnsi="Times New Roman" w:cs="Times New Roman"/>
          <w:sz w:val="24"/>
          <w:szCs w:val="24"/>
        </w:rPr>
      </w:pPr>
      <w:r w:rsidRPr="00C46A01">
        <w:rPr>
          <w:rFonts w:ascii="Times New Roman" w:hAnsi="Times New Roman" w:cs="Times New Roman"/>
          <w:sz w:val="24"/>
          <w:szCs w:val="24"/>
        </w:rPr>
        <w:t>Uji Signifikasi Parsial (Uji t)</w:t>
      </w:r>
    </w:p>
    <w:p w14:paraId="47293E24" w14:textId="628831A3" w:rsidR="002E099F" w:rsidRPr="004D1BDD" w:rsidRDefault="0089764F" w:rsidP="00A0722E">
      <w:pPr>
        <w:pStyle w:val="ListParagraph"/>
        <w:spacing w:line="480" w:lineRule="auto"/>
        <w:ind w:left="1571" w:firstLine="589"/>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 xml:space="preserve">Uji t </w:t>
      </w:r>
      <w:r w:rsidR="00BB4C2C" w:rsidRPr="004D1BDD">
        <w:rPr>
          <w:rFonts w:ascii="Times New Roman" w:hAnsi="Times New Roman" w:cs="Times New Roman"/>
          <w:sz w:val="24"/>
          <w:szCs w:val="24"/>
          <w:lang w:val="nl-NL"/>
        </w:rPr>
        <w:t>menunjukkan</w:t>
      </w:r>
      <w:r w:rsidRPr="004D1BDD">
        <w:rPr>
          <w:rFonts w:ascii="Times New Roman" w:hAnsi="Times New Roman" w:cs="Times New Roman"/>
          <w:sz w:val="24"/>
          <w:szCs w:val="24"/>
          <w:lang w:val="nl-NL"/>
        </w:rPr>
        <w:t xml:space="preserve"> seberapa jauh pengaruh satu variabel independen secara individual dalam menerangkan variasi variabel dependen. Pengujian dilakukan dengan menggunakan signifikan 0,05.</w:t>
      </w:r>
    </w:p>
    <w:p w14:paraId="44B0C568" w14:textId="6FFB1C3E" w:rsidR="001939BC" w:rsidRPr="001939BC" w:rsidRDefault="001939BC" w:rsidP="001939BC">
      <w:pPr>
        <w:pStyle w:val="Caption"/>
        <w:keepNext/>
        <w:spacing w:after="0" w:line="276" w:lineRule="auto"/>
        <w:ind w:left="1134"/>
        <w:jc w:val="center"/>
        <w:rPr>
          <w:rFonts w:ascii="Times New Roman" w:hAnsi="Times New Roman" w:cs="Times New Roman"/>
          <w:i w:val="0"/>
          <w:iCs w:val="0"/>
          <w:color w:val="auto"/>
          <w:sz w:val="24"/>
          <w:szCs w:val="24"/>
        </w:rPr>
      </w:pPr>
      <w:bookmarkStart w:id="18" w:name="_Toc167784729"/>
      <w:r w:rsidRPr="001939BC">
        <w:rPr>
          <w:rFonts w:ascii="Times New Roman" w:hAnsi="Times New Roman" w:cs="Times New Roman"/>
          <w:i w:val="0"/>
          <w:iCs w:val="0"/>
          <w:color w:val="auto"/>
          <w:sz w:val="24"/>
          <w:szCs w:val="24"/>
        </w:rPr>
        <w:t xml:space="preserve">Tabel </w:t>
      </w:r>
      <w:r w:rsidRPr="001939BC">
        <w:rPr>
          <w:rFonts w:ascii="Times New Roman" w:hAnsi="Times New Roman" w:cs="Times New Roman"/>
          <w:i w:val="0"/>
          <w:iCs w:val="0"/>
          <w:color w:val="auto"/>
          <w:sz w:val="24"/>
          <w:szCs w:val="24"/>
        </w:rPr>
        <w:fldChar w:fldCharType="begin"/>
      </w:r>
      <w:r w:rsidRPr="001939BC">
        <w:rPr>
          <w:rFonts w:ascii="Times New Roman" w:hAnsi="Times New Roman" w:cs="Times New Roman"/>
          <w:i w:val="0"/>
          <w:iCs w:val="0"/>
          <w:color w:val="auto"/>
          <w:sz w:val="24"/>
          <w:szCs w:val="24"/>
        </w:rPr>
        <w:instrText xml:space="preserve"> SEQ Tabel \* ARABIC </w:instrText>
      </w:r>
      <w:r w:rsidRPr="001939BC">
        <w:rPr>
          <w:rFonts w:ascii="Times New Roman" w:hAnsi="Times New Roman" w:cs="Times New Roman"/>
          <w:i w:val="0"/>
          <w:iCs w:val="0"/>
          <w:color w:val="auto"/>
          <w:sz w:val="24"/>
          <w:szCs w:val="24"/>
        </w:rPr>
        <w:fldChar w:fldCharType="separate"/>
      </w:r>
      <w:r w:rsidR="00383519">
        <w:rPr>
          <w:rFonts w:ascii="Times New Roman" w:hAnsi="Times New Roman" w:cs="Times New Roman"/>
          <w:i w:val="0"/>
          <w:iCs w:val="0"/>
          <w:noProof/>
          <w:color w:val="auto"/>
          <w:sz w:val="24"/>
          <w:szCs w:val="24"/>
        </w:rPr>
        <w:t>12</w:t>
      </w:r>
      <w:bookmarkEnd w:id="18"/>
      <w:r w:rsidRPr="001939BC">
        <w:rPr>
          <w:rFonts w:ascii="Times New Roman" w:hAnsi="Times New Roman" w:cs="Times New Roman"/>
          <w:i w:val="0"/>
          <w:iCs w:val="0"/>
          <w:color w:val="auto"/>
          <w:sz w:val="24"/>
          <w:szCs w:val="24"/>
        </w:rPr>
        <w:fldChar w:fldCharType="end"/>
      </w:r>
    </w:p>
    <w:p w14:paraId="084BCFA0" w14:textId="3DD58DE1" w:rsidR="001939BC" w:rsidRPr="001939BC" w:rsidRDefault="001939BC" w:rsidP="001939BC">
      <w:pPr>
        <w:pStyle w:val="Caption"/>
        <w:keepNext/>
        <w:spacing w:after="0" w:line="276" w:lineRule="auto"/>
        <w:ind w:left="1134"/>
        <w:jc w:val="center"/>
        <w:rPr>
          <w:rFonts w:ascii="Times New Roman" w:hAnsi="Times New Roman" w:cs="Times New Roman"/>
          <w:i w:val="0"/>
          <w:iCs w:val="0"/>
          <w:color w:val="auto"/>
          <w:sz w:val="24"/>
          <w:szCs w:val="24"/>
        </w:rPr>
      </w:pPr>
      <w:r w:rsidRPr="001939BC">
        <w:rPr>
          <w:rFonts w:ascii="Times New Roman" w:hAnsi="Times New Roman" w:cs="Times New Roman"/>
          <w:i w:val="0"/>
          <w:iCs w:val="0"/>
          <w:color w:val="auto"/>
          <w:sz w:val="24"/>
          <w:szCs w:val="24"/>
        </w:rPr>
        <w:t>Hasil Statitistik Uji t</w:t>
      </w:r>
    </w:p>
    <w:tbl>
      <w:tblPr>
        <w:tblW w:w="7273" w:type="dxa"/>
        <w:tblInd w:w="1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959"/>
        <w:gridCol w:w="1134"/>
        <w:gridCol w:w="1418"/>
        <w:gridCol w:w="992"/>
        <w:gridCol w:w="850"/>
      </w:tblGrid>
      <w:tr w:rsidR="00863D4C" w:rsidRPr="00B372FB" w14:paraId="74074203" w14:textId="77777777" w:rsidTr="00B372FB">
        <w:trPr>
          <w:cantSplit/>
        </w:trPr>
        <w:tc>
          <w:tcPr>
            <w:tcW w:w="7273" w:type="dxa"/>
            <w:gridSpan w:val="7"/>
            <w:tcBorders>
              <w:top w:val="nil"/>
              <w:left w:val="nil"/>
              <w:bottom w:val="nil"/>
              <w:right w:val="nil"/>
            </w:tcBorders>
            <w:shd w:val="clear" w:color="auto" w:fill="FFFFFF"/>
            <w:vAlign w:val="center"/>
          </w:tcPr>
          <w:p w14:paraId="4D91F8EC" w14:textId="77777777" w:rsidR="00863D4C" w:rsidRPr="00B372FB" w:rsidRDefault="00863D4C"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B372FB">
              <w:rPr>
                <w:rFonts w:ascii="Times New Roman" w:hAnsi="Times New Roman" w:cs="Times New Roman"/>
                <w:b/>
                <w:bCs/>
                <w:color w:val="000000"/>
                <w:sz w:val="24"/>
                <w:szCs w:val="24"/>
              </w:rPr>
              <w:t>Coefficients</w:t>
            </w:r>
            <w:r w:rsidRPr="00B372FB">
              <w:rPr>
                <w:rFonts w:ascii="Times New Roman" w:hAnsi="Times New Roman" w:cs="Times New Roman"/>
                <w:b/>
                <w:bCs/>
                <w:color w:val="000000"/>
                <w:sz w:val="24"/>
                <w:szCs w:val="24"/>
                <w:vertAlign w:val="superscript"/>
              </w:rPr>
              <w:t>a</w:t>
            </w:r>
          </w:p>
        </w:tc>
      </w:tr>
      <w:tr w:rsidR="00863D4C" w:rsidRPr="00B372FB" w14:paraId="39869DEC" w14:textId="77777777" w:rsidTr="00B372FB">
        <w:trPr>
          <w:cantSplit/>
        </w:trPr>
        <w:tc>
          <w:tcPr>
            <w:tcW w:w="1920" w:type="dxa"/>
            <w:gridSpan w:val="2"/>
            <w:vMerge w:val="restart"/>
            <w:tcBorders>
              <w:top w:val="single" w:sz="16" w:space="0" w:color="000000"/>
              <w:left w:val="single" w:sz="16" w:space="0" w:color="000000"/>
              <w:bottom w:val="nil"/>
              <w:right w:val="nil"/>
            </w:tcBorders>
            <w:shd w:val="clear" w:color="auto" w:fill="FFFFFF"/>
            <w:vAlign w:val="bottom"/>
          </w:tcPr>
          <w:p w14:paraId="557C5A7C" w14:textId="77777777" w:rsidR="00863D4C" w:rsidRPr="00B372FB" w:rsidRDefault="00863D4C"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B372FB">
              <w:rPr>
                <w:rFonts w:ascii="Times New Roman" w:hAnsi="Times New Roman" w:cs="Times New Roman"/>
                <w:color w:val="000000"/>
                <w:sz w:val="24"/>
                <w:szCs w:val="24"/>
              </w:rPr>
              <w:t>Model</w:t>
            </w:r>
          </w:p>
        </w:tc>
        <w:tc>
          <w:tcPr>
            <w:tcW w:w="2093" w:type="dxa"/>
            <w:gridSpan w:val="2"/>
            <w:tcBorders>
              <w:top w:val="single" w:sz="16" w:space="0" w:color="000000"/>
              <w:left w:val="single" w:sz="16" w:space="0" w:color="000000"/>
            </w:tcBorders>
            <w:shd w:val="clear" w:color="auto" w:fill="FFFFFF"/>
            <w:vAlign w:val="bottom"/>
          </w:tcPr>
          <w:p w14:paraId="1EA82862" w14:textId="77777777" w:rsidR="00863D4C" w:rsidRPr="00B372FB" w:rsidRDefault="00863D4C"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B372FB">
              <w:rPr>
                <w:rFonts w:ascii="Times New Roman" w:hAnsi="Times New Roman" w:cs="Times New Roman"/>
                <w:color w:val="000000"/>
                <w:sz w:val="24"/>
                <w:szCs w:val="24"/>
              </w:rPr>
              <w:t>Unstandardized Coefficients</w:t>
            </w:r>
          </w:p>
        </w:tc>
        <w:tc>
          <w:tcPr>
            <w:tcW w:w="1418" w:type="dxa"/>
            <w:tcBorders>
              <w:top w:val="single" w:sz="16" w:space="0" w:color="000000"/>
            </w:tcBorders>
            <w:shd w:val="clear" w:color="auto" w:fill="FFFFFF"/>
            <w:vAlign w:val="bottom"/>
          </w:tcPr>
          <w:p w14:paraId="3421E935" w14:textId="77777777" w:rsidR="00863D4C" w:rsidRPr="00B372FB" w:rsidRDefault="00863D4C"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B372FB">
              <w:rPr>
                <w:rFonts w:ascii="Times New Roman" w:hAnsi="Times New Roman" w:cs="Times New Roman"/>
                <w:color w:val="000000"/>
                <w:sz w:val="24"/>
                <w:szCs w:val="24"/>
              </w:rPr>
              <w:t>Standardized Coefficients</w:t>
            </w:r>
          </w:p>
        </w:tc>
        <w:tc>
          <w:tcPr>
            <w:tcW w:w="992" w:type="dxa"/>
            <w:vMerge w:val="restart"/>
            <w:tcBorders>
              <w:top w:val="single" w:sz="16" w:space="0" w:color="000000"/>
            </w:tcBorders>
            <w:shd w:val="clear" w:color="auto" w:fill="FFFFFF"/>
            <w:vAlign w:val="bottom"/>
          </w:tcPr>
          <w:p w14:paraId="13FC532C" w14:textId="77777777" w:rsidR="00863D4C" w:rsidRPr="00B372FB" w:rsidRDefault="00863D4C"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B372FB">
              <w:rPr>
                <w:rFonts w:ascii="Times New Roman" w:hAnsi="Times New Roman" w:cs="Times New Roman"/>
                <w:color w:val="000000"/>
                <w:sz w:val="24"/>
                <w:szCs w:val="24"/>
              </w:rPr>
              <w:t>t</w:t>
            </w:r>
          </w:p>
        </w:tc>
        <w:tc>
          <w:tcPr>
            <w:tcW w:w="850" w:type="dxa"/>
            <w:vMerge w:val="restart"/>
            <w:tcBorders>
              <w:top w:val="single" w:sz="16" w:space="0" w:color="000000"/>
              <w:right w:val="single" w:sz="16" w:space="0" w:color="000000"/>
            </w:tcBorders>
            <w:shd w:val="clear" w:color="auto" w:fill="FFFFFF"/>
            <w:vAlign w:val="bottom"/>
          </w:tcPr>
          <w:p w14:paraId="520F8C4F" w14:textId="77777777" w:rsidR="00863D4C" w:rsidRPr="00B372FB" w:rsidRDefault="00863D4C"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B372FB">
              <w:rPr>
                <w:rFonts w:ascii="Times New Roman" w:hAnsi="Times New Roman" w:cs="Times New Roman"/>
                <w:color w:val="000000"/>
                <w:sz w:val="24"/>
                <w:szCs w:val="24"/>
              </w:rPr>
              <w:t>Sig.</w:t>
            </w:r>
          </w:p>
        </w:tc>
      </w:tr>
      <w:tr w:rsidR="00863D4C" w:rsidRPr="00B372FB" w14:paraId="032DEF41" w14:textId="77777777" w:rsidTr="00B372FB">
        <w:trPr>
          <w:cantSplit/>
        </w:trPr>
        <w:tc>
          <w:tcPr>
            <w:tcW w:w="1920" w:type="dxa"/>
            <w:gridSpan w:val="2"/>
            <w:vMerge/>
            <w:tcBorders>
              <w:top w:val="single" w:sz="16" w:space="0" w:color="000000"/>
              <w:left w:val="single" w:sz="16" w:space="0" w:color="000000"/>
              <w:bottom w:val="nil"/>
              <w:right w:val="nil"/>
            </w:tcBorders>
            <w:shd w:val="clear" w:color="auto" w:fill="FFFFFF"/>
            <w:vAlign w:val="bottom"/>
          </w:tcPr>
          <w:p w14:paraId="7C653DCC" w14:textId="77777777" w:rsidR="00863D4C" w:rsidRPr="00B372FB" w:rsidRDefault="00863D4C" w:rsidP="008908E5">
            <w:pPr>
              <w:autoSpaceDE w:val="0"/>
              <w:autoSpaceDN w:val="0"/>
              <w:adjustRightInd w:val="0"/>
              <w:spacing w:after="0" w:line="240" w:lineRule="auto"/>
              <w:rPr>
                <w:rFonts w:ascii="Times New Roman" w:hAnsi="Times New Roman" w:cs="Times New Roman"/>
                <w:color w:val="000000"/>
                <w:sz w:val="24"/>
                <w:szCs w:val="24"/>
              </w:rPr>
            </w:pPr>
          </w:p>
        </w:tc>
        <w:tc>
          <w:tcPr>
            <w:tcW w:w="959" w:type="dxa"/>
            <w:tcBorders>
              <w:left w:val="single" w:sz="16" w:space="0" w:color="000000"/>
              <w:bottom w:val="single" w:sz="16" w:space="0" w:color="000000"/>
            </w:tcBorders>
            <w:shd w:val="clear" w:color="auto" w:fill="FFFFFF"/>
            <w:vAlign w:val="bottom"/>
          </w:tcPr>
          <w:p w14:paraId="5300BDDC" w14:textId="77777777" w:rsidR="00863D4C" w:rsidRPr="00B372FB" w:rsidRDefault="00863D4C"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B372FB">
              <w:rPr>
                <w:rFonts w:ascii="Times New Roman" w:hAnsi="Times New Roman" w:cs="Times New Roman"/>
                <w:color w:val="000000"/>
                <w:sz w:val="24"/>
                <w:szCs w:val="24"/>
              </w:rPr>
              <w:t>B</w:t>
            </w:r>
          </w:p>
        </w:tc>
        <w:tc>
          <w:tcPr>
            <w:tcW w:w="1134" w:type="dxa"/>
            <w:tcBorders>
              <w:bottom w:val="single" w:sz="16" w:space="0" w:color="000000"/>
            </w:tcBorders>
            <w:shd w:val="clear" w:color="auto" w:fill="FFFFFF"/>
            <w:vAlign w:val="bottom"/>
          </w:tcPr>
          <w:p w14:paraId="5E807969" w14:textId="77777777" w:rsidR="00863D4C" w:rsidRPr="00B372FB" w:rsidRDefault="00863D4C"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B372FB">
              <w:rPr>
                <w:rFonts w:ascii="Times New Roman" w:hAnsi="Times New Roman" w:cs="Times New Roman"/>
                <w:color w:val="000000"/>
                <w:sz w:val="24"/>
                <w:szCs w:val="24"/>
              </w:rPr>
              <w:t>Std. Error</w:t>
            </w:r>
          </w:p>
        </w:tc>
        <w:tc>
          <w:tcPr>
            <w:tcW w:w="1418" w:type="dxa"/>
            <w:tcBorders>
              <w:bottom w:val="single" w:sz="16" w:space="0" w:color="000000"/>
            </w:tcBorders>
            <w:shd w:val="clear" w:color="auto" w:fill="FFFFFF"/>
            <w:vAlign w:val="bottom"/>
          </w:tcPr>
          <w:p w14:paraId="01BE9ED8" w14:textId="77777777" w:rsidR="00863D4C" w:rsidRPr="00B372FB" w:rsidRDefault="00863D4C"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B372FB">
              <w:rPr>
                <w:rFonts w:ascii="Times New Roman" w:hAnsi="Times New Roman" w:cs="Times New Roman"/>
                <w:color w:val="000000"/>
                <w:sz w:val="24"/>
                <w:szCs w:val="24"/>
              </w:rPr>
              <w:t>Beta</w:t>
            </w:r>
          </w:p>
        </w:tc>
        <w:tc>
          <w:tcPr>
            <w:tcW w:w="992" w:type="dxa"/>
            <w:vMerge/>
            <w:tcBorders>
              <w:top w:val="single" w:sz="16" w:space="0" w:color="000000"/>
            </w:tcBorders>
            <w:shd w:val="clear" w:color="auto" w:fill="FFFFFF"/>
            <w:vAlign w:val="bottom"/>
          </w:tcPr>
          <w:p w14:paraId="08E074F3" w14:textId="77777777" w:rsidR="00863D4C" w:rsidRPr="00B372FB" w:rsidRDefault="00863D4C" w:rsidP="008908E5">
            <w:pPr>
              <w:autoSpaceDE w:val="0"/>
              <w:autoSpaceDN w:val="0"/>
              <w:adjustRightInd w:val="0"/>
              <w:spacing w:after="0" w:line="240" w:lineRule="auto"/>
              <w:rPr>
                <w:rFonts w:ascii="Times New Roman" w:hAnsi="Times New Roman" w:cs="Times New Roman"/>
                <w:color w:val="000000"/>
                <w:sz w:val="24"/>
                <w:szCs w:val="24"/>
              </w:rPr>
            </w:pPr>
          </w:p>
        </w:tc>
        <w:tc>
          <w:tcPr>
            <w:tcW w:w="850" w:type="dxa"/>
            <w:vMerge/>
            <w:tcBorders>
              <w:top w:val="single" w:sz="16" w:space="0" w:color="000000"/>
              <w:right w:val="single" w:sz="16" w:space="0" w:color="000000"/>
            </w:tcBorders>
            <w:shd w:val="clear" w:color="auto" w:fill="FFFFFF"/>
            <w:vAlign w:val="bottom"/>
          </w:tcPr>
          <w:p w14:paraId="25F355C3" w14:textId="77777777" w:rsidR="00863D4C" w:rsidRPr="00B372FB" w:rsidRDefault="00863D4C" w:rsidP="008908E5">
            <w:pPr>
              <w:autoSpaceDE w:val="0"/>
              <w:autoSpaceDN w:val="0"/>
              <w:adjustRightInd w:val="0"/>
              <w:spacing w:after="0" w:line="240" w:lineRule="auto"/>
              <w:rPr>
                <w:rFonts w:ascii="Times New Roman" w:hAnsi="Times New Roman" w:cs="Times New Roman"/>
                <w:color w:val="000000"/>
                <w:sz w:val="24"/>
                <w:szCs w:val="24"/>
              </w:rPr>
            </w:pPr>
          </w:p>
        </w:tc>
      </w:tr>
      <w:tr w:rsidR="00863D4C" w:rsidRPr="00B372FB" w14:paraId="128AB702" w14:textId="77777777" w:rsidTr="00B372FB">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1440378B" w14:textId="77777777" w:rsidR="00863D4C" w:rsidRPr="00B372FB" w:rsidRDefault="00863D4C"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B372FB">
              <w:rPr>
                <w:rFonts w:ascii="Times New Roman" w:hAnsi="Times New Roman" w:cs="Times New Roman"/>
                <w:color w:val="000000"/>
                <w:sz w:val="24"/>
                <w:szCs w:val="24"/>
              </w:rPr>
              <w:t>1</w:t>
            </w:r>
          </w:p>
        </w:tc>
        <w:tc>
          <w:tcPr>
            <w:tcW w:w="1184" w:type="dxa"/>
            <w:tcBorders>
              <w:top w:val="single" w:sz="16" w:space="0" w:color="000000"/>
              <w:left w:val="nil"/>
              <w:bottom w:val="nil"/>
              <w:right w:val="single" w:sz="16" w:space="0" w:color="000000"/>
            </w:tcBorders>
            <w:shd w:val="clear" w:color="auto" w:fill="FFFFFF"/>
          </w:tcPr>
          <w:p w14:paraId="7E9F7DB0" w14:textId="77777777" w:rsidR="00863D4C" w:rsidRPr="00B372FB" w:rsidRDefault="00863D4C"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B372FB">
              <w:rPr>
                <w:rFonts w:ascii="Times New Roman" w:hAnsi="Times New Roman" w:cs="Times New Roman"/>
                <w:color w:val="000000"/>
                <w:sz w:val="24"/>
                <w:szCs w:val="24"/>
              </w:rPr>
              <w:t>(Constant)</w:t>
            </w:r>
          </w:p>
        </w:tc>
        <w:tc>
          <w:tcPr>
            <w:tcW w:w="959" w:type="dxa"/>
            <w:tcBorders>
              <w:top w:val="single" w:sz="16" w:space="0" w:color="000000"/>
              <w:left w:val="single" w:sz="16" w:space="0" w:color="000000"/>
              <w:bottom w:val="nil"/>
            </w:tcBorders>
            <w:shd w:val="clear" w:color="auto" w:fill="FFFFFF"/>
            <w:vAlign w:val="center"/>
          </w:tcPr>
          <w:p w14:paraId="47A5CC40" w14:textId="77777777" w:rsidR="00863D4C" w:rsidRPr="00B372FB" w:rsidRDefault="00863D4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6.023</w:t>
            </w:r>
          </w:p>
        </w:tc>
        <w:tc>
          <w:tcPr>
            <w:tcW w:w="1134" w:type="dxa"/>
            <w:tcBorders>
              <w:top w:val="single" w:sz="16" w:space="0" w:color="000000"/>
              <w:bottom w:val="nil"/>
            </w:tcBorders>
            <w:shd w:val="clear" w:color="auto" w:fill="FFFFFF"/>
            <w:vAlign w:val="center"/>
          </w:tcPr>
          <w:p w14:paraId="3E99867F" w14:textId="77777777" w:rsidR="00863D4C" w:rsidRPr="00B372FB" w:rsidRDefault="00863D4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.829</w:t>
            </w:r>
          </w:p>
        </w:tc>
        <w:tc>
          <w:tcPr>
            <w:tcW w:w="1418" w:type="dxa"/>
            <w:tcBorders>
              <w:top w:val="single" w:sz="16" w:space="0" w:color="000000"/>
              <w:bottom w:val="nil"/>
            </w:tcBorders>
            <w:shd w:val="clear" w:color="auto" w:fill="FFFFFF"/>
            <w:vAlign w:val="center"/>
          </w:tcPr>
          <w:p w14:paraId="22C98869" w14:textId="77777777" w:rsidR="00863D4C" w:rsidRPr="00B372FB" w:rsidRDefault="00863D4C" w:rsidP="008908E5">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16" w:space="0" w:color="000000"/>
              <w:bottom w:val="nil"/>
            </w:tcBorders>
            <w:shd w:val="clear" w:color="auto" w:fill="FFFFFF"/>
            <w:vAlign w:val="center"/>
          </w:tcPr>
          <w:p w14:paraId="2882E88E" w14:textId="77777777" w:rsidR="00863D4C" w:rsidRPr="00B372FB" w:rsidRDefault="00863D4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7.261</w:t>
            </w:r>
          </w:p>
        </w:tc>
        <w:tc>
          <w:tcPr>
            <w:tcW w:w="850" w:type="dxa"/>
            <w:tcBorders>
              <w:top w:val="single" w:sz="16" w:space="0" w:color="000000"/>
              <w:bottom w:val="nil"/>
              <w:right w:val="single" w:sz="16" w:space="0" w:color="000000"/>
            </w:tcBorders>
            <w:shd w:val="clear" w:color="auto" w:fill="FFFFFF"/>
            <w:vAlign w:val="center"/>
          </w:tcPr>
          <w:p w14:paraId="41206335" w14:textId="77777777" w:rsidR="00863D4C" w:rsidRPr="00B372FB" w:rsidRDefault="00863D4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.000</w:t>
            </w:r>
          </w:p>
        </w:tc>
      </w:tr>
      <w:tr w:rsidR="00863D4C" w:rsidRPr="00B372FB" w14:paraId="401C7E59" w14:textId="77777777" w:rsidTr="00B372F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6E9B7787" w14:textId="77777777" w:rsidR="00863D4C" w:rsidRPr="00B372FB" w:rsidRDefault="00863D4C" w:rsidP="008908E5">
            <w:pPr>
              <w:autoSpaceDE w:val="0"/>
              <w:autoSpaceDN w:val="0"/>
              <w:adjustRightInd w:val="0"/>
              <w:spacing w:after="0" w:line="240" w:lineRule="auto"/>
              <w:rPr>
                <w:rFonts w:ascii="Times New Roman" w:hAnsi="Times New Roman" w:cs="Times New Roman"/>
                <w:color w:val="000000"/>
                <w:sz w:val="24"/>
                <w:szCs w:val="24"/>
              </w:rPr>
            </w:pPr>
          </w:p>
        </w:tc>
        <w:tc>
          <w:tcPr>
            <w:tcW w:w="1184" w:type="dxa"/>
            <w:tcBorders>
              <w:top w:val="nil"/>
              <w:left w:val="nil"/>
              <w:bottom w:val="nil"/>
              <w:right w:val="single" w:sz="16" w:space="0" w:color="000000"/>
            </w:tcBorders>
            <w:shd w:val="clear" w:color="auto" w:fill="FFFFFF"/>
          </w:tcPr>
          <w:p w14:paraId="5D4571E6" w14:textId="77777777" w:rsidR="00863D4C" w:rsidRPr="00B372FB" w:rsidRDefault="00863D4C"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B372FB">
              <w:rPr>
                <w:rFonts w:ascii="Times New Roman" w:hAnsi="Times New Roman" w:cs="Times New Roman"/>
                <w:color w:val="000000"/>
                <w:sz w:val="24"/>
                <w:szCs w:val="24"/>
              </w:rPr>
              <w:t>NPL</w:t>
            </w:r>
          </w:p>
        </w:tc>
        <w:tc>
          <w:tcPr>
            <w:tcW w:w="959" w:type="dxa"/>
            <w:tcBorders>
              <w:top w:val="nil"/>
              <w:left w:val="single" w:sz="16" w:space="0" w:color="000000"/>
              <w:bottom w:val="nil"/>
            </w:tcBorders>
            <w:shd w:val="clear" w:color="auto" w:fill="FFFFFF"/>
            <w:vAlign w:val="center"/>
          </w:tcPr>
          <w:p w14:paraId="4C2F6822" w14:textId="77777777" w:rsidR="00863D4C" w:rsidRPr="00B372FB" w:rsidRDefault="00863D4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.170</w:t>
            </w:r>
          </w:p>
        </w:tc>
        <w:tc>
          <w:tcPr>
            <w:tcW w:w="1134" w:type="dxa"/>
            <w:tcBorders>
              <w:top w:val="nil"/>
              <w:bottom w:val="nil"/>
            </w:tcBorders>
            <w:shd w:val="clear" w:color="auto" w:fill="FFFFFF"/>
            <w:vAlign w:val="center"/>
          </w:tcPr>
          <w:p w14:paraId="51BAC98D" w14:textId="77777777" w:rsidR="00863D4C" w:rsidRPr="00B372FB" w:rsidRDefault="00863D4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.080</w:t>
            </w:r>
          </w:p>
        </w:tc>
        <w:tc>
          <w:tcPr>
            <w:tcW w:w="1418" w:type="dxa"/>
            <w:tcBorders>
              <w:top w:val="nil"/>
              <w:bottom w:val="nil"/>
            </w:tcBorders>
            <w:shd w:val="clear" w:color="auto" w:fill="FFFFFF"/>
            <w:vAlign w:val="center"/>
          </w:tcPr>
          <w:p w14:paraId="05D300F7" w14:textId="77777777" w:rsidR="00863D4C" w:rsidRPr="00B372FB" w:rsidRDefault="00863D4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.126</w:t>
            </w:r>
          </w:p>
        </w:tc>
        <w:tc>
          <w:tcPr>
            <w:tcW w:w="992" w:type="dxa"/>
            <w:tcBorders>
              <w:top w:val="nil"/>
              <w:bottom w:val="nil"/>
            </w:tcBorders>
            <w:shd w:val="clear" w:color="auto" w:fill="FFFFFF"/>
            <w:vAlign w:val="center"/>
          </w:tcPr>
          <w:p w14:paraId="0AD8B5F0" w14:textId="77777777" w:rsidR="00863D4C" w:rsidRPr="00B372FB" w:rsidRDefault="00863D4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2.134</w:t>
            </w:r>
          </w:p>
        </w:tc>
        <w:tc>
          <w:tcPr>
            <w:tcW w:w="850" w:type="dxa"/>
            <w:tcBorders>
              <w:top w:val="nil"/>
              <w:bottom w:val="nil"/>
              <w:right w:val="single" w:sz="16" w:space="0" w:color="000000"/>
            </w:tcBorders>
            <w:shd w:val="clear" w:color="auto" w:fill="FFFFFF"/>
            <w:vAlign w:val="center"/>
          </w:tcPr>
          <w:p w14:paraId="36C86020" w14:textId="77777777" w:rsidR="00863D4C" w:rsidRPr="00B372FB" w:rsidRDefault="00863D4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.035</w:t>
            </w:r>
          </w:p>
        </w:tc>
      </w:tr>
      <w:tr w:rsidR="00863D4C" w:rsidRPr="00B372FB" w14:paraId="157CD579" w14:textId="77777777" w:rsidTr="00B372F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2027E431" w14:textId="77777777" w:rsidR="00863D4C" w:rsidRPr="00B372FB" w:rsidRDefault="00863D4C" w:rsidP="008908E5">
            <w:pPr>
              <w:autoSpaceDE w:val="0"/>
              <w:autoSpaceDN w:val="0"/>
              <w:adjustRightInd w:val="0"/>
              <w:spacing w:after="0" w:line="240" w:lineRule="auto"/>
              <w:rPr>
                <w:rFonts w:ascii="Times New Roman" w:hAnsi="Times New Roman" w:cs="Times New Roman"/>
                <w:color w:val="000000"/>
                <w:sz w:val="24"/>
                <w:szCs w:val="24"/>
              </w:rPr>
            </w:pPr>
          </w:p>
        </w:tc>
        <w:tc>
          <w:tcPr>
            <w:tcW w:w="1184" w:type="dxa"/>
            <w:tcBorders>
              <w:top w:val="nil"/>
              <w:left w:val="nil"/>
              <w:bottom w:val="nil"/>
              <w:right w:val="single" w:sz="16" w:space="0" w:color="000000"/>
            </w:tcBorders>
            <w:shd w:val="clear" w:color="auto" w:fill="FFFFFF"/>
          </w:tcPr>
          <w:p w14:paraId="3569E6B2" w14:textId="77777777" w:rsidR="00863D4C" w:rsidRPr="00B372FB" w:rsidRDefault="00863D4C"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B372FB">
              <w:rPr>
                <w:rFonts w:ascii="Times New Roman" w:hAnsi="Times New Roman" w:cs="Times New Roman"/>
                <w:color w:val="000000"/>
                <w:sz w:val="24"/>
                <w:szCs w:val="24"/>
              </w:rPr>
              <w:t>ROA</w:t>
            </w:r>
          </w:p>
        </w:tc>
        <w:tc>
          <w:tcPr>
            <w:tcW w:w="959" w:type="dxa"/>
            <w:tcBorders>
              <w:top w:val="nil"/>
              <w:left w:val="single" w:sz="16" w:space="0" w:color="000000"/>
              <w:bottom w:val="nil"/>
            </w:tcBorders>
            <w:shd w:val="clear" w:color="auto" w:fill="FFFFFF"/>
            <w:vAlign w:val="center"/>
          </w:tcPr>
          <w:p w14:paraId="3AC40BAA" w14:textId="77777777" w:rsidR="00863D4C" w:rsidRPr="00B372FB" w:rsidRDefault="00863D4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.067</w:t>
            </w:r>
          </w:p>
        </w:tc>
        <w:tc>
          <w:tcPr>
            <w:tcW w:w="1134" w:type="dxa"/>
            <w:tcBorders>
              <w:top w:val="nil"/>
              <w:bottom w:val="nil"/>
            </w:tcBorders>
            <w:shd w:val="clear" w:color="auto" w:fill="FFFFFF"/>
            <w:vAlign w:val="center"/>
          </w:tcPr>
          <w:p w14:paraId="0E0039CD" w14:textId="77777777" w:rsidR="00863D4C" w:rsidRPr="00B372FB" w:rsidRDefault="00863D4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.140</w:t>
            </w:r>
          </w:p>
        </w:tc>
        <w:tc>
          <w:tcPr>
            <w:tcW w:w="1418" w:type="dxa"/>
            <w:tcBorders>
              <w:top w:val="nil"/>
              <w:bottom w:val="nil"/>
            </w:tcBorders>
            <w:shd w:val="clear" w:color="auto" w:fill="FFFFFF"/>
            <w:vAlign w:val="center"/>
          </w:tcPr>
          <w:p w14:paraId="39B61410" w14:textId="77777777" w:rsidR="00863D4C" w:rsidRPr="00B372FB" w:rsidRDefault="00863D4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.038</w:t>
            </w:r>
          </w:p>
        </w:tc>
        <w:tc>
          <w:tcPr>
            <w:tcW w:w="992" w:type="dxa"/>
            <w:tcBorders>
              <w:top w:val="nil"/>
              <w:bottom w:val="nil"/>
            </w:tcBorders>
            <w:shd w:val="clear" w:color="auto" w:fill="FFFFFF"/>
            <w:vAlign w:val="center"/>
          </w:tcPr>
          <w:p w14:paraId="192C7232" w14:textId="77777777" w:rsidR="00863D4C" w:rsidRPr="00B372FB" w:rsidRDefault="00863D4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.482</w:t>
            </w:r>
          </w:p>
        </w:tc>
        <w:tc>
          <w:tcPr>
            <w:tcW w:w="850" w:type="dxa"/>
            <w:tcBorders>
              <w:top w:val="nil"/>
              <w:bottom w:val="nil"/>
              <w:right w:val="single" w:sz="16" w:space="0" w:color="000000"/>
            </w:tcBorders>
            <w:shd w:val="clear" w:color="auto" w:fill="FFFFFF"/>
            <w:vAlign w:val="center"/>
          </w:tcPr>
          <w:p w14:paraId="5925AD79" w14:textId="77777777" w:rsidR="00863D4C" w:rsidRPr="00B372FB" w:rsidRDefault="00863D4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.630</w:t>
            </w:r>
          </w:p>
        </w:tc>
      </w:tr>
      <w:tr w:rsidR="00863D4C" w:rsidRPr="00B372FB" w14:paraId="66B62A15" w14:textId="77777777" w:rsidTr="00B372F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116469D" w14:textId="77777777" w:rsidR="00863D4C" w:rsidRPr="00B372FB" w:rsidRDefault="00863D4C" w:rsidP="008908E5">
            <w:pPr>
              <w:autoSpaceDE w:val="0"/>
              <w:autoSpaceDN w:val="0"/>
              <w:adjustRightInd w:val="0"/>
              <w:spacing w:after="0" w:line="240" w:lineRule="auto"/>
              <w:rPr>
                <w:rFonts w:ascii="Times New Roman" w:hAnsi="Times New Roman" w:cs="Times New Roman"/>
                <w:color w:val="000000"/>
                <w:sz w:val="24"/>
                <w:szCs w:val="24"/>
              </w:rPr>
            </w:pPr>
          </w:p>
        </w:tc>
        <w:tc>
          <w:tcPr>
            <w:tcW w:w="1184" w:type="dxa"/>
            <w:tcBorders>
              <w:top w:val="nil"/>
              <w:left w:val="nil"/>
              <w:bottom w:val="nil"/>
              <w:right w:val="single" w:sz="16" w:space="0" w:color="000000"/>
            </w:tcBorders>
            <w:shd w:val="clear" w:color="auto" w:fill="FFFFFF"/>
          </w:tcPr>
          <w:p w14:paraId="7E9FF60F" w14:textId="77777777" w:rsidR="00863D4C" w:rsidRPr="00B372FB" w:rsidRDefault="00863D4C"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B372FB">
              <w:rPr>
                <w:rFonts w:ascii="Times New Roman" w:hAnsi="Times New Roman" w:cs="Times New Roman"/>
                <w:color w:val="000000"/>
                <w:sz w:val="24"/>
                <w:szCs w:val="24"/>
              </w:rPr>
              <w:t>PDN</w:t>
            </w:r>
          </w:p>
        </w:tc>
        <w:tc>
          <w:tcPr>
            <w:tcW w:w="959" w:type="dxa"/>
            <w:tcBorders>
              <w:top w:val="nil"/>
              <w:left w:val="single" w:sz="16" w:space="0" w:color="000000"/>
              <w:bottom w:val="nil"/>
            </w:tcBorders>
            <w:shd w:val="clear" w:color="auto" w:fill="FFFFFF"/>
            <w:vAlign w:val="center"/>
          </w:tcPr>
          <w:p w14:paraId="59AF958F" w14:textId="77777777" w:rsidR="00863D4C" w:rsidRPr="00B372FB" w:rsidRDefault="00863D4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.094</w:t>
            </w:r>
          </w:p>
        </w:tc>
        <w:tc>
          <w:tcPr>
            <w:tcW w:w="1134" w:type="dxa"/>
            <w:tcBorders>
              <w:top w:val="nil"/>
              <w:bottom w:val="nil"/>
            </w:tcBorders>
            <w:shd w:val="clear" w:color="auto" w:fill="FFFFFF"/>
            <w:vAlign w:val="center"/>
          </w:tcPr>
          <w:p w14:paraId="40096F62" w14:textId="77777777" w:rsidR="00863D4C" w:rsidRPr="00B372FB" w:rsidRDefault="00863D4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.074</w:t>
            </w:r>
          </w:p>
        </w:tc>
        <w:tc>
          <w:tcPr>
            <w:tcW w:w="1418" w:type="dxa"/>
            <w:tcBorders>
              <w:top w:val="nil"/>
              <w:bottom w:val="nil"/>
            </w:tcBorders>
            <w:shd w:val="clear" w:color="auto" w:fill="FFFFFF"/>
            <w:vAlign w:val="center"/>
          </w:tcPr>
          <w:p w14:paraId="4502D3AD" w14:textId="77777777" w:rsidR="00863D4C" w:rsidRPr="00B372FB" w:rsidRDefault="00863D4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.070</w:t>
            </w:r>
          </w:p>
        </w:tc>
        <w:tc>
          <w:tcPr>
            <w:tcW w:w="992" w:type="dxa"/>
            <w:tcBorders>
              <w:top w:val="nil"/>
              <w:bottom w:val="nil"/>
            </w:tcBorders>
            <w:shd w:val="clear" w:color="auto" w:fill="FFFFFF"/>
            <w:vAlign w:val="center"/>
          </w:tcPr>
          <w:p w14:paraId="187F5BDB" w14:textId="77777777" w:rsidR="00863D4C" w:rsidRPr="00B372FB" w:rsidRDefault="00863D4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1.261</w:t>
            </w:r>
          </w:p>
        </w:tc>
        <w:tc>
          <w:tcPr>
            <w:tcW w:w="850" w:type="dxa"/>
            <w:tcBorders>
              <w:top w:val="nil"/>
              <w:bottom w:val="nil"/>
              <w:right w:val="single" w:sz="16" w:space="0" w:color="000000"/>
            </w:tcBorders>
            <w:shd w:val="clear" w:color="auto" w:fill="FFFFFF"/>
            <w:vAlign w:val="center"/>
          </w:tcPr>
          <w:p w14:paraId="68F3A963" w14:textId="77777777" w:rsidR="00863D4C" w:rsidRPr="00B372FB" w:rsidRDefault="00863D4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.209</w:t>
            </w:r>
          </w:p>
        </w:tc>
      </w:tr>
      <w:tr w:rsidR="00863D4C" w:rsidRPr="00B372FB" w14:paraId="252EDB79" w14:textId="77777777" w:rsidTr="00B372F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75794FC7" w14:textId="77777777" w:rsidR="00863D4C" w:rsidRPr="00B372FB" w:rsidRDefault="00863D4C" w:rsidP="008908E5">
            <w:pPr>
              <w:autoSpaceDE w:val="0"/>
              <w:autoSpaceDN w:val="0"/>
              <w:adjustRightInd w:val="0"/>
              <w:spacing w:after="0" w:line="240" w:lineRule="auto"/>
              <w:rPr>
                <w:rFonts w:ascii="Times New Roman" w:hAnsi="Times New Roman" w:cs="Times New Roman"/>
                <w:color w:val="000000"/>
                <w:sz w:val="24"/>
                <w:szCs w:val="24"/>
              </w:rPr>
            </w:pPr>
          </w:p>
        </w:tc>
        <w:tc>
          <w:tcPr>
            <w:tcW w:w="1184" w:type="dxa"/>
            <w:tcBorders>
              <w:top w:val="nil"/>
              <w:left w:val="nil"/>
              <w:bottom w:val="nil"/>
              <w:right w:val="single" w:sz="16" w:space="0" w:color="000000"/>
            </w:tcBorders>
            <w:shd w:val="clear" w:color="auto" w:fill="FFFFFF"/>
          </w:tcPr>
          <w:p w14:paraId="49F67190" w14:textId="77777777" w:rsidR="00863D4C" w:rsidRPr="00B372FB" w:rsidRDefault="00863D4C"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B372FB">
              <w:rPr>
                <w:rFonts w:ascii="Times New Roman" w:hAnsi="Times New Roman" w:cs="Times New Roman"/>
                <w:color w:val="000000"/>
                <w:sz w:val="24"/>
                <w:szCs w:val="24"/>
              </w:rPr>
              <w:t>BOPO</w:t>
            </w:r>
          </w:p>
        </w:tc>
        <w:tc>
          <w:tcPr>
            <w:tcW w:w="959" w:type="dxa"/>
            <w:tcBorders>
              <w:top w:val="nil"/>
              <w:left w:val="single" w:sz="16" w:space="0" w:color="000000"/>
              <w:bottom w:val="nil"/>
            </w:tcBorders>
            <w:shd w:val="clear" w:color="auto" w:fill="FFFFFF"/>
            <w:vAlign w:val="center"/>
          </w:tcPr>
          <w:p w14:paraId="0E6F8D4A" w14:textId="77777777" w:rsidR="00863D4C" w:rsidRPr="00B372FB" w:rsidRDefault="00863D4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.028</w:t>
            </w:r>
          </w:p>
        </w:tc>
        <w:tc>
          <w:tcPr>
            <w:tcW w:w="1134" w:type="dxa"/>
            <w:tcBorders>
              <w:top w:val="nil"/>
              <w:bottom w:val="nil"/>
            </w:tcBorders>
            <w:shd w:val="clear" w:color="auto" w:fill="FFFFFF"/>
            <w:vAlign w:val="center"/>
          </w:tcPr>
          <w:p w14:paraId="688BF98A" w14:textId="77777777" w:rsidR="00863D4C" w:rsidRPr="00B372FB" w:rsidRDefault="00863D4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.179</w:t>
            </w:r>
          </w:p>
        </w:tc>
        <w:tc>
          <w:tcPr>
            <w:tcW w:w="1418" w:type="dxa"/>
            <w:tcBorders>
              <w:top w:val="nil"/>
              <w:bottom w:val="nil"/>
            </w:tcBorders>
            <w:shd w:val="clear" w:color="auto" w:fill="FFFFFF"/>
            <w:vAlign w:val="center"/>
          </w:tcPr>
          <w:p w14:paraId="5CF12309" w14:textId="77777777" w:rsidR="00863D4C" w:rsidRPr="00B372FB" w:rsidRDefault="00863D4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.012</w:t>
            </w:r>
          </w:p>
        </w:tc>
        <w:tc>
          <w:tcPr>
            <w:tcW w:w="992" w:type="dxa"/>
            <w:tcBorders>
              <w:top w:val="nil"/>
              <w:bottom w:val="nil"/>
            </w:tcBorders>
            <w:shd w:val="clear" w:color="auto" w:fill="FFFFFF"/>
            <w:vAlign w:val="center"/>
          </w:tcPr>
          <w:p w14:paraId="29D9EC6F" w14:textId="77777777" w:rsidR="00863D4C" w:rsidRPr="00B372FB" w:rsidRDefault="00863D4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.156</w:t>
            </w:r>
          </w:p>
        </w:tc>
        <w:tc>
          <w:tcPr>
            <w:tcW w:w="850" w:type="dxa"/>
            <w:tcBorders>
              <w:top w:val="nil"/>
              <w:bottom w:val="nil"/>
              <w:right w:val="single" w:sz="16" w:space="0" w:color="000000"/>
            </w:tcBorders>
            <w:shd w:val="clear" w:color="auto" w:fill="FFFFFF"/>
            <w:vAlign w:val="center"/>
          </w:tcPr>
          <w:p w14:paraId="285021D6" w14:textId="77777777" w:rsidR="00863D4C" w:rsidRPr="00B372FB" w:rsidRDefault="00863D4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.876</w:t>
            </w:r>
          </w:p>
        </w:tc>
      </w:tr>
      <w:tr w:rsidR="00863D4C" w:rsidRPr="00B372FB" w14:paraId="2414AB83" w14:textId="77777777" w:rsidTr="00B372F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11A66470" w14:textId="77777777" w:rsidR="00863D4C" w:rsidRPr="00B372FB" w:rsidRDefault="00863D4C" w:rsidP="008908E5">
            <w:pPr>
              <w:autoSpaceDE w:val="0"/>
              <w:autoSpaceDN w:val="0"/>
              <w:adjustRightInd w:val="0"/>
              <w:spacing w:after="0" w:line="240" w:lineRule="auto"/>
              <w:rPr>
                <w:rFonts w:ascii="Times New Roman" w:hAnsi="Times New Roman" w:cs="Times New Roman"/>
                <w:color w:val="000000"/>
                <w:sz w:val="24"/>
                <w:szCs w:val="24"/>
              </w:rPr>
            </w:pPr>
          </w:p>
        </w:tc>
        <w:tc>
          <w:tcPr>
            <w:tcW w:w="1184" w:type="dxa"/>
            <w:tcBorders>
              <w:top w:val="nil"/>
              <w:left w:val="nil"/>
              <w:bottom w:val="single" w:sz="16" w:space="0" w:color="000000"/>
              <w:right w:val="single" w:sz="16" w:space="0" w:color="000000"/>
            </w:tcBorders>
            <w:shd w:val="clear" w:color="auto" w:fill="FFFFFF"/>
          </w:tcPr>
          <w:p w14:paraId="3767C7FF" w14:textId="77777777" w:rsidR="00863D4C" w:rsidRPr="00B372FB" w:rsidRDefault="00863D4C"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B372FB">
              <w:rPr>
                <w:rFonts w:ascii="Times New Roman" w:hAnsi="Times New Roman" w:cs="Times New Roman"/>
                <w:color w:val="000000"/>
                <w:sz w:val="24"/>
                <w:szCs w:val="24"/>
              </w:rPr>
              <w:t>DER</w:t>
            </w:r>
          </w:p>
        </w:tc>
        <w:tc>
          <w:tcPr>
            <w:tcW w:w="959" w:type="dxa"/>
            <w:tcBorders>
              <w:top w:val="nil"/>
              <w:left w:val="single" w:sz="16" w:space="0" w:color="000000"/>
              <w:bottom w:val="single" w:sz="16" w:space="0" w:color="000000"/>
            </w:tcBorders>
            <w:shd w:val="clear" w:color="auto" w:fill="FFFFFF"/>
            <w:vAlign w:val="center"/>
          </w:tcPr>
          <w:p w14:paraId="23705B07" w14:textId="77777777" w:rsidR="00863D4C" w:rsidRPr="00B372FB" w:rsidRDefault="00863D4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-.571</w:t>
            </w:r>
          </w:p>
        </w:tc>
        <w:tc>
          <w:tcPr>
            <w:tcW w:w="1134" w:type="dxa"/>
            <w:tcBorders>
              <w:top w:val="nil"/>
              <w:bottom w:val="single" w:sz="16" w:space="0" w:color="000000"/>
            </w:tcBorders>
            <w:shd w:val="clear" w:color="auto" w:fill="FFFFFF"/>
            <w:vAlign w:val="center"/>
          </w:tcPr>
          <w:p w14:paraId="2860E9C5" w14:textId="77777777" w:rsidR="00863D4C" w:rsidRPr="00B372FB" w:rsidRDefault="00863D4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.042</w:t>
            </w:r>
          </w:p>
        </w:tc>
        <w:tc>
          <w:tcPr>
            <w:tcW w:w="1418" w:type="dxa"/>
            <w:tcBorders>
              <w:top w:val="nil"/>
              <w:bottom w:val="single" w:sz="16" w:space="0" w:color="000000"/>
            </w:tcBorders>
            <w:shd w:val="clear" w:color="auto" w:fill="FFFFFF"/>
            <w:vAlign w:val="center"/>
          </w:tcPr>
          <w:p w14:paraId="28F4F652" w14:textId="77777777" w:rsidR="00863D4C" w:rsidRPr="00B372FB" w:rsidRDefault="00863D4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-.740</w:t>
            </w:r>
          </w:p>
        </w:tc>
        <w:tc>
          <w:tcPr>
            <w:tcW w:w="992" w:type="dxa"/>
            <w:tcBorders>
              <w:top w:val="nil"/>
              <w:bottom w:val="single" w:sz="16" w:space="0" w:color="000000"/>
            </w:tcBorders>
            <w:shd w:val="clear" w:color="auto" w:fill="FFFFFF"/>
            <w:vAlign w:val="center"/>
          </w:tcPr>
          <w:p w14:paraId="589A73C4" w14:textId="77777777" w:rsidR="00863D4C" w:rsidRPr="00B372FB" w:rsidRDefault="00863D4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-13.635</w:t>
            </w:r>
          </w:p>
        </w:tc>
        <w:tc>
          <w:tcPr>
            <w:tcW w:w="850" w:type="dxa"/>
            <w:tcBorders>
              <w:top w:val="nil"/>
              <w:bottom w:val="single" w:sz="16" w:space="0" w:color="000000"/>
              <w:right w:val="single" w:sz="16" w:space="0" w:color="000000"/>
            </w:tcBorders>
            <w:shd w:val="clear" w:color="auto" w:fill="FFFFFF"/>
            <w:vAlign w:val="center"/>
          </w:tcPr>
          <w:p w14:paraId="38580716" w14:textId="77777777" w:rsidR="00863D4C" w:rsidRPr="00B372FB" w:rsidRDefault="00863D4C"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.000</w:t>
            </w:r>
          </w:p>
        </w:tc>
      </w:tr>
      <w:tr w:rsidR="00863D4C" w:rsidRPr="00B372FB" w14:paraId="730446DF" w14:textId="77777777" w:rsidTr="00B372FB">
        <w:trPr>
          <w:cantSplit/>
        </w:trPr>
        <w:tc>
          <w:tcPr>
            <w:tcW w:w="7273" w:type="dxa"/>
            <w:gridSpan w:val="7"/>
            <w:tcBorders>
              <w:top w:val="nil"/>
              <w:left w:val="nil"/>
              <w:bottom w:val="nil"/>
              <w:right w:val="nil"/>
            </w:tcBorders>
            <w:shd w:val="clear" w:color="auto" w:fill="FFFFFF"/>
          </w:tcPr>
          <w:p w14:paraId="4804963C" w14:textId="77777777" w:rsidR="00863D4C" w:rsidRPr="00B372FB" w:rsidRDefault="00863D4C"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B372FB">
              <w:rPr>
                <w:rFonts w:ascii="Times New Roman" w:hAnsi="Times New Roman" w:cs="Times New Roman"/>
                <w:color w:val="000000"/>
                <w:sz w:val="24"/>
                <w:szCs w:val="24"/>
              </w:rPr>
              <w:t>a. Dependent Variable: CAR</w:t>
            </w:r>
          </w:p>
        </w:tc>
      </w:tr>
    </w:tbl>
    <w:p w14:paraId="01E51CE4" w14:textId="308EADDF" w:rsidR="00863D4C" w:rsidRPr="00B372FB" w:rsidRDefault="00B372FB" w:rsidP="00B372FB">
      <w:pPr>
        <w:pStyle w:val="ListParagraph"/>
        <w:spacing w:line="480" w:lineRule="auto"/>
        <w:ind w:left="1276"/>
        <w:jc w:val="both"/>
        <w:rPr>
          <w:rFonts w:ascii="Times New Roman" w:hAnsi="Times New Roman" w:cs="Times New Roman"/>
          <w:sz w:val="24"/>
          <w:szCs w:val="24"/>
        </w:rPr>
      </w:pPr>
      <w:r w:rsidRPr="00AB7A8E">
        <w:rPr>
          <w:rFonts w:ascii="Times New Roman" w:hAnsi="Times New Roman" w:cs="Times New Roman"/>
          <w:sz w:val="24"/>
          <w:szCs w:val="24"/>
        </w:rPr>
        <w:t>Sumber : Output SPSS 22, data yang diolah (2024)</w:t>
      </w:r>
    </w:p>
    <w:p w14:paraId="4A0FDFC2" w14:textId="77777777" w:rsidR="00A0722E" w:rsidRDefault="00A0722E" w:rsidP="0089764F">
      <w:pPr>
        <w:pStyle w:val="ListParagraph"/>
        <w:spacing w:line="480" w:lineRule="auto"/>
        <w:ind w:left="1571"/>
        <w:jc w:val="both"/>
        <w:rPr>
          <w:rFonts w:ascii="Times New Roman" w:hAnsi="Times New Roman" w:cs="Times New Roman"/>
          <w:sz w:val="24"/>
          <w:szCs w:val="24"/>
        </w:rPr>
      </w:pPr>
    </w:p>
    <w:p w14:paraId="70EDC52D" w14:textId="77777777" w:rsidR="00A0722E" w:rsidRDefault="00A0722E" w:rsidP="0089764F">
      <w:pPr>
        <w:pStyle w:val="ListParagraph"/>
        <w:spacing w:line="480" w:lineRule="auto"/>
        <w:ind w:left="1571"/>
        <w:jc w:val="both"/>
        <w:rPr>
          <w:rFonts w:ascii="Times New Roman" w:hAnsi="Times New Roman" w:cs="Times New Roman"/>
          <w:sz w:val="24"/>
          <w:szCs w:val="24"/>
        </w:rPr>
      </w:pPr>
    </w:p>
    <w:p w14:paraId="0E7D732A" w14:textId="77777777" w:rsidR="00A0722E" w:rsidRDefault="00A0722E" w:rsidP="0089764F">
      <w:pPr>
        <w:pStyle w:val="ListParagraph"/>
        <w:spacing w:line="480" w:lineRule="auto"/>
        <w:ind w:left="1571"/>
        <w:jc w:val="both"/>
        <w:rPr>
          <w:rFonts w:ascii="Times New Roman" w:hAnsi="Times New Roman" w:cs="Times New Roman"/>
          <w:sz w:val="24"/>
          <w:szCs w:val="24"/>
        </w:rPr>
      </w:pPr>
    </w:p>
    <w:p w14:paraId="2C426EE2" w14:textId="6CB247E8" w:rsidR="0089764F" w:rsidRPr="00C46A01" w:rsidRDefault="0089764F" w:rsidP="0089764F">
      <w:pPr>
        <w:pStyle w:val="ListParagraph"/>
        <w:spacing w:line="480" w:lineRule="auto"/>
        <w:ind w:left="1571"/>
        <w:jc w:val="both"/>
        <w:rPr>
          <w:rFonts w:ascii="Times New Roman" w:hAnsi="Times New Roman" w:cs="Times New Roman"/>
          <w:sz w:val="24"/>
          <w:szCs w:val="24"/>
        </w:rPr>
      </w:pPr>
      <w:r w:rsidRPr="00C46A01">
        <w:rPr>
          <w:rFonts w:ascii="Times New Roman" w:hAnsi="Times New Roman" w:cs="Times New Roman"/>
          <w:sz w:val="24"/>
          <w:szCs w:val="24"/>
        </w:rPr>
        <w:lastRenderedPageBreak/>
        <w:t>Dari tabel diatas menjelaskan bahwa hasil uji t sebagai berikut</w:t>
      </w:r>
    </w:p>
    <w:p w14:paraId="00D3E5FC" w14:textId="0DB4EA5F" w:rsidR="0089764F" w:rsidRPr="00C46A01" w:rsidRDefault="0089764F" w:rsidP="00095897">
      <w:pPr>
        <w:pStyle w:val="ListParagraph"/>
        <w:numPr>
          <w:ilvl w:val="0"/>
          <w:numId w:val="90"/>
        </w:numPr>
        <w:spacing w:line="480" w:lineRule="auto"/>
        <w:ind w:left="1985"/>
        <w:jc w:val="both"/>
        <w:rPr>
          <w:rFonts w:ascii="Times New Roman" w:hAnsi="Times New Roman" w:cs="Times New Roman"/>
          <w:sz w:val="24"/>
          <w:szCs w:val="24"/>
        </w:rPr>
      </w:pPr>
      <w:r w:rsidRPr="00C46A01">
        <w:rPr>
          <w:rFonts w:ascii="Times New Roman" w:hAnsi="Times New Roman" w:cs="Times New Roman"/>
          <w:i/>
          <w:iCs/>
          <w:sz w:val="24"/>
          <w:szCs w:val="24"/>
        </w:rPr>
        <w:t>Non Performing Loan</w:t>
      </w:r>
      <w:r w:rsidRPr="00C46A01">
        <w:rPr>
          <w:rFonts w:ascii="Times New Roman" w:hAnsi="Times New Roman" w:cs="Times New Roman"/>
          <w:sz w:val="24"/>
          <w:szCs w:val="24"/>
        </w:rPr>
        <w:t xml:space="preserve"> (NPL)</w:t>
      </w:r>
    </w:p>
    <w:p w14:paraId="5DFD9490" w14:textId="39055142" w:rsidR="0089764F" w:rsidRPr="00C46A01" w:rsidRDefault="0089764F" w:rsidP="009F72C3">
      <w:pPr>
        <w:pStyle w:val="ListParagraph"/>
        <w:spacing w:line="480" w:lineRule="auto"/>
        <w:ind w:left="1985"/>
        <w:jc w:val="both"/>
        <w:rPr>
          <w:rFonts w:ascii="Times New Roman" w:hAnsi="Times New Roman" w:cs="Times New Roman"/>
          <w:sz w:val="24"/>
          <w:szCs w:val="24"/>
        </w:rPr>
      </w:pPr>
      <w:r w:rsidRPr="00C46A01">
        <w:rPr>
          <w:rFonts w:ascii="Times New Roman" w:hAnsi="Times New Roman" w:cs="Times New Roman"/>
          <w:sz w:val="24"/>
          <w:szCs w:val="24"/>
        </w:rPr>
        <w:t>Dari perhitungan uji t menggunakan SPSS versi 22, nilai t sebesar</w:t>
      </w:r>
      <w:r w:rsidR="00863D4C">
        <w:rPr>
          <w:rFonts w:ascii="Times New Roman" w:hAnsi="Times New Roman" w:cs="Times New Roman"/>
          <w:sz w:val="24"/>
          <w:szCs w:val="24"/>
        </w:rPr>
        <w:t xml:space="preserve"> 2.134 </w:t>
      </w:r>
      <w:r w:rsidRPr="00C46A01">
        <w:rPr>
          <w:rFonts w:ascii="Times New Roman" w:hAnsi="Times New Roman" w:cs="Times New Roman"/>
          <w:sz w:val="24"/>
          <w:szCs w:val="24"/>
        </w:rPr>
        <w:t>dengan Tingkat signifikan</w:t>
      </w:r>
      <w:r w:rsidR="00863D4C">
        <w:rPr>
          <w:rFonts w:ascii="Times New Roman" w:hAnsi="Times New Roman" w:cs="Times New Roman"/>
          <w:sz w:val="24"/>
          <w:szCs w:val="24"/>
        </w:rPr>
        <w:t xml:space="preserve"> 0.035</w:t>
      </w:r>
      <w:r w:rsidR="00D23E3A">
        <w:rPr>
          <w:rFonts w:ascii="Times New Roman" w:hAnsi="Times New Roman" w:cs="Times New Roman"/>
          <w:sz w:val="24"/>
          <w:szCs w:val="24"/>
        </w:rPr>
        <w:t xml:space="preserve"> &lt; 0,05</w:t>
      </w:r>
      <w:r w:rsidR="00863D4C">
        <w:rPr>
          <w:rFonts w:ascii="Times New Roman" w:hAnsi="Times New Roman" w:cs="Times New Roman"/>
          <w:sz w:val="24"/>
          <w:szCs w:val="24"/>
        </w:rPr>
        <w:t xml:space="preserve"> </w:t>
      </w:r>
      <w:r w:rsidRPr="00C46A01">
        <w:rPr>
          <w:rFonts w:ascii="Times New Roman" w:hAnsi="Times New Roman" w:cs="Times New Roman"/>
          <w:sz w:val="24"/>
          <w:szCs w:val="24"/>
        </w:rPr>
        <w:t>maka hipotesis d</w:t>
      </w:r>
      <w:r w:rsidR="00863D4C">
        <w:rPr>
          <w:rFonts w:ascii="Times New Roman" w:hAnsi="Times New Roman" w:cs="Times New Roman"/>
          <w:sz w:val="24"/>
          <w:szCs w:val="24"/>
        </w:rPr>
        <w:t xml:space="preserve">i terima </w:t>
      </w:r>
      <w:r w:rsidRPr="00C46A01">
        <w:rPr>
          <w:rFonts w:ascii="Times New Roman" w:hAnsi="Times New Roman" w:cs="Times New Roman"/>
          <w:sz w:val="24"/>
          <w:szCs w:val="24"/>
        </w:rPr>
        <w:t xml:space="preserve">sehingga dapat disimpulkan bahwa </w:t>
      </w:r>
      <w:r w:rsidRPr="00C46A01">
        <w:rPr>
          <w:rFonts w:ascii="Times New Roman" w:hAnsi="Times New Roman" w:cs="Times New Roman"/>
          <w:i/>
          <w:iCs/>
          <w:sz w:val="24"/>
          <w:szCs w:val="24"/>
        </w:rPr>
        <w:t>Non Performing Loan</w:t>
      </w:r>
      <w:r w:rsidRPr="00C46A01">
        <w:rPr>
          <w:rFonts w:ascii="Times New Roman" w:hAnsi="Times New Roman" w:cs="Times New Roman"/>
          <w:sz w:val="24"/>
          <w:szCs w:val="24"/>
        </w:rPr>
        <w:t xml:space="preserve"> (NPL) secara parsial </w:t>
      </w:r>
      <w:r w:rsidR="00863D4C">
        <w:rPr>
          <w:rFonts w:ascii="Times New Roman" w:hAnsi="Times New Roman" w:cs="Times New Roman"/>
          <w:sz w:val="24"/>
          <w:szCs w:val="24"/>
        </w:rPr>
        <w:t>berpengaruh</w:t>
      </w:r>
      <w:r w:rsidR="00C27F6E">
        <w:rPr>
          <w:rFonts w:ascii="Times New Roman" w:hAnsi="Times New Roman" w:cs="Times New Roman"/>
          <w:sz w:val="24"/>
          <w:szCs w:val="24"/>
        </w:rPr>
        <w:t xml:space="preserve"> positif</w:t>
      </w:r>
      <w:r w:rsidR="00863D4C">
        <w:rPr>
          <w:rFonts w:ascii="Times New Roman" w:hAnsi="Times New Roman" w:cs="Times New Roman"/>
          <w:sz w:val="24"/>
          <w:szCs w:val="24"/>
        </w:rPr>
        <w:t xml:space="preserve"> terhadap rasio kecukupan modal.</w:t>
      </w:r>
    </w:p>
    <w:p w14:paraId="5E1ADEE2" w14:textId="6C29693E" w:rsidR="0089764F" w:rsidRPr="00C46A01" w:rsidRDefault="0089764F" w:rsidP="00095897">
      <w:pPr>
        <w:pStyle w:val="ListParagraph"/>
        <w:numPr>
          <w:ilvl w:val="0"/>
          <w:numId w:val="90"/>
        </w:numPr>
        <w:spacing w:line="480" w:lineRule="auto"/>
        <w:ind w:left="1985"/>
        <w:jc w:val="both"/>
        <w:rPr>
          <w:rFonts w:ascii="Times New Roman" w:hAnsi="Times New Roman" w:cs="Times New Roman"/>
          <w:sz w:val="24"/>
          <w:szCs w:val="24"/>
        </w:rPr>
      </w:pPr>
      <w:r w:rsidRPr="00C46A01">
        <w:rPr>
          <w:rFonts w:ascii="Times New Roman" w:hAnsi="Times New Roman" w:cs="Times New Roman"/>
          <w:i/>
          <w:iCs/>
          <w:sz w:val="24"/>
          <w:szCs w:val="24"/>
        </w:rPr>
        <w:t xml:space="preserve">Return on Aset </w:t>
      </w:r>
      <w:r w:rsidRPr="00C46A01">
        <w:rPr>
          <w:rFonts w:ascii="Times New Roman" w:hAnsi="Times New Roman" w:cs="Times New Roman"/>
          <w:sz w:val="24"/>
          <w:szCs w:val="24"/>
        </w:rPr>
        <w:t>(ROA)</w:t>
      </w:r>
    </w:p>
    <w:p w14:paraId="346403FA" w14:textId="7C25EC80" w:rsidR="002E099F" w:rsidRPr="00A0722E" w:rsidRDefault="0089764F" w:rsidP="00A0722E">
      <w:pPr>
        <w:pStyle w:val="ListParagraph"/>
        <w:spacing w:line="480" w:lineRule="auto"/>
        <w:ind w:left="1985"/>
        <w:jc w:val="both"/>
        <w:rPr>
          <w:rFonts w:ascii="Times New Roman" w:hAnsi="Times New Roman" w:cs="Times New Roman"/>
          <w:sz w:val="24"/>
          <w:szCs w:val="24"/>
        </w:rPr>
      </w:pPr>
      <w:r w:rsidRPr="00C46A01">
        <w:rPr>
          <w:rFonts w:ascii="Times New Roman" w:hAnsi="Times New Roman" w:cs="Times New Roman"/>
          <w:sz w:val="24"/>
          <w:szCs w:val="24"/>
        </w:rPr>
        <w:t>Dari perhitungan uji t menggunakan SPSS versi 22, nilai t sebesar</w:t>
      </w:r>
      <w:r w:rsidR="00863D4C">
        <w:rPr>
          <w:rFonts w:ascii="Times New Roman" w:hAnsi="Times New Roman" w:cs="Times New Roman"/>
          <w:sz w:val="24"/>
          <w:szCs w:val="24"/>
        </w:rPr>
        <w:t xml:space="preserve"> 0.482 </w:t>
      </w:r>
      <w:r w:rsidRPr="00C46A01">
        <w:rPr>
          <w:rFonts w:ascii="Times New Roman" w:hAnsi="Times New Roman" w:cs="Times New Roman"/>
          <w:sz w:val="24"/>
          <w:szCs w:val="24"/>
        </w:rPr>
        <w:t>dengan Tingkat signifikan</w:t>
      </w:r>
      <w:r w:rsidR="00863D4C">
        <w:rPr>
          <w:rFonts w:ascii="Times New Roman" w:hAnsi="Times New Roman" w:cs="Times New Roman"/>
          <w:sz w:val="24"/>
          <w:szCs w:val="24"/>
        </w:rPr>
        <w:t xml:space="preserve"> 0.630</w:t>
      </w:r>
      <w:r w:rsidR="00D23E3A">
        <w:rPr>
          <w:rFonts w:ascii="Times New Roman" w:hAnsi="Times New Roman" w:cs="Times New Roman"/>
          <w:sz w:val="24"/>
          <w:szCs w:val="24"/>
        </w:rPr>
        <w:t xml:space="preserve"> &gt; 0,05</w:t>
      </w:r>
      <w:r w:rsidR="00863D4C">
        <w:rPr>
          <w:rFonts w:ascii="Times New Roman" w:hAnsi="Times New Roman" w:cs="Times New Roman"/>
          <w:sz w:val="24"/>
          <w:szCs w:val="24"/>
        </w:rPr>
        <w:t xml:space="preserve"> </w:t>
      </w:r>
      <w:r w:rsidRPr="00C46A01">
        <w:rPr>
          <w:rFonts w:ascii="Times New Roman" w:hAnsi="Times New Roman" w:cs="Times New Roman"/>
          <w:sz w:val="24"/>
          <w:szCs w:val="24"/>
        </w:rPr>
        <w:t>maka hipotesis d</w:t>
      </w:r>
      <w:r w:rsidR="00863D4C">
        <w:rPr>
          <w:rFonts w:ascii="Times New Roman" w:hAnsi="Times New Roman" w:cs="Times New Roman"/>
          <w:sz w:val="24"/>
          <w:szCs w:val="24"/>
        </w:rPr>
        <w:t xml:space="preserve">itolak </w:t>
      </w:r>
      <w:r w:rsidRPr="00C46A01">
        <w:rPr>
          <w:rFonts w:ascii="Times New Roman" w:hAnsi="Times New Roman" w:cs="Times New Roman"/>
          <w:sz w:val="24"/>
          <w:szCs w:val="24"/>
        </w:rPr>
        <w:t xml:space="preserve">sehingga dapat disimpulkan bahwa </w:t>
      </w:r>
      <w:r w:rsidRPr="003E2169">
        <w:rPr>
          <w:rFonts w:ascii="Times New Roman" w:hAnsi="Times New Roman" w:cs="Times New Roman"/>
          <w:i/>
          <w:iCs/>
          <w:sz w:val="24"/>
          <w:szCs w:val="24"/>
        </w:rPr>
        <w:t>Return on Aset</w:t>
      </w:r>
      <w:r w:rsidRPr="00C46A01">
        <w:rPr>
          <w:rFonts w:ascii="Times New Roman" w:hAnsi="Times New Roman" w:cs="Times New Roman"/>
          <w:sz w:val="24"/>
          <w:szCs w:val="24"/>
        </w:rPr>
        <w:t xml:space="preserve"> (ROA) secara parsial </w:t>
      </w:r>
      <w:r w:rsidR="00863D4C">
        <w:rPr>
          <w:rFonts w:ascii="Times New Roman" w:hAnsi="Times New Roman" w:cs="Times New Roman"/>
          <w:sz w:val="24"/>
          <w:szCs w:val="24"/>
        </w:rPr>
        <w:t xml:space="preserve">tidak berpengaruh terhadap rasio </w:t>
      </w:r>
      <w:r w:rsidR="00592B24">
        <w:rPr>
          <w:rFonts w:ascii="Times New Roman" w:hAnsi="Times New Roman" w:cs="Times New Roman"/>
          <w:sz w:val="24"/>
          <w:szCs w:val="24"/>
        </w:rPr>
        <w:t>kecukupan modal.</w:t>
      </w:r>
    </w:p>
    <w:p w14:paraId="1360911F" w14:textId="0E56C822" w:rsidR="0089764F" w:rsidRPr="00C46A01" w:rsidRDefault="00706E4F" w:rsidP="00095897">
      <w:pPr>
        <w:pStyle w:val="ListParagraph"/>
        <w:numPr>
          <w:ilvl w:val="0"/>
          <w:numId w:val="90"/>
        </w:numPr>
        <w:spacing w:line="480" w:lineRule="auto"/>
        <w:ind w:left="1985"/>
        <w:jc w:val="both"/>
        <w:rPr>
          <w:rFonts w:ascii="Times New Roman" w:hAnsi="Times New Roman" w:cs="Times New Roman"/>
          <w:sz w:val="24"/>
          <w:szCs w:val="24"/>
        </w:rPr>
      </w:pPr>
      <w:r w:rsidRPr="00C46A01">
        <w:rPr>
          <w:rFonts w:ascii="Times New Roman" w:hAnsi="Times New Roman" w:cs="Times New Roman"/>
          <w:iCs/>
          <w:sz w:val="24"/>
          <w:szCs w:val="24"/>
        </w:rPr>
        <w:t>Posisi Devisa Neto (PDN)</w:t>
      </w:r>
    </w:p>
    <w:p w14:paraId="737DF158" w14:textId="3977FFC4" w:rsidR="0089764F" w:rsidRPr="00C46A01" w:rsidRDefault="0089764F" w:rsidP="00706E4F">
      <w:pPr>
        <w:pStyle w:val="ListParagraph"/>
        <w:spacing w:line="480" w:lineRule="auto"/>
        <w:ind w:left="1985"/>
        <w:jc w:val="both"/>
        <w:rPr>
          <w:rFonts w:ascii="Times New Roman" w:hAnsi="Times New Roman" w:cs="Times New Roman"/>
          <w:sz w:val="24"/>
          <w:szCs w:val="24"/>
        </w:rPr>
      </w:pPr>
      <w:r w:rsidRPr="00C46A01">
        <w:rPr>
          <w:rFonts w:ascii="Times New Roman" w:hAnsi="Times New Roman" w:cs="Times New Roman"/>
          <w:sz w:val="24"/>
          <w:szCs w:val="24"/>
        </w:rPr>
        <w:t xml:space="preserve">Dari perhitungan uji t menggunakan SPSS versi 22, nilai t sebesar </w:t>
      </w:r>
      <w:r w:rsidR="00592B24">
        <w:rPr>
          <w:rFonts w:ascii="Times New Roman" w:hAnsi="Times New Roman" w:cs="Times New Roman"/>
          <w:sz w:val="24"/>
          <w:szCs w:val="24"/>
        </w:rPr>
        <w:t xml:space="preserve">1.261 </w:t>
      </w:r>
      <w:r w:rsidRPr="00C46A01">
        <w:rPr>
          <w:rFonts w:ascii="Times New Roman" w:hAnsi="Times New Roman" w:cs="Times New Roman"/>
          <w:sz w:val="24"/>
          <w:szCs w:val="24"/>
        </w:rPr>
        <w:t xml:space="preserve">dengan Tingkat signifikan </w:t>
      </w:r>
      <w:r w:rsidR="00592B24">
        <w:rPr>
          <w:rFonts w:ascii="Times New Roman" w:hAnsi="Times New Roman" w:cs="Times New Roman"/>
          <w:sz w:val="24"/>
          <w:szCs w:val="24"/>
        </w:rPr>
        <w:t>0.209</w:t>
      </w:r>
      <w:r w:rsidR="00D23E3A">
        <w:rPr>
          <w:rFonts w:ascii="Times New Roman" w:hAnsi="Times New Roman" w:cs="Times New Roman"/>
          <w:sz w:val="24"/>
          <w:szCs w:val="24"/>
        </w:rPr>
        <w:t xml:space="preserve"> &gt; 0,05</w:t>
      </w:r>
      <w:r w:rsidR="00592B24">
        <w:rPr>
          <w:rFonts w:ascii="Times New Roman" w:hAnsi="Times New Roman" w:cs="Times New Roman"/>
          <w:sz w:val="24"/>
          <w:szCs w:val="24"/>
        </w:rPr>
        <w:t xml:space="preserve"> </w:t>
      </w:r>
      <w:r w:rsidRPr="00C46A01">
        <w:rPr>
          <w:rFonts w:ascii="Times New Roman" w:hAnsi="Times New Roman" w:cs="Times New Roman"/>
          <w:sz w:val="24"/>
          <w:szCs w:val="24"/>
        </w:rPr>
        <w:t>maka hipotesis di</w:t>
      </w:r>
      <w:r w:rsidR="00592B24">
        <w:rPr>
          <w:rFonts w:ascii="Times New Roman" w:hAnsi="Times New Roman" w:cs="Times New Roman"/>
          <w:sz w:val="24"/>
          <w:szCs w:val="24"/>
        </w:rPr>
        <w:t xml:space="preserve"> tolak </w:t>
      </w:r>
      <w:r w:rsidRPr="00C46A01">
        <w:rPr>
          <w:rFonts w:ascii="Times New Roman" w:hAnsi="Times New Roman" w:cs="Times New Roman"/>
          <w:sz w:val="24"/>
          <w:szCs w:val="24"/>
        </w:rPr>
        <w:t>sehingga dapat disimpulkan bahwa</w:t>
      </w:r>
      <w:r w:rsidR="00706E4F" w:rsidRPr="00C46A01">
        <w:rPr>
          <w:rFonts w:ascii="Times New Roman" w:hAnsi="Times New Roman" w:cs="Times New Roman"/>
          <w:sz w:val="24"/>
          <w:szCs w:val="24"/>
        </w:rPr>
        <w:t xml:space="preserve"> </w:t>
      </w:r>
      <w:r w:rsidR="00706E4F" w:rsidRPr="00C46A01">
        <w:rPr>
          <w:rFonts w:ascii="Times New Roman" w:hAnsi="Times New Roman" w:cs="Times New Roman"/>
          <w:iCs/>
          <w:sz w:val="24"/>
          <w:szCs w:val="24"/>
        </w:rPr>
        <w:t>Posisi Devisa Neto (PDN)</w:t>
      </w:r>
      <w:r w:rsidR="002F5693" w:rsidRPr="00C46A01">
        <w:rPr>
          <w:rFonts w:ascii="Times New Roman" w:hAnsi="Times New Roman" w:cs="Times New Roman"/>
          <w:sz w:val="24"/>
          <w:szCs w:val="24"/>
        </w:rPr>
        <w:t xml:space="preserve"> </w:t>
      </w:r>
      <w:r w:rsidRPr="00C46A01">
        <w:rPr>
          <w:rFonts w:ascii="Times New Roman" w:hAnsi="Times New Roman" w:cs="Times New Roman"/>
          <w:sz w:val="24"/>
          <w:szCs w:val="24"/>
        </w:rPr>
        <w:t xml:space="preserve">secara parsial </w:t>
      </w:r>
      <w:r w:rsidR="00592B24">
        <w:rPr>
          <w:rFonts w:ascii="Times New Roman" w:hAnsi="Times New Roman" w:cs="Times New Roman"/>
          <w:sz w:val="24"/>
          <w:szCs w:val="24"/>
        </w:rPr>
        <w:t>tidak berpengaruh terhadap rasio kecukupan modal.</w:t>
      </w:r>
    </w:p>
    <w:p w14:paraId="2A4D45CE" w14:textId="193E076E" w:rsidR="0089764F" w:rsidRPr="00C46A01" w:rsidRDefault="0089764F" w:rsidP="00095897">
      <w:pPr>
        <w:pStyle w:val="ListParagraph"/>
        <w:numPr>
          <w:ilvl w:val="0"/>
          <w:numId w:val="90"/>
        </w:numPr>
        <w:spacing w:line="480" w:lineRule="auto"/>
        <w:ind w:left="1985"/>
        <w:jc w:val="both"/>
        <w:rPr>
          <w:rFonts w:ascii="Times New Roman" w:hAnsi="Times New Roman" w:cs="Times New Roman"/>
          <w:sz w:val="24"/>
          <w:szCs w:val="24"/>
        </w:rPr>
      </w:pPr>
      <w:r w:rsidRPr="00C46A01">
        <w:rPr>
          <w:rFonts w:ascii="Times New Roman" w:hAnsi="Times New Roman" w:cs="Times New Roman"/>
          <w:iCs/>
          <w:sz w:val="24"/>
          <w:szCs w:val="24"/>
        </w:rPr>
        <w:t>Biaya Operasional Pendpatan Operasional</w:t>
      </w:r>
      <w:r w:rsidRPr="00C46A01">
        <w:rPr>
          <w:rFonts w:ascii="Times New Roman" w:hAnsi="Times New Roman" w:cs="Times New Roman"/>
          <w:i/>
          <w:sz w:val="24"/>
          <w:szCs w:val="24"/>
        </w:rPr>
        <w:t xml:space="preserve"> </w:t>
      </w:r>
      <w:r w:rsidRPr="00C46A01">
        <w:rPr>
          <w:rFonts w:ascii="Times New Roman" w:hAnsi="Times New Roman" w:cs="Times New Roman"/>
          <w:sz w:val="24"/>
          <w:szCs w:val="24"/>
        </w:rPr>
        <w:t>(BOPO)</w:t>
      </w:r>
    </w:p>
    <w:p w14:paraId="76FC9386" w14:textId="041DF820" w:rsidR="00A0722E" w:rsidRPr="00D23E3A" w:rsidRDefault="0089764F" w:rsidP="00D23E3A">
      <w:pPr>
        <w:pStyle w:val="ListParagraph"/>
        <w:spacing w:line="480" w:lineRule="auto"/>
        <w:ind w:left="1985"/>
        <w:jc w:val="both"/>
        <w:rPr>
          <w:rFonts w:ascii="Times New Roman" w:hAnsi="Times New Roman" w:cs="Times New Roman"/>
          <w:sz w:val="24"/>
          <w:szCs w:val="24"/>
        </w:rPr>
      </w:pPr>
      <w:r w:rsidRPr="00C46A01">
        <w:rPr>
          <w:rFonts w:ascii="Times New Roman" w:hAnsi="Times New Roman" w:cs="Times New Roman"/>
          <w:sz w:val="24"/>
          <w:szCs w:val="24"/>
        </w:rPr>
        <w:t xml:space="preserve">Dari perhitungan uji t menggunakan SPSS versi 22, nilai t sebesar </w:t>
      </w:r>
      <w:r w:rsidR="00592B24">
        <w:rPr>
          <w:rFonts w:ascii="Times New Roman" w:hAnsi="Times New Roman" w:cs="Times New Roman"/>
          <w:sz w:val="24"/>
          <w:szCs w:val="24"/>
        </w:rPr>
        <w:t xml:space="preserve">0.156 </w:t>
      </w:r>
      <w:r w:rsidRPr="00C46A01">
        <w:rPr>
          <w:rFonts w:ascii="Times New Roman" w:hAnsi="Times New Roman" w:cs="Times New Roman"/>
          <w:sz w:val="24"/>
          <w:szCs w:val="24"/>
        </w:rPr>
        <w:t xml:space="preserve">dengan Tingkat signifikan </w:t>
      </w:r>
      <w:r w:rsidR="00592B24">
        <w:rPr>
          <w:rFonts w:ascii="Times New Roman" w:hAnsi="Times New Roman" w:cs="Times New Roman"/>
          <w:sz w:val="24"/>
          <w:szCs w:val="24"/>
        </w:rPr>
        <w:t>0.876</w:t>
      </w:r>
      <w:r w:rsidR="00D23E3A">
        <w:rPr>
          <w:rFonts w:ascii="Times New Roman" w:hAnsi="Times New Roman" w:cs="Times New Roman"/>
          <w:sz w:val="24"/>
          <w:szCs w:val="24"/>
        </w:rPr>
        <w:t xml:space="preserve"> &gt; 0,05</w:t>
      </w:r>
      <w:r w:rsidR="00592B24">
        <w:rPr>
          <w:rFonts w:ascii="Times New Roman" w:hAnsi="Times New Roman" w:cs="Times New Roman"/>
          <w:sz w:val="24"/>
          <w:szCs w:val="24"/>
        </w:rPr>
        <w:t xml:space="preserve"> </w:t>
      </w:r>
      <w:r w:rsidRPr="00C46A01">
        <w:rPr>
          <w:rFonts w:ascii="Times New Roman" w:hAnsi="Times New Roman" w:cs="Times New Roman"/>
          <w:sz w:val="24"/>
          <w:szCs w:val="24"/>
        </w:rPr>
        <w:t>maka hipotesis di</w:t>
      </w:r>
      <w:r w:rsidR="00592B24">
        <w:rPr>
          <w:rFonts w:ascii="Times New Roman" w:hAnsi="Times New Roman" w:cs="Times New Roman"/>
          <w:sz w:val="24"/>
          <w:szCs w:val="24"/>
        </w:rPr>
        <w:t xml:space="preserve"> tolak </w:t>
      </w:r>
      <w:r w:rsidRPr="00C46A01">
        <w:rPr>
          <w:rFonts w:ascii="Times New Roman" w:hAnsi="Times New Roman" w:cs="Times New Roman"/>
          <w:sz w:val="24"/>
          <w:szCs w:val="24"/>
        </w:rPr>
        <w:t xml:space="preserve">sehingga dapat disimpulkan bahwa </w:t>
      </w:r>
      <w:r w:rsidR="002F5693" w:rsidRPr="00C46A01">
        <w:rPr>
          <w:rFonts w:ascii="Times New Roman" w:hAnsi="Times New Roman" w:cs="Times New Roman"/>
          <w:iCs/>
          <w:sz w:val="24"/>
          <w:szCs w:val="24"/>
        </w:rPr>
        <w:t xml:space="preserve">Biaya Operasional </w:t>
      </w:r>
      <w:r w:rsidR="002F5693" w:rsidRPr="00C46A01">
        <w:rPr>
          <w:rFonts w:ascii="Times New Roman" w:hAnsi="Times New Roman" w:cs="Times New Roman"/>
          <w:iCs/>
          <w:sz w:val="24"/>
          <w:szCs w:val="24"/>
        </w:rPr>
        <w:lastRenderedPageBreak/>
        <w:t>Pend</w:t>
      </w:r>
      <w:r w:rsidR="005015BD">
        <w:rPr>
          <w:rFonts w:ascii="Times New Roman" w:hAnsi="Times New Roman" w:cs="Times New Roman"/>
          <w:iCs/>
          <w:sz w:val="24"/>
          <w:szCs w:val="24"/>
        </w:rPr>
        <w:t>a</w:t>
      </w:r>
      <w:r w:rsidR="002F5693" w:rsidRPr="00C46A01">
        <w:rPr>
          <w:rFonts w:ascii="Times New Roman" w:hAnsi="Times New Roman" w:cs="Times New Roman"/>
          <w:iCs/>
          <w:sz w:val="24"/>
          <w:szCs w:val="24"/>
        </w:rPr>
        <w:t>patan Operasional</w:t>
      </w:r>
      <w:r w:rsidR="002F5693" w:rsidRPr="00C46A01">
        <w:rPr>
          <w:rFonts w:ascii="Times New Roman" w:hAnsi="Times New Roman" w:cs="Times New Roman"/>
          <w:i/>
          <w:sz w:val="24"/>
          <w:szCs w:val="24"/>
        </w:rPr>
        <w:t xml:space="preserve"> </w:t>
      </w:r>
      <w:r w:rsidR="002F5693" w:rsidRPr="00C46A01">
        <w:rPr>
          <w:rFonts w:ascii="Times New Roman" w:hAnsi="Times New Roman" w:cs="Times New Roman"/>
          <w:sz w:val="24"/>
          <w:szCs w:val="24"/>
        </w:rPr>
        <w:t xml:space="preserve">(BOPO) </w:t>
      </w:r>
      <w:r w:rsidRPr="00C46A01">
        <w:rPr>
          <w:rFonts w:ascii="Times New Roman" w:hAnsi="Times New Roman" w:cs="Times New Roman"/>
          <w:sz w:val="24"/>
          <w:szCs w:val="24"/>
        </w:rPr>
        <w:t>secara parsial</w:t>
      </w:r>
      <w:r w:rsidR="00592B24">
        <w:rPr>
          <w:rFonts w:ascii="Times New Roman" w:hAnsi="Times New Roman" w:cs="Times New Roman"/>
          <w:sz w:val="24"/>
          <w:szCs w:val="24"/>
        </w:rPr>
        <w:t xml:space="preserve"> tidak berpengaruh terhadap rasio kecukupan modal.</w:t>
      </w:r>
    </w:p>
    <w:p w14:paraId="3D6BA5B8" w14:textId="3B899B0F" w:rsidR="0089764F" w:rsidRPr="00C46A01" w:rsidRDefault="0089764F" w:rsidP="00095897">
      <w:pPr>
        <w:pStyle w:val="ListParagraph"/>
        <w:numPr>
          <w:ilvl w:val="0"/>
          <w:numId w:val="90"/>
        </w:numPr>
        <w:spacing w:line="480" w:lineRule="auto"/>
        <w:ind w:left="1985"/>
        <w:jc w:val="both"/>
        <w:rPr>
          <w:rFonts w:ascii="Times New Roman" w:hAnsi="Times New Roman" w:cs="Times New Roman"/>
          <w:sz w:val="24"/>
          <w:szCs w:val="24"/>
        </w:rPr>
      </w:pPr>
      <w:r w:rsidRPr="00C46A01">
        <w:rPr>
          <w:rFonts w:ascii="Times New Roman" w:hAnsi="Times New Roman" w:cs="Times New Roman"/>
          <w:i/>
          <w:sz w:val="24"/>
          <w:szCs w:val="24"/>
        </w:rPr>
        <w:t>Debt to Equity Ratio (DER</w:t>
      </w:r>
      <w:r w:rsidRPr="00C46A01">
        <w:rPr>
          <w:rFonts w:ascii="Times New Roman" w:hAnsi="Times New Roman" w:cs="Times New Roman"/>
          <w:sz w:val="24"/>
          <w:szCs w:val="24"/>
        </w:rPr>
        <w:t>)</w:t>
      </w:r>
    </w:p>
    <w:p w14:paraId="511D61D9" w14:textId="72FACB28" w:rsidR="0089764F" w:rsidRPr="00C46A01" w:rsidRDefault="0089764F" w:rsidP="009F72C3">
      <w:pPr>
        <w:pStyle w:val="ListParagraph"/>
        <w:spacing w:line="480" w:lineRule="auto"/>
        <w:ind w:left="1985"/>
        <w:jc w:val="both"/>
        <w:rPr>
          <w:rFonts w:ascii="Times New Roman" w:hAnsi="Times New Roman" w:cs="Times New Roman"/>
          <w:sz w:val="24"/>
          <w:szCs w:val="24"/>
        </w:rPr>
      </w:pPr>
      <w:r w:rsidRPr="00C46A01">
        <w:rPr>
          <w:rFonts w:ascii="Times New Roman" w:hAnsi="Times New Roman" w:cs="Times New Roman"/>
          <w:sz w:val="24"/>
          <w:szCs w:val="24"/>
        </w:rPr>
        <w:t xml:space="preserve">Dari perhitungan uji t menggunakan SPSS versi 22, nilai t sebesar </w:t>
      </w:r>
      <w:r w:rsidR="00592B24">
        <w:rPr>
          <w:rFonts w:ascii="Times New Roman" w:hAnsi="Times New Roman" w:cs="Times New Roman"/>
          <w:sz w:val="24"/>
          <w:szCs w:val="24"/>
        </w:rPr>
        <w:t xml:space="preserve">-13.365 </w:t>
      </w:r>
      <w:r w:rsidRPr="00C46A01">
        <w:rPr>
          <w:rFonts w:ascii="Times New Roman" w:hAnsi="Times New Roman" w:cs="Times New Roman"/>
          <w:sz w:val="24"/>
          <w:szCs w:val="24"/>
        </w:rPr>
        <w:t xml:space="preserve">dengan Tingkat signifikan </w:t>
      </w:r>
      <w:r w:rsidR="00592B24">
        <w:rPr>
          <w:rFonts w:ascii="Times New Roman" w:hAnsi="Times New Roman" w:cs="Times New Roman"/>
          <w:sz w:val="24"/>
          <w:szCs w:val="24"/>
        </w:rPr>
        <w:t>000</w:t>
      </w:r>
      <w:r w:rsidR="00D23E3A">
        <w:rPr>
          <w:rFonts w:ascii="Times New Roman" w:hAnsi="Times New Roman" w:cs="Times New Roman"/>
          <w:sz w:val="24"/>
          <w:szCs w:val="24"/>
        </w:rPr>
        <w:t xml:space="preserve"> &lt; 0,05</w:t>
      </w:r>
      <w:r w:rsidR="00592B24">
        <w:rPr>
          <w:rFonts w:ascii="Times New Roman" w:hAnsi="Times New Roman" w:cs="Times New Roman"/>
          <w:sz w:val="24"/>
          <w:szCs w:val="24"/>
        </w:rPr>
        <w:t xml:space="preserve"> </w:t>
      </w:r>
      <w:r w:rsidRPr="00C46A01">
        <w:rPr>
          <w:rFonts w:ascii="Times New Roman" w:hAnsi="Times New Roman" w:cs="Times New Roman"/>
          <w:sz w:val="24"/>
          <w:szCs w:val="24"/>
        </w:rPr>
        <w:t>maka hipotesis di</w:t>
      </w:r>
      <w:r w:rsidR="00592B24">
        <w:rPr>
          <w:rFonts w:ascii="Times New Roman" w:hAnsi="Times New Roman" w:cs="Times New Roman"/>
          <w:sz w:val="24"/>
          <w:szCs w:val="24"/>
        </w:rPr>
        <w:t xml:space="preserve">terima </w:t>
      </w:r>
      <w:r w:rsidRPr="00C46A01">
        <w:rPr>
          <w:rFonts w:ascii="Times New Roman" w:hAnsi="Times New Roman" w:cs="Times New Roman"/>
          <w:sz w:val="24"/>
          <w:szCs w:val="24"/>
        </w:rPr>
        <w:t xml:space="preserve">sehingga dapat disimpulkan bahwa </w:t>
      </w:r>
      <w:r w:rsidR="002F5693" w:rsidRPr="00C46A01">
        <w:rPr>
          <w:rFonts w:ascii="Times New Roman" w:hAnsi="Times New Roman" w:cs="Times New Roman"/>
          <w:i/>
          <w:sz w:val="24"/>
          <w:szCs w:val="24"/>
        </w:rPr>
        <w:t>Debt to Equity Ratio (DER</w:t>
      </w:r>
      <w:r w:rsidR="002F5693" w:rsidRPr="00C46A01">
        <w:rPr>
          <w:rFonts w:ascii="Times New Roman" w:hAnsi="Times New Roman" w:cs="Times New Roman"/>
          <w:sz w:val="24"/>
          <w:szCs w:val="24"/>
        </w:rPr>
        <w:t xml:space="preserve">) </w:t>
      </w:r>
      <w:r w:rsidRPr="00C46A01">
        <w:rPr>
          <w:rFonts w:ascii="Times New Roman" w:hAnsi="Times New Roman" w:cs="Times New Roman"/>
          <w:sz w:val="24"/>
          <w:szCs w:val="24"/>
        </w:rPr>
        <w:t xml:space="preserve">secara parsial </w:t>
      </w:r>
      <w:r w:rsidR="00592B24">
        <w:rPr>
          <w:rFonts w:ascii="Times New Roman" w:hAnsi="Times New Roman" w:cs="Times New Roman"/>
          <w:sz w:val="24"/>
          <w:szCs w:val="24"/>
        </w:rPr>
        <w:t>berpengaruh</w:t>
      </w:r>
      <w:r w:rsidR="00C27F6E">
        <w:rPr>
          <w:rFonts w:ascii="Times New Roman" w:hAnsi="Times New Roman" w:cs="Times New Roman"/>
          <w:sz w:val="24"/>
          <w:szCs w:val="24"/>
        </w:rPr>
        <w:t xml:space="preserve"> negatif</w:t>
      </w:r>
      <w:r w:rsidR="00592B24">
        <w:rPr>
          <w:rFonts w:ascii="Times New Roman" w:hAnsi="Times New Roman" w:cs="Times New Roman"/>
          <w:sz w:val="24"/>
          <w:szCs w:val="24"/>
        </w:rPr>
        <w:t xml:space="preserve"> terhadap rasio kecukupan modal.</w:t>
      </w:r>
    </w:p>
    <w:p w14:paraId="2C18D4C7" w14:textId="049C06E0" w:rsidR="002F5693" w:rsidRPr="00C46A01" w:rsidRDefault="009F72C3" w:rsidP="00095897">
      <w:pPr>
        <w:pStyle w:val="ListParagraph"/>
        <w:numPr>
          <w:ilvl w:val="0"/>
          <w:numId w:val="88"/>
        </w:numPr>
        <w:spacing w:line="480" w:lineRule="auto"/>
        <w:jc w:val="both"/>
        <w:rPr>
          <w:rFonts w:ascii="Times New Roman" w:hAnsi="Times New Roman" w:cs="Times New Roman"/>
          <w:sz w:val="24"/>
          <w:szCs w:val="24"/>
        </w:rPr>
      </w:pPr>
      <w:r w:rsidRPr="00C46A01">
        <w:rPr>
          <w:rFonts w:ascii="Times New Roman" w:hAnsi="Times New Roman" w:cs="Times New Roman"/>
          <w:sz w:val="24"/>
          <w:szCs w:val="24"/>
        </w:rPr>
        <w:t>Uji Simultan (Uji F)</w:t>
      </w:r>
    </w:p>
    <w:p w14:paraId="249C6570" w14:textId="77777777" w:rsidR="000A6B75" w:rsidRDefault="000A6B75" w:rsidP="00FA7319">
      <w:pPr>
        <w:spacing w:after="0" w:line="480" w:lineRule="auto"/>
        <w:ind w:left="1560" w:firstLine="600"/>
        <w:jc w:val="both"/>
        <w:rPr>
          <w:rFonts w:ascii="Times New Roman" w:hAnsi="Times New Roman" w:cs="Times New Roman"/>
          <w:sz w:val="24"/>
          <w:szCs w:val="24"/>
        </w:rPr>
      </w:pPr>
      <w:r>
        <w:rPr>
          <w:rFonts w:ascii="Times New Roman" w:hAnsi="Times New Roman" w:cs="Times New Roman"/>
          <w:sz w:val="24"/>
          <w:szCs w:val="24"/>
        </w:rPr>
        <w:t>Tujuan pengujian ini untuk menentukan apakah terdapat pengaruh secara simultan antara variabel independent dalam model regresi terhadap variabel dependennya. Jika niali signifikansi &lt; 0,05, dan dikatakan layak jika pada F</w:t>
      </w:r>
      <w:r w:rsidRPr="000A6B75">
        <w:rPr>
          <w:rFonts w:ascii="Times New Roman" w:hAnsi="Times New Roman" w:cs="Times New Roman"/>
          <w:sz w:val="24"/>
          <w:szCs w:val="24"/>
          <w:vertAlign w:val="subscript"/>
        </w:rPr>
        <w:t>hitung</w:t>
      </w:r>
      <w:r>
        <w:rPr>
          <w:rFonts w:ascii="Times New Roman" w:hAnsi="Times New Roman" w:cs="Times New Roman"/>
          <w:sz w:val="24"/>
          <w:szCs w:val="24"/>
        </w:rPr>
        <w:t xml:space="preserve"> &gt; dari F</w:t>
      </w:r>
      <w:r w:rsidRPr="000A6B75">
        <w:rPr>
          <w:rFonts w:ascii="Times New Roman" w:hAnsi="Times New Roman" w:cs="Times New Roman"/>
          <w:sz w:val="24"/>
          <w:szCs w:val="24"/>
          <w:vertAlign w:val="subscript"/>
        </w:rPr>
        <w:t>tabel</w:t>
      </w:r>
      <w:r>
        <w:rPr>
          <w:rFonts w:ascii="Times New Roman" w:hAnsi="Times New Roman" w:cs="Times New Roman"/>
          <w:sz w:val="24"/>
          <w:szCs w:val="24"/>
        </w:rPr>
        <w:t>, sebaliknya apabila Fhitung &lt; Ftabel maka model dikatakan tidak layak (Ghozali, 2018).</w:t>
      </w:r>
    </w:p>
    <w:p w14:paraId="2C47E5D7" w14:textId="5A4D211E" w:rsidR="000A6B75" w:rsidRDefault="000A6B75" w:rsidP="00FA7319">
      <w:p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Berikut hasil uji kelayakan model:</w:t>
      </w:r>
    </w:p>
    <w:p w14:paraId="6446E2AF" w14:textId="2EF3BBD9" w:rsidR="001939BC" w:rsidRPr="001939BC" w:rsidRDefault="001939BC" w:rsidP="001939BC">
      <w:pPr>
        <w:pStyle w:val="Caption"/>
        <w:keepNext/>
        <w:spacing w:after="0" w:line="276" w:lineRule="auto"/>
        <w:ind w:left="1701"/>
        <w:jc w:val="center"/>
        <w:rPr>
          <w:rFonts w:ascii="Times New Roman" w:hAnsi="Times New Roman" w:cs="Times New Roman"/>
          <w:i w:val="0"/>
          <w:iCs w:val="0"/>
          <w:color w:val="auto"/>
          <w:sz w:val="24"/>
          <w:szCs w:val="24"/>
        </w:rPr>
      </w:pPr>
      <w:bookmarkStart w:id="19" w:name="_Toc167784730"/>
      <w:r w:rsidRPr="001939BC">
        <w:rPr>
          <w:rFonts w:ascii="Times New Roman" w:hAnsi="Times New Roman" w:cs="Times New Roman"/>
          <w:i w:val="0"/>
          <w:iCs w:val="0"/>
          <w:color w:val="auto"/>
          <w:sz w:val="24"/>
          <w:szCs w:val="24"/>
        </w:rPr>
        <w:t xml:space="preserve">Tabel </w:t>
      </w:r>
      <w:r w:rsidRPr="001939BC">
        <w:rPr>
          <w:rFonts w:ascii="Times New Roman" w:hAnsi="Times New Roman" w:cs="Times New Roman"/>
          <w:i w:val="0"/>
          <w:iCs w:val="0"/>
          <w:color w:val="auto"/>
          <w:sz w:val="24"/>
          <w:szCs w:val="24"/>
        </w:rPr>
        <w:fldChar w:fldCharType="begin"/>
      </w:r>
      <w:r w:rsidRPr="001939BC">
        <w:rPr>
          <w:rFonts w:ascii="Times New Roman" w:hAnsi="Times New Roman" w:cs="Times New Roman"/>
          <w:i w:val="0"/>
          <w:iCs w:val="0"/>
          <w:color w:val="auto"/>
          <w:sz w:val="24"/>
          <w:szCs w:val="24"/>
        </w:rPr>
        <w:instrText xml:space="preserve"> SEQ Tabel \* ARABIC </w:instrText>
      </w:r>
      <w:r w:rsidRPr="001939BC">
        <w:rPr>
          <w:rFonts w:ascii="Times New Roman" w:hAnsi="Times New Roman" w:cs="Times New Roman"/>
          <w:i w:val="0"/>
          <w:iCs w:val="0"/>
          <w:color w:val="auto"/>
          <w:sz w:val="24"/>
          <w:szCs w:val="24"/>
        </w:rPr>
        <w:fldChar w:fldCharType="separate"/>
      </w:r>
      <w:r w:rsidR="00383519">
        <w:rPr>
          <w:rFonts w:ascii="Times New Roman" w:hAnsi="Times New Roman" w:cs="Times New Roman"/>
          <w:i w:val="0"/>
          <w:iCs w:val="0"/>
          <w:noProof/>
          <w:color w:val="auto"/>
          <w:sz w:val="24"/>
          <w:szCs w:val="24"/>
        </w:rPr>
        <w:t>13</w:t>
      </w:r>
      <w:bookmarkEnd w:id="19"/>
      <w:r w:rsidRPr="001939BC">
        <w:rPr>
          <w:rFonts w:ascii="Times New Roman" w:hAnsi="Times New Roman" w:cs="Times New Roman"/>
          <w:i w:val="0"/>
          <w:iCs w:val="0"/>
          <w:color w:val="auto"/>
          <w:sz w:val="24"/>
          <w:szCs w:val="24"/>
        </w:rPr>
        <w:fldChar w:fldCharType="end"/>
      </w:r>
    </w:p>
    <w:p w14:paraId="1DAADEAD" w14:textId="2E75478E" w:rsidR="001939BC" w:rsidRPr="001939BC" w:rsidRDefault="001939BC" w:rsidP="001939BC">
      <w:pPr>
        <w:pStyle w:val="Caption"/>
        <w:keepNext/>
        <w:spacing w:after="0" w:line="276" w:lineRule="auto"/>
        <w:ind w:left="1701"/>
        <w:jc w:val="center"/>
        <w:rPr>
          <w:rFonts w:ascii="Times New Roman" w:hAnsi="Times New Roman" w:cs="Times New Roman"/>
          <w:i w:val="0"/>
          <w:iCs w:val="0"/>
          <w:color w:val="auto"/>
          <w:sz w:val="24"/>
          <w:szCs w:val="24"/>
        </w:rPr>
      </w:pPr>
      <w:r w:rsidRPr="001939BC">
        <w:rPr>
          <w:rFonts w:ascii="Times New Roman" w:hAnsi="Times New Roman" w:cs="Times New Roman"/>
          <w:i w:val="0"/>
          <w:iCs w:val="0"/>
          <w:color w:val="auto"/>
          <w:sz w:val="24"/>
          <w:szCs w:val="24"/>
        </w:rPr>
        <w:t>Hasil uji kelayakan model (Ui F)</w:t>
      </w:r>
    </w:p>
    <w:tbl>
      <w:tblPr>
        <w:tblW w:w="7274" w:type="dxa"/>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135"/>
        <w:gridCol w:w="709"/>
        <w:gridCol w:w="1417"/>
        <w:gridCol w:w="993"/>
        <w:gridCol w:w="992"/>
      </w:tblGrid>
      <w:tr w:rsidR="000A6B75" w:rsidRPr="00B372FB" w14:paraId="49B5A531" w14:textId="77777777" w:rsidTr="00B372FB">
        <w:trPr>
          <w:cantSplit/>
        </w:trPr>
        <w:tc>
          <w:tcPr>
            <w:tcW w:w="7274" w:type="dxa"/>
            <w:gridSpan w:val="7"/>
            <w:tcBorders>
              <w:top w:val="nil"/>
              <w:left w:val="nil"/>
              <w:bottom w:val="nil"/>
              <w:right w:val="nil"/>
            </w:tcBorders>
            <w:shd w:val="clear" w:color="auto" w:fill="FFFFFF"/>
            <w:vAlign w:val="center"/>
          </w:tcPr>
          <w:p w14:paraId="444C99D0" w14:textId="77777777" w:rsidR="000A6B75" w:rsidRPr="00B372FB" w:rsidRDefault="000A6B75"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B372FB">
              <w:rPr>
                <w:rFonts w:ascii="Times New Roman" w:hAnsi="Times New Roman" w:cs="Times New Roman"/>
                <w:b/>
                <w:bCs/>
                <w:color w:val="000000"/>
                <w:sz w:val="24"/>
                <w:szCs w:val="24"/>
              </w:rPr>
              <w:t>ANOVA</w:t>
            </w:r>
            <w:r w:rsidRPr="00B372FB">
              <w:rPr>
                <w:rFonts w:ascii="Times New Roman" w:hAnsi="Times New Roman" w:cs="Times New Roman"/>
                <w:b/>
                <w:bCs/>
                <w:color w:val="000000"/>
                <w:sz w:val="24"/>
                <w:szCs w:val="24"/>
                <w:vertAlign w:val="superscript"/>
              </w:rPr>
              <w:t>a</w:t>
            </w:r>
          </w:p>
        </w:tc>
      </w:tr>
      <w:tr w:rsidR="000A6B75" w:rsidRPr="00B372FB" w14:paraId="5BCCE5C8" w14:textId="77777777" w:rsidTr="00B372FB">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14:paraId="588F2077" w14:textId="77777777" w:rsidR="000A6B75" w:rsidRPr="00B372FB" w:rsidRDefault="000A6B75"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B372FB">
              <w:rPr>
                <w:rFonts w:ascii="Times New Roman" w:hAnsi="Times New Roman" w:cs="Times New Roman"/>
                <w:color w:val="000000"/>
                <w:sz w:val="24"/>
                <w:szCs w:val="24"/>
              </w:rPr>
              <w:t>Model</w:t>
            </w:r>
          </w:p>
        </w:tc>
        <w:tc>
          <w:tcPr>
            <w:tcW w:w="1135" w:type="dxa"/>
            <w:tcBorders>
              <w:top w:val="single" w:sz="16" w:space="0" w:color="000000"/>
              <w:left w:val="single" w:sz="16" w:space="0" w:color="000000"/>
              <w:bottom w:val="single" w:sz="16" w:space="0" w:color="000000"/>
            </w:tcBorders>
            <w:shd w:val="clear" w:color="auto" w:fill="FFFFFF"/>
            <w:vAlign w:val="bottom"/>
          </w:tcPr>
          <w:p w14:paraId="05DD6301" w14:textId="77777777" w:rsidR="000A6B75" w:rsidRPr="00B372FB" w:rsidRDefault="000A6B75"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B372FB">
              <w:rPr>
                <w:rFonts w:ascii="Times New Roman" w:hAnsi="Times New Roman" w:cs="Times New Roman"/>
                <w:color w:val="000000"/>
                <w:sz w:val="24"/>
                <w:szCs w:val="24"/>
              </w:rPr>
              <w:t>Sum of Squares</w:t>
            </w:r>
          </w:p>
        </w:tc>
        <w:tc>
          <w:tcPr>
            <w:tcW w:w="709" w:type="dxa"/>
            <w:tcBorders>
              <w:top w:val="single" w:sz="16" w:space="0" w:color="000000"/>
              <w:bottom w:val="single" w:sz="16" w:space="0" w:color="000000"/>
            </w:tcBorders>
            <w:shd w:val="clear" w:color="auto" w:fill="FFFFFF"/>
            <w:vAlign w:val="bottom"/>
          </w:tcPr>
          <w:p w14:paraId="192BD4D0" w14:textId="77777777" w:rsidR="000A6B75" w:rsidRPr="00B372FB" w:rsidRDefault="000A6B75"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B372FB">
              <w:rPr>
                <w:rFonts w:ascii="Times New Roman" w:hAnsi="Times New Roman" w:cs="Times New Roman"/>
                <w:color w:val="000000"/>
                <w:sz w:val="24"/>
                <w:szCs w:val="24"/>
              </w:rPr>
              <w:t>df</w:t>
            </w:r>
          </w:p>
        </w:tc>
        <w:tc>
          <w:tcPr>
            <w:tcW w:w="1417" w:type="dxa"/>
            <w:tcBorders>
              <w:top w:val="single" w:sz="16" w:space="0" w:color="000000"/>
              <w:bottom w:val="single" w:sz="16" w:space="0" w:color="000000"/>
            </w:tcBorders>
            <w:shd w:val="clear" w:color="auto" w:fill="FFFFFF"/>
            <w:vAlign w:val="bottom"/>
          </w:tcPr>
          <w:p w14:paraId="418FF2EC" w14:textId="77777777" w:rsidR="000A6B75" w:rsidRPr="00B372FB" w:rsidRDefault="000A6B75"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B372FB">
              <w:rPr>
                <w:rFonts w:ascii="Times New Roman" w:hAnsi="Times New Roman" w:cs="Times New Roman"/>
                <w:color w:val="000000"/>
                <w:sz w:val="24"/>
                <w:szCs w:val="24"/>
              </w:rPr>
              <w:t>Mean Square</w:t>
            </w:r>
          </w:p>
        </w:tc>
        <w:tc>
          <w:tcPr>
            <w:tcW w:w="993" w:type="dxa"/>
            <w:tcBorders>
              <w:top w:val="single" w:sz="16" w:space="0" w:color="000000"/>
              <w:bottom w:val="single" w:sz="16" w:space="0" w:color="000000"/>
            </w:tcBorders>
            <w:shd w:val="clear" w:color="auto" w:fill="FFFFFF"/>
            <w:vAlign w:val="bottom"/>
          </w:tcPr>
          <w:p w14:paraId="4A672CE3" w14:textId="77777777" w:rsidR="000A6B75" w:rsidRPr="00B372FB" w:rsidRDefault="000A6B75"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B372FB">
              <w:rPr>
                <w:rFonts w:ascii="Times New Roman" w:hAnsi="Times New Roman" w:cs="Times New Roman"/>
                <w:color w:val="000000"/>
                <w:sz w:val="24"/>
                <w:szCs w:val="24"/>
              </w:rPr>
              <w:t>F</w:t>
            </w:r>
          </w:p>
        </w:tc>
        <w:tc>
          <w:tcPr>
            <w:tcW w:w="992" w:type="dxa"/>
            <w:tcBorders>
              <w:top w:val="single" w:sz="16" w:space="0" w:color="000000"/>
              <w:bottom w:val="single" w:sz="16" w:space="0" w:color="000000"/>
              <w:right w:val="single" w:sz="16" w:space="0" w:color="000000"/>
            </w:tcBorders>
            <w:shd w:val="clear" w:color="auto" w:fill="FFFFFF"/>
            <w:vAlign w:val="bottom"/>
          </w:tcPr>
          <w:p w14:paraId="7331E28B" w14:textId="77777777" w:rsidR="000A6B75" w:rsidRPr="00B372FB" w:rsidRDefault="000A6B75"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B372FB">
              <w:rPr>
                <w:rFonts w:ascii="Times New Roman" w:hAnsi="Times New Roman" w:cs="Times New Roman"/>
                <w:color w:val="000000"/>
                <w:sz w:val="24"/>
                <w:szCs w:val="24"/>
              </w:rPr>
              <w:t>Sig.</w:t>
            </w:r>
          </w:p>
        </w:tc>
      </w:tr>
      <w:tr w:rsidR="000A6B75" w:rsidRPr="00B372FB" w14:paraId="6960190E" w14:textId="77777777" w:rsidTr="00B372FB">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5E980A16" w14:textId="77777777" w:rsidR="000A6B75" w:rsidRPr="00B372FB" w:rsidRDefault="000A6B75"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B372FB">
              <w:rPr>
                <w:rFonts w:ascii="Times New Roman" w:hAnsi="Times New Roman" w:cs="Times New Roman"/>
                <w:color w:val="000000"/>
                <w:sz w:val="24"/>
                <w:szCs w:val="24"/>
              </w:rPr>
              <w:t>1</w:t>
            </w:r>
          </w:p>
        </w:tc>
        <w:tc>
          <w:tcPr>
            <w:tcW w:w="1292" w:type="dxa"/>
            <w:tcBorders>
              <w:top w:val="single" w:sz="16" w:space="0" w:color="000000"/>
              <w:left w:val="nil"/>
              <w:bottom w:val="nil"/>
              <w:right w:val="single" w:sz="16" w:space="0" w:color="000000"/>
            </w:tcBorders>
            <w:shd w:val="clear" w:color="auto" w:fill="FFFFFF"/>
          </w:tcPr>
          <w:p w14:paraId="09C7E56E" w14:textId="77777777" w:rsidR="000A6B75" w:rsidRPr="00B372FB" w:rsidRDefault="000A6B75"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B372FB">
              <w:rPr>
                <w:rFonts w:ascii="Times New Roman" w:hAnsi="Times New Roman" w:cs="Times New Roman"/>
                <w:color w:val="000000"/>
                <w:sz w:val="24"/>
                <w:szCs w:val="24"/>
              </w:rPr>
              <w:t>Regression</w:t>
            </w:r>
          </w:p>
        </w:tc>
        <w:tc>
          <w:tcPr>
            <w:tcW w:w="1135" w:type="dxa"/>
            <w:tcBorders>
              <w:top w:val="single" w:sz="16" w:space="0" w:color="000000"/>
              <w:left w:val="single" w:sz="16" w:space="0" w:color="000000"/>
              <w:bottom w:val="nil"/>
            </w:tcBorders>
            <w:shd w:val="clear" w:color="auto" w:fill="FFFFFF"/>
            <w:vAlign w:val="center"/>
          </w:tcPr>
          <w:p w14:paraId="54B974F7" w14:textId="77777777" w:rsidR="000A6B75" w:rsidRPr="00B372FB" w:rsidRDefault="000A6B75"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15.015</w:t>
            </w:r>
          </w:p>
        </w:tc>
        <w:tc>
          <w:tcPr>
            <w:tcW w:w="709" w:type="dxa"/>
            <w:tcBorders>
              <w:top w:val="single" w:sz="16" w:space="0" w:color="000000"/>
              <w:bottom w:val="nil"/>
            </w:tcBorders>
            <w:shd w:val="clear" w:color="auto" w:fill="FFFFFF"/>
            <w:vAlign w:val="center"/>
          </w:tcPr>
          <w:p w14:paraId="69C916EC" w14:textId="77777777" w:rsidR="000A6B75" w:rsidRPr="00B372FB" w:rsidRDefault="000A6B75"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5</w:t>
            </w:r>
          </w:p>
        </w:tc>
        <w:tc>
          <w:tcPr>
            <w:tcW w:w="1417" w:type="dxa"/>
            <w:tcBorders>
              <w:top w:val="single" w:sz="16" w:space="0" w:color="000000"/>
              <w:bottom w:val="nil"/>
            </w:tcBorders>
            <w:shd w:val="clear" w:color="auto" w:fill="FFFFFF"/>
            <w:vAlign w:val="center"/>
          </w:tcPr>
          <w:p w14:paraId="62814ADA" w14:textId="77777777" w:rsidR="000A6B75" w:rsidRPr="00B372FB" w:rsidRDefault="000A6B75"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3.003</w:t>
            </w:r>
          </w:p>
        </w:tc>
        <w:tc>
          <w:tcPr>
            <w:tcW w:w="993" w:type="dxa"/>
            <w:tcBorders>
              <w:top w:val="single" w:sz="16" w:space="0" w:color="000000"/>
              <w:bottom w:val="nil"/>
            </w:tcBorders>
            <w:shd w:val="clear" w:color="auto" w:fill="FFFFFF"/>
            <w:vAlign w:val="center"/>
          </w:tcPr>
          <w:p w14:paraId="15217559" w14:textId="77777777" w:rsidR="000A6B75" w:rsidRPr="00B372FB" w:rsidRDefault="000A6B75"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45.314</w:t>
            </w:r>
          </w:p>
        </w:tc>
        <w:tc>
          <w:tcPr>
            <w:tcW w:w="992" w:type="dxa"/>
            <w:tcBorders>
              <w:top w:val="single" w:sz="16" w:space="0" w:color="000000"/>
              <w:bottom w:val="nil"/>
              <w:right w:val="single" w:sz="16" w:space="0" w:color="000000"/>
            </w:tcBorders>
            <w:shd w:val="clear" w:color="auto" w:fill="FFFFFF"/>
            <w:vAlign w:val="center"/>
          </w:tcPr>
          <w:p w14:paraId="3F9F9D3E" w14:textId="77777777" w:rsidR="000A6B75" w:rsidRPr="00B372FB" w:rsidRDefault="000A6B75"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.000</w:t>
            </w:r>
            <w:r w:rsidRPr="00B372FB">
              <w:rPr>
                <w:rFonts w:ascii="Times New Roman" w:hAnsi="Times New Roman" w:cs="Times New Roman"/>
                <w:color w:val="000000"/>
                <w:sz w:val="24"/>
                <w:szCs w:val="24"/>
                <w:vertAlign w:val="superscript"/>
              </w:rPr>
              <w:t>b</w:t>
            </w:r>
          </w:p>
        </w:tc>
      </w:tr>
      <w:tr w:rsidR="000A6B75" w:rsidRPr="00B372FB" w14:paraId="10676FE1" w14:textId="77777777" w:rsidTr="00B372F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26AE1D82" w14:textId="77777777" w:rsidR="000A6B75" w:rsidRPr="00B372FB" w:rsidRDefault="000A6B75" w:rsidP="008908E5">
            <w:pPr>
              <w:autoSpaceDE w:val="0"/>
              <w:autoSpaceDN w:val="0"/>
              <w:adjustRightInd w:val="0"/>
              <w:spacing w:after="0" w:line="240" w:lineRule="auto"/>
              <w:rPr>
                <w:rFonts w:ascii="Times New Roman" w:hAnsi="Times New Roman" w:cs="Times New Roman"/>
                <w:color w:val="000000"/>
                <w:sz w:val="24"/>
                <w:szCs w:val="24"/>
              </w:rPr>
            </w:pPr>
          </w:p>
        </w:tc>
        <w:tc>
          <w:tcPr>
            <w:tcW w:w="1292" w:type="dxa"/>
            <w:tcBorders>
              <w:top w:val="nil"/>
              <w:left w:val="nil"/>
              <w:bottom w:val="nil"/>
              <w:right w:val="single" w:sz="16" w:space="0" w:color="000000"/>
            </w:tcBorders>
            <w:shd w:val="clear" w:color="auto" w:fill="FFFFFF"/>
          </w:tcPr>
          <w:p w14:paraId="00AEBB87" w14:textId="77777777" w:rsidR="000A6B75" w:rsidRPr="00B372FB" w:rsidRDefault="000A6B75"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B372FB">
              <w:rPr>
                <w:rFonts w:ascii="Times New Roman" w:hAnsi="Times New Roman" w:cs="Times New Roman"/>
                <w:color w:val="000000"/>
                <w:sz w:val="24"/>
                <w:szCs w:val="24"/>
              </w:rPr>
              <w:t>Residual</w:t>
            </w:r>
          </w:p>
        </w:tc>
        <w:tc>
          <w:tcPr>
            <w:tcW w:w="1135" w:type="dxa"/>
            <w:tcBorders>
              <w:top w:val="nil"/>
              <w:left w:val="single" w:sz="16" w:space="0" w:color="000000"/>
              <w:bottom w:val="nil"/>
            </w:tcBorders>
            <w:shd w:val="clear" w:color="auto" w:fill="FFFFFF"/>
            <w:vAlign w:val="center"/>
          </w:tcPr>
          <w:p w14:paraId="4A5CDF77" w14:textId="77777777" w:rsidR="000A6B75" w:rsidRPr="00B372FB" w:rsidRDefault="000A6B75"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9.543</w:t>
            </w:r>
          </w:p>
        </w:tc>
        <w:tc>
          <w:tcPr>
            <w:tcW w:w="709" w:type="dxa"/>
            <w:tcBorders>
              <w:top w:val="nil"/>
              <w:bottom w:val="nil"/>
            </w:tcBorders>
            <w:shd w:val="clear" w:color="auto" w:fill="FFFFFF"/>
            <w:vAlign w:val="center"/>
          </w:tcPr>
          <w:p w14:paraId="67F5C5A0" w14:textId="77777777" w:rsidR="000A6B75" w:rsidRPr="00B372FB" w:rsidRDefault="000A6B75"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144</w:t>
            </w:r>
          </w:p>
        </w:tc>
        <w:tc>
          <w:tcPr>
            <w:tcW w:w="1417" w:type="dxa"/>
            <w:tcBorders>
              <w:top w:val="nil"/>
              <w:bottom w:val="nil"/>
            </w:tcBorders>
            <w:shd w:val="clear" w:color="auto" w:fill="FFFFFF"/>
            <w:vAlign w:val="center"/>
          </w:tcPr>
          <w:p w14:paraId="5AAB77EB" w14:textId="77777777" w:rsidR="000A6B75" w:rsidRPr="00B372FB" w:rsidRDefault="000A6B75"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.066</w:t>
            </w:r>
          </w:p>
        </w:tc>
        <w:tc>
          <w:tcPr>
            <w:tcW w:w="993" w:type="dxa"/>
            <w:tcBorders>
              <w:top w:val="nil"/>
              <w:bottom w:val="nil"/>
            </w:tcBorders>
            <w:shd w:val="clear" w:color="auto" w:fill="FFFFFF"/>
            <w:vAlign w:val="center"/>
          </w:tcPr>
          <w:p w14:paraId="7F2468AE" w14:textId="77777777" w:rsidR="000A6B75" w:rsidRPr="00B372FB" w:rsidRDefault="000A6B75" w:rsidP="008908E5">
            <w:pPr>
              <w:autoSpaceDE w:val="0"/>
              <w:autoSpaceDN w:val="0"/>
              <w:adjustRightInd w:val="0"/>
              <w:spacing w:after="0" w:line="240" w:lineRule="auto"/>
              <w:rPr>
                <w:rFonts w:ascii="Times New Roman" w:hAnsi="Times New Roman" w:cs="Times New Roman"/>
                <w:sz w:val="24"/>
                <w:szCs w:val="24"/>
              </w:rPr>
            </w:pPr>
          </w:p>
        </w:tc>
        <w:tc>
          <w:tcPr>
            <w:tcW w:w="992" w:type="dxa"/>
            <w:tcBorders>
              <w:top w:val="nil"/>
              <w:bottom w:val="nil"/>
              <w:right w:val="single" w:sz="16" w:space="0" w:color="000000"/>
            </w:tcBorders>
            <w:shd w:val="clear" w:color="auto" w:fill="FFFFFF"/>
            <w:vAlign w:val="center"/>
          </w:tcPr>
          <w:p w14:paraId="32D0D425" w14:textId="77777777" w:rsidR="000A6B75" w:rsidRPr="00B372FB" w:rsidRDefault="000A6B75" w:rsidP="008908E5">
            <w:pPr>
              <w:autoSpaceDE w:val="0"/>
              <w:autoSpaceDN w:val="0"/>
              <w:adjustRightInd w:val="0"/>
              <w:spacing w:after="0" w:line="240" w:lineRule="auto"/>
              <w:rPr>
                <w:rFonts w:ascii="Times New Roman" w:hAnsi="Times New Roman" w:cs="Times New Roman"/>
                <w:sz w:val="24"/>
                <w:szCs w:val="24"/>
              </w:rPr>
            </w:pPr>
          </w:p>
        </w:tc>
      </w:tr>
      <w:tr w:rsidR="000A6B75" w:rsidRPr="00B372FB" w14:paraId="00E6D332" w14:textId="77777777" w:rsidTr="00B372F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6B3BB572" w14:textId="77777777" w:rsidR="000A6B75" w:rsidRPr="00B372FB" w:rsidRDefault="000A6B75" w:rsidP="008908E5">
            <w:pPr>
              <w:autoSpaceDE w:val="0"/>
              <w:autoSpaceDN w:val="0"/>
              <w:adjustRightInd w:val="0"/>
              <w:spacing w:after="0" w:line="240" w:lineRule="auto"/>
              <w:rPr>
                <w:rFonts w:ascii="Times New Roman" w:hAnsi="Times New Roman" w:cs="Times New Roman"/>
                <w:sz w:val="24"/>
                <w:szCs w:val="24"/>
              </w:rPr>
            </w:pPr>
          </w:p>
        </w:tc>
        <w:tc>
          <w:tcPr>
            <w:tcW w:w="1292" w:type="dxa"/>
            <w:tcBorders>
              <w:top w:val="nil"/>
              <w:left w:val="nil"/>
              <w:bottom w:val="single" w:sz="16" w:space="0" w:color="000000"/>
              <w:right w:val="single" w:sz="16" w:space="0" w:color="000000"/>
            </w:tcBorders>
            <w:shd w:val="clear" w:color="auto" w:fill="FFFFFF"/>
          </w:tcPr>
          <w:p w14:paraId="6CACC4C8" w14:textId="77777777" w:rsidR="000A6B75" w:rsidRPr="00B372FB" w:rsidRDefault="000A6B75"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B372FB">
              <w:rPr>
                <w:rFonts w:ascii="Times New Roman" w:hAnsi="Times New Roman" w:cs="Times New Roman"/>
                <w:color w:val="000000"/>
                <w:sz w:val="24"/>
                <w:szCs w:val="24"/>
              </w:rPr>
              <w:t>Total</w:t>
            </w:r>
          </w:p>
        </w:tc>
        <w:tc>
          <w:tcPr>
            <w:tcW w:w="1135" w:type="dxa"/>
            <w:tcBorders>
              <w:top w:val="nil"/>
              <w:left w:val="single" w:sz="16" w:space="0" w:color="000000"/>
              <w:bottom w:val="single" w:sz="16" w:space="0" w:color="000000"/>
            </w:tcBorders>
            <w:shd w:val="clear" w:color="auto" w:fill="FFFFFF"/>
            <w:vAlign w:val="center"/>
          </w:tcPr>
          <w:p w14:paraId="3B061BED" w14:textId="77777777" w:rsidR="000A6B75" w:rsidRPr="00B372FB" w:rsidRDefault="000A6B75"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24.559</w:t>
            </w:r>
          </w:p>
        </w:tc>
        <w:tc>
          <w:tcPr>
            <w:tcW w:w="709" w:type="dxa"/>
            <w:tcBorders>
              <w:top w:val="nil"/>
              <w:bottom w:val="single" w:sz="16" w:space="0" w:color="000000"/>
            </w:tcBorders>
            <w:shd w:val="clear" w:color="auto" w:fill="FFFFFF"/>
            <w:vAlign w:val="center"/>
          </w:tcPr>
          <w:p w14:paraId="746A22E5" w14:textId="77777777" w:rsidR="000A6B75" w:rsidRPr="00B372FB" w:rsidRDefault="000A6B75"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372FB">
              <w:rPr>
                <w:rFonts w:ascii="Times New Roman" w:hAnsi="Times New Roman" w:cs="Times New Roman"/>
                <w:color w:val="000000"/>
                <w:sz w:val="24"/>
                <w:szCs w:val="24"/>
              </w:rPr>
              <w:t>149</w:t>
            </w:r>
          </w:p>
        </w:tc>
        <w:tc>
          <w:tcPr>
            <w:tcW w:w="1417" w:type="dxa"/>
            <w:tcBorders>
              <w:top w:val="nil"/>
              <w:bottom w:val="single" w:sz="16" w:space="0" w:color="000000"/>
            </w:tcBorders>
            <w:shd w:val="clear" w:color="auto" w:fill="FFFFFF"/>
            <w:vAlign w:val="center"/>
          </w:tcPr>
          <w:p w14:paraId="26C99631" w14:textId="77777777" w:rsidR="000A6B75" w:rsidRPr="00B372FB" w:rsidRDefault="000A6B75" w:rsidP="008908E5">
            <w:pPr>
              <w:autoSpaceDE w:val="0"/>
              <w:autoSpaceDN w:val="0"/>
              <w:adjustRightInd w:val="0"/>
              <w:spacing w:after="0" w:line="240" w:lineRule="auto"/>
              <w:rPr>
                <w:rFonts w:ascii="Times New Roman" w:hAnsi="Times New Roman" w:cs="Times New Roman"/>
                <w:sz w:val="24"/>
                <w:szCs w:val="24"/>
              </w:rPr>
            </w:pPr>
          </w:p>
        </w:tc>
        <w:tc>
          <w:tcPr>
            <w:tcW w:w="993" w:type="dxa"/>
            <w:tcBorders>
              <w:top w:val="nil"/>
              <w:bottom w:val="single" w:sz="16" w:space="0" w:color="000000"/>
            </w:tcBorders>
            <w:shd w:val="clear" w:color="auto" w:fill="FFFFFF"/>
            <w:vAlign w:val="center"/>
          </w:tcPr>
          <w:p w14:paraId="1E9397F7" w14:textId="77777777" w:rsidR="000A6B75" w:rsidRPr="00B372FB" w:rsidRDefault="000A6B75" w:rsidP="008908E5">
            <w:pPr>
              <w:autoSpaceDE w:val="0"/>
              <w:autoSpaceDN w:val="0"/>
              <w:adjustRightInd w:val="0"/>
              <w:spacing w:after="0" w:line="240" w:lineRule="auto"/>
              <w:rPr>
                <w:rFonts w:ascii="Times New Roman" w:hAnsi="Times New Roman" w:cs="Times New Roman"/>
                <w:sz w:val="24"/>
                <w:szCs w:val="24"/>
              </w:rPr>
            </w:pPr>
          </w:p>
        </w:tc>
        <w:tc>
          <w:tcPr>
            <w:tcW w:w="992" w:type="dxa"/>
            <w:tcBorders>
              <w:top w:val="nil"/>
              <w:bottom w:val="single" w:sz="16" w:space="0" w:color="000000"/>
              <w:right w:val="single" w:sz="16" w:space="0" w:color="000000"/>
            </w:tcBorders>
            <w:shd w:val="clear" w:color="auto" w:fill="FFFFFF"/>
            <w:vAlign w:val="center"/>
          </w:tcPr>
          <w:p w14:paraId="1F39A11F" w14:textId="77777777" w:rsidR="000A6B75" w:rsidRPr="00B372FB" w:rsidRDefault="000A6B75" w:rsidP="008908E5">
            <w:pPr>
              <w:autoSpaceDE w:val="0"/>
              <w:autoSpaceDN w:val="0"/>
              <w:adjustRightInd w:val="0"/>
              <w:spacing w:after="0" w:line="240" w:lineRule="auto"/>
              <w:rPr>
                <w:rFonts w:ascii="Times New Roman" w:hAnsi="Times New Roman" w:cs="Times New Roman"/>
                <w:sz w:val="24"/>
                <w:szCs w:val="24"/>
              </w:rPr>
            </w:pPr>
          </w:p>
        </w:tc>
      </w:tr>
      <w:tr w:rsidR="000A6B75" w:rsidRPr="00B372FB" w14:paraId="7A87D6FC" w14:textId="77777777" w:rsidTr="00B372FB">
        <w:trPr>
          <w:cantSplit/>
        </w:trPr>
        <w:tc>
          <w:tcPr>
            <w:tcW w:w="7274" w:type="dxa"/>
            <w:gridSpan w:val="7"/>
            <w:tcBorders>
              <w:top w:val="nil"/>
              <w:left w:val="nil"/>
              <w:bottom w:val="nil"/>
              <w:right w:val="nil"/>
            </w:tcBorders>
            <w:shd w:val="clear" w:color="auto" w:fill="FFFFFF"/>
          </w:tcPr>
          <w:p w14:paraId="3240C9BB" w14:textId="77777777" w:rsidR="000A6B75" w:rsidRPr="00B372FB" w:rsidRDefault="000A6B75" w:rsidP="00B372FB">
            <w:pPr>
              <w:autoSpaceDE w:val="0"/>
              <w:autoSpaceDN w:val="0"/>
              <w:adjustRightInd w:val="0"/>
              <w:spacing w:after="0" w:line="360" w:lineRule="auto"/>
              <w:ind w:left="60" w:right="60"/>
              <w:rPr>
                <w:rFonts w:ascii="Times New Roman" w:hAnsi="Times New Roman" w:cs="Times New Roman"/>
                <w:color w:val="000000"/>
                <w:sz w:val="24"/>
                <w:szCs w:val="24"/>
              </w:rPr>
            </w:pPr>
            <w:r w:rsidRPr="00B372FB">
              <w:rPr>
                <w:rFonts w:ascii="Times New Roman" w:hAnsi="Times New Roman" w:cs="Times New Roman"/>
                <w:color w:val="000000"/>
                <w:sz w:val="24"/>
                <w:szCs w:val="24"/>
              </w:rPr>
              <w:t>a. Dependent Variable: CAR</w:t>
            </w:r>
          </w:p>
        </w:tc>
      </w:tr>
      <w:tr w:rsidR="000A6B75" w:rsidRPr="00B372FB" w14:paraId="2B447AA4" w14:textId="77777777" w:rsidTr="00B372FB">
        <w:trPr>
          <w:cantSplit/>
        </w:trPr>
        <w:tc>
          <w:tcPr>
            <w:tcW w:w="7274" w:type="dxa"/>
            <w:gridSpan w:val="7"/>
            <w:tcBorders>
              <w:top w:val="nil"/>
              <w:left w:val="nil"/>
              <w:bottom w:val="nil"/>
              <w:right w:val="nil"/>
            </w:tcBorders>
            <w:shd w:val="clear" w:color="auto" w:fill="FFFFFF"/>
          </w:tcPr>
          <w:p w14:paraId="484F74E6" w14:textId="77777777" w:rsidR="000A6B75" w:rsidRPr="00B372FB" w:rsidRDefault="000A6B75" w:rsidP="00B372FB">
            <w:pPr>
              <w:autoSpaceDE w:val="0"/>
              <w:autoSpaceDN w:val="0"/>
              <w:adjustRightInd w:val="0"/>
              <w:spacing w:after="0" w:line="360" w:lineRule="auto"/>
              <w:ind w:left="60" w:right="60"/>
              <w:rPr>
                <w:rFonts w:ascii="Times New Roman" w:hAnsi="Times New Roman" w:cs="Times New Roman"/>
                <w:color w:val="000000"/>
                <w:sz w:val="24"/>
                <w:szCs w:val="24"/>
              </w:rPr>
            </w:pPr>
            <w:r w:rsidRPr="00B372FB">
              <w:rPr>
                <w:rFonts w:ascii="Times New Roman" w:hAnsi="Times New Roman" w:cs="Times New Roman"/>
                <w:color w:val="000000"/>
                <w:sz w:val="24"/>
                <w:szCs w:val="24"/>
              </w:rPr>
              <w:t>b. Predictors: (Constant), DER, BOPO, PDN, NPL, ROA</w:t>
            </w:r>
          </w:p>
        </w:tc>
      </w:tr>
    </w:tbl>
    <w:p w14:paraId="3808CA7B" w14:textId="2CB98E5A" w:rsidR="000A6B75" w:rsidRPr="00B372FB" w:rsidRDefault="00B372FB" w:rsidP="00B372FB">
      <w:pPr>
        <w:spacing w:line="360" w:lineRule="auto"/>
        <w:ind w:left="1560"/>
        <w:jc w:val="both"/>
        <w:rPr>
          <w:rFonts w:ascii="Times New Roman" w:hAnsi="Times New Roman" w:cs="Times New Roman"/>
          <w:sz w:val="24"/>
          <w:szCs w:val="24"/>
        </w:rPr>
      </w:pPr>
      <w:r w:rsidRPr="00B372FB">
        <w:rPr>
          <w:rFonts w:ascii="Times New Roman" w:hAnsi="Times New Roman" w:cs="Times New Roman"/>
          <w:sz w:val="24"/>
          <w:szCs w:val="24"/>
        </w:rPr>
        <w:t>Sumber : Output SPSS 22, data yang diolah (2024)</w:t>
      </w:r>
    </w:p>
    <w:p w14:paraId="300EDBE3" w14:textId="5BA2E3D8" w:rsidR="00B372FB" w:rsidRDefault="000A6B75" w:rsidP="002E099F">
      <w:pPr>
        <w:spacing w:line="480" w:lineRule="auto"/>
        <w:ind w:left="1560" w:firstLine="60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w:t>
      </w:r>
      <w:r w:rsidR="00BB4C2C">
        <w:rPr>
          <w:rFonts w:ascii="Times New Roman" w:hAnsi="Times New Roman" w:cs="Times New Roman"/>
          <w:sz w:val="24"/>
          <w:szCs w:val="24"/>
        </w:rPr>
        <w:t>menunjukkan</w:t>
      </w:r>
      <w:r>
        <w:rPr>
          <w:rFonts w:ascii="Times New Roman" w:hAnsi="Times New Roman" w:cs="Times New Roman"/>
          <w:sz w:val="24"/>
          <w:szCs w:val="24"/>
        </w:rPr>
        <w:t xml:space="preserve"> bahwasannya hasil uji simultan Ftabel dihitung dari taraf sig (α) 0,05 dan df (n)-k</w:t>
      </w:r>
      <w:r w:rsidR="00434E22">
        <w:rPr>
          <w:rFonts w:ascii="Times New Roman" w:hAnsi="Times New Roman" w:cs="Times New Roman"/>
          <w:sz w:val="24"/>
          <w:szCs w:val="24"/>
        </w:rPr>
        <w:t>-1, df(n) adalah jumlah data, k adalah jumlah variabel independent berarti 150-5-1 +144, jadi nilai F</w:t>
      </w:r>
      <w:r w:rsidR="00434E22" w:rsidRPr="00434E22">
        <w:rPr>
          <w:rFonts w:ascii="Times New Roman" w:hAnsi="Times New Roman" w:cs="Times New Roman"/>
          <w:sz w:val="24"/>
          <w:szCs w:val="24"/>
          <w:vertAlign w:val="subscript"/>
        </w:rPr>
        <w:t>tabel</w:t>
      </w:r>
      <w:r w:rsidR="00434E22">
        <w:rPr>
          <w:rFonts w:ascii="Times New Roman" w:hAnsi="Times New Roman" w:cs="Times New Roman"/>
          <w:sz w:val="24"/>
          <w:szCs w:val="24"/>
        </w:rPr>
        <w:t xml:space="preserve"> 144 = 2,28. Hasil kelayakan model diperoleh nilai signifikansinya 0,00</w:t>
      </w:r>
      <w:r w:rsidR="00CD394F">
        <w:rPr>
          <w:rFonts w:ascii="Times New Roman" w:hAnsi="Times New Roman" w:cs="Times New Roman"/>
          <w:sz w:val="24"/>
          <w:szCs w:val="24"/>
        </w:rPr>
        <w:t>0</w:t>
      </w:r>
      <w:r w:rsidR="00434E22">
        <w:rPr>
          <w:rFonts w:ascii="Times New Roman" w:hAnsi="Times New Roman" w:cs="Times New Roman"/>
          <w:sz w:val="24"/>
          <w:szCs w:val="24"/>
        </w:rPr>
        <w:t xml:space="preserve"> &lt; 0,05 dan nilai F</w:t>
      </w:r>
      <w:r w:rsidR="00434E22" w:rsidRPr="00434E22">
        <w:rPr>
          <w:rFonts w:ascii="Times New Roman" w:hAnsi="Times New Roman" w:cs="Times New Roman"/>
          <w:sz w:val="24"/>
          <w:szCs w:val="24"/>
          <w:vertAlign w:val="subscript"/>
        </w:rPr>
        <w:t>hitung</w:t>
      </w:r>
      <w:r w:rsidR="00434E22">
        <w:rPr>
          <w:rFonts w:ascii="Times New Roman" w:hAnsi="Times New Roman" w:cs="Times New Roman"/>
          <w:sz w:val="24"/>
          <w:szCs w:val="24"/>
        </w:rPr>
        <w:t xml:space="preserve"> 45.314 &gt; F</w:t>
      </w:r>
      <w:r w:rsidR="00434E22" w:rsidRPr="00434E22">
        <w:rPr>
          <w:rFonts w:ascii="Times New Roman" w:hAnsi="Times New Roman" w:cs="Times New Roman"/>
          <w:sz w:val="24"/>
          <w:szCs w:val="24"/>
          <w:vertAlign w:val="subscript"/>
        </w:rPr>
        <w:t>tabel</w:t>
      </w:r>
      <w:r w:rsidR="00434E22">
        <w:rPr>
          <w:rFonts w:ascii="Times New Roman" w:hAnsi="Times New Roman" w:cs="Times New Roman"/>
          <w:sz w:val="24"/>
          <w:szCs w:val="24"/>
        </w:rPr>
        <w:t xml:space="preserve"> 2,28 maka dapat disimpulkan bahwa model regresi pada penelitian ini sudah layak digunakan. Pengujian hipotesis </w:t>
      </w:r>
      <w:r w:rsidR="00BB4C2C">
        <w:rPr>
          <w:rFonts w:ascii="Times New Roman" w:hAnsi="Times New Roman" w:cs="Times New Roman"/>
          <w:sz w:val="24"/>
          <w:szCs w:val="24"/>
        </w:rPr>
        <w:t>menunjukkan</w:t>
      </w:r>
      <w:r w:rsidR="00434E22">
        <w:rPr>
          <w:rFonts w:ascii="Times New Roman" w:hAnsi="Times New Roman" w:cs="Times New Roman"/>
          <w:sz w:val="24"/>
          <w:szCs w:val="24"/>
        </w:rPr>
        <w:t xml:space="preserve"> bahwa hipotesis diterima, sehingga semua variabel independent secara simultan memiliki pengaruh terhadap variabel independent.</w:t>
      </w:r>
    </w:p>
    <w:p w14:paraId="55CFC233" w14:textId="292980B4" w:rsidR="00524202" w:rsidRPr="004D1BDD" w:rsidRDefault="00524202" w:rsidP="00095897">
      <w:pPr>
        <w:pStyle w:val="ListParagraph"/>
        <w:numPr>
          <w:ilvl w:val="0"/>
          <w:numId w:val="95"/>
        </w:numPr>
        <w:spacing w:line="480" w:lineRule="auto"/>
        <w:ind w:left="1134"/>
        <w:jc w:val="both"/>
        <w:rPr>
          <w:rFonts w:ascii="Times New Roman" w:hAnsi="Times New Roman" w:cs="Times New Roman"/>
          <w:b/>
          <w:bCs/>
          <w:sz w:val="24"/>
          <w:szCs w:val="24"/>
          <w:lang w:val="nl-NL"/>
        </w:rPr>
      </w:pPr>
      <w:r w:rsidRPr="004D1BDD">
        <w:rPr>
          <w:rFonts w:ascii="Times New Roman" w:hAnsi="Times New Roman" w:cs="Times New Roman"/>
          <w:b/>
          <w:bCs/>
          <w:sz w:val="24"/>
          <w:szCs w:val="24"/>
          <w:lang w:val="nl-NL"/>
        </w:rPr>
        <w:t>Analisis Koefisien Determinasi (Uji R)</w:t>
      </w:r>
    </w:p>
    <w:p w14:paraId="79CEEDBA" w14:textId="22547160" w:rsidR="002F5693" w:rsidRPr="00C46A01" w:rsidRDefault="002F5693" w:rsidP="00524202">
      <w:pPr>
        <w:pStyle w:val="ListParagraph"/>
        <w:spacing w:line="480" w:lineRule="auto"/>
        <w:ind w:left="1134" w:firstLine="589"/>
        <w:jc w:val="both"/>
        <w:rPr>
          <w:rFonts w:ascii="Times New Roman" w:hAnsi="Times New Roman" w:cs="Times New Roman"/>
          <w:sz w:val="24"/>
          <w:szCs w:val="24"/>
        </w:rPr>
      </w:pPr>
      <w:r w:rsidRPr="00C46A01">
        <w:rPr>
          <w:rFonts w:ascii="Times New Roman" w:hAnsi="Times New Roman" w:cs="Times New Roman"/>
          <w:sz w:val="24"/>
          <w:szCs w:val="24"/>
        </w:rPr>
        <w:t xml:space="preserve">Koefisien determinasi digunakan untuk menjelaskan besarnya kontribusi atau variabel independen  </w:t>
      </w:r>
      <w:r w:rsidRPr="00C46A01">
        <w:rPr>
          <w:rFonts w:ascii="Times New Roman" w:hAnsi="Times New Roman" w:cs="Times New Roman"/>
          <w:i/>
          <w:iCs/>
          <w:sz w:val="24"/>
          <w:szCs w:val="24"/>
        </w:rPr>
        <w:t>Non Performing Loan</w:t>
      </w:r>
      <w:r w:rsidRPr="00C46A01">
        <w:rPr>
          <w:rFonts w:ascii="Times New Roman" w:hAnsi="Times New Roman" w:cs="Times New Roman"/>
          <w:sz w:val="24"/>
          <w:szCs w:val="24"/>
        </w:rPr>
        <w:t xml:space="preserve"> (NPL), </w:t>
      </w:r>
      <w:r w:rsidRPr="00C46A01">
        <w:rPr>
          <w:rFonts w:ascii="Times New Roman" w:hAnsi="Times New Roman" w:cs="Times New Roman"/>
          <w:i/>
          <w:iCs/>
          <w:sz w:val="24"/>
          <w:szCs w:val="24"/>
        </w:rPr>
        <w:t xml:space="preserve">Return on Aset </w:t>
      </w:r>
      <w:r w:rsidRPr="00C46A01">
        <w:rPr>
          <w:rFonts w:ascii="Times New Roman" w:hAnsi="Times New Roman" w:cs="Times New Roman"/>
          <w:sz w:val="24"/>
          <w:szCs w:val="24"/>
        </w:rPr>
        <w:t xml:space="preserve">(ROA), </w:t>
      </w:r>
      <w:r w:rsidR="00524202" w:rsidRPr="00C46A01">
        <w:rPr>
          <w:rFonts w:ascii="Times New Roman" w:hAnsi="Times New Roman" w:cs="Times New Roman"/>
          <w:sz w:val="24"/>
          <w:szCs w:val="24"/>
        </w:rPr>
        <w:t xml:space="preserve">Posisi Devisa Neto (PDN), </w:t>
      </w:r>
      <w:r w:rsidRPr="00C46A01">
        <w:rPr>
          <w:rFonts w:ascii="Times New Roman" w:hAnsi="Times New Roman" w:cs="Times New Roman"/>
          <w:iCs/>
          <w:sz w:val="24"/>
          <w:szCs w:val="24"/>
        </w:rPr>
        <w:t>Biaya Operasional Pendpatan Operasional</w:t>
      </w:r>
      <w:r w:rsidRPr="00C46A01">
        <w:rPr>
          <w:rFonts w:ascii="Times New Roman" w:hAnsi="Times New Roman" w:cs="Times New Roman"/>
          <w:i/>
          <w:sz w:val="24"/>
          <w:szCs w:val="24"/>
        </w:rPr>
        <w:t xml:space="preserve"> </w:t>
      </w:r>
      <w:r w:rsidRPr="00C46A01">
        <w:rPr>
          <w:rFonts w:ascii="Times New Roman" w:hAnsi="Times New Roman" w:cs="Times New Roman"/>
          <w:sz w:val="24"/>
          <w:szCs w:val="24"/>
        </w:rPr>
        <w:t xml:space="preserve">(BOPO), </w:t>
      </w:r>
      <w:r w:rsidRPr="00C46A01">
        <w:rPr>
          <w:rFonts w:ascii="Times New Roman" w:hAnsi="Times New Roman" w:cs="Times New Roman"/>
          <w:i/>
          <w:sz w:val="24"/>
          <w:szCs w:val="24"/>
        </w:rPr>
        <w:t>Debt to Equity Ratio (DER</w:t>
      </w:r>
      <w:r w:rsidRPr="00C46A01">
        <w:rPr>
          <w:rFonts w:ascii="Times New Roman" w:hAnsi="Times New Roman" w:cs="Times New Roman"/>
          <w:sz w:val="24"/>
          <w:szCs w:val="24"/>
        </w:rPr>
        <w:t xml:space="preserve">) terhadap variabel dependen </w:t>
      </w:r>
      <w:r w:rsidRPr="00C46A01">
        <w:rPr>
          <w:rFonts w:ascii="Times New Roman" w:hAnsi="Times New Roman" w:cs="Times New Roman"/>
          <w:i/>
          <w:iCs/>
          <w:sz w:val="24"/>
          <w:szCs w:val="24"/>
        </w:rPr>
        <w:t>Capital Adequacy Ratio</w:t>
      </w:r>
      <w:r w:rsidRPr="00C46A01">
        <w:rPr>
          <w:rFonts w:ascii="Times New Roman" w:hAnsi="Times New Roman" w:cs="Times New Roman"/>
          <w:sz w:val="24"/>
          <w:szCs w:val="24"/>
        </w:rPr>
        <w:t xml:space="preserve"> (CAR). Besar koefisien determinasi dilihat dari nilai adjusted R-Square (R2) pada koefisien regresinya.</w:t>
      </w:r>
    </w:p>
    <w:p w14:paraId="02E9B354" w14:textId="18EF782A" w:rsidR="001939BC" w:rsidRPr="001939BC" w:rsidRDefault="001939BC" w:rsidP="001939BC">
      <w:pPr>
        <w:pStyle w:val="Caption"/>
        <w:keepNext/>
        <w:spacing w:after="0" w:line="276" w:lineRule="auto"/>
        <w:ind w:left="851"/>
        <w:jc w:val="center"/>
        <w:rPr>
          <w:rFonts w:ascii="Times New Roman" w:hAnsi="Times New Roman" w:cs="Times New Roman"/>
          <w:i w:val="0"/>
          <w:iCs w:val="0"/>
          <w:color w:val="auto"/>
          <w:sz w:val="24"/>
          <w:szCs w:val="24"/>
        </w:rPr>
      </w:pPr>
      <w:bookmarkStart w:id="20" w:name="_Toc167784731"/>
      <w:r w:rsidRPr="001939BC">
        <w:rPr>
          <w:rFonts w:ascii="Times New Roman" w:hAnsi="Times New Roman" w:cs="Times New Roman"/>
          <w:i w:val="0"/>
          <w:iCs w:val="0"/>
          <w:color w:val="auto"/>
          <w:sz w:val="24"/>
          <w:szCs w:val="24"/>
        </w:rPr>
        <w:t xml:space="preserve">Tabel </w:t>
      </w:r>
      <w:r w:rsidRPr="001939BC">
        <w:rPr>
          <w:rFonts w:ascii="Times New Roman" w:hAnsi="Times New Roman" w:cs="Times New Roman"/>
          <w:i w:val="0"/>
          <w:iCs w:val="0"/>
          <w:color w:val="auto"/>
          <w:sz w:val="24"/>
          <w:szCs w:val="24"/>
        </w:rPr>
        <w:fldChar w:fldCharType="begin"/>
      </w:r>
      <w:r w:rsidRPr="001939BC">
        <w:rPr>
          <w:rFonts w:ascii="Times New Roman" w:hAnsi="Times New Roman" w:cs="Times New Roman"/>
          <w:i w:val="0"/>
          <w:iCs w:val="0"/>
          <w:color w:val="auto"/>
          <w:sz w:val="24"/>
          <w:szCs w:val="24"/>
        </w:rPr>
        <w:instrText xml:space="preserve"> SEQ Tabel \* ARABIC </w:instrText>
      </w:r>
      <w:r w:rsidRPr="001939BC">
        <w:rPr>
          <w:rFonts w:ascii="Times New Roman" w:hAnsi="Times New Roman" w:cs="Times New Roman"/>
          <w:i w:val="0"/>
          <w:iCs w:val="0"/>
          <w:color w:val="auto"/>
          <w:sz w:val="24"/>
          <w:szCs w:val="24"/>
        </w:rPr>
        <w:fldChar w:fldCharType="separate"/>
      </w:r>
      <w:r w:rsidR="00383519">
        <w:rPr>
          <w:rFonts w:ascii="Times New Roman" w:hAnsi="Times New Roman" w:cs="Times New Roman"/>
          <w:i w:val="0"/>
          <w:iCs w:val="0"/>
          <w:noProof/>
          <w:color w:val="auto"/>
          <w:sz w:val="24"/>
          <w:szCs w:val="24"/>
        </w:rPr>
        <w:t>14</w:t>
      </w:r>
      <w:bookmarkEnd w:id="20"/>
      <w:r w:rsidRPr="001939BC">
        <w:rPr>
          <w:rFonts w:ascii="Times New Roman" w:hAnsi="Times New Roman" w:cs="Times New Roman"/>
          <w:i w:val="0"/>
          <w:iCs w:val="0"/>
          <w:color w:val="auto"/>
          <w:sz w:val="24"/>
          <w:szCs w:val="24"/>
        </w:rPr>
        <w:fldChar w:fldCharType="end"/>
      </w:r>
      <w:r w:rsidRPr="001939BC">
        <w:rPr>
          <w:rFonts w:ascii="Times New Roman" w:hAnsi="Times New Roman" w:cs="Times New Roman"/>
          <w:i w:val="0"/>
          <w:iCs w:val="0"/>
          <w:color w:val="auto"/>
          <w:sz w:val="24"/>
          <w:szCs w:val="24"/>
        </w:rPr>
        <w:t xml:space="preserve"> </w:t>
      </w:r>
    </w:p>
    <w:p w14:paraId="28EDC02E" w14:textId="72C55397" w:rsidR="002E099F" w:rsidRPr="002E099F" w:rsidRDefault="001939BC" w:rsidP="001939BC">
      <w:pPr>
        <w:pStyle w:val="Caption"/>
        <w:keepNext/>
        <w:spacing w:after="0" w:line="276" w:lineRule="auto"/>
        <w:ind w:left="851"/>
        <w:jc w:val="center"/>
        <w:rPr>
          <w:rFonts w:ascii="Times New Roman" w:hAnsi="Times New Roman" w:cs="Times New Roman"/>
          <w:i w:val="0"/>
          <w:iCs w:val="0"/>
          <w:color w:val="auto"/>
          <w:sz w:val="24"/>
          <w:szCs w:val="24"/>
        </w:rPr>
      </w:pPr>
      <w:r w:rsidRPr="001939BC">
        <w:rPr>
          <w:rFonts w:ascii="Times New Roman" w:hAnsi="Times New Roman" w:cs="Times New Roman"/>
          <w:i w:val="0"/>
          <w:iCs w:val="0"/>
          <w:color w:val="auto"/>
          <w:sz w:val="24"/>
          <w:szCs w:val="24"/>
        </w:rPr>
        <w:t>Uji Koefisien Determinasi (R2)</w:t>
      </w:r>
    </w:p>
    <w:tbl>
      <w:tblPr>
        <w:tblW w:w="5872" w:type="dxa"/>
        <w:tblInd w:w="18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592B24" w:rsidRPr="0047515A" w14:paraId="33080BA0" w14:textId="77777777" w:rsidTr="00592B24">
        <w:trPr>
          <w:cantSplit/>
        </w:trPr>
        <w:tc>
          <w:tcPr>
            <w:tcW w:w="5872" w:type="dxa"/>
            <w:gridSpan w:val="5"/>
            <w:tcBorders>
              <w:top w:val="nil"/>
              <w:left w:val="nil"/>
              <w:bottom w:val="nil"/>
              <w:right w:val="nil"/>
            </w:tcBorders>
            <w:shd w:val="clear" w:color="auto" w:fill="FFFFFF"/>
            <w:vAlign w:val="center"/>
          </w:tcPr>
          <w:p w14:paraId="5359B1D5" w14:textId="77777777" w:rsidR="00592B24" w:rsidRPr="0047515A" w:rsidRDefault="00592B24"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7515A">
              <w:rPr>
                <w:rFonts w:ascii="Times New Roman" w:hAnsi="Times New Roman" w:cs="Times New Roman"/>
                <w:b/>
                <w:bCs/>
                <w:color w:val="000000"/>
                <w:sz w:val="24"/>
                <w:szCs w:val="24"/>
              </w:rPr>
              <w:t>Model Summary</w:t>
            </w:r>
          </w:p>
        </w:tc>
      </w:tr>
      <w:tr w:rsidR="00592B24" w:rsidRPr="0047515A" w14:paraId="7E60421E" w14:textId="77777777" w:rsidTr="00592B24">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6B2CB65" w14:textId="77777777" w:rsidR="00592B24" w:rsidRPr="0047515A" w:rsidRDefault="00592B24"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47515A">
              <w:rPr>
                <w:rFonts w:ascii="Times New Roman" w:hAnsi="Times New Roman" w:cs="Times New Roman"/>
                <w:color w:val="000000"/>
                <w:sz w:val="24"/>
                <w:szCs w:val="24"/>
              </w:rPr>
              <w:t>Model</w:t>
            </w:r>
          </w:p>
        </w:tc>
        <w:tc>
          <w:tcPr>
            <w:tcW w:w="1030" w:type="dxa"/>
            <w:tcBorders>
              <w:top w:val="single" w:sz="16" w:space="0" w:color="000000"/>
              <w:left w:val="single" w:sz="16" w:space="0" w:color="000000"/>
              <w:bottom w:val="single" w:sz="16" w:space="0" w:color="000000"/>
            </w:tcBorders>
            <w:shd w:val="clear" w:color="auto" w:fill="FFFFFF"/>
            <w:vAlign w:val="bottom"/>
          </w:tcPr>
          <w:p w14:paraId="2431CC77" w14:textId="77777777" w:rsidR="00592B24" w:rsidRPr="0047515A" w:rsidRDefault="00592B24"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7515A">
              <w:rPr>
                <w:rFonts w:ascii="Times New Roman" w:hAnsi="Times New Roman" w:cs="Times New Roman"/>
                <w:color w:val="000000"/>
                <w:sz w:val="24"/>
                <w:szCs w:val="24"/>
              </w:rPr>
              <w:t>R</w:t>
            </w:r>
          </w:p>
        </w:tc>
        <w:tc>
          <w:tcPr>
            <w:tcW w:w="1092" w:type="dxa"/>
            <w:tcBorders>
              <w:top w:val="single" w:sz="16" w:space="0" w:color="000000"/>
              <w:bottom w:val="single" w:sz="16" w:space="0" w:color="000000"/>
            </w:tcBorders>
            <w:shd w:val="clear" w:color="auto" w:fill="FFFFFF"/>
            <w:vAlign w:val="bottom"/>
          </w:tcPr>
          <w:p w14:paraId="257DC4DA" w14:textId="77777777" w:rsidR="00592B24" w:rsidRPr="0047515A" w:rsidRDefault="00592B24"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7515A">
              <w:rPr>
                <w:rFonts w:ascii="Times New Roman" w:hAnsi="Times New Roman" w:cs="Times New Roman"/>
                <w:color w:val="000000"/>
                <w:sz w:val="24"/>
                <w:szCs w:val="24"/>
              </w:rPr>
              <w:t>R Square</w:t>
            </w:r>
          </w:p>
        </w:tc>
        <w:tc>
          <w:tcPr>
            <w:tcW w:w="1476" w:type="dxa"/>
            <w:tcBorders>
              <w:top w:val="single" w:sz="16" w:space="0" w:color="000000"/>
              <w:bottom w:val="single" w:sz="16" w:space="0" w:color="000000"/>
            </w:tcBorders>
            <w:shd w:val="clear" w:color="auto" w:fill="FFFFFF"/>
            <w:vAlign w:val="bottom"/>
          </w:tcPr>
          <w:p w14:paraId="64F5ADF1" w14:textId="77777777" w:rsidR="00592B24" w:rsidRPr="0047515A" w:rsidRDefault="00592B24"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7515A">
              <w:rPr>
                <w:rFonts w:ascii="Times New Roman" w:hAnsi="Times New Roman" w:cs="Times New Roman"/>
                <w:color w:val="000000"/>
                <w:sz w:val="24"/>
                <w:szCs w:val="24"/>
              </w:rPr>
              <w:t>Adjusted R Square</w:t>
            </w:r>
          </w:p>
        </w:tc>
        <w:tc>
          <w:tcPr>
            <w:tcW w:w="1476" w:type="dxa"/>
            <w:tcBorders>
              <w:top w:val="single" w:sz="16" w:space="0" w:color="000000"/>
              <w:bottom w:val="single" w:sz="16" w:space="0" w:color="000000"/>
              <w:right w:val="single" w:sz="16" w:space="0" w:color="000000"/>
            </w:tcBorders>
            <w:shd w:val="clear" w:color="auto" w:fill="FFFFFF"/>
            <w:vAlign w:val="bottom"/>
          </w:tcPr>
          <w:p w14:paraId="401EF315" w14:textId="77777777" w:rsidR="00592B24" w:rsidRPr="0047515A" w:rsidRDefault="00592B24" w:rsidP="008908E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7515A">
              <w:rPr>
                <w:rFonts w:ascii="Times New Roman" w:hAnsi="Times New Roman" w:cs="Times New Roman"/>
                <w:color w:val="000000"/>
                <w:sz w:val="24"/>
                <w:szCs w:val="24"/>
              </w:rPr>
              <w:t>Std. Error of the Estimate</w:t>
            </w:r>
          </w:p>
        </w:tc>
      </w:tr>
      <w:tr w:rsidR="00592B24" w:rsidRPr="0047515A" w14:paraId="1622C0E1" w14:textId="77777777" w:rsidTr="00592B24">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4DD582C4" w14:textId="77777777" w:rsidR="00592B24" w:rsidRPr="0047515A" w:rsidRDefault="00592B24"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47515A">
              <w:rPr>
                <w:rFonts w:ascii="Times New Roman" w:hAnsi="Times New Roman" w:cs="Times New Roman"/>
                <w:color w:val="000000"/>
                <w:sz w:val="24"/>
                <w:szCs w:val="24"/>
              </w:rPr>
              <w:t>1</w:t>
            </w:r>
          </w:p>
        </w:tc>
        <w:tc>
          <w:tcPr>
            <w:tcW w:w="1030" w:type="dxa"/>
            <w:tcBorders>
              <w:top w:val="single" w:sz="16" w:space="0" w:color="000000"/>
              <w:left w:val="single" w:sz="16" w:space="0" w:color="000000"/>
              <w:bottom w:val="single" w:sz="16" w:space="0" w:color="000000"/>
            </w:tcBorders>
            <w:shd w:val="clear" w:color="auto" w:fill="FFFFFF"/>
            <w:vAlign w:val="center"/>
          </w:tcPr>
          <w:p w14:paraId="13067B70" w14:textId="77777777" w:rsidR="00592B24" w:rsidRPr="0047515A" w:rsidRDefault="00592B24"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7515A">
              <w:rPr>
                <w:rFonts w:ascii="Times New Roman" w:hAnsi="Times New Roman" w:cs="Times New Roman"/>
                <w:color w:val="000000"/>
                <w:sz w:val="24"/>
                <w:szCs w:val="24"/>
              </w:rPr>
              <w:t>.782</w:t>
            </w:r>
            <w:r w:rsidRPr="0047515A">
              <w:rPr>
                <w:rFonts w:ascii="Times New Roman" w:hAnsi="Times New Roman" w:cs="Times New Roman"/>
                <w:color w:val="000000"/>
                <w:sz w:val="24"/>
                <w:szCs w:val="24"/>
                <w:vertAlign w:val="superscript"/>
              </w:rPr>
              <w:t>a</w:t>
            </w:r>
          </w:p>
        </w:tc>
        <w:tc>
          <w:tcPr>
            <w:tcW w:w="1092" w:type="dxa"/>
            <w:tcBorders>
              <w:top w:val="single" w:sz="16" w:space="0" w:color="000000"/>
              <w:bottom w:val="single" w:sz="16" w:space="0" w:color="000000"/>
            </w:tcBorders>
            <w:shd w:val="clear" w:color="auto" w:fill="FFFFFF"/>
            <w:vAlign w:val="center"/>
          </w:tcPr>
          <w:p w14:paraId="7ABA302E" w14:textId="77777777" w:rsidR="00592B24" w:rsidRPr="0047515A" w:rsidRDefault="00592B24"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7515A">
              <w:rPr>
                <w:rFonts w:ascii="Times New Roman" w:hAnsi="Times New Roman" w:cs="Times New Roman"/>
                <w:color w:val="000000"/>
                <w:sz w:val="24"/>
                <w:szCs w:val="24"/>
              </w:rPr>
              <w:t>.611</w:t>
            </w:r>
          </w:p>
        </w:tc>
        <w:tc>
          <w:tcPr>
            <w:tcW w:w="1476" w:type="dxa"/>
            <w:tcBorders>
              <w:top w:val="single" w:sz="16" w:space="0" w:color="000000"/>
              <w:bottom w:val="single" w:sz="16" w:space="0" w:color="000000"/>
            </w:tcBorders>
            <w:shd w:val="clear" w:color="auto" w:fill="FFFFFF"/>
            <w:vAlign w:val="center"/>
          </w:tcPr>
          <w:p w14:paraId="53D75344" w14:textId="77777777" w:rsidR="00592B24" w:rsidRPr="0047515A" w:rsidRDefault="00592B24"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7515A">
              <w:rPr>
                <w:rFonts w:ascii="Times New Roman" w:hAnsi="Times New Roman" w:cs="Times New Roman"/>
                <w:color w:val="000000"/>
                <w:sz w:val="24"/>
                <w:szCs w:val="24"/>
              </w:rPr>
              <w:t>.598</w:t>
            </w:r>
          </w:p>
        </w:tc>
        <w:tc>
          <w:tcPr>
            <w:tcW w:w="1476" w:type="dxa"/>
            <w:tcBorders>
              <w:top w:val="single" w:sz="16" w:space="0" w:color="000000"/>
              <w:bottom w:val="single" w:sz="16" w:space="0" w:color="000000"/>
              <w:right w:val="single" w:sz="16" w:space="0" w:color="000000"/>
            </w:tcBorders>
            <w:shd w:val="clear" w:color="auto" w:fill="FFFFFF"/>
            <w:vAlign w:val="center"/>
          </w:tcPr>
          <w:p w14:paraId="06A2299B" w14:textId="77777777" w:rsidR="00592B24" w:rsidRPr="0047515A" w:rsidRDefault="00592B24" w:rsidP="008908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7515A">
              <w:rPr>
                <w:rFonts w:ascii="Times New Roman" w:hAnsi="Times New Roman" w:cs="Times New Roman"/>
                <w:color w:val="000000"/>
                <w:sz w:val="24"/>
                <w:szCs w:val="24"/>
              </w:rPr>
              <w:t>.25743</w:t>
            </w:r>
          </w:p>
        </w:tc>
      </w:tr>
      <w:tr w:rsidR="00592B24" w:rsidRPr="0047515A" w14:paraId="2A0495D3" w14:textId="77777777" w:rsidTr="00592B24">
        <w:trPr>
          <w:cantSplit/>
        </w:trPr>
        <w:tc>
          <w:tcPr>
            <w:tcW w:w="5872" w:type="dxa"/>
            <w:gridSpan w:val="5"/>
            <w:tcBorders>
              <w:top w:val="nil"/>
              <w:left w:val="nil"/>
              <w:bottom w:val="nil"/>
              <w:right w:val="nil"/>
            </w:tcBorders>
            <w:shd w:val="clear" w:color="auto" w:fill="FFFFFF"/>
          </w:tcPr>
          <w:p w14:paraId="4E4E399A" w14:textId="77777777" w:rsidR="00592B24" w:rsidRPr="0047515A" w:rsidRDefault="00592B24" w:rsidP="008908E5">
            <w:pPr>
              <w:autoSpaceDE w:val="0"/>
              <w:autoSpaceDN w:val="0"/>
              <w:adjustRightInd w:val="0"/>
              <w:spacing w:after="0" w:line="320" w:lineRule="atLeast"/>
              <w:ind w:left="60" w:right="60"/>
              <w:rPr>
                <w:rFonts w:ascii="Times New Roman" w:hAnsi="Times New Roman" w:cs="Times New Roman"/>
                <w:color w:val="000000"/>
                <w:sz w:val="24"/>
                <w:szCs w:val="24"/>
              </w:rPr>
            </w:pPr>
            <w:r w:rsidRPr="0047515A">
              <w:rPr>
                <w:rFonts w:ascii="Times New Roman" w:hAnsi="Times New Roman" w:cs="Times New Roman"/>
                <w:color w:val="000000"/>
                <w:sz w:val="24"/>
                <w:szCs w:val="24"/>
              </w:rPr>
              <w:t>a. Predictors: (Constant), DER, BOPO, PDN, NPL, ROA</w:t>
            </w:r>
          </w:p>
        </w:tc>
      </w:tr>
    </w:tbl>
    <w:p w14:paraId="382B1041" w14:textId="2C1E7C64" w:rsidR="002F5693" w:rsidRPr="0047515A" w:rsidRDefault="0047515A" w:rsidP="0047515A">
      <w:pPr>
        <w:pStyle w:val="ListParagraph"/>
        <w:spacing w:line="480" w:lineRule="auto"/>
        <w:ind w:left="1560"/>
        <w:jc w:val="both"/>
        <w:rPr>
          <w:rFonts w:ascii="Times New Roman" w:hAnsi="Times New Roman" w:cs="Times New Roman"/>
          <w:sz w:val="24"/>
          <w:szCs w:val="24"/>
        </w:rPr>
      </w:pPr>
      <w:r w:rsidRPr="00AB7A8E">
        <w:rPr>
          <w:rFonts w:ascii="Times New Roman" w:hAnsi="Times New Roman" w:cs="Times New Roman"/>
          <w:sz w:val="24"/>
          <w:szCs w:val="24"/>
        </w:rPr>
        <w:t>Sumber : Output SPSS 22, data yang diolah (2024)</w:t>
      </w:r>
    </w:p>
    <w:p w14:paraId="15EE7D2B" w14:textId="64FE5F11" w:rsidR="00EF6030" w:rsidRPr="00C46A01" w:rsidRDefault="002F5693" w:rsidP="0047515A">
      <w:pPr>
        <w:pStyle w:val="ListParagraph"/>
        <w:spacing w:line="480" w:lineRule="auto"/>
        <w:ind w:left="1134" w:firstLine="306"/>
        <w:jc w:val="both"/>
        <w:rPr>
          <w:rFonts w:ascii="Times New Roman" w:hAnsi="Times New Roman" w:cs="Times New Roman"/>
          <w:sz w:val="24"/>
          <w:szCs w:val="24"/>
        </w:rPr>
      </w:pPr>
      <w:r w:rsidRPr="00C46A01">
        <w:rPr>
          <w:rFonts w:ascii="Times New Roman" w:hAnsi="Times New Roman" w:cs="Times New Roman"/>
          <w:sz w:val="24"/>
          <w:szCs w:val="24"/>
        </w:rPr>
        <w:lastRenderedPageBreak/>
        <w:t>Berdasarkan hasil pada tabel diatas depat dilihat nilai R Square sebesar</w:t>
      </w:r>
      <w:r w:rsidR="00592B24">
        <w:rPr>
          <w:rFonts w:ascii="Times New Roman" w:hAnsi="Times New Roman" w:cs="Times New Roman"/>
          <w:sz w:val="24"/>
          <w:szCs w:val="24"/>
        </w:rPr>
        <w:t xml:space="preserve"> 0.598 </w:t>
      </w:r>
      <w:r w:rsidRPr="00C46A01">
        <w:rPr>
          <w:rFonts w:ascii="Times New Roman" w:hAnsi="Times New Roman" w:cs="Times New Roman"/>
          <w:sz w:val="24"/>
          <w:szCs w:val="24"/>
        </w:rPr>
        <w:t>yang berarti</w:t>
      </w:r>
      <w:r w:rsidR="00592B24">
        <w:rPr>
          <w:rFonts w:ascii="Times New Roman" w:hAnsi="Times New Roman" w:cs="Times New Roman"/>
          <w:sz w:val="24"/>
          <w:szCs w:val="24"/>
        </w:rPr>
        <w:t xml:space="preserve"> 59.8% </w:t>
      </w:r>
      <w:r w:rsidRPr="00C46A01">
        <w:rPr>
          <w:rFonts w:ascii="Times New Roman" w:hAnsi="Times New Roman" w:cs="Times New Roman"/>
          <w:sz w:val="24"/>
          <w:szCs w:val="24"/>
        </w:rPr>
        <w:t xml:space="preserve">variasi variabel independen (rasio kecukupan modal) yang dapat dijelaskan oleh variabel independen </w:t>
      </w:r>
      <w:r w:rsidR="0038755C" w:rsidRPr="00C46A01">
        <w:rPr>
          <w:rFonts w:ascii="Times New Roman" w:hAnsi="Times New Roman" w:cs="Times New Roman"/>
          <w:sz w:val="24"/>
          <w:szCs w:val="24"/>
        </w:rPr>
        <w:t>(kualitas asset, rentabilitas, sensitivitas risiko pasar, efisiensi operasional, dan leverage) sedangkan sisanya sebesar</w:t>
      </w:r>
      <w:r w:rsidR="00592B24">
        <w:rPr>
          <w:rFonts w:ascii="Times New Roman" w:hAnsi="Times New Roman" w:cs="Times New Roman"/>
          <w:sz w:val="24"/>
          <w:szCs w:val="24"/>
        </w:rPr>
        <w:t xml:space="preserve"> 40.2% </w:t>
      </w:r>
      <w:r w:rsidR="0038755C" w:rsidRPr="00C46A01">
        <w:rPr>
          <w:rFonts w:ascii="Times New Roman" w:hAnsi="Times New Roman" w:cs="Times New Roman"/>
          <w:sz w:val="24"/>
          <w:szCs w:val="24"/>
        </w:rPr>
        <w:t>dipengaruhi oleh variabel lain diluar model penelitian ini.</w:t>
      </w:r>
    </w:p>
    <w:p w14:paraId="22B3DAB0" w14:textId="2AF5E06A" w:rsidR="00724F0B" w:rsidRPr="006E197C" w:rsidRDefault="008A2CF2" w:rsidP="00095897">
      <w:pPr>
        <w:pStyle w:val="Heading2"/>
        <w:numPr>
          <w:ilvl w:val="0"/>
          <w:numId w:val="98"/>
        </w:numPr>
        <w:spacing w:line="480" w:lineRule="auto"/>
        <w:rPr>
          <w:rFonts w:ascii="Times New Roman" w:hAnsi="Times New Roman" w:cs="Times New Roman"/>
          <w:b/>
          <w:color w:val="000000" w:themeColor="text1"/>
          <w:sz w:val="24"/>
        </w:rPr>
      </w:pPr>
      <w:bookmarkStart w:id="21" w:name="_Toc170067697"/>
      <w:r w:rsidRPr="006E197C">
        <w:rPr>
          <w:rFonts w:ascii="Times New Roman" w:hAnsi="Times New Roman" w:cs="Times New Roman"/>
          <w:b/>
          <w:color w:val="000000" w:themeColor="text1"/>
          <w:sz w:val="24"/>
        </w:rPr>
        <w:t>Pembahasan</w:t>
      </w:r>
      <w:bookmarkEnd w:id="21"/>
      <w:r w:rsidRPr="006E197C">
        <w:rPr>
          <w:rFonts w:ascii="Times New Roman" w:hAnsi="Times New Roman" w:cs="Times New Roman"/>
          <w:b/>
          <w:color w:val="000000" w:themeColor="text1"/>
          <w:sz w:val="24"/>
        </w:rPr>
        <w:t xml:space="preserve"> </w:t>
      </w:r>
    </w:p>
    <w:p w14:paraId="180234FA" w14:textId="01E99D49" w:rsidR="008A2CF2" w:rsidRPr="0047515A" w:rsidRDefault="008A2CF2" w:rsidP="004933BF">
      <w:pPr>
        <w:pStyle w:val="ListParagraph"/>
        <w:numPr>
          <w:ilvl w:val="0"/>
          <w:numId w:val="91"/>
        </w:numPr>
        <w:spacing w:line="480" w:lineRule="auto"/>
        <w:ind w:left="1134"/>
        <w:jc w:val="both"/>
        <w:rPr>
          <w:rFonts w:ascii="Times New Roman" w:eastAsiaTheme="majorEastAsia" w:hAnsi="Times New Roman" w:cs="Times New Roman"/>
          <w:sz w:val="24"/>
          <w:szCs w:val="24"/>
        </w:rPr>
      </w:pPr>
      <w:r w:rsidRPr="0047515A">
        <w:rPr>
          <w:rFonts w:ascii="Times New Roman" w:eastAsiaTheme="majorEastAsia" w:hAnsi="Times New Roman" w:cs="Times New Roman"/>
          <w:sz w:val="24"/>
          <w:szCs w:val="24"/>
        </w:rPr>
        <w:t>Pengaruh Kualitas Asset Terhadap Rasio Kecukupan Modal</w:t>
      </w:r>
    </w:p>
    <w:p w14:paraId="3541BB08" w14:textId="6E370B09" w:rsidR="00E44185" w:rsidRDefault="008A2CF2" w:rsidP="00F45213">
      <w:pPr>
        <w:pStyle w:val="ListParagraph"/>
        <w:spacing w:line="480" w:lineRule="auto"/>
        <w:ind w:left="1134" w:firstLine="600"/>
        <w:jc w:val="both"/>
        <w:rPr>
          <w:rFonts w:ascii="Times New Roman" w:hAnsi="Times New Roman" w:cs="Times New Roman"/>
          <w:sz w:val="24"/>
          <w:szCs w:val="24"/>
        </w:rPr>
      </w:pPr>
      <w:r w:rsidRPr="00C46A01">
        <w:rPr>
          <w:rFonts w:ascii="Times New Roman" w:hAnsi="Times New Roman" w:cs="Times New Roman"/>
          <w:sz w:val="24"/>
          <w:szCs w:val="24"/>
        </w:rPr>
        <w:t xml:space="preserve">Hipotesis pertama (H1) yang diajukan dalam penelitian ini </w:t>
      </w:r>
      <w:r w:rsidRPr="00E44185">
        <w:rPr>
          <w:rFonts w:ascii="Times New Roman" w:hAnsi="Times New Roman" w:cs="Times New Roman"/>
          <w:sz w:val="24"/>
          <w:szCs w:val="24"/>
        </w:rPr>
        <w:t xml:space="preserve">adalah </w:t>
      </w:r>
      <w:r w:rsidR="00A222F0" w:rsidRPr="00E44185">
        <w:rPr>
          <w:rFonts w:ascii="Times New Roman" w:hAnsi="Times New Roman" w:cs="Times New Roman"/>
          <w:sz w:val="24"/>
          <w:szCs w:val="24"/>
        </w:rPr>
        <w:t xml:space="preserve">kualitas asset </w:t>
      </w:r>
      <w:r w:rsidRPr="00E44185">
        <w:rPr>
          <w:rFonts w:ascii="Times New Roman" w:hAnsi="Times New Roman" w:cs="Times New Roman"/>
          <w:sz w:val="24"/>
          <w:szCs w:val="24"/>
        </w:rPr>
        <w:t>berpengaruh terhadap</w:t>
      </w:r>
      <w:r w:rsidR="00A222F0" w:rsidRPr="00E44185">
        <w:rPr>
          <w:rFonts w:ascii="Times New Roman" w:hAnsi="Times New Roman" w:cs="Times New Roman"/>
          <w:sz w:val="24"/>
          <w:szCs w:val="24"/>
        </w:rPr>
        <w:t xml:space="preserve"> rasio kecukupan modal</w:t>
      </w:r>
      <w:r w:rsidRPr="00E44185">
        <w:rPr>
          <w:rFonts w:ascii="Times New Roman" w:hAnsi="Times New Roman" w:cs="Times New Roman"/>
          <w:sz w:val="24"/>
          <w:szCs w:val="24"/>
        </w:rPr>
        <w:t>.</w:t>
      </w:r>
      <w:r w:rsidR="00F45213">
        <w:rPr>
          <w:rFonts w:ascii="Times New Roman" w:hAnsi="Times New Roman" w:cs="Times New Roman"/>
          <w:sz w:val="24"/>
          <w:szCs w:val="24"/>
        </w:rPr>
        <w:t xml:space="preserve"> </w:t>
      </w:r>
      <w:r w:rsidR="00E44185" w:rsidRPr="00F45213">
        <w:rPr>
          <w:rFonts w:ascii="Times New Roman" w:hAnsi="Times New Roman" w:cs="Times New Roman"/>
          <w:sz w:val="24"/>
          <w:szCs w:val="24"/>
        </w:rPr>
        <w:t>Hasil dari pengujian regresi diperoleh nilai koefisien sebesar 2.134 dengan tingkat signifikansi 0.035 &lt; 0.05, membuktikan bahwa kulitas aset berpengaruh</w:t>
      </w:r>
      <w:r w:rsidR="00F45213">
        <w:rPr>
          <w:rFonts w:ascii="Times New Roman" w:hAnsi="Times New Roman" w:cs="Times New Roman"/>
          <w:sz w:val="24"/>
          <w:szCs w:val="24"/>
        </w:rPr>
        <w:t xml:space="preserve"> positif signifikan</w:t>
      </w:r>
      <w:r w:rsidR="00E44185" w:rsidRPr="00F45213">
        <w:rPr>
          <w:rFonts w:ascii="Times New Roman" w:hAnsi="Times New Roman" w:cs="Times New Roman"/>
          <w:sz w:val="24"/>
          <w:szCs w:val="24"/>
        </w:rPr>
        <w:t xml:space="preserve"> terhadap rasio kecukupan modal dengan kata lain (H</w:t>
      </w:r>
      <w:r w:rsidR="002D5B40" w:rsidRPr="00F45213">
        <w:rPr>
          <w:rFonts w:ascii="Times New Roman" w:hAnsi="Times New Roman" w:cs="Times New Roman"/>
          <w:sz w:val="24"/>
          <w:szCs w:val="24"/>
        </w:rPr>
        <w:t>1</w:t>
      </w:r>
      <w:r w:rsidR="00E44185" w:rsidRPr="00F45213">
        <w:rPr>
          <w:rFonts w:ascii="Times New Roman" w:hAnsi="Times New Roman" w:cs="Times New Roman"/>
          <w:sz w:val="24"/>
          <w:szCs w:val="24"/>
        </w:rPr>
        <w:t xml:space="preserve">) diterima yang berarti terdapat pengaruh kualitas asset terhadap rasio kecukupan modal pada sub sektor perbankan yang terdaftar di Bursa Efek Indonesia tahun 2019-2023. Hasil penelitian ini </w:t>
      </w:r>
      <w:r w:rsidR="00BB4C2C">
        <w:rPr>
          <w:rFonts w:ascii="Times New Roman" w:hAnsi="Times New Roman" w:cs="Times New Roman"/>
          <w:sz w:val="24"/>
          <w:szCs w:val="24"/>
        </w:rPr>
        <w:t>menunjukkan</w:t>
      </w:r>
      <w:r w:rsidR="00E44185" w:rsidRPr="00F45213">
        <w:rPr>
          <w:rFonts w:ascii="Times New Roman" w:hAnsi="Times New Roman" w:cs="Times New Roman"/>
          <w:sz w:val="24"/>
          <w:szCs w:val="24"/>
        </w:rPr>
        <w:t xml:space="preserve"> pengaruh yang positif signifikan. Sehingga apabila kualitas aset meningkat maka akan terjadi kenaikan pada variabel rasio kecukupan modal</w:t>
      </w:r>
      <w:r w:rsidR="00F45213">
        <w:rPr>
          <w:rFonts w:ascii="Times New Roman" w:hAnsi="Times New Roman" w:cs="Times New Roman"/>
          <w:sz w:val="24"/>
          <w:szCs w:val="24"/>
        </w:rPr>
        <w:t xml:space="preserve"> dan juga sebaliknya apabila kualitas asset menurun maka akan terjadi kenaikan pada</w:t>
      </w:r>
      <w:r w:rsidR="00995F9C">
        <w:rPr>
          <w:rFonts w:ascii="Times New Roman" w:hAnsi="Times New Roman" w:cs="Times New Roman"/>
          <w:sz w:val="24"/>
          <w:szCs w:val="24"/>
        </w:rPr>
        <w:t xml:space="preserve"> variabel rasio kecukupan modal.</w:t>
      </w:r>
    </w:p>
    <w:p w14:paraId="6E303653" w14:textId="370636E2" w:rsidR="00995F9C" w:rsidRPr="00CD394F" w:rsidRDefault="00995F9C" w:rsidP="00CD394F">
      <w:pPr>
        <w:pStyle w:val="ListParagraph"/>
        <w:spacing w:line="480" w:lineRule="auto"/>
        <w:ind w:left="1134" w:firstLine="600"/>
        <w:jc w:val="both"/>
        <w:rPr>
          <w:rFonts w:ascii="Times New Roman" w:hAnsi="Times New Roman" w:cs="Times New Roman"/>
          <w:sz w:val="24"/>
          <w:szCs w:val="24"/>
        </w:rPr>
      </w:pPr>
      <w:r>
        <w:rPr>
          <w:rFonts w:ascii="Times New Roman" w:hAnsi="Times New Roman" w:cs="Times New Roman"/>
          <w:sz w:val="24"/>
          <w:szCs w:val="24"/>
        </w:rPr>
        <w:t xml:space="preserve">Pengaruh positif yang ditunjukkan oleh </w:t>
      </w:r>
      <w:r w:rsidRPr="00564475">
        <w:rPr>
          <w:rFonts w:ascii="Times New Roman" w:hAnsi="Times New Roman" w:cs="Times New Roman"/>
          <w:i/>
          <w:iCs/>
          <w:sz w:val="24"/>
          <w:szCs w:val="24"/>
        </w:rPr>
        <w:t>Non Performing Loan</w:t>
      </w:r>
      <w:r>
        <w:rPr>
          <w:rFonts w:ascii="Times New Roman" w:hAnsi="Times New Roman" w:cs="Times New Roman"/>
          <w:sz w:val="24"/>
          <w:szCs w:val="24"/>
        </w:rPr>
        <w:t xml:space="preserve"> (NPL) terhadap </w:t>
      </w:r>
      <w:r w:rsidRPr="00564475">
        <w:rPr>
          <w:rFonts w:ascii="Times New Roman" w:hAnsi="Times New Roman" w:cs="Times New Roman"/>
          <w:i/>
          <w:iCs/>
          <w:sz w:val="24"/>
          <w:szCs w:val="24"/>
        </w:rPr>
        <w:t>Capital Adequacy Ratio</w:t>
      </w:r>
      <w:r>
        <w:rPr>
          <w:rFonts w:ascii="Times New Roman" w:hAnsi="Times New Roman" w:cs="Times New Roman"/>
          <w:sz w:val="24"/>
          <w:szCs w:val="24"/>
        </w:rPr>
        <w:t xml:space="preserve"> (CAR) menunjukkan bahwa jika </w:t>
      </w:r>
      <w:r w:rsidRPr="00564475">
        <w:rPr>
          <w:rFonts w:ascii="Times New Roman" w:hAnsi="Times New Roman" w:cs="Times New Roman"/>
          <w:i/>
          <w:iCs/>
          <w:sz w:val="24"/>
          <w:szCs w:val="24"/>
        </w:rPr>
        <w:t xml:space="preserve">Non </w:t>
      </w:r>
      <w:r w:rsidRPr="00564475">
        <w:rPr>
          <w:rFonts w:ascii="Times New Roman" w:hAnsi="Times New Roman" w:cs="Times New Roman"/>
          <w:i/>
          <w:iCs/>
          <w:sz w:val="24"/>
          <w:szCs w:val="24"/>
        </w:rPr>
        <w:lastRenderedPageBreak/>
        <w:t>Performing Loan</w:t>
      </w:r>
      <w:r>
        <w:rPr>
          <w:rFonts w:ascii="Times New Roman" w:hAnsi="Times New Roman" w:cs="Times New Roman"/>
          <w:sz w:val="24"/>
          <w:szCs w:val="24"/>
        </w:rPr>
        <w:t xml:space="preserve"> (NPL) meningkat maka </w:t>
      </w:r>
      <w:r w:rsidRPr="00564475">
        <w:rPr>
          <w:rFonts w:ascii="Times New Roman" w:hAnsi="Times New Roman" w:cs="Times New Roman"/>
          <w:i/>
          <w:iCs/>
          <w:sz w:val="24"/>
          <w:szCs w:val="24"/>
        </w:rPr>
        <w:t>Capital Adequacy Ratio</w:t>
      </w:r>
      <w:r>
        <w:rPr>
          <w:rFonts w:ascii="Times New Roman" w:hAnsi="Times New Roman" w:cs="Times New Roman"/>
          <w:sz w:val="24"/>
          <w:szCs w:val="24"/>
        </w:rPr>
        <w:t xml:space="preserve"> (CAR) pun juka akan turun. Hasil penelitian ini bertentangan dengan teori Dimana </w:t>
      </w:r>
      <w:r w:rsidRPr="00564475">
        <w:rPr>
          <w:rFonts w:ascii="Times New Roman" w:hAnsi="Times New Roman" w:cs="Times New Roman"/>
          <w:i/>
          <w:iCs/>
          <w:sz w:val="24"/>
          <w:szCs w:val="24"/>
        </w:rPr>
        <w:t>Non Performing Loan</w:t>
      </w:r>
      <w:r>
        <w:rPr>
          <w:rFonts w:ascii="Times New Roman" w:hAnsi="Times New Roman" w:cs="Times New Roman"/>
          <w:sz w:val="24"/>
          <w:szCs w:val="24"/>
        </w:rPr>
        <w:t xml:space="preserve"> (NPL) berpengaruh negatif signifikan terhadap </w:t>
      </w:r>
      <w:r w:rsidRPr="00564475">
        <w:rPr>
          <w:rFonts w:ascii="Times New Roman" w:hAnsi="Times New Roman" w:cs="Times New Roman"/>
          <w:i/>
          <w:iCs/>
          <w:sz w:val="24"/>
          <w:szCs w:val="24"/>
        </w:rPr>
        <w:t>Capital Adequacy Ratio</w:t>
      </w:r>
      <w:r>
        <w:rPr>
          <w:rFonts w:ascii="Times New Roman" w:hAnsi="Times New Roman" w:cs="Times New Roman"/>
          <w:sz w:val="24"/>
          <w:szCs w:val="24"/>
        </w:rPr>
        <w:t xml:space="preserve"> (CAR). Menurut teori antara </w:t>
      </w:r>
      <w:r w:rsidRPr="00564475">
        <w:rPr>
          <w:rFonts w:ascii="Times New Roman" w:hAnsi="Times New Roman" w:cs="Times New Roman"/>
          <w:i/>
          <w:iCs/>
          <w:sz w:val="24"/>
          <w:szCs w:val="24"/>
        </w:rPr>
        <w:t>Non Performing Loan</w:t>
      </w:r>
      <w:r>
        <w:rPr>
          <w:rFonts w:ascii="Times New Roman" w:hAnsi="Times New Roman" w:cs="Times New Roman"/>
          <w:sz w:val="24"/>
          <w:szCs w:val="24"/>
        </w:rPr>
        <w:t xml:space="preserve"> (NPL) dengan </w:t>
      </w:r>
      <w:r w:rsidRPr="00564475">
        <w:rPr>
          <w:rFonts w:ascii="Times New Roman" w:hAnsi="Times New Roman" w:cs="Times New Roman"/>
          <w:i/>
          <w:iCs/>
          <w:sz w:val="24"/>
          <w:szCs w:val="24"/>
        </w:rPr>
        <w:t>Capital Adequacy Ratio</w:t>
      </w:r>
      <w:r>
        <w:rPr>
          <w:rFonts w:ascii="Times New Roman" w:hAnsi="Times New Roman" w:cs="Times New Roman"/>
          <w:sz w:val="24"/>
          <w:szCs w:val="24"/>
        </w:rPr>
        <w:t xml:space="preserve"> (CAR) adalah memiliki hubungan negatif dan peningkatan </w:t>
      </w:r>
      <w:r w:rsidRPr="00564475">
        <w:rPr>
          <w:rFonts w:ascii="Times New Roman" w:hAnsi="Times New Roman" w:cs="Times New Roman"/>
          <w:i/>
          <w:iCs/>
          <w:sz w:val="24"/>
          <w:szCs w:val="24"/>
        </w:rPr>
        <w:t>Non Performing Loan</w:t>
      </w:r>
      <w:r>
        <w:rPr>
          <w:rFonts w:ascii="Times New Roman" w:hAnsi="Times New Roman" w:cs="Times New Roman"/>
          <w:sz w:val="24"/>
          <w:szCs w:val="24"/>
        </w:rPr>
        <w:t xml:space="preserve"> (NPL) seharusnya menyebabkan penurunan pada nilai </w:t>
      </w:r>
      <w:r w:rsidRPr="00564475">
        <w:rPr>
          <w:rFonts w:ascii="Times New Roman" w:hAnsi="Times New Roman" w:cs="Times New Roman"/>
          <w:i/>
          <w:iCs/>
          <w:sz w:val="24"/>
          <w:szCs w:val="24"/>
        </w:rPr>
        <w:t>Capital Adequacy Ratio</w:t>
      </w:r>
      <w:r>
        <w:rPr>
          <w:rFonts w:ascii="Times New Roman" w:hAnsi="Times New Roman" w:cs="Times New Roman"/>
          <w:sz w:val="24"/>
          <w:szCs w:val="24"/>
        </w:rPr>
        <w:t xml:space="preserve"> (CAR) karena peningkatan </w:t>
      </w:r>
      <w:r w:rsidRPr="00564475">
        <w:rPr>
          <w:rFonts w:ascii="Times New Roman" w:hAnsi="Times New Roman" w:cs="Times New Roman"/>
          <w:i/>
          <w:iCs/>
          <w:sz w:val="24"/>
          <w:szCs w:val="24"/>
        </w:rPr>
        <w:t>Non Performing Loan</w:t>
      </w:r>
      <w:r>
        <w:rPr>
          <w:rFonts w:ascii="Times New Roman" w:hAnsi="Times New Roman" w:cs="Times New Roman"/>
          <w:sz w:val="24"/>
          <w:szCs w:val="24"/>
        </w:rPr>
        <w:t xml:space="preserve"> (NPL) menyebabkan pendapatan bank menjadi turun sehingga laba bank akan turun </w:t>
      </w:r>
      <w:r>
        <w:rPr>
          <w:rFonts w:ascii="Times New Roman" w:hAnsi="Times New Roman" w:cs="Times New Roman"/>
          <w:sz w:val="24"/>
          <w:szCs w:val="24"/>
        </w:rPr>
        <w:fldChar w:fldCharType="begin" w:fldLock="1"/>
      </w:r>
      <w:r w:rsidR="00F33E85">
        <w:rPr>
          <w:rFonts w:ascii="Times New Roman" w:hAnsi="Times New Roman" w:cs="Times New Roman"/>
          <w:sz w:val="24"/>
          <w:szCs w:val="24"/>
        </w:rPr>
        <w:instrText>ADDIN CSL_CITATION {"citationItems":[{"id":"ITEM-1","itemData":{"abstract":"ABSTRAK. Tujuan penelitian ini adalah untuk mengetahui pengaruh dari Kualitas Aset (NPL), Likuiditas (LDR), Rentabilitas (ROA), dan Efisiensi Operasional (BOPO) terhadap Rasio Kecukupan Modal (CAR) Perbankan di Bursa Efek Indonesia periode tahun 2013-2014. Penelitian mengambil sampel di Bursa Efek Indonesia yang diakses melalui situs www.idx.co.id dan data yang diperoleh berupa Annual Report atau laporan tahunan Bank yang di publikasikan. Penelitian ini menggunakan populasi yaitu seluruh perusahaan perbankan yang terdaftar di BEI sejumlah 42 Bank dan menentukan sampel dengan Metode Purposive Sampling sehingga mendapatkan sampel yaitu 32 buah perusahaan perbankan yang memenuhi kriteria tersebut. Teknik analisis data yang digunakan adalah Analisis Regresi Linier Berganda dengan menggunakan program SPSS (Statistical Program and Service Solution) 17.0.Hasil penelitian ini memberikan bukti bahwa NPL dan LDR memiliki pengaruh positif dan signifikan terhadap CAR, ROA dan BOPO berpengaruh negatif dan signifikan terhadap CAR. . Kata kunci: Kualitas Aset, Likuiditas, Capital Adequacy Ratio ABSTRACT The aims of this study to determine the effect of asset quality (NPL), liquidity (LDR), profitability (ROA) and operational efficiency (BOPO) on capital adequacy ratio (CAR) banking at Indonesian Stock Exchange year 2013-2014. Sample of this study taken at Indonesian Stock Exchange accessed on website www.idx.co.id and obtained banking annual report data. Population that used in this study is all banking company registered on Indonesian Stock Exchange as much 42 banking company and sample determined by purposive sampling method so received samples as much 32 banking company completed the criteria. Data analysis technique used is multiple linear regression analysis by using SPSS (Statistical Program and Service Solution) 17.0 program. The result of this study prove NPL and LDR give positive effect and significant to CAR, ROA and BOPO give negative effect and significant to CAR.","author":[{"dropping-particle":"","family":"Bukian","given":"Ni Made Winda P","non-dropping-particle":"","parse-names":false,"suffix":""},{"dropping-particle":"","family":"Sudiartha","given":"Gede Mertha","non-dropping-particle":"","parse-names":false,"suffix":""}],"container-title":"E-Jurnal Manajemen Unud","id":"ITEM-1","issue":"2","issued":{"date-parts":[["2016"]]},"page":"1189-1221","title":"Pengaruh Kualitas Aset, Likuiditas, Rentalbilitas, dan Efisiensi Operasional Terhadap Rasio Kecukupan Modal","type":"article-journal","volume":"5"},"uris":["http://www.mendeley.com/documents/?uuid=cac90ac6-8072-4561-9d19-60a708d666b8"]}],"mendeley":{"formattedCitation":"(Bukian &amp; Sudiartha, 2016)","plainTextFormattedCitation":"(Bukian &amp; Sudiartha, 2016)","previouslyFormattedCitation":"(Bukian &amp; Sudiartha, 2016)"},"properties":{"noteIndex":0},"schema":"https://github.com/citation-style-language/schema/raw/master/csl-citation.json"}</w:instrText>
      </w:r>
      <w:r>
        <w:rPr>
          <w:rFonts w:ascii="Times New Roman" w:hAnsi="Times New Roman" w:cs="Times New Roman"/>
          <w:sz w:val="24"/>
          <w:szCs w:val="24"/>
        </w:rPr>
        <w:fldChar w:fldCharType="separate"/>
      </w:r>
      <w:r w:rsidRPr="00440446">
        <w:rPr>
          <w:rFonts w:ascii="Times New Roman" w:hAnsi="Times New Roman" w:cs="Times New Roman"/>
          <w:noProof/>
          <w:sz w:val="24"/>
          <w:szCs w:val="24"/>
        </w:rPr>
        <w:t>(Bukian &amp; Sudiartha, 2016)</w:t>
      </w:r>
      <w:r>
        <w:rPr>
          <w:rFonts w:ascii="Times New Roman" w:hAnsi="Times New Roman" w:cs="Times New Roman"/>
          <w:sz w:val="24"/>
          <w:szCs w:val="24"/>
        </w:rPr>
        <w:fldChar w:fldCharType="end"/>
      </w:r>
      <w:r>
        <w:rPr>
          <w:rFonts w:ascii="Times New Roman" w:hAnsi="Times New Roman" w:cs="Times New Roman"/>
          <w:sz w:val="24"/>
          <w:szCs w:val="24"/>
        </w:rPr>
        <w:t xml:space="preserve">. Namun pada hasil penelitian ini pada saat </w:t>
      </w:r>
      <w:r w:rsidRPr="00564475">
        <w:rPr>
          <w:rFonts w:ascii="Times New Roman" w:hAnsi="Times New Roman" w:cs="Times New Roman"/>
          <w:i/>
          <w:iCs/>
          <w:sz w:val="24"/>
          <w:szCs w:val="24"/>
        </w:rPr>
        <w:t>Non Performing Loan</w:t>
      </w:r>
      <w:r>
        <w:rPr>
          <w:rFonts w:ascii="Times New Roman" w:hAnsi="Times New Roman" w:cs="Times New Roman"/>
          <w:sz w:val="24"/>
          <w:szCs w:val="24"/>
        </w:rPr>
        <w:t xml:space="preserve"> (NPL) naik </w:t>
      </w:r>
      <w:r w:rsidRPr="00564475">
        <w:rPr>
          <w:rFonts w:ascii="Times New Roman" w:hAnsi="Times New Roman" w:cs="Times New Roman"/>
          <w:i/>
          <w:iCs/>
          <w:sz w:val="24"/>
          <w:szCs w:val="24"/>
        </w:rPr>
        <w:t>Capital Adequacy Ratio</w:t>
      </w:r>
      <w:r>
        <w:rPr>
          <w:rFonts w:ascii="Times New Roman" w:hAnsi="Times New Roman" w:cs="Times New Roman"/>
          <w:sz w:val="24"/>
          <w:szCs w:val="24"/>
        </w:rPr>
        <w:t xml:space="preserve"> (CAR) juga mengalami kenaikan. Hal ini disebabkan oleh fakta bahwa data dan kondisi saat ini menunjukkan nilai kredit macet yang tinggi dan nilai modal secara bersamaan tinggi pula yang disebabkan karena penambahan modal bank di beberapa komponen dari </w:t>
      </w:r>
      <w:r w:rsidRPr="00564475">
        <w:rPr>
          <w:rFonts w:ascii="Times New Roman" w:hAnsi="Times New Roman" w:cs="Times New Roman"/>
          <w:i/>
          <w:iCs/>
          <w:sz w:val="24"/>
          <w:szCs w:val="24"/>
        </w:rPr>
        <w:t>Capital Adequacy Ratio</w:t>
      </w:r>
      <w:r>
        <w:rPr>
          <w:rFonts w:ascii="Times New Roman" w:hAnsi="Times New Roman" w:cs="Times New Roman"/>
          <w:sz w:val="24"/>
          <w:szCs w:val="24"/>
        </w:rPr>
        <w:t xml:space="preserve"> (CAR) yaitu modal bank seperti modal inti </w:t>
      </w:r>
      <w:r w:rsidR="00885FFD">
        <w:rPr>
          <w:rFonts w:ascii="Times New Roman" w:hAnsi="Times New Roman" w:cs="Times New Roman"/>
          <w:sz w:val="24"/>
          <w:szCs w:val="24"/>
        </w:rPr>
        <w:t xml:space="preserve">seperti modal yang disetor oleh pemilik saham, yaitu dana yang disertakan oleh pemilik dengan cara membeli saham Perusahaan tersebut </w:t>
      </w:r>
      <w:r>
        <w:rPr>
          <w:rFonts w:ascii="Times New Roman" w:hAnsi="Times New Roman" w:cs="Times New Roman"/>
          <w:sz w:val="24"/>
          <w:szCs w:val="24"/>
        </w:rPr>
        <w:t>dan modal pelengkap</w:t>
      </w:r>
      <w:r w:rsidR="00885FFD">
        <w:rPr>
          <w:rFonts w:ascii="Times New Roman" w:hAnsi="Times New Roman" w:cs="Times New Roman"/>
          <w:sz w:val="24"/>
          <w:szCs w:val="24"/>
        </w:rPr>
        <w:t xml:space="preserve"> seperti </w:t>
      </w:r>
      <w:r w:rsidR="00CD394F">
        <w:rPr>
          <w:rFonts w:ascii="Times New Roman" w:hAnsi="Times New Roman" w:cs="Times New Roman"/>
          <w:sz w:val="24"/>
          <w:szCs w:val="24"/>
        </w:rPr>
        <w:t>Cadangan revaluasi aktiva tetap, modal pinjaman</w:t>
      </w:r>
      <w:r>
        <w:rPr>
          <w:rFonts w:ascii="Times New Roman" w:hAnsi="Times New Roman" w:cs="Times New Roman"/>
          <w:sz w:val="24"/>
          <w:szCs w:val="24"/>
        </w:rPr>
        <w:t xml:space="preserve">. Misalnya saja modal disetor meningkat, jadi walaupun nilai kredit macet bertambah masih bisa ditutupi dengan adanya tambahan dana tersebut. </w:t>
      </w:r>
      <w:r w:rsidRPr="00D559AD">
        <w:rPr>
          <w:rFonts w:ascii="Times New Roman" w:hAnsi="Times New Roman" w:cs="Times New Roman"/>
          <w:sz w:val="24"/>
          <w:szCs w:val="24"/>
        </w:rPr>
        <w:t xml:space="preserve">Penelitian ini memiliki hasil yang sama dengan penelitian yang dilakukan </w:t>
      </w:r>
      <w:r>
        <w:rPr>
          <w:rFonts w:ascii="Times New Roman" w:hAnsi="Times New Roman" w:cs="Times New Roman"/>
          <w:sz w:val="24"/>
          <w:szCs w:val="24"/>
        </w:rPr>
        <w:t xml:space="preserve">Anjani, dkk </w:t>
      </w:r>
      <w:r w:rsidRPr="00D559AD">
        <w:rPr>
          <w:rFonts w:ascii="Times New Roman" w:hAnsi="Times New Roman" w:cs="Times New Roman"/>
          <w:sz w:val="24"/>
          <w:szCs w:val="24"/>
        </w:rPr>
        <w:t>(20</w:t>
      </w:r>
      <w:r>
        <w:rPr>
          <w:rFonts w:ascii="Times New Roman" w:hAnsi="Times New Roman" w:cs="Times New Roman"/>
          <w:sz w:val="24"/>
          <w:szCs w:val="24"/>
        </w:rPr>
        <w:t>19</w:t>
      </w:r>
      <w:r w:rsidRPr="00D559AD">
        <w:rPr>
          <w:rFonts w:ascii="Times New Roman" w:hAnsi="Times New Roman" w:cs="Times New Roman"/>
          <w:sz w:val="24"/>
          <w:szCs w:val="24"/>
        </w:rPr>
        <w:t xml:space="preserve">) yang menyatakan bahwa </w:t>
      </w:r>
      <w:r>
        <w:rPr>
          <w:rFonts w:ascii="Times New Roman" w:hAnsi="Times New Roman" w:cs="Times New Roman"/>
          <w:sz w:val="24"/>
          <w:szCs w:val="24"/>
        </w:rPr>
        <w:t>kualitas aset</w:t>
      </w:r>
      <w:r w:rsidRPr="00D559AD">
        <w:rPr>
          <w:rFonts w:ascii="Times New Roman" w:hAnsi="Times New Roman" w:cs="Times New Roman"/>
          <w:sz w:val="24"/>
          <w:szCs w:val="24"/>
        </w:rPr>
        <w:t xml:space="preserve"> berpengaruh terhadap rasio kecukupan modal.</w:t>
      </w:r>
    </w:p>
    <w:p w14:paraId="1A34CDC3" w14:textId="4BFCEEEE" w:rsidR="008A2CF2" w:rsidRPr="00BA4335" w:rsidRDefault="008A2CF2" w:rsidP="004933BF">
      <w:pPr>
        <w:pStyle w:val="ListParagraph"/>
        <w:numPr>
          <w:ilvl w:val="0"/>
          <w:numId w:val="91"/>
        </w:numPr>
        <w:spacing w:line="480" w:lineRule="auto"/>
        <w:ind w:left="1134"/>
        <w:jc w:val="both"/>
        <w:rPr>
          <w:rFonts w:ascii="Times New Roman" w:eastAsiaTheme="majorEastAsia" w:hAnsi="Times New Roman" w:cs="Times New Roman"/>
          <w:sz w:val="24"/>
          <w:szCs w:val="24"/>
        </w:rPr>
      </w:pPr>
      <w:r w:rsidRPr="00BA4335">
        <w:rPr>
          <w:rFonts w:ascii="Times New Roman" w:eastAsiaTheme="majorEastAsia" w:hAnsi="Times New Roman" w:cs="Times New Roman"/>
          <w:sz w:val="24"/>
          <w:szCs w:val="24"/>
        </w:rPr>
        <w:lastRenderedPageBreak/>
        <w:t>Pengaruh RentabilitasTerhadap Rasio Kecukupan Modal</w:t>
      </w:r>
    </w:p>
    <w:p w14:paraId="49A5F28A" w14:textId="03CC48DF" w:rsidR="00D559AD" w:rsidRDefault="00D559AD" w:rsidP="00F45213">
      <w:pPr>
        <w:pStyle w:val="ListParagraph"/>
        <w:spacing w:line="480" w:lineRule="auto"/>
        <w:ind w:left="1134" w:firstLine="600"/>
        <w:jc w:val="both"/>
        <w:rPr>
          <w:rFonts w:ascii="Times New Roman" w:hAnsi="Times New Roman" w:cs="Times New Roman"/>
          <w:sz w:val="24"/>
          <w:szCs w:val="24"/>
        </w:rPr>
      </w:pPr>
      <w:r w:rsidRPr="00C46A01">
        <w:rPr>
          <w:rFonts w:ascii="Times New Roman" w:hAnsi="Times New Roman" w:cs="Times New Roman"/>
          <w:sz w:val="24"/>
          <w:szCs w:val="24"/>
        </w:rPr>
        <w:t xml:space="preserve">Hipotesis </w:t>
      </w:r>
      <w:r w:rsidR="002D5B40">
        <w:rPr>
          <w:rFonts w:ascii="Times New Roman" w:hAnsi="Times New Roman" w:cs="Times New Roman"/>
          <w:sz w:val="24"/>
          <w:szCs w:val="24"/>
        </w:rPr>
        <w:t>kedua</w:t>
      </w:r>
      <w:r w:rsidRPr="00C46A01">
        <w:rPr>
          <w:rFonts w:ascii="Times New Roman" w:hAnsi="Times New Roman" w:cs="Times New Roman"/>
          <w:sz w:val="24"/>
          <w:szCs w:val="24"/>
        </w:rPr>
        <w:t xml:space="preserve"> (H</w:t>
      </w:r>
      <w:r w:rsidR="00F277D8">
        <w:rPr>
          <w:rFonts w:ascii="Times New Roman" w:hAnsi="Times New Roman" w:cs="Times New Roman"/>
          <w:sz w:val="24"/>
          <w:szCs w:val="24"/>
        </w:rPr>
        <w:t>2</w:t>
      </w:r>
      <w:r w:rsidRPr="00C46A01">
        <w:rPr>
          <w:rFonts w:ascii="Times New Roman" w:hAnsi="Times New Roman" w:cs="Times New Roman"/>
          <w:sz w:val="24"/>
          <w:szCs w:val="24"/>
        </w:rPr>
        <w:t xml:space="preserve">) yang diajukan dalam penelitian ini </w:t>
      </w:r>
      <w:r w:rsidRPr="00E44185">
        <w:rPr>
          <w:rFonts w:ascii="Times New Roman" w:hAnsi="Times New Roman" w:cs="Times New Roman"/>
          <w:sz w:val="24"/>
          <w:szCs w:val="24"/>
        </w:rPr>
        <w:t xml:space="preserve">adalah </w:t>
      </w:r>
      <w:r>
        <w:rPr>
          <w:rFonts w:ascii="Times New Roman" w:hAnsi="Times New Roman" w:cs="Times New Roman"/>
          <w:sz w:val="24"/>
          <w:szCs w:val="24"/>
        </w:rPr>
        <w:t>rentabilitas</w:t>
      </w:r>
      <w:r w:rsidRPr="00E44185">
        <w:rPr>
          <w:rFonts w:ascii="Times New Roman" w:hAnsi="Times New Roman" w:cs="Times New Roman"/>
          <w:sz w:val="24"/>
          <w:szCs w:val="24"/>
        </w:rPr>
        <w:t xml:space="preserve"> berpengaruh terhadap rasio kecukupan modal.</w:t>
      </w:r>
      <w:r w:rsidR="00F45213">
        <w:rPr>
          <w:rFonts w:ascii="Times New Roman" w:hAnsi="Times New Roman" w:cs="Times New Roman"/>
          <w:sz w:val="24"/>
          <w:szCs w:val="24"/>
        </w:rPr>
        <w:t xml:space="preserve"> </w:t>
      </w:r>
      <w:r w:rsidRPr="00F45213">
        <w:rPr>
          <w:rFonts w:ascii="Times New Roman" w:hAnsi="Times New Roman" w:cs="Times New Roman"/>
          <w:sz w:val="24"/>
          <w:szCs w:val="24"/>
        </w:rPr>
        <w:t xml:space="preserve">Hasil dari pengujian regresi diperoleh nilai koefisien sebesar </w:t>
      </w:r>
      <w:r w:rsidR="00BA4335" w:rsidRPr="00F45213">
        <w:rPr>
          <w:rFonts w:ascii="Times New Roman" w:hAnsi="Times New Roman" w:cs="Times New Roman"/>
          <w:sz w:val="24"/>
          <w:szCs w:val="24"/>
        </w:rPr>
        <w:t xml:space="preserve">0.482 </w:t>
      </w:r>
      <w:r w:rsidRPr="00F45213">
        <w:rPr>
          <w:rFonts w:ascii="Times New Roman" w:hAnsi="Times New Roman" w:cs="Times New Roman"/>
          <w:sz w:val="24"/>
          <w:szCs w:val="24"/>
        </w:rPr>
        <w:t>dengan tingkat signifikansi 0.</w:t>
      </w:r>
      <w:r w:rsidR="00BA4335" w:rsidRPr="00F45213">
        <w:rPr>
          <w:rFonts w:ascii="Times New Roman" w:hAnsi="Times New Roman" w:cs="Times New Roman"/>
          <w:sz w:val="24"/>
          <w:szCs w:val="24"/>
        </w:rPr>
        <w:t>630</w:t>
      </w:r>
      <w:r w:rsidRPr="00F45213">
        <w:rPr>
          <w:rFonts w:ascii="Times New Roman" w:hAnsi="Times New Roman" w:cs="Times New Roman"/>
          <w:sz w:val="24"/>
          <w:szCs w:val="24"/>
        </w:rPr>
        <w:t xml:space="preserve"> </w:t>
      </w:r>
      <w:r w:rsidR="00BA4335" w:rsidRPr="00F45213">
        <w:rPr>
          <w:rFonts w:ascii="Times New Roman" w:hAnsi="Times New Roman" w:cs="Times New Roman"/>
          <w:sz w:val="24"/>
          <w:szCs w:val="24"/>
        </w:rPr>
        <w:t>&gt;</w:t>
      </w:r>
      <w:r w:rsidRPr="00F45213">
        <w:rPr>
          <w:rFonts w:ascii="Times New Roman" w:hAnsi="Times New Roman" w:cs="Times New Roman"/>
          <w:sz w:val="24"/>
          <w:szCs w:val="24"/>
        </w:rPr>
        <w:t xml:space="preserve"> 0.05, membuktikan bahwa </w:t>
      </w:r>
      <w:r w:rsidR="00BA4335" w:rsidRPr="00F45213">
        <w:rPr>
          <w:rFonts w:ascii="Times New Roman" w:hAnsi="Times New Roman" w:cs="Times New Roman"/>
          <w:sz w:val="24"/>
          <w:szCs w:val="24"/>
        </w:rPr>
        <w:t>rentabilitas tidak</w:t>
      </w:r>
      <w:r w:rsidRPr="00F45213">
        <w:rPr>
          <w:rFonts w:ascii="Times New Roman" w:hAnsi="Times New Roman" w:cs="Times New Roman"/>
          <w:sz w:val="24"/>
          <w:szCs w:val="24"/>
        </w:rPr>
        <w:t xml:space="preserve"> berpengaruh terhadap rasio kecukupan modal dengan kata lain (H</w:t>
      </w:r>
      <w:r w:rsidR="00912307" w:rsidRPr="00F45213">
        <w:rPr>
          <w:rFonts w:ascii="Times New Roman" w:hAnsi="Times New Roman" w:cs="Times New Roman"/>
          <w:sz w:val="24"/>
          <w:szCs w:val="24"/>
        </w:rPr>
        <w:t>2</w:t>
      </w:r>
      <w:r w:rsidRPr="00F45213">
        <w:rPr>
          <w:rFonts w:ascii="Times New Roman" w:hAnsi="Times New Roman" w:cs="Times New Roman"/>
          <w:sz w:val="24"/>
          <w:szCs w:val="24"/>
        </w:rPr>
        <w:t>) dit</w:t>
      </w:r>
      <w:r w:rsidR="00BA4335" w:rsidRPr="00F45213">
        <w:rPr>
          <w:rFonts w:ascii="Times New Roman" w:hAnsi="Times New Roman" w:cs="Times New Roman"/>
          <w:sz w:val="24"/>
          <w:szCs w:val="24"/>
        </w:rPr>
        <w:t>olak</w:t>
      </w:r>
      <w:r w:rsidRPr="00F45213">
        <w:rPr>
          <w:rFonts w:ascii="Times New Roman" w:hAnsi="Times New Roman" w:cs="Times New Roman"/>
          <w:sz w:val="24"/>
          <w:szCs w:val="24"/>
        </w:rPr>
        <w:t xml:space="preserve"> yang berarti</w:t>
      </w:r>
      <w:r w:rsidR="00BA4335" w:rsidRPr="00F45213">
        <w:rPr>
          <w:rFonts w:ascii="Times New Roman" w:hAnsi="Times New Roman" w:cs="Times New Roman"/>
          <w:sz w:val="24"/>
          <w:szCs w:val="24"/>
        </w:rPr>
        <w:t xml:space="preserve"> tidak</w:t>
      </w:r>
      <w:r w:rsidRPr="00F45213">
        <w:rPr>
          <w:rFonts w:ascii="Times New Roman" w:hAnsi="Times New Roman" w:cs="Times New Roman"/>
          <w:sz w:val="24"/>
          <w:szCs w:val="24"/>
        </w:rPr>
        <w:t xml:space="preserve"> terdapat pengaruh </w:t>
      </w:r>
      <w:r w:rsidR="002D5B40" w:rsidRPr="00F45213">
        <w:rPr>
          <w:rFonts w:ascii="Times New Roman" w:hAnsi="Times New Roman" w:cs="Times New Roman"/>
          <w:sz w:val="24"/>
          <w:szCs w:val="24"/>
        </w:rPr>
        <w:t>rentabilitas</w:t>
      </w:r>
      <w:r w:rsidRPr="00F45213">
        <w:rPr>
          <w:rFonts w:ascii="Times New Roman" w:hAnsi="Times New Roman" w:cs="Times New Roman"/>
          <w:sz w:val="24"/>
          <w:szCs w:val="24"/>
        </w:rPr>
        <w:t xml:space="preserve"> terhadap rasio kecukupan modal pada sub sektor perbankan yang terdaftar di Bursa Efek Indonesia tahun 2019-2023. Hasil penelitian ini </w:t>
      </w:r>
      <w:r w:rsidR="00BB4C2C">
        <w:rPr>
          <w:rFonts w:ascii="Times New Roman" w:hAnsi="Times New Roman" w:cs="Times New Roman"/>
          <w:sz w:val="24"/>
          <w:szCs w:val="24"/>
        </w:rPr>
        <w:t>menunjukkan</w:t>
      </w:r>
      <w:r w:rsidRPr="00F45213">
        <w:rPr>
          <w:rFonts w:ascii="Times New Roman" w:hAnsi="Times New Roman" w:cs="Times New Roman"/>
          <w:sz w:val="24"/>
          <w:szCs w:val="24"/>
        </w:rPr>
        <w:t xml:space="preserve"> </w:t>
      </w:r>
      <w:r w:rsidR="00BA4335" w:rsidRPr="00F45213">
        <w:rPr>
          <w:rFonts w:ascii="Times New Roman" w:hAnsi="Times New Roman" w:cs="Times New Roman"/>
          <w:sz w:val="24"/>
          <w:szCs w:val="24"/>
        </w:rPr>
        <w:t xml:space="preserve">tidak memiliki </w:t>
      </w:r>
      <w:r w:rsidRPr="00F45213">
        <w:rPr>
          <w:rFonts w:ascii="Times New Roman" w:hAnsi="Times New Roman" w:cs="Times New Roman"/>
          <w:sz w:val="24"/>
          <w:szCs w:val="24"/>
        </w:rPr>
        <w:t>pengaruh</w:t>
      </w:r>
      <w:r w:rsidR="00BA4335" w:rsidRPr="00F45213">
        <w:rPr>
          <w:rFonts w:ascii="Times New Roman" w:hAnsi="Times New Roman" w:cs="Times New Roman"/>
          <w:sz w:val="24"/>
          <w:szCs w:val="24"/>
        </w:rPr>
        <w:t>,</w:t>
      </w:r>
      <w:r w:rsidRPr="00F45213">
        <w:rPr>
          <w:rFonts w:ascii="Times New Roman" w:hAnsi="Times New Roman" w:cs="Times New Roman"/>
          <w:sz w:val="24"/>
          <w:szCs w:val="24"/>
        </w:rPr>
        <w:t xml:space="preserve"> Sehingga apabila </w:t>
      </w:r>
      <w:r w:rsidR="00BA4335" w:rsidRPr="00F45213">
        <w:rPr>
          <w:rFonts w:ascii="Times New Roman" w:hAnsi="Times New Roman" w:cs="Times New Roman"/>
          <w:sz w:val="24"/>
          <w:szCs w:val="24"/>
        </w:rPr>
        <w:t>rentabilitas</w:t>
      </w:r>
      <w:r w:rsidRPr="00F45213">
        <w:rPr>
          <w:rFonts w:ascii="Times New Roman" w:hAnsi="Times New Roman" w:cs="Times New Roman"/>
          <w:sz w:val="24"/>
          <w:szCs w:val="24"/>
        </w:rPr>
        <w:t xml:space="preserve"> meningkat</w:t>
      </w:r>
      <w:r w:rsidR="00BA4335" w:rsidRPr="00F45213">
        <w:rPr>
          <w:rFonts w:ascii="Times New Roman" w:hAnsi="Times New Roman" w:cs="Times New Roman"/>
          <w:sz w:val="24"/>
          <w:szCs w:val="24"/>
        </w:rPr>
        <w:t xml:space="preserve"> atau menurun</w:t>
      </w:r>
      <w:r w:rsidRPr="00F45213">
        <w:rPr>
          <w:rFonts w:ascii="Times New Roman" w:hAnsi="Times New Roman" w:cs="Times New Roman"/>
          <w:sz w:val="24"/>
          <w:szCs w:val="24"/>
        </w:rPr>
        <w:t xml:space="preserve"> maka akan </w:t>
      </w:r>
      <w:r w:rsidR="00BA4335" w:rsidRPr="00F45213">
        <w:rPr>
          <w:rFonts w:ascii="Times New Roman" w:hAnsi="Times New Roman" w:cs="Times New Roman"/>
          <w:sz w:val="24"/>
          <w:szCs w:val="24"/>
        </w:rPr>
        <w:t xml:space="preserve">tidak </w:t>
      </w:r>
      <w:r w:rsidRPr="00F45213">
        <w:rPr>
          <w:rFonts w:ascii="Times New Roman" w:hAnsi="Times New Roman" w:cs="Times New Roman"/>
          <w:sz w:val="24"/>
          <w:szCs w:val="24"/>
        </w:rPr>
        <w:t>terjadi kenaikan</w:t>
      </w:r>
      <w:r w:rsidR="00BA4335" w:rsidRPr="00F45213">
        <w:rPr>
          <w:rFonts w:ascii="Times New Roman" w:hAnsi="Times New Roman" w:cs="Times New Roman"/>
          <w:sz w:val="24"/>
          <w:szCs w:val="24"/>
        </w:rPr>
        <w:t xml:space="preserve"> atau penurunan</w:t>
      </w:r>
      <w:r w:rsidRPr="00F45213">
        <w:rPr>
          <w:rFonts w:ascii="Times New Roman" w:hAnsi="Times New Roman" w:cs="Times New Roman"/>
          <w:sz w:val="24"/>
          <w:szCs w:val="24"/>
        </w:rPr>
        <w:t xml:space="preserve"> pada variabel rasio kecukupan modal.</w:t>
      </w:r>
    </w:p>
    <w:p w14:paraId="0E4A3F54" w14:textId="77777777" w:rsidR="00995F9C" w:rsidRPr="00912307" w:rsidRDefault="00995F9C" w:rsidP="00995F9C">
      <w:pPr>
        <w:pStyle w:val="ListParagraph"/>
        <w:spacing w:line="480" w:lineRule="auto"/>
        <w:ind w:left="1134" w:firstLine="600"/>
        <w:jc w:val="both"/>
        <w:rPr>
          <w:rFonts w:ascii="Times New Roman" w:hAnsi="Times New Roman" w:cs="Times New Roman"/>
          <w:sz w:val="24"/>
          <w:szCs w:val="24"/>
        </w:rPr>
      </w:pPr>
      <w:r w:rsidRPr="00A4417F">
        <w:rPr>
          <w:rFonts w:ascii="Times New Roman" w:hAnsi="Times New Roman" w:cs="Times New Roman"/>
          <w:i/>
          <w:sz w:val="24"/>
          <w:szCs w:val="24"/>
        </w:rPr>
        <w:t>Return on Aset</w:t>
      </w:r>
      <w:r>
        <w:rPr>
          <w:rFonts w:ascii="Times New Roman" w:hAnsi="Times New Roman" w:cs="Times New Roman"/>
          <w:sz w:val="24"/>
          <w:szCs w:val="24"/>
        </w:rPr>
        <w:t xml:space="preserve"> (ROA) menunjukkan seberapa baik sebuah bank atau Perusahaan dalam menghasilkan keuntungan dari asetnya. Bank yang memiliki </w:t>
      </w:r>
      <w:r w:rsidRPr="00912307">
        <w:rPr>
          <w:rFonts w:ascii="Times New Roman" w:hAnsi="Times New Roman" w:cs="Times New Roman"/>
          <w:i/>
          <w:iCs/>
          <w:sz w:val="24"/>
          <w:szCs w:val="24"/>
        </w:rPr>
        <w:t>Return on Aset</w:t>
      </w:r>
      <w:r>
        <w:rPr>
          <w:rFonts w:ascii="Times New Roman" w:hAnsi="Times New Roman" w:cs="Times New Roman"/>
          <w:sz w:val="24"/>
          <w:szCs w:val="24"/>
        </w:rPr>
        <w:t xml:space="preserve"> (ROA) tinggi biasanya lebih efisien dan lebih menguntungkan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10.14414/jbb.v5i1.383","author":[{"dropping-particle":"","family":"Susilo","given":"Hadi","non-dropping-particle":"","parse-names":false,"suffix":""},{"dropping-particle":"","family":"Cahyono","given":"Dwi","non-dropping-particle":"","parse-names":false,"suffix":""}],"id":"ITEM-1","issue":"October","issued":{"date-parts":[["2015"]]},"page":"113-130","title":"Pengaruh likuiditas, kualiatas aktiva, sensitivitas pasar, efisiensi, dan profitabilitas terhadap CAR pada bank devisa yang go publik","type":"article-journal"},"uris":["http://www.mendeley.com/documents/?uuid=d8fde9ef-f9e5-4a6c-be77-ab53c4ce69ed"]}],"mendeley":{"formattedCitation":"(Susilo &amp; Cahyono, 2015)","plainTextFormattedCitation":"(Susilo &amp; Cahyono, 2015)","previouslyFormattedCitation":"(Susilo &amp; Cahyono, 2015)"},"properties":{"noteIndex":0},"schema":"https://github.com/citation-style-language/schema/raw/master/csl-citation.json"}</w:instrText>
      </w:r>
      <w:r>
        <w:rPr>
          <w:rFonts w:ascii="Times New Roman" w:hAnsi="Times New Roman" w:cs="Times New Roman"/>
          <w:sz w:val="24"/>
          <w:szCs w:val="24"/>
        </w:rPr>
        <w:fldChar w:fldCharType="separate"/>
      </w:r>
      <w:r w:rsidRPr="008908E5">
        <w:rPr>
          <w:rFonts w:ascii="Times New Roman" w:hAnsi="Times New Roman" w:cs="Times New Roman"/>
          <w:noProof/>
          <w:sz w:val="24"/>
          <w:szCs w:val="24"/>
        </w:rPr>
        <w:t>(Susilo &amp; Cahyono, 2015)</w:t>
      </w:r>
      <w:r>
        <w:rPr>
          <w:rFonts w:ascii="Times New Roman" w:hAnsi="Times New Roman" w:cs="Times New Roman"/>
          <w:sz w:val="24"/>
          <w:szCs w:val="24"/>
        </w:rPr>
        <w:fldChar w:fldCharType="end"/>
      </w:r>
      <w:r>
        <w:rPr>
          <w:rFonts w:ascii="Times New Roman" w:hAnsi="Times New Roman" w:cs="Times New Roman"/>
          <w:sz w:val="24"/>
          <w:szCs w:val="24"/>
        </w:rPr>
        <w:t xml:space="preserve">. Berdasarkan teori tersebut dapat disimpulkan bahwa </w:t>
      </w:r>
      <w:r w:rsidRPr="00912307">
        <w:rPr>
          <w:rFonts w:ascii="Times New Roman" w:hAnsi="Times New Roman" w:cs="Times New Roman"/>
          <w:i/>
          <w:iCs/>
          <w:sz w:val="24"/>
          <w:szCs w:val="24"/>
        </w:rPr>
        <w:t>Return on Aset</w:t>
      </w:r>
      <w:r>
        <w:rPr>
          <w:rFonts w:ascii="Times New Roman" w:hAnsi="Times New Roman" w:cs="Times New Roman"/>
          <w:sz w:val="24"/>
          <w:szCs w:val="24"/>
        </w:rPr>
        <w:t xml:space="preserve"> (ROA) berdampak positif terhadap </w:t>
      </w:r>
      <w:r w:rsidRPr="00564475">
        <w:rPr>
          <w:rFonts w:ascii="Times New Roman" w:hAnsi="Times New Roman" w:cs="Times New Roman"/>
          <w:i/>
          <w:iCs/>
          <w:sz w:val="24"/>
          <w:szCs w:val="24"/>
        </w:rPr>
        <w:t>Capital Adequacy Ratio</w:t>
      </w:r>
      <w:r>
        <w:rPr>
          <w:rFonts w:ascii="Times New Roman" w:hAnsi="Times New Roman" w:cs="Times New Roman"/>
          <w:sz w:val="24"/>
          <w:szCs w:val="24"/>
        </w:rPr>
        <w:t xml:space="preserve"> (CAR), dalam kenyataannya, beberapa faktor lain seperti peningkatan asset, perubahan dalam kebijakan manajemen risiko dan regulasi juga berperan dalam menentukan </w:t>
      </w:r>
      <w:r w:rsidRPr="00564475">
        <w:rPr>
          <w:rFonts w:ascii="Times New Roman" w:hAnsi="Times New Roman" w:cs="Times New Roman"/>
          <w:i/>
          <w:iCs/>
          <w:sz w:val="24"/>
          <w:szCs w:val="24"/>
        </w:rPr>
        <w:t>Capital Adequacy Ratio</w:t>
      </w:r>
      <w:r>
        <w:rPr>
          <w:rFonts w:ascii="Times New Roman" w:hAnsi="Times New Roman" w:cs="Times New Roman"/>
          <w:sz w:val="24"/>
          <w:szCs w:val="24"/>
        </w:rPr>
        <w:t xml:space="preserve"> (CAR). Hasil penelitian bertentangan dengan teori tersebut karena bank dapat meningkatkan modalnya melalui berbagai cara seperti menambah modal saham atau menerbitkan obligasi subordinasi, yang tidak </w:t>
      </w:r>
      <w:r>
        <w:rPr>
          <w:rFonts w:ascii="Times New Roman" w:hAnsi="Times New Roman" w:cs="Times New Roman"/>
          <w:sz w:val="24"/>
          <w:szCs w:val="24"/>
        </w:rPr>
        <w:lastRenderedPageBreak/>
        <w:t xml:space="preserve">selalu bergantung pada laba bersih atau </w:t>
      </w:r>
      <w:r w:rsidRPr="00912307">
        <w:rPr>
          <w:rFonts w:ascii="Times New Roman" w:hAnsi="Times New Roman" w:cs="Times New Roman"/>
          <w:i/>
          <w:iCs/>
          <w:sz w:val="24"/>
          <w:szCs w:val="24"/>
        </w:rPr>
        <w:t xml:space="preserve">Return on Aset </w:t>
      </w:r>
      <w:r w:rsidRPr="00912307">
        <w:rPr>
          <w:rFonts w:ascii="Times New Roman" w:hAnsi="Times New Roman" w:cs="Times New Roman"/>
          <w:sz w:val="24"/>
          <w:szCs w:val="24"/>
        </w:rPr>
        <w:t>(ROA</w:t>
      </w:r>
      <w:r w:rsidRPr="00912307">
        <w:rPr>
          <w:rFonts w:ascii="Times New Roman" w:hAnsi="Times New Roman" w:cs="Times New Roman"/>
          <w:i/>
          <w:iCs/>
          <w:sz w:val="24"/>
          <w:szCs w:val="24"/>
        </w:rPr>
        <w:t>)</w:t>
      </w:r>
      <w:r>
        <w:rPr>
          <w:rFonts w:ascii="Times New Roman" w:hAnsi="Times New Roman" w:cs="Times New Roman"/>
          <w:i/>
          <w:iCs/>
          <w:sz w:val="24"/>
          <w:szCs w:val="24"/>
        </w:rPr>
        <w:t xml:space="preserve">. </w:t>
      </w:r>
      <w:r w:rsidRPr="00912307">
        <w:rPr>
          <w:rFonts w:ascii="Times New Roman" w:hAnsi="Times New Roman" w:cs="Times New Roman"/>
          <w:i/>
          <w:iCs/>
          <w:sz w:val="24"/>
          <w:szCs w:val="24"/>
        </w:rPr>
        <w:t xml:space="preserve">Return on Aset </w:t>
      </w:r>
      <w:r w:rsidRPr="00912307">
        <w:rPr>
          <w:rFonts w:ascii="Times New Roman" w:hAnsi="Times New Roman" w:cs="Times New Roman"/>
          <w:sz w:val="24"/>
          <w:szCs w:val="24"/>
        </w:rPr>
        <w:t>(ROA</w:t>
      </w:r>
      <w:r>
        <w:rPr>
          <w:rFonts w:ascii="Times New Roman" w:hAnsi="Times New Roman" w:cs="Times New Roman"/>
          <w:sz w:val="24"/>
          <w:szCs w:val="24"/>
        </w:rPr>
        <w:t>) tidak mempengaruhi rasio kecukupan modal bisa saja terjadi dimana perubahan dalam modal atau asset tertimbang menurut risiko lebih dominan daripada perubahan dalam rentabilitas.</w:t>
      </w:r>
    </w:p>
    <w:p w14:paraId="319DD03B" w14:textId="29949226" w:rsidR="00995F9C" w:rsidRPr="00995F9C" w:rsidRDefault="00995F9C" w:rsidP="00995F9C">
      <w:pPr>
        <w:pStyle w:val="ListParagraph"/>
        <w:spacing w:line="480" w:lineRule="auto"/>
        <w:ind w:left="1134" w:firstLine="600"/>
        <w:jc w:val="both"/>
        <w:rPr>
          <w:rFonts w:ascii="Times New Roman" w:hAnsi="Times New Roman" w:cs="Times New Roman"/>
          <w:sz w:val="24"/>
          <w:szCs w:val="24"/>
        </w:rPr>
      </w:pPr>
      <w:r w:rsidRPr="00477A06">
        <w:rPr>
          <w:rFonts w:ascii="Times New Roman" w:hAnsi="Times New Roman" w:cs="Times New Roman"/>
          <w:sz w:val="24"/>
          <w:szCs w:val="24"/>
        </w:rPr>
        <w:t xml:space="preserve">Penelitian ini memiliki hasil yang sama dengan penelitian yang dilakukan oleh </w:t>
      </w:r>
      <w:r>
        <w:rPr>
          <w:rFonts w:ascii="Times New Roman" w:hAnsi="Times New Roman" w:cs="Times New Roman"/>
          <w:sz w:val="24"/>
          <w:szCs w:val="24"/>
        </w:rPr>
        <w:t>Hasanah</w:t>
      </w:r>
      <w:r w:rsidRPr="00477A06">
        <w:rPr>
          <w:rFonts w:ascii="Times New Roman" w:hAnsi="Times New Roman" w:cs="Times New Roman"/>
          <w:sz w:val="24"/>
          <w:szCs w:val="24"/>
        </w:rPr>
        <w:t xml:space="preserve"> &amp; </w:t>
      </w:r>
      <w:r>
        <w:rPr>
          <w:rFonts w:ascii="Times New Roman" w:hAnsi="Times New Roman" w:cs="Times New Roman"/>
          <w:sz w:val="24"/>
          <w:szCs w:val="24"/>
        </w:rPr>
        <w:t>Manda</w:t>
      </w:r>
      <w:r w:rsidRPr="00477A06">
        <w:rPr>
          <w:rFonts w:ascii="Times New Roman" w:hAnsi="Times New Roman" w:cs="Times New Roman"/>
          <w:sz w:val="24"/>
          <w:szCs w:val="24"/>
        </w:rPr>
        <w:t xml:space="preserve"> (202</w:t>
      </w:r>
      <w:r>
        <w:rPr>
          <w:rFonts w:ascii="Times New Roman" w:hAnsi="Times New Roman" w:cs="Times New Roman"/>
          <w:sz w:val="24"/>
          <w:szCs w:val="24"/>
        </w:rPr>
        <w:t>1</w:t>
      </w:r>
      <w:r w:rsidRPr="00477A06">
        <w:rPr>
          <w:rFonts w:ascii="Times New Roman" w:hAnsi="Times New Roman" w:cs="Times New Roman"/>
          <w:sz w:val="24"/>
          <w:szCs w:val="24"/>
        </w:rPr>
        <w:t xml:space="preserve">) yang menyatakan bahwa </w:t>
      </w:r>
      <w:r>
        <w:rPr>
          <w:rFonts w:ascii="Times New Roman" w:hAnsi="Times New Roman" w:cs="Times New Roman"/>
          <w:sz w:val="24"/>
          <w:szCs w:val="24"/>
        </w:rPr>
        <w:t>efisiensi operasional tidak</w:t>
      </w:r>
      <w:r w:rsidRPr="00477A06">
        <w:rPr>
          <w:rFonts w:ascii="Times New Roman" w:hAnsi="Times New Roman" w:cs="Times New Roman"/>
          <w:sz w:val="24"/>
          <w:szCs w:val="24"/>
        </w:rPr>
        <w:t xml:space="preserve"> berpengaruh</w:t>
      </w:r>
      <w:r>
        <w:rPr>
          <w:rFonts w:ascii="Times New Roman" w:hAnsi="Times New Roman" w:cs="Times New Roman"/>
          <w:sz w:val="24"/>
          <w:szCs w:val="24"/>
        </w:rPr>
        <w:t xml:space="preserve"> </w:t>
      </w:r>
      <w:r w:rsidRPr="00477A06">
        <w:rPr>
          <w:rFonts w:ascii="Times New Roman" w:hAnsi="Times New Roman" w:cs="Times New Roman"/>
          <w:sz w:val="24"/>
          <w:szCs w:val="24"/>
        </w:rPr>
        <w:t>terhadap rasio kecukupan modal</w:t>
      </w:r>
      <w:r>
        <w:rPr>
          <w:rFonts w:ascii="Times New Roman" w:hAnsi="Times New Roman" w:cs="Times New Roman"/>
          <w:sz w:val="24"/>
          <w:szCs w:val="24"/>
        </w:rPr>
        <w:t>, Namun hasil penelitian ini berbeda dengan penelitian yang dilakukan Fatra, dkk (2019) yang hasilnya rentabilitas memiliki pengaruh terhadap rasio kecukupan modal.</w:t>
      </w:r>
    </w:p>
    <w:p w14:paraId="76C66DB4" w14:textId="4FB034D9" w:rsidR="008A2CF2" w:rsidRPr="00F277D8" w:rsidRDefault="008A2CF2" w:rsidP="004933BF">
      <w:pPr>
        <w:pStyle w:val="ListParagraph"/>
        <w:numPr>
          <w:ilvl w:val="0"/>
          <w:numId w:val="91"/>
        </w:numPr>
        <w:spacing w:line="480" w:lineRule="auto"/>
        <w:ind w:left="1134"/>
        <w:jc w:val="both"/>
        <w:rPr>
          <w:rFonts w:ascii="Times New Roman" w:eastAsiaTheme="majorEastAsia" w:hAnsi="Times New Roman" w:cs="Times New Roman"/>
          <w:sz w:val="24"/>
          <w:szCs w:val="24"/>
        </w:rPr>
      </w:pPr>
      <w:r w:rsidRPr="00F277D8">
        <w:rPr>
          <w:rFonts w:ascii="Times New Roman" w:eastAsiaTheme="majorEastAsia" w:hAnsi="Times New Roman" w:cs="Times New Roman"/>
          <w:sz w:val="24"/>
          <w:szCs w:val="24"/>
        </w:rPr>
        <w:t>Pengaruh Sensitivitas Risiko Pasar Terhadap Rasio Kecukupan Modal</w:t>
      </w:r>
    </w:p>
    <w:p w14:paraId="2D8CD678" w14:textId="2CDFD379" w:rsidR="00F277D8" w:rsidRPr="00F45213" w:rsidRDefault="00F277D8" w:rsidP="00F45213">
      <w:pPr>
        <w:pStyle w:val="ListParagraph"/>
        <w:spacing w:line="480" w:lineRule="auto"/>
        <w:ind w:left="1134" w:firstLine="284"/>
        <w:jc w:val="both"/>
        <w:rPr>
          <w:rFonts w:ascii="Times New Roman" w:hAnsi="Times New Roman" w:cs="Times New Roman"/>
          <w:sz w:val="24"/>
          <w:szCs w:val="24"/>
        </w:rPr>
      </w:pPr>
      <w:r w:rsidRPr="00C46A01">
        <w:rPr>
          <w:rFonts w:ascii="Times New Roman" w:hAnsi="Times New Roman" w:cs="Times New Roman"/>
          <w:sz w:val="24"/>
          <w:szCs w:val="24"/>
        </w:rPr>
        <w:t xml:space="preserve">Hipotesis </w:t>
      </w:r>
      <w:r w:rsidR="002D5B40">
        <w:rPr>
          <w:rFonts w:ascii="Times New Roman" w:hAnsi="Times New Roman" w:cs="Times New Roman"/>
          <w:sz w:val="24"/>
          <w:szCs w:val="24"/>
        </w:rPr>
        <w:t xml:space="preserve">ketiga </w:t>
      </w:r>
      <w:r w:rsidRPr="00C46A01">
        <w:rPr>
          <w:rFonts w:ascii="Times New Roman" w:hAnsi="Times New Roman" w:cs="Times New Roman"/>
          <w:sz w:val="24"/>
          <w:szCs w:val="24"/>
        </w:rPr>
        <w:t>(H</w:t>
      </w:r>
      <w:r>
        <w:rPr>
          <w:rFonts w:ascii="Times New Roman" w:hAnsi="Times New Roman" w:cs="Times New Roman"/>
          <w:sz w:val="24"/>
          <w:szCs w:val="24"/>
        </w:rPr>
        <w:t>3</w:t>
      </w:r>
      <w:r w:rsidRPr="00C46A01">
        <w:rPr>
          <w:rFonts w:ascii="Times New Roman" w:hAnsi="Times New Roman" w:cs="Times New Roman"/>
          <w:sz w:val="24"/>
          <w:szCs w:val="24"/>
        </w:rPr>
        <w:t xml:space="preserve">) yang diajukan dalam penelitian ini </w:t>
      </w:r>
      <w:r w:rsidRPr="00E44185">
        <w:rPr>
          <w:rFonts w:ascii="Times New Roman" w:hAnsi="Times New Roman" w:cs="Times New Roman"/>
          <w:sz w:val="24"/>
          <w:szCs w:val="24"/>
        </w:rPr>
        <w:t xml:space="preserve">adalah </w:t>
      </w:r>
      <w:r>
        <w:rPr>
          <w:rFonts w:ascii="Times New Roman" w:hAnsi="Times New Roman" w:cs="Times New Roman"/>
          <w:sz w:val="24"/>
          <w:szCs w:val="24"/>
        </w:rPr>
        <w:t>sensitivitas risiko pasar</w:t>
      </w:r>
      <w:r w:rsidRPr="00E44185">
        <w:rPr>
          <w:rFonts w:ascii="Times New Roman" w:hAnsi="Times New Roman" w:cs="Times New Roman"/>
          <w:sz w:val="24"/>
          <w:szCs w:val="24"/>
        </w:rPr>
        <w:t xml:space="preserve"> berpengaruh terhadap rasio kecukupan modal.</w:t>
      </w:r>
      <w:r w:rsidR="00F45213">
        <w:rPr>
          <w:rFonts w:ascii="Times New Roman" w:hAnsi="Times New Roman" w:cs="Times New Roman"/>
          <w:sz w:val="24"/>
          <w:szCs w:val="24"/>
        </w:rPr>
        <w:t xml:space="preserve"> </w:t>
      </w:r>
      <w:r w:rsidRPr="00F45213">
        <w:rPr>
          <w:rFonts w:ascii="Times New Roman" w:hAnsi="Times New Roman" w:cs="Times New Roman"/>
          <w:sz w:val="24"/>
          <w:szCs w:val="24"/>
        </w:rPr>
        <w:t xml:space="preserve">Hasil dari pengujian regresi diperoleh nilai koefisien sebesar </w:t>
      </w:r>
      <w:r w:rsidR="00C07D4E" w:rsidRPr="00F45213">
        <w:rPr>
          <w:rFonts w:ascii="Times New Roman" w:hAnsi="Times New Roman" w:cs="Times New Roman"/>
          <w:sz w:val="24"/>
          <w:szCs w:val="24"/>
        </w:rPr>
        <w:t xml:space="preserve">1.261 </w:t>
      </w:r>
      <w:r w:rsidRPr="00F45213">
        <w:rPr>
          <w:rFonts w:ascii="Times New Roman" w:hAnsi="Times New Roman" w:cs="Times New Roman"/>
          <w:sz w:val="24"/>
          <w:szCs w:val="24"/>
        </w:rPr>
        <w:t>dengan tingkat signifikansi 0.</w:t>
      </w:r>
      <w:r w:rsidR="00C07D4E" w:rsidRPr="00F45213">
        <w:rPr>
          <w:rFonts w:ascii="Times New Roman" w:hAnsi="Times New Roman" w:cs="Times New Roman"/>
          <w:sz w:val="24"/>
          <w:szCs w:val="24"/>
        </w:rPr>
        <w:t>209</w:t>
      </w:r>
      <w:r w:rsidRPr="00F45213">
        <w:rPr>
          <w:rFonts w:ascii="Times New Roman" w:hAnsi="Times New Roman" w:cs="Times New Roman"/>
          <w:sz w:val="24"/>
          <w:szCs w:val="24"/>
        </w:rPr>
        <w:t xml:space="preserve"> &gt; 0.05, membuktikan bahwa sensitivitas risiko pasar tidak berpengaruh terhadap rasio kecukupan modal dengan kata lain (H3) ditolak yang berarti tidak terdapat pengaruh sensitivitas risiko pasar terhadap rasio kecukupan modal pada sub sektor perbankan yang terdaftar di Bursa Efek Indonesia tahun 2019-2023. Hasil penelitian ini </w:t>
      </w:r>
      <w:r w:rsidR="00BB4C2C">
        <w:rPr>
          <w:rFonts w:ascii="Times New Roman" w:hAnsi="Times New Roman" w:cs="Times New Roman"/>
          <w:sz w:val="24"/>
          <w:szCs w:val="24"/>
        </w:rPr>
        <w:t>menunjukkan</w:t>
      </w:r>
      <w:r w:rsidRPr="00F45213">
        <w:rPr>
          <w:rFonts w:ascii="Times New Roman" w:hAnsi="Times New Roman" w:cs="Times New Roman"/>
          <w:sz w:val="24"/>
          <w:szCs w:val="24"/>
        </w:rPr>
        <w:t xml:space="preserve"> tidak memiliki pengaruh, Sehingga apabila </w:t>
      </w:r>
      <w:r w:rsidR="008F26CE" w:rsidRPr="00F45213">
        <w:rPr>
          <w:rFonts w:ascii="Times New Roman" w:hAnsi="Times New Roman" w:cs="Times New Roman"/>
          <w:sz w:val="24"/>
          <w:szCs w:val="24"/>
        </w:rPr>
        <w:t xml:space="preserve">sensitivitas risiko pasar </w:t>
      </w:r>
      <w:r w:rsidRPr="00F45213">
        <w:rPr>
          <w:rFonts w:ascii="Times New Roman" w:hAnsi="Times New Roman" w:cs="Times New Roman"/>
          <w:sz w:val="24"/>
          <w:szCs w:val="24"/>
        </w:rPr>
        <w:t>meningkat atau menurun maka tidak terjadi kenaikan atau penurunan pada variabel rasio kecukupan modal.</w:t>
      </w:r>
    </w:p>
    <w:p w14:paraId="7350FF7E" w14:textId="77777777" w:rsidR="00995F9C" w:rsidRDefault="00995F9C" w:rsidP="004933BF">
      <w:pPr>
        <w:pStyle w:val="ListParagraph"/>
        <w:spacing w:line="480" w:lineRule="auto"/>
        <w:ind w:left="1134" w:firstLine="284"/>
        <w:jc w:val="both"/>
        <w:rPr>
          <w:rFonts w:ascii="Times New Roman" w:hAnsi="Times New Roman" w:cs="Times New Roman"/>
          <w:sz w:val="24"/>
          <w:szCs w:val="24"/>
        </w:rPr>
      </w:pPr>
    </w:p>
    <w:p w14:paraId="4725524B" w14:textId="77777777" w:rsidR="00995F9C" w:rsidRPr="00A909CE" w:rsidRDefault="00995F9C" w:rsidP="00995F9C">
      <w:pPr>
        <w:pStyle w:val="ListParagraph"/>
        <w:spacing w:line="480" w:lineRule="auto"/>
        <w:ind w:left="1134"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teori, pengaruh Posisi Devisa Neto (PDN) terhadap </w:t>
      </w:r>
      <w:r w:rsidRPr="00A909CE">
        <w:rPr>
          <w:rFonts w:ascii="Times New Roman" w:hAnsi="Times New Roman" w:cs="Times New Roman"/>
          <w:i/>
          <w:iCs/>
          <w:sz w:val="24"/>
          <w:szCs w:val="24"/>
        </w:rPr>
        <w:t>Capital Adequacy Ratio</w:t>
      </w:r>
      <w:r>
        <w:rPr>
          <w:rFonts w:ascii="Times New Roman" w:hAnsi="Times New Roman" w:cs="Times New Roman"/>
          <w:sz w:val="24"/>
          <w:szCs w:val="24"/>
        </w:rPr>
        <w:t xml:space="preserve"> (CAR) adalah bisa positif ataupun negatif. Berdasarkan teori tersebut terjadi ketidaksesuaian dengan hasil penelitian ini disebabkan karena secara teoritis apabila Posisi Devisa Neto (PDN) menurun atau naik, berarti tidak terjadi penurunan total aktiva valas dengan presentase lebih rendah ataupun besar dibanding presentase peningkatan total pasiva valas sehingga laba bank dan modal bank tidak mengalami perubahan. </w:t>
      </w:r>
      <w:r w:rsidRPr="00A909CE">
        <w:rPr>
          <w:rFonts w:ascii="Times New Roman" w:hAnsi="Times New Roman" w:cs="Times New Roman"/>
          <w:i/>
          <w:iCs/>
          <w:sz w:val="24"/>
          <w:szCs w:val="24"/>
        </w:rPr>
        <w:t>Capital Adequacy Ratio</w:t>
      </w:r>
      <w:r>
        <w:rPr>
          <w:rFonts w:ascii="Times New Roman" w:hAnsi="Times New Roman" w:cs="Times New Roman"/>
          <w:sz w:val="24"/>
          <w:szCs w:val="24"/>
        </w:rPr>
        <w:t xml:space="preserve"> (CAR) merupakan rasio yang mengukur kecukupan modal suatu bank, sedangkan posisi devisa neto adalah selisih antara asset dan kewajiban dalam mata uang asing yang dimiliki bank. Posisi Devisa Neto (PDN) berhubungan dengan risiko nilai tukar yang timbul dari eksposur posisi devisa. </w:t>
      </w:r>
      <w:r w:rsidRPr="00A909CE">
        <w:rPr>
          <w:rFonts w:ascii="Times New Roman" w:hAnsi="Times New Roman" w:cs="Times New Roman"/>
          <w:sz w:val="24"/>
          <w:szCs w:val="24"/>
        </w:rPr>
        <w:t>Hasil Penelitian ini tidak sejalan atau bertolak belakang dengan penelitian terdahulu yang dilakukan oleh</w:t>
      </w:r>
      <w:r>
        <w:rPr>
          <w:rFonts w:ascii="Times New Roman" w:hAnsi="Times New Roman" w:cs="Times New Roman"/>
          <w:sz w:val="24"/>
          <w:szCs w:val="24"/>
        </w:rPr>
        <w:t xml:space="preserve"> </w:t>
      </w:r>
      <w:r w:rsidRPr="00A909CE">
        <w:rPr>
          <w:rFonts w:ascii="Times New Roman" w:hAnsi="Times New Roman" w:cs="Times New Roman"/>
          <w:sz w:val="24"/>
          <w:szCs w:val="24"/>
        </w:rPr>
        <w:t xml:space="preserve">Cahyono &amp; Anggraeni (2015), yang menyatakan bahwa sensitifitas risiko pasar berpengaruh signifikan terhadap rasio kecukupan modal. </w:t>
      </w:r>
    </w:p>
    <w:p w14:paraId="356B979D" w14:textId="7A050F3C" w:rsidR="008A2CF2" w:rsidRPr="00F277D8" w:rsidRDefault="008A2CF2" w:rsidP="004933BF">
      <w:pPr>
        <w:pStyle w:val="ListParagraph"/>
        <w:numPr>
          <w:ilvl w:val="0"/>
          <w:numId w:val="91"/>
        </w:numPr>
        <w:spacing w:line="480" w:lineRule="auto"/>
        <w:ind w:left="1134"/>
        <w:jc w:val="both"/>
        <w:rPr>
          <w:rFonts w:ascii="Times New Roman" w:eastAsiaTheme="majorEastAsia" w:hAnsi="Times New Roman" w:cs="Times New Roman"/>
          <w:sz w:val="24"/>
          <w:szCs w:val="24"/>
        </w:rPr>
      </w:pPr>
      <w:r w:rsidRPr="00F277D8">
        <w:rPr>
          <w:rFonts w:ascii="Times New Roman" w:eastAsiaTheme="majorEastAsia" w:hAnsi="Times New Roman" w:cs="Times New Roman"/>
          <w:sz w:val="24"/>
          <w:szCs w:val="24"/>
        </w:rPr>
        <w:t>Pengaruh Efisiensi Operasional Terhadap Rasio Kecukupan Modal</w:t>
      </w:r>
    </w:p>
    <w:p w14:paraId="69534AF6" w14:textId="72C58539" w:rsidR="00F277D8" w:rsidRPr="00F45213" w:rsidRDefault="00F277D8" w:rsidP="00F45213">
      <w:pPr>
        <w:pStyle w:val="ListParagraph"/>
        <w:spacing w:line="480" w:lineRule="auto"/>
        <w:ind w:left="1134" w:firstLine="284"/>
        <w:jc w:val="both"/>
        <w:rPr>
          <w:rFonts w:ascii="Times New Roman" w:hAnsi="Times New Roman" w:cs="Times New Roman"/>
          <w:sz w:val="24"/>
          <w:szCs w:val="24"/>
        </w:rPr>
      </w:pPr>
      <w:r w:rsidRPr="00C46A01">
        <w:rPr>
          <w:rFonts w:ascii="Times New Roman" w:hAnsi="Times New Roman" w:cs="Times New Roman"/>
          <w:sz w:val="24"/>
          <w:szCs w:val="24"/>
        </w:rPr>
        <w:t xml:space="preserve">Hipotesis </w:t>
      </w:r>
      <w:r w:rsidR="002D5B40">
        <w:rPr>
          <w:rFonts w:ascii="Times New Roman" w:hAnsi="Times New Roman" w:cs="Times New Roman"/>
          <w:sz w:val="24"/>
          <w:szCs w:val="24"/>
        </w:rPr>
        <w:t>keempat</w:t>
      </w:r>
      <w:r w:rsidRPr="00C46A01">
        <w:rPr>
          <w:rFonts w:ascii="Times New Roman" w:hAnsi="Times New Roman" w:cs="Times New Roman"/>
          <w:sz w:val="24"/>
          <w:szCs w:val="24"/>
        </w:rPr>
        <w:t xml:space="preserve"> (H</w:t>
      </w:r>
      <w:r>
        <w:rPr>
          <w:rFonts w:ascii="Times New Roman" w:hAnsi="Times New Roman" w:cs="Times New Roman"/>
          <w:sz w:val="24"/>
          <w:szCs w:val="24"/>
        </w:rPr>
        <w:t>4</w:t>
      </w:r>
      <w:r w:rsidRPr="00C46A01">
        <w:rPr>
          <w:rFonts w:ascii="Times New Roman" w:hAnsi="Times New Roman" w:cs="Times New Roman"/>
          <w:sz w:val="24"/>
          <w:szCs w:val="24"/>
        </w:rPr>
        <w:t xml:space="preserve">) yang diajukan dalam penelitian ini </w:t>
      </w:r>
      <w:r w:rsidRPr="00E44185">
        <w:rPr>
          <w:rFonts w:ascii="Times New Roman" w:hAnsi="Times New Roman" w:cs="Times New Roman"/>
          <w:sz w:val="24"/>
          <w:szCs w:val="24"/>
        </w:rPr>
        <w:t xml:space="preserve">adalah </w:t>
      </w:r>
      <w:r>
        <w:rPr>
          <w:rFonts w:ascii="Times New Roman" w:hAnsi="Times New Roman" w:cs="Times New Roman"/>
          <w:sz w:val="24"/>
          <w:szCs w:val="24"/>
        </w:rPr>
        <w:t>efisiensi operasional</w:t>
      </w:r>
      <w:r w:rsidRPr="00E44185">
        <w:rPr>
          <w:rFonts w:ascii="Times New Roman" w:hAnsi="Times New Roman" w:cs="Times New Roman"/>
          <w:sz w:val="24"/>
          <w:szCs w:val="24"/>
        </w:rPr>
        <w:t xml:space="preserve"> berpengaruh terhadap rasio kecukupan modal.</w:t>
      </w:r>
      <w:r w:rsidR="00F45213">
        <w:rPr>
          <w:rFonts w:ascii="Times New Roman" w:hAnsi="Times New Roman" w:cs="Times New Roman"/>
          <w:sz w:val="24"/>
          <w:szCs w:val="24"/>
        </w:rPr>
        <w:t xml:space="preserve"> </w:t>
      </w:r>
      <w:r w:rsidRPr="00F45213">
        <w:rPr>
          <w:rFonts w:ascii="Times New Roman" w:hAnsi="Times New Roman" w:cs="Times New Roman"/>
          <w:sz w:val="24"/>
          <w:szCs w:val="24"/>
        </w:rPr>
        <w:t>Hasil dari pengujian regresi diperoleh nilai koefisien sebesar 0.</w:t>
      </w:r>
      <w:r w:rsidR="00C07D4E" w:rsidRPr="00F45213">
        <w:rPr>
          <w:rFonts w:ascii="Times New Roman" w:hAnsi="Times New Roman" w:cs="Times New Roman"/>
          <w:sz w:val="24"/>
          <w:szCs w:val="24"/>
        </w:rPr>
        <w:t>156</w:t>
      </w:r>
      <w:r w:rsidRPr="00F45213">
        <w:rPr>
          <w:rFonts w:ascii="Times New Roman" w:hAnsi="Times New Roman" w:cs="Times New Roman"/>
          <w:sz w:val="24"/>
          <w:szCs w:val="24"/>
        </w:rPr>
        <w:t xml:space="preserve"> dengan tingkat signifikansi 0.</w:t>
      </w:r>
      <w:r w:rsidR="00C07D4E" w:rsidRPr="00F45213">
        <w:rPr>
          <w:rFonts w:ascii="Times New Roman" w:hAnsi="Times New Roman" w:cs="Times New Roman"/>
          <w:sz w:val="24"/>
          <w:szCs w:val="24"/>
        </w:rPr>
        <w:t>876</w:t>
      </w:r>
      <w:r w:rsidRPr="00F45213">
        <w:rPr>
          <w:rFonts w:ascii="Times New Roman" w:hAnsi="Times New Roman" w:cs="Times New Roman"/>
          <w:sz w:val="24"/>
          <w:szCs w:val="24"/>
        </w:rPr>
        <w:t xml:space="preserve"> &gt; 0.05, membuktikan bahwa efisiensi operasional tidak berpengaruh terhadap rasio kecukupan modal dengan kata lain (H4) ditolak yang berarti tidak terdapat pengaruh efisiensi operasional terhadap rasio kecukupan modal pada sub sektor perbankan </w:t>
      </w:r>
      <w:r w:rsidRPr="00F45213">
        <w:rPr>
          <w:rFonts w:ascii="Times New Roman" w:hAnsi="Times New Roman" w:cs="Times New Roman"/>
          <w:sz w:val="24"/>
          <w:szCs w:val="24"/>
        </w:rPr>
        <w:lastRenderedPageBreak/>
        <w:t xml:space="preserve">yang terdaftar di Bursa Efek Indonesia tahun 2019-2023. Hasil penelitian ini </w:t>
      </w:r>
      <w:r w:rsidR="00BB4C2C">
        <w:rPr>
          <w:rFonts w:ascii="Times New Roman" w:hAnsi="Times New Roman" w:cs="Times New Roman"/>
          <w:sz w:val="24"/>
          <w:szCs w:val="24"/>
        </w:rPr>
        <w:t>menunjukkan</w:t>
      </w:r>
      <w:r w:rsidRPr="00F45213">
        <w:rPr>
          <w:rFonts w:ascii="Times New Roman" w:hAnsi="Times New Roman" w:cs="Times New Roman"/>
          <w:sz w:val="24"/>
          <w:szCs w:val="24"/>
        </w:rPr>
        <w:t xml:space="preserve"> tidak memiliki pengaruh, Sehingga apabila </w:t>
      </w:r>
      <w:r w:rsidR="009562CF" w:rsidRPr="00F45213">
        <w:rPr>
          <w:rFonts w:ascii="Times New Roman" w:hAnsi="Times New Roman" w:cs="Times New Roman"/>
          <w:sz w:val="24"/>
          <w:szCs w:val="24"/>
        </w:rPr>
        <w:t>efisiensi operasional</w:t>
      </w:r>
      <w:r w:rsidRPr="00F45213">
        <w:rPr>
          <w:rFonts w:ascii="Times New Roman" w:hAnsi="Times New Roman" w:cs="Times New Roman"/>
          <w:sz w:val="24"/>
          <w:szCs w:val="24"/>
        </w:rPr>
        <w:t xml:space="preserve"> meningkat atau menurun maka tidak terjadi kenaikan atau penurunan pada variabel rasio kecukupan modal.</w:t>
      </w:r>
    </w:p>
    <w:p w14:paraId="3179D131" w14:textId="7BEC2888" w:rsidR="00850660" w:rsidRDefault="001B38B8" w:rsidP="00850660">
      <w:pPr>
        <w:pStyle w:val="ListParagraph"/>
        <w:spacing w:line="480" w:lineRule="auto"/>
        <w:ind w:left="1134" w:firstLine="600"/>
        <w:jc w:val="both"/>
        <w:rPr>
          <w:rFonts w:ascii="Times New Roman" w:hAnsi="Times New Roman" w:cs="Times New Roman"/>
          <w:sz w:val="24"/>
          <w:szCs w:val="24"/>
        </w:rPr>
      </w:pPr>
      <w:r>
        <w:rPr>
          <w:rFonts w:ascii="Times New Roman" w:hAnsi="Times New Roman" w:cs="Times New Roman"/>
          <w:sz w:val="24"/>
          <w:szCs w:val="24"/>
        </w:rPr>
        <w:t xml:space="preserve">Berdasarkan teori </w:t>
      </w:r>
      <w:r w:rsidR="00850660">
        <w:rPr>
          <w:rFonts w:ascii="Times New Roman" w:hAnsi="Times New Roman" w:cs="Times New Roman"/>
          <w:sz w:val="24"/>
          <w:szCs w:val="24"/>
        </w:rPr>
        <w:t>Biaya operasional pendapatan operasional (BOPO) menunjukkan dalam menjalankan usaha pokoknya, terutama kredit yang dibagikan, berdasarkan jumlah dana yang berhasil dikumpulkan. Perbankan dalam pengumpulan dana terutama dana masyarakat, diperlukan biaya selain biaya bunga (termasuk biaya iklan). Sampai saat ini pendapatan bank diindonesia masih didominasi oleh pendapatan bunga kredit, oleh karena itu, besar atau kecilnya BOPO menunjukkan bahwa bank kurang efisiensi dalam menjalankan operasionalnya karena biaya operasional yang harus ditanggung akan lebih besar dari</w:t>
      </w:r>
      <w:r>
        <w:rPr>
          <w:rFonts w:ascii="Times New Roman" w:hAnsi="Times New Roman" w:cs="Times New Roman"/>
          <w:sz w:val="24"/>
          <w:szCs w:val="24"/>
        </w:rPr>
        <w:t xml:space="preserve"> </w:t>
      </w:r>
      <w:r w:rsidR="00850660">
        <w:rPr>
          <w:rFonts w:ascii="Times New Roman" w:hAnsi="Times New Roman" w:cs="Times New Roman"/>
          <w:sz w:val="24"/>
          <w:szCs w:val="24"/>
        </w:rPr>
        <w:t>pada pendapatan operasional yang diperoleh sehingga ada kemungkinan modal digunakan untuk</w:t>
      </w:r>
      <w:r>
        <w:rPr>
          <w:rFonts w:ascii="Times New Roman" w:hAnsi="Times New Roman" w:cs="Times New Roman"/>
          <w:sz w:val="24"/>
          <w:szCs w:val="24"/>
        </w:rPr>
        <w:t xml:space="preserve"> </w:t>
      </w:r>
      <w:r w:rsidR="00850660">
        <w:rPr>
          <w:rFonts w:ascii="Times New Roman" w:hAnsi="Times New Roman" w:cs="Times New Roman"/>
          <w:sz w:val="24"/>
          <w:szCs w:val="24"/>
        </w:rPr>
        <w:t>menutupi biaya operasionalnya yang tidak tertutup oleh pendapatan operasional</w:t>
      </w:r>
      <w:r w:rsidR="00E534C9">
        <w:rPr>
          <w:rFonts w:ascii="Times New Roman" w:hAnsi="Times New Roman" w:cs="Times New Roman"/>
          <w:sz w:val="24"/>
          <w:szCs w:val="24"/>
        </w:rPr>
        <w:t xml:space="preserve"> turun</w:t>
      </w:r>
      <w:r w:rsidR="00F33E85">
        <w:rPr>
          <w:rFonts w:ascii="Times New Roman" w:hAnsi="Times New Roman" w:cs="Times New Roman"/>
          <w:sz w:val="24"/>
          <w:szCs w:val="24"/>
        </w:rPr>
        <w:t xml:space="preserve"> </w:t>
      </w:r>
      <w:r w:rsidR="00F33E85">
        <w:rPr>
          <w:rFonts w:ascii="Times New Roman" w:hAnsi="Times New Roman" w:cs="Times New Roman"/>
          <w:sz w:val="24"/>
          <w:szCs w:val="24"/>
        </w:rPr>
        <w:fldChar w:fldCharType="begin" w:fldLock="1"/>
      </w:r>
      <w:r w:rsidR="00F33E85">
        <w:rPr>
          <w:rFonts w:ascii="Times New Roman" w:hAnsi="Times New Roman" w:cs="Times New Roman"/>
          <w:sz w:val="24"/>
          <w:szCs w:val="24"/>
        </w:rPr>
        <w:instrText>ADDIN CSL_CITATION {"citationItems":[{"id":"ITEM-1","itemData":{"ISBN":"9786026011503","abstract":"This study was aimed at examining the effect of credit risk, profitability, liquidity, and business efficient of banks listed in Indonesian Stock Exchange at period 2010-2014 to capital adequacy. The technique of data analysis used was multiple linear regression analysis which was preceded by classic assumption testing and then followed by regression analysis and model testing that consisted of determination coefficient analysis, simultaneous testing ( F-test), and partial testing (t-test) using SPSS 22 program. Result of the research shows that credit risk variable which measured by NPL, and profitability (with ROA) take effect towards capital adequacy. While, liquidity variable which measured by LDR and business efficient (with BOPO) have no effect towards capital adequacy of banks listed in Indonesian Stock Exchange at period 2010- 2014.","author":[{"dropping-particle":"","family":"Natasia Rizky","given":"","non-dropping-particle":"","parse-names":false,"suffix":""}],"container-title":"Mahasiswa Universitas Negeri Surabaya","id":"ITEM-1","issue":"1","issued":{"date-parts":[["2016"]]},"page":"165-175","title":"PENGARUH RISIKO KREDIT, PROFITABILITAS, LIKUIDITAS, DAN EFISIENSI USAHA TERHADAP KECUKUPAN MODAL PADA BANK YANG TERDAFTAR DI BURSA EFEK INDONESIA PERIODE 2010-2014","type":"article-journal","volume":"15"},"uris":["http://www.mendeley.com/documents/?uuid=10b953d4-5664-4eab-86df-671d0850bf0b"]}],"mendeley":{"formattedCitation":"(Natasia Rizky, 2016)","plainTextFormattedCitation":"(Natasia Rizky, 2016)","previouslyFormattedCitation":"(Natasia Rizky, 2016)"},"properties":{"noteIndex":0},"schema":"https://github.com/citation-style-language/schema/raw/master/csl-citation.json"}</w:instrText>
      </w:r>
      <w:r w:rsidR="00F33E85">
        <w:rPr>
          <w:rFonts w:ascii="Times New Roman" w:hAnsi="Times New Roman" w:cs="Times New Roman"/>
          <w:sz w:val="24"/>
          <w:szCs w:val="24"/>
        </w:rPr>
        <w:fldChar w:fldCharType="separate"/>
      </w:r>
      <w:r w:rsidR="00F33E85" w:rsidRPr="00F33E85">
        <w:rPr>
          <w:rFonts w:ascii="Times New Roman" w:hAnsi="Times New Roman" w:cs="Times New Roman"/>
          <w:noProof/>
          <w:sz w:val="24"/>
          <w:szCs w:val="24"/>
        </w:rPr>
        <w:t>(Natasia Rizky, 2016)</w:t>
      </w:r>
      <w:r w:rsidR="00F33E85">
        <w:rPr>
          <w:rFonts w:ascii="Times New Roman" w:hAnsi="Times New Roman" w:cs="Times New Roman"/>
          <w:sz w:val="24"/>
          <w:szCs w:val="24"/>
        </w:rPr>
        <w:fldChar w:fldCharType="end"/>
      </w:r>
      <w:r>
        <w:rPr>
          <w:rFonts w:ascii="Times New Roman" w:hAnsi="Times New Roman" w:cs="Times New Roman"/>
          <w:sz w:val="24"/>
          <w:szCs w:val="24"/>
        </w:rPr>
        <w:t xml:space="preserve"> </w:t>
      </w:r>
      <w:r w:rsidR="00850660">
        <w:rPr>
          <w:rFonts w:ascii="Times New Roman" w:hAnsi="Times New Roman" w:cs="Times New Roman"/>
          <w:sz w:val="24"/>
          <w:szCs w:val="24"/>
        </w:rPr>
        <w:t>.</w:t>
      </w:r>
      <w:r>
        <w:rPr>
          <w:rFonts w:ascii="Times New Roman" w:hAnsi="Times New Roman" w:cs="Times New Roman"/>
          <w:sz w:val="24"/>
          <w:szCs w:val="24"/>
        </w:rPr>
        <w:t xml:space="preserve"> Jadi Biaya operasional pendapatan operasional (BOPO) yang relatif tinggi akan menurunkan </w:t>
      </w:r>
      <w:r w:rsidRPr="00A909CE">
        <w:rPr>
          <w:rFonts w:ascii="Times New Roman" w:hAnsi="Times New Roman" w:cs="Times New Roman"/>
          <w:i/>
          <w:iCs/>
          <w:sz w:val="24"/>
          <w:szCs w:val="24"/>
        </w:rPr>
        <w:t>Capital Adequacy Ratio</w:t>
      </w:r>
      <w:r>
        <w:rPr>
          <w:rFonts w:ascii="Times New Roman" w:hAnsi="Times New Roman" w:cs="Times New Roman"/>
          <w:sz w:val="24"/>
          <w:szCs w:val="24"/>
        </w:rPr>
        <w:t xml:space="preserve"> (CAR).</w:t>
      </w:r>
    </w:p>
    <w:p w14:paraId="3DD1B782" w14:textId="2C280E7D" w:rsidR="00850660" w:rsidRPr="00850660" w:rsidRDefault="00850660" w:rsidP="00850660">
      <w:pPr>
        <w:pStyle w:val="ListParagraph"/>
        <w:spacing w:line="480" w:lineRule="auto"/>
        <w:ind w:left="1134" w:firstLine="600"/>
        <w:jc w:val="both"/>
        <w:rPr>
          <w:rFonts w:ascii="Times New Roman" w:hAnsi="Times New Roman" w:cs="Times New Roman"/>
          <w:sz w:val="24"/>
          <w:szCs w:val="24"/>
        </w:rPr>
      </w:pPr>
      <w:r>
        <w:rPr>
          <w:rFonts w:ascii="Times New Roman" w:hAnsi="Times New Roman" w:cs="Times New Roman"/>
          <w:sz w:val="24"/>
          <w:szCs w:val="24"/>
        </w:rPr>
        <w:t xml:space="preserve">Berdasarkan teori diatas dapat disimpulkan bahwa BOPO berpengaruh negatif terhadap </w:t>
      </w:r>
      <w:r w:rsidRPr="00A909CE">
        <w:rPr>
          <w:rFonts w:ascii="Times New Roman" w:hAnsi="Times New Roman" w:cs="Times New Roman"/>
          <w:i/>
          <w:iCs/>
          <w:sz w:val="24"/>
          <w:szCs w:val="24"/>
        </w:rPr>
        <w:t>Capital Adequacy Ratio</w:t>
      </w:r>
      <w:r>
        <w:rPr>
          <w:rFonts w:ascii="Times New Roman" w:hAnsi="Times New Roman" w:cs="Times New Roman"/>
          <w:sz w:val="24"/>
          <w:szCs w:val="24"/>
        </w:rPr>
        <w:t xml:space="preserve"> (CAR), tetapi hasil penelitian ini bertolak belakang dengan teori tersebut. Hal ini didukung oleh adanya data empiris yang menunjukkan nilai BOPO menggambarkan kamampuan bank dalam efisiensi kegiatan operasionalnya terhadap </w:t>
      </w:r>
      <w:r>
        <w:rPr>
          <w:rFonts w:ascii="Times New Roman" w:hAnsi="Times New Roman" w:cs="Times New Roman"/>
          <w:sz w:val="24"/>
          <w:szCs w:val="24"/>
        </w:rPr>
        <w:lastRenderedPageBreak/>
        <w:t>kecukupan modal, Dimana BOPO menunjukkan trend yang naik turun, sementara CAR pertahun juga mengalami trend naik turun, sehingga besar kecilnya nilai BOPO tidak mempengaruhi kecukupan modal.</w:t>
      </w:r>
    </w:p>
    <w:p w14:paraId="3E7B0A67" w14:textId="35D28312" w:rsidR="002D5B40" w:rsidRPr="002E099F" w:rsidRDefault="009562CF" w:rsidP="004933BF">
      <w:pPr>
        <w:pStyle w:val="ListParagraph"/>
        <w:spacing w:line="480" w:lineRule="auto"/>
        <w:ind w:left="1134" w:firstLine="600"/>
        <w:jc w:val="both"/>
        <w:rPr>
          <w:rFonts w:ascii="Times New Roman" w:hAnsi="Times New Roman" w:cs="Times New Roman"/>
          <w:sz w:val="24"/>
          <w:szCs w:val="24"/>
        </w:rPr>
      </w:pPr>
      <w:r>
        <w:rPr>
          <w:rFonts w:ascii="Times New Roman" w:hAnsi="Times New Roman" w:cs="Times New Roman"/>
          <w:sz w:val="24"/>
          <w:szCs w:val="24"/>
        </w:rPr>
        <w:t>Hasil p</w:t>
      </w:r>
      <w:r w:rsidR="00C07D4E" w:rsidRPr="00477A06">
        <w:rPr>
          <w:rFonts w:ascii="Times New Roman" w:hAnsi="Times New Roman" w:cs="Times New Roman"/>
          <w:sz w:val="24"/>
          <w:szCs w:val="24"/>
        </w:rPr>
        <w:t xml:space="preserve">enelitian ini memiliki hasil yang sama dengan penelitian yang dilakukan oleh </w:t>
      </w:r>
      <w:r w:rsidR="00C07D4E">
        <w:rPr>
          <w:rFonts w:ascii="Times New Roman" w:hAnsi="Times New Roman" w:cs="Times New Roman"/>
          <w:sz w:val="24"/>
          <w:szCs w:val="24"/>
        </w:rPr>
        <w:t>Hasanah</w:t>
      </w:r>
      <w:r w:rsidR="00C07D4E" w:rsidRPr="00477A06">
        <w:rPr>
          <w:rFonts w:ascii="Times New Roman" w:hAnsi="Times New Roman" w:cs="Times New Roman"/>
          <w:sz w:val="24"/>
          <w:szCs w:val="24"/>
        </w:rPr>
        <w:t xml:space="preserve"> &amp; </w:t>
      </w:r>
      <w:r w:rsidR="00C07D4E">
        <w:rPr>
          <w:rFonts w:ascii="Times New Roman" w:hAnsi="Times New Roman" w:cs="Times New Roman"/>
          <w:sz w:val="24"/>
          <w:szCs w:val="24"/>
        </w:rPr>
        <w:t>Manda</w:t>
      </w:r>
      <w:r w:rsidR="00C07D4E" w:rsidRPr="00477A06">
        <w:rPr>
          <w:rFonts w:ascii="Times New Roman" w:hAnsi="Times New Roman" w:cs="Times New Roman"/>
          <w:sz w:val="24"/>
          <w:szCs w:val="24"/>
        </w:rPr>
        <w:t xml:space="preserve"> (202</w:t>
      </w:r>
      <w:r w:rsidR="00C07D4E">
        <w:rPr>
          <w:rFonts w:ascii="Times New Roman" w:hAnsi="Times New Roman" w:cs="Times New Roman"/>
          <w:sz w:val="24"/>
          <w:szCs w:val="24"/>
        </w:rPr>
        <w:t>1</w:t>
      </w:r>
      <w:r w:rsidR="00C07D4E" w:rsidRPr="00477A06">
        <w:rPr>
          <w:rFonts w:ascii="Times New Roman" w:hAnsi="Times New Roman" w:cs="Times New Roman"/>
          <w:sz w:val="24"/>
          <w:szCs w:val="24"/>
        </w:rPr>
        <w:t xml:space="preserve">) yang menyatakan bahwa </w:t>
      </w:r>
      <w:r w:rsidR="00C07D4E">
        <w:rPr>
          <w:rFonts w:ascii="Times New Roman" w:hAnsi="Times New Roman" w:cs="Times New Roman"/>
          <w:sz w:val="24"/>
          <w:szCs w:val="24"/>
        </w:rPr>
        <w:t xml:space="preserve">efisiensi operasionak tidak </w:t>
      </w:r>
      <w:r w:rsidR="00C07D4E" w:rsidRPr="00477A06">
        <w:rPr>
          <w:rFonts w:ascii="Times New Roman" w:hAnsi="Times New Roman" w:cs="Times New Roman"/>
          <w:sz w:val="24"/>
          <w:szCs w:val="24"/>
        </w:rPr>
        <w:t>berpengaruh terhadap rasio kecukupan modal</w:t>
      </w:r>
      <w:r w:rsidR="00C07D4E">
        <w:rPr>
          <w:rFonts w:ascii="Times New Roman" w:hAnsi="Times New Roman" w:cs="Times New Roman"/>
          <w:sz w:val="24"/>
          <w:szCs w:val="24"/>
        </w:rPr>
        <w:t>, Namun hasil penelitian ini berbeda dengan penelitian yang dilakukan Anjani, dkk (2019) &amp; Qonitatillah, dkk (2021), yang hasilnya menyatakan efisiensi operasional memiliki pengaruh terhadap rasio kecukupan modal.</w:t>
      </w:r>
    </w:p>
    <w:p w14:paraId="79645C45" w14:textId="2B16662C" w:rsidR="008A2CF2" w:rsidRPr="0047515A" w:rsidRDefault="008A2CF2" w:rsidP="004933BF">
      <w:pPr>
        <w:pStyle w:val="ListParagraph"/>
        <w:numPr>
          <w:ilvl w:val="0"/>
          <w:numId w:val="91"/>
        </w:numPr>
        <w:spacing w:line="480" w:lineRule="auto"/>
        <w:ind w:left="1134"/>
        <w:jc w:val="both"/>
        <w:rPr>
          <w:rFonts w:ascii="Times New Roman" w:eastAsiaTheme="majorEastAsia" w:hAnsi="Times New Roman" w:cs="Times New Roman"/>
          <w:sz w:val="24"/>
          <w:szCs w:val="24"/>
        </w:rPr>
      </w:pPr>
      <w:r w:rsidRPr="0047515A">
        <w:rPr>
          <w:rFonts w:ascii="Times New Roman" w:eastAsiaTheme="majorEastAsia" w:hAnsi="Times New Roman" w:cs="Times New Roman"/>
          <w:sz w:val="24"/>
          <w:szCs w:val="24"/>
        </w:rPr>
        <w:t xml:space="preserve">Pengaruh </w:t>
      </w:r>
      <w:r w:rsidRPr="00564475">
        <w:rPr>
          <w:rFonts w:ascii="Times New Roman" w:eastAsiaTheme="majorEastAsia" w:hAnsi="Times New Roman" w:cs="Times New Roman"/>
          <w:i/>
          <w:iCs/>
          <w:sz w:val="24"/>
          <w:szCs w:val="24"/>
        </w:rPr>
        <w:t>Leverag</w:t>
      </w:r>
      <w:r w:rsidRPr="0047515A">
        <w:rPr>
          <w:rFonts w:ascii="Times New Roman" w:eastAsiaTheme="majorEastAsia" w:hAnsi="Times New Roman" w:cs="Times New Roman"/>
          <w:sz w:val="24"/>
          <w:szCs w:val="24"/>
        </w:rPr>
        <w:t>e Terhadap Rasio Kecukupan Modal</w:t>
      </w:r>
    </w:p>
    <w:p w14:paraId="5096AD65" w14:textId="7B6AAD02" w:rsidR="00ED74E5" w:rsidRPr="00F45213" w:rsidRDefault="00C55B57" w:rsidP="00F45213">
      <w:pPr>
        <w:pStyle w:val="ListParagraph"/>
        <w:spacing w:line="480" w:lineRule="auto"/>
        <w:ind w:left="1134" w:firstLine="600"/>
        <w:jc w:val="both"/>
        <w:rPr>
          <w:rFonts w:ascii="Times New Roman" w:hAnsi="Times New Roman" w:cs="Times New Roman"/>
          <w:sz w:val="24"/>
          <w:szCs w:val="24"/>
        </w:rPr>
      </w:pPr>
      <w:r w:rsidRPr="00C46A01">
        <w:rPr>
          <w:rFonts w:ascii="Times New Roman" w:hAnsi="Times New Roman" w:cs="Times New Roman"/>
          <w:sz w:val="24"/>
          <w:szCs w:val="24"/>
        </w:rPr>
        <w:t xml:space="preserve">Hipotesis kelima (H5) yang diajukan dalam penelitian ini adalah </w:t>
      </w:r>
      <w:r w:rsidR="00853AE8" w:rsidRPr="00C46A01">
        <w:rPr>
          <w:rFonts w:ascii="Times New Roman" w:hAnsi="Times New Roman" w:cs="Times New Roman"/>
          <w:i/>
          <w:iCs/>
          <w:sz w:val="24"/>
          <w:szCs w:val="24"/>
        </w:rPr>
        <w:t>leverage</w:t>
      </w:r>
      <w:r w:rsidRPr="00C46A01">
        <w:rPr>
          <w:rFonts w:ascii="Times New Roman" w:hAnsi="Times New Roman" w:cs="Times New Roman"/>
          <w:sz w:val="24"/>
          <w:szCs w:val="24"/>
        </w:rPr>
        <w:t xml:space="preserve"> berpengaruh terhadap </w:t>
      </w:r>
      <w:r w:rsidR="00853AE8" w:rsidRPr="00C46A01">
        <w:rPr>
          <w:rFonts w:ascii="Times New Roman" w:hAnsi="Times New Roman" w:cs="Times New Roman"/>
          <w:sz w:val="24"/>
          <w:szCs w:val="24"/>
        </w:rPr>
        <w:t>rasio kecukupan modal</w:t>
      </w:r>
      <w:r w:rsidRPr="00C46A01">
        <w:rPr>
          <w:rFonts w:ascii="Times New Roman" w:hAnsi="Times New Roman" w:cs="Times New Roman"/>
          <w:sz w:val="24"/>
          <w:szCs w:val="24"/>
        </w:rPr>
        <w:t>.</w:t>
      </w:r>
      <w:r w:rsidR="00F45213">
        <w:rPr>
          <w:rFonts w:ascii="Times New Roman" w:hAnsi="Times New Roman" w:cs="Times New Roman"/>
          <w:sz w:val="24"/>
          <w:szCs w:val="24"/>
        </w:rPr>
        <w:t xml:space="preserve"> </w:t>
      </w:r>
      <w:r w:rsidRPr="00F45213">
        <w:rPr>
          <w:rFonts w:ascii="Times New Roman" w:hAnsi="Times New Roman" w:cs="Times New Roman"/>
          <w:sz w:val="24"/>
          <w:szCs w:val="24"/>
        </w:rPr>
        <w:t xml:space="preserve">Hasil dari pengujian regresi diperoleh nilai koefisien sebesar </w:t>
      </w:r>
      <w:r w:rsidR="00ED74E5" w:rsidRPr="00F45213">
        <w:rPr>
          <w:rFonts w:ascii="Times New Roman" w:hAnsi="Times New Roman" w:cs="Times New Roman"/>
          <w:sz w:val="24"/>
          <w:szCs w:val="24"/>
        </w:rPr>
        <w:t>-13.635</w:t>
      </w:r>
      <w:r w:rsidRPr="00F45213">
        <w:rPr>
          <w:rFonts w:ascii="Times New Roman" w:hAnsi="Times New Roman" w:cs="Times New Roman"/>
          <w:sz w:val="24"/>
          <w:szCs w:val="24"/>
        </w:rPr>
        <w:t xml:space="preserve"> dengan tingkat signifikansi 0.000 &lt; 0.05, membuktikan bahwa </w:t>
      </w:r>
      <w:r w:rsidRPr="00F45213">
        <w:rPr>
          <w:rFonts w:ascii="Times New Roman" w:hAnsi="Times New Roman" w:cs="Times New Roman"/>
          <w:i/>
          <w:iCs/>
          <w:sz w:val="24"/>
          <w:szCs w:val="24"/>
        </w:rPr>
        <w:t>leverage</w:t>
      </w:r>
      <w:r w:rsidRPr="00F45213">
        <w:rPr>
          <w:rFonts w:ascii="Times New Roman" w:hAnsi="Times New Roman" w:cs="Times New Roman"/>
          <w:sz w:val="24"/>
          <w:szCs w:val="24"/>
        </w:rPr>
        <w:t xml:space="preserve"> berpengaruh </w:t>
      </w:r>
      <w:r w:rsidR="00F45213">
        <w:rPr>
          <w:rFonts w:ascii="Times New Roman" w:hAnsi="Times New Roman" w:cs="Times New Roman"/>
          <w:sz w:val="24"/>
          <w:szCs w:val="24"/>
        </w:rPr>
        <w:t xml:space="preserve">negatif signifikan </w:t>
      </w:r>
      <w:r w:rsidRPr="00F45213">
        <w:rPr>
          <w:rFonts w:ascii="Times New Roman" w:hAnsi="Times New Roman" w:cs="Times New Roman"/>
          <w:sz w:val="24"/>
          <w:szCs w:val="24"/>
        </w:rPr>
        <w:t>terhadap rasio kecukupan modal dengan kata lain (H5) diterima</w:t>
      </w:r>
      <w:r w:rsidR="00ED74E5" w:rsidRPr="00F45213">
        <w:rPr>
          <w:rFonts w:ascii="Times New Roman" w:hAnsi="Times New Roman" w:cs="Times New Roman"/>
          <w:sz w:val="24"/>
          <w:szCs w:val="24"/>
        </w:rPr>
        <w:t xml:space="preserve"> yang berarti terdapat pengaruh </w:t>
      </w:r>
      <w:r w:rsidR="00ED74E5" w:rsidRPr="00F45213">
        <w:rPr>
          <w:rFonts w:ascii="Times New Roman" w:hAnsi="Times New Roman" w:cs="Times New Roman"/>
          <w:i/>
          <w:iCs/>
          <w:sz w:val="24"/>
          <w:szCs w:val="24"/>
        </w:rPr>
        <w:t>leverage</w:t>
      </w:r>
      <w:r w:rsidR="00ED74E5" w:rsidRPr="00F45213">
        <w:rPr>
          <w:rFonts w:ascii="Times New Roman" w:hAnsi="Times New Roman" w:cs="Times New Roman"/>
          <w:sz w:val="24"/>
          <w:szCs w:val="24"/>
        </w:rPr>
        <w:t xml:space="preserve"> terhadap rasio kecukupan modal pada sub sektor perbankan yang terdaftar di Bursa Efek Indonesia tahun 2019-2023</w:t>
      </w:r>
      <w:r w:rsidRPr="00F45213">
        <w:rPr>
          <w:rFonts w:ascii="Times New Roman" w:hAnsi="Times New Roman" w:cs="Times New Roman"/>
          <w:sz w:val="24"/>
          <w:szCs w:val="24"/>
        </w:rPr>
        <w:t>.</w:t>
      </w:r>
      <w:r w:rsidR="00ED74E5" w:rsidRPr="00F45213">
        <w:rPr>
          <w:rFonts w:ascii="Times New Roman" w:hAnsi="Times New Roman" w:cs="Times New Roman"/>
          <w:sz w:val="24"/>
          <w:szCs w:val="24"/>
        </w:rPr>
        <w:t xml:space="preserve"> Hasil penelitian ini </w:t>
      </w:r>
      <w:r w:rsidR="00BB4C2C">
        <w:rPr>
          <w:rFonts w:ascii="Times New Roman" w:hAnsi="Times New Roman" w:cs="Times New Roman"/>
          <w:sz w:val="24"/>
          <w:szCs w:val="24"/>
        </w:rPr>
        <w:t>menunjukkan</w:t>
      </w:r>
      <w:r w:rsidR="00ED74E5" w:rsidRPr="00F45213">
        <w:rPr>
          <w:rFonts w:ascii="Times New Roman" w:hAnsi="Times New Roman" w:cs="Times New Roman"/>
          <w:sz w:val="24"/>
          <w:szCs w:val="24"/>
        </w:rPr>
        <w:t xml:space="preserve"> pengaruh yang negatif signifikan. Sehingga apabila </w:t>
      </w:r>
      <w:r w:rsidR="00ED74E5" w:rsidRPr="00F45213">
        <w:rPr>
          <w:rFonts w:ascii="Times New Roman" w:hAnsi="Times New Roman" w:cs="Times New Roman"/>
          <w:i/>
          <w:iCs/>
          <w:sz w:val="24"/>
          <w:szCs w:val="24"/>
        </w:rPr>
        <w:t>leverage</w:t>
      </w:r>
      <w:r w:rsidR="00ED74E5" w:rsidRPr="00F45213">
        <w:rPr>
          <w:rFonts w:ascii="Times New Roman" w:hAnsi="Times New Roman" w:cs="Times New Roman"/>
          <w:sz w:val="24"/>
          <w:szCs w:val="24"/>
        </w:rPr>
        <w:t xml:space="preserve"> meningkat maka akan terjadi penurunan pada variabel rasio kecukupan modal</w:t>
      </w:r>
      <w:r w:rsidR="00F45213">
        <w:rPr>
          <w:rFonts w:ascii="Times New Roman" w:hAnsi="Times New Roman" w:cs="Times New Roman"/>
          <w:sz w:val="24"/>
          <w:szCs w:val="24"/>
        </w:rPr>
        <w:t xml:space="preserve"> dan juga sebaliknya apabila </w:t>
      </w:r>
      <w:r w:rsidR="00F45213" w:rsidRPr="00E976A0">
        <w:rPr>
          <w:rFonts w:ascii="Times New Roman" w:hAnsi="Times New Roman" w:cs="Times New Roman"/>
          <w:i/>
          <w:iCs/>
          <w:sz w:val="24"/>
          <w:szCs w:val="24"/>
        </w:rPr>
        <w:t xml:space="preserve">leverage </w:t>
      </w:r>
      <w:r w:rsidR="00E976A0">
        <w:rPr>
          <w:rFonts w:ascii="Times New Roman" w:hAnsi="Times New Roman" w:cs="Times New Roman"/>
          <w:sz w:val="24"/>
          <w:szCs w:val="24"/>
        </w:rPr>
        <w:t>mengalami penurunan maka akan terjadi kenaikan pada variabel rasio kecukupan modal.</w:t>
      </w:r>
    </w:p>
    <w:p w14:paraId="4C1121D1" w14:textId="69C84F29" w:rsidR="00477A06" w:rsidRPr="00477A06" w:rsidRDefault="00477A06" w:rsidP="004933BF">
      <w:pPr>
        <w:pStyle w:val="ListParagraph"/>
        <w:spacing w:line="480" w:lineRule="auto"/>
        <w:ind w:left="1134" w:firstLine="720"/>
        <w:jc w:val="both"/>
        <w:rPr>
          <w:rFonts w:ascii="Times New Roman" w:hAnsi="Times New Roman" w:cs="Times New Roman"/>
          <w:iCs/>
          <w:sz w:val="24"/>
          <w:szCs w:val="24"/>
          <w:lang w:val="id-ID"/>
        </w:rPr>
      </w:pPr>
      <w:r w:rsidRPr="00B7015E">
        <w:rPr>
          <w:rFonts w:ascii="Times New Roman" w:hAnsi="Times New Roman" w:cs="Times New Roman"/>
          <w:i/>
          <w:sz w:val="24"/>
          <w:szCs w:val="24"/>
          <w:lang w:val="id-ID"/>
        </w:rPr>
        <w:lastRenderedPageBreak/>
        <w:t>Leverage</w:t>
      </w:r>
      <w:r>
        <w:rPr>
          <w:rFonts w:ascii="Times New Roman" w:hAnsi="Times New Roman" w:cs="Times New Roman"/>
          <w:i/>
          <w:sz w:val="24"/>
          <w:szCs w:val="24"/>
          <w:lang w:val="id-ID"/>
        </w:rPr>
        <w:t xml:space="preserve"> </w:t>
      </w:r>
      <w:r>
        <w:rPr>
          <w:rFonts w:ascii="Times New Roman" w:hAnsi="Times New Roman" w:cs="Times New Roman"/>
          <w:iCs/>
          <w:sz w:val="24"/>
          <w:szCs w:val="24"/>
          <w:lang w:val="id-ID"/>
        </w:rPr>
        <w:t xml:space="preserve">merupakan penggunaan dana pinjaman untuk meningkatkan potensi keuntungan dari suatu investasi. Dalam konteks keuangan, leverage melibatkan penggunaan instrumen keuangan atau modal pinjaman untuk memperbesar hasil potensi dari suatu investasi, namun </w:t>
      </w:r>
      <w:r w:rsidRPr="00564475">
        <w:rPr>
          <w:rFonts w:ascii="Times New Roman" w:hAnsi="Times New Roman" w:cs="Times New Roman"/>
          <w:i/>
          <w:sz w:val="24"/>
          <w:szCs w:val="24"/>
          <w:lang w:val="id-ID"/>
        </w:rPr>
        <w:t>leverage</w:t>
      </w:r>
      <w:r>
        <w:rPr>
          <w:rFonts w:ascii="Times New Roman" w:hAnsi="Times New Roman" w:cs="Times New Roman"/>
          <w:iCs/>
          <w:sz w:val="24"/>
          <w:szCs w:val="24"/>
          <w:lang w:val="id-ID"/>
        </w:rPr>
        <w:t xml:space="preserve"> juga dapat meningkatkan risiko kerugian yang besar.</w:t>
      </w:r>
    </w:p>
    <w:p w14:paraId="2CA82F53" w14:textId="523F09A4" w:rsidR="00477A06" w:rsidRPr="00B7015E" w:rsidRDefault="00477A06" w:rsidP="004933BF">
      <w:pPr>
        <w:pStyle w:val="ListParagraph"/>
        <w:spacing w:line="480" w:lineRule="auto"/>
        <w:ind w:left="1134"/>
        <w:jc w:val="both"/>
        <w:rPr>
          <w:rFonts w:ascii="Times New Roman" w:hAnsi="Times New Roman" w:cs="Times New Roman"/>
          <w:sz w:val="24"/>
          <w:szCs w:val="24"/>
        </w:rPr>
      </w:pPr>
      <w:r w:rsidRPr="00B7015E">
        <w:rPr>
          <w:rFonts w:ascii="Times New Roman" w:hAnsi="Times New Roman" w:cs="Times New Roman"/>
          <w:i/>
          <w:sz w:val="24"/>
          <w:szCs w:val="24"/>
          <w:lang w:val="id-ID"/>
        </w:rPr>
        <w:t>Leverage</w:t>
      </w:r>
      <w:r>
        <w:rPr>
          <w:rFonts w:ascii="Times New Roman" w:hAnsi="Times New Roman" w:cs="Times New Roman"/>
          <w:sz w:val="24"/>
          <w:szCs w:val="24"/>
          <w:lang w:val="id-ID"/>
        </w:rPr>
        <w:t xml:space="preserve"> memiliki pengaruh terhadap kecukupan modal maka </w:t>
      </w:r>
      <w:r w:rsidRPr="00330153">
        <w:rPr>
          <w:rFonts w:ascii="Times New Roman" w:hAnsi="Times New Roman" w:cs="Times New Roman"/>
          <w:sz w:val="24"/>
          <w:szCs w:val="24"/>
        </w:rPr>
        <w:t>semakin tinggi hutang maka semakin rendah rasio kecukupan modalnya. Hutang mempengaruhi rasio kecukupan modal karena semakin tinggi jumlah hutang bank maka semakin besar kemungkinan bank tersebut terkena risiko likuiditas yang tinggi yaitu ketidakpastian apakah bank akan membayar utangnya pada saat jatuh tempo. Bank yang memiliki utang jangka pendek dalam jumlah besar cenderung memiliki risiko likuiditas yang lebih tinggi dibandingkan bank yang memiliki utang jangka pendek dalam jumlah lebih kecil, sehingga modal banknya akan t</w:t>
      </w:r>
      <w:r>
        <w:rPr>
          <w:rFonts w:ascii="Times New Roman" w:hAnsi="Times New Roman" w:cs="Times New Roman"/>
          <w:sz w:val="24"/>
          <w:szCs w:val="24"/>
        </w:rPr>
        <w:t>erus menurun (</w:t>
      </w:r>
      <w:r w:rsidRPr="00B7015E">
        <w:rPr>
          <w:rFonts w:ascii="Times New Roman" w:hAnsi="Times New Roman" w:cs="Times New Roman"/>
          <w:sz w:val="24"/>
          <w:szCs w:val="24"/>
        </w:rPr>
        <w:fldChar w:fldCharType="begin" w:fldLock="1"/>
      </w:r>
      <w:r w:rsidR="008908E5">
        <w:rPr>
          <w:rFonts w:ascii="Times New Roman" w:hAnsi="Times New Roman" w:cs="Times New Roman"/>
          <w:sz w:val="24"/>
          <w:szCs w:val="24"/>
        </w:rPr>
        <w:instrText>ADDIN CSL_CITATION {"citationItems":[{"id":"ITEM-1","itemData":{"author":[{"dropping-particle":"","family":"Kartika Rusnidita","given":"","non-dropping-particle":"","parse-names":false,"suffix":""}],"container-title":"Jurnal Ilmiah Pendidikan","id":"ITEM-1","issue":"1","issued":{"date-parts":[["2021"]]},"page":"10-17","title":"Pengaruh Kualitas Aset, Likuiditas, Rentabilitas, Dan Efisiensi Operasional Terahadap Rasio Kecukupan Modal Pada Perusahaan Perbankan Konvensional Yang Terdaftar Di Bursa Efek Indonesia","type":"article-journal","volume":"1"},"uris":["http://www.mendeley.com/documents/?uuid=62ed0805-71c1-46f2-8532-92eea8680591"]}],"mendeley":{"formattedCitation":"(Kartika Rusnidita, 2021)","manualFormatting":"Rusnidita, 2021)","plainTextFormattedCitation":"(Kartika Rusnidita, 2021)","previouslyFormattedCitation":"(Kartika Rusnidita, 2021)"},"properties":{"noteIndex":0},"schema":"https://github.com/citation-style-language/schema/raw/master/csl-citation.json"}</w:instrText>
      </w:r>
      <w:r w:rsidRPr="00B7015E">
        <w:rPr>
          <w:rFonts w:ascii="Times New Roman" w:hAnsi="Times New Roman" w:cs="Times New Roman"/>
          <w:sz w:val="24"/>
          <w:szCs w:val="24"/>
        </w:rPr>
        <w:fldChar w:fldCharType="separate"/>
      </w:r>
      <w:r w:rsidRPr="00B7015E">
        <w:rPr>
          <w:rFonts w:ascii="Times New Roman" w:hAnsi="Times New Roman" w:cs="Times New Roman"/>
          <w:noProof/>
          <w:sz w:val="24"/>
          <w:szCs w:val="24"/>
        </w:rPr>
        <w:t>Rusnidita</w:t>
      </w:r>
      <w:r>
        <w:rPr>
          <w:rFonts w:ascii="Times New Roman" w:hAnsi="Times New Roman" w:cs="Times New Roman"/>
          <w:noProof/>
          <w:sz w:val="24"/>
          <w:szCs w:val="24"/>
          <w:lang w:val="id-ID"/>
        </w:rPr>
        <w:t>,</w:t>
      </w:r>
      <w:r>
        <w:rPr>
          <w:rFonts w:ascii="Times New Roman" w:hAnsi="Times New Roman" w:cs="Times New Roman"/>
          <w:noProof/>
          <w:sz w:val="24"/>
          <w:szCs w:val="24"/>
        </w:rPr>
        <w:t xml:space="preserve"> 2</w:t>
      </w:r>
      <w:r w:rsidRPr="00B7015E">
        <w:rPr>
          <w:rFonts w:ascii="Times New Roman" w:hAnsi="Times New Roman" w:cs="Times New Roman"/>
          <w:noProof/>
          <w:sz w:val="24"/>
          <w:szCs w:val="24"/>
        </w:rPr>
        <w:t>021)</w:t>
      </w:r>
      <w:r w:rsidRPr="00B7015E">
        <w:rPr>
          <w:rFonts w:ascii="Times New Roman" w:hAnsi="Times New Roman" w:cs="Times New Roman"/>
          <w:sz w:val="24"/>
          <w:szCs w:val="24"/>
        </w:rPr>
        <w:fldChar w:fldCharType="end"/>
      </w:r>
      <w:r>
        <w:rPr>
          <w:rFonts w:ascii="Times New Roman" w:hAnsi="Times New Roman" w:cs="Times New Roman"/>
          <w:sz w:val="24"/>
          <w:szCs w:val="24"/>
          <w:lang w:val="id-ID"/>
        </w:rPr>
        <w:t>.</w:t>
      </w:r>
      <w:r w:rsidRPr="00B7015E">
        <w:rPr>
          <w:rFonts w:ascii="Times New Roman" w:hAnsi="Times New Roman" w:cs="Times New Roman"/>
          <w:sz w:val="24"/>
          <w:szCs w:val="24"/>
        </w:rPr>
        <w:t xml:space="preserve"> </w:t>
      </w:r>
    </w:p>
    <w:p w14:paraId="32A3951D" w14:textId="03C5E1BC" w:rsidR="00ED74E5" w:rsidRDefault="00477A06" w:rsidP="004933BF">
      <w:pPr>
        <w:pStyle w:val="ListParagraph"/>
        <w:spacing w:line="480" w:lineRule="auto"/>
        <w:ind w:left="1134" w:firstLine="600"/>
        <w:jc w:val="both"/>
        <w:rPr>
          <w:rFonts w:ascii="Times New Roman" w:hAnsi="Times New Roman" w:cs="Times New Roman"/>
          <w:sz w:val="24"/>
          <w:szCs w:val="24"/>
        </w:rPr>
      </w:pPr>
      <w:r w:rsidRPr="00330153">
        <w:rPr>
          <w:rFonts w:ascii="Times New Roman" w:hAnsi="Times New Roman" w:cs="Times New Roman"/>
          <w:sz w:val="24"/>
          <w:szCs w:val="24"/>
        </w:rPr>
        <w:t>Nilai hutang mencerminkan sejauh mana modal pemilik dapat menutupi hutangnya kepada pihak luar. Semakin kecil rasio ini maka semakin baik posisi permodalan perusahaan, karena proporsi modal yang dimiliki perusahaan dapat memenuhi kewajiban pembayarannya. Artinya jika risikonya tinggi, maka modal dasar bank juga tinggi.</w:t>
      </w:r>
      <w:r>
        <w:rPr>
          <w:rFonts w:ascii="Times New Roman" w:hAnsi="Times New Roman" w:cs="Times New Roman"/>
          <w:sz w:val="24"/>
          <w:szCs w:val="24"/>
        </w:rPr>
        <w:t xml:space="preserve"> </w:t>
      </w:r>
      <w:r w:rsidR="00ED74E5" w:rsidRPr="00477A06">
        <w:rPr>
          <w:rFonts w:ascii="Times New Roman" w:hAnsi="Times New Roman" w:cs="Times New Roman"/>
          <w:sz w:val="24"/>
          <w:szCs w:val="24"/>
        </w:rPr>
        <w:t xml:space="preserve">Penelitian ini </w:t>
      </w:r>
      <w:r w:rsidRPr="00477A06">
        <w:rPr>
          <w:rFonts w:ascii="Times New Roman" w:hAnsi="Times New Roman" w:cs="Times New Roman"/>
          <w:sz w:val="24"/>
          <w:szCs w:val="24"/>
        </w:rPr>
        <w:t xml:space="preserve">memiliki hasil yang sama dengan penelitian yang dilakukan oleh Goh &amp; Simanjuntak (2023) yang menyatakan bahwa </w:t>
      </w:r>
      <w:r w:rsidRPr="00564475">
        <w:rPr>
          <w:rFonts w:ascii="Times New Roman" w:hAnsi="Times New Roman" w:cs="Times New Roman"/>
          <w:i/>
          <w:iCs/>
          <w:sz w:val="24"/>
          <w:szCs w:val="24"/>
        </w:rPr>
        <w:t>leverage</w:t>
      </w:r>
      <w:r w:rsidRPr="00477A06">
        <w:rPr>
          <w:rFonts w:ascii="Times New Roman" w:hAnsi="Times New Roman" w:cs="Times New Roman"/>
          <w:sz w:val="24"/>
          <w:szCs w:val="24"/>
        </w:rPr>
        <w:t xml:space="preserve"> berpengaruh negatif terhadap rasio kecukupan modal.</w:t>
      </w:r>
    </w:p>
    <w:p w14:paraId="6144808B" w14:textId="196A29E8" w:rsidR="00934A3E" w:rsidRDefault="00934A3E" w:rsidP="00934A3E">
      <w:pPr>
        <w:pStyle w:val="ListParagraph"/>
        <w:numPr>
          <w:ilvl w:val="0"/>
          <w:numId w:val="100"/>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Pengaruh kualitas asset, rentabilitas, sensitivitas risiko pasar, efisiensi operasional dan </w:t>
      </w:r>
      <w:r w:rsidRPr="00934A3E">
        <w:rPr>
          <w:rFonts w:ascii="Times New Roman" w:hAnsi="Times New Roman" w:cs="Times New Roman"/>
          <w:i/>
          <w:iCs/>
          <w:sz w:val="24"/>
          <w:szCs w:val="24"/>
        </w:rPr>
        <w:t>leverage</w:t>
      </w:r>
      <w:r>
        <w:rPr>
          <w:rFonts w:ascii="Times New Roman" w:hAnsi="Times New Roman" w:cs="Times New Roman"/>
          <w:i/>
          <w:iCs/>
          <w:sz w:val="24"/>
          <w:szCs w:val="24"/>
        </w:rPr>
        <w:t xml:space="preserve"> </w:t>
      </w:r>
      <w:r>
        <w:rPr>
          <w:rFonts w:ascii="Times New Roman" w:hAnsi="Times New Roman" w:cs="Times New Roman"/>
          <w:sz w:val="24"/>
          <w:szCs w:val="24"/>
        </w:rPr>
        <w:t>terhadap rasio kecukupan modal</w:t>
      </w:r>
    </w:p>
    <w:p w14:paraId="635E3B4A" w14:textId="0EECC2F5" w:rsidR="007F21AE" w:rsidRPr="004D1BDD" w:rsidRDefault="00934A3E" w:rsidP="00554794">
      <w:pPr>
        <w:pStyle w:val="ListParagraph"/>
        <w:spacing w:line="480" w:lineRule="auto"/>
        <w:ind w:left="1134" w:firstLine="306"/>
        <w:jc w:val="both"/>
        <w:rPr>
          <w:rFonts w:ascii="Times New Roman" w:hAnsi="Times New Roman" w:cs="Times New Roman"/>
          <w:sz w:val="24"/>
          <w:szCs w:val="24"/>
          <w:lang w:val="nl-NL"/>
        </w:rPr>
      </w:pPr>
      <w:r>
        <w:rPr>
          <w:rFonts w:ascii="Times New Roman" w:hAnsi="Times New Roman" w:cs="Times New Roman"/>
          <w:sz w:val="24"/>
          <w:szCs w:val="24"/>
        </w:rPr>
        <w:t>Berdasarkan hasil uji statisti</w:t>
      </w:r>
      <w:r w:rsidR="00554794">
        <w:rPr>
          <w:rFonts w:ascii="Times New Roman" w:hAnsi="Times New Roman" w:cs="Times New Roman"/>
          <w:sz w:val="24"/>
          <w:szCs w:val="24"/>
        </w:rPr>
        <w:t>k</w:t>
      </w:r>
      <w:r>
        <w:rPr>
          <w:rFonts w:ascii="Times New Roman" w:hAnsi="Times New Roman" w:cs="Times New Roman"/>
          <w:sz w:val="24"/>
          <w:szCs w:val="24"/>
        </w:rPr>
        <w:t xml:space="preserve"> F yang dilakukan pada variabel kualitas asset, rentabilitas, sensitivitas risiko pasar, efisiensi operasional dan </w:t>
      </w:r>
      <w:r w:rsidRPr="00934A3E">
        <w:rPr>
          <w:rFonts w:ascii="Times New Roman" w:hAnsi="Times New Roman" w:cs="Times New Roman"/>
          <w:i/>
          <w:iCs/>
          <w:sz w:val="24"/>
          <w:szCs w:val="24"/>
        </w:rPr>
        <w:t>leverage</w:t>
      </w:r>
      <w:r>
        <w:rPr>
          <w:rFonts w:ascii="Times New Roman" w:hAnsi="Times New Roman" w:cs="Times New Roman"/>
          <w:i/>
          <w:iCs/>
          <w:sz w:val="24"/>
          <w:szCs w:val="24"/>
        </w:rPr>
        <w:t xml:space="preserve"> </w:t>
      </w:r>
      <w:r>
        <w:rPr>
          <w:rFonts w:ascii="Times New Roman" w:hAnsi="Times New Roman" w:cs="Times New Roman"/>
          <w:sz w:val="24"/>
          <w:szCs w:val="24"/>
        </w:rPr>
        <w:t>diperoleh nilai signifikan dan nilai F</w:t>
      </w:r>
      <w:r w:rsidRPr="00554794">
        <w:rPr>
          <w:rFonts w:ascii="Times New Roman" w:hAnsi="Times New Roman" w:cs="Times New Roman"/>
          <w:i/>
          <w:iCs/>
          <w:sz w:val="24"/>
          <w:szCs w:val="24"/>
        </w:rPr>
        <w:t>hitung</w:t>
      </w:r>
      <w:r>
        <w:rPr>
          <w:rFonts w:ascii="Times New Roman" w:hAnsi="Times New Roman" w:cs="Times New Roman"/>
          <w:sz w:val="24"/>
          <w:szCs w:val="24"/>
        </w:rPr>
        <w:t xml:space="preserve"> sebesar</w:t>
      </w:r>
      <w:r w:rsidR="00554794">
        <w:rPr>
          <w:rFonts w:ascii="Times New Roman" w:hAnsi="Times New Roman" w:cs="Times New Roman"/>
          <w:sz w:val="24"/>
          <w:szCs w:val="24"/>
        </w:rPr>
        <w:t xml:space="preserve"> 45.314</w:t>
      </w:r>
      <w:r>
        <w:rPr>
          <w:rFonts w:ascii="Times New Roman" w:hAnsi="Times New Roman" w:cs="Times New Roman"/>
          <w:sz w:val="24"/>
          <w:szCs w:val="24"/>
        </w:rPr>
        <w:t xml:space="preserve"> dengan nilai F</w:t>
      </w:r>
      <w:r w:rsidRPr="00554794">
        <w:rPr>
          <w:rFonts w:ascii="Times New Roman" w:hAnsi="Times New Roman" w:cs="Times New Roman"/>
          <w:i/>
          <w:iCs/>
          <w:sz w:val="24"/>
          <w:szCs w:val="24"/>
        </w:rPr>
        <w:t>tabe</w:t>
      </w:r>
      <w:r>
        <w:rPr>
          <w:rFonts w:ascii="Times New Roman" w:hAnsi="Times New Roman" w:cs="Times New Roman"/>
          <w:sz w:val="24"/>
          <w:szCs w:val="24"/>
        </w:rPr>
        <w:t>l sebesar</w:t>
      </w:r>
      <w:r w:rsidR="00554794">
        <w:rPr>
          <w:rFonts w:ascii="Times New Roman" w:hAnsi="Times New Roman" w:cs="Times New Roman"/>
          <w:sz w:val="24"/>
          <w:szCs w:val="24"/>
        </w:rPr>
        <w:t xml:space="preserve"> 2,28</w:t>
      </w:r>
      <w:r>
        <w:rPr>
          <w:rFonts w:ascii="Times New Roman" w:hAnsi="Times New Roman" w:cs="Times New Roman"/>
          <w:sz w:val="24"/>
          <w:szCs w:val="24"/>
        </w:rPr>
        <w:t xml:space="preserve">. </w:t>
      </w:r>
      <w:r w:rsidR="00554794" w:rsidRPr="004D1BDD">
        <w:rPr>
          <w:rFonts w:ascii="Times New Roman" w:hAnsi="Times New Roman" w:cs="Times New Roman"/>
          <w:sz w:val="24"/>
          <w:szCs w:val="24"/>
          <w:lang w:val="nl-NL"/>
        </w:rPr>
        <w:t>I</w:t>
      </w:r>
      <w:r w:rsidRPr="004D1BDD">
        <w:rPr>
          <w:rFonts w:ascii="Times New Roman" w:hAnsi="Times New Roman" w:cs="Times New Roman"/>
          <w:sz w:val="24"/>
          <w:szCs w:val="24"/>
          <w:lang w:val="nl-NL"/>
        </w:rPr>
        <w:t xml:space="preserve">ni </w:t>
      </w:r>
      <w:r w:rsidR="00BB4C2C" w:rsidRPr="004D1BDD">
        <w:rPr>
          <w:rFonts w:ascii="Times New Roman" w:hAnsi="Times New Roman" w:cs="Times New Roman"/>
          <w:sz w:val="24"/>
          <w:szCs w:val="24"/>
          <w:lang w:val="nl-NL"/>
        </w:rPr>
        <w:t>menunjukkan</w:t>
      </w:r>
      <w:r w:rsidRPr="004D1BDD">
        <w:rPr>
          <w:rFonts w:ascii="Times New Roman" w:hAnsi="Times New Roman" w:cs="Times New Roman"/>
          <w:sz w:val="24"/>
          <w:szCs w:val="24"/>
          <w:lang w:val="nl-NL"/>
        </w:rPr>
        <w:t xml:space="preserve"> bahwa nilai F</w:t>
      </w:r>
      <w:r w:rsidRPr="004D1BDD">
        <w:rPr>
          <w:rFonts w:ascii="Times New Roman" w:hAnsi="Times New Roman" w:cs="Times New Roman"/>
          <w:i/>
          <w:iCs/>
          <w:sz w:val="24"/>
          <w:szCs w:val="24"/>
          <w:lang w:val="nl-NL"/>
        </w:rPr>
        <w:t xml:space="preserve">hitung </w:t>
      </w:r>
      <w:r w:rsidR="00554794" w:rsidRPr="004D1BDD">
        <w:rPr>
          <w:rFonts w:ascii="Times New Roman" w:hAnsi="Times New Roman" w:cs="Times New Roman"/>
          <w:sz w:val="24"/>
          <w:szCs w:val="24"/>
          <w:lang w:val="nl-NL"/>
        </w:rPr>
        <w:t xml:space="preserve">45.314 </w:t>
      </w:r>
      <w:r w:rsidRPr="004D1BDD">
        <w:rPr>
          <w:rFonts w:ascii="Times New Roman" w:hAnsi="Times New Roman" w:cs="Times New Roman"/>
          <w:sz w:val="24"/>
          <w:szCs w:val="24"/>
          <w:lang w:val="nl-NL"/>
        </w:rPr>
        <w:t>&gt; F</w:t>
      </w:r>
      <w:r w:rsidRPr="004D1BDD">
        <w:rPr>
          <w:rFonts w:ascii="Times New Roman" w:hAnsi="Times New Roman" w:cs="Times New Roman"/>
          <w:i/>
          <w:iCs/>
          <w:sz w:val="24"/>
          <w:szCs w:val="24"/>
          <w:lang w:val="nl-NL"/>
        </w:rPr>
        <w:t>tabel</w:t>
      </w:r>
      <w:r w:rsidR="00554794" w:rsidRPr="004D1BDD">
        <w:rPr>
          <w:rFonts w:ascii="Times New Roman" w:hAnsi="Times New Roman" w:cs="Times New Roman"/>
          <w:sz w:val="24"/>
          <w:szCs w:val="24"/>
          <w:lang w:val="nl-NL"/>
        </w:rPr>
        <w:t xml:space="preserve"> 2,28</w:t>
      </w:r>
      <w:r w:rsidRPr="004D1BDD">
        <w:rPr>
          <w:rFonts w:ascii="Times New Roman" w:hAnsi="Times New Roman" w:cs="Times New Roman"/>
          <w:sz w:val="24"/>
          <w:szCs w:val="24"/>
          <w:lang w:val="nl-NL"/>
        </w:rPr>
        <w:t>.</w:t>
      </w:r>
      <w:r w:rsidR="00554794" w:rsidRPr="004D1BDD">
        <w:rPr>
          <w:rFonts w:ascii="Times New Roman" w:hAnsi="Times New Roman" w:cs="Times New Roman"/>
          <w:sz w:val="24"/>
          <w:szCs w:val="24"/>
          <w:lang w:val="nl-NL"/>
        </w:rPr>
        <w:t xml:space="preserve"> D</w:t>
      </w:r>
      <w:r w:rsidRPr="004D1BDD">
        <w:rPr>
          <w:rFonts w:ascii="Times New Roman" w:hAnsi="Times New Roman" w:cs="Times New Roman"/>
          <w:sz w:val="24"/>
          <w:szCs w:val="24"/>
          <w:lang w:val="nl-NL"/>
        </w:rPr>
        <w:t xml:space="preserve">an nilai signifikan 0,000 kurang dari 0,05. Hasil ini </w:t>
      </w:r>
      <w:r w:rsidR="00BB4C2C" w:rsidRPr="004D1BDD">
        <w:rPr>
          <w:rFonts w:ascii="Times New Roman" w:hAnsi="Times New Roman" w:cs="Times New Roman"/>
          <w:sz w:val="24"/>
          <w:szCs w:val="24"/>
          <w:lang w:val="nl-NL"/>
        </w:rPr>
        <w:t>menunjukkan</w:t>
      </w:r>
      <w:r w:rsidRPr="004D1BDD">
        <w:rPr>
          <w:rFonts w:ascii="Times New Roman" w:hAnsi="Times New Roman" w:cs="Times New Roman"/>
          <w:sz w:val="24"/>
          <w:szCs w:val="24"/>
          <w:lang w:val="nl-NL"/>
        </w:rPr>
        <w:t xml:space="preserve"> bahwa variabel independen memengaruhi rasio kecukupan modal, jadi H6 </w:t>
      </w:r>
      <w:r w:rsidR="007F21AE" w:rsidRPr="004D1BDD">
        <w:rPr>
          <w:rFonts w:ascii="Times New Roman" w:hAnsi="Times New Roman" w:cs="Times New Roman"/>
          <w:sz w:val="24"/>
          <w:szCs w:val="24"/>
          <w:lang w:val="nl-NL"/>
        </w:rPr>
        <w:t xml:space="preserve">diterima. Artinya kualitas asset, rentabilitas, sensitivitas risiko pasar, efisiensi operasional dan </w:t>
      </w:r>
      <w:r w:rsidR="007F21AE" w:rsidRPr="004D1BDD">
        <w:rPr>
          <w:rFonts w:ascii="Times New Roman" w:hAnsi="Times New Roman" w:cs="Times New Roman"/>
          <w:i/>
          <w:iCs/>
          <w:sz w:val="24"/>
          <w:szCs w:val="24"/>
          <w:lang w:val="nl-NL"/>
        </w:rPr>
        <w:t xml:space="preserve">leverage </w:t>
      </w:r>
      <w:r w:rsidR="007F21AE" w:rsidRPr="004D1BDD">
        <w:rPr>
          <w:rFonts w:ascii="Times New Roman" w:hAnsi="Times New Roman" w:cs="Times New Roman"/>
          <w:sz w:val="24"/>
          <w:szCs w:val="24"/>
          <w:lang w:val="nl-NL"/>
        </w:rPr>
        <w:t>secara simultan berpengaruh terhadap rasio kecukupan modal pada sub sektor perbankan yang terdaftar di bursa efek Indonesia (BEI) tahun 2019-2023.</w:t>
      </w:r>
    </w:p>
    <w:p w14:paraId="75D34C10" w14:textId="587A1BC9" w:rsidR="00934A3E" w:rsidRPr="0044146D" w:rsidRDefault="007F21AE" w:rsidP="0044146D">
      <w:pPr>
        <w:pStyle w:val="ListParagraph"/>
        <w:spacing w:line="480" w:lineRule="auto"/>
        <w:ind w:left="1134" w:firstLine="306"/>
        <w:jc w:val="both"/>
        <w:rPr>
          <w:rFonts w:ascii="Times New Roman" w:hAnsi="Times New Roman" w:cs="Times New Roman"/>
          <w:sz w:val="24"/>
          <w:szCs w:val="24"/>
          <w:lang w:val="nl-NL"/>
        </w:rPr>
      </w:pPr>
      <w:r w:rsidRPr="004D1BDD">
        <w:rPr>
          <w:rFonts w:ascii="Times New Roman" w:hAnsi="Times New Roman" w:cs="Times New Roman"/>
          <w:sz w:val="24"/>
          <w:szCs w:val="24"/>
          <w:lang w:val="nl-NL"/>
        </w:rPr>
        <w:t xml:space="preserve">Sebelum melakukan Keputusan </w:t>
      </w:r>
      <w:r w:rsidR="00001F93" w:rsidRPr="004D1BDD">
        <w:rPr>
          <w:rFonts w:ascii="Times New Roman" w:hAnsi="Times New Roman" w:cs="Times New Roman"/>
          <w:sz w:val="24"/>
          <w:szCs w:val="24"/>
          <w:lang w:val="nl-NL"/>
        </w:rPr>
        <w:t>investasi, investor harus mengetahui informasi tentang Perusahaan perbankan yang berkaitan dengan</w:t>
      </w:r>
      <w:r w:rsidR="00554794" w:rsidRPr="004D1BDD">
        <w:rPr>
          <w:rFonts w:ascii="Times New Roman" w:hAnsi="Times New Roman" w:cs="Times New Roman"/>
          <w:sz w:val="24"/>
          <w:szCs w:val="24"/>
          <w:lang w:val="nl-NL"/>
        </w:rPr>
        <w:t xml:space="preserve"> kondisi permodalan perbankan</w:t>
      </w:r>
      <w:r w:rsidR="00001F93" w:rsidRPr="004D1BDD">
        <w:rPr>
          <w:rFonts w:ascii="Times New Roman" w:hAnsi="Times New Roman" w:cs="Times New Roman"/>
          <w:sz w:val="24"/>
          <w:szCs w:val="24"/>
          <w:lang w:val="nl-NL"/>
        </w:rPr>
        <w:t xml:space="preserve">, kondisi Perusahaan dan penilaian saham yang akan didapatkan. Informasi-informasi tersebut dapat diperoleh melalui laporan keuangan yang diterbitkan secara berkala oleh perbankan. Cerminan dari </w:t>
      </w:r>
      <w:r w:rsidR="00554794" w:rsidRPr="004D1BDD">
        <w:rPr>
          <w:rFonts w:ascii="Times New Roman" w:hAnsi="Times New Roman" w:cs="Times New Roman"/>
          <w:sz w:val="24"/>
          <w:szCs w:val="24"/>
          <w:lang w:val="nl-NL"/>
        </w:rPr>
        <w:t xml:space="preserve">permodalan bank </w:t>
      </w:r>
      <w:r w:rsidR="00001F93" w:rsidRPr="004D1BDD">
        <w:rPr>
          <w:rFonts w:ascii="Times New Roman" w:hAnsi="Times New Roman" w:cs="Times New Roman"/>
          <w:sz w:val="24"/>
          <w:szCs w:val="24"/>
          <w:lang w:val="nl-NL"/>
        </w:rPr>
        <w:t xml:space="preserve">adalah </w:t>
      </w:r>
      <w:r w:rsidR="00554794" w:rsidRPr="004D1BDD">
        <w:rPr>
          <w:rFonts w:ascii="Times New Roman" w:hAnsi="Times New Roman" w:cs="Times New Roman"/>
          <w:i/>
          <w:iCs/>
          <w:sz w:val="24"/>
          <w:szCs w:val="24"/>
          <w:lang w:val="nl-NL"/>
        </w:rPr>
        <w:t xml:space="preserve">capital adecuacy ratio </w:t>
      </w:r>
      <w:r w:rsidR="00554794" w:rsidRPr="004D1BDD">
        <w:rPr>
          <w:rFonts w:ascii="Times New Roman" w:hAnsi="Times New Roman" w:cs="Times New Roman"/>
          <w:sz w:val="24"/>
          <w:szCs w:val="24"/>
          <w:lang w:val="nl-NL"/>
        </w:rPr>
        <w:t xml:space="preserve">dapat dipengaruhi oleh </w:t>
      </w:r>
      <w:r w:rsidR="00E52D26" w:rsidRPr="004D1BDD">
        <w:rPr>
          <w:rFonts w:ascii="Times New Roman" w:hAnsi="Times New Roman" w:cs="Times New Roman"/>
          <w:i/>
          <w:iCs/>
          <w:sz w:val="24"/>
          <w:szCs w:val="24"/>
          <w:lang w:val="nl-NL"/>
        </w:rPr>
        <w:t>non</w:t>
      </w:r>
      <w:r w:rsidR="00554794" w:rsidRPr="004D1BDD">
        <w:rPr>
          <w:rFonts w:ascii="Times New Roman" w:hAnsi="Times New Roman" w:cs="Times New Roman"/>
          <w:i/>
          <w:iCs/>
          <w:sz w:val="24"/>
          <w:szCs w:val="24"/>
          <w:lang w:val="nl-NL"/>
        </w:rPr>
        <w:t xml:space="preserve"> performing loan </w:t>
      </w:r>
      <w:r w:rsidR="00554794" w:rsidRPr="004D1BDD">
        <w:rPr>
          <w:rFonts w:ascii="Times New Roman" w:hAnsi="Times New Roman" w:cs="Times New Roman"/>
          <w:sz w:val="24"/>
          <w:szCs w:val="24"/>
          <w:lang w:val="nl-NL"/>
        </w:rPr>
        <w:t xml:space="preserve">karena rasio ini digunakan sebagai indikator untuk menilai kecukupan modal perbankan. </w:t>
      </w:r>
      <w:r w:rsidRPr="004D1BDD">
        <w:rPr>
          <w:rFonts w:ascii="Times New Roman" w:hAnsi="Times New Roman" w:cs="Times New Roman"/>
          <w:sz w:val="24"/>
          <w:szCs w:val="24"/>
          <w:lang w:val="nl-NL"/>
        </w:rPr>
        <w:t xml:space="preserve">Berpengaruhnya kualitas asset, rentabilitas, sensitivitas risiko pasar, efisiensi operasional dan </w:t>
      </w:r>
      <w:r w:rsidRPr="004D1BDD">
        <w:rPr>
          <w:rFonts w:ascii="Times New Roman" w:hAnsi="Times New Roman" w:cs="Times New Roman"/>
          <w:i/>
          <w:iCs/>
          <w:sz w:val="24"/>
          <w:szCs w:val="24"/>
          <w:lang w:val="nl-NL"/>
        </w:rPr>
        <w:t xml:space="preserve">leverage </w:t>
      </w:r>
      <w:r w:rsidRPr="004D1BDD">
        <w:rPr>
          <w:rFonts w:ascii="Times New Roman" w:hAnsi="Times New Roman" w:cs="Times New Roman"/>
          <w:sz w:val="24"/>
          <w:szCs w:val="24"/>
          <w:lang w:val="nl-NL"/>
        </w:rPr>
        <w:t xml:space="preserve">secara simultan </w:t>
      </w:r>
      <w:r w:rsidR="00BB4C2C" w:rsidRPr="004D1BDD">
        <w:rPr>
          <w:rFonts w:ascii="Times New Roman" w:hAnsi="Times New Roman" w:cs="Times New Roman"/>
          <w:sz w:val="24"/>
          <w:szCs w:val="24"/>
          <w:lang w:val="nl-NL"/>
        </w:rPr>
        <w:t>menunjukkan</w:t>
      </w:r>
      <w:r w:rsidRPr="004D1BDD">
        <w:rPr>
          <w:rFonts w:ascii="Times New Roman" w:hAnsi="Times New Roman" w:cs="Times New Roman"/>
          <w:sz w:val="24"/>
          <w:szCs w:val="24"/>
          <w:lang w:val="nl-NL"/>
        </w:rPr>
        <w:t xml:space="preserve"> bahwa tingginya rasio kecukupan modal sangat bergantung pada faktor-faktor tersebut.</w:t>
      </w:r>
    </w:p>
    <w:p w14:paraId="3D3E3AF0" w14:textId="77777777" w:rsidR="0041743D" w:rsidRDefault="0041743D" w:rsidP="004D1BDD">
      <w:pPr>
        <w:pStyle w:val="Heading1"/>
        <w:spacing w:before="0"/>
        <w:jc w:val="center"/>
        <w:rPr>
          <w:rFonts w:ascii="Times New Roman" w:hAnsi="Times New Roman" w:cs="Times New Roman"/>
          <w:b/>
          <w:color w:val="000000" w:themeColor="text1"/>
          <w:sz w:val="24"/>
        </w:rPr>
        <w:sectPr w:rsidR="0041743D" w:rsidSect="0041743D">
          <w:headerReference w:type="even" r:id="rId17"/>
          <w:headerReference w:type="default" r:id="rId18"/>
          <w:footerReference w:type="even" r:id="rId19"/>
          <w:footerReference w:type="default" r:id="rId20"/>
          <w:headerReference w:type="first" r:id="rId21"/>
          <w:footerReference w:type="first" r:id="rId22"/>
          <w:pgSz w:w="12240" w:h="15840"/>
          <w:pgMar w:top="1701" w:right="1701" w:bottom="1701" w:left="2268" w:header="709" w:footer="709" w:gutter="0"/>
          <w:pgNumType w:start="61"/>
          <w:cols w:space="708"/>
          <w:titlePg/>
          <w:docGrid w:linePitch="360"/>
        </w:sectPr>
      </w:pPr>
      <w:bookmarkStart w:id="23" w:name="_Toc170067698"/>
    </w:p>
    <w:p w14:paraId="4B719F88" w14:textId="3DDC087B" w:rsidR="00724F0B" w:rsidRPr="006E197C" w:rsidRDefault="00C55B57" w:rsidP="004D1BDD">
      <w:pPr>
        <w:pStyle w:val="Heading1"/>
        <w:spacing w:before="0"/>
        <w:jc w:val="center"/>
        <w:rPr>
          <w:rFonts w:ascii="Times New Roman" w:hAnsi="Times New Roman" w:cs="Times New Roman"/>
          <w:b/>
          <w:color w:val="000000" w:themeColor="text1"/>
          <w:sz w:val="24"/>
        </w:rPr>
      </w:pPr>
      <w:r w:rsidRPr="006E197C">
        <w:rPr>
          <w:rFonts w:ascii="Times New Roman" w:hAnsi="Times New Roman" w:cs="Times New Roman"/>
          <w:b/>
          <w:color w:val="000000" w:themeColor="text1"/>
          <w:sz w:val="24"/>
        </w:rPr>
        <w:lastRenderedPageBreak/>
        <w:t>BAB V</w:t>
      </w:r>
      <w:bookmarkEnd w:id="23"/>
    </w:p>
    <w:p w14:paraId="1F0CE805" w14:textId="269DC690" w:rsidR="00C55B57" w:rsidRPr="00C46A01" w:rsidRDefault="00C55B57" w:rsidP="006E197C">
      <w:pPr>
        <w:pStyle w:val="ListParagraph"/>
        <w:spacing w:before="240" w:line="480" w:lineRule="auto"/>
        <w:ind w:left="360"/>
        <w:jc w:val="center"/>
        <w:rPr>
          <w:rFonts w:ascii="Times New Roman" w:eastAsiaTheme="majorEastAsia" w:hAnsi="Times New Roman" w:cs="Times New Roman"/>
          <w:b/>
          <w:bCs/>
          <w:sz w:val="24"/>
          <w:szCs w:val="24"/>
        </w:rPr>
      </w:pPr>
      <w:r w:rsidRPr="00C46A01">
        <w:rPr>
          <w:rFonts w:ascii="Times New Roman" w:eastAsiaTheme="majorEastAsia" w:hAnsi="Times New Roman" w:cs="Times New Roman"/>
          <w:b/>
          <w:bCs/>
          <w:sz w:val="24"/>
          <w:szCs w:val="24"/>
        </w:rPr>
        <w:t>KESIMPULAN DAN SARAN</w:t>
      </w:r>
    </w:p>
    <w:p w14:paraId="149353EB" w14:textId="49E2902B" w:rsidR="00C55B57" w:rsidRPr="006E197C" w:rsidRDefault="00C55B57" w:rsidP="00095897">
      <w:pPr>
        <w:pStyle w:val="Heading2"/>
        <w:numPr>
          <w:ilvl w:val="0"/>
          <w:numId w:val="99"/>
        </w:numPr>
        <w:spacing w:after="240"/>
        <w:rPr>
          <w:rFonts w:ascii="Times New Roman" w:hAnsi="Times New Roman" w:cs="Times New Roman"/>
          <w:b/>
          <w:color w:val="000000" w:themeColor="text1"/>
          <w:sz w:val="24"/>
        </w:rPr>
      </w:pPr>
      <w:bookmarkStart w:id="24" w:name="_Toc170067699"/>
      <w:r w:rsidRPr="006E197C">
        <w:rPr>
          <w:rFonts w:ascii="Times New Roman" w:hAnsi="Times New Roman" w:cs="Times New Roman"/>
          <w:b/>
          <w:color w:val="000000" w:themeColor="text1"/>
          <w:sz w:val="24"/>
        </w:rPr>
        <w:t>Kesimpulan</w:t>
      </w:r>
      <w:bookmarkEnd w:id="24"/>
    </w:p>
    <w:p w14:paraId="3DE5E189" w14:textId="1F71F98F" w:rsidR="00C55B57" w:rsidRPr="00C46A01" w:rsidRDefault="009B4326" w:rsidP="0003048C">
      <w:pPr>
        <w:pStyle w:val="ListParagraph"/>
        <w:spacing w:line="480" w:lineRule="auto"/>
        <w:ind w:firstLine="414"/>
        <w:jc w:val="both"/>
        <w:rPr>
          <w:rFonts w:ascii="Times New Roman" w:hAnsi="Times New Roman" w:cs="Times New Roman"/>
          <w:sz w:val="24"/>
          <w:szCs w:val="24"/>
        </w:rPr>
      </w:pPr>
      <w:r w:rsidRPr="00C46A01">
        <w:rPr>
          <w:rFonts w:ascii="Times New Roman" w:hAnsi="Times New Roman" w:cs="Times New Roman"/>
          <w:sz w:val="24"/>
          <w:szCs w:val="24"/>
        </w:rPr>
        <w:t>Berdasarkan analisis dan pembahasan yang telah dilakukan dalam penelitian ini, dapat disimpulkan sebagai berikut:</w:t>
      </w:r>
    </w:p>
    <w:p w14:paraId="004B92E4" w14:textId="5CE53F23" w:rsidR="009B4326" w:rsidRPr="00C46A01" w:rsidRDefault="009B4326" w:rsidP="00095897">
      <w:pPr>
        <w:pStyle w:val="ListParagraph"/>
        <w:numPr>
          <w:ilvl w:val="0"/>
          <w:numId w:val="92"/>
        </w:numPr>
        <w:spacing w:line="480" w:lineRule="auto"/>
        <w:ind w:left="1134"/>
        <w:jc w:val="both"/>
        <w:rPr>
          <w:rFonts w:ascii="Times New Roman" w:eastAsiaTheme="majorEastAsia" w:hAnsi="Times New Roman" w:cs="Times New Roman"/>
          <w:sz w:val="24"/>
          <w:szCs w:val="24"/>
        </w:rPr>
      </w:pPr>
      <w:r w:rsidRPr="00C46A01">
        <w:rPr>
          <w:rFonts w:ascii="Times New Roman" w:eastAsiaTheme="majorEastAsia" w:hAnsi="Times New Roman" w:cs="Times New Roman"/>
          <w:sz w:val="24"/>
          <w:szCs w:val="24"/>
        </w:rPr>
        <w:t>Kualitas asset berpengaruh</w:t>
      </w:r>
      <w:r w:rsidR="00361ED6">
        <w:rPr>
          <w:rFonts w:ascii="Times New Roman" w:eastAsiaTheme="majorEastAsia" w:hAnsi="Times New Roman" w:cs="Times New Roman"/>
          <w:sz w:val="24"/>
          <w:szCs w:val="24"/>
        </w:rPr>
        <w:t xml:space="preserve"> </w:t>
      </w:r>
      <w:r w:rsidR="00F45213">
        <w:rPr>
          <w:rFonts w:ascii="Times New Roman" w:eastAsiaTheme="majorEastAsia" w:hAnsi="Times New Roman" w:cs="Times New Roman"/>
          <w:sz w:val="24"/>
          <w:szCs w:val="24"/>
        </w:rPr>
        <w:t xml:space="preserve">positif </w:t>
      </w:r>
      <w:r w:rsidRPr="00C46A01">
        <w:rPr>
          <w:rFonts w:ascii="Times New Roman" w:eastAsiaTheme="majorEastAsia" w:hAnsi="Times New Roman" w:cs="Times New Roman"/>
          <w:sz w:val="24"/>
          <w:szCs w:val="24"/>
        </w:rPr>
        <w:t>terhadap rasio kecukupan modal pada sub sektor perbankan yang terdaftar di bursa efek Indonesia (BEI) tahun 2019-2023.</w:t>
      </w:r>
    </w:p>
    <w:p w14:paraId="505C7527" w14:textId="16F3C8B2" w:rsidR="009B4326" w:rsidRPr="00C46A01" w:rsidRDefault="009B4326" w:rsidP="00095897">
      <w:pPr>
        <w:pStyle w:val="ListParagraph"/>
        <w:numPr>
          <w:ilvl w:val="0"/>
          <w:numId w:val="92"/>
        </w:numPr>
        <w:spacing w:line="480" w:lineRule="auto"/>
        <w:ind w:left="1134"/>
        <w:jc w:val="both"/>
        <w:rPr>
          <w:rFonts w:ascii="Times New Roman" w:eastAsiaTheme="majorEastAsia" w:hAnsi="Times New Roman" w:cs="Times New Roman"/>
          <w:sz w:val="24"/>
          <w:szCs w:val="24"/>
        </w:rPr>
      </w:pPr>
      <w:r w:rsidRPr="00C46A01">
        <w:rPr>
          <w:rFonts w:ascii="Times New Roman" w:eastAsiaTheme="majorEastAsia" w:hAnsi="Times New Roman" w:cs="Times New Roman"/>
          <w:sz w:val="24"/>
          <w:szCs w:val="24"/>
        </w:rPr>
        <w:t>Rentabilitas</w:t>
      </w:r>
      <w:r w:rsidR="00526684" w:rsidRPr="00C46A01">
        <w:rPr>
          <w:rFonts w:ascii="Times New Roman" w:eastAsiaTheme="majorEastAsia" w:hAnsi="Times New Roman" w:cs="Times New Roman"/>
          <w:sz w:val="24"/>
          <w:szCs w:val="24"/>
        </w:rPr>
        <w:t xml:space="preserve"> tidak</w:t>
      </w:r>
      <w:r w:rsidRPr="00C46A01">
        <w:rPr>
          <w:rFonts w:ascii="Times New Roman" w:eastAsiaTheme="majorEastAsia" w:hAnsi="Times New Roman" w:cs="Times New Roman"/>
          <w:sz w:val="24"/>
          <w:szCs w:val="24"/>
        </w:rPr>
        <w:t xml:space="preserve"> berpengaruh terhadap rasio kecukupan modal pada sub sektor perbankan yang terdaftar di bursa efek Indonesia (BEI) tahun 2019-2023.</w:t>
      </w:r>
    </w:p>
    <w:p w14:paraId="06073E40" w14:textId="2F45995E" w:rsidR="009B4326" w:rsidRPr="00C46A01" w:rsidRDefault="009B4326" w:rsidP="00095897">
      <w:pPr>
        <w:pStyle w:val="ListParagraph"/>
        <w:numPr>
          <w:ilvl w:val="0"/>
          <w:numId w:val="92"/>
        </w:numPr>
        <w:spacing w:line="480" w:lineRule="auto"/>
        <w:ind w:left="1134"/>
        <w:jc w:val="both"/>
        <w:rPr>
          <w:rFonts w:ascii="Times New Roman" w:eastAsiaTheme="majorEastAsia" w:hAnsi="Times New Roman" w:cs="Times New Roman"/>
          <w:sz w:val="24"/>
          <w:szCs w:val="24"/>
        </w:rPr>
      </w:pPr>
      <w:r w:rsidRPr="00C46A01">
        <w:rPr>
          <w:rFonts w:ascii="Times New Roman" w:eastAsiaTheme="majorEastAsia" w:hAnsi="Times New Roman" w:cs="Times New Roman"/>
          <w:sz w:val="24"/>
          <w:szCs w:val="24"/>
        </w:rPr>
        <w:t>Sensitivitas risiko pasar</w:t>
      </w:r>
      <w:r w:rsidR="00526684" w:rsidRPr="00C46A01">
        <w:rPr>
          <w:rFonts w:ascii="Times New Roman" w:eastAsiaTheme="majorEastAsia" w:hAnsi="Times New Roman" w:cs="Times New Roman"/>
          <w:sz w:val="24"/>
          <w:szCs w:val="24"/>
        </w:rPr>
        <w:t xml:space="preserve"> tidak</w:t>
      </w:r>
      <w:r w:rsidRPr="00C46A01">
        <w:rPr>
          <w:rFonts w:ascii="Times New Roman" w:eastAsiaTheme="majorEastAsia" w:hAnsi="Times New Roman" w:cs="Times New Roman"/>
          <w:sz w:val="24"/>
          <w:szCs w:val="24"/>
        </w:rPr>
        <w:t xml:space="preserve"> berpengaruh terhadap rasio kecukupan modal pada sub sektor perbankan yang terdaftar di bursa efek Indonesia (BEI) tahun 2019-2023.</w:t>
      </w:r>
    </w:p>
    <w:p w14:paraId="5EEBD1FF" w14:textId="0E92AE94" w:rsidR="009B4326" w:rsidRPr="00C46A01" w:rsidRDefault="009B4326" w:rsidP="00095897">
      <w:pPr>
        <w:pStyle w:val="ListParagraph"/>
        <w:numPr>
          <w:ilvl w:val="0"/>
          <w:numId w:val="92"/>
        </w:numPr>
        <w:spacing w:line="480" w:lineRule="auto"/>
        <w:ind w:left="1134"/>
        <w:jc w:val="both"/>
        <w:rPr>
          <w:rFonts w:ascii="Times New Roman" w:eastAsiaTheme="majorEastAsia" w:hAnsi="Times New Roman" w:cs="Times New Roman"/>
          <w:sz w:val="24"/>
          <w:szCs w:val="24"/>
        </w:rPr>
      </w:pPr>
      <w:r w:rsidRPr="00C46A01">
        <w:rPr>
          <w:rFonts w:ascii="Times New Roman" w:eastAsiaTheme="majorEastAsia" w:hAnsi="Times New Roman" w:cs="Times New Roman"/>
          <w:sz w:val="24"/>
          <w:szCs w:val="24"/>
        </w:rPr>
        <w:t xml:space="preserve">Efisiensi operasional </w:t>
      </w:r>
      <w:r w:rsidR="00526684" w:rsidRPr="00C46A01">
        <w:rPr>
          <w:rFonts w:ascii="Times New Roman" w:eastAsiaTheme="majorEastAsia" w:hAnsi="Times New Roman" w:cs="Times New Roman"/>
          <w:sz w:val="24"/>
          <w:szCs w:val="24"/>
        </w:rPr>
        <w:t xml:space="preserve">tidak </w:t>
      </w:r>
      <w:r w:rsidRPr="00C46A01">
        <w:rPr>
          <w:rFonts w:ascii="Times New Roman" w:eastAsiaTheme="majorEastAsia" w:hAnsi="Times New Roman" w:cs="Times New Roman"/>
          <w:sz w:val="24"/>
          <w:szCs w:val="24"/>
        </w:rPr>
        <w:t>berpengaruh terhadap rasio kecukupan modal pada sub sektor perbankan yang terdaftar di bursa efek Indonesia (BEI) tahun 2019-2023.</w:t>
      </w:r>
    </w:p>
    <w:p w14:paraId="0D1574D5" w14:textId="61B417E0" w:rsidR="009B4326" w:rsidRDefault="009B4326" w:rsidP="00095897">
      <w:pPr>
        <w:pStyle w:val="ListParagraph"/>
        <w:numPr>
          <w:ilvl w:val="0"/>
          <w:numId w:val="92"/>
        </w:numPr>
        <w:spacing w:line="480" w:lineRule="auto"/>
        <w:ind w:left="1134"/>
        <w:jc w:val="both"/>
        <w:rPr>
          <w:rFonts w:ascii="Times New Roman" w:eastAsiaTheme="majorEastAsia" w:hAnsi="Times New Roman" w:cs="Times New Roman"/>
          <w:sz w:val="24"/>
          <w:szCs w:val="24"/>
        </w:rPr>
      </w:pPr>
      <w:r w:rsidRPr="00C46A01">
        <w:rPr>
          <w:rFonts w:ascii="Times New Roman" w:eastAsiaTheme="majorEastAsia" w:hAnsi="Times New Roman" w:cs="Times New Roman"/>
          <w:i/>
          <w:iCs/>
          <w:sz w:val="24"/>
          <w:szCs w:val="24"/>
        </w:rPr>
        <w:t>leverage</w:t>
      </w:r>
      <w:r w:rsidRPr="00C46A01">
        <w:rPr>
          <w:rFonts w:ascii="Times New Roman" w:eastAsiaTheme="majorEastAsia" w:hAnsi="Times New Roman" w:cs="Times New Roman"/>
          <w:sz w:val="24"/>
          <w:szCs w:val="24"/>
        </w:rPr>
        <w:t xml:space="preserve"> berpengaruh</w:t>
      </w:r>
      <w:r w:rsidR="00361ED6">
        <w:rPr>
          <w:rFonts w:ascii="Times New Roman" w:eastAsiaTheme="majorEastAsia" w:hAnsi="Times New Roman" w:cs="Times New Roman"/>
          <w:sz w:val="24"/>
          <w:szCs w:val="24"/>
        </w:rPr>
        <w:t xml:space="preserve"> </w:t>
      </w:r>
      <w:r w:rsidR="00F45213">
        <w:rPr>
          <w:rFonts w:ascii="Times New Roman" w:eastAsiaTheme="majorEastAsia" w:hAnsi="Times New Roman" w:cs="Times New Roman"/>
          <w:sz w:val="24"/>
          <w:szCs w:val="24"/>
        </w:rPr>
        <w:t xml:space="preserve">negatif </w:t>
      </w:r>
      <w:r w:rsidRPr="00C46A01">
        <w:rPr>
          <w:rFonts w:ascii="Times New Roman" w:eastAsiaTheme="majorEastAsia" w:hAnsi="Times New Roman" w:cs="Times New Roman"/>
          <w:sz w:val="24"/>
          <w:szCs w:val="24"/>
        </w:rPr>
        <w:t>terhadap rasio kecukupan modal pada sub sektor perbankan yang terdaftar di bursa efek Indonesia (BEI) tahun 2019-2023.</w:t>
      </w:r>
    </w:p>
    <w:p w14:paraId="4AFBA8F0" w14:textId="2BFCC02F" w:rsidR="006E197C" w:rsidRPr="00CE431B" w:rsidRDefault="00CE431B" w:rsidP="006E197C">
      <w:pPr>
        <w:pStyle w:val="ListParagraph"/>
        <w:numPr>
          <w:ilvl w:val="0"/>
          <w:numId w:val="92"/>
        </w:numPr>
        <w:spacing w:line="480" w:lineRule="auto"/>
        <w:ind w:left="1134"/>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Kualitas asset, rentabilitas, sensitivitas risiko pasar, efisiensi operasional dan </w:t>
      </w:r>
      <w:r w:rsidRPr="00CE431B">
        <w:rPr>
          <w:rFonts w:ascii="Times New Roman" w:eastAsiaTheme="majorEastAsia" w:hAnsi="Times New Roman" w:cs="Times New Roman"/>
          <w:i/>
          <w:iCs/>
          <w:sz w:val="24"/>
          <w:szCs w:val="24"/>
        </w:rPr>
        <w:t>leverage</w:t>
      </w:r>
      <w:r>
        <w:rPr>
          <w:rFonts w:ascii="Times New Roman" w:eastAsiaTheme="majorEastAsia" w:hAnsi="Times New Roman" w:cs="Times New Roman"/>
          <w:i/>
          <w:iCs/>
          <w:sz w:val="24"/>
          <w:szCs w:val="24"/>
        </w:rPr>
        <w:t xml:space="preserve"> </w:t>
      </w:r>
      <w:r>
        <w:rPr>
          <w:rFonts w:ascii="Times New Roman" w:eastAsiaTheme="majorEastAsia" w:hAnsi="Times New Roman" w:cs="Times New Roman"/>
          <w:sz w:val="24"/>
          <w:szCs w:val="24"/>
        </w:rPr>
        <w:t xml:space="preserve">secara simultan berpengaruh terhadap rasio kecukupan modal </w:t>
      </w:r>
      <w:r>
        <w:rPr>
          <w:rFonts w:ascii="Times New Roman" w:eastAsiaTheme="majorEastAsia" w:hAnsi="Times New Roman" w:cs="Times New Roman"/>
          <w:sz w:val="24"/>
          <w:szCs w:val="24"/>
        </w:rPr>
        <w:lastRenderedPageBreak/>
        <w:t xml:space="preserve">pada sub sektor perbankan </w:t>
      </w:r>
      <w:r w:rsidRPr="00C46A01">
        <w:rPr>
          <w:rFonts w:ascii="Times New Roman" w:eastAsiaTheme="majorEastAsia" w:hAnsi="Times New Roman" w:cs="Times New Roman"/>
          <w:sz w:val="24"/>
          <w:szCs w:val="24"/>
        </w:rPr>
        <w:t>yang terdaftar di bursa efek Indonesia (BEI) tahun 2019-2023</w:t>
      </w:r>
      <w:r>
        <w:rPr>
          <w:rFonts w:ascii="Times New Roman" w:eastAsiaTheme="majorEastAsia" w:hAnsi="Times New Roman" w:cs="Times New Roman"/>
          <w:sz w:val="24"/>
          <w:szCs w:val="24"/>
        </w:rPr>
        <w:t>.</w:t>
      </w:r>
    </w:p>
    <w:p w14:paraId="0797F6F9" w14:textId="02759570" w:rsidR="00C55B57" w:rsidRPr="006E197C" w:rsidRDefault="00C55B57" w:rsidP="00095897">
      <w:pPr>
        <w:pStyle w:val="Heading2"/>
        <w:numPr>
          <w:ilvl w:val="0"/>
          <w:numId w:val="99"/>
        </w:numPr>
        <w:spacing w:line="480" w:lineRule="auto"/>
        <w:rPr>
          <w:rFonts w:ascii="Times New Roman" w:hAnsi="Times New Roman" w:cs="Times New Roman"/>
          <w:b/>
          <w:color w:val="000000" w:themeColor="text1"/>
          <w:sz w:val="24"/>
        </w:rPr>
      </w:pPr>
      <w:bookmarkStart w:id="25" w:name="_Toc170067700"/>
      <w:r w:rsidRPr="006E197C">
        <w:rPr>
          <w:rFonts w:ascii="Times New Roman" w:hAnsi="Times New Roman" w:cs="Times New Roman"/>
          <w:b/>
          <w:color w:val="000000" w:themeColor="text1"/>
          <w:sz w:val="24"/>
        </w:rPr>
        <w:t>Saran</w:t>
      </w:r>
      <w:bookmarkEnd w:id="25"/>
      <w:r w:rsidRPr="006E197C">
        <w:rPr>
          <w:rFonts w:ascii="Times New Roman" w:hAnsi="Times New Roman" w:cs="Times New Roman"/>
          <w:b/>
          <w:color w:val="000000" w:themeColor="text1"/>
          <w:sz w:val="24"/>
        </w:rPr>
        <w:t xml:space="preserve"> </w:t>
      </w:r>
    </w:p>
    <w:p w14:paraId="197664AA" w14:textId="6AD20E28" w:rsidR="00BF2A47" w:rsidRPr="00C46A01" w:rsidRDefault="00BF2A47" w:rsidP="00BF2A47">
      <w:pPr>
        <w:pStyle w:val="ListParagraph"/>
        <w:spacing w:line="480" w:lineRule="auto"/>
        <w:jc w:val="both"/>
        <w:rPr>
          <w:rFonts w:ascii="Times New Roman" w:hAnsi="Times New Roman" w:cs="Times New Roman"/>
          <w:sz w:val="24"/>
          <w:szCs w:val="24"/>
        </w:rPr>
      </w:pPr>
      <w:r w:rsidRPr="00C46A01">
        <w:rPr>
          <w:rFonts w:ascii="Times New Roman" w:hAnsi="Times New Roman" w:cs="Times New Roman"/>
          <w:sz w:val="24"/>
          <w:szCs w:val="24"/>
        </w:rPr>
        <w:t>Berdasarkan hasil penelitian yang telah dilakukan ada beberapa saran yang dapat diajukan. Saran-saran yang dapat disampaikan adalah sebagai berikut:</w:t>
      </w:r>
    </w:p>
    <w:p w14:paraId="2357E1EA" w14:textId="0750A63E" w:rsidR="00BF2A47" w:rsidRPr="00C46A01" w:rsidRDefault="00BF2A47" w:rsidP="00095897">
      <w:pPr>
        <w:pStyle w:val="ListParagraph"/>
        <w:numPr>
          <w:ilvl w:val="0"/>
          <w:numId w:val="93"/>
        </w:numPr>
        <w:spacing w:line="480" w:lineRule="auto"/>
        <w:ind w:left="1134"/>
        <w:jc w:val="both"/>
        <w:rPr>
          <w:rFonts w:ascii="Times New Roman" w:eastAsiaTheme="majorEastAsia" w:hAnsi="Times New Roman" w:cs="Times New Roman"/>
          <w:sz w:val="24"/>
          <w:szCs w:val="24"/>
        </w:rPr>
      </w:pPr>
      <w:r w:rsidRPr="00C46A01">
        <w:rPr>
          <w:rFonts w:ascii="Times New Roman" w:eastAsiaTheme="majorEastAsia" w:hAnsi="Times New Roman" w:cs="Times New Roman"/>
          <w:sz w:val="24"/>
          <w:szCs w:val="24"/>
        </w:rPr>
        <w:t xml:space="preserve">Bagi </w:t>
      </w:r>
      <w:r w:rsidR="002122F9">
        <w:rPr>
          <w:rFonts w:ascii="Times New Roman" w:eastAsiaTheme="majorEastAsia" w:hAnsi="Times New Roman" w:cs="Times New Roman"/>
          <w:sz w:val="24"/>
          <w:szCs w:val="24"/>
        </w:rPr>
        <w:t>manajemen perbankan digunakan sebagai bahan pertimbangan dalam mengelola praktik-praktik perbankan di Indonesia karena beberapa faktor atau variabel yang dapat mempengaruhi keuntungan karena akan berdampak pada kecukupan modal bank.</w:t>
      </w:r>
    </w:p>
    <w:p w14:paraId="39E7AB26" w14:textId="5C8293D5" w:rsidR="00BF2A47" w:rsidRPr="00C46A01" w:rsidRDefault="00BF2A47" w:rsidP="00095897">
      <w:pPr>
        <w:pStyle w:val="ListParagraph"/>
        <w:numPr>
          <w:ilvl w:val="0"/>
          <w:numId w:val="93"/>
        </w:numPr>
        <w:spacing w:line="480" w:lineRule="auto"/>
        <w:ind w:left="1134"/>
        <w:jc w:val="both"/>
        <w:rPr>
          <w:rFonts w:ascii="Times New Roman" w:eastAsiaTheme="majorEastAsia" w:hAnsi="Times New Roman" w:cs="Times New Roman"/>
          <w:sz w:val="24"/>
          <w:szCs w:val="24"/>
        </w:rPr>
      </w:pPr>
      <w:r w:rsidRPr="00C46A01">
        <w:rPr>
          <w:rFonts w:ascii="Times New Roman" w:eastAsiaTheme="majorEastAsia" w:hAnsi="Times New Roman" w:cs="Times New Roman"/>
          <w:sz w:val="24"/>
          <w:szCs w:val="24"/>
        </w:rPr>
        <w:t xml:space="preserve">Bagi </w:t>
      </w:r>
      <w:r w:rsidR="002122F9">
        <w:rPr>
          <w:rFonts w:ascii="Times New Roman" w:eastAsiaTheme="majorEastAsia" w:hAnsi="Times New Roman" w:cs="Times New Roman"/>
          <w:sz w:val="24"/>
          <w:szCs w:val="24"/>
        </w:rPr>
        <w:t xml:space="preserve">pihak investor dan calon investor </w:t>
      </w:r>
      <w:r w:rsidR="00457216">
        <w:rPr>
          <w:rFonts w:ascii="Times New Roman" w:eastAsiaTheme="majorEastAsia" w:hAnsi="Times New Roman" w:cs="Times New Roman"/>
          <w:sz w:val="24"/>
          <w:szCs w:val="24"/>
        </w:rPr>
        <w:t>dalam berinvestasi sebaiknya dapat memperhatikan faktor-faktor yang memiliki</w:t>
      </w:r>
      <w:r w:rsidR="00CE431B">
        <w:rPr>
          <w:rFonts w:ascii="Times New Roman" w:eastAsiaTheme="majorEastAsia" w:hAnsi="Times New Roman" w:cs="Times New Roman"/>
          <w:sz w:val="24"/>
          <w:szCs w:val="24"/>
        </w:rPr>
        <w:t xml:space="preserve"> </w:t>
      </w:r>
      <w:r w:rsidR="00457216">
        <w:rPr>
          <w:rFonts w:ascii="Times New Roman" w:eastAsiaTheme="majorEastAsia" w:hAnsi="Times New Roman" w:cs="Times New Roman"/>
          <w:sz w:val="24"/>
          <w:szCs w:val="24"/>
        </w:rPr>
        <w:t xml:space="preserve">pengaruh secara signifikan terhadap kecukupan modal yang menjadi informasi dan pertimbangan dalam mengambil </w:t>
      </w:r>
      <w:r w:rsidR="00CE431B">
        <w:rPr>
          <w:rFonts w:ascii="Times New Roman" w:eastAsiaTheme="majorEastAsia" w:hAnsi="Times New Roman" w:cs="Times New Roman"/>
          <w:sz w:val="24"/>
          <w:szCs w:val="24"/>
        </w:rPr>
        <w:t>k</w:t>
      </w:r>
      <w:r w:rsidR="00457216">
        <w:rPr>
          <w:rFonts w:ascii="Times New Roman" w:eastAsiaTheme="majorEastAsia" w:hAnsi="Times New Roman" w:cs="Times New Roman"/>
          <w:sz w:val="24"/>
          <w:szCs w:val="24"/>
        </w:rPr>
        <w:t>eputusan dalam berinvestasi.</w:t>
      </w:r>
    </w:p>
    <w:p w14:paraId="762E6865" w14:textId="365F5552" w:rsidR="00BF2A47" w:rsidRPr="00C46A01" w:rsidRDefault="00BF2A47" w:rsidP="00095897">
      <w:pPr>
        <w:pStyle w:val="ListParagraph"/>
        <w:numPr>
          <w:ilvl w:val="0"/>
          <w:numId w:val="93"/>
        </w:numPr>
        <w:spacing w:line="480" w:lineRule="auto"/>
        <w:ind w:left="1134"/>
        <w:jc w:val="both"/>
        <w:rPr>
          <w:rFonts w:ascii="Times New Roman" w:eastAsiaTheme="majorEastAsia" w:hAnsi="Times New Roman" w:cs="Times New Roman"/>
          <w:b/>
          <w:bCs/>
          <w:sz w:val="24"/>
          <w:szCs w:val="24"/>
        </w:rPr>
      </w:pPr>
      <w:r w:rsidRPr="00C46A01">
        <w:rPr>
          <w:rFonts w:ascii="Times New Roman" w:eastAsiaTheme="majorEastAsia" w:hAnsi="Times New Roman" w:cs="Times New Roman"/>
          <w:sz w:val="24"/>
          <w:szCs w:val="24"/>
        </w:rPr>
        <w:t xml:space="preserve">Bagi </w:t>
      </w:r>
      <w:r w:rsidRPr="00C46A01">
        <w:rPr>
          <w:rFonts w:ascii="Times New Roman" w:hAnsi="Times New Roman" w:cs="Times New Roman"/>
          <w:sz w:val="24"/>
          <w:szCs w:val="24"/>
        </w:rPr>
        <w:t xml:space="preserve">Peneliti </w:t>
      </w:r>
      <w:r w:rsidR="00434E22">
        <w:rPr>
          <w:rFonts w:ascii="Times New Roman" w:hAnsi="Times New Roman" w:cs="Times New Roman"/>
          <w:sz w:val="24"/>
          <w:szCs w:val="24"/>
        </w:rPr>
        <w:t>selanjut</w:t>
      </w:r>
      <w:r w:rsidRPr="00C46A01">
        <w:rPr>
          <w:rFonts w:ascii="Times New Roman" w:hAnsi="Times New Roman" w:cs="Times New Roman"/>
          <w:sz w:val="24"/>
          <w:szCs w:val="24"/>
        </w:rPr>
        <w:t>nya dapat menggunakan sampel perusahaan yang berbeda</w:t>
      </w:r>
      <w:r w:rsidR="00B70A95">
        <w:rPr>
          <w:rFonts w:ascii="Times New Roman" w:hAnsi="Times New Roman" w:cs="Times New Roman"/>
          <w:sz w:val="24"/>
          <w:szCs w:val="24"/>
        </w:rPr>
        <w:t xml:space="preserve"> seperti bank perkreditan rakyat (BPR) atau bank pembiayaan rakyat syariah (BPRS)</w:t>
      </w:r>
      <w:r w:rsidRPr="00C46A01">
        <w:rPr>
          <w:rFonts w:ascii="Times New Roman" w:hAnsi="Times New Roman" w:cs="Times New Roman"/>
          <w:sz w:val="24"/>
          <w:szCs w:val="24"/>
        </w:rPr>
        <w:t>, menambah atau mengganti variabel lainnya</w:t>
      </w:r>
      <w:r w:rsidR="00B70A95">
        <w:rPr>
          <w:rFonts w:ascii="Times New Roman" w:hAnsi="Times New Roman" w:cs="Times New Roman"/>
          <w:sz w:val="24"/>
          <w:szCs w:val="24"/>
        </w:rPr>
        <w:t xml:space="preserve"> seperti likuiditas, ukuran Perusahaan, profitabilitas</w:t>
      </w:r>
      <w:r w:rsidRPr="00C46A01">
        <w:rPr>
          <w:rFonts w:ascii="Times New Roman" w:hAnsi="Times New Roman" w:cs="Times New Roman"/>
          <w:sz w:val="24"/>
          <w:szCs w:val="24"/>
        </w:rPr>
        <w:t xml:space="preserve"> dan memperpanjang tahun penelitian dari penelitian ini agar penelitian berikutnya dapat memberikan penjelasan yang lebih sempurna mengenai rasio kecukupan modal serta faktor-faktor yang mempengaruhinya.</w:t>
      </w:r>
    </w:p>
    <w:p w14:paraId="56EFF691" w14:textId="77777777" w:rsidR="00E3177C" w:rsidRPr="00C46A01" w:rsidRDefault="00E3177C" w:rsidP="00724F0B">
      <w:pPr>
        <w:pStyle w:val="ListParagraph"/>
        <w:spacing w:line="480" w:lineRule="auto"/>
        <w:ind w:left="851"/>
        <w:jc w:val="center"/>
        <w:rPr>
          <w:rFonts w:ascii="Times New Roman" w:hAnsi="Times New Roman" w:cs="Times New Roman"/>
          <w:sz w:val="24"/>
          <w:szCs w:val="24"/>
        </w:rPr>
      </w:pPr>
    </w:p>
    <w:p w14:paraId="72A177FF" w14:textId="3DAF723E" w:rsidR="00B84D91" w:rsidRPr="00D46EE2" w:rsidRDefault="00B84D91" w:rsidP="00D46EE2">
      <w:pPr>
        <w:rPr>
          <w:rFonts w:ascii="Times New Roman" w:eastAsiaTheme="majorEastAsia" w:hAnsi="Times New Roman" w:cs="Times New Roman"/>
          <w:b/>
          <w:sz w:val="24"/>
          <w:szCs w:val="24"/>
        </w:rPr>
      </w:pPr>
    </w:p>
    <w:sectPr w:rsidR="00B84D91" w:rsidRPr="00D46EE2" w:rsidSect="0041743D">
      <w:pgSz w:w="12240" w:h="15840"/>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6B3B5" w14:textId="77777777" w:rsidR="00554FF6" w:rsidRDefault="00554FF6" w:rsidP="007E2160">
      <w:pPr>
        <w:spacing w:after="0" w:line="240" w:lineRule="auto"/>
      </w:pPr>
      <w:r>
        <w:separator/>
      </w:r>
    </w:p>
  </w:endnote>
  <w:endnote w:type="continuationSeparator" w:id="0">
    <w:p w14:paraId="24D30F10" w14:textId="77777777" w:rsidR="00554FF6" w:rsidRDefault="00554FF6" w:rsidP="007E2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4C664" w14:textId="77777777" w:rsidR="0041743D" w:rsidRDefault="004174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4FACE" w14:textId="77777777" w:rsidR="0041743D" w:rsidRDefault="004174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834677"/>
      <w:docPartObj>
        <w:docPartGallery w:val="Page Numbers (Bottom of Page)"/>
        <w:docPartUnique/>
      </w:docPartObj>
    </w:sdtPr>
    <w:sdtEndPr>
      <w:rPr>
        <w:rFonts w:ascii="Times New Roman" w:hAnsi="Times New Roman" w:cs="Times New Roman"/>
        <w:noProof/>
        <w:sz w:val="24"/>
        <w:szCs w:val="24"/>
      </w:rPr>
    </w:sdtEndPr>
    <w:sdtContent>
      <w:bookmarkStart w:id="22" w:name="_GoBack" w:displacedByCustomXml="prev"/>
      <w:bookmarkEnd w:id="22" w:displacedByCustomXml="prev"/>
      <w:p w14:paraId="6DE88371" w14:textId="13C82AA1" w:rsidR="00075A9C" w:rsidRPr="004D1BDD" w:rsidRDefault="00075A9C">
        <w:pPr>
          <w:pStyle w:val="Footer"/>
          <w:jc w:val="center"/>
          <w:rPr>
            <w:rFonts w:ascii="Times New Roman" w:hAnsi="Times New Roman" w:cs="Times New Roman"/>
            <w:sz w:val="24"/>
            <w:szCs w:val="24"/>
          </w:rPr>
        </w:pPr>
        <w:r w:rsidRPr="004D1BDD">
          <w:rPr>
            <w:rFonts w:ascii="Times New Roman" w:hAnsi="Times New Roman" w:cs="Times New Roman"/>
            <w:sz w:val="24"/>
            <w:szCs w:val="24"/>
          </w:rPr>
          <w:fldChar w:fldCharType="begin"/>
        </w:r>
        <w:r w:rsidRPr="004D1BDD">
          <w:rPr>
            <w:rFonts w:ascii="Times New Roman" w:hAnsi="Times New Roman" w:cs="Times New Roman"/>
            <w:sz w:val="24"/>
            <w:szCs w:val="24"/>
          </w:rPr>
          <w:instrText xml:space="preserve"> PAGE   \* MERGEFORMAT </w:instrText>
        </w:r>
        <w:r w:rsidRPr="004D1BDD">
          <w:rPr>
            <w:rFonts w:ascii="Times New Roman" w:hAnsi="Times New Roman" w:cs="Times New Roman"/>
            <w:sz w:val="24"/>
            <w:szCs w:val="24"/>
          </w:rPr>
          <w:fldChar w:fldCharType="separate"/>
        </w:r>
        <w:r w:rsidR="0041743D">
          <w:rPr>
            <w:rFonts w:ascii="Times New Roman" w:hAnsi="Times New Roman" w:cs="Times New Roman"/>
            <w:noProof/>
            <w:sz w:val="24"/>
            <w:szCs w:val="24"/>
          </w:rPr>
          <w:t>142</w:t>
        </w:r>
        <w:r w:rsidRPr="004D1BDD">
          <w:rPr>
            <w:rFonts w:ascii="Times New Roman" w:hAnsi="Times New Roman" w:cs="Times New Roman"/>
            <w:noProof/>
            <w:sz w:val="24"/>
            <w:szCs w:val="24"/>
          </w:rPr>
          <w:fldChar w:fldCharType="end"/>
        </w:r>
      </w:p>
    </w:sdtContent>
  </w:sdt>
  <w:p w14:paraId="1E27DC07" w14:textId="77777777" w:rsidR="00075A9C" w:rsidRDefault="00075A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0977E" w14:textId="77777777" w:rsidR="00554FF6" w:rsidRDefault="00554FF6" w:rsidP="007E2160">
      <w:pPr>
        <w:spacing w:after="0" w:line="240" w:lineRule="auto"/>
      </w:pPr>
      <w:r>
        <w:separator/>
      </w:r>
    </w:p>
  </w:footnote>
  <w:footnote w:type="continuationSeparator" w:id="0">
    <w:p w14:paraId="28204171" w14:textId="77777777" w:rsidR="00554FF6" w:rsidRDefault="00554FF6" w:rsidP="007E21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112E4" w14:textId="77777777" w:rsidR="0041743D" w:rsidRDefault="004174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651957"/>
      <w:docPartObj>
        <w:docPartGallery w:val="Page Numbers (Top of Page)"/>
        <w:docPartUnique/>
      </w:docPartObj>
    </w:sdtPr>
    <w:sdtEndPr>
      <w:rPr>
        <w:noProof/>
      </w:rPr>
    </w:sdtEndPr>
    <w:sdtContent>
      <w:p w14:paraId="5C0619B6" w14:textId="54D9F578" w:rsidR="0041743D" w:rsidRDefault="0041743D">
        <w:pPr>
          <w:pStyle w:val="Header"/>
          <w:jc w:val="right"/>
        </w:pPr>
        <w:r>
          <w:fldChar w:fldCharType="begin"/>
        </w:r>
        <w:r>
          <w:instrText xml:space="preserve"> PAGE   \* MERGEFORMAT </w:instrText>
        </w:r>
        <w:r>
          <w:fldChar w:fldCharType="separate"/>
        </w:r>
        <w:r>
          <w:rPr>
            <w:noProof/>
          </w:rPr>
          <w:t>141</w:t>
        </w:r>
        <w:r>
          <w:rPr>
            <w:noProof/>
          </w:rPr>
          <w:fldChar w:fldCharType="end"/>
        </w:r>
      </w:p>
    </w:sdtContent>
  </w:sdt>
  <w:p w14:paraId="62DF640F" w14:textId="77777777" w:rsidR="0041743D" w:rsidRDefault="004174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F1E99" w14:textId="77777777" w:rsidR="0041743D" w:rsidRDefault="004174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D2B6B"/>
    <w:multiLevelType w:val="hybridMultilevel"/>
    <w:tmpl w:val="F64A1E22"/>
    <w:lvl w:ilvl="0" w:tplc="FFFFFFFF">
      <w:start w:val="1"/>
      <w:numFmt w:val="decimal"/>
      <w:lvlText w:val="%1)"/>
      <w:lvlJc w:val="left"/>
      <w:pPr>
        <w:ind w:left="1713" w:hanging="360"/>
      </w:pPr>
      <w:rPr>
        <w:rFonts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1">
    <w:nsid w:val="02826A6B"/>
    <w:multiLevelType w:val="hybridMultilevel"/>
    <w:tmpl w:val="868E9136"/>
    <w:lvl w:ilvl="0" w:tplc="200A6B04">
      <w:start w:val="4"/>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A22056"/>
    <w:multiLevelType w:val="hybridMultilevel"/>
    <w:tmpl w:val="5886712A"/>
    <w:lvl w:ilvl="0" w:tplc="7E46CD7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500CF9"/>
    <w:multiLevelType w:val="hybridMultilevel"/>
    <w:tmpl w:val="99306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290723"/>
    <w:multiLevelType w:val="hybridMultilevel"/>
    <w:tmpl w:val="2E94689A"/>
    <w:lvl w:ilvl="0" w:tplc="CC3C9E6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D1329C"/>
    <w:multiLevelType w:val="hybridMultilevel"/>
    <w:tmpl w:val="89505D06"/>
    <w:lvl w:ilvl="0" w:tplc="38090011">
      <w:start w:val="1"/>
      <w:numFmt w:val="decimal"/>
      <w:lvlText w:val="%1)"/>
      <w:lvlJc w:val="left"/>
      <w:pPr>
        <w:ind w:left="1713" w:hanging="360"/>
      </w:pPr>
      <w:rPr>
        <w:rFont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6">
    <w:nsid w:val="08805633"/>
    <w:multiLevelType w:val="hybridMultilevel"/>
    <w:tmpl w:val="4D1489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A023304"/>
    <w:multiLevelType w:val="hybridMultilevel"/>
    <w:tmpl w:val="28F24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852F04"/>
    <w:multiLevelType w:val="hybridMultilevel"/>
    <w:tmpl w:val="D25804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C4E3AA0"/>
    <w:multiLevelType w:val="hybridMultilevel"/>
    <w:tmpl w:val="904C47DE"/>
    <w:lvl w:ilvl="0" w:tplc="0D783052">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963970"/>
    <w:multiLevelType w:val="hybridMultilevel"/>
    <w:tmpl w:val="8FB46F6C"/>
    <w:lvl w:ilvl="0" w:tplc="0409000F">
      <w:start w:val="1"/>
      <w:numFmt w:val="decimal"/>
      <w:lvlText w:val="%1."/>
      <w:lvlJc w:val="left"/>
      <w:pPr>
        <w:ind w:left="1139" w:hanging="360"/>
      </w:p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11">
    <w:nsid w:val="10A25CAA"/>
    <w:multiLevelType w:val="hybridMultilevel"/>
    <w:tmpl w:val="94D09BB4"/>
    <w:lvl w:ilvl="0" w:tplc="38090011">
      <w:start w:val="1"/>
      <w:numFmt w:val="decimal"/>
      <w:lvlText w:val="%1)"/>
      <w:lvlJc w:val="left"/>
      <w:pPr>
        <w:ind w:left="1713" w:hanging="360"/>
      </w:pPr>
      <w:rPr>
        <w:rFont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nsid w:val="12922133"/>
    <w:multiLevelType w:val="hybridMultilevel"/>
    <w:tmpl w:val="414A0FE4"/>
    <w:lvl w:ilvl="0" w:tplc="0421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12D824DB"/>
    <w:multiLevelType w:val="hybridMultilevel"/>
    <w:tmpl w:val="60309A92"/>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
    <w:nsid w:val="152D1014"/>
    <w:multiLevelType w:val="hybridMultilevel"/>
    <w:tmpl w:val="28F24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B04A40"/>
    <w:multiLevelType w:val="hybridMultilevel"/>
    <w:tmpl w:val="D28E36DE"/>
    <w:lvl w:ilvl="0" w:tplc="0409000F">
      <w:start w:val="1"/>
      <w:numFmt w:val="decimal"/>
      <w:lvlText w:val="%1."/>
      <w:lvlJc w:val="left"/>
      <w:pPr>
        <w:ind w:left="1139" w:hanging="360"/>
      </w:p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16">
    <w:nsid w:val="1957508B"/>
    <w:multiLevelType w:val="hybridMultilevel"/>
    <w:tmpl w:val="E7FEA828"/>
    <w:lvl w:ilvl="0" w:tplc="0409000F">
      <w:start w:val="1"/>
      <w:numFmt w:val="decimal"/>
      <w:lvlText w:val="%1."/>
      <w:lvlJc w:val="left"/>
      <w:pPr>
        <w:ind w:left="1139" w:hanging="360"/>
      </w:p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17">
    <w:nsid w:val="20034319"/>
    <w:multiLevelType w:val="hybridMultilevel"/>
    <w:tmpl w:val="58841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5626D2"/>
    <w:multiLevelType w:val="hybridMultilevel"/>
    <w:tmpl w:val="85325BFA"/>
    <w:lvl w:ilvl="0" w:tplc="FFFFFFFF">
      <w:start w:val="1"/>
      <w:numFmt w:val="decimal"/>
      <w:lvlText w:val="%1)"/>
      <w:lvlJc w:val="left"/>
      <w:pPr>
        <w:ind w:left="1713" w:hanging="360"/>
      </w:pPr>
      <w:rPr>
        <w:rFont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nsid w:val="21CB2CA3"/>
    <w:multiLevelType w:val="hybridMultilevel"/>
    <w:tmpl w:val="38684A9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885C42"/>
    <w:multiLevelType w:val="hybridMultilevel"/>
    <w:tmpl w:val="B2C6C6DE"/>
    <w:lvl w:ilvl="0" w:tplc="38090011">
      <w:start w:val="1"/>
      <w:numFmt w:val="decimal"/>
      <w:lvlText w:val="%1)"/>
      <w:lvlJc w:val="left"/>
      <w:pPr>
        <w:ind w:left="2139" w:hanging="360"/>
      </w:pPr>
      <w:rPr>
        <w:rFonts w:hint="default"/>
      </w:rPr>
    </w:lvl>
    <w:lvl w:ilvl="1" w:tplc="08090003" w:tentative="1">
      <w:start w:val="1"/>
      <w:numFmt w:val="bullet"/>
      <w:lvlText w:val="o"/>
      <w:lvlJc w:val="left"/>
      <w:pPr>
        <w:ind w:left="2793" w:hanging="360"/>
      </w:pPr>
      <w:rPr>
        <w:rFonts w:ascii="Courier New" w:hAnsi="Courier New" w:cs="Courier New" w:hint="default"/>
      </w:rPr>
    </w:lvl>
    <w:lvl w:ilvl="2" w:tplc="08090005" w:tentative="1">
      <w:start w:val="1"/>
      <w:numFmt w:val="bullet"/>
      <w:lvlText w:val=""/>
      <w:lvlJc w:val="left"/>
      <w:pPr>
        <w:ind w:left="3513" w:hanging="360"/>
      </w:pPr>
      <w:rPr>
        <w:rFonts w:ascii="Wingdings" w:hAnsi="Wingdings" w:hint="default"/>
      </w:rPr>
    </w:lvl>
    <w:lvl w:ilvl="3" w:tplc="08090001" w:tentative="1">
      <w:start w:val="1"/>
      <w:numFmt w:val="bullet"/>
      <w:lvlText w:val=""/>
      <w:lvlJc w:val="left"/>
      <w:pPr>
        <w:ind w:left="4233" w:hanging="360"/>
      </w:pPr>
      <w:rPr>
        <w:rFonts w:ascii="Symbol" w:hAnsi="Symbol" w:hint="default"/>
      </w:rPr>
    </w:lvl>
    <w:lvl w:ilvl="4" w:tplc="08090003" w:tentative="1">
      <w:start w:val="1"/>
      <w:numFmt w:val="bullet"/>
      <w:lvlText w:val="o"/>
      <w:lvlJc w:val="left"/>
      <w:pPr>
        <w:ind w:left="4953" w:hanging="360"/>
      </w:pPr>
      <w:rPr>
        <w:rFonts w:ascii="Courier New" w:hAnsi="Courier New" w:cs="Courier New" w:hint="default"/>
      </w:rPr>
    </w:lvl>
    <w:lvl w:ilvl="5" w:tplc="08090005" w:tentative="1">
      <w:start w:val="1"/>
      <w:numFmt w:val="bullet"/>
      <w:lvlText w:val=""/>
      <w:lvlJc w:val="left"/>
      <w:pPr>
        <w:ind w:left="5673" w:hanging="360"/>
      </w:pPr>
      <w:rPr>
        <w:rFonts w:ascii="Wingdings" w:hAnsi="Wingdings" w:hint="default"/>
      </w:rPr>
    </w:lvl>
    <w:lvl w:ilvl="6" w:tplc="08090001" w:tentative="1">
      <w:start w:val="1"/>
      <w:numFmt w:val="bullet"/>
      <w:lvlText w:val=""/>
      <w:lvlJc w:val="left"/>
      <w:pPr>
        <w:ind w:left="6393" w:hanging="360"/>
      </w:pPr>
      <w:rPr>
        <w:rFonts w:ascii="Symbol" w:hAnsi="Symbol" w:hint="default"/>
      </w:rPr>
    </w:lvl>
    <w:lvl w:ilvl="7" w:tplc="08090003" w:tentative="1">
      <w:start w:val="1"/>
      <w:numFmt w:val="bullet"/>
      <w:lvlText w:val="o"/>
      <w:lvlJc w:val="left"/>
      <w:pPr>
        <w:ind w:left="7113" w:hanging="360"/>
      </w:pPr>
      <w:rPr>
        <w:rFonts w:ascii="Courier New" w:hAnsi="Courier New" w:cs="Courier New" w:hint="default"/>
      </w:rPr>
    </w:lvl>
    <w:lvl w:ilvl="8" w:tplc="08090005" w:tentative="1">
      <w:start w:val="1"/>
      <w:numFmt w:val="bullet"/>
      <w:lvlText w:val=""/>
      <w:lvlJc w:val="left"/>
      <w:pPr>
        <w:ind w:left="7833" w:hanging="360"/>
      </w:pPr>
      <w:rPr>
        <w:rFonts w:ascii="Wingdings" w:hAnsi="Wingdings" w:hint="default"/>
      </w:rPr>
    </w:lvl>
  </w:abstractNum>
  <w:abstractNum w:abstractNumId="21">
    <w:nsid w:val="25B7070B"/>
    <w:multiLevelType w:val="hybridMultilevel"/>
    <w:tmpl w:val="36EED83C"/>
    <w:lvl w:ilvl="0" w:tplc="9BC451E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571CF0"/>
    <w:multiLevelType w:val="hybridMultilevel"/>
    <w:tmpl w:val="E084D6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38377E"/>
    <w:multiLevelType w:val="hybridMultilevel"/>
    <w:tmpl w:val="4D1489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74535B7"/>
    <w:multiLevelType w:val="hybridMultilevel"/>
    <w:tmpl w:val="112044BE"/>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5">
    <w:nsid w:val="28CA1A12"/>
    <w:multiLevelType w:val="hybridMultilevel"/>
    <w:tmpl w:val="A22E6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6B249C"/>
    <w:multiLevelType w:val="hybridMultilevel"/>
    <w:tmpl w:val="DB2A8010"/>
    <w:lvl w:ilvl="0" w:tplc="04090019">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nsid w:val="2A291DDF"/>
    <w:multiLevelType w:val="hybridMultilevel"/>
    <w:tmpl w:val="2A22D93A"/>
    <w:lvl w:ilvl="0" w:tplc="3809000F">
      <w:start w:val="1"/>
      <w:numFmt w:val="decimal"/>
      <w:lvlText w:val="%1."/>
      <w:lvlJc w:val="left"/>
      <w:pPr>
        <w:ind w:left="1876" w:hanging="360"/>
      </w:pPr>
    </w:lvl>
    <w:lvl w:ilvl="1" w:tplc="08090019" w:tentative="1">
      <w:start w:val="1"/>
      <w:numFmt w:val="lowerLetter"/>
      <w:lvlText w:val="%2."/>
      <w:lvlJc w:val="left"/>
      <w:pPr>
        <w:ind w:left="2596" w:hanging="360"/>
      </w:pPr>
    </w:lvl>
    <w:lvl w:ilvl="2" w:tplc="0809001B" w:tentative="1">
      <w:start w:val="1"/>
      <w:numFmt w:val="lowerRoman"/>
      <w:lvlText w:val="%3."/>
      <w:lvlJc w:val="right"/>
      <w:pPr>
        <w:ind w:left="3316" w:hanging="180"/>
      </w:pPr>
    </w:lvl>
    <w:lvl w:ilvl="3" w:tplc="0809000F" w:tentative="1">
      <w:start w:val="1"/>
      <w:numFmt w:val="decimal"/>
      <w:lvlText w:val="%4."/>
      <w:lvlJc w:val="left"/>
      <w:pPr>
        <w:ind w:left="4036" w:hanging="360"/>
      </w:pPr>
    </w:lvl>
    <w:lvl w:ilvl="4" w:tplc="08090019" w:tentative="1">
      <w:start w:val="1"/>
      <w:numFmt w:val="lowerLetter"/>
      <w:lvlText w:val="%5."/>
      <w:lvlJc w:val="left"/>
      <w:pPr>
        <w:ind w:left="4756" w:hanging="360"/>
      </w:pPr>
    </w:lvl>
    <w:lvl w:ilvl="5" w:tplc="0809001B" w:tentative="1">
      <w:start w:val="1"/>
      <w:numFmt w:val="lowerRoman"/>
      <w:lvlText w:val="%6."/>
      <w:lvlJc w:val="right"/>
      <w:pPr>
        <w:ind w:left="5476" w:hanging="180"/>
      </w:pPr>
    </w:lvl>
    <w:lvl w:ilvl="6" w:tplc="0809000F" w:tentative="1">
      <w:start w:val="1"/>
      <w:numFmt w:val="decimal"/>
      <w:lvlText w:val="%7."/>
      <w:lvlJc w:val="left"/>
      <w:pPr>
        <w:ind w:left="6196" w:hanging="360"/>
      </w:pPr>
    </w:lvl>
    <w:lvl w:ilvl="7" w:tplc="08090019" w:tentative="1">
      <w:start w:val="1"/>
      <w:numFmt w:val="lowerLetter"/>
      <w:lvlText w:val="%8."/>
      <w:lvlJc w:val="left"/>
      <w:pPr>
        <w:ind w:left="6916" w:hanging="360"/>
      </w:pPr>
    </w:lvl>
    <w:lvl w:ilvl="8" w:tplc="0809001B" w:tentative="1">
      <w:start w:val="1"/>
      <w:numFmt w:val="lowerRoman"/>
      <w:lvlText w:val="%9."/>
      <w:lvlJc w:val="right"/>
      <w:pPr>
        <w:ind w:left="7636" w:hanging="180"/>
      </w:pPr>
    </w:lvl>
  </w:abstractNum>
  <w:abstractNum w:abstractNumId="28">
    <w:nsid w:val="2C556D9B"/>
    <w:multiLevelType w:val="hybridMultilevel"/>
    <w:tmpl w:val="28F24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EB05287"/>
    <w:multiLevelType w:val="hybridMultilevel"/>
    <w:tmpl w:val="7C9CDF34"/>
    <w:lvl w:ilvl="0" w:tplc="6B5035D2">
      <w:start w:val="1"/>
      <w:numFmt w:val="decimal"/>
      <w:lvlText w:val="%1."/>
      <w:lvlJc w:val="left"/>
      <w:pPr>
        <w:ind w:left="720" w:hanging="360"/>
      </w:pPr>
      <w:rPr>
        <w:b/>
        <w:bCs w:val="0"/>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EF06920"/>
    <w:multiLevelType w:val="hybridMultilevel"/>
    <w:tmpl w:val="F6CEEDD6"/>
    <w:lvl w:ilvl="0" w:tplc="38090011">
      <w:start w:val="1"/>
      <w:numFmt w:val="decimal"/>
      <w:lvlText w:val="%1)"/>
      <w:lvlJc w:val="left"/>
      <w:pPr>
        <w:ind w:left="1713" w:hanging="360"/>
      </w:pPr>
      <w:rPr>
        <w:rFont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1">
    <w:nsid w:val="2F311A33"/>
    <w:multiLevelType w:val="hybridMultilevel"/>
    <w:tmpl w:val="AC8E6630"/>
    <w:lvl w:ilvl="0" w:tplc="38090011">
      <w:start w:val="1"/>
      <w:numFmt w:val="decimal"/>
      <w:lvlText w:val="%1)"/>
      <w:lvlJc w:val="left"/>
      <w:pPr>
        <w:ind w:left="1713" w:hanging="360"/>
      </w:pPr>
      <w:rPr>
        <w:rFonts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32">
    <w:nsid w:val="2FC27155"/>
    <w:multiLevelType w:val="hybridMultilevel"/>
    <w:tmpl w:val="778E1F3E"/>
    <w:lvl w:ilvl="0" w:tplc="FFFFFFFF">
      <w:start w:val="1"/>
      <w:numFmt w:val="decimal"/>
      <w:lvlText w:val="%1)"/>
      <w:lvlJc w:val="left"/>
      <w:pPr>
        <w:ind w:left="1713" w:hanging="360"/>
      </w:pPr>
      <w:rPr>
        <w:rFont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3">
    <w:nsid w:val="3449084C"/>
    <w:multiLevelType w:val="hybridMultilevel"/>
    <w:tmpl w:val="8A2C1AF0"/>
    <w:lvl w:ilvl="0" w:tplc="FFFFFFF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6644CA9"/>
    <w:multiLevelType w:val="hybridMultilevel"/>
    <w:tmpl w:val="1A8E124E"/>
    <w:lvl w:ilvl="0" w:tplc="3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5">
    <w:nsid w:val="37671EE1"/>
    <w:multiLevelType w:val="hybridMultilevel"/>
    <w:tmpl w:val="738C5276"/>
    <w:lvl w:ilvl="0" w:tplc="FFFFFFFF">
      <w:start w:val="1"/>
      <w:numFmt w:val="decimal"/>
      <w:lvlText w:val="%1)"/>
      <w:lvlJc w:val="left"/>
      <w:pPr>
        <w:ind w:left="1713" w:hanging="360"/>
      </w:pPr>
      <w:rPr>
        <w:rFont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6">
    <w:nsid w:val="38F417D5"/>
    <w:multiLevelType w:val="hybridMultilevel"/>
    <w:tmpl w:val="C8ECA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9E07B02"/>
    <w:multiLevelType w:val="hybridMultilevel"/>
    <w:tmpl w:val="DB7232FE"/>
    <w:lvl w:ilvl="0" w:tplc="83B2D276">
      <w:start w:val="1"/>
      <w:numFmt w:val="decimal"/>
      <w:lvlText w:val="%1."/>
      <w:lvlJc w:val="left"/>
      <w:pPr>
        <w:ind w:left="1876" w:hanging="360"/>
      </w:pPr>
      <w:rPr>
        <w:b w:val="0"/>
        <w:bCs w:val="0"/>
      </w:rPr>
    </w:lvl>
    <w:lvl w:ilvl="1" w:tplc="FFFFFFFF" w:tentative="1">
      <w:start w:val="1"/>
      <w:numFmt w:val="lowerLetter"/>
      <w:lvlText w:val="%2."/>
      <w:lvlJc w:val="left"/>
      <w:pPr>
        <w:ind w:left="2596" w:hanging="360"/>
      </w:pPr>
    </w:lvl>
    <w:lvl w:ilvl="2" w:tplc="FFFFFFFF" w:tentative="1">
      <w:start w:val="1"/>
      <w:numFmt w:val="lowerRoman"/>
      <w:lvlText w:val="%3."/>
      <w:lvlJc w:val="right"/>
      <w:pPr>
        <w:ind w:left="3316" w:hanging="180"/>
      </w:pPr>
    </w:lvl>
    <w:lvl w:ilvl="3" w:tplc="FFFFFFFF" w:tentative="1">
      <w:start w:val="1"/>
      <w:numFmt w:val="decimal"/>
      <w:lvlText w:val="%4."/>
      <w:lvlJc w:val="left"/>
      <w:pPr>
        <w:ind w:left="4036" w:hanging="360"/>
      </w:pPr>
    </w:lvl>
    <w:lvl w:ilvl="4" w:tplc="FFFFFFFF" w:tentative="1">
      <w:start w:val="1"/>
      <w:numFmt w:val="lowerLetter"/>
      <w:lvlText w:val="%5."/>
      <w:lvlJc w:val="left"/>
      <w:pPr>
        <w:ind w:left="4756" w:hanging="360"/>
      </w:pPr>
    </w:lvl>
    <w:lvl w:ilvl="5" w:tplc="FFFFFFFF" w:tentative="1">
      <w:start w:val="1"/>
      <w:numFmt w:val="lowerRoman"/>
      <w:lvlText w:val="%6."/>
      <w:lvlJc w:val="right"/>
      <w:pPr>
        <w:ind w:left="5476" w:hanging="180"/>
      </w:pPr>
    </w:lvl>
    <w:lvl w:ilvl="6" w:tplc="FFFFFFFF" w:tentative="1">
      <w:start w:val="1"/>
      <w:numFmt w:val="decimal"/>
      <w:lvlText w:val="%7."/>
      <w:lvlJc w:val="left"/>
      <w:pPr>
        <w:ind w:left="6196" w:hanging="360"/>
      </w:pPr>
    </w:lvl>
    <w:lvl w:ilvl="7" w:tplc="FFFFFFFF" w:tentative="1">
      <w:start w:val="1"/>
      <w:numFmt w:val="lowerLetter"/>
      <w:lvlText w:val="%8."/>
      <w:lvlJc w:val="left"/>
      <w:pPr>
        <w:ind w:left="6916" w:hanging="360"/>
      </w:pPr>
    </w:lvl>
    <w:lvl w:ilvl="8" w:tplc="FFFFFFFF" w:tentative="1">
      <w:start w:val="1"/>
      <w:numFmt w:val="lowerRoman"/>
      <w:lvlText w:val="%9."/>
      <w:lvlJc w:val="right"/>
      <w:pPr>
        <w:ind w:left="7636" w:hanging="180"/>
      </w:pPr>
    </w:lvl>
  </w:abstractNum>
  <w:abstractNum w:abstractNumId="38">
    <w:nsid w:val="3A90552B"/>
    <w:multiLevelType w:val="hybridMultilevel"/>
    <w:tmpl w:val="1A8E0DF6"/>
    <w:lvl w:ilvl="0" w:tplc="F140D5F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BA9761F"/>
    <w:multiLevelType w:val="hybridMultilevel"/>
    <w:tmpl w:val="28F24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C0B22C6"/>
    <w:multiLevelType w:val="hybridMultilevel"/>
    <w:tmpl w:val="789EEB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3C2B7CFC"/>
    <w:multiLevelType w:val="hybridMultilevel"/>
    <w:tmpl w:val="CE72A548"/>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2">
    <w:nsid w:val="3F573501"/>
    <w:multiLevelType w:val="hybridMultilevel"/>
    <w:tmpl w:val="9A82E910"/>
    <w:lvl w:ilvl="0" w:tplc="FFFFFFFF">
      <w:start w:val="1"/>
      <w:numFmt w:val="decimal"/>
      <w:lvlText w:val="%1."/>
      <w:lvlJc w:val="left"/>
      <w:pPr>
        <w:ind w:left="1876" w:hanging="360"/>
      </w:pPr>
    </w:lvl>
    <w:lvl w:ilvl="1" w:tplc="FFFFFFFF" w:tentative="1">
      <w:start w:val="1"/>
      <w:numFmt w:val="lowerLetter"/>
      <w:lvlText w:val="%2."/>
      <w:lvlJc w:val="left"/>
      <w:pPr>
        <w:ind w:left="2596" w:hanging="360"/>
      </w:pPr>
    </w:lvl>
    <w:lvl w:ilvl="2" w:tplc="FFFFFFFF" w:tentative="1">
      <w:start w:val="1"/>
      <w:numFmt w:val="lowerRoman"/>
      <w:lvlText w:val="%3."/>
      <w:lvlJc w:val="right"/>
      <w:pPr>
        <w:ind w:left="3316" w:hanging="180"/>
      </w:pPr>
    </w:lvl>
    <w:lvl w:ilvl="3" w:tplc="FFFFFFFF" w:tentative="1">
      <w:start w:val="1"/>
      <w:numFmt w:val="decimal"/>
      <w:lvlText w:val="%4."/>
      <w:lvlJc w:val="left"/>
      <w:pPr>
        <w:ind w:left="4036" w:hanging="360"/>
      </w:pPr>
    </w:lvl>
    <w:lvl w:ilvl="4" w:tplc="FFFFFFFF" w:tentative="1">
      <w:start w:val="1"/>
      <w:numFmt w:val="lowerLetter"/>
      <w:lvlText w:val="%5."/>
      <w:lvlJc w:val="left"/>
      <w:pPr>
        <w:ind w:left="4756" w:hanging="360"/>
      </w:pPr>
    </w:lvl>
    <w:lvl w:ilvl="5" w:tplc="FFFFFFFF" w:tentative="1">
      <w:start w:val="1"/>
      <w:numFmt w:val="lowerRoman"/>
      <w:lvlText w:val="%6."/>
      <w:lvlJc w:val="right"/>
      <w:pPr>
        <w:ind w:left="5476" w:hanging="180"/>
      </w:pPr>
    </w:lvl>
    <w:lvl w:ilvl="6" w:tplc="FFFFFFFF" w:tentative="1">
      <w:start w:val="1"/>
      <w:numFmt w:val="decimal"/>
      <w:lvlText w:val="%7."/>
      <w:lvlJc w:val="left"/>
      <w:pPr>
        <w:ind w:left="6196" w:hanging="360"/>
      </w:pPr>
    </w:lvl>
    <w:lvl w:ilvl="7" w:tplc="FFFFFFFF" w:tentative="1">
      <w:start w:val="1"/>
      <w:numFmt w:val="lowerLetter"/>
      <w:lvlText w:val="%8."/>
      <w:lvlJc w:val="left"/>
      <w:pPr>
        <w:ind w:left="6916" w:hanging="360"/>
      </w:pPr>
    </w:lvl>
    <w:lvl w:ilvl="8" w:tplc="FFFFFFFF" w:tentative="1">
      <w:start w:val="1"/>
      <w:numFmt w:val="lowerRoman"/>
      <w:lvlText w:val="%9."/>
      <w:lvlJc w:val="right"/>
      <w:pPr>
        <w:ind w:left="7636" w:hanging="180"/>
      </w:pPr>
    </w:lvl>
  </w:abstractNum>
  <w:abstractNum w:abstractNumId="43">
    <w:nsid w:val="411D45CD"/>
    <w:multiLevelType w:val="hybridMultilevel"/>
    <w:tmpl w:val="02D05C72"/>
    <w:lvl w:ilvl="0" w:tplc="FFFFFFFF">
      <w:start w:val="1"/>
      <w:numFmt w:val="decimal"/>
      <w:lvlText w:val="%1)"/>
      <w:lvlJc w:val="left"/>
      <w:pPr>
        <w:ind w:left="1713" w:hanging="360"/>
      </w:pPr>
      <w:rPr>
        <w:rFont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4">
    <w:nsid w:val="42102920"/>
    <w:multiLevelType w:val="hybridMultilevel"/>
    <w:tmpl w:val="A712CCA6"/>
    <w:lvl w:ilvl="0" w:tplc="38090011">
      <w:start w:val="1"/>
      <w:numFmt w:val="decimal"/>
      <w:lvlText w:val="%1)"/>
      <w:lvlJc w:val="left"/>
      <w:pPr>
        <w:ind w:left="1713" w:hanging="360"/>
      </w:pPr>
      <w:rPr>
        <w:rFont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5">
    <w:nsid w:val="452E2BC0"/>
    <w:multiLevelType w:val="hybridMultilevel"/>
    <w:tmpl w:val="2968F598"/>
    <w:lvl w:ilvl="0" w:tplc="EB6646E8">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566126C"/>
    <w:multiLevelType w:val="hybridMultilevel"/>
    <w:tmpl w:val="D8FE1C9C"/>
    <w:lvl w:ilvl="0" w:tplc="FFFFFFFF">
      <w:start w:val="1"/>
      <w:numFmt w:val="decimal"/>
      <w:lvlText w:val="%1)"/>
      <w:lvlJc w:val="left"/>
      <w:pPr>
        <w:ind w:left="1713" w:hanging="360"/>
      </w:pPr>
      <w:rPr>
        <w:rFont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7">
    <w:nsid w:val="46501CCF"/>
    <w:multiLevelType w:val="hybridMultilevel"/>
    <w:tmpl w:val="8C482D90"/>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8">
    <w:nsid w:val="466260B6"/>
    <w:multiLevelType w:val="hybridMultilevel"/>
    <w:tmpl w:val="F5CC3878"/>
    <w:lvl w:ilvl="0" w:tplc="3809000F">
      <w:start w:val="1"/>
      <w:numFmt w:val="decimal"/>
      <w:lvlText w:val="%1."/>
      <w:lvlJc w:val="left"/>
      <w:pPr>
        <w:ind w:left="1887" w:hanging="360"/>
      </w:pPr>
    </w:lvl>
    <w:lvl w:ilvl="1" w:tplc="FFFFFFFF" w:tentative="1">
      <w:start w:val="1"/>
      <w:numFmt w:val="lowerLetter"/>
      <w:lvlText w:val="%2."/>
      <w:lvlJc w:val="left"/>
      <w:pPr>
        <w:ind w:left="2607" w:hanging="360"/>
      </w:pPr>
    </w:lvl>
    <w:lvl w:ilvl="2" w:tplc="FFFFFFFF" w:tentative="1">
      <w:start w:val="1"/>
      <w:numFmt w:val="lowerRoman"/>
      <w:lvlText w:val="%3."/>
      <w:lvlJc w:val="right"/>
      <w:pPr>
        <w:ind w:left="3327" w:hanging="180"/>
      </w:pPr>
    </w:lvl>
    <w:lvl w:ilvl="3" w:tplc="FFFFFFFF" w:tentative="1">
      <w:start w:val="1"/>
      <w:numFmt w:val="decimal"/>
      <w:lvlText w:val="%4."/>
      <w:lvlJc w:val="left"/>
      <w:pPr>
        <w:ind w:left="4047" w:hanging="360"/>
      </w:pPr>
    </w:lvl>
    <w:lvl w:ilvl="4" w:tplc="FFFFFFFF" w:tentative="1">
      <w:start w:val="1"/>
      <w:numFmt w:val="lowerLetter"/>
      <w:lvlText w:val="%5."/>
      <w:lvlJc w:val="left"/>
      <w:pPr>
        <w:ind w:left="4767" w:hanging="360"/>
      </w:pPr>
    </w:lvl>
    <w:lvl w:ilvl="5" w:tplc="FFFFFFFF" w:tentative="1">
      <w:start w:val="1"/>
      <w:numFmt w:val="lowerRoman"/>
      <w:lvlText w:val="%6."/>
      <w:lvlJc w:val="right"/>
      <w:pPr>
        <w:ind w:left="5487" w:hanging="180"/>
      </w:pPr>
    </w:lvl>
    <w:lvl w:ilvl="6" w:tplc="FFFFFFFF" w:tentative="1">
      <w:start w:val="1"/>
      <w:numFmt w:val="decimal"/>
      <w:lvlText w:val="%7."/>
      <w:lvlJc w:val="left"/>
      <w:pPr>
        <w:ind w:left="6207" w:hanging="360"/>
      </w:pPr>
    </w:lvl>
    <w:lvl w:ilvl="7" w:tplc="FFFFFFFF" w:tentative="1">
      <w:start w:val="1"/>
      <w:numFmt w:val="lowerLetter"/>
      <w:lvlText w:val="%8."/>
      <w:lvlJc w:val="left"/>
      <w:pPr>
        <w:ind w:left="6927" w:hanging="360"/>
      </w:pPr>
    </w:lvl>
    <w:lvl w:ilvl="8" w:tplc="FFFFFFFF" w:tentative="1">
      <w:start w:val="1"/>
      <w:numFmt w:val="lowerRoman"/>
      <w:lvlText w:val="%9."/>
      <w:lvlJc w:val="right"/>
      <w:pPr>
        <w:ind w:left="7647" w:hanging="180"/>
      </w:pPr>
    </w:lvl>
  </w:abstractNum>
  <w:abstractNum w:abstractNumId="49">
    <w:nsid w:val="48A51CAC"/>
    <w:multiLevelType w:val="hybridMultilevel"/>
    <w:tmpl w:val="28F24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97A06EB"/>
    <w:multiLevelType w:val="hybridMultilevel"/>
    <w:tmpl w:val="28F24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A3225E8"/>
    <w:multiLevelType w:val="hybridMultilevel"/>
    <w:tmpl w:val="E98C1F5A"/>
    <w:lvl w:ilvl="0" w:tplc="38090011">
      <w:start w:val="1"/>
      <w:numFmt w:val="decimal"/>
      <w:lvlText w:val="%1)"/>
      <w:lvlJc w:val="left"/>
      <w:pPr>
        <w:ind w:left="1713" w:hanging="360"/>
      </w:pPr>
      <w:rPr>
        <w:rFonts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52">
    <w:nsid w:val="4AC70BF2"/>
    <w:multiLevelType w:val="hybridMultilevel"/>
    <w:tmpl w:val="66E490BC"/>
    <w:lvl w:ilvl="0" w:tplc="04090011">
      <w:start w:val="1"/>
      <w:numFmt w:val="decimal"/>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53">
    <w:nsid w:val="4CD1409D"/>
    <w:multiLevelType w:val="hybridMultilevel"/>
    <w:tmpl w:val="B4300792"/>
    <w:lvl w:ilvl="0" w:tplc="3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4DFB51D1"/>
    <w:multiLevelType w:val="hybridMultilevel"/>
    <w:tmpl w:val="1BBAEFC2"/>
    <w:lvl w:ilvl="0" w:tplc="FFFFFFFF">
      <w:start w:val="1"/>
      <w:numFmt w:val="decimal"/>
      <w:lvlText w:val="%1)"/>
      <w:lvlJc w:val="left"/>
      <w:pPr>
        <w:ind w:left="1713" w:hanging="360"/>
      </w:pPr>
      <w:rPr>
        <w:rFont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55">
    <w:nsid w:val="4EBC50A7"/>
    <w:multiLevelType w:val="hybridMultilevel"/>
    <w:tmpl w:val="DA50B652"/>
    <w:lvl w:ilvl="0" w:tplc="FFFFFFFF">
      <w:start w:val="1"/>
      <w:numFmt w:val="decimal"/>
      <w:lvlText w:val="%1)"/>
      <w:lvlJc w:val="left"/>
      <w:pPr>
        <w:ind w:left="1713" w:hanging="360"/>
      </w:pPr>
      <w:rPr>
        <w:rFont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56">
    <w:nsid w:val="4F5A082B"/>
    <w:multiLevelType w:val="hybridMultilevel"/>
    <w:tmpl w:val="2210157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7">
    <w:nsid w:val="50836E84"/>
    <w:multiLevelType w:val="hybridMultilevel"/>
    <w:tmpl w:val="2AC654CA"/>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8">
    <w:nsid w:val="51557671"/>
    <w:multiLevelType w:val="hybridMultilevel"/>
    <w:tmpl w:val="B43007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nsid w:val="522230B4"/>
    <w:multiLevelType w:val="hybridMultilevel"/>
    <w:tmpl w:val="37DE8D7C"/>
    <w:lvl w:ilvl="0" w:tplc="A3EAF7B6">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38F63AE"/>
    <w:multiLevelType w:val="hybridMultilevel"/>
    <w:tmpl w:val="8B4201AE"/>
    <w:lvl w:ilvl="0" w:tplc="803C046A">
      <w:start w:val="5"/>
      <w:numFmt w:val="decimal"/>
      <w:lvlText w:val="%1."/>
      <w:lvlJc w:val="left"/>
      <w:pPr>
        <w:ind w:left="187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55475628"/>
    <w:multiLevelType w:val="hybridMultilevel"/>
    <w:tmpl w:val="332462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56C168A9"/>
    <w:multiLevelType w:val="hybridMultilevel"/>
    <w:tmpl w:val="3DE633DA"/>
    <w:lvl w:ilvl="0" w:tplc="04090017">
      <w:start w:val="1"/>
      <w:numFmt w:val="lowerLetter"/>
      <w:lvlText w:val="%1)"/>
      <w:lvlJc w:val="left"/>
      <w:pPr>
        <w:ind w:left="2651" w:hanging="360"/>
      </w:pPr>
    </w:lvl>
    <w:lvl w:ilvl="1" w:tplc="04090019" w:tentative="1">
      <w:start w:val="1"/>
      <w:numFmt w:val="lowerLetter"/>
      <w:lvlText w:val="%2."/>
      <w:lvlJc w:val="left"/>
      <w:pPr>
        <w:ind w:left="3371" w:hanging="360"/>
      </w:pPr>
    </w:lvl>
    <w:lvl w:ilvl="2" w:tplc="0409001B" w:tentative="1">
      <w:start w:val="1"/>
      <w:numFmt w:val="lowerRoman"/>
      <w:lvlText w:val="%3."/>
      <w:lvlJc w:val="right"/>
      <w:pPr>
        <w:ind w:left="4091" w:hanging="180"/>
      </w:pPr>
    </w:lvl>
    <w:lvl w:ilvl="3" w:tplc="0409000F" w:tentative="1">
      <w:start w:val="1"/>
      <w:numFmt w:val="decimal"/>
      <w:lvlText w:val="%4."/>
      <w:lvlJc w:val="left"/>
      <w:pPr>
        <w:ind w:left="4811" w:hanging="360"/>
      </w:pPr>
    </w:lvl>
    <w:lvl w:ilvl="4" w:tplc="04090019" w:tentative="1">
      <w:start w:val="1"/>
      <w:numFmt w:val="lowerLetter"/>
      <w:lvlText w:val="%5."/>
      <w:lvlJc w:val="left"/>
      <w:pPr>
        <w:ind w:left="5531" w:hanging="360"/>
      </w:pPr>
    </w:lvl>
    <w:lvl w:ilvl="5" w:tplc="0409001B" w:tentative="1">
      <w:start w:val="1"/>
      <w:numFmt w:val="lowerRoman"/>
      <w:lvlText w:val="%6."/>
      <w:lvlJc w:val="right"/>
      <w:pPr>
        <w:ind w:left="6251" w:hanging="180"/>
      </w:pPr>
    </w:lvl>
    <w:lvl w:ilvl="6" w:tplc="0409000F" w:tentative="1">
      <w:start w:val="1"/>
      <w:numFmt w:val="decimal"/>
      <w:lvlText w:val="%7."/>
      <w:lvlJc w:val="left"/>
      <w:pPr>
        <w:ind w:left="6971" w:hanging="360"/>
      </w:pPr>
    </w:lvl>
    <w:lvl w:ilvl="7" w:tplc="04090019" w:tentative="1">
      <w:start w:val="1"/>
      <w:numFmt w:val="lowerLetter"/>
      <w:lvlText w:val="%8."/>
      <w:lvlJc w:val="left"/>
      <w:pPr>
        <w:ind w:left="7691" w:hanging="360"/>
      </w:pPr>
    </w:lvl>
    <w:lvl w:ilvl="8" w:tplc="0409001B" w:tentative="1">
      <w:start w:val="1"/>
      <w:numFmt w:val="lowerRoman"/>
      <w:lvlText w:val="%9."/>
      <w:lvlJc w:val="right"/>
      <w:pPr>
        <w:ind w:left="8411" w:hanging="180"/>
      </w:pPr>
    </w:lvl>
  </w:abstractNum>
  <w:abstractNum w:abstractNumId="63">
    <w:nsid w:val="56F41C9C"/>
    <w:multiLevelType w:val="hybridMultilevel"/>
    <w:tmpl w:val="8342EB40"/>
    <w:lvl w:ilvl="0" w:tplc="FFFFFFFF">
      <w:start w:val="1"/>
      <w:numFmt w:val="decimal"/>
      <w:lvlText w:val="%1)"/>
      <w:lvlJc w:val="left"/>
      <w:pPr>
        <w:ind w:left="1713" w:hanging="360"/>
      </w:pPr>
      <w:rPr>
        <w:rFont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64">
    <w:nsid w:val="577B45B0"/>
    <w:multiLevelType w:val="hybridMultilevel"/>
    <w:tmpl w:val="28F24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9A97CE1"/>
    <w:multiLevelType w:val="hybridMultilevel"/>
    <w:tmpl w:val="3DA41CB6"/>
    <w:lvl w:ilvl="0" w:tplc="7C265428">
      <w:start w:val="6"/>
      <w:numFmt w:val="decimal"/>
      <w:lvlText w:val="%1."/>
      <w:lvlJc w:val="left"/>
      <w:pPr>
        <w:ind w:left="187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5A2C103B"/>
    <w:multiLevelType w:val="hybridMultilevel"/>
    <w:tmpl w:val="991682D6"/>
    <w:lvl w:ilvl="0" w:tplc="04090015">
      <w:start w:val="1"/>
      <w:numFmt w:val="upperLetter"/>
      <w:lvlText w:val="%1."/>
      <w:lvlJc w:val="left"/>
      <w:pPr>
        <w:ind w:left="917" w:hanging="360"/>
      </w:pPr>
    </w:lvl>
    <w:lvl w:ilvl="1" w:tplc="04090019" w:tentative="1">
      <w:start w:val="1"/>
      <w:numFmt w:val="lowerLetter"/>
      <w:lvlText w:val="%2."/>
      <w:lvlJc w:val="left"/>
      <w:pPr>
        <w:ind w:left="1637" w:hanging="360"/>
      </w:pPr>
    </w:lvl>
    <w:lvl w:ilvl="2" w:tplc="0409001B" w:tentative="1">
      <w:start w:val="1"/>
      <w:numFmt w:val="lowerRoman"/>
      <w:lvlText w:val="%3."/>
      <w:lvlJc w:val="right"/>
      <w:pPr>
        <w:ind w:left="2357" w:hanging="180"/>
      </w:pPr>
    </w:lvl>
    <w:lvl w:ilvl="3" w:tplc="0409000F" w:tentative="1">
      <w:start w:val="1"/>
      <w:numFmt w:val="decimal"/>
      <w:lvlText w:val="%4."/>
      <w:lvlJc w:val="left"/>
      <w:pPr>
        <w:ind w:left="3077" w:hanging="360"/>
      </w:pPr>
    </w:lvl>
    <w:lvl w:ilvl="4" w:tplc="04090019" w:tentative="1">
      <w:start w:val="1"/>
      <w:numFmt w:val="lowerLetter"/>
      <w:lvlText w:val="%5."/>
      <w:lvlJc w:val="left"/>
      <w:pPr>
        <w:ind w:left="3797" w:hanging="360"/>
      </w:pPr>
    </w:lvl>
    <w:lvl w:ilvl="5" w:tplc="0409001B" w:tentative="1">
      <w:start w:val="1"/>
      <w:numFmt w:val="lowerRoman"/>
      <w:lvlText w:val="%6."/>
      <w:lvlJc w:val="right"/>
      <w:pPr>
        <w:ind w:left="4517" w:hanging="180"/>
      </w:pPr>
    </w:lvl>
    <w:lvl w:ilvl="6" w:tplc="0409000F" w:tentative="1">
      <w:start w:val="1"/>
      <w:numFmt w:val="decimal"/>
      <w:lvlText w:val="%7."/>
      <w:lvlJc w:val="left"/>
      <w:pPr>
        <w:ind w:left="5237" w:hanging="360"/>
      </w:pPr>
    </w:lvl>
    <w:lvl w:ilvl="7" w:tplc="04090019" w:tentative="1">
      <w:start w:val="1"/>
      <w:numFmt w:val="lowerLetter"/>
      <w:lvlText w:val="%8."/>
      <w:lvlJc w:val="left"/>
      <w:pPr>
        <w:ind w:left="5957" w:hanging="360"/>
      </w:pPr>
    </w:lvl>
    <w:lvl w:ilvl="8" w:tplc="0409001B" w:tentative="1">
      <w:start w:val="1"/>
      <w:numFmt w:val="lowerRoman"/>
      <w:lvlText w:val="%9."/>
      <w:lvlJc w:val="right"/>
      <w:pPr>
        <w:ind w:left="6677" w:hanging="180"/>
      </w:pPr>
    </w:lvl>
  </w:abstractNum>
  <w:abstractNum w:abstractNumId="67">
    <w:nsid w:val="5A3276F7"/>
    <w:multiLevelType w:val="hybridMultilevel"/>
    <w:tmpl w:val="7CD6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B4662F3"/>
    <w:multiLevelType w:val="hybridMultilevel"/>
    <w:tmpl w:val="30D60162"/>
    <w:lvl w:ilvl="0" w:tplc="7DF83B2C">
      <w:start w:val="4"/>
      <w:numFmt w:val="decimal"/>
      <w:lvlText w:val="%1."/>
      <w:lvlJc w:val="left"/>
      <w:pPr>
        <w:ind w:left="1876"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5E023182"/>
    <w:multiLevelType w:val="hybridMultilevel"/>
    <w:tmpl w:val="65749BC2"/>
    <w:lvl w:ilvl="0" w:tplc="FFFFFFFF">
      <w:start w:val="1"/>
      <w:numFmt w:val="decimal"/>
      <w:lvlText w:val="%1)"/>
      <w:lvlJc w:val="left"/>
      <w:pPr>
        <w:ind w:left="1713" w:hanging="360"/>
      </w:pPr>
      <w:rPr>
        <w:rFont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70">
    <w:nsid w:val="5E907B2F"/>
    <w:multiLevelType w:val="hybridMultilevel"/>
    <w:tmpl w:val="8076D672"/>
    <w:lvl w:ilvl="0" w:tplc="5134C79A">
      <w:start w:val="1"/>
      <w:numFmt w:val="lowerLetter"/>
      <w:lvlText w:val="%1."/>
      <w:lvlJc w:val="left"/>
      <w:pPr>
        <w:ind w:left="1211" w:hanging="360"/>
      </w:pPr>
      <w:rPr>
        <w:b w:val="0"/>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1">
    <w:nsid w:val="5EAC247B"/>
    <w:multiLevelType w:val="hybridMultilevel"/>
    <w:tmpl w:val="50B24A72"/>
    <w:lvl w:ilvl="0" w:tplc="FFFFFFFF">
      <w:start w:val="1"/>
      <w:numFmt w:val="decimal"/>
      <w:lvlText w:val="%1)"/>
      <w:lvlJc w:val="left"/>
      <w:pPr>
        <w:ind w:left="1713" w:hanging="360"/>
      </w:pPr>
      <w:rPr>
        <w:rFont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72">
    <w:nsid w:val="5EDD099C"/>
    <w:multiLevelType w:val="hybridMultilevel"/>
    <w:tmpl w:val="11263B66"/>
    <w:lvl w:ilvl="0" w:tplc="FFFFFFFF">
      <w:start w:val="1"/>
      <w:numFmt w:val="decimal"/>
      <w:lvlText w:val="%1)"/>
      <w:lvlJc w:val="left"/>
      <w:pPr>
        <w:ind w:left="1004" w:hanging="360"/>
      </w:pPr>
      <w:rPr>
        <w:rFont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3">
    <w:nsid w:val="5EEE1F1E"/>
    <w:multiLevelType w:val="hybridMultilevel"/>
    <w:tmpl w:val="A75601E2"/>
    <w:lvl w:ilvl="0" w:tplc="38090011">
      <w:start w:val="1"/>
      <w:numFmt w:val="decimal"/>
      <w:lvlText w:val="%1)"/>
      <w:lvlJc w:val="left"/>
      <w:pPr>
        <w:ind w:left="1713" w:hanging="360"/>
      </w:pPr>
      <w:rPr>
        <w:rFonts w:hint="default"/>
        <w:color w:val="auto"/>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74">
    <w:nsid w:val="5F296B32"/>
    <w:multiLevelType w:val="hybridMultilevel"/>
    <w:tmpl w:val="4BF446CE"/>
    <w:lvl w:ilvl="0" w:tplc="9C22326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18F7B86"/>
    <w:multiLevelType w:val="hybridMultilevel"/>
    <w:tmpl w:val="3114165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nsid w:val="630C0E12"/>
    <w:multiLevelType w:val="hybridMultilevel"/>
    <w:tmpl w:val="6798CBBE"/>
    <w:lvl w:ilvl="0" w:tplc="0409000F">
      <w:start w:val="1"/>
      <w:numFmt w:val="decimal"/>
      <w:lvlText w:val="%1."/>
      <w:lvlJc w:val="left"/>
      <w:pPr>
        <w:ind w:left="1139" w:hanging="360"/>
      </w:p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77">
    <w:nsid w:val="63394ED4"/>
    <w:multiLevelType w:val="hybridMultilevel"/>
    <w:tmpl w:val="C6B46EFA"/>
    <w:lvl w:ilvl="0" w:tplc="38090011">
      <w:start w:val="1"/>
      <w:numFmt w:val="decimal"/>
      <w:lvlText w:val="%1)"/>
      <w:lvlJc w:val="left"/>
      <w:pPr>
        <w:ind w:left="2345" w:hanging="360"/>
      </w:p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78">
    <w:nsid w:val="63450B78"/>
    <w:multiLevelType w:val="hybridMultilevel"/>
    <w:tmpl w:val="4D16A270"/>
    <w:lvl w:ilvl="0" w:tplc="FFFFFFFF">
      <w:start w:val="1"/>
      <w:numFmt w:val="decimal"/>
      <w:lvlText w:val="%1)"/>
      <w:lvlJc w:val="left"/>
      <w:pPr>
        <w:ind w:left="1767" w:hanging="360"/>
      </w:pPr>
      <w:rPr>
        <w:rFonts w:hint="default"/>
      </w:rPr>
    </w:lvl>
    <w:lvl w:ilvl="1" w:tplc="08090003" w:tentative="1">
      <w:start w:val="1"/>
      <w:numFmt w:val="bullet"/>
      <w:lvlText w:val="o"/>
      <w:lvlJc w:val="left"/>
      <w:pPr>
        <w:ind w:left="2487" w:hanging="360"/>
      </w:pPr>
      <w:rPr>
        <w:rFonts w:ascii="Courier New" w:hAnsi="Courier New" w:cs="Courier New" w:hint="default"/>
      </w:rPr>
    </w:lvl>
    <w:lvl w:ilvl="2" w:tplc="08090005" w:tentative="1">
      <w:start w:val="1"/>
      <w:numFmt w:val="bullet"/>
      <w:lvlText w:val=""/>
      <w:lvlJc w:val="left"/>
      <w:pPr>
        <w:ind w:left="3207" w:hanging="360"/>
      </w:pPr>
      <w:rPr>
        <w:rFonts w:ascii="Wingdings" w:hAnsi="Wingdings" w:hint="default"/>
      </w:rPr>
    </w:lvl>
    <w:lvl w:ilvl="3" w:tplc="08090001" w:tentative="1">
      <w:start w:val="1"/>
      <w:numFmt w:val="bullet"/>
      <w:lvlText w:val=""/>
      <w:lvlJc w:val="left"/>
      <w:pPr>
        <w:ind w:left="3927" w:hanging="360"/>
      </w:pPr>
      <w:rPr>
        <w:rFonts w:ascii="Symbol" w:hAnsi="Symbol" w:hint="default"/>
      </w:rPr>
    </w:lvl>
    <w:lvl w:ilvl="4" w:tplc="08090003" w:tentative="1">
      <w:start w:val="1"/>
      <w:numFmt w:val="bullet"/>
      <w:lvlText w:val="o"/>
      <w:lvlJc w:val="left"/>
      <w:pPr>
        <w:ind w:left="4647" w:hanging="360"/>
      </w:pPr>
      <w:rPr>
        <w:rFonts w:ascii="Courier New" w:hAnsi="Courier New" w:cs="Courier New" w:hint="default"/>
      </w:rPr>
    </w:lvl>
    <w:lvl w:ilvl="5" w:tplc="08090005" w:tentative="1">
      <w:start w:val="1"/>
      <w:numFmt w:val="bullet"/>
      <w:lvlText w:val=""/>
      <w:lvlJc w:val="left"/>
      <w:pPr>
        <w:ind w:left="5367" w:hanging="360"/>
      </w:pPr>
      <w:rPr>
        <w:rFonts w:ascii="Wingdings" w:hAnsi="Wingdings" w:hint="default"/>
      </w:rPr>
    </w:lvl>
    <w:lvl w:ilvl="6" w:tplc="08090001" w:tentative="1">
      <w:start w:val="1"/>
      <w:numFmt w:val="bullet"/>
      <w:lvlText w:val=""/>
      <w:lvlJc w:val="left"/>
      <w:pPr>
        <w:ind w:left="6087" w:hanging="360"/>
      </w:pPr>
      <w:rPr>
        <w:rFonts w:ascii="Symbol" w:hAnsi="Symbol" w:hint="default"/>
      </w:rPr>
    </w:lvl>
    <w:lvl w:ilvl="7" w:tplc="08090003" w:tentative="1">
      <w:start w:val="1"/>
      <w:numFmt w:val="bullet"/>
      <w:lvlText w:val="o"/>
      <w:lvlJc w:val="left"/>
      <w:pPr>
        <w:ind w:left="6807" w:hanging="360"/>
      </w:pPr>
      <w:rPr>
        <w:rFonts w:ascii="Courier New" w:hAnsi="Courier New" w:cs="Courier New" w:hint="default"/>
      </w:rPr>
    </w:lvl>
    <w:lvl w:ilvl="8" w:tplc="08090005" w:tentative="1">
      <w:start w:val="1"/>
      <w:numFmt w:val="bullet"/>
      <w:lvlText w:val=""/>
      <w:lvlJc w:val="left"/>
      <w:pPr>
        <w:ind w:left="7527" w:hanging="360"/>
      </w:pPr>
      <w:rPr>
        <w:rFonts w:ascii="Wingdings" w:hAnsi="Wingdings" w:hint="default"/>
      </w:rPr>
    </w:lvl>
  </w:abstractNum>
  <w:abstractNum w:abstractNumId="79">
    <w:nsid w:val="64B822A0"/>
    <w:multiLevelType w:val="hybridMultilevel"/>
    <w:tmpl w:val="2272C948"/>
    <w:lvl w:ilvl="0" w:tplc="064AB28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5942FB5"/>
    <w:multiLevelType w:val="hybridMultilevel"/>
    <w:tmpl w:val="D93458A4"/>
    <w:lvl w:ilvl="0" w:tplc="FFFFFFFF">
      <w:start w:val="1"/>
      <w:numFmt w:val="decimal"/>
      <w:lvlText w:val="%1)"/>
      <w:lvlJc w:val="left"/>
      <w:pPr>
        <w:ind w:left="1713" w:hanging="360"/>
      </w:pPr>
      <w:rPr>
        <w:rFont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81">
    <w:nsid w:val="65FC4659"/>
    <w:multiLevelType w:val="hybridMultilevel"/>
    <w:tmpl w:val="B790949A"/>
    <w:lvl w:ilvl="0" w:tplc="FFFFFFFF">
      <w:start w:val="1"/>
      <w:numFmt w:val="decimal"/>
      <w:lvlText w:val="%1)"/>
      <w:lvlJc w:val="left"/>
      <w:pPr>
        <w:ind w:left="1713" w:hanging="360"/>
      </w:pPr>
      <w:rPr>
        <w:rFont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82">
    <w:nsid w:val="6628561C"/>
    <w:multiLevelType w:val="hybridMultilevel"/>
    <w:tmpl w:val="4198EEE4"/>
    <w:lvl w:ilvl="0" w:tplc="FFFFFFFF">
      <w:start w:val="1"/>
      <w:numFmt w:val="decimal"/>
      <w:lvlText w:val="%1)"/>
      <w:lvlJc w:val="left"/>
      <w:pPr>
        <w:ind w:left="1920" w:hanging="360"/>
      </w:pPr>
      <w:rPr>
        <w:rFonts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83">
    <w:nsid w:val="6800207A"/>
    <w:multiLevelType w:val="hybridMultilevel"/>
    <w:tmpl w:val="9B848E92"/>
    <w:lvl w:ilvl="0" w:tplc="FFFFFFFF">
      <w:start w:val="1"/>
      <w:numFmt w:val="decimal"/>
      <w:lvlText w:val="%1."/>
      <w:lvlJc w:val="left"/>
      <w:pPr>
        <w:ind w:left="1876" w:hanging="360"/>
      </w:pPr>
    </w:lvl>
    <w:lvl w:ilvl="1" w:tplc="FFFFFFFF" w:tentative="1">
      <w:start w:val="1"/>
      <w:numFmt w:val="lowerLetter"/>
      <w:lvlText w:val="%2."/>
      <w:lvlJc w:val="left"/>
      <w:pPr>
        <w:ind w:left="2596" w:hanging="360"/>
      </w:pPr>
    </w:lvl>
    <w:lvl w:ilvl="2" w:tplc="FFFFFFFF" w:tentative="1">
      <w:start w:val="1"/>
      <w:numFmt w:val="lowerRoman"/>
      <w:lvlText w:val="%3."/>
      <w:lvlJc w:val="right"/>
      <w:pPr>
        <w:ind w:left="3316" w:hanging="180"/>
      </w:pPr>
    </w:lvl>
    <w:lvl w:ilvl="3" w:tplc="FFFFFFFF" w:tentative="1">
      <w:start w:val="1"/>
      <w:numFmt w:val="decimal"/>
      <w:lvlText w:val="%4."/>
      <w:lvlJc w:val="left"/>
      <w:pPr>
        <w:ind w:left="4036" w:hanging="360"/>
      </w:pPr>
    </w:lvl>
    <w:lvl w:ilvl="4" w:tplc="FFFFFFFF" w:tentative="1">
      <w:start w:val="1"/>
      <w:numFmt w:val="lowerLetter"/>
      <w:lvlText w:val="%5."/>
      <w:lvlJc w:val="left"/>
      <w:pPr>
        <w:ind w:left="4756" w:hanging="360"/>
      </w:pPr>
    </w:lvl>
    <w:lvl w:ilvl="5" w:tplc="FFFFFFFF" w:tentative="1">
      <w:start w:val="1"/>
      <w:numFmt w:val="lowerRoman"/>
      <w:lvlText w:val="%6."/>
      <w:lvlJc w:val="right"/>
      <w:pPr>
        <w:ind w:left="5476" w:hanging="180"/>
      </w:pPr>
    </w:lvl>
    <w:lvl w:ilvl="6" w:tplc="FFFFFFFF" w:tentative="1">
      <w:start w:val="1"/>
      <w:numFmt w:val="decimal"/>
      <w:lvlText w:val="%7."/>
      <w:lvlJc w:val="left"/>
      <w:pPr>
        <w:ind w:left="6196" w:hanging="360"/>
      </w:pPr>
    </w:lvl>
    <w:lvl w:ilvl="7" w:tplc="FFFFFFFF" w:tentative="1">
      <w:start w:val="1"/>
      <w:numFmt w:val="lowerLetter"/>
      <w:lvlText w:val="%8."/>
      <w:lvlJc w:val="left"/>
      <w:pPr>
        <w:ind w:left="6916" w:hanging="360"/>
      </w:pPr>
    </w:lvl>
    <w:lvl w:ilvl="8" w:tplc="FFFFFFFF" w:tentative="1">
      <w:start w:val="1"/>
      <w:numFmt w:val="lowerRoman"/>
      <w:lvlText w:val="%9."/>
      <w:lvlJc w:val="right"/>
      <w:pPr>
        <w:ind w:left="7636" w:hanging="180"/>
      </w:pPr>
    </w:lvl>
  </w:abstractNum>
  <w:abstractNum w:abstractNumId="84">
    <w:nsid w:val="69B2298A"/>
    <w:multiLevelType w:val="hybridMultilevel"/>
    <w:tmpl w:val="13ECC48E"/>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6ABA34B6"/>
    <w:multiLevelType w:val="hybridMultilevel"/>
    <w:tmpl w:val="B352C28C"/>
    <w:lvl w:ilvl="0" w:tplc="3809000F">
      <w:start w:val="1"/>
      <w:numFmt w:val="decimal"/>
      <w:lvlText w:val="%1."/>
      <w:lvlJc w:val="left"/>
      <w:pPr>
        <w:ind w:left="1876" w:hanging="360"/>
      </w:pPr>
    </w:lvl>
    <w:lvl w:ilvl="1" w:tplc="FFFFFFFF" w:tentative="1">
      <w:start w:val="1"/>
      <w:numFmt w:val="lowerLetter"/>
      <w:lvlText w:val="%2."/>
      <w:lvlJc w:val="left"/>
      <w:pPr>
        <w:ind w:left="2596" w:hanging="360"/>
      </w:pPr>
    </w:lvl>
    <w:lvl w:ilvl="2" w:tplc="FFFFFFFF" w:tentative="1">
      <w:start w:val="1"/>
      <w:numFmt w:val="lowerRoman"/>
      <w:lvlText w:val="%3."/>
      <w:lvlJc w:val="right"/>
      <w:pPr>
        <w:ind w:left="3316" w:hanging="180"/>
      </w:pPr>
    </w:lvl>
    <w:lvl w:ilvl="3" w:tplc="FFFFFFFF" w:tentative="1">
      <w:start w:val="1"/>
      <w:numFmt w:val="decimal"/>
      <w:lvlText w:val="%4."/>
      <w:lvlJc w:val="left"/>
      <w:pPr>
        <w:ind w:left="4036" w:hanging="360"/>
      </w:pPr>
    </w:lvl>
    <w:lvl w:ilvl="4" w:tplc="FFFFFFFF" w:tentative="1">
      <w:start w:val="1"/>
      <w:numFmt w:val="lowerLetter"/>
      <w:lvlText w:val="%5."/>
      <w:lvlJc w:val="left"/>
      <w:pPr>
        <w:ind w:left="4756" w:hanging="360"/>
      </w:pPr>
    </w:lvl>
    <w:lvl w:ilvl="5" w:tplc="FFFFFFFF" w:tentative="1">
      <w:start w:val="1"/>
      <w:numFmt w:val="lowerRoman"/>
      <w:lvlText w:val="%6."/>
      <w:lvlJc w:val="right"/>
      <w:pPr>
        <w:ind w:left="5476" w:hanging="180"/>
      </w:pPr>
    </w:lvl>
    <w:lvl w:ilvl="6" w:tplc="FFFFFFFF" w:tentative="1">
      <w:start w:val="1"/>
      <w:numFmt w:val="decimal"/>
      <w:lvlText w:val="%7."/>
      <w:lvlJc w:val="left"/>
      <w:pPr>
        <w:ind w:left="6196" w:hanging="360"/>
      </w:pPr>
    </w:lvl>
    <w:lvl w:ilvl="7" w:tplc="FFFFFFFF" w:tentative="1">
      <w:start w:val="1"/>
      <w:numFmt w:val="lowerLetter"/>
      <w:lvlText w:val="%8."/>
      <w:lvlJc w:val="left"/>
      <w:pPr>
        <w:ind w:left="6916" w:hanging="360"/>
      </w:pPr>
    </w:lvl>
    <w:lvl w:ilvl="8" w:tplc="FFFFFFFF" w:tentative="1">
      <w:start w:val="1"/>
      <w:numFmt w:val="lowerRoman"/>
      <w:lvlText w:val="%9."/>
      <w:lvlJc w:val="right"/>
      <w:pPr>
        <w:ind w:left="7636" w:hanging="180"/>
      </w:pPr>
    </w:lvl>
  </w:abstractNum>
  <w:abstractNum w:abstractNumId="86">
    <w:nsid w:val="6BE62A2E"/>
    <w:multiLevelType w:val="hybridMultilevel"/>
    <w:tmpl w:val="ACF6D5C2"/>
    <w:lvl w:ilvl="0" w:tplc="FFFFFFFF">
      <w:start w:val="1"/>
      <w:numFmt w:val="decimal"/>
      <w:lvlText w:val="%1)"/>
      <w:lvlJc w:val="left"/>
      <w:pPr>
        <w:ind w:left="1713" w:hanging="360"/>
      </w:pPr>
      <w:rPr>
        <w:rFont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87">
    <w:nsid w:val="705369BC"/>
    <w:multiLevelType w:val="hybridMultilevel"/>
    <w:tmpl w:val="C2A84EAA"/>
    <w:lvl w:ilvl="0" w:tplc="38090011">
      <w:start w:val="1"/>
      <w:numFmt w:val="decimal"/>
      <w:lvlText w:val="%1)"/>
      <w:lvlJc w:val="left"/>
      <w:pPr>
        <w:ind w:left="1713" w:hanging="360"/>
      </w:pPr>
      <w:rPr>
        <w:rFonts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88">
    <w:nsid w:val="710D5E0F"/>
    <w:multiLevelType w:val="hybridMultilevel"/>
    <w:tmpl w:val="00D2C2A0"/>
    <w:lvl w:ilvl="0" w:tplc="38090011">
      <w:start w:val="1"/>
      <w:numFmt w:val="decimal"/>
      <w:lvlText w:val="%1)"/>
      <w:lvlJc w:val="left"/>
      <w:pPr>
        <w:ind w:left="1713" w:hanging="360"/>
      </w:pPr>
      <w:rPr>
        <w:rFonts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89">
    <w:nsid w:val="71256E51"/>
    <w:multiLevelType w:val="hybridMultilevel"/>
    <w:tmpl w:val="9A0AE4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4053366"/>
    <w:multiLevelType w:val="hybridMultilevel"/>
    <w:tmpl w:val="FF5E3F30"/>
    <w:lvl w:ilvl="0" w:tplc="FFFFFFFF">
      <w:start w:val="1"/>
      <w:numFmt w:val="decimal"/>
      <w:lvlText w:val="%1)"/>
      <w:lvlJc w:val="left"/>
      <w:pPr>
        <w:ind w:left="1713" w:hanging="360"/>
      </w:pPr>
      <w:rPr>
        <w:rFont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91">
    <w:nsid w:val="74E25157"/>
    <w:multiLevelType w:val="hybridMultilevel"/>
    <w:tmpl w:val="66E490BC"/>
    <w:lvl w:ilvl="0" w:tplc="04090011">
      <w:start w:val="1"/>
      <w:numFmt w:val="decimal"/>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92">
    <w:nsid w:val="75370B18"/>
    <w:multiLevelType w:val="hybridMultilevel"/>
    <w:tmpl w:val="029085A0"/>
    <w:lvl w:ilvl="0" w:tplc="04090019">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3">
    <w:nsid w:val="77E43176"/>
    <w:multiLevelType w:val="hybridMultilevel"/>
    <w:tmpl w:val="94702FBC"/>
    <w:lvl w:ilvl="0" w:tplc="080AA87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9DC30C5"/>
    <w:multiLevelType w:val="hybridMultilevel"/>
    <w:tmpl w:val="B53A119A"/>
    <w:lvl w:ilvl="0" w:tplc="FFFFFFFF">
      <w:start w:val="1"/>
      <w:numFmt w:val="decimal"/>
      <w:lvlText w:val="%1)"/>
      <w:lvlJc w:val="left"/>
      <w:pPr>
        <w:ind w:left="1713" w:hanging="360"/>
      </w:pPr>
      <w:rPr>
        <w:rFont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95">
    <w:nsid w:val="79F46567"/>
    <w:multiLevelType w:val="hybridMultilevel"/>
    <w:tmpl w:val="284AE7DE"/>
    <w:lvl w:ilvl="0" w:tplc="FFFFFFFF">
      <w:start w:val="1"/>
      <w:numFmt w:val="decimal"/>
      <w:lvlText w:val="%1)"/>
      <w:lvlJc w:val="left"/>
      <w:pPr>
        <w:ind w:left="1713" w:hanging="360"/>
      </w:pPr>
      <w:rPr>
        <w:rFont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96">
    <w:nsid w:val="7A9E6587"/>
    <w:multiLevelType w:val="hybridMultilevel"/>
    <w:tmpl w:val="4B508DA2"/>
    <w:lvl w:ilvl="0" w:tplc="38090011">
      <w:start w:val="1"/>
      <w:numFmt w:val="decimal"/>
      <w:lvlText w:val="%1)"/>
      <w:lvlJc w:val="left"/>
      <w:pPr>
        <w:ind w:left="2291" w:hanging="360"/>
      </w:pPr>
    </w:lvl>
    <w:lvl w:ilvl="1" w:tplc="38090019" w:tentative="1">
      <w:start w:val="1"/>
      <w:numFmt w:val="lowerLetter"/>
      <w:lvlText w:val="%2."/>
      <w:lvlJc w:val="left"/>
      <w:pPr>
        <w:ind w:left="3011" w:hanging="360"/>
      </w:pPr>
    </w:lvl>
    <w:lvl w:ilvl="2" w:tplc="3809001B" w:tentative="1">
      <w:start w:val="1"/>
      <w:numFmt w:val="lowerRoman"/>
      <w:lvlText w:val="%3."/>
      <w:lvlJc w:val="right"/>
      <w:pPr>
        <w:ind w:left="3731" w:hanging="180"/>
      </w:pPr>
    </w:lvl>
    <w:lvl w:ilvl="3" w:tplc="3809000F" w:tentative="1">
      <w:start w:val="1"/>
      <w:numFmt w:val="decimal"/>
      <w:lvlText w:val="%4."/>
      <w:lvlJc w:val="left"/>
      <w:pPr>
        <w:ind w:left="4451" w:hanging="360"/>
      </w:pPr>
    </w:lvl>
    <w:lvl w:ilvl="4" w:tplc="38090019" w:tentative="1">
      <w:start w:val="1"/>
      <w:numFmt w:val="lowerLetter"/>
      <w:lvlText w:val="%5."/>
      <w:lvlJc w:val="left"/>
      <w:pPr>
        <w:ind w:left="5171" w:hanging="360"/>
      </w:pPr>
    </w:lvl>
    <w:lvl w:ilvl="5" w:tplc="3809001B" w:tentative="1">
      <w:start w:val="1"/>
      <w:numFmt w:val="lowerRoman"/>
      <w:lvlText w:val="%6."/>
      <w:lvlJc w:val="right"/>
      <w:pPr>
        <w:ind w:left="5891" w:hanging="180"/>
      </w:pPr>
    </w:lvl>
    <w:lvl w:ilvl="6" w:tplc="3809000F" w:tentative="1">
      <w:start w:val="1"/>
      <w:numFmt w:val="decimal"/>
      <w:lvlText w:val="%7."/>
      <w:lvlJc w:val="left"/>
      <w:pPr>
        <w:ind w:left="6611" w:hanging="360"/>
      </w:pPr>
    </w:lvl>
    <w:lvl w:ilvl="7" w:tplc="38090019" w:tentative="1">
      <w:start w:val="1"/>
      <w:numFmt w:val="lowerLetter"/>
      <w:lvlText w:val="%8."/>
      <w:lvlJc w:val="left"/>
      <w:pPr>
        <w:ind w:left="7331" w:hanging="360"/>
      </w:pPr>
    </w:lvl>
    <w:lvl w:ilvl="8" w:tplc="3809001B" w:tentative="1">
      <w:start w:val="1"/>
      <w:numFmt w:val="lowerRoman"/>
      <w:lvlText w:val="%9."/>
      <w:lvlJc w:val="right"/>
      <w:pPr>
        <w:ind w:left="8051" w:hanging="180"/>
      </w:pPr>
    </w:lvl>
  </w:abstractNum>
  <w:abstractNum w:abstractNumId="97">
    <w:nsid w:val="7BE731E6"/>
    <w:multiLevelType w:val="hybridMultilevel"/>
    <w:tmpl w:val="664025D4"/>
    <w:lvl w:ilvl="0" w:tplc="FFFFFFFF">
      <w:start w:val="1"/>
      <w:numFmt w:val="decimal"/>
      <w:lvlText w:val="%1)"/>
      <w:lvlJc w:val="left"/>
      <w:pPr>
        <w:ind w:left="1713" w:hanging="360"/>
      </w:pPr>
      <w:rPr>
        <w:rFont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98">
    <w:nsid w:val="7DAD16C8"/>
    <w:multiLevelType w:val="hybridMultilevel"/>
    <w:tmpl w:val="F2A8BC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nsid w:val="7E1A6F0C"/>
    <w:multiLevelType w:val="hybridMultilevel"/>
    <w:tmpl w:val="664A97B8"/>
    <w:lvl w:ilvl="0" w:tplc="FFFFFFFF">
      <w:start w:val="1"/>
      <w:numFmt w:val="decimal"/>
      <w:lvlText w:val="%1)"/>
      <w:lvlJc w:val="left"/>
      <w:pPr>
        <w:ind w:left="1713" w:hanging="360"/>
      </w:pPr>
      <w:rPr>
        <w:rFont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00">
    <w:nsid w:val="7E3B7DB9"/>
    <w:multiLevelType w:val="hybridMultilevel"/>
    <w:tmpl w:val="E96C7F9A"/>
    <w:lvl w:ilvl="0" w:tplc="FFFFFFFF">
      <w:start w:val="1"/>
      <w:numFmt w:val="decimal"/>
      <w:lvlText w:val="%1)"/>
      <w:lvlJc w:val="left"/>
      <w:pPr>
        <w:ind w:left="1713" w:hanging="360"/>
      </w:pPr>
      <w:rPr>
        <w:rFont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01">
    <w:nsid w:val="7E986B8D"/>
    <w:multiLevelType w:val="hybridMultilevel"/>
    <w:tmpl w:val="AE5EC9DE"/>
    <w:lvl w:ilvl="0" w:tplc="111C9B7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0"/>
  </w:num>
  <w:num w:numId="3">
    <w:abstractNumId w:val="15"/>
  </w:num>
  <w:num w:numId="4">
    <w:abstractNumId w:val="76"/>
  </w:num>
  <w:num w:numId="5">
    <w:abstractNumId w:val="14"/>
  </w:num>
  <w:num w:numId="6">
    <w:abstractNumId w:val="28"/>
  </w:num>
  <w:num w:numId="7">
    <w:abstractNumId w:val="39"/>
  </w:num>
  <w:num w:numId="8">
    <w:abstractNumId w:val="7"/>
  </w:num>
  <w:num w:numId="9">
    <w:abstractNumId w:val="64"/>
  </w:num>
  <w:num w:numId="10">
    <w:abstractNumId w:val="50"/>
  </w:num>
  <w:num w:numId="11">
    <w:abstractNumId w:val="36"/>
  </w:num>
  <w:num w:numId="12">
    <w:abstractNumId w:val="49"/>
  </w:num>
  <w:num w:numId="13">
    <w:abstractNumId w:val="25"/>
  </w:num>
  <w:num w:numId="14">
    <w:abstractNumId w:val="67"/>
  </w:num>
  <w:num w:numId="15">
    <w:abstractNumId w:val="40"/>
  </w:num>
  <w:num w:numId="16">
    <w:abstractNumId w:val="17"/>
  </w:num>
  <w:num w:numId="17">
    <w:abstractNumId w:val="98"/>
  </w:num>
  <w:num w:numId="18">
    <w:abstractNumId w:val="75"/>
  </w:num>
  <w:num w:numId="19">
    <w:abstractNumId w:val="84"/>
  </w:num>
  <w:num w:numId="20">
    <w:abstractNumId w:val="74"/>
  </w:num>
  <w:num w:numId="21">
    <w:abstractNumId w:val="6"/>
  </w:num>
  <w:num w:numId="22">
    <w:abstractNumId w:val="61"/>
  </w:num>
  <w:num w:numId="23">
    <w:abstractNumId w:val="92"/>
  </w:num>
  <w:num w:numId="24">
    <w:abstractNumId w:val="16"/>
  </w:num>
  <w:num w:numId="25">
    <w:abstractNumId w:val="23"/>
  </w:num>
  <w:num w:numId="26">
    <w:abstractNumId w:val="52"/>
  </w:num>
  <w:num w:numId="27">
    <w:abstractNumId w:val="62"/>
  </w:num>
  <w:num w:numId="28">
    <w:abstractNumId w:val="91"/>
  </w:num>
  <w:num w:numId="29">
    <w:abstractNumId w:val="3"/>
  </w:num>
  <w:num w:numId="30">
    <w:abstractNumId w:val="93"/>
  </w:num>
  <w:num w:numId="31">
    <w:abstractNumId w:val="21"/>
  </w:num>
  <w:num w:numId="32">
    <w:abstractNumId w:val="66"/>
  </w:num>
  <w:num w:numId="33">
    <w:abstractNumId w:val="29"/>
  </w:num>
  <w:num w:numId="34">
    <w:abstractNumId w:val="45"/>
  </w:num>
  <w:num w:numId="35">
    <w:abstractNumId w:val="4"/>
  </w:num>
  <w:num w:numId="36">
    <w:abstractNumId w:val="38"/>
  </w:num>
  <w:num w:numId="37">
    <w:abstractNumId w:val="2"/>
  </w:num>
  <w:num w:numId="38">
    <w:abstractNumId w:val="9"/>
  </w:num>
  <w:num w:numId="39">
    <w:abstractNumId w:val="101"/>
  </w:num>
  <w:num w:numId="40">
    <w:abstractNumId w:val="59"/>
  </w:num>
  <w:num w:numId="41">
    <w:abstractNumId w:val="1"/>
  </w:num>
  <w:num w:numId="42">
    <w:abstractNumId w:val="79"/>
  </w:num>
  <w:num w:numId="43">
    <w:abstractNumId w:val="27"/>
  </w:num>
  <w:num w:numId="44">
    <w:abstractNumId w:val="12"/>
  </w:num>
  <w:num w:numId="45">
    <w:abstractNumId w:val="8"/>
  </w:num>
  <w:num w:numId="46">
    <w:abstractNumId w:val="56"/>
  </w:num>
  <w:num w:numId="47">
    <w:abstractNumId w:val="13"/>
  </w:num>
  <w:num w:numId="48">
    <w:abstractNumId w:val="34"/>
  </w:num>
  <w:num w:numId="49">
    <w:abstractNumId w:val="48"/>
  </w:num>
  <w:num w:numId="50">
    <w:abstractNumId w:val="47"/>
  </w:num>
  <w:num w:numId="51">
    <w:abstractNumId w:val="20"/>
  </w:num>
  <w:num w:numId="52">
    <w:abstractNumId w:val="11"/>
  </w:num>
  <w:num w:numId="53">
    <w:abstractNumId w:val="30"/>
  </w:num>
  <w:num w:numId="54">
    <w:abstractNumId w:val="44"/>
  </w:num>
  <w:num w:numId="55">
    <w:abstractNumId w:val="5"/>
  </w:num>
  <w:num w:numId="56">
    <w:abstractNumId w:val="32"/>
  </w:num>
  <w:num w:numId="57">
    <w:abstractNumId w:val="81"/>
  </w:num>
  <w:num w:numId="58">
    <w:abstractNumId w:val="86"/>
  </w:num>
  <w:num w:numId="59">
    <w:abstractNumId w:val="99"/>
  </w:num>
  <w:num w:numId="60">
    <w:abstractNumId w:val="18"/>
  </w:num>
  <w:num w:numId="61">
    <w:abstractNumId w:val="71"/>
  </w:num>
  <w:num w:numId="62">
    <w:abstractNumId w:val="82"/>
  </w:num>
  <w:num w:numId="63">
    <w:abstractNumId w:val="90"/>
  </w:num>
  <w:num w:numId="64">
    <w:abstractNumId w:val="100"/>
  </w:num>
  <w:num w:numId="65">
    <w:abstractNumId w:val="80"/>
  </w:num>
  <w:num w:numId="66">
    <w:abstractNumId w:val="97"/>
  </w:num>
  <w:num w:numId="67">
    <w:abstractNumId w:val="95"/>
  </w:num>
  <w:num w:numId="68">
    <w:abstractNumId w:val="94"/>
  </w:num>
  <w:num w:numId="69">
    <w:abstractNumId w:val="54"/>
  </w:num>
  <w:num w:numId="70">
    <w:abstractNumId w:val="35"/>
  </w:num>
  <w:num w:numId="71">
    <w:abstractNumId w:val="33"/>
  </w:num>
  <w:num w:numId="72">
    <w:abstractNumId w:val="43"/>
  </w:num>
  <w:num w:numId="73">
    <w:abstractNumId w:val="78"/>
  </w:num>
  <w:num w:numId="74">
    <w:abstractNumId w:val="55"/>
  </w:num>
  <w:num w:numId="75">
    <w:abstractNumId w:val="63"/>
  </w:num>
  <w:num w:numId="76">
    <w:abstractNumId w:val="46"/>
  </w:num>
  <w:num w:numId="77">
    <w:abstractNumId w:val="72"/>
  </w:num>
  <w:num w:numId="78">
    <w:abstractNumId w:val="69"/>
  </w:num>
  <w:num w:numId="79">
    <w:abstractNumId w:val="31"/>
  </w:num>
  <w:num w:numId="80">
    <w:abstractNumId w:val="87"/>
  </w:num>
  <w:num w:numId="81">
    <w:abstractNumId w:val="73"/>
  </w:num>
  <w:num w:numId="82">
    <w:abstractNumId w:val="88"/>
  </w:num>
  <w:num w:numId="83">
    <w:abstractNumId w:val="51"/>
  </w:num>
  <w:num w:numId="84">
    <w:abstractNumId w:val="0"/>
  </w:num>
  <w:num w:numId="85">
    <w:abstractNumId w:val="85"/>
  </w:num>
  <w:num w:numId="86">
    <w:abstractNumId w:val="41"/>
  </w:num>
  <w:num w:numId="87">
    <w:abstractNumId w:val="24"/>
  </w:num>
  <w:num w:numId="88">
    <w:abstractNumId w:val="57"/>
  </w:num>
  <w:num w:numId="89">
    <w:abstractNumId w:val="77"/>
  </w:num>
  <w:num w:numId="90">
    <w:abstractNumId w:val="96"/>
  </w:num>
  <w:num w:numId="91">
    <w:abstractNumId w:val="42"/>
  </w:num>
  <w:num w:numId="92">
    <w:abstractNumId w:val="83"/>
  </w:num>
  <w:num w:numId="93">
    <w:abstractNumId w:val="37"/>
  </w:num>
  <w:num w:numId="94">
    <w:abstractNumId w:val="68"/>
  </w:num>
  <w:num w:numId="95">
    <w:abstractNumId w:val="60"/>
  </w:num>
  <w:num w:numId="96">
    <w:abstractNumId w:val="53"/>
  </w:num>
  <w:num w:numId="97">
    <w:abstractNumId w:val="58"/>
  </w:num>
  <w:num w:numId="98">
    <w:abstractNumId w:val="89"/>
  </w:num>
  <w:num w:numId="99">
    <w:abstractNumId w:val="22"/>
  </w:num>
  <w:num w:numId="100">
    <w:abstractNumId w:val="65"/>
  </w:num>
  <w:num w:numId="101">
    <w:abstractNumId w:val="26"/>
  </w:num>
  <w:num w:numId="102">
    <w:abstractNumId w:val="7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0D"/>
    <w:rsid w:val="00001F93"/>
    <w:rsid w:val="00005025"/>
    <w:rsid w:val="00005A47"/>
    <w:rsid w:val="000062A8"/>
    <w:rsid w:val="00010838"/>
    <w:rsid w:val="00013DAA"/>
    <w:rsid w:val="000167C7"/>
    <w:rsid w:val="00021265"/>
    <w:rsid w:val="00023597"/>
    <w:rsid w:val="000244BC"/>
    <w:rsid w:val="00024C47"/>
    <w:rsid w:val="000274D6"/>
    <w:rsid w:val="00030241"/>
    <w:rsid w:val="00030383"/>
    <w:rsid w:val="0003048C"/>
    <w:rsid w:val="00030521"/>
    <w:rsid w:val="00032982"/>
    <w:rsid w:val="00033712"/>
    <w:rsid w:val="00034D25"/>
    <w:rsid w:val="0003779A"/>
    <w:rsid w:val="0004099E"/>
    <w:rsid w:val="000428A1"/>
    <w:rsid w:val="00050005"/>
    <w:rsid w:val="000549ED"/>
    <w:rsid w:val="0005567F"/>
    <w:rsid w:val="0005589F"/>
    <w:rsid w:val="00057582"/>
    <w:rsid w:val="00057724"/>
    <w:rsid w:val="00065B18"/>
    <w:rsid w:val="00065EF7"/>
    <w:rsid w:val="0007078F"/>
    <w:rsid w:val="000719A4"/>
    <w:rsid w:val="00072383"/>
    <w:rsid w:val="00075A9C"/>
    <w:rsid w:val="00076D3A"/>
    <w:rsid w:val="000800F1"/>
    <w:rsid w:val="00082D2A"/>
    <w:rsid w:val="00082F64"/>
    <w:rsid w:val="00083172"/>
    <w:rsid w:val="00083E57"/>
    <w:rsid w:val="00086CFD"/>
    <w:rsid w:val="0009311F"/>
    <w:rsid w:val="000953C4"/>
    <w:rsid w:val="00095897"/>
    <w:rsid w:val="00096633"/>
    <w:rsid w:val="000A4700"/>
    <w:rsid w:val="000A6B75"/>
    <w:rsid w:val="000A6D9D"/>
    <w:rsid w:val="000A791B"/>
    <w:rsid w:val="000B0821"/>
    <w:rsid w:val="000B1242"/>
    <w:rsid w:val="000B3958"/>
    <w:rsid w:val="000B411E"/>
    <w:rsid w:val="000B46D2"/>
    <w:rsid w:val="000B6203"/>
    <w:rsid w:val="000C1A55"/>
    <w:rsid w:val="000C1B47"/>
    <w:rsid w:val="000C6FFA"/>
    <w:rsid w:val="000C7ECF"/>
    <w:rsid w:val="000D2A2A"/>
    <w:rsid w:val="000D3EDC"/>
    <w:rsid w:val="000D4450"/>
    <w:rsid w:val="000E3FC0"/>
    <w:rsid w:val="000E4D3A"/>
    <w:rsid w:val="000E55F8"/>
    <w:rsid w:val="000E72C6"/>
    <w:rsid w:val="000F3663"/>
    <w:rsid w:val="00100AE9"/>
    <w:rsid w:val="00101F49"/>
    <w:rsid w:val="001038E1"/>
    <w:rsid w:val="0010643F"/>
    <w:rsid w:val="00107BAA"/>
    <w:rsid w:val="001104D9"/>
    <w:rsid w:val="00110867"/>
    <w:rsid w:val="00113F36"/>
    <w:rsid w:val="0011540B"/>
    <w:rsid w:val="00115B46"/>
    <w:rsid w:val="00121DBE"/>
    <w:rsid w:val="0012231C"/>
    <w:rsid w:val="00130E14"/>
    <w:rsid w:val="00131BC3"/>
    <w:rsid w:val="00131BD6"/>
    <w:rsid w:val="00133D5D"/>
    <w:rsid w:val="001375CF"/>
    <w:rsid w:val="001416FC"/>
    <w:rsid w:val="00141D21"/>
    <w:rsid w:val="00142405"/>
    <w:rsid w:val="00143D7B"/>
    <w:rsid w:val="00144521"/>
    <w:rsid w:val="001458B7"/>
    <w:rsid w:val="001474FA"/>
    <w:rsid w:val="00151A87"/>
    <w:rsid w:val="001531C6"/>
    <w:rsid w:val="00153587"/>
    <w:rsid w:val="00155D6F"/>
    <w:rsid w:val="00155FCF"/>
    <w:rsid w:val="00164F2B"/>
    <w:rsid w:val="00167131"/>
    <w:rsid w:val="0018508F"/>
    <w:rsid w:val="00187459"/>
    <w:rsid w:val="00190114"/>
    <w:rsid w:val="00190353"/>
    <w:rsid w:val="00190C4B"/>
    <w:rsid w:val="00191139"/>
    <w:rsid w:val="001912F0"/>
    <w:rsid w:val="001939BC"/>
    <w:rsid w:val="00195B03"/>
    <w:rsid w:val="001A3239"/>
    <w:rsid w:val="001A5C53"/>
    <w:rsid w:val="001A6E5B"/>
    <w:rsid w:val="001B0239"/>
    <w:rsid w:val="001B288E"/>
    <w:rsid w:val="001B38B8"/>
    <w:rsid w:val="001B5457"/>
    <w:rsid w:val="001B555C"/>
    <w:rsid w:val="001C2DDE"/>
    <w:rsid w:val="001C2F96"/>
    <w:rsid w:val="001C2FEC"/>
    <w:rsid w:val="001C5B08"/>
    <w:rsid w:val="001C5ECD"/>
    <w:rsid w:val="001D09C1"/>
    <w:rsid w:val="001D3730"/>
    <w:rsid w:val="001D5380"/>
    <w:rsid w:val="001E143E"/>
    <w:rsid w:val="001E2322"/>
    <w:rsid w:val="001E2555"/>
    <w:rsid w:val="001E263B"/>
    <w:rsid w:val="001E287C"/>
    <w:rsid w:val="001E61B2"/>
    <w:rsid w:val="001F7248"/>
    <w:rsid w:val="00202988"/>
    <w:rsid w:val="002032E4"/>
    <w:rsid w:val="0020654E"/>
    <w:rsid w:val="00210497"/>
    <w:rsid w:val="00211FAE"/>
    <w:rsid w:val="002122F9"/>
    <w:rsid w:val="00212602"/>
    <w:rsid w:val="00213248"/>
    <w:rsid w:val="00214ECE"/>
    <w:rsid w:val="00215205"/>
    <w:rsid w:val="0022146D"/>
    <w:rsid w:val="002214D9"/>
    <w:rsid w:val="00221836"/>
    <w:rsid w:val="00222D87"/>
    <w:rsid w:val="00227F27"/>
    <w:rsid w:val="002307CA"/>
    <w:rsid w:val="00231DE0"/>
    <w:rsid w:val="0023378E"/>
    <w:rsid w:val="0023405D"/>
    <w:rsid w:val="00234700"/>
    <w:rsid w:val="00240F03"/>
    <w:rsid w:val="0024154A"/>
    <w:rsid w:val="002422AD"/>
    <w:rsid w:val="00242334"/>
    <w:rsid w:val="00243ED6"/>
    <w:rsid w:val="00245101"/>
    <w:rsid w:val="002605EA"/>
    <w:rsid w:val="00264EFB"/>
    <w:rsid w:val="00264F3B"/>
    <w:rsid w:val="00276CD3"/>
    <w:rsid w:val="002810B4"/>
    <w:rsid w:val="00285709"/>
    <w:rsid w:val="002917D4"/>
    <w:rsid w:val="00291F58"/>
    <w:rsid w:val="0029745A"/>
    <w:rsid w:val="002A57F0"/>
    <w:rsid w:val="002B20D2"/>
    <w:rsid w:val="002B4ED1"/>
    <w:rsid w:val="002B61F2"/>
    <w:rsid w:val="002B6B19"/>
    <w:rsid w:val="002C1079"/>
    <w:rsid w:val="002C230D"/>
    <w:rsid w:val="002C39F6"/>
    <w:rsid w:val="002C3DAC"/>
    <w:rsid w:val="002C6CE3"/>
    <w:rsid w:val="002D5B40"/>
    <w:rsid w:val="002D62AE"/>
    <w:rsid w:val="002D7D52"/>
    <w:rsid w:val="002E0396"/>
    <w:rsid w:val="002E099F"/>
    <w:rsid w:val="002E0C88"/>
    <w:rsid w:val="002E2FD6"/>
    <w:rsid w:val="002E4223"/>
    <w:rsid w:val="002E5E82"/>
    <w:rsid w:val="002E7292"/>
    <w:rsid w:val="002F04CD"/>
    <w:rsid w:val="002F5693"/>
    <w:rsid w:val="003024B6"/>
    <w:rsid w:val="00310359"/>
    <w:rsid w:val="0031297E"/>
    <w:rsid w:val="003131E7"/>
    <w:rsid w:val="00314E75"/>
    <w:rsid w:val="003161A0"/>
    <w:rsid w:val="003228D6"/>
    <w:rsid w:val="0032299A"/>
    <w:rsid w:val="00322AE7"/>
    <w:rsid w:val="00324EF9"/>
    <w:rsid w:val="0032518F"/>
    <w:rsid w:val="00326EB5"/>
    <w:rsid w:val="00327143"/>
    <w:rsid w:val="00330153"/>
    <w:rsid w:val="00335A1B"/>
    <w:rsid w:val="003413E4"/>
    <w:rsid w:val="00342ED8"/>
    <w:rsid w:val="00343D18"/>
    <w:rsid w:val="003455D8"/>
    <w:rsid w:val="003460B7"/>
    <w:rsid w:val="0034705E"/>
    <w:rsid w:val="0034791C"/>
    <w:rsid w:val="00347E20"/>
    <w:rsid w:val="00350F3A"/>
    <w:rsid w:val="003518F0"/>
    <w:rsid w:val="0035439C"/>
    <w:rsid w:val="003544A9"/>
    <w:rsid w:val="00354B28"/>
    <w:rsid w:val="00361ED6"/>
    <w:rsid w:val="003630CB"/>
    <w:rsid w:val="00371826"/>
    <w:rsid w:val="00372C97"/>
    <w:rsid w:val="00372E3B"/>
    <w:rsid w:val="0038030E"/>
    <w:rsid w:val="00383519"/>
    <w:rsid w:val="00384305"/>
    <w:rsid w:val="0038631A"/>
    <w:rsid w:val="0038755C"/>
    <w:rsid w:val="003942F3"/>
    <w:rsid w:val="003961BF"/>
    <w:rsid w:val="00396CCE"/>
    <w:rsid w:val="003A08D8"/>
    <w:rsid w:val="003A4147"/>
    <w:rsid w:val="003A45BF"/>
    <w:rsid w:val="003B001E"/>
    <w:rsid w:val="003B256C"/>
    <w:rsid w:val="003B2F27"/>
    <w:rsid w:val="003C4C3F"/>
    <w:rsid w:val="003D0465"/>
    <w:rsid w:val="003D1F8E"/>
    <w:rsid w:val="003D296D"/>
    <w:rsid w:val="003D5510"/>
    <w:rsid w:val="003D6388"/>
    <w:rsid w:val="003D67C1"/>
    <w:rsid w:val="003E2169"/>
    <w:rsid w:val="003E2343"/>
    <w:rsid w:val="003E3669"/>
    <w:rsid w:val="003F57D9"/>
    <w:rsid w:val="00400B1C"/>
    <w:rsid w:val="00405D91"/>
    <w:rsid w:val="00411574"/>
    <w:rsid w:val="00415B46"/>
    <w:rsid w:val="00417066"/>
    <w:rsid w:val="0041743D"/>
    <w:rsid w:val="0041760B"/>
    <w:rsid w:val="004208E6"/>
    <w:rsid w:val="00431A92"/>
    <w:rsid w:val="00434E22"/>
    <w:rsid w:val="00437416"/>
    <w:rsid w:val="004377AB"/>
    <w:rsid w:val="00440446"/>
    <w:rsid w:val="0044146D"/>
    <w:rsid w:val="00441F6C"/>
    <w:rsid w:val="004433AD"/>
    <w:rsid w:val="00443B32"/>
    <w:rsid w:val="00445838"/>
    <w:rsid w:val="0044662C"/>
    <w:rsid w:val="0045484C"/>
    <w:rsid w:val="0045673A"/>
    <w:rsid w:val="00457216"/>
    <w:rsid w:val="004579EF"/>
    <w:rsid w:val="004614D3"/>
    <w:rsid w:val="004623AA"/>
    <w:rsid w:val="004661E5"/>
    <w:rsid w:val="0046670D"/>
    <w:rsid w:val="004724BA"/>
    <w:rsid w:val="00474CC9"/>
    <w:rsid w:val="0047515A"/>
    <w:rsid w:val="00476255"/>
    <w:rsid w:val="00477A06"/>
    <w:rsid w:val="00483456"/>
    <w:rsid w:val="004847CA"/>
    <w:rsid w:val="00486D65"/>
    <w:rsid w:val="0049184B"/>
    <w:rsid w:val="004933BF"/>
    <w:rsid w:val="0049524F"/>
    <w:rsid w:val="004A2AC3"/>
    <w:rsid w:val="004A2C4D"/>
    <w:rsid w:val="004A3BB7"/>
    <w:rsid w:val="004A697F"/>
    <w:rsid w:val="004B1DAE"/>
    <w:rsid w:val="004B5692"/>
    <w:rsid w:val="004B7F0D"/>
    <w:rsid w:val="004C0228"/>
    <w:rsid w:val="004C6541"/>
    <w:rsid w:val="004C66A2"/>
    <w:rsid w:val="004D16DB"/>
    <w:rsid w:val="004D1BDD"/>
    <w:rsid w:val="004D2005"/>
    <w:rsid w:val="004D2962"/>
    <w:rsid w:val="004D4E98"/>
    <w:rsid w:val="004D5449"/>
    <w:rsid w:val="004D6CC3"/>
    <w:rsid w:val="004E1761"/>
    <w:rsid w:val="004E246C"/>
    <w:rsid w:val="004E2475"/>
    <w:rsid w:val="004E316A"/>
    <w:rsid w:val="004E370C"/>
    <w:rsid w:val="004E4787"/>
    <w:rsid w:val="004E6A6B"/>
    <w:rsid w:val="004E6AD6"/>
    <w:rsid w:val="004E747D"/>
    <w:rsid w:val="004F1CB4"/>
    <w:rsid w:val="004F770F"/>
    <w:rsid w:val="004F7BC5"/>
    <w:rsid w:val="005015BD"/>
    <w:rsid w:val="0050382B"/>
    <w:rsid w:val="00503D25"/>
    <w:rsid w:val="00504C60"/>
    <w:rsid w:val="00510508"/>
    <w:rsid w:val="005109DC"/>
    <w:rsid w:val="00514B84"/>
    <w:rsid w:val="00517104"/>
    <w:rsid w:val="00520A6B"/>
    <w:rsid w:val="00520C1B"/>
    <w:rsid w:val="00521C75"/>
    <w:rsid w:val="00521FF3"/>
    <w:rsid w:val="00523FA2"/>
    <w:rsid w:val="00524202"/>
    <w:rsid w:val="00526684"/>
    <w:rsid w:val="00532EC1"/>
    <w:rsid w:val="005341EF"/>
    <w:rsid w:val="00534B58"/>
    <w:rsid w:val="00534F68"/>
    <w:rsid w:val="00535F6C"/>
    <w:rsid w:val="0055115D"/>
    <w:rsid w:val="005527A0"/>
    <w:rsid w:val="00553BF0"/>
    <w:rsid w:val="00554794"/>
    <w:rsid w:val="00554DEF"/>
    <w:rsid w:val="00554FF6"/>
    <w:rsid w:val="00560937"/>
    <w:rsid w:val="005632A4"/>
    <w:rsid w:val="00564475"/>
    <w:rsid w:val="00566EB6"/>
    <w:rsid w:val="005704EB"/>
    <w:rsid w:val="00574AC2"/>
    <w:rsid w:val="00576EB5"/>
    <w:rsid w:val="00581C91"/>
    <w:rsid w:val="00584F8C"/>
    <w:rsid w:val="00587E62"/>
    <w:rsid w:val="00592B24"/>
    <w:rsid w:val="00593E04"/>
    <w:rsid w:val="0059427E"/>
    <w:rsid w:val="005948A0"/>
    <w:rsid w:val="005977E7"/>
    <w:rsid w:val="005A09FF"/>
    <w:rsid w:val="005A3326"/>
    <w:rsid w:val="005A6D65"/>
    <w:rsid w:val="005A6D9B"/>
    <w:rsid w:val="005A70F1"/>
    <w:rsid w:val="005A7FBE"/>
    <w:rsid w:val="005B3065"/>
    <w:rsid w:val="005B30CB"/>
    <w:rsid w:val="005B3D12"/>
    <w:rsid w:val="005C287A"/>
    <w:rsid w:val="005C5ABC"/>
    <w:rsid w:val="005C73C1"/>
    <w:rsid w:val="005D3FB9"/>
    <w:rsid w:val="005D4D84"/>
    <w:rsid w:val="005D5466"/>
    <w:rsid w:val="005D658B"/>
    <w:rsid w:val="005D790E"/>
    <w:rsid w:val="005E0681"/>
    <w:rsid w:val="005E07AD"/>
    <w:rsid w:val="005E3BFD"/>
    <w:rsid w:val="005E5709"/>
    <w:rsid w:val="005E71D5"/>
    <w:rsid w:val="005E7F09"/>
    <w:rsid w:val="005F5B0F"/>
    <w:rsid w:val="005F6326"/>
    <w:rsid w:val="006000A1"/>
    <w:rsid w:val="006069DD"/>
    <w:rsid w:val="00610E68"/>
    <w:rsid w:val="006110C8"/>
    <w:rsid w:val="0061158E"/>
    <w:rsid w:val="00611FEC"/>
    <w:rsid w:val="00614A99"/>
    <w:rsid w:val="00626BA4"/>
    <w:rsid w:val="00627A9D"/>
    <w:rsid w:val="0063132D"/>
    <w:rsid w:val="006315FA"/>
    <w:rsid w:val="00634030"/>
    <w:rsid w:val="0063694E"/>
    <w:rsid w:val="00641B8D"/>
    <w:rsid w:val="0064274B"/>
    <w:rsid w:val="006442DD"/>
    <w:rsid w:val="00644604"/>
    <w:rsid w:val="00645669"/>
    <w:rsid w:val="006542FF"/>
    <w:rsid w:val="00655AA4"/>
    <w:rsid w:val="006608C3"/>
    <w:rsid w:val="006651AF"/>
    <w:rsid w:val="00666A9D"/>
    <w:rsid w:val="00672B9D"/>
    <w:rsid w:val="006747C6"/>
    <w:rsid w:val="00674843"/>
    <w:rsid w:val="00676F92"/>
    <w:rsid w:val="00681ACB"/>
    <w:rsid w:val="00681F1E"/>
    <w:rsid w:val="00683E65"/>
    <w:rsid w:val="00685099"/>
    <w:rsid w:val="00691EC1"/>
    <w:rsid w:val="00694764"/>
    <w:rsid w:val="00695D69"/>
    <w:rsid w:val="00696828"/>
    <w:rsid w:val="00696C26"/>
    <w:rsid w:val="006A5796"/>
    <w:rsid w:val="006A7BD0"/>
    <w:rsid w:val="006B413E"/>
    <w:rsid w:val="006B7A3B"/>
    <w:rsid w:val="006B7EA8"/>
    <w:rsid w:val="006C0DFF"/>
    <w:rsid w:val="006C33F5"/>
    <w:rsid w:val="006C357A"/>
    <w:rsid w:val="006C623B"/>
    <w:rsid w:val="006D45C6"/>
    <w:rsid w:val="006D5AAF"/>
    <w:rsid w:val="006D7256"/>
    <w:rsid w:val="006D7AAC"/>
    <w:rsid w:val="006E197C"/>
    <w:rsid w:val="006E1E37"/>
    <w:rsid w:val="006E29C8"/>
    <w:rsid w:val="006E42F9"/>
    <w:rsid w:val="006E63AE"/>
    <w:rsid w:val="006F0B1F"/>
    <w:rsid w:val="006F17A5"/>
    <w:rsid w:val="006F185A"/>
    <w:rsid w:val="006F3ED4"/>
    <w:rsid w:val="006F4C0A"/>
    <w:rsid w:val="006F62B2"/>
    <w:rsid w:val="006F7105"/>
    <w:rsid w:val="007045C1"/>
    <w:rsid w:val="00706E4F"/>
    <w:rsid w:val="00710C1C"/>
    <w:rsid w:val="007116F7"/>
    <w:rsid w:val="00715B01"/>
    <w:rsid w:val="00724895"/>
    <w:rsid w:val="00724F0B"/>
    <w:rsid w:val="00726DBA"/>
    <w:rsid w:val="00727DFA"/>
    <w:rsid w:val="00730C4B"/>
    <w:rsid w:val="00737349"/>
    <w:rsid w:val="0074034F"/>
    <w:rsid w:val="00753F2B"/>
    <w:rsid w:val="00755DCA"/>
    <w:rsid w:val="00761123"/>
    <w:rsid w:val="007624A4"/>
    <w:rsid w:val="00765530"/>
    <w:rsid w:val="0076598F"/>
    <w:rsid w:val="00770F81"/>
    <w:rsid w:val="0077176A"/>
    <w:rsid w:val="007776E8"/>
    <w:rsid w:val="0078016E"/>
    <w:rsid w:val="0078025A"/>
    <w:rsid w:val="00781FB2"/>
    <w:rsid w:val="007822CC"/>
    <w:rsid w:val="007847A2"/>
    <w:rsid w:val="00784D43"/>
    <w:rsid w:val="007857B6"/>
    <w:rsid w:val="00793D07"/>
    <w:rsid w:val="0079400C"/>
    <w:rsid w:val="00794540"/>
    <w:rsid w:val="0079488A"/>
    <w:rsid w:val="007A0070"/>
    <w:rsid w:val="007A1BC1"/>
    <w:rsid w:val="007A26E7"/>
    <w:rsid w:val="007A3AA6"/>
    <w:rsid w:val="007B0132"/>
    <w:rsid w:val="007B0716"/>
    <w:rsid w:val="007B1D17"/>
    <w:rsid w:val="007B33E8"/>
    <w:rsid w:val="007B7695"/>
    <w:rsid w:val="007C176A"/>
    <w:rsid w:val="007C1F8A"/>
    <w:rsid w:val="007C3B6E"/>
    <w:rsid w:val="007C47B0"/>
    <w:rsid w:val="007C499D"/>
    <w:rsid w:val="007D6306"/>
    <w:rsid w:val="007E06A2"/>
    <w:rsid w:val="007E1AE9"/>
    <w:rsid w:val="007E2160"/>
    <w:rsid w:val="007E71A9"/>
    <w:rsid w:val="007E77BB"/>
    <w:rsid w:val="007F21AE"/>
    <w:rsid w:val="007F347F"/>
    <w:rsid w:val="00800406"/>
    <w:rsid w:val="008033BC"/>
    <w:rsid w:val="00806980"/>
    <w:rsid w:val="0081085E"/>
    <w:rsid w:val="00814E2B"/>
    <w:rsid w:val="00816942"/>
    <w:rsid w:val="00820345"/>
    <w:rsid w:val="00820BAA"/>
    <w:rsid w:val="00823031"/>
    <w:rsid w:val="008236B6"/>
    <w:rsid w:val="00824770"/>
    <w:rsid w:val="00824C7D"/>
    <w:rsid w:val="008257DC"/>
    <w:rsid w:val="00825B2A"/>
    <w:rsid w:val="00832899"/>
    <w:rsid w:val="00834420"/>
    <w:rsid w:val="00834B26"/>
    <w:rsid w:val="008353C9"/>
    <w:rsid w:val="008374E7"/>
    <w:rsid w:val="00840EDE"/>
    <w:rsid w:val="00845005"/>
    <w:rsid w:val="00846BC2"/>
    <w:rsid w:val="00850660"/>
    <w:rsid w:val="00853AE8"/>
    <w:rsid w:val="0085769E"/>
    <w:rsid w:val="00861B05"/>
    <w:rsid w:val="00863D4C"/>
    <w:rsid w:val="0086503A"/>
    <w:rsid w:val="00875B1A"/>
    <w:rsid w:val="00876555"/>
    <w:rsid w:val="008767F2"/>
    <w:rsid w:val="008769F3"/>
    <w:rsid w:val="00885497"/>
    <w:rsid w:val="00885D0B"/>
    <w:rsid w:val="00885FFD"/>
    <w:rsid w:val="0088727A"/>
    <w:rsid w:val="008908E5"/>
    <w:rsid w:val="0089173B"/>
    <w:rsid w:val="00891CDC"/>
    <w:rsid w:val="0089468C"/>
    <w:rsid w:val="0089764F"/>
    <w:rsid w:val="00897EFB"/>
    <w:rsid w:val="008A0139"/>
    <w:rsid w:val="008A2CF2"/>
    <w:rsid w:val="008A3C69"/>
    <w:rsid w:val="008A4A70"/>
    <w:rsid w:val="008A5466"/>
    <w:rsid w:val="008A7DE6"/>
    <w:rsid w:val="008B0034"/>
    <w:rsid w:val="008B3325"/>
    <w:rsid w:val="008B3855"/>
    <w:rsid w:val="008B45C8"/>
    <w:rsid w:val="008B651E"/>
    <w:rsid w:val="008B6939"/>
    <w:rsid w:val="008C042B"/>
    <w:rsid w:val="008C189B"/>
    <w:rsid w:val="008C369F"/>
    <w:rsid w:val="008D1F3E"/>
    <w:rsid w:val="008D4782"/>
    <w:rsid w:val="008E5016"/>
    <w:rsid w:val="008E5E0D"/>
    <w:rsid w:val="008F0E70"/>
    <w:rsid w:val="008F171A"/>
    <w:rsid w:val="008F26CE"/>
    <w:rsid w:val="008F48AF"/>
    <w:rsid w:val="008F7642"/>
    <w:rsid w:val="00901076"/>
    <w:rsid w:val="00902B97"/>
    <w:rsid w:val="00903FB2"/>
    <w:rsid w:val="00904495"/>
    <w:rsid w:val="0090616D"/>
    <w:rsid w:val="00911466"/>
    <w:rsid w:val="00912307"/>
    <w:rsid w:val="00912365"/>
    <w:rsid w:val="00913D33"/>
    <w:rsid w:val="0091580D"/>
    <w:rsid w:val="009160C8"/>
    <w:rsid w:val="00917A08"/>
    <w:rsid w:val="009210BD"/>
    <w:rsid w:val="00921A9D"/>
    <w:rsid w:val="00921FF1"/>
    <w:rsid w:val="00923EB9"/>
    <w:rsid w:val="0092493A"/>
    <w:rsid w:val="009304ED"/>
    <w:rsid w:val="00931422"/>
    <w:rsid w:val="00932169"/>
    <w:rsid w:val="00932CB0"/>
    <w:rsid w:val="00932E5D"/>
    <w:rsid w:val="00934A3E"/>
    <w:rsid w:val="009355EF"/>
    <w:rsid w:val="00935DFF"/>
    <w:rsid w:val="00937DA3"/>
    <w:rsid w:val="00941A9C"/>
    <w:rsid w:val="00943808"/>
    <w:rsid w:val="0094453C"/>
    <w:rsid w:val="009477D1"/>
    <w:rsid w:val="009562CF"/>
    <w:rsid w:val="00957C0A"/>
    <w:rsid w:val="0096114C"/>
    <w:rsid w:val="00961257"/>
    <w:rsid w:val="00962158"/>
    <w:rsid w:val="00963DCC"/>
    <w:rsid w:val="00966431"/>
    <w:rsid w:val="00967CBC"/>
    <w:rsid w:val="009707B7"/>
    <w:rsid w:val="009708CF"/>
    <w:rsid w:val="009723F8"/>
    <w:rsid w:val="009759BB"/>
    <w:rsid w:val="00977299"/>
    <w:rsid w:val="009818F9"/>
    <w:rsid w:val="0098500E"/>
    <w:rsid w:val="00986879"/>
    <w:rsid w:val="009876B4"/>
    <w:rsid w:val="00991822"/>
    <w:rsid w:val="00993411"/>
    <w:rsid w:val="009950C2"/>
    <w:rsid w:val="00995AFF"/>
    <w:rsid w:val="00995F9C"/>
    <w:rsid w:val="009A268D"/>
    <w:rsid w:val="009A3155"/>
    <w:rsid w:val="009A5AC4"/>
    <w:rsid w:val="009A5D9A"/>
    <w:rsid w:val="009A70B5"/>
    <w:rsid w:val="009B4326"/>
    <w:rsid w:val="009B7713"/>
    <w:rsid w:val="009C1027"/>
    <w:rsid w:val="009C2021"/>
    <w:rsid w:val="009C39FA"/>
    <w:rsid w:val="009C539A"/>
    <w:rsid w:val="009C5759"/>
    <w:rsid w:val="009D2E96"/>
    <w:rsid w:val="009D397A"/>
    <w:rsid w:val="009D3EF6"/>
    <w:rsid w:val="009D695C"/>
    <w:rsid w:val="009E3622"/>
    <w:rsid w:val="009E49F5"/>
    <w:rsid w:val="009E5C70"/>
    <w:rsid w:val="009F6623"/>
    <w:rsid w:val="009F67A8"/>
    <w:rsid w:val="009F72C3"/>
    <w:rsid w:val="00A005DE"/>
    <w:rsid w:val="00A02DA9"/>
    <w:rsid w:val="00A04350"/>
    <w:rsid w:val="00A06966"/>
    <w:rsid w:val="00A0722E"/>
    <w:rsid w:val="00A13E6F"/>
    <w:rsid w:val="00A17A99"/>
    <w:rsid w:val="00A222F0"/>
    <w:rsid w:val="00A23579"/>
    <w:rsid w:val="00A24CEB"/>
    <w:rsid w:val="00A277BC"/>
    <w:rsid w:val="00A27E0D"/>
    <w:rsid w:val="00A31349"/>
    <w:rsid w:val="00A3521C"/>
    <w:rsid w:val="00A37379"/>
    <w:rsid w:val="00A4065D"/>
    <w:rsid w:val="00A40FD3"/>
    <w:rsid w:val="00A410A9"/>
    <w:rsid w:val="00A4417F"/>
    <w:rsid w:val="00A52344"/>
    <w:rsid w:val="00A52FDD"/>
    <w:rsid w:val="00A545B8"/>
    <w:rsid w:val="00A554CA"/>
    <w:rsid w:val="00A5564D"/>
    <w:rsid w:val="00A563F5"/>
    <w:rsid w:val="00A57AE4"/>
    <w:rsid w:val="00A630F5"/>
    <w:rsid w:val="00A6461C"/>
    <w:rsid w:val="00A66AA7"/>
    <w:rsid w:val="00A67D66"/>
    <w:rsid w:val="00A70030"/>
    <w:rsid w:val="00A71D87"/>
    <w:rsid w:val="00A728FD"/>
    <w:rsid w:val="00A7368B"/>
    <w:rsid w:val="00A75236"/>
    <w:rsid w:val="00A77B9E"/>
    <w:rsid w:val="00A80F19"/>
    <w:rsid w:val="00A8239D"/>
    <w:rsid w:val="00A8670E"/>
    <w:rsid w:val="00A872F6"/>
    <w:rsid w:val="00A909CE"/>
    <w:rsid w:val="00A92877"/>
    <w:rsid w:val="00A93920"/>
    <w:rsid w:val="00A94B81"/>
    <w:rsid w:val="00A94F6A"/>
    <w:rsid w:val="00AA008F"/>
    <w:rsid w:val="00AA0850"/>
    <w:rsid w:val="00AA386B"/>
    <w:rsid w:val="00AB1EBE"/>
    <w:rsid w:val="00AB203B"/>
    <w:rsid w:val="00AB44C4"/>
    <w:rsid w:val="00AB6A1B"/>
    <w:rsid w:val="00AB6D95"/>
    <w:rsid w:val="00AB6E81"/>
    <w:rsid w:val="00AB796A"/>
    <w:rsid w:val="00AB7A8E"/>
    <w:rsid w:val="00AC2010"/>
    <w:rsid w:val="00AC2AF7"/>
    <w:rsid w:val="00AC376F"/>
    <w:rsid w:val="00AC5864"/>
    <w:rsid w:val="00AC709C"/>
    <w:rsid w:val="00AC74F0"/>
    <w:rsid w:val="00AC7E50"/>
    <w:rsid w:val="00AD6727"/>
    <w:rsid w:val="00AE016D"/>
    <w:rsid w:val="00AE0FC7"/>
    <w:rsid w:val="00AE196A"/>
    <w:rsid w:val="00AE2A5D"/>
    <w:rsid w:val="00AE6DAB"/>
    <w:rsid w:val="00AF27CC"/>
    <w:rsid w:val="00AF79FD"/>
    <w:rsid w:val="00B07656"/>
    <w:rsid w:val="00B07A6C"/>
    <w:rsid w:val="00B07F49"/>
    <w:rsid w:val="00B11A47"/>
    <w:rsid w:val="00B12A58"/>
    <w:rsid w:val="00B15F65"/>
    <w:rsid w:val="00B16B20"/>
    <w:rsid w:val="00B220E6"/>
    <w:rsid w:val="00B227F9"/>
    <w:rsid w:val="00B249A1"/>
    <w:rsid w:val="00B253C3"/>
    <w:rsid w:val="00B26751"/>
    <w:rsid w:val="00B32747"/>
    <w:rsid w:val="00B32DDF"/>
    <w:rsid w:val="00B34913"/>
    <w:rsid w:val="00B372FB"/>
    <w:rsid w:val="00B41991"/>
    <w:rsid w:val="00B431D0"/>
    <w:rsid w:val="00B452DD"/>
    <w:rsid w:val="00B4677E"/>
    <w:rsid w:val="00B50830"/>
    <w:rsid w:val="00B53987"/>
    <w:rsid w:val="00B6060F"/>
    <w:rsid w:val="00B6412A"/>
    <w:rsid w:val="00B7015E"/>
    <w:rsid w:val="00B70A95"/>
    <w:rsid w:val="00B72B67"/>
    <w:rsid w:val="00B75BBF"/>
    <w:rsid w:val="00B811EA"/>
    <w:rsid w:val="00B836FF"/>
    <w:rsid w:val="00B83887"/>
    <w:rsid w:val="00B84D91"/>
    <w:rsid w:val="00B869CC"/>
    <w:rsid w:val="00B91627"/>
    <w:rsid w:val="00B921DF"/>
    <w:rsid w:val="00B92737"/>
    <w:rsid w:val="00B94BB3"/>
    <w:rsid w:val="00B94F82"/>
    <w:rsid w:val="00BA1247"/>
    <w:rsid w:val="00BA365E"/>
    <w:rsid w:val="00BA4335"/>
    <w:rsid w:val="00BB2ABD"/>
    <w:rsid w:val="00BB4C2C"/>
    <w:rsid w:val="00BB5454"/>
    <w:rsid w:val="00BB6BE6"/>
    <w:rsid w:val="00BB7C85"/>
    <w:rsid w:val="00BC04C8"/>
    <w:rsid w:val="00BC16CD"/>
    <w:rsid w:val="00BC604B"/>
    <w:rsid w:val="00BC6B8A"/>
    <w:rsid w:val="00BD4A25"/>
    <w:rsid w:val="00BD7A9E"/>
    <w:rsid w:val="00BE0576"/>
    <w:rsid w:val="00BE131D"/>
    <w:rsid w:val="00BF2A47"/>
    <w:rsid w:val="00BF69F2"/>
    <w:rsid w:val="00C03645"/>
    <w:rsid w:val="00C04F90"/>
    <w:rsid w:val="00C053F9"/>
    <w:rsid w:val="00C06494"/>
    <w:rsid w:val="00C06952"/>
    <w:rsid w:val="00C07D4E"/>
    <w:rsid w:val="00C12CBB"/>
    <w:rsid w:val="00C156FC"/>
    <w:rsid w:val="00C16567"/>
    <w:rsid w:val="00C16A8C"/>
    <w:rsid w:val="00C21CB0"/>
    <w:rsid w:val="00C27F6E"/>
    <w:rsid w:val="00C31112"/>
    <w:rsid w:val="00C35EF3"/>
    <w:rsid w:val="00C404FC"/>
    <w:rsid w:val="00C426B6"/>
    <w:rsid w:val="00C441B6"/>
    <w:rsid w:val="00C46A01"/>
    <w:rsid w:val="00C46B1D"/>
    <w:rsid w:val="00C47CEB"/>
    <w:rsid w:val="00C50250"/>
    <w:rsid w:val="00C51AF7"/>
    <w:rsid w:val="00C51E21"/>
    <w:rsid w:val="00C55B57"/>
    <w:rsid w:val="00C6319F"/>
    <w:rsid w:val="00C70A0F"/>
    <w:rsid w:val="00C74933"/>
    <w:rsid w:val="00C7509D"/>
    <w:rsid w:val="00C75661"/>
    <w:rsid w:val="00C801D6"/>
    <w:rsid w:val="00C80F55"/>
    <w:rsid w:val="00C8228B"/>
    <w:rsid w:val="00C84C37"/>
    <w:rsid w:val="00C8631C"/>
    <w:rsid w:val="00C9227C"/>
    <w:rsid w:val="00C94D7C"/>
    <w:rsid w:val="00C95CE3"/>
    <w:rsid w:val="00C9619A"/>
    <w:rsid w:val="00CA59FE"/>
    <w:rsid w:val="00CA5C2B"/>
    <w:rsid w:val="00CA63C9"/>
    <w:rsid w:val="00CB0619"/>
    <w:rsid w:val="00CB1EA2"/>
    <w:rsid w:val="00CB2ABF"/>
    <w:rsid w:val="00CB5C25"/>
    <w:rsid w:val="00CB63BB"/>
    <w:rsid w:val="00CC58EE"/>
    <w:rsid w:val="00CC5F12"/>
    <w:rsid w:val="00CD000F"/>
    <w:rsid w:val="00CD062D"/>
    <w:rsid w:val="00CD2CB2"/>
    <w:rsid w:val="00CD394F"/>
    <w:rsid w:val="00CE01F8"/>
    <w:rsid w:val="00CE126C"/>
    <w:rsid w:val="00CE2DE5"/>
    <w:rsid w:val="00CE3930"/>
    <w:rsid w:val="00CE431B"/>
    <w:rsid w:val="00CE5D0C"/>
    <w:rsid w:val="00CF1946"/>
    <w:rsid w:val="00CF1B61"/>
    <w:rsid w:val="00CF628F"/>
    <w:rsid w:val="00CF7952"/>
    <w:rsid w:val="00D062A7"/>
    <w:rsid w:val="00D06E2A"/>
    <w:rsid w:val="00D0760B"/>
    <w:rsid w:val="00D111A9"/>
    <w:rsid w:val="00D147FC"/>
    <w:rsid w:val="00D20777"/>
    <w:rsid w:val="00D22055"/>
    <w:rsid w:val="00D23C67"/>
    <w:rsid w:val="00D23E3A"/>
    <w:rsid w:val="00D27C60"/>
    <w:rsid w:val="00D33C01"/>
    <w:rsid w:val="00D34BF7"/>
    <w:rsid w:val="00D365D9"/>
    <w:rsid w:val="00D37854"/>
    <w:rsid w:val="00D43891"/>
    <w:rsid w:val="00D45453"/>
    <w:rsid w:val="00D458FE"/>
    <w:rsid w:val="00D46EE2"/>
    <w:rsid w:val="00D50858"/>
    <w:rsid w:val="00D559AD"/>
    <w:rsid w:val="00D56566"/>
    <w:rsid w:val="00D5774E"/>
    <w:rsid w:val="00D6353B"/>
    <w:rsid w:val="00D6479C"/>
    <w:rsid w:val="00D64C8F"/>
    <w:rsid w:val="00D66AB0"/>
    <w:rsid w:val="00D81B44"/>
    <w:rsid w:val="00D851AE"/>
    <w:rsid w:val="00D851BD"/>
    <w:rsid w:val="00D870A2"/>
    <w:rsid w:val="00D87953"/>
    <w:rsid w:val="00D956C2"/>
    <w:rsid w:val="00DA7160"/>
    <w:rsid w:val="00DB4299"/>
    <w:rsid w:val="00DB43CB"/>
    <w:rsid w:val="00DB586D"/>
    <w:rsid w:val="00DB6F06"/>
    <w:rsid w:val="00DB730B"/>
    <w:rsid w:val="00DC12FF"/>
    <w:rsid w:val="00DC366B"/>
    <w:rsid w:val="00DC55BD"/>
    <w:rsid w:val="00DD1295"/>
    <w:rsid w:val="00DD65B1"/>
    <w:rsid w:val="00DD6E74"/>
    <w:rsid w:val="00DE1827"/>
    <w:rsid w:val="00DE1C0E"/>
    <w:rsid w:val="00DE5ACA"/>
    <w:rsid w:val="00DF03F8"/>
    <w:rsid w:val="00DF29D9"/>
    <w:rsid w:val="00DF4AFA"/>
    <w:rsid w:val="00DF579D"/>
    <w:rsid w:val="00DF7872"/>
    <w:rsid w:val="00E03332"/>
    <w:rsid w:val="00E056DF"/>
    <w:rsid w:val="00E12086"/>
    <w:rsid w:val="00E144CB"/>
    <w:rsid w:val="00E15D3F"/>
    <w:rsid w:val="00E20473"/>
    <w:rsid w:val="00E2187B"/>
    <w:rsid w:val="00E21991"/>
    <w:rsid w:val="00E21FC5"/>
    <w:rsid w:val="00E3177C"/>
    <w:rsid w:val="00E31D0D"/>
    <w:rsid w:val="00E32570"/>
    <w:rsid w:val="00E34D2C"/>
    <w:rsid w:val="00E35562"/>
    <w:rsid w:val="00E35E7C"/>
    <w:rsid w:val="00E372ED"/>
    <w:rsid w:val="00E43330"/>
    <w:rsid w:val="00E44185"/>
    <w:rsid w:val="00E44C90"/>
    <w:rsid w:val="00E45868"/>
    <w:rsid w:val="00E4602A"/>
    <w:rsid w:val="00E518D3"/>
    <w:rsid w:val="00E52D26"/>
    <w:rsid w:val="00E534C9"/>
    <w:rsid w:val="00E618DD"/>
    <w:rsid w:val="00E622E4"/>
    <w:rsid w:val="00E65CD3"/>
    <w:rsid w:val="00E66377"/>
    <w:rsid w:val="00E70B15"/>
    <w:rsid w:val="00E71FA9"/>
    <w:rsid w:val="00E721EB"/>
    <w:rsid w:val="00E77C25"/>
    <w:rsid w:val="00E820D2"/>
    <w:rsid w:val="00E82DBD"/>
    <w:rsid w:val="00E838CD"/>
    <w:rsid w:val="00E91238"/>
    <w:rsid w:val="00E938DF"/>
    <w:rsid w:val="00E94E0C"/>
    <w:rsid w:val="00E972DB"/>
    <w:rsid w:val="00E976A0"/>
    <w:rsid w:val="00EA5371"/>
    <w:rsid w:val="00EA619D"/>
    <w:rsid w:val="00EA734D"/>
    <w:rsid w:val="00EB35C2"/>
    <w:rsid w:val="00EB7660"/>
    <w:rsid w:val="00EC0071"/>
    <w:rsid w:val="00EC2BE0"/>
    <w:rsid w:val="00EC65DC"/>
    <w:rsid w:val="00ED74E5"/>
    <w:rsid w:val="00EE0133"/>
    <w:rsid w:val="00EE59BB"/>
    <w:rsid w:val="00EF27A7"/>
    <w:rsid w:val="00EF3263"/>
    <w:rsid w:val="00EF57CD"/>
    <w:rsid w:val="00EF6030"/>
    <w:rsid w:val="00EF7B1D"/>
    <w:rsid w:val="00EF7CE1"/>
    <w:rsid w:val="00F00906"/>
    <w:rsid w:val="00F01347"/>
    <w:rsid w:val="00F015A2"/>
    <w:rsid w:val="00F02D3F"/>
    <w:rsid w:val="00F03603"/>
    <w:rsid w:val="00F03B16"/>
    <w:rsid w:val="00F053DA"/>
    <w:rsid w:val="00F06433"/>
    <w:rsid w:val="00F1071B"/>
    <w:rsid w:val="00F10764"/>
    <w:rsid w:val="00F12AE4"/>
    <w:rsid w:val="00F15BFA"/>
    <w:rsid w:val="00F177A1"/>
    <w:rsid w:val="00F221F0"/>
    <w:rsid w:val="00F2240D"/>
    <w:rsid w:val="00F26320"/>
    <w:rsid w:val="00F26641"/>
    <w:rsid w:val="00F277D8"/>
    <w:rsid w:val="00F30BD5"/>
    <w:rsid w:val="00F31BF1"/>
    <w:rsid w:val="00F328AC"/>
    <w:rsid w:val="00F33CF9"/>
    <w:rsid w:val="00F33E85"/>
    <w:rsid w:val="00F340D6"/>
    <w:rsid w:val="00F3661E"/>
    <w:rsid w:val="00F37185"/>
    <w:rsid w:val="00F440FB"/>
    <w:rsid w:val="00F44F8D"/>
    <w:rsid w:val="00F45213"/>
    <w:rsid w:val="00F4675E"/>
    <w:rsid w:val="00F54852"/>
    <w:rsid w:val="00F57052"/>
    <w:rsid w:val="00F6256C"/>
    <w:rsid w:val="00F72BF8"/>
    <w:rsid w:val="00F74C4E"/>
    <w:rsid w:val="00F803D2"/>
    <w:rsid w:val="00F84FBE"/>
    <w:rsid w:val="00F85515"/>
    <w:rsid w:val="00F8607F"/>
    <w:rsid w:val="00F92C37"/>
    <w:rsid w:val="00F92ECD"/>
    <w:rsid w:val="00F968F9"/>
    <w:rsid w:val="00F97052"/>
    <w:rsid w:val="00FA12E9"/>
    <w:rsid w:val="00FA1E46"/>
    <w:rsid w:val="00FA48FD"/>
    <w:rsid w:val="00FA7319"/>
    <w:rsid w:val="00FC09AD"/>
    <w:rsid w:val="00FC2054"/>
    <w:rsid w:val="00FC53A4"/>
    <w:rsid w:val="00FD3AE1"/>
    <w:rsid w:val="00FD4618"/>
    <w:rsid w:val="00FD73C3"/>
    <w:rsid w:val="00FE4B10"/>
    <w:rsid w:val="00FF158F"/>
    <w:rsid w:val="00FF1F65"/>
    <w:rsid w:val="00FF3E65"/>
    <w:rsid w:val="00FF7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5476E"/>
  <w15:docId w15:val="{00AC9383-C96B-4190-ADEA-AA782CE7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D91"/>
  </w:style>
  <w:style w:type="paragraph" w:styleId="Heading1">
    <w:name w:val="heading 1"/>
    <w:basedOn w:val="Normal"/>
    <w:next w:val="Normal"/>
    <w:link w:val="Heading1Char"/>
    <w:uiPriority w:val="9"/>
    <w:qFormat/>
    <w:rsid w:val="00264F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0C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10C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D0D"/>
    <w:pPr>
      <w:ind w:left="720"/>
      <w:contextualSpacing/>
    </w:pPr>
  </w:style>
  <w:style w:type="table" w:styleId="TableGrid">
    <w:name w:val="Table Grid"/>
    <w:basedOn w:val="TableNormal"/>
    <w:uiPriority w:val="39"/>
    <w:rsid w:val="000A7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518F0"/>
    <w:rPr>
      <w:color w:val="808080"/>
    </w:rPr>
  </w:style>
  <w:style w:type="character" w:styleId="Hyperlink">
    <w:name w:val="Hyperlink"/>
    <w:basedOn w:val="DefaultParagraphFont"/>
    <w:uiPriority w:val="99"/>
    <w:unhideWhenUsed/>
    <w:rsid w:val="00840EDE"/>
    <w:rPr>
      <w:color w:val="0563C1" w:themeColor="hyperlink"/>
      <w:u w:val="single"/>
    </w:rPr>
  </w:style>
  <w:style w:type="paragraph" w:styleId="FootnoteText">
    <w:name w:val="footnote text"/>
    <w:basedOn w:val="Normal"/>
    <w:link w:val="FootnoteTextChar"/>
    <w:uiPriority w:val="99"/>
    <w:semiHidden/>
    <w:unhideWhenUsed/>
    <w:rsid w:val="007E21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2160"/>
    <w:rPr>
      <w:sz w:val="20"/>
      <w:szCs w:val="20"/>
    </w:rPr>
  </w:style>
  <w:style w:type="character" w:styleId="FootnoteReference">
    <w:name w:val="footnote reference"/>
    <w:basedOn w:val="DefaultParagraphFont"/>
    <w:uiPriority w:val="99"/>
    <w:semiHidden/>
    <w:unhideWhenUsed/>
    <w:rsid w:val="007E2160"/>
    <w:rPr>
      <w:vertAlign w:val="superscript"/>
    </w:rPr>
  </w:style>
  <w:style w:type="character" w:customStyle="1" w:styleId="sw">
    <w:name w:val="sw"/>
    <w:basedOn w:val="DefaultParagraphFont"/>
    <w:rsid w:val="00245101"/>
  </w:style>
  <w:style w:type="paragraph" w:styleId="Header">
    <w:name w:val="header"/>
    <w:basedOn w:val="Normal"/>
    <w:link w:val="HeaderChar"/>
    <w:uiPriority w:val="99"/>
    <w:unhideWhenUsed/>
    <w:rsid w:val="00142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405"/>
  </w:style>
  <w:style w:type="paragraph" w:styleId="Footer">
    <w:name w:val="footer"/>
    <w:basedOn w:val="Normal"/>
    <w:link w:val="FooterChar"/>
    <w:uiPriority w:val="99"/>
    <w:unhideWhenUsed/>
    <w:rsid w:val="00142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405"/>
  </w:style>
  <w:style w:type="character" w:customStyle="1" w:styleId="Heading1Char">
    <w:name w:val="Heading 1 Char"/>
    <w:basedOn w:val="DefaultParagraphFont"/>
    <w:link w:val="Heading1"/>
    <w:uiPriority w:val="9"/>
    <w:rsid w:val="00264F3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10C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10C1C"/>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EC2BE0"/>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901076"/>
    <w:pPr>
      <w:spacing w:after="0"/>
    </w:pPr>
  </w:style>
  <w:style w:type="paragraph" w:styleId="TOCHeading">
    <w:name w:val="TOC Heading"/>
    <w:basedOn w:val="Heading1"/>
    <w:next w:val="Normal"/>
    <w:uiPriority w:val="39"/>
    <w:unhideWhenUsed/>
    <w:qFormat/>
    <w:rsid w:val="00901076"/>
    <w:pPr>
      <w:outlineLvl w:val="9"/>
    </w:pPr>
  </w:style>
  <w:style w:type="paragraph" w:styleId="TOC1">
    <w:name w:val="toc 1"/>
    <w:basedOn w:val="Normal"/>
    <w:next w:val="Normal"/>
    <w:autoRedefine/>
    <w:uiPriority w:val="39"/>
    <w:unhideWhenUsed/>
    <w:rsid w:val="00075A9C"/>
    <w:pPr>
      <w:tabs>
        <w:tab w:val="right" w:leader="dot" w:pos="8261"/>
      </w:tabs>
      <w:spacing w:after="100" w:line="480" w:lineRule="auto"/>
    </w:pPr>
    <w:rPr>
      <w:rFonts w:ascii="Times New Roman" w:hAnsi="Times New Roman" w:cs="Times New Roman"/>
      <w:b/>
      <w:noProof/>
      <w:sz w:val="24"/>
      <w:szCs w:val="24"/>
      <w:lang w:val="nl-NL"/>
    </w:rPr>
  </w:style>
  <w:style w:type="paragraph" w:styleId="TOC2">
    <w:name w:val="toc 2"/>
    <w:basedOn w:val="Normal"/>
    <w:next w:val="Normal"/>
    <w:autoRedefine/>
    <w:uiPriority w:val="39"/>
    <w:unhideWhenUsed/>
    <w:rsid w:val="006E197C"/>
    <w:pPr>
      <w:tabs>
        <w:tab w:val="left" w:pos="660"/>
        <w:tab w:val="right" w:leader="dot" w:pos="8261"/>
      </w:tabs>
      <w:spacing w:after="100"/>
      <w:ind w:left="220"/>
    </w:pPr>
    <w:rPr>
      <w:rFonts w:ascii="Times New Roman" w:hAnsi="Times New Roman" w:cs="Times New Roman"/>
      <w:b/>
      <w:bCs/>
      <w:noProof/>
      <w:sz w:val="24"/>
    </w:rPr>
  </w:style>
  <w:style w:type="paragraph" w:styleId="TOC3">
    <w:name w:val="toc 3"/>
    <w:basedOn w:val="Normal"/>
    <w:next w:val="Normal"/>
    <w:autoRedefine/>
    <w:uiPriority w:val="39"/>
    <w:unhideWhenUsed/>
    <w:rsid w:val="006E197C"/>
    <w:pPr>
      <w:spacing w:after="100"/>
      <w:ind w:left="440"/>
    </w:pPr>
    <w:rPr>
      <w:rFonts w:ascii="Times New Roman" w:hAnsi="Times New Roman"/>
      <w:sz w:val="24"/>
    </w:rPr>
  </w:style>
  <w:style w:type="paragraph" w:styleId="BalloonText">
    <w:name w:val="Balloon Text"/>
    <w:basedOn w:val="Normal"/>
    <w:link w:val="BalloonTextChar"/>
    <w:uiPriority w:val="99"/>
    <w:semiHidden/>
    <w:unhideWhenUsed/>
    <w:rsid w:val="005E3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BFD"/>
    <w:rPr>
      <w:rFonts w:ascii="Tahoma" w:hAnsi="Tahoma" w:cs="Tahoma"/>
      <w:sz w:val="16"/>
      <w:szCs w:val="16"/>
    </w:rPr>
  </w:style>
  <w:style w:type="table" w:customStyle="1" w:styleId="TableGrid1">
    <w:name w:val="Table Grid1"/>
    <w:basedOn w:val="TableNormal"/>
    <w:next w:val="TableGrid"/>
    <w:uiPriority w:val="39"/>
    <w:rsid w:val="00131BC3"/>
    <w:pPr>
      <w:spacing w:after="0" w:line="240" w:lineRule="auto"/>
    </w:pPr>
    <w:rPr>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ords">
    <w:name w:val="words"/>
    <w:basedOn w:val="DefaultParagraphFont"/>
    <w:rsid w:val="00685099"/>
  </w:style>
  <w:style w:type="character" w:styleId="FollowedHyperlink">
    <w:name w:val="FollowedHyperlink"/>
    <w:basedOn w:val="DefaultParagraphFont"/>
    <w:uiPriority w:val="99"/>
    <w:semiHidden/>
    <w:unhideWhenUsed/>
    <w:rsid w:val="00B253C3"/>
    <w:rPr>
      <w:color w:val="954F72"/>
      <w:u w:val="single"/>
    </w:rPr>
  </w:style>
  <w:style w:type="paragraph" w:customStyle="1" w:styleId="msonormal0">
    <w:name w:val="msonormal"/>
    <w:basedOn w:val="Normal"/>
    <w:rsid w:val="00B253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5">
    <w:name w:val="xl65"/>
    <w:basedOn w:val="Normal"/>
    <w:rsid w:val="00B253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66">
    <w:name w:val="xl66"/>
    <w:basedOn w:val="Normal"/>
    <w:rsid w:val="00B253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67">
    <w:name w:val="xl67"/>
    <w:basedOn w:val="Normal"/>
    <w:rsid w:val="00B253C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68">
    <w:name w:val="xl68"/>
    <w:basedOn w:val="Normal"/>
    <w:rsid w:val="00B253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69">
    <w:name w:val="xl69"/>
    <w:basedOn w:val="Normal"/>
    <w:rsid w:val="00B253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70">
    <w:name w:val="xl70"/>
    <w:basedOn w:val="Normal"/>
    <w:rsid w:val="00B253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71">
    <w:name w:val="xl71"/>
    <w:basedOn w:val="Normal"/>
    <w:rsid w:val="00B253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72">
    <w:name w:val="xl72"/>
    <w:basedOn w:val="Normal"/>
    <w:rsid w:val="00B253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73">
    <w:name w:val="xl73"/>
    <w:basedOn w:val="Normal"/>
    <w:rsid w:val="00B253C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74">
    <w:name w:val="xl74"/>
    <w:basedOn w:val="Normal"/>
    <w:rsid w:val="00B253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75">
    <w:name w:val="xl75"/>
    <w:basedOn w:val="Normal"/>
    <w:rsid w:val="00B253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en-GB" w:eastAsia="en-GB"/>
    </w:rPr>
  </w:style>
  <w:style w:type="paragraph" w:customStyle="1" w:styleId="xl76">
    <w:name w:val="xl76"/>
    <w:basedOn w:val="Normal"/>
    <w:rsid w:val="00B253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77">
    <w:name w:val="xl77"/>
    <w:basedOn w:val="Normal"/>
    <w:rsid w:val="00B253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78">
    <w:name w:val="xl78"/>
    <w:basedOn w:val="Normal"/>
    <w:rsid w:val="00B253C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en-GB" w:eastAsia="en-GB"/>
    </w:rPr>
  </w:style>
  <w:style w:type="paragraph" w:customStyle="1" w:styleId="xl79">
    <w:name w:val="xl79"/>
    <w:basedOn w:val="Normal"/>
    <w:rsid w:val="00B253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en-GB" w:eastAsia="en-GB"/>
    </w:rPr>
  </w:style>
  <w:style w:type="paragraph" w:customStyle="1" w:styleId="xl80">
    <w:name w:val="xl80"/>
    <w:basedOn w:val="Normal"/>
    <w:rsid w:val="00B253C3"/>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styleId="NoSpacing">
    <w:name w:val="No Spacing"/>
    <w:uiPriority w:val="1"/>
    <w:qFormat/>
    <w:rsid w:val="00E622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23051">
      <w:bodyDiv w:val="1"/>
      <w:marLeft w:val="0"/>
      <w:marRight w:val="0"/>
      <w:marTop w:val="0"/>
      <w:marBottom w:val="0"/>
      <w:divBdr>
        <w:top w:val="none" w:sz="0" w:space="0" w:color="auto"/>
        <w:left w:val="none" w:sz="0" w:space="0" w:color="auto"/>
        <w:bottom w:val="none" w:sz="0" w:space="0" w:color="auto"/>
        <w:right w:val="none" w:sz="0" w:space="0" w:color="auto"/>
      </w:divBdr>
    </w:div>
    <w:div w:id="114954478">
      <w:bodyDiv w:val="1"/>
      <w:marLeft w:val="0"/>
      <w:marRight w:val="0"/>
      <w:marTop w:val="0"/>
      <w:marBottom w:val="0"/>
      <w:divBdr>
        <w:top w:val="none" w:sz="0" w:space="0" w:color="auto"/>
        <w:left w:val="none" w:sz="0" w:space="0" w:color="auto"/>
        <w:bottom w:val="none" w:sz="0" w:space="0" w:color="auto"/>
        <w:right w:val="none" w:sz="0" w:space="0" w:color="auto"/>
      </w:divBdr>
    </w:div>
    <w:div w:id="179317809">
      <w:bodyDiv w:val="1"/>
      <w:marLeft w:val="0"/>
      <w:marRight w:val="0"/>
      <w:marTop w:val="0"/>
      <w:marBottom w:val="0"/>
      <w:divBdr>
        <w:top w:val="none" w:sz="0" w:space="0" w:color="auto"/>
        <w:left w:val="none" w:sz="0" w:space="0" w:color="auto"/>
        <w:bottom w:val="none" w:sz="0" w:space="0" w:color="auto"/>
        <w:right w:val="none" w:sz="0" w:space="0" w:color="auto"/>
      </w:divBdr>
    </w:div>
    <w:div w:id="263076778">
      <w:bodyDiv w:val="1"/>
      <w:marLeft w:val="0"/>
      <w:marRight w:val="0"/>
      <w:marTop w:val="0"/>
      <w:marBottom w:val="0"/>
      <w:divBdr>
        <w:top w:val="none" w:sz="0" w:space="0" w:color="auto"/>
        <w:left w:val="none" w:sz="0" w:space="0" w:color="auto"/>
        <w:bottom w:val="none" w:sz="0" w:space="0" w:color="auto"/>
        <w:right w:val="none" w:sz="0" w:space="0" w:color="auto"/>
      </w:divBdr>
    </w:div>
    <w:div w:id="470176676">
      <w:bodyDiv w:val="1"/>
      <w:marLeft w:val="0"/>
      <w:marRight w:val="0"/>
      <w:marTop w:val="0"/>
      <w:marBottom w:val="0"/>
      <w:divBdr>
        <w:top w:val="none" w:sz="0" w:space="0" w:color="auto"/>
        <w:left w:val="none" w:sz="0" w:space="0" w:color="auto"/>
        <w:bottom w:val="none" w:sz="0" w:space="0" w:color="auto"/>
        <w:right w:val="none" w:sz="0" w:space="0" w:color="auto"/>
      </w:divBdr>
    </w:div>
    <w:div w:id="640767589">
      <w:bodyDiv w:val="1"/>
      <w:marLeft w:val="0"/>
      <w:marRight w:val="0"/>
      <w:marTop w:val="0"/>
      <w:marBottom w:val="0"/>
      <w:divBdr>
        <w:top w:val="none" w:sz="0" w:space="0" w:color="auto"/>
        <w:left w:val="none" w:sz="0" w:space="0" w:color="auto"/>
        <w:bottom w:val="none" w:sz="0" w:space="0" w:color="auto"/>
        <w:right w:val="none" w:sz="0" w:space="0" w:color="auto"/>
      </w:divBdr>
    </w:div>
    <w:div w:id="640884843">
      <w:bodyDiv w:val="1"/>
      <w:marLeft w:val="0"/>
      <w:marRight w:val="0"/>
      <w:marTop w:val="0"/>
      <w:marBottom w:val="0"/>
      <w:divBdr>
        <w:top w:val="none" w:sz="0" w:space="0" w:color="auto"/>
        <w:left w:val="none" w:sz="0" w:space="0" w:color="auto"/>
        <w:bottom w:val="none" w:sz="0" w:space="0" w:color="auto"/>
        <w:right w:val="none" w:sz="0" w:space="0" w:color="auto"/>
      </w:divBdr>
    </w:div>
    <w:div w:id="700587843">
      <w:bodyDiv w:val="1"/>
      <w:marLeft w:val="0"/>
      <w:marRight w:val="0"/>
      <w:marTop w:val="0"/>
      <w:marBottom w:val="0"/>
      <w:divBdr>
        <w:top w:val="none" w:sz="0" w:space="0" w:color="auto"/>
        <w:left w:val="none" w:sz="0" w:space="0" w:color="auto"/>
        <w:bottom w:val="none" w:sz="0" w:space="0" w:color="auto"/>
        <w:right w:val="none" w:sz="0" w:space="0" w:color="auto"/>
      </w:divBdr>
    </w:div>
    <w:div w:id="704018281">
      <w:bodyDiv w:val="1"/>
      <w:marLeft w:val="0"/>
      <w:marRight w:val="0"/>
      <w:marTop w:val="0"/>
      <w:marBottom w:val="0"/>
      <w:divBdr>
        <w:top w:val="none" w:sz="0" w:space="0" w:color="auto"/>
        <w:left w:val="none" w:sz="0" w:space="0" w:color="auto"/>
        <w:bottom w:val="none" w:sz="0" w:space="0" w:color="auto"/>
        <w:right w:val="none" w:sz="0" w:space="0" w:color="auto"/>
      </w:divBdr>
    </w:div>
    <w:div w:id="808326003">
      <w:bodyDiv w:val="1"/>
      <w:marLeft w:val="0"/>
      <w:marRight w:val="0"/>
      <w:marTop w:val="0"/>
      <w:marBottom w:val="0"/>
      <w:divBdr>
        <w:top w:val="none" w:sz="0" w:space="0" w:color="auto"/>
        <w:left w:val="none" w:sz="0" w:space="0" w:color="auto"/>
        <w:bottom w:val="none" w:sz="0" w:space="0" w:color="auto"/>
        <w:right w:val="none" w:sz="0" w:space="0" w:color="auto"/>
      </w:divBdr>
    </w:div>
    <w:div w:id="842084677">
      <w:bodyDiv w:val="1"/>
      <w:marLeft w:val="0"/>
      <w:marRight w:val="0"/>
      <w:marTop w:val="0"/>
      <w:marBottom w:val="0"/>
      <w:divBdr>
        <w:top w:val="none" w:sz="0" w:space="0" w:color="auto"/>
        <w:left w:val="none" w:sz="0" w:space="0" w:color="auto"/>
        <w:bottom w:val="none" w:sz="0" w:space="0" w:color="auto"/>
        <w:right w:val="none" w:sz="0" w:space="0" w:color="auto"/>
      </w:divBdr>
    </w:div>
    <w:div w:id="850146577">
      <w:bodyDiv w:val="1"/>
      <w:marLeft w:val="0"/>
      <w:marRight w:val="0"/>
      <w:marTop w:val="0"/>
      <w:marBottom w:val="0"/>
      <w:divBdr>
        <w:top w:val="none" w:sz="0" w:space="0" w:color="auto"/>
        <w:left w:val="none" w:sz="0" w:space="0" w:color="auto"/>
        <w:bottom w:val="none" w:sz="0" w:space="0" w:color="auto"/>
        <w:right w:val="none" w:sz="0" w:space="0" w:color="auto"/>
      </w:divBdr>
    </w:div>
    <w:div w:id="876163782">
      <w:bodyDiv w:val="1"/>
      <w:marLeft w:val="0"/>
      <w:marRight w:val="0"/>
      <w:marTop w:val="0"/>
      <w:marBottom w:val="0"/>
      <w:divBdr>
        <w:top w:val="none" w:sz="0" w:space="0" w:color="auto"/>
        <w:left w:val="none" w:sz="0" w:space="0" w:color="auto"/>
        <w:bottom w:val="none" w:sz="0" w:space="0" w:color="auto"/>
        <w:right w:val="none" w:sz="0" w:space="0" w:color="auto"/>
      </w:divBdr>
    </w:div>
    <w:div w:id="945423149">
      <w:bodyDiv w:val="1"/>
      <w:marLeft w:val="0"/>
      <w:marRight w:val="0"/>
      <w:marTop w:val="0"/>
      <w:marBottom w:val="0"/>
      <w:divBdr>
        <w:top w:val="none" w:sz="0" w:space="0" w:color="auto"/>
        <w:left w:val="none" w:sz="0" w:space="0" w:color="auto"/>
        <w:bottom w:val="none" w:sz="0" w:space="0" w:color="auto"/>
        <w:right w:val="none" w:sz="0" w:space="0" w:color="auto"/>
      </w:divBdr>
    </w:div>
    <w:div w:id="1117019848">
      <w:bodyDiv w:val="1"/>
      <w:marLeft w:val="0"/>
      <w:marRight w:val="0"/>
      <w:marTop w:val="0"/>
      <w:marBottom w:val="0"/>
      <w:divBdr>
        <w:top w:val="none" w:sz="0" w:space="0" w:color="auto"/>
        <w:left w:val="none" w:sz="0" w:space="0" w:color="auto"/>
        <w:bottom w:val="none" w:sz="0" w:space="0" w:color="auto"/>
        <w:right w:val="none" w:sz="0" w:space="0" w:color="auto"/>
      </w:divBdr>
    </w:div>
    <w:div w:id="1221937514">
      <w:bodyDiv w:val="1"/>
      <w:marLeft w:val="0"/>
      <w:marRight w:val="0"/>
      <w:marTop w:val="0"/>
      <w:marBottom w:val="0"/>
      <w:divBdr>
        <w:top w:val="none" w:sz="0" w:space="0" w:color="auto"/>
        <w:left w:val="none" w:sz="0" w:space="0" w:color="auto"/>
        <w:bottom w:val="none" w:sz="0" w:space="0" w:color="auto"/>
        <w:right w:val="none" w:sz="0" w:space="0" w:color="auto"/>
      </w:divBdr>
    </w:div>
    <w:div w:id="1225796361">
      <w:bodyDiv w:val="1"/>
      <w:marLeft w:val="0"/>
      <w:marRight w:val="0"/>
      <w:marTop w:val="0"/>
      <w:marBottom w:val="0"/>
      <w:divBdr>
        <w:top w:val="none" w:sz="0" w:space="0" w:color="auto"/>
        <w:left w:val="none" w:sz="0" w:space="0" w:color="auto"/>
        <w:bottom w:val="none" w:sz="0" w:space="0" w:color="auto"/>
        <w:right w:val="none" w:sz="0" w:space="0" w:color="auto"/>
      </w:divBdr>
    </w:div>
    <w:div w:id="1265726632">
      <w:bodyDiv w:val="1"/>
      <w:marLeft w:val="0"/>
      <w:marRight w:val="0"/>
      <w:marTop w:val="0"/>
      <w:marBottom w:val="0"/>
      <w:divBdr>
        <w:top w:val="none" w:sz="0" w:space="0" w:color="auto"/>
        <w:left w:val="none" w:sz="0" w:space="0" w:color="auto"/>
        <w:bottom w:val="none" w:sz="0" w:space="0" w:color="auto"/>
        <w:right w:val="none" w:sz="0" w:space="0" w:color="auto"/>
      </w:divBdr>
    </w:div>
    <w:div w:id="1290672247">
      <w:bodyDiv w:val="1"/>
      <w:marLeft w:val="0"/>
      <w:marRight w:val="0"/>
      <w:marTop w:val="0"/>
      <w:marBottom w:val="0"/>
      <w:divBdr>
        <w:top w:val="none" w:sz="0" w:space="0" w:color="auto"/>
        <w:left w:val="none" w:sz="0" w:space="0" w:color="auto"/>
        <w:bottom w:val="none" w:sz="0" w:space="0" w:color="auto"/>
        <w:right w:val="none" w:sz="0" w:space="0" w:color="auto"/>
      </w:divBdr>
      <w:divsChild>
        <w:div w:id="1404136295">
          <w:marLeft w:val="0"/>
          <w:marRight w:val="0"/>
          <w:marTop w:val="0"/>
          <w:marBottom w:val="0"/>
          <w:divBdr>
            <w:top w:val="none" w:sz="0" w:space="0" w:color="auto"/>
            <w:left w:val="none" w:sz="0" w:space="0" w:color="auto"/>
            <w:bottom w:val="none" w:sz="0" w:space="0" w:color="auto"/>
            <w:right w:val="none" w:sz="0" w:space="0" w:color="auto"/>
          </w:divBdr>
        </w:div>
        <w:div w:id="2112358916">
          <w:marLeft w:val="0"/>
          <w:marRight w:val="0"/>
          <w:marTop w:val="0"/>
          <w:marBottom w:val="0"/>
          <w:divBdr>
            <w:top w:val="none" w:sz="0" w:space="0" w:color="auto"/>
            <w:left w:val="none" w:sz="0" w:space="0" w:color="auto"/>
            <w:bottom w:val="none" w:sz="0" w:space="0" w:color="auto"/>
            <w:right w:val="none" w:sz="0" w:space="0" w:color="auto"/>
          </w:divBdr>
        </w:div>
      </w:divsChild>
    </w:div>
    <w:div w:id="1352410833">
      <w:bodyDiv w:val="1"/>
      <w:marLeft w:val="0"/>
      <w:marRight w:val="0"/>
      <w:marTop w:val="0"/>
      <w:marBottom w:val="0"/>
      <w:divBdr>
        <w:top w:val="none" w:sz="0" w:space="0" w:color="auto"/>
        <w:left w:val="none" w:sz="0" w:space="0" w:color="auto"/>
        <w:bottom w:val="none" w:sz="0" w:space="0" w:color="auto"/>
        <w:right w:val="none" w:sz="0" w:space="0" w:color="auto"/>
      </w:divBdr>
    </w:div>
    <w:div w:id="1446122697">
      <w:bodyDiv w:val="1"/>
      <w:marLeft w:val="0"/>
      <w:marRight w:val="0"/>
      <w:marTop w:val="0"/>
      <w:marBottom w:val="0"/>
      <w:divBdr>
        <w:top w:val="none" w:sz="0" w:space="0" w:color="auto"/>
        <w:left w:val="none" w:sz="0" w:space="0" w:color="auto"/>
        <w:bottom w:val="none" w:sz="0" w:space="0" w:color="auto"/>
        <w:right w:val="none" w:sz="0" w:space="0" w:color="auto"/>
      </w:divBdr>
    </w:div>
    <w:div w:id="1451513334">
      <w:bodyDiv w:val="1"/>
      <w:marLeft w:val="0"/>
      <w:marRight w:val="0"/>
      <w:marTop w:val="0"/>
      <w:marBottom w:val="0"/>
      <w:divBdr>
        <w:top w:val="none" w:sz="0" w:space="0" w:color="auto"/>
        <w:left w:val="none" w:sz="0" w:space="0" w:color="auto"/>
        <w:bottom w:val="none" w:sz="0" w:space="0" w:color="auto"/>
        <w:right w:val="none" w:sz="0" w:space="0" w:color="auto"/>
      </w:divBdr>
    </w:div>
    <w:div w:id="1509785517">
      <w:bodyDiv w:val="1"/>
      <w:marLeft w:val="0"/>
      <w:marRight w:val="0"/>
      <w:marTop w:val="0"/>
      <w:marBottom w:val="0"/>
      <w:divBdr>
        <w:top w:val="none" w:sz="0" w:space="0" w:color="auto"/>
        <w:left w:val="none" w:sz="0" w:space="0" w:color="auto"/>
        <w:bottom w:val="none" w:sz="0" w:space="0" w:color="auto"/>
        <w:right w:val="none" w:sz="0" w:space="0" w:color="auto"/>
      </w:divBdr>
    </w:div>
    <w:div w:id="1584144224">
      <w:bodyDiv w:val="1"/>
      <w:marLeft w:val="0"/>
      <w:marRight w:val="0"/>
      <w:marTop w:val="0"/>
      <w:marBottom w:val="0"/>
      <w:divBdr>
        <w:top w:val="none" w:sz="0" w:space="0" w:color="auto"/>
        <w:left w:val="none" w:sz="0" w:space="0" w:color="auto"/>
        <w:bottom w:val="none" w:sz="0" w:space="0" w:color="auto"/>
        <w:right w:val="none" w:sz="0" w:space="0" w:color="auto"/>
      </w:divBdr>
    </w:div>
    <w:div w:id="1584757184">
      <w:bodyDiv w:val="1"/>
      <w:marLeft w:val="0"/>
      <w:marRight w:val="0"/>
      <w:marTop w:val="0"/>
      <w:marBottom w:val="0"/>
      <w:divBdr>
        <w:top w:val="none" w:sz="0" w:space="0" w:color="auto"/>
        <w:left w:val="none" w:sz="0" w:space="0" w:color="auto"/>
        <w:bottom w:val="none" w:sz="0" w:space="0" w:color="auto"/>
        <w:right w:val="none" w:sz="0" w:space="0" w:color="auto"/>
      </w:divBdr>
    </w:div>
    <w:div w:id="1589190881">
      <w:bodyDiv w:val="1"/>
      <w:marLeft w:val="0"/>
      <w:marRight w:val="0"/>
      <w:marTop w:val="0"/>
      <w:marBottom w:val="0"/>
      <w:divBdr>
        <w:top w:val="none" w:sz="0" w:space="0" w:color="auto"/>
        <w:left w:val="none" w:sz="0" w:space="0" w:color="auto"/>
        <w:bottom w:val="none" w:sz="0" w:space="0" w:color="auto"/>
        <w:right w:val="none" w:sz="0" w:space="0" w:color="auto"/>
      </w:divBdr>
    </w:div>
    <w:div w:id="1637635949">
      <w:bodyDiv w:val="1"/>
      <w:marLeft w:val="0"/>
      <w:marRight w:val="0"/>
      <w:marTop w:val="0"/>
      <w:marBottom w:val="0"/>
      <w:divBdr>
        <w:top w:val="none" w:sz="0" w:space="0" w:color="auto"/>
        <w:left w:val="none" w:sz="0" w:space="0" w:color="auto"/>
        <w:bottom w:val="none" w:sz="0" w:space="0" w:color="auto"/>
        <w:right w:val="none" w:sz="0" w:space="0" w:color="auto"/>
      </w:divBdr>
    </w:div>
    <w:div w:id="1640256688">
      <w:bodyDiv w:val="1"/>
      <w:marLeft w:val="0"/>
      <w:marRight w:val="0"/>
      <w:marTop w:val="0"/>
      <w:marBottom w:val="0"/>
      <w:divBdr>
        <w:top w:val="none" w:sz="0" w:space="0" w:color="auto"/>
        <w:left w:val="none" w:sz="0" w:space="0" w:color="auto"/>
        <w:bottom w:val="none" w:sz="0" w:space="0" w:color="auto"/>
        <w:right w:val="none" w:sz="0" w:space="0" w:color="auto"/>
      </w:divBdr>
    </w:div>
    <w:div w:id="1812479423">
      <w:bodyDiv w:val="1"/>
      <w:marLeft w:val="0"/>
      <w:marRight w:val="0"/>
      <w:marTop w:val="0"/>
      <w:marBottom w:val="0"/>
      <w:divBdr>
        <w:top w:val="none" w:sz="0" w:space="0" w:color="auto"/>
        <w:left w:val="none" w:sz="0" w:space="0" w:color="auto"/>
        <w:bottom w:val="none" w:sz="0" w:space="0" w:color="auto"/>
        <w:right w:val="none" w:sz="0" w:space="0" w:color="auto"/>
      </w:divBdr>
    </w:div>
    <w:div w:id="1828475246">
      <w:bodyDiv w:val="1"/>
      <w:marLeft w:val="0"/>
      <w:marRight w:val="0"/>
      <w:marTop w:val="0"/>
      <w:marBottom w:val="0"/>
      <w:divBdr>
        <w:top w:val="none" w:sz="0" w:space="0" w:color="auto"/>
        <w:left w:val="none" w:sz="0" w:space="0" w:color="auto"/>
        <w:bottom w:val="none" w:sz="0" w:space="0" w:color="auto"/>
        <w:right w:val="none" w:sz="0" w:space="0" w:color="auto"/>
      </w:divBdr>
    </w:div>
    <w:div w:id="1912542595">
      <w:bodyDiv w:val="1"/>
      <w:marLeft w:val="0"/>
      <w:marRight w:val="0"/>
      <w:marTop w:val="0"/>
      <w:marBottom w:val="0"/>
      <w:divBdr>
        <w:top w:val="none" w:sz="0" w:space="0" w:color="auto"/>
        <w:left w:val="none" w:sz="0" w:space="0" w:color="auto"/>
        <w:bottom w:val="none" w:sz="0" w:space="0" w:color="auto"/>
        <w:right w:val="none" w:sz="0" w:space="0" w:color="auto"/>
      </w:divBdr>
    </w:div>
    <w:div w:id="1941404679">
      <w:bodyDiv w:val="1"/>
      <w:marLeft w:val="0"/>
      <w:marRight w:val="0"/>
      <w:marTop w:val="0"/>
      <w:marBottom w:val="0"/>
      <w:divBdr>
        <w:top w:val="none" w:sz="0" w:space="0" w:color="auto"/>
        <w:left w:val="none" w:sz="0" w:space="0" w:color="auto"/>
        <w:bottom w:val="none" w:sz="0" w:space="0" w:color="auto"/>
        <w:right w:val="none" w:sz="0" w:space="0" w:color="auto"/>
      </w:divBdr>
    </w:div>
    <w:div w:id="1954746137">
      <w:bodyDiv w:val="1"/>
      <w:marLeft w:val="0"/>
      <w:marRight w:val="0"/>
      <w:marTop w:val="0"/>
      <w:marBottom w:val="0"/>
      <w:divBdr>
        <w:top w:val="none" w:sz="0" w:space="0" w:color="auto"/>
        <w:left w:val="none" w:sz="0" w:space="0" w:color="auto"/>
        <w:bottom w:val="none" w:sz="0" w:space="0" w:color="auto"/>
        <w:right w:val="none" w:sz="0" w:space="0" w:color="auto"/>
      </w:divBdr>
    </w:div>
    <w:div w:id="1986542276">
      <w:bodyDiv w:val="1"/>
      <w:marLeft w:val="0"/>
      <w:marRight w:val="0"/>
      <w:marTop w:val="0"/>
      <w:marBottom w:val="0"/>
      <w:divBdr>
        <w:top w:val="none" w:sz="0" w:space="0" w:color="auto"/>
        <w:left w:val="none" w:sz="0" w:space="0" w:color="auto"/>
        <w:bottom w:val="none" w:sz="0" w:space="0" w:color="auto"/>
        <w:right w:val="none" w:sz="0" w:space="0" w:color="auto"/>
      </w:divBdr>
    </w:div>
    <w:div w:id="1995718413">
      <w:bodyDiv w:val="1"/>
      <w:marLeft w:val="0"/>
      <w:marRight w:val="0"/>
      <w:marTop w:val="0"/>
      <w:marBottom w:val="0"/>
      <w:divBdr>
        <w:top w:val="none" w:sz="0" w:space="0" w:color="auto"/>
        <w:left w:val="none" w:sz="0" w:space="0" w:color="auto"/>
        <w:bottom w:val="none" w:sz="0" w:space="0" w:color="auto"/>
        <w:right w:val="none" w:sz="0" w:space="0" w:color="auto"/>
      </w:divBdr>
    </w:div>
    <w:div w:id="2004553411">
      <w:bodyDiv w:val="1"/>
      <w:marLeft w:val="0"/>
      <w:marRight w:val="0"/>
      <w:marTop w:val="0"/>
      <w:marBottom w:val="0"/>
      <w:divBdr>
        <w:top w:val="none" w:sz="0" w:space="0" w:color="auto"/>
        <w:left w:val="none" w:sz="0" w:space="0" w:color="auto"/>
        <w:bottom w:val="none" w:sz="0" w:space="0" w:color="auto"/>
        <w:right w:val="none" w:sz="0" w:space="0" w:color="auto"/>
      </w:divBdr>
    </w:div>
    <w:div w:id="2053262079">
      <w:bodyDiv w:val="1"/>
      <w:marLeft w:val="0"/>
      <w:marRight w:val="0"/>
      <w:marTop w:val="0"/>
      <w:marBottom w:val="0"/>
      <w:divBdr>
        <w:top w:val="none" w:sz="0" w:space="0" w:color="auto"/>
        <w:left w:val="none" w:sz="0" w:space="0" w:color="auto"/>
        <w:bottom w:val="none" w:sz="0" w:space="0" w:color="auto"/>
        <w:right w:val="none" w:sz="0" w:space="0" w:color="auto"/>
      </w:divBdr>
    </w:div>
    <w:div w:id="210988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png"/><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F:\PROPOSAL%20TEGAR\ANALISIS%20DESKRIPTIF.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PROPOSAL%20TEGAR\ANALISIS%20DESKRIPTIF.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PROPOSAL%20TEGAR\ANALISIS%20DESKRIPTIF.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PROPOSAL%20TEGAR\ANALISIS%20DESKRIPTIF.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PROPOSAL%20TEGAR\ANALISIS%20DESKRIPTIF.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PROPOSAL%20TEGAR\ANALISIS%20DESKRIPTIF.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Capital</a:t>
            </a:r>
            <a:r>
              <a:rPr lang="en-US" baseline="0"/>
              <a:t> Adequacy Ratio</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CAR!$B$2</c:f>
              <c:strCache>
                <c:ptCount val="1"/>
                <c:pt idx="0">
                  <c:v>2019</c:v>
                </c:pt>
              </c:strCache>
            </c:strRef>
          </c:tx>
          <c:spPr>
            <a:solidFill>
              <a:schemeClr val="accent1"/>
            </a:solidFill>
            <a:ln>
              <a:noFill/>
            </a:ln>
            <a:effectLst/>
          </c:spPr>
          <c:invertIfNegative val="0"/>
          <c:cat>
            <c:strRef>
              <c:f>CAR!$A$3:$A$32</c:f>
              <c:strCache>
                <c:ptCount val="30"/>
                <c:pt idx="0">
                  <c:v>AGRO</c:v>
                </c:pt>
                <c:pt idx="1">
                  <c:v>BABP</c:v>
                </c:pt>
                <c:pt idx="2">
                  <c:v>BACA</c:v>
                </c:pt>
                <c:pt idx="3">
                  <c:v>BBCA</c:v>
                </c:pt>
                <c:pt idx="4">
                  <c:v>BBMD</c:v>
                </c:pt>
                <c:pt idx="5">
                  <c:v>BBNI</c:v>
                </c:pt>
                <c:pt idx="6">
                  <c:v>BBRI</c:v>
                </c:pt>
                <c:pt idx="7">
                  <c:v>BBTN</c:v>
                </c:pt>
                <c:pt idx="8">
                  <c:v>BDM</c:v>
                </c:pt>
                <c:pt idx="9">
                  <c:v>BGTG</c:v>
                </c:pt>
                <c:pt idx="10">
                  <c:v>BINA</c:v>
                </c:pt>
                <c:pt idx="11">
                  <c:v>BJBR</c:v>
                </c:pt>
                <c:pt idx="12">
                  <c:v>BJTM</c:v>
                </c:pt>
                <c:pt idx="13">
                  <c:v>BMAS</c:v>
                </c:pt>
                <c:pt idx="14">
                  <c:v>BMRI</c:v>
                </c:pt>
                <c:pt idx="15">
                  <c:v>BNBA</c:v>
                </c:pt>
                <c:pt idx="16">
                  <c:v>BNGA</c:v>
                </c:pt>
                <c:pt idx="17">
                  <c:v>BNII</c:v>
                </c:pt>
                <c:pt idx="18">
                  <c:v>BNLI</c:v>
                </c:pt>
                <c:pt idx="19">
                  <c:v>BSIM</c:v>
                </c:pt>
                <c:pt idx="20">
                  <c:v>BTPN</c:v>
                </c:pt>
                <c:pt idx="21">
                  <c:v>BVIC</c:v>
                </c:pt>
                <c:pt idx="22">
                  <c:v>INPC</c:v>
                </c:pt>
                <c:pt idx="23">
                  <c:v>MASB</c:v>
                </c:pt>
                <c:pt idx="24">
                  <c:v>MAYA</c:v>
                </c:pt>
                <c:pt idx="25">
                  <c:v>MCOR</c:v>
                </c:pt>
                <c:pt idx="26">
                  <c:v>MEGA</c:v>
                </c:pt>
                <c:pt idx="27">
                  <c:v>NISP</c:v>
                </c:pt>
                <c:pt idx="28">
                  <c:v>PNBN</c:v>
                </c:pt>
                <c:pt idx="29">
                  <c:v>SDRA</c:v>
                </c:pt>
              </c:strCache>
            </c:strRef>
          </c:cat>
          <c:val>
            <c:numRef>
              <c:f>CAR!$B$3:$B$32</c:f>
              <c:numCache>
                <c:formatCode>General</c:formatCode>
                <c:ptCount val="30"/>
                <c:pt idx="0">
                  <c:v>24.28</c:v>
                </c:pt>
                <c:pt idx="1">
                  <c:v>15.16</c:v>
                </c:pt>
                <c:pt idx="2">
                  <c:v>12.67</c:v>
                </c:pt>
                <c:pt idx="3">
                  <c:v>23.8</c:v>
                </c:pt>
                <c:pt idx="4">
                  <c:v>38.6</c:v>
                </c:pt>
                <c:pt idx="5">
                  <c:v>22.75</c:v>
                </c:pt>
                <c:pt idx="6">
                  <c:v>22.55</c:v>
                </c:pt>
                <c:pt idx="7">
                  <c:v>17.32</c:v>
                </c:pt>
                <c:pt idx="8">
                  <c:v>24.2</c:v>
                </c:pt>
                <c:pt idx="9">
                  <c:v>34.9</c:v>
                </c:pt>
                <c:pt idx="10">
                  <c:v>37.409999999999997</c:v>
                </c:pt>
                <c:pt idx="11">
                  <c:v>17.71</c:v>
                </c:pt>
                <c:pt idx="12">
                  <c:v>21.23</c:v>
                </c:pt>
                <c:pt idx="13">
                  <c:v>20.190000000000001</c:v>
                </c:pt>
                <c:pt idx="14">
                  <c:v>21.39</c:v>
                </c:pt>
                <c:pt idx="15">
                  <c:v>23.55</c:v>
                </c:pt>
                <c:pt idx="16">
                  <c:v>21.47</c:v>
                </c:pt>
                <c:pt idx="17">
                  <c:v>21.38</c:v>
                </c:pt>
                <c:pt idx="18">
                  <c:v>19.899999999999999</c:v>
                </c:pt>
                <c:pt idx="19">
                  <c:v>17.32</c:v>
                </c:pt>
                <c:pt idx="20">
                  <c:v>24.2</c:v>
                </c:pt>
                <c:pt idx="21">
                  <c:v>17.760000000000002</c:v>
                </c:pt>
                <c:pt idx="22">
                  <c:v>18.670000000000002</c:v>
                </c:pt>
                <c:pt idx="23">
                  <c:v>16.45</c:v>
                </c:pt>
                <c:pt idx="24">
                  <c:v>16.18</c:v>
                </c:pt>
                <c:pt idx="25">
                  <c:v>17.399999999999999</c:v>
                </c:pt>
                <c:pt idx="26">
                  <c:v>23.68</c:v>
                </c:pt>
                <c:pt idx="27">
                  <c:v>19.170000000000002</c:v>
                </c:pt>
                <c:pt idx="28">
                  <c:v>23.41</c:v>
                </c:pt>
                <c:pt idx="29">
                  <c:v>20.2</c:v>
                </c:pt>
              </c:numCache>
            </c:numRef>
          </c:val>
          <c:extLst xmlns:c16r2="http://schemas.microsoft.com/office/drawing/2015/06/chart">
            <c:ext xmlns:c16="http://schemas.microsoft.com/office/drawing/2014/chart" uri="{C3380CC4-5D6E-409C-BE32-E72D297353CC}">
              <c16:uniqueId val="{00000000-1546-4EA5-9DBA-4376EB4F158B}"/>
            </c:ext>
          </c:extLst>
        </c:ser>
        <c:ser>
          <c:idx val="1"/>
          <c:order val="1"/>
          <c:tx>
            <c:strRef>
              <c:f>CAR!$C$2</c:f>
              <c:strCache>
                <c:ptCount val="1"/>
                <c:pt idx="0">
                  <c:v>2020</c:v>
                </c:pt>
              </c:strCache>
            </c:strRef>
          </c:tx>
          <c:spPr>
            <a:solidFill>
              <a:schemeClr val="accent2"/>
            </a:solidFill>
            <a:ln>
              <a:noFill/>
            </a:ln>
            <a:effectLst/>
          </c:spPr>
          <c:invertIfNegative val="0"/>
          <c:cat>
            <c:strRef>
              <c:f>CAR!$A$3:$A$32</c:f>
              <c:strCache>
                <c:ptCount val="30"/>
                <c:pt idx="0">
                  <c:v>AGRO</c:v>
                </c:pt>
                <c:pt idx="1">
                  <c:v>BABP</c:v>
                </c:pt>
                <c:pt idx="2">
                  <c:v>BACA</c:v>
                </c:pt>
                <c:pt idx="3">
                  <c:v>BBCA</c:v>
                </c:pt>
                <c:pt idx="4">
                  <c:v>BBMD</c:v>
                </c:pt>
                <c:pt idx="5">
                  <c:v>BBNI</c:v>
                </c:pt>
                <c:pt idx="6">
                  <c:v>BBRI</c:v>
                </c:pt>
                <c:pt idx="7">
                  <c:v>BBTN</c:v>
                </c:pt>
                <c:pt idx="8">
                  <c:v>BDM</c:v>
                </c:pt>
                <c:pt idx="9">
                  <c:v>BGTG</c:v>
                </c:pt>
                <c:pt idx="10">
                  <c:v>BINA</c:v>
                </c:pt>
                <c:pt idx="11">
                  <c:v>BJBR</c:v>
                </c:pt>
                <c:pt idx="12">
                  <c:v>BJTM</c:v>
                </c:pt>
                <c:pt idx="13">
                  <c:v>BMAS</c:v>
                </c:pt>
                <c:pt idx="14">
                  <c:v>BMRI</c:v>
                </c:pt>
                <c:pt idx="15">
                  <c:v>BNBA</c:v>
                </c:pt>
                <c:pt idx="16">
                  <c:v>BNGA</c:v>
                </c:pt>
                <c:pt idx="17">
                  <c:v>BNII</c:v>
                </c:pt>
                <c:pt idx="18">
                  <c:v>BNLI</c:v>
                </c:pt>
                <c:pt idx="19">
                  <c:v>BSIM</c:v>
                </c:pt>
                <c:pt idx="20">
                  <c:v>BTPN</c:v>
                </c:pt>
                <c:pt idx="21">
                  <c:v>BVIC</c:v>
                </c:pt>
                <c:pt idx="22">
                  <c:v>INPC</c:v>
                </c:pt>
                <c:pt idx="23">
                  <c:v>MASB</c:v>
                </c:pt>
                <c:pt idx="24">
                  <c:v>MAYA</c:v>
                </c:pt>
                <c:pt idx="25">
                  <c:v>MCOR</c:v>
                </c:pt>
                <c:pt idx="26">
                  <c:v>MEGA</c:v>
                </c:pt>
                <c:pt idx="27">
                  <c:v>NISP</c:v>
                </c:pt>
                <c:pt idx="28">
                  <c:v>PNBN</c:v>
                </c:pt>
                <c:pt idx="29">
                  <c:v>SDRA</c:v>
                </c:pt>
              </c:strCache>
            </c:strRef>
          </c:cat>
          <c:val>
            <c:numRef>
              <c:f>CAR!$C$3:$C$32</c:f>
              <c:numCache>
                <c:formatCode>General</c:formatCode>
                <c:ptCount val="30"/>
                <c:pt idx="0">
                  <c:v>24.33</c:v>
                </c:pt>
                <c:pt idx="1">
                  <c:v>15.75</c:v>
                </c:pt>
                <c:pt idx="2">
                  <c:v>18.11</c:v>
                </c:pt>
                <c:pt idx="3">
                  <c:v>25.8</c:v>
                </c:pt>
                <c:pt idx="4">
                  <c:v>46.49</c:v>
                </c:pt>
                <c:pt idx="5">
                  <c:v>25.1</c:v>
                </c:pt>
                <c:pt idx="6">
                  <c:v>20.61</c:v>
                </c:pt>
                <c:pt idx="7">
                  <c:v>19.34</c:v>
                </c:pt>
                <c:pt idx="8">
                  <c:v>25</c:v>
                </c:pt>
                <c:pt idx="9">
                  <c:v>37.47</c:v>
                </c:pt>
                <c:pt idx="10">
                  <c:v>40.08</c:v>
                </c:pt>
                <c:pt idx="11">
                  <c:v>17.309999999999999</c:v>
                </c:pt>
                <c:pt idx="12">
                  <c:v>21.64</c:v>
                </c:pt>
                <c:pt idx="13">
                  <c:v>16.53</c:v>
                </c:pt>
                <c:pt idx="14">
                  <c:v>19.899999999999999</c:v>
                </c:pt>
                <c:pt idx="15">
                  <c:v>25.98</c:v>
                </c:pt>
                <c:pt idx="16">
                  <c:v>21.92</c:v>
                </c:pt>
                <c:pt idx="17">
                  <c:v>24.31</c:v>
                </c:pt>
                <c:pt idx="18">
                  <c:v>35.700000000000003</c:v>
                </c:pt>
                <c:pt idx="19">
                  <c:v>17.29</c:v>
                </c:pt>
                <c:pt idx="20">
                  <c:v>25.6</c:v>
                </c:pt>
                <c:pt idx="21">
                  <c:v>16.68</c:v>
                </c:pt>
                <c:pt idx="22">
                  <c:v>16.66</c:v>
                </c:pt>
                <c:pt idx="23">
                  <c:v>19.899999999999999</c:v>
                </c:pt>
                <c:pt idx="24">
                  <c:v>15.45</c:v>
                </c:pt>
                <c:pt idx="25">
                  <c:v>35.28</c:v>
                </c:pt>
                <c:pt idx="26">
                  <c:v>31.04</c:v>
                </c:pt>
                <c:pt idx="27">
                  <c:v>20.04</c:v>
                </c:pt>
                <c:pt idx="28">
                  <c:v>29.58</c:v>
                </c:pt>
                <c:pt idx="29">
                  <c:v>19.98</c:v>
                </c:pt>
              </c:numCache>
            </c:numRef>
          </c:val>
          <c:extLst xmlns:c16r2="http://schemas.microsoft.com/office/drawing/2015/06/chart">
            <c:ext xmlns:c16="http://schemas.microsoft.com/office/drawing/2014/chart" uri="{C3380CC4-5D6E-409C-BE32-E72D297353CC}">
              <c16:uniqueId val="{00000001-1546-4EA5-9DBA-4376EB4F158B}"/>
            </c:ext>
          </c:extLst>
        </c:ser>
        <c:ser>
          <c:idx val="2"/>
          <c:order val="2"/>
          <c:tx>
            <c:strRef>
              <c:f>CAR!$D$2</c:f>
              <c:strCache>
                <c:ptCount val="1"/>
                <c:pt idx="0">
                  <c:v>2021</c:v>
                </c:pt>
              </c:strCache>
            </c:strRef>
          </c:tx>
          <c:spPr>
            <a:solidFill>
              <a:schemeClr val="accent3"/>
            </a:solidFill>
            <a:ln>
              <a:noFill/>
            </a:ln>
            <a:effectLst/>
          </c:spPr>
          <c:invertIfNegative val="0"/>
          <c:cat>
            <c:strRef>
              <c:f>CAR!$A$3:$A$32</c:f>
              <c:strCache>
                <c:ptCount val="30"/>
                <c:pt idx="0">
                  <c:v>AGRO</c:v>
                </c:pt>
                <c:pt idx="1">
                  <c:v>BABP</c:v>
                </c:pt>
                <c:pt idx="2">
                  <c:v>BACA</c:v>
                </c:pt>
                <c:pt idx="3">
                  <c:v>BBCA</c:v>
                </c:pt>
                <c:pt idx="4">
                  <c:v>BBMD</c:v>
                </c:pt>
                <c:pt idx="5">
                  <c:v>BBNI</c:v>
                </c:pt>
                <c:pt idx="6">
                  <c:v>BBRI</c:v>
                </c:pt>
                <c:pt idx="7">
                  <c:v>BBTN</c:v>
                </c:pt>
                <c:pt idx="8">
                  <c:v>BDM</c:v>
                </c:pt>
                <c:pt idx="9">
                  <c:v>BGTG</c:v>
                </c:pt>
                <c:pt idx="10">
                  <c:v>BINA</c:v>
                </c:pt>
                <c:pt idx="11">
                  <c:v>BJBR</c:v>
                </c:pt>
                <c:pt idx="12">
                  <c:v>BJTM</c:v>
                </c:pt>
                <c:pt idx="13">
                  <c:v>BMAS</c:v>
                </c:pt>
                <c:pt idx="14">
                  <c:v>BMRI</c:v>
                </c:pt>
                <c:pt idx="15">
                  <c:v>BNBA</c:v>
                </c:pt>
                <c:pt idx="16">
                  <c:v>BNGA</c:v>
                </c:pt>
                <c:pt idx="17">
                  <c:v>BNII</c:v>
                </c:pt>
                <c:pt idx="18">
                  <c:v>BNLI</c:v>
                </c:pt>
                <c:pt idx="19">
                  <c:v>BSIM</c:v>
                </c:pt>
                <c:pt idx="20">
                  <c:v>BTPN</c:v>
                </c:pt>
                <c:pt idx="21">
                  <c:v>BVIC</c:v>
                </c:pt>
                <c:pt idx="22">
                  <c:v>INPC</c:v>
                </c:pt>
                <c:pt idx="23">
                  <c:v>MASB</c:v>
                </c:pt>
                <c:pt idx="24">
                  <c:v>MAYA</c:v>
                </c:pt>
                <c:pt idx="25">
                  <c:v>MCOR</c:v>
                </c:pt>
                <c:pt idx="26">
                  <c:v>MEGA</c:v>
                </c:pt>
                <c:pt idx="27">
                  <c:v>NISP</c:v>
                </c:pt>
                <c:pt idx="28">
                  <c:v>PNBN</c:v>
                </c:pt>
                <c:pt idx="29">
                  <c:v>SDRA</c:v>
                </c:pt>
              </c:strCache>
            </c:strRef>
          </c:cat>
          <c:val>
            <c:numRef>
              <c:f>CAR!$D$3:$D$32</c:f>
              <c:numCache>
                <c:formatCode>General</c:formatCode>
                <c:ptCount val="30"/>
                <c:pt idx="0">
                  <c:v>20.239999999999998</c:v>
                </c:pt>
                <c:pt idx="1">
                  <c:v>24.31</c:v>
                </c:pt>
                <c:pt idx="2">
                  <c:v>41.28</c:v>
                </c:pt>
                <c:pt idx="3">
                  <c:v>25.7</c:v>
                </c:pt>
                <c:pt idx="4">
                  <c:v>48.12</c:v>
                </c:pt>
                <c:pt idx="5">
                  <c:v>19.7</c:v>
                </c:pt>
                <c:pt idx="6">
                  <c:v>25.28</c:v>
                </c:pt>
                <c:pt idx="7">
                  <c:v>19.14</c:v>
                </c:pt>
                <c:pt idx="8">
                  <c:v>26.7</c:v>
                </c:pt>
                <c:pt idx="9">
                  <c:v>67.78</c:v>
                </c:pt>
                <c:pt idx="10">
                  <c:v>53.14</c:v>
                </c:pt>
                <c:pt idx="11">
                  <c:v>17.78</c:v>
                </c:pt>
                <c:pt idx="12">
                  <c:v>23.52</c:v>
                </c:pt>
                <c:pt idx="13">
                  <c:v>13.69</c:v>
                </c:pt>
                <c:pt idx="14">
                  <c:v>19.600000000000001</c:v>
                </c:pt>
                <c:pt idx="15">
                  <c:v>41.87</c:v>
                </c:pt>
                <c:pt idx="16">
                  <c:v>22.68</c:v>
                </c:pt>
                <c:pt idx="17">
                  <c:v>27.1</c:v>
                </c:pt>
                <c:pt idx="18">
                  <c:v>34.9</c:v>
                </c:pt>
                <c:pt idx="19">
                  <c:v>29.12</c:v>
                </c:pt>
                <c:pt idx="20">
                  <c:v>26.2</c:v>
                </c:pt>
                <c:pt idx="21">
                  <c:v>17.489999999999998</c:v>
                </c:pt>
                <c:pt idx="22">
                  <c:v>22.36</c:v>
                </c:pt>
                <c:pt idx="23">
                  <c:v>26.42</c:v>
                </c:pt>
                <c:pt idx="24">
                  <c:v>14.37</c:v>
                </c:pt>
                <c:pt idx="25">
                  <c:v>37.96</c:v>
                </c:pt>
                <c:pt idx="26">
                  <c:v>27.3</c:v>
                </c:pt>
                <c:pt idx="27">
                  <c:v>23.05</c:v>
                </c:pt>
                <c:pt idx="28">
                  <c:v>29.86</c:v>
                </c:pt>
                <c:pt idx="29">
                  <c:v>24.48</c:v>
                </c:pt>
              </c:numCache>
            </c:numRef>
          </c:val>
          <c:extLst xmlns:c16r2="http://schemas.microsoft.com/office/drawing/2015/06/chart">
            <c:ext xmlns:c16="http://schemas.microsoft.com/office/drawing/2014/chart" uri="{C3380CC4-5D6E-409C-BE32-E72D297353CC}">
              <c16:uniqueId val="{00000002-1546-4EA5-9DBA-4376EB4F158B}"/>
            </c:ext>
          </c:extLst>
        </c:ser>
        <c:ser>
          <c:idx val="3"/>
          <c:order val="3"/>
          <c:tx>
            <c:strRef>
              <c:f>CAR!$E$2</c:f>
              <c:strCache>
                <c:ptCount val="1"/>
                <c:pt idx="0">
                  <c:v>2022</c:v>
                </c:pt>
              </c:strCache>
            </c:strRef>
          </c:tx>
          <c:spPr>
            <a:solidFill>
              <a:schemeClr val="accent4"/>
            </a:solidFill>
            <a:ln>
              <a:noFill/>
            </a:ln>
            <a:effectLst/>
          </c:spPr>
          <c:invertIfNegative val="0"/>
          <c:cat>
            <c:strRef>
              <c:f>CAR!$A$3:$A$32</c:f>
              <c:strCache>
                <c:ptCount val="30"/>
                <c:pt idx="0">
                  <c:v>AGRO</c:v>
                </c:pt>
                <c:pt idx="1">
                  <c:v>BABP</c:v>
                </c:pt>
                <c:pt idx="2">
                  <c:v>BACA</c:v>
                </c:pt>
                <c:pt idx="3">
                  <c:v>BBCA</c:v>
                </c:pt>
                <c:pt idx="4">
                  <c:v>BBMD</c:v>
                </c:pt>
                <c:pt idx="5">
                  <c:v>BBNI</c:v>
                </c:pt>
                <c:pt idx="6">
                  <c:v>BBRI</c:v>
                </c:pt>
                <c:pt idx="7">
                  <c:v>BBTN</c:v>
                </c:pt>
                <c:pt idx="8">
                  <c:v>BDM</c:v>
                </c:pt>
                <c:pt idx="9">
                  <c:v>BGTG</c:v>
                </c:pt>
                <c:pt idx="10">
                  <c:v>BINA</c:v>
                </c:pt>
                <c:pt idx="11">
                  <c:v>BJBR</c:v>
                </c:pt>
                <c:pt idx="12">
                  <c:v>BJTM</c:v>
                </c:pt>
                <c:pt idx="13">
                  <c:v>BMAS</c:v>
                </c:pt>
                <c:pt idx="14">
                  <c:v>BMRI</c:v>
                </c:pt>
                <c:pt idx="15">
                  <c:v>BNBA</c:v>
                </c:pt>
                <c:pt idx="16">
                  <c:v>BNGA</c:v>
                </c:pt>
                <c:pt idx="17">
                  <c:v>BNII</c:v>
                </c:pt>
                <c:pt idx="18">
                  <c:v>BNLI</c:v>
                </c:pt>
                <c:pt idx="19">
                  <c:v>BSIM</c:v>
                </c:pt>
                <c:pt idx="20">
                  <c:v>BTPN</c:v>
                </c:pt>
                <c:pt idx="21">
                  <c:v>BVIC</c:v>
                </c:pt>
                <c:pt idx="22">
                  <c:v>INPC</c:v>
                </c:pt>
                <c:pt idx="23">
                  <c:v>MASB</c:v>
                </c:pt>
                <c:pt idx="24">
                  <c:v>MAYA</c:v>
                </c:pt>
                <c:pt idx="25">
                  <c:v>MCOR</c:v>
                </c:pt>
                <c:pt idx="26">
                  <c:v>MEGA</c:v>
                </c:pt>
                <c:pt idx="27">
                  <c:v>NISP</c:v>
                </c:pt>
                <c:pt idx="28">
                  <c:v>PNBN</c:v>
                </c:pt>
                <c:pt idx="29">
                  <c:v>SDRA</c:v>
                </c:pt>
              </c:strCache>
            </c:strRef>
          </c:cat>
          <c:val>
            <c:numRef>
              <c:f>CAR!$E$3:$E$32</c:f>
              <c:numCache>
                <c:formatCode>General</c:formatCode>
                <c:ptCount val="30"/>
                <c:pt idx="0">
                  <c:v>43.74</c:v>
                </c:pt>
                <c:pt idx="1">
                  <c:v>23.62</c:v>
                </c:pt>
                <c:pt idx="2">
                  <c:v>53.77</c:v>
                </c:pt>
                <c:pt idx="3">
                  <c:v>25.8</c:v>
                </c:pt>
                <c:pt idx="4">
                  <c:v>44.24</c:v>
                </c:pt>
                <c:pt idx="5">
                  <c:v>19.3</c:v>
                </c:pt>
                <c:pt idx="6">
                  <c:v>23.3</c:v>
                </c:pt>
                <c:pt idx="7">
                  <c:v>20.170000000000002</c:v>
                </c:pt>
                <c:pt idx="8">
                  <c:v>26.3</c:v>
                </c:pt>
                <c:pt idx="9">
                  <c:v>106.41</c:v>
                </c:pt>
                <c:pt idx="10">
                  <c:v>31.12</c:v>
                </c:pt>
                <c:pt idx="11">
                  <c:v>19.190000000000001</c:v>
                </c:pt>
                <c:pt idx="12">
                  <c:v>24.74</c:v>
                </c:pt>
                <c:pt idx="13">
                  <c:v>31.55</c:v>
                </c:pt>
                <c:pt idx="14">
                  <c:v>19.46</c:v>
                </c:pt>
                <c:pt idx="15">
                  <c:v>59.27</c:v>
                </c:pt>
                <c:pt idx="16">
                  <c:v>22.19</c:v>
                </c:pt>
                <c:pt idx="17">
                  <c:v>26.65</c:v>
                </c:pt>
                <c:pt idx="18">
                  <c:v>34.200000000000003</c:v>
                </c:pt>
                <c:pt idx="19">
                  <c:v>29.49</c:v>
                </c:pt>
                <c:pt idx="20">
                  <c:v>27.3</c:v>
                </c:pt>
                <c:pt idx="21">
                  <c:v>21.97</c:v>
                </c:pt>
                <c:pt idx="22">
                  <c:v>23.82</c:v>
                </c:pt>
                <c:pt idx="23">
                  <c:v>28.52</c:v>
                </c:pt>
                <c:pt idx="24">
                  <c:v>11.13</c:v>
                </c:pt>
                <c:pt idx="25">
                  <c:v>32.729999999999997</c:v>
                </c:pt>
                <c:pt idx="26">
                  <c:v>25.41</c:v>
                </c:pt>
                <c:pt idx="27">
                  <c:v>21.53</c:v>
                </c:pt>
                <c:pt idx="28">
                  <c:v>30.07</c:v>
                </c:pt>
                <c:pt idx="29">
                  <c:v>23.66</c:v>
                </c:pt>
              </c:numCache>
            </c:numRef>
          </c:val>
          <c:extLst xmlns:c16r2="http://schemas.microsoft.com/office/drawing/2015/06/chart">
            <c:ext xmlns:c16="http://schemas.microsoft.com/office/drawing/2014/chart" uri="{C3380CC4-5D6E-409C-BE32-E72D297353CC}">
              <c16:uniqueId val="{00000003-1546-4EA5-9DBA-4376EB4F158B}"/>
            </c:ext>
          </c:extLst>
        </c:ser>
        <c:ser>
          <c:idx val="4"/>
          <c:order val="4"/>
          <c:tx>
            <c:strRef>
              <c:f>CAR!$F$2</c:f>
              <c:strCache>
                <c:ptCount val="1"/>
                <c:pt idx="0">
                  <c:v>2023</c:v>
                </c:pt>
              </c:strCache>
            </c:strRef>
          </c:tx>
          <c:spPr>
            <a:solidFill>
              <a:schemeClr val="accent5"/>
            </a:solidFill>
            <a:ln>
              <a:noFill/>
            </a:ln>
            <a:effectLst/>
          </c:spPr>
          <c:invertIfNegative val="0"/>
          <c:cat>
            <c:strRef>
              <c:f>CAR!$A$3:$A$32</c:f>
              <c:strCache>
                <c:ptCount val="30"/>
                <c:pt idx="0">
                  <c:v>AGRO</c:v>
                </c:pt>
                <c:pt idx="1">
                  <c:v>BABP</c:v>
                </c:pt>
                <c:pt idx="2">
                  <c:v>BACA</c:v>
                </c:pt>
                <c:pt idx="3">
                  <c:v>BBCA</c:v>
                </c:pt>
                <c:pt idx="4">
                  <c:v>BBMD</c:v>
                </c:pt>
                <c:pt idx="5">
                  <c:v>BBNI</c:v>
                </c:pt>
                <c:pt idx="6">
                  <c:v>BBRI</c:v>
                </c:pt>
                <c:pt idx="7">
                  <c:v>BBTN</c:v>
                </c:pt>
                <c:pt idx="8">
                  <c:v>BDM</c:v>
                </c:pt>
                <c:pt idx="9">
                  <c:v>BGTG</c:v>
                </c:pt>
                <c:pt idx="10">
                  <c:v>BINA</c:v>
                </c:pt>
                <c:pt idx="11">
                  <c:v>BJBR</c:v>
                </c:pt>
                <c:pt idx="12">
                  <c:v>BJTM</c:v>
                </c:pt>
                <c:pt idx="13">
                  <c:v>BMAS</c:v>
                </c:pt>
                <c:pt idx="14">
                  <c:v>BMRI</c:v>
                </c:pt>
                <c:pt idx="15">
                  <c:v>BNBA</c:v>
                </c:pt>
                <c:pt idx="16">
                  <c:v>BNGA</c:v>
                </c:pt>
                <c:pt idx="17">
                  <c:v>BNII</c:v>
                </c:pt>
                <c:pt idx="18">
                  <c:v>BNLI</c:v>
                </c:pt>
                <c:pt idx="19">
                  <c:v>BSIM</c:v>
                </c:pt>
                <c:pt idx="20">
                  <c:v>BTPN</c:v>
                </c:pt>
                <c:pt idx="21">
                  <c:v>BVIC</c:v>
                </c:pt>
                <c:pt idx="22">
                  <c:v>INPC</c:v>
                </c:pt>
                <c:pt idx="23">
                  <c:v>MASB</c:v>
                </c:pt>
                <c:pt idx="24">
                  <c:v>MAYA</c:v>
                </c:pt>
                <c:pt idx="25">
                  <c:v>MCOR</c:v>
                </c:pt>
                <c:pt idx="26">
                  <c:v>MEGA</c:v>
                </c:pt>
                <c:pt idx="27">
                  <c:v>NISP</c:v>
                </c:pt>
                <c:pt idx="28">
                  <c:v>PNBN</c:v>
                </c:pt>
                <c:pt idx="29">
                  <c:v>SDRA</c:v>
                </c:pt>
              </c:strCache>
            </c:strRef>
          </c:cat>
          <c:val>
            <c:numRef>
              <c:f>CAR!$F$3:$F$32</c:f>
              <c:numCache>
                <c:formatCode>General</c:formatCode>
                <c:ptCount val="30"/>
                <c:pt idx="0">
                  <c:v>43.84</c:v>
                </c:pt>
                <c:pt idx="1">
                  <c:v>31</c:v>
                </c:pt>
                <c:pt idx="2">
                  <c:v>35.57</c:v>
                </c:pt>
                <c:pt idx="3">
                  <c:v>29.4</c:v>
                </c:pt>
                <c:pt idx="4">
                  <c:v>49.93</c:v>
                </c:pt>
                <c:pt idx="5">
                  <c:v>21.9</c:v>
                </c:pt>
                <c:pt idx="6">
                  <c:v>25.23</c:v>
                </c:pt>
                <c:pt idx="7">
                  <c:v>20.16</c:v>
                </c:pt>
                <c:pt idx="8">
                  <c:v>27.5</c:v>
                </c:pt>
                <c:pt idx="9">
                  <c:v>94.67</c:v>
                </c:pt>
                <c:pt idx="10">
                  <c:v>26.1</c:v>
                </c:pt>
                <c:pt idx="11">
                  <c:v>20.05</c:v>
                </c:pt>
                <c:pt idx="12">
                  <c:v>25.71</c:v>
                </c:pt>
                <c:pt idx="13">
                  <c:v>50.12</c:v>
                </c:pt>
                <c:pt idx="14">
                  <c:v>21.48</c:v>
                </c:pt>
                <c:pt idx="15">
                  <c:v>72.87</c:v>
                </c:pt>
                <c:pt idx="16">
                  <c:v>24.02</c:v>
                </c:pt>
                <c:pt idx="17">
                  <c:v>27.74</c:v>
                </c:pt>
                <c:pt idx="18">
                  <c:v>38.700000000000003</c:v>
                </c:pt>
                <c:pt idx="19">
                  <c:v>25.34</c:v>
                </c:pt>
                <c:pt idx="20">
                  <c:v>29.9</c:v>
                </c:pt>
                <c:pt idx="21">
                  <c:v>19.95</c:v>
                </c:pt>
                <c:pt idx="22">
                  <c:v>25.48</c:v>
                </c:pt>
                <c:pt idx="23">
                  <c:v>27.2</c:v>
                </c:pt>
                <c:pt idx="24">
                  <c:v>10.78</c:v>
                </c:pt>
                <c:pt idx="25">
                  <c:v>37.450000000000003</c:v>
                </c:pt>
                <c:pt idx="26">
                  <c:v>26.17</c:v>
                </c:pt>
                <c:pt idx="27">
                  <c:v>23.69</c:v>
                </c:pt>
                <c:pt idx="28">
                  <c:v>32.4</c:v>
                </c:pt>
                <c:pt idx="29">
                  <c:v>23.88</c:v>
                </c:pt>
              </c:numCache>
            </c:numRef>
          </c:val>
          <c:extLst xmlns:c16r2="http://schemas.microsoft.com/office/drawing/2015/06/chart">
            <c:ext xmlns:c16="http://schemas.microsoft.com/office/drawing/2014/chart" uri="{C3380CC4-5D6E-409C-BE32-E72D297353CC}">
              <c16:uniqueId val="{00000004-1546-4EA5-9DBA-4376EB4F158B}"/>
            </c:ext>
          </c:extLst>
        </c:ser>
        <c:dLbls>
          <c:showLegendKey val="0"/>
          <c:showVal val="0"/>
          <c:showCatName val="0"/>
          <c:showSerName val="0"/>
          <c:showPercent val="0"/>
          <c:showBubbleSize val="0"/>
        </c:dLbls>
        <c:gapWidth val="219"/>
        <c:overlap val="-27"/>
        <c:axId val="385208472"/>
        <c:axId val="385209256"/>
      </c:barChart>
      <c:catAx>
        <c:axId val="385208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5209256"/>
        <c:crosses val="autoZero"/>
        <c:auto val="1"/>
        <c:lblAlgn val="ctr"/>
        <c:lblOffset val="100"/>
        <c:noMultiLvlLbl val="0"/>
      </c:catAx>
      <c:valAx>
        <c:axId val="385209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5208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Non</a:t>
            </a:r>
            <a:r>
              <a:rPr lang="en-US" baseline="0"/>
              <a:t> Performing Loan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NPL!$B$2</c:f>
              <c:strCache>
                <c:ptCount val="1"/>
                <c:pt idx="0">
                  <c:v>2019</c:v>
                </c:pt>
              </c:strCache>
            </c:strRef>
          </c:tx>
          <c:spPr>
            <a:solidFill>
              <a:schemeClr val="accent1"/>
            </a:solidFill>
            <a:ln>
              <a:noFill/>
            </a:ln>
            <a:effectLst/>
          </c:spPr>
          <c:invertIfNegative val="0"/>
          <c:cat>
            <c:strRef>
              <c:f>NPL!$A$3:$A$32</c:f>
              <c:strCache>
                <c:ptCount val="30"/>
                <c:pt idx="0">
                  <c:v>AGRO</c:v>
                </c:pt>
                <c:pt idx="1">
                  <c:v>BABP</c:v>
                </c:pt>
                <c:pt idx="2">
                  <c:v>BACA</c:v>
                </c:pt>
                <c:pt idx="3">
                  <c:v>BBCA</c:v>
                </c:pt>
                <c:pt idx="4">
                  <c:v>BBMD</c:v>
                </c:pt>
                <c:pt idx="5">
                  <c:v>BBNI</c:v>
                </c:pt>
                <c:pt idx="6">
                  <c:v>BBRI</c:v>
                </c:pt>
                <c:pt idx="7">
                  <c:v>BBTN</c:v>
                </c:pt>
                <c:pt idx="8">
                  <c:v>BDM</c:v>
                </c:pt>
                <c:pt idx="9">
                  <c:v>BGTG</c:v>
                </c:pt>
                <c:pt idx="10">
                  <c:v>BINA</c:v>
                </c:pt>
                <c:pt idx="11">
                  <c:v>BJBR</c:v>
                </c:pt>
                <c:pt idx="12">
                  <c:v>BJTM</c:v>
                </c:pt>
                <c:pt idx="13">
                  <c:v>BMAS</c:v>
                </c:pt>
                <c:pt idx="14">
                  <c:v>BMRI</c:v>
                </c:pt>
                <c:pt idx="15">
                  <c:v>BNBA</c:v>
                </c:pt>
                <c:pt idx="16">
                  <c:v>BNGA</c:v>
                </c:pt>
                <c:pt idx="17">
                  <c:v>BNII</c:v>
                </c:pt>
                <c:pt idx="18">
                  <c:v>BNLI</c:v>
                </c:pt>
                <c:pt idx="19">
                  <c:v>BSIM</c:v>
                </c:pt>
                <c:pt idx="20">
                  <c:v>BTPN</c:v>
                </c:pt>
                <c:pt idx="21">
                  <c:v>BVIC</c:v>
                </c:pt>
                <c:pt idx="22">
                  <c:v>INPC</c:v>
                </c:pt>
                <c:pt idx="23">
                  <c:v>MASB</c:v>
                </c:pt>
                <c:pt idx="24">
                  <c:v>MAYA</c:v>
                </c:pt>
                <c:pt idx="25">
                  <c:v>MCOR</c:v>
                </c:pt>
                <c:pt idx="26">
                  <c:v>MEGA</c:v>
                </c:pt>
                <c:pt idx="27">
                  <c:v>NISP</c:v>
                </c:pt>
                <c:pt idx="28">
                  <c:v>PNBN</c:v>
                </c:pt>
                <c:pt idx="29">
                  <c:v>SDRA</c:v>
                </c:pt>
              </c:strCache>
            </c:strRef>
          </c:cat>
          <c:val>
            <c:numRef>
              <c:f>NPL!$B$3:$B$32</c:f>
              <c:numCache>
                <c:formatCode>General</c:formatCode>
                <c:ptCount val="30"/>
                <c:pt idx="0">
                  <c:v>7.66</c:v>
                </c:pt>
                <c:pt idx="1">
                  <c:v>5.78</c:v>
                </c:pt>
                <c:pt idx="2">
                  <c:v>3.01</c:v>
                </c:pt>
                <c:pt idx="3">
                  <c:v>1.3</c:v>
                </c:pt>
                <c:pt idx="4">
                  <c:v>2.2599999999999998</c:v>
                </c:pt>
                <c:pt idx="5">
                  <c:v>2.2999999999999998</c:v>
                </c:pt>
                <c:pt idx="6">
                  <c:v>2.62</c:v>
                </c:pt>
                <c:pt idx="7">
                  <c:v>4.78</c:v>
                </c:pt>
                <c:pt idx="8">
                  <c:v>3</c:v>
                </c:pt>
                <c:pt idx="9">
                  <c:v>2.2799999999999998</c:v>
                </c:pt>
                <c:pt idx="10">
                  <c:v>4.76</c:v>
                </c:pt>
                <c:pt idx="11">
                  <c:v>1.58</c:v>
                </c:pt>
                <c:pt idx="12">
                  <c:v>2.77</c:v>
                </c:pt>
                <c:pt idx="13">
                  <c:v>2.34</c:v>
                </c:pt>
                <c:pt idx="14">
                  <c:v>2.39</c:v>
                </c:pt>
                <c:pt idx="15">
                  <c:v>1.53</c:v>
                </c:pt>
                <c:pt idx="16">
                  <c:v>2.79</c:v>
                </c:pt>
                <c:pt idx="17">
                  <c:v>3.33</c:v>
                </c:pt>
                <c:pt idx="18">
                  <c:v>2.8</c:v>
                </c:pt>
                <c:pt idx="19">
                  <c:v>7.89</c:v>
                </c:pt>
                <c:pt idx="20">
                  <c:v>0.8</c:v>
                </c:pt>
                <c:pt idx="21">
                  <c:v>6.77</c:v>
                </c:pt>
                <c:pt idx="22">
                  <c:v>5.71</c:v>
                </c:pt>
                <c:pt idx="23">
                  <c:v>4.1500000000000004</c:v>
                </c:pt>
                <c:pt idx="24">
                  <c:v>3.85</c:v>
                </c:pt>
                <c:pt idx="25">
                  <c:v>2.52</c:v>
                </c:pt>
                <c:pt idx="26">
                  <c:v>2.46</c:v>
                </c:pt>
                <c:pt idx="27">
                  <c:v>1.72</c:v>
                </c:pt>
                <c:pt idx="28">
                  <c:v>3.02</c:v>
                </c:pt>
                <c:pt idx="29">
                  <c:v>1.64</c:v>
                </c:pt>
              </c:numCache>
            </c:numRef>
          </c:val>
          <c:extLst xmlns:c16r2="http://schemas.microsoft.com/office/drawing/2015/06/chart">
            <c:ext xmlns:c16="http://schemas.microsoft.com/office/drawing/2014/chart" uri="{C3380CC4-5D6E-409C-BE32-E72D297353CC}">
              <c16:uniqueId val="{00000000-E9E1-4F4B-9D7E-3104FF5D0930}"/>
            </c:ext>
          </c:extLst>
        </c:ser>
        <c:ser>
          <c:idx val="1"/>
          <c:order val="1"/>
          <c:tx>
            <c:strRef>
              <c:f>NPL!$C$2</c:f>
              <c:strCache>
                <c:ptCount val="1"/>
                <c:pt idx="0">
                  <c:v>2020</c:v>
                </c:pt>
              </c:strCache>
            </c:strRef>
          </c:tx>
          <c:spPr>
            <a:solidFill>
              <a:schemeClr val="accent2"/>
            </a:solidFill>
            <a:ln>
              <a:noFill/>
            </a:ln>
            <a:effectLst/>
          </c:spPr>
          <c:invertIfNegative val="0"/>
          <c:cat>
            <c:strRef>
              <c:f>NPL!$A$3:$A$32</c:f>
              <c:strCache>
                <c:ptCount val="30"/>
                <c:pt idx="0">
                  <c:v>AGRO</c:v>
                </c:pt>
                <c:pt idx="1">
                  <c:v>BABP</c:v>
                </c:pt>
                <c:pt idx="2">
                  <c:v>BACA</c:v>
                </c:pt>
                <c:pt idx="3">
                  <c:v>BBCA</c:v>
                </c:pt>
                <c:pt idx="4">
                  <c:v>BBMD</c:v>
                </c:pt>
                <c:pt idx="5">
                  <c:v>BBNI</c:v>
                </c:pt>
                <c:pt idx="6">
                  <c:v>BBRI</c:v>
                </c:pt>
                <c:pt idx="7">
                  <c:v>BBTN</c:v>
                </c:pt>
                <c:pt idx="8">
                  <c:v>BDM</c:v>
                </c:pt>
                <c:pt idx="9">
                  <c:v>BGTG</c:v>
                </c:pt>
                <c:pt idx="10">
                  <c:v>BINA</c:v>
                </c:pt>
                <c:pt idx="11">
                  <c:v>BJBR</c:v>
                </c:pt>
                <c:pt idx="12">
                  <c:v>BJTM</c:v>
                </c:pt>
                <c:pt idx="13">
                  <c:v>BMAS</c:v>
                </c:pt>
                <c:pt idx="14">
                  <c:v>BMRI</c:v>
                </c:pt>
                <c:pt idx="15">
                  <c:v>BNBA</c:v>
                </c:pt>
                <c:pt idx="16">
                  <c:v>BNGA</c:v>
                </c:pt>
                <c:pt idx="17">
                  <c:v>BNII</c:v>
                </c:pt>
                <c:pt idx="18">
                  <c:v>BNLI</c:v>
                </c:pt>
                <c:pt idx="19">
                  <c:v>BSIM</c:v>
                </c:pt>
                <c:pt idx="20">
                  <c:v>BTPN</c:v>
                </c:pt>
                <c:pt idx="21">
                  <c:v>BVIC</c:v>
                </c:pt>
                <c:pt idx="22">
                  <c:v>INPC</c:v>
                </c:pt>
                <c:pt idx="23">
                  <c:v>MASB</c:v>
                </c:pt>
                <c:pt idx="24">
                  <c:v>MAYA</c:v>
                </c:pt>
                <c:pt idx="25">
                  <c:v>MCOR</c:v>
                </c:pt>
                <c:pt idx="26">
                  <c:v>MEGA</c:v>
                </c:pt>
                <c:pt idx="27">
                  <c:v>NISP</c:v>
                </c:pt>
                <c:pt idx="28">
                  <c:v>PNBN</c:v>
                </c:pt>
                <c:pt idx="29">
                  <c:v>SDRA</c:v>
                </c:pt>
              </c:strCache>
            </c:strRef>
          </c:cat>
          <c:val>
            <c:numRef>
              <c:f>NPL!$C$3:$C$32</c:f>
              <c:numCache>
                <c:formatCode>General</c:formatCode>
                <c:ptCount val="30"/>
                <c:pt idx="0">
                  <c:v>4.97</c:v>
                </c:pt>
                <c:pt idx="1">
                  <c:v>5.69</c:v>
                </c:pt>
                <c:pt idx="2">
                  <c:v>0</c:v>
                </c:pt>
                <c:pt idx="3">
                  <c:v>1.8</c:v>
                </c:pt>
                <c:pt idx="4">
                  <c:v>1.69</c:v>
                </c:pt>
                <c:pt idx="5">
                  <c:v>4.3</c:v>
                </c:pt>
                <c:pt idx="6">
                  <c:v>2.94</c:v>
                </c:pt>
                <c:pt idx="7">
                  <c:v>4.37</c:v>
                </c:pt>
                <c:pt idx="8">
                  <c:v>2.8</c:v>
                </c:pt>
                <c:pt idx="9">
                  <c:v>5.49</c:v>
                </c:pt>
                <c:pt idx="10">
                  <c:v>1.43</c:v>
                </c:pt>
                <c:pt idx="11">
                  <c:v>1.4</c:v>
                </c:pt>
                <c:pt idx="12">
                  <c:v>4</c:v>
                </c:pt>
                <c:pt idx="13">
                  <c:v>1.93</c:v>
                </c:pt>
                <c:pt idx="14">
                  <c:v>3.29</c:v>
                </c:pt>
                <c:pt idx="15">
                  <c:v>2.63</c:v>
                </c:pt>
                <c:pt idx="16">
                  <c:v>3.62</c:v>
                </c:pt>
                <c:pt idx="17">
                  <c:v>4</c:v>
                </c:pt>
                <c:pt idx="18">
                  <c:v>2.9</c:v>
                </c:pt>
                <c:pt idx="19">
                  <c:v>4.75</c:v>
                </c:pt>
                <c:pt idx="20">
                  <c:v>1.2</c:v>
                </c:pt>
                <c:pt idx="21">
                  <c:v>7.58</c:v>
                </c:pt>
                <c:pt idx="22">
                  <c:v>4.58</c:v>
                </c:pt>
                <c:pt idx="23">
                  <c:v>3.66</c:v>
                </c:pt>
                <c:pt idx="24">
                  <c:v>4.09</c:v>
                </c:pt>
                <c:pt idx="25">
                  <c:v>2.94</c:v>
                </c:pt>
                <c:pt idx="26">
                  <c:v>1.39</c:v>
                </c:pt>
                <c:pt idx="27">
                  <c:v>1.93</c:v>
                </c:pt>
                <c:pt idx="28">
                  <c:v>3.01</c:v>
                </c:pt>
                <c:pt idx="29">
                  <c:v>1.1200000000000001</c:v>
                </c:pt>
              </c:numCache>
            </c:numRef>
          </c:val>
          <c:extLst xmlns:c16r2="http://schemas.microsoft.com/office/drawing/2015/06/chart">
            <c:ext xmlns:c16="http://schemas.microsoft.com/office/drawing/2014/chart" uri="{C3380CC4-5D6E-409C-BE32-E72D297353CC}">
              <c16:uniqueId val="{00000001-E9E1-4F4B-9D7E-3104FF5D0930}"/>
            </c:ext>
          </c:extLst>
        </c:ser>
        <c:ser>
          <c:idx val="2"/>
          <c:order val="2"/>
          <c:tx>
            <c:strRef>
              <c:f>NPL!$D$2</c:f>
              <c:strCache>
                <c:ptCount val="1"/>
                <c:pt idx="0">
                  <c:v>2021</c:v>
                </c:pt>
              </c:strCache>
            </c:strRef>
          </c:tx>
          <c:spPr>
            <a:solidFill>
              <a:schemeClr val="accent3"/>
            </a:solidFill>
            <a:ln>
              <a:noFill/>
            </a:ln>
            <a:effectLst/>
          </c:spPr>
          <c:invertIfNegative val="0"/>
          <c:cat>
            <c:strRef>
              <c:f>NPL!$A$3:$A$32</c:f>
              <c:strCache>
                <c:ptCount val="30"/>
                <c:pt idx="0">
                  <c:v>AGRO</c:v>
                </c:pt>
                <c:pt idx="1">
                  <c:v>BABP</c:v>
                </c:pt>
                <c:pt idx="2">
                  <c:v>BACA</c:v>
                </c:pt>
                <c:pt idx="3">
                  <c:v>BBCA</c:v>
                </c:pt>
                <c:pt idx="4">
                  <c:v>BBMD</c:v>
                </c:pt>
                <c:pt idx="5">
                  <c:v>BBNI</c:v>
                </c:pt>
                <c:pt idx="6">
                  <c:v>BBRI</c:v>
                </c:pt>
                <c:pt idx="7">
                  <c:v>BBTN</c:v>
                </c:pt>
                <c:pt idx="8">
                  <c:v>BDM</c:v>
                </c:pt>
                <c:pt idx="9">
                  <c:v>BGTG</c:v>
                </c:pt>
                <c:pt idx="10">
                  <c:v>BINA</c:v>
                </c:pt>
                <c:pt idx="11">
                  <c:v>BJBR</c:v>
                </c:pt>
                <c:pt idx="12">
                  <c:v>BJTM</c:v>
                </c:pt>
                <c:pt idx="13">
                  <c:v>BMAS</c:v>
                </c:pt>
                <c:pt idx="14">
                  <c:v>BMRI</c:v>
                </c:pt>
                <c:pt idx="15">
                  <c:v>BNBA</c:v>
                </c:pt>
                <c:pt idx="16">
                  <c:v>BNGA</c:v>
                </c:pt>
                <c:pt idx="17">
                  <c:v>BNII</c:v>
                </c:pt>
                <c:pt idx="18">
                  <c:v>BNLI</c:v>
                </c:pt>
                <c:pt idx="19">
                  <c:v>BSIM</c:v>
                </c:pt>
                <c:pt idx="20">
                  <c:v>BTPN</c:v>
                </c:pt>
                <c:pt idx="21">
                  <c:v>BVIC</c:v>
                </c:pt>
                <c:pt idx="22">
                  <c:v>INPC</c:v>
                </c:pt>
                <c:pt idx="23">
                  <c:v>MASB</c:v>
                </c:pt>
                <c:pt idx="24">
                  <c:v>MAYA</c:v>
                </c:pt>
                <c:pt idx="25">
                  <c:v>MCOR</c:v>
                </c:pt>
                <c:pt idx="26">
                  <c:v>MEGA</c:v>
                </c:pt>
                <c:pt idx="27">
                  <c:v>NISP</c:v>
                </c:pt>
                <c:pt idx="28">
                  <c:v>PNBN</c:v>
                </c:pt>
                <c:pt idx="29">
                  <c:v>SDRA</c:v>
                </c:pt>
              </c:strCache>
            </c:strRef>
          </c:cat>
          <c:val>
            <c:numRef>
              <c:f>NPL!$D$3:$D$32</c:f>
              <c:numCache>
                <c:formatCode>General</c:formatCode>
                <c:ptCount val="30"/>
                <c:pt idx="0">
                  <c:v>3.98</c:v>
                </c:pt>
                <c:pt idx="1">
                  <c:v>4.42</c:v>
                </c:pt>
                <c:pt idx="2">
                  <c:v>0</c:v>
                </c:pt>
                <c:pt idx="3">
                  <c:v>2.2000000000000002</c:v>
                </c:pt>
                <c:pt idx="4">
                  <c:v>1.18</c:v>
                </c:pt>
                <c:pt idx="5">
                  <c:v>3.7</c:v>
                </c:pt>
                <c:pt idx="6">
                  <c:v>3.08</c:v>
                </c:pt>
                <c:pt idx="7">
                  <c:v>3.7</c:v>
                </c:pt>
                <c:pt idx="8">
                  <c:v>2.7</c:v>
                </c:pt>
                <c:pt idx="9">
                  <c:v>5.13</c:v>
                </c:pt>
                <c:pt idx="10">
                  <c:v>2.62</c:v>
                </c:pt>
                <c:pt idx="11">
                  <c:v>1.24</c:v>
                </c:pt>
                <c:pt idx="12">
                  <c:v>4.4800000000000004</c:v>
                </c:pt>
                <c:pt idx="13">
                  <c:v>1.67</c:v>
                </c:pt>
                <c:pt idx="14">
                  <c:v>2.81</c:v>
                </c:pt>
                <c:pt idx="15">
                  <c:v>3.04</c:v>
                </c:pt>
                <c:pt idx="16">
                  <c:v>3.46</c:v>
                </c:pt>
                <c:pt idx="17">
                  <c:v>3.69</c:v>
                </c:pt>
                <c:pt idx="18">
                  <c:v>3.2</c:v>
                </c:pt>
                <c:pt idx="19">
                  <c:v>4.6399999999999997</c:v>
                </c:pt>
                <c:pt idx="20">
                  <c:v>1.7</c:v>
                </c:pt>
                <c:pt idx="21">
                  <c:v>7.27</c:v>
                </c:pt>
                <c:pt idx="22">
                  <c:v>3.39</c:v>
                </c:pt>
                <c:pt idx="23">
                  <c:v>2.48</c:v>
                </c:pt>
                <c:pt idx="24">
                  <c:v>3.93</c:v>
                </c:pt>
                <c:pt idx="25">
                  <c:v>4.3899999999999997</c:v>
                </c:pt>
                <c:pt idx="26">
                  <c:v>1.1200000000000001</c:v>
                </c:pt>
                <c:pt idx="27">
                  <c:v>2.36</c:v>
                </c:pt>
                <c:pt idx="28">
                  <c:v>3.54</c:v>
                </c:pt>
                <c:pt idx="29">
                  <c:v>0.93</c:v>
                </c:pt>
              </c:numCache>
            </c:numRef>
          </c:val>
          <c:extLst xmlns:c16r2="http://schemas.microsoft.com/office/drawing/2015/06/chart">
            <c:ext xmlns:c16="http://schemas.microsoft.com/office/drawing/2014/chart" uri="{C3380CC4-5D6E-409C-BE32-E72D297353CC}">
              <c16:uniqueId val="{00000002-E9E1-4F4B-9D7E-3104FF5D0930}"/>
            </c:ext>
          </c:extLst>
        </c:ser>
        <c:ser>
          <c:idx val="3"/>
          <c:order val="3"/>
          <c:tx>
            <c:strRef>
              <c:f>NPL!$E$2</c:f>
              <c:strCache>
                <c:ptCount val="1"/>
                <c:pt idx="0">
                  <c:v>2022</c:v>
                </c:pt>
              </c:strCache>
            </c:strRef>
          </c:tx>
          <c:spPr>
            <a:solidFill>
              <a:schemeClr val="accent4"/>
            </a:solidFill>
            <a:ln>
              <a:noFill/>
            </a:ln>
            <a:effectLst/>
          </c:spPr>
          <c:invertIfNegative val="0"/>
          <c:cat>
            <c:strRef>
              <c:f>NPL!$A$3:$A$32</c:f>
              <c:strCache>
                <c:ptCount val="30"/>
                <c:pt idx="0">
                  <c:v>AGRO</c:v>
                </c:pt>
                <c:pt idx="1">
                  <c:v>BABP</c:v>
                </c:pt>
                <c:pt idx="2">
                  <c:v>BACA</c:v>
                </c:pt>
                <c:pt idx="3">
                  <c:v>BBCA</c:v>
                </c:pt>
                <c:pt idx="4">
                  <c:v>BBMD</c:v>
                </c:pt>
                <c:pt idx="5">
                  <c:v>BBNI</c:v>
                </c:pt>
                <c:pt idx="6">
                  <c:v>BBRI</c:v>
                </c:pt>
                <c:pt idx="7">
                  <c:v>BBTN</c:v>
                </c:pt>
                <c:pt idx="8">
                  <c:v>BDM</c:v>
                </c:pt>
                <c:pt idx="9">
                  <c:v>BGTG</c:v>
                </c:pt>
                <c:pt idx="10">
                  <c:v>BINA</c:v>
                </c:pt>
                <c:pt idx="11">
                  <c:v>BJBR</c:v>
                </c:pt>
                <c:pt idx="12">
                  <c:v>BJTM</c:v>
                </c:pt>
                <c:pt idx="13">
                  <c:v>BMAS</c:v>
                </c:pt>
                <c:pt idx="14">
                  <c:v>BMRI</c:v>
                </c:pt>
                <c:pt idx="15">
                  <c:v>BNBA</c:v>
                </c:pt>
                <c:pt idx="16">
                  <c:v>BNGA</c:v>
                </c:pt>
                <c:pt idx="17">
                  <c:v>BNII</c:v>
                </c:pt>
                <c:pt idx="18">
                  <c:v>BNLI</c:v>
                </c:pt>
                <c:pt idx="19">
                  <c:v>BSIM</c:v>
                </c:pt>
                <c:pt idx="20">
                  <c:v>BTPN</c:v>
                </c:pt>
                <c:pt idx="21">
                  <c:v>BVIC</c:v>
                </c:pt>
                <c:pt idx="22">
                  <c:v>INPC</c:v>
                </c:pt>
                <c:pt idx="23">
                  <c:v>MASB</c:v>
                </c:pt>
                <c:pt idx="24">
                  <c:v>MAYA</c:v>
                </c:pt>
                <c:pt idx="25">
                  <c:v>MCOR</c:v>
                </c:pt>
                <c:pt idx="26">
                  <c:v>MEGA</c:v>
                </c:pt>
                <c:pt idx="27">
                  <c:v>NISP</c:v>
                </c:pt>
                <c:pt idx="28">
                  <c:v>PNBN</c:v>
                </c:pt>
                <c:pt idx="29">
                  <c:v>SDRA</c:v>
                </c:pt>
              </c:strCache>
            </c:strRef>
          </c:cat>
          <c:val>
            <c:numRef>
              <c:f>NPL!$E$3:$E$32</c:f>
              <c:numCache>
                <c:formatCode>General</c:formatCode>
                <c:ptCount val="30"/>
                <c:pt idx="0">
                  <c:v>2.9</c:v>
                </c:pt>
                <c:pt idx="1">
                  <c:v>3.53</c:v>
                </c:pt>
                <c:pt idx="2">
                  <c:v>0.17</c:v>
                </c:pt>
                <c:pt idx="3">
                  <c:v>1.7</c:v>
                </c:pt>
                <c:pt idx="4">
                  <c:v>1.26</c:v>
                </c:pt>
                <c:pt idx="5">
                  <c:v>2.8</c:v>
                </c:pt>
                <c:pt idx="6">
                  <c:v>2.82</c:v>
                </c:pt>
                <c:pt idx="7">
                  <c:v>3.38</c:v>
                </c:pt>
                <c:pt idx="8">
                  <c:v>2.6</c:v>
                </c:pt>
                <c:pt idx="9">
                  <c:v>2.0099999999999998</c:v>
                </c:pt>
                <c:pt idx="10">
                  <c:v>1.73</c:v>
                </c:pt>
                <c:pt idx="11">
                  <c:v>1.1599999999999999</c:v>
                </c:pt>
                <c:pt idx="12">
                  <c:v>2.83</c:v>
                </c:pt>
                <c:pt idx="13">
                  <c:v>1.21</c:v>
                </c:pt>
                <c:pt idx="14">
                  <c:v>1.88</c:v>
                </c:pt>
                <c:pt idx="15">
                  <c:v>4.5599999999999996</c:v>
                </c:pt>
                <c:pt idx="16">
                  <c:v>2.8</c:v>
                </c:pt>
                <c:pt idx="17">
                  <c:v>3.46</c:v>
                </c:pt>
                <c:pt idx="18">
                  <c:v>3.1</c:v>
                </c:pt>
                <c:pt idx="19">
                  <c:v>7.99</c:v>
                </c:pt>
                <c:pt idx="20">
                  <c:v>1.4</c:v>
                </c:pt>
                <c:pt idx="21">
                  <c:v>4.2300000000000004</c:v>
                </c:pt>
                <c:pt idx="22">
                  <c:v>2.73</c:v>
                </c:pt>
                <c:pt idx="23">
                  <c:v>3.09</c:v>
                </c:pt>
                <c:pt idx="24">
                  <c:v>4.7</c:v>
                </c:pt>
                <c:pt idx="25">
                  <c:v>3.4</c:v>
                </c:pt>
                <c:pt idx="26">
                  <c:v>1.23</c:v>
                </c:pt>
                <c:pt idx="27">
                  <c:v>2.42</c:v>
                </c:pt>
                <c:pt idx="28">
                  <c:v>3.53</c:v>
                </c:pt>
                <c:pt idx="29">
                  <c:v>1.05</c:v>
                </c:pt>
              </c:numCache>
            </c:numRef>
          </c:val>
          <c:extLst xmlns:c16r2="http://schemas.microsoft.com/office/drawing/2015/06/chart">
            <c:ext xmlns:c16="http://schemas.microsoft.com/office/drawing/2014/chart" uri="{C3380CC4-5D6E-409C-BE32-E72D297353CC}">
              <c16:uniqueId val="{00000003-E9E1-4F4B-9D7E-3104FF5D0930}"/>
            </c:ext>
          </c:extLst>
        </c:ser>
        <c:ser>
          <c:idx val="4"/>
          <c:order val="4"/>
          <c:tx>
            <c:strRef>
              <c:f>NPL!$F$2</c:f>
              <c:strCache>
                <c:ptCount val="1"/>
                <c:pt idx="0">
                  <c:v>2023</c:v>
                </c:pt>
              </c:strCache>
            </c:strRef>
          </c:tx>
          <c:spPr>
            <a:solidFill>
              <a:schemeClr val="accent5"/>
            </a:solidFill>
            <a:ln>
              <a:noFill/>
            </a:ln>
            <a:effectLst/>
          </c:spPr>
          <c:invertIfNegative val="0"/>
          <c:cat>
            <c:strRef>
              <c:f>NPL!$A$3:$A$32</c:f>
              <c:strCache>
                <c:ptCount val="30"/>
                <c:pt idx="0">
                  <c:v>AGRO</c:v>
                </c:pt>
                <c:pt idx="1">
                  <c:v>BABP</c:v>
                </c:pt>
                <c:pt idx="2">
                  <c:v>BACA</c:v>
                </c:pt>
                <c:pt idx="3">
                  <c:v>BBCA</c:v>
                </c:pt>
                <c:pt idx="4">
                  <c:v>BBMD</c:v>
                </c:pt>
                <c:pt idx="5">
                  <c:v>BBNI</c:v>
                </c:pt>
                <c:pt idx="6">
                  <c:v>BBRI</c:v>
                </c:pt>
                <c:pt idx="7">
                  <c:v>BBTN</c:v>
                </c:pt>
                <c:pt idx="8">
                  <c:v>BDM</c:v>
                </c:pt>
                <c:pt idx="9">
                  <c:v>BGTG</c:v>
                </c:pt>
                <c:pt idx="10">
                  <c:v>BINA</c:v>
                </c:pt>
                <c:pt idx="11">
                  <c:v>BJBR</c:v>
                </c:pt>
                <c:pt idx="12">
                  <c:v>BJTM</c:v>
                </c:pt>
                <c:pt idx="13">
                  <c:v>BMAS</c:v>
                </c:pt>
                <c:pt idx="14">
                  <c:v>BMRI</c:v>
                </c:pt>
                <c:pt idx="15">
                  <c:v>BNBA</c:v>
                </c:pt>
                <c:pt idx="16">
                  <c:v>BNGA</c:v>
                </c:pt>
                <c:pt idx="17">
                  <c:v>BNII</c:v>
                </c:pt>
                <c:pt idx="18">
                  <c:v>BNLI</c:v>
                </c:pt>
                <c:pt idx="19">
                  <c:v>BSIM</c:v>
                </c:pt>
                <c:pt idx="20">
                  <c:v>BTPN</c:v>
                </c:pt>
                <c:pt idx="21">
                  <c:v>BVIC</c:v>
                </c:pt>
                <c:pt idx="22">
                  <c:v>INPC</c:v>
                </c:pt>
                <c:pt idx="23">
                  <c:v>MASB</c:v>
                </c:pt>
                <c:pt idx="24">
                  <c:v>MAYA</c:v>
                </c:pt>
                <c:pt idx="25">
                  <c:v>MCOR</c:v>
                </c:pt>
                <c:pt idx="26">
                  <c:v>MEGA</c:v>
                </c:pt>
                <c:pt idx="27">
                  <c:v>NISP</c:v>
                </c:pt>
                <c:pt idx="28">
                  <c:v>PNBN</c:v>
                </c:pt>
                <c:pt idx="29">
                  <c:v>SDRA</c:v>
                </c:pt>
              </c:strCache>
            </c:strRef>
          </c:cat>
          <c:val>
            <c:numRef>
              <c:f>NPL!$F$3:$F$32</c:f>
              <c:numCache>
                <c:formatCode>General</c:formatCode>
                <c:ptCount val="30"/>
                <c:pt idx="0">
                  <c:v>4.4000000000000004</c:v>
                </c:pt>
                <c:pt idx="1">
                  <c:v>3.96</c:v>
                </c:pt>
                <c:pt idx="2">
                  <c:v>7.0000000000000007E-2</c:v>
                </c:pt>
                <c:pt idx="3">
                  <c:v>1.9</c:v>
                </c:pt>
                <c:pt idx="4">
                  <c:v>1.37</c:v>
                </c:pt>
                <c:pt idx="5">
                  <c:v>2.1</c:v>
                </c:pt>
                <c:pt idx="6">
                  <c:v>3.12</c:v>
                </c:pt>
                <c:pt idx="7">
                  <c:v>3.01</c:v>
                </c:pt>
                <c:pt idx="8">
                  <c:v>2.2000000000000002</c:v>
                </c:pt>
                <c:pt idx="9">
                  <c:v>1.62</c:v>
                </c:pt>
                <c:pt idx="10">
                  <c:v>3.44</c:v>
                </c:pt>
                <c:pt idx="11">
                  <c:v>1.35</c:v>
                </c:pt>
                <c:pt idx="12">
                  <c:v>2.4900000000000002</c:v>
                </c:pt>
                <c:pt idx="13">
                  <c:v>2.59</c:v>
                </c:pt>
                <c:pt idx="14">
                  <c:v>1.02</c:v>
                </c:pt>
                <c:pt idx="15">
                  <c:v>4.43</c:v>
                </c:pt>
                <c:pt idx="16">
                  <c:v>1.96</c:v>
                </c:pt>
                <c:pt idx="17">
                  <c:v>2.92</c:v>
                </c:pt>
                <c:pt idx="18">
                  <c:v>2.9</c:v>
                </c:pt>
                <c:pt idx="19">
                  <c:v>1.53</c:v>
                </c:pt>
                <c:pt idx="20">
                  <c:v>1.4</c:v>
                </c:pt>
                <c:pt idx="21">
                  <c:v>3.99</c:v>
                </c:pt>
                <c:pt idx="22">
                  <c:v>1.74</c:v>
                </c:pt>
                <c:pt idx="23">
                  <c:v>3.31</c:v>
                </c:pt>
                <c:pt idx="24">
                  <c:v>3.77</c:v>
                </c:pt>
                <c:pt idx="25">
                  <c:v>2.87</c:v>
                </c:pt>
                <c:pt idx="26">
                  <c:v>1.57</c:v>
                </c:pt>
                <c:pt idx="27">
                  <c:v>1.64</c:v>
                </c:pt>
                <c:pt idx="28">
                  <c:v>3.09</c:v>
                </c:pt>
                <c:pt idx="29">
                  <c:v>1.25</c:v>
                </c:pt>
              </c:numCache>
            </c:numRef>
          </c:val>
          <c:extLst xmlns:c16r2="http://schemas.microsoft.com/office/drawing/2015/06/chart">
            <c:ext xmlns:c16="http://schemas.microsoft.com/office/drawing/2014/chart" uri="{C3380CC4-5D6E-409C-BE32-E72D297353CC}">
              <c16:uniqueId val="{00000004-E9E1-4F4B-9D7E-3104FF5D0930}"/>
            </c:ext>
          </c:extLst>
        </c:ser>
        <c:dLbls>
          <c:showLegendKey val="0"/>
          <c:showVal val="0"/>
          <c:showCatName val="0"/>
          <c:showSerName val="0"/>
          <c:showPercent val="0"/>
          <c:showBubbleSize val="0"/>
        </c:dLbls>
        <c:gapWidth val="219"/>
        <c:overlap val="-27"/>
        <c:axId val="385208864"/>
        <c:axId val="374093264"/>
      </c:barChart>
      <c:catAx>
        <c:axId val="385208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093264"/>
        <c:crosses val="autoZero"/>
        <c:auto val="1"/>
        <c:lblAlgn val="ctr"/>
        <c:lblOffset val="100"/>
        <c:noMultiLvlLbl val="0"/>
      </c:catAx>
      <c:valAx>
        <c:axId val="374093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5208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Return</a:t>
            </a:r>
            <a:r>
              <a:rPr lang="en-US" baseline="0"/>
              <a:t> on Assets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ROA!$B$2</c:f>
              <c:strCache>
                <c:ptCount val="1"/>
                <c:pt idx="0">
                  <c:v>2019</c:v>
                </c:pt>
              </c:strCache>
            </c:strRef>
          </c:tx>
          <c:spPr>
            <a:solidFill>
              <a:schemeClr val="accent1"/>
            </a:solidFill>
            <a:ln>
              <a:noFill/>
            </a:ln>
            <a:effectLst/>
          </c:spPr>
          <c:invertIfNegative val="0"/>
          <c:cat>
            <c:strRef>
              <c:f>ROA!$A$3:$A$32</c:f>
              <c:strCache>
                <c:ptCount val="30"/>
                <c:pt idx="0">
                  <c:v>AGRO</c:v>
                </c:pt>
                <c:pt idx="1">
                  <c:v>BABP</c:v>
                </c:pt>
                <c:pt idx="2">
                  <c:v>BACA</c:v>
                </c:pt>
                <c:pt idx="3">
                  <c:v>BBCA</c:v>
                </c:pt>
                <c:pt idx="4">
                  <c:v>BBMD</c:v>
                </c:pt>
                <c:pt idx="5">
                  <c:v>BBNI</c:v>
                </c:pt>
                <c:pt idx="6">
                  <c:v>BBRI</c:v>
                </c:pt>
                <c:pt idx="7">
                  <c:v>BBTN</c:v>
                </c:pt>
                <c:pt idx="8">
                  <c:v>BDM</c:v>
                </c:pt>
                <c:pt idx="9">
                  <c:v>BGTG</c:v>
                </c:pt>
                <c:pt idx="10">
                  <c:v>BINA</c:v>
                </c:pt>
                <c:pt idx="11">
                  <c:v>BJBR</c:v>
                </c:pt>
                <c:pt idx="12">
                  <c:v>BJTM</c:v>
                </c:pt>
                <c:pt idx="13">
                  <c:v>BMAS</c:v>
                </c:pt>
                <c:pt idx="14">
                  <c:v>BMRI</c:v>
                </c:pt>
                <c:pt idx="15">
                  <c:v>BNBA</c:v>
                </c:pt>
                <c:pt idx="16">
                  <c:v>BNGA</c:v>
                </c:pt>
                <c:pt idx="17">
                  <c:v>BNII</c:v>
                </c:pt>
                <c:pt idx="18">
                  <c:v>BNLI</c:v>
                </c:pt>
                <c:pt idx="19">
                  <c:v>BSIM</c:v>
                </c:pt>
                <c:pt idx="20">
                  <c:v>BTPN</c:v>
                </c:pt>
                <c:pt idx="21">
                  <c:v>BVIC</c:v>
                </c:pt>
                <c:pt idx="22">
                  <c:v>INPC</c:v>
                </c:pt>
                <c:pt idx="23">
                  <c:v>MASB</c:v>
                </c:pt>
                <c:pt idx="24">
                  <c:v>MAYA</c:v>
                </c:pt>
                <c:pt idx="25">
                  <c:v>MCOR</c:v>
                </c:pt>
                <c:pt idx="26">
                  <c:v>MEGA</c:v>
                </c:pt>
                <c:pt idx="27">
                  <c:v>NISP</c:v>
                </c:pt>
                <c:pt idx="28">
                  <c:v>PNBN</c:v>
                </c:pt>
                <c:pt idx="29">
                  <c:v>SDRA</c:v>
                </c:pt>
              </c:strCache>
            </c:strRef>
          </c:cat>
          <c:val>
            <c:numRef>
              <c:f>ROA!$B$3:$B$32</c:f>
              <c:numCache>
                <c:formatCode>General</c:formatCode>
                <c:ptCount val="30"/>
                <c:pt idx="0">
                  <c:v>0.19</c:v>
                </c:pt>
                <c:pt idx="1">
                  <c:v>0.27</c:v>
                </c:pt>
                <c:pt idx="2">
                  <c:v>0.13</c:v>
                </c:pt>
                <c:pt idx="3">
                  <c:v>4</c:v>
                </c:pt>
                <c:pt idx="4">
                  <c:v>2.72</c:v>
                </c:pt>
                <c:pt idx="5">
                  <c:v>2.4</c:v>
                </c:pt>
                <c:pt idx="6">
                  <c:v>3.5</c:v>
                </c:pt>
                <c:pt idx="7">
                  <c:v>0.13</c:v>
                </c:pt>
                <c:pt idx="8">
                  <c:v>3</c:v>
                </c:pt>
                <c:pt idx="9">
                  <c:v>0.32</c:v>
                </c:pt>
                <c:pt idx="10">
                  <c:v>0.23</c:v>
                </c:pt>
                <c:pt idx="11">
                  <c:v>1.68</c:v>
                </c:pt>
                <c:pt idx="12">
                  <c:v>2.73</c:v>
                </c:pt>
                <c:pt idx="13">
                  <c:v>1.1299999999999999</c:v>
                </c:pt>
                <c:pt idx="14">
                  <c:v>3.03</c:v>
                </c:pt>
                <c:pt idx="15">
                  <c:v>0.96</c:v>
                </c:pt>
                <c:pt idx="16">
                  <c:v>1.99</c:v>
                </c:pt>
                <c:pt idx="17">
                  <c:v>1.45</c:v>
                </c:pt>
                <c:pt idx="18">
                  <c:v>7.2</c:v>
                </c:pt>
                <c:pt idx="19">
                  <c:v>0.23</c:v>
                </c:pt>
                <c:pt idx="20">
                  <c:v>2.2999999999999998</c:v>
                </c:pt>
                <c:pt idx="21">
                  <c:v>-0.09</c:v>
                </c:pt>
                <c:pt idx="22">
                  <c:v>-0.3</c:v>
                </c:pt>
                <c:pt idx="23">
                  <c:v>1.28</c:v>
                </c:pt>
                <c:pt idx="24">
                  <c:v>0.78</c:v>
                </c:pt>
                <c:pt idx="25">
                  <c:v>0.71</c:v>
                </c:pt>
                <c:pt idx="26">
                  <c:v>2.9</c:v>
                </c:pt>
                <c:pt idx="27">
                  <c:v>2.2200000000000002</c:v>
                </c:pt>
                <c:pt idx="28">
                  <c:v>2.08</c:v>
                </c:pt>
                <c:pt idx="29">
                  <c:v>1.18</c:v>
                </c:pt>
              </c:numCache>
            </c:numRef>
          </c:val>
          <c:extLst xmlns:c16r2="http://schemas.microsoft.com/office/drawing/2015/06/chart">
            <c:ext xmlns:c16="http://schemas.microsoft.com/office/drawing/2014/chart" uri="{C3380CC4-5D6E-409C-BE32-E72D297353CC}">
              <c16:uniqueId val="{00000000-096C-4751-830E-5A599D3035FC}"/>
            </c:ext>
          </c:extLst>
        </c:ser>
        <c:ser>
          <c:idx val="1"/>
          <c:order val="1"/>
          <c:tx>
            <c:strRef>
              <c:f>ROA!$C$2</c:f>
              <c:strCache>
                <c:ptCount val="1"/>
                <c:pt idx="0">
                  <c:v>2020</c:v>
                </c:pt>
              </c:strCache>
            </c:strRef>
          </c:tx>
          <c:spPr>
            <a:solidFill>
              <a:schemeClr val="accent2"/>
            </a:solidFill>
            <a:ln>
              <a:noFill/>
            </a:ln>
            <a:effectLst/>
          </c:spPr>
          <c:invertIfNegative val="0"/>
          <c:cat>
            <c:strRef>
              <c:f>ROA!$A$3:$A$32</c:f>
              <c:strCache>
                <c:ptCount val="30"/>
                <c:pt idx="0">
                  <c:v>AGRO</c:v>
                </c:pt>
                <c:pt idx="1">
                  <c:v>BABP</c:v>
                </c:pt>
                <c:pt idx="2">
                  <c:v>BACA</c:v>
                </c:pt>
                <c:pt idx="3">
                  <c:v>BBCA</c:v>
                </c:pt>
                <c:pt idx="4">
                  <c:v>BBMD</c:v>
                </c:pt>
                <c:pt idx="5">
                  <c:v>BBNI</c:v>
                </c:pt>
                <c:pt idx="6">
                  <c:v>BBRI</c:v>
                </c:pt>
                <c:pt idx="7">
                  <c:v>BBTN</c:v>
                </c:pt>
                <c:pt idx="8">
                  <c:v>BDM</c:v>
                </c:pt>
                <c:pt idx="9">
                  <c:v>BGTG</c:v>
                </c:pt>
                <c:pt idx="10">
                  <c:v>BINA</c:v>
                </c:pt>
                <c:pt idx="11">
                  <c:v>BJBR</c:v>
                </c:pt>
                <c:pt idx="12">
                  <c:v>BJTM</c:v>
                </c:pt>
                <c:pt idx="13">
                  <c:v>BMAS</c:v>
                </c:pt>
                <c:pt idx="14">
                  <c:v>BMRI</c:v>
                </c:pt>
                <c:pt idx="15">
                  <c:v>BNBA</c:v>
                </c:pt>
                <c:pt idx="16">
                  <c:v>BNGA</c:v>
                </c:pt>
                <c:pt idx="17">
                  <c:v>BNII</c:v>
                </c:pt>
                <c:pt idx="18">
                  <c:v>BNLI</c:v>
                </c:pt>
                <c:pt idx="19">
                  <c:v>BSIM</c:v>
                </c:pt>
                <c:pt idx="20">
                  <c:v>BTPN</c:v>
                </c:pt>
                <c:pt idx="21">
                  <c:v>BVIC</c:v>
                </c:pt>
                <c:pt idx="22">
                  <c:v>INPC</c:v>
                </c:pt>
                <c:pt idx="23">
                  <c:v>MASB</c:v>
                </c:pt>
                <c:pt idx="24">
                  <c:v>MAYA</c:v>
                </c:pt>
                <c:pt idx="25">
                  <c:v>MCOR</c:v>
                </c:pt>
                <c:pt idx="26">
                  <c:v>MEGA</c:v>
                </c:pt>
                <c:pt idx="27">
                  <c:v>NISP</c:v>
                </c:pt>
                <c:pt idx="28">
                  <c:v>PNBN</c:v>
                </c:pt>
                <c:pt idx="29">
                  <c:v>SDRA</c:v>
                </c:pt>
              </c:strCache>
            </c:strRef>
          </c:cat>
          <c:val>
            <c:numRef>
              <c:f>ROA!$C$3:$C$32</c:f>
              <c:numCache>
                <c:formatCode>General</c:formatCode>
                <c:ptCount val="30"/>
                <c:pt idx="0">
                  <c:v>0.24</c:v>
                </c:pt>
                <c:pt idx="1">
                  <c:v>0.15</c:v>
                </c:pt>
                <c:pt idx="2">
                  <c:v>0.44</c:v>
                </c:pt>
                <c:pt idx="3">
                  <c:v>3.3</c:v>
                </c:pt>
                <c:pt idx="4">
                  <c:v>3.17</c:v>
                </c:pt>
                <c:pt idx="5">
                  <c:v>0.5</c:v>
                </c:pt>
                <c:pt idx="6">
                  <c:v>1.98</c:v>
                </c:pt>
                <c:pt idx="7">
                  <c:v>0.69</c:v>
                </c:pt>
                <c:pt idx="8">
                  <c:v>1</c:v>
                </c:pt>
                <c:pt idx="9">
                  <c:v>0.1</c:v>
                </c:pt>
                <c:pt idx="10">
                  <c:v>0.51</c:v>
                </c:pt>
                <c:pt idx="11">
                  <c:v>1.66</c:v>
                </c:pt>
                <c:pt idx="12">
                  <c:v>1.95</c:v>
                </c:pt>
                <c:pt idx="13">
                  <c:v>1.0900000000000001</c:v>
                </c:pt>
                <c:pt idx="14">
                  <c:v>1.64</c:v>
                </c:pt>
                <c:pt idx="15">
                  <c:v>0.7</c:v>
                </c:pt>
                <c:pt idx="16">
                  <c:v>1.06</c:v>
                </c:pt>
                <c:pt idx="17">
                  <c:v>1.04</c:v>
                </c:pt>
                <c:pt idx="18">
                  <c:v>3.1</c:v>
                </c:pt>
                <c:pt idx="19">
                  <c:v>0.3</c:v>
                </c:pt>
                <c:pt idx="20">
                  <c:v>1.4</c:v>
                </c:pt>
                <c:pt idx="21">
                  <c:v>-1.26</c:v>
                </c:pt>
                <c:pt idx="22">
                  <c:v>0.11</c:v>
                </c:pt>
                <c:pt idx="23">
                  <c:v>0.83</c:v>
                </c:pt>
                <c:pt idx="24">
                  <c:v>0.12</c:v>
                </c:pt>
                <c:pt idx="25">
                  <c:v>0.28999999999999998</c:v>
                </c:pt>
                <c:pt idx="26">
                  <c:v>3.64</c:v>
                </c:pt>
                <c:pt idx="27">
                  <c:v>1.47</c:v>
                </c:pt>
                <c:pt idx="28">
                  <c:v>1.91</c:v>
                </c:pt>
                <c:pt idx="29">
                  <c:v>1.84</c:v>
                </c:pt>
              </c:numCache>
            </c:numRef>
          </c:val>
          <c:extLst xmlns:c16r2="http://schemas.microsoft.com/office/drawing/2015/06/chart">
            <c:ext xmlns:c16="http://schemas.microsoft.com/office/drawing/2014/chart" uri="{C3380CC4-5D6E-409C-BE32-E72D297353CC}">
              <c16:uniqueId val="{00000001-096C-4751-830E-5A599D3035FC}"/>
            </c:ext>
          </c:extLst>
        </c:ser>
        <c:ser>
          <c:idx val="2"/>
          <c:order val="2"/>
          <c:tx>
            <c:strRef>
              <c:f>ROA!$D$2</c:f>
              <c:strCache>
                <c:ptCount val="1"/>
                <c:pt idx="0">
                  <c:v>2021</c:v>
                </c:pt>
              </c:strCache>
            </c:strRef>
          </c:tx>
          <c:spPr>
            <a:solidFill>
              <a:schemeClr val="accent3"/>
            </a:solidFill>
            <a:ln>
              <a:noFill/>
            </a:ln>
            <a:effectLst/>
          </c:spPr>
          <c:invertIfNegative val="0"/>
          <c:cat>
            <c:strRef>
              <c:f>ROA!$A$3:$A$32</c:f>
              <c:strCache>
                <c:ptCount val="30"/>
                <c:pt idx="0">
                  <c:v>AGRO</c:v>
                </c:pt>
                <c:pt idx="1">
                  <c:v>BABP</c:v>
                </c:pt>
                <c:pt idx="2">
                  <c:v>BACA</c:v>
                </c:pt>
                <c:pt idx="3">
                  <c:v>BBCA</c:v>
                </c:pt>
                <c:pt idx="4">
                  <c:v>BBMD</c:v>
                </c:pt>
                <c:pt idx="5">
                  <c:v>BBNI</c:v>
                </c:pt>
                <c:pt idx="6">
                  <c:v>BBRI</c:v>
                </c:pt>
                <c:pt idx="7">
                  <c:v>BBTN</c:v>
                </c:pt>
                <c:pt idx="8">
                  <c:v>BDM</c:v>
                </c:pt>
                <c:pt idx="9">
                  <c:v>BGTG</c:v>
                </c:pt>
                <c:pt idx="10">
                  <c:v>BINA</c:v>
                </c:pt>
                <c:pt idx="11">
                  <c:v>BJBR</c:v>
                </c:pt>
                <c:pt idx="12">
                  <c:v>BJTM</c:v>
                </c:pt>
                <c:pt idx="13">
                  <c:v>BMAS</c:v>
                </c:pt>
                <c:pt idx="14">
                  <c:v>BMRI</c:v>
                </c:pt>
                <c:pt idx="15">
                  <c:v>BNBA</c:v>
                </c:pt>
                <c:pt idx="16">
                  <c:v>BNGA</c:v>
                </c:pt>
                <c:pt idx="17">
                  <c:v>BNII</c:v>
                </c:pt>
                <c:pt idx="18">
                  <c:v>BNLI</c:v>
                </c:pt>
                <c:pt idx="19">
                  <c:v>BSIM</c:v>
                </c:pt>
                <c:pt idx="20">
                  <c:v>BTPN</c:v>
                </c:pt>
                <c:pt idx="21">
                  <c:v>BVIC</c:v>
                </c:pt>
                <c:pt idx="22">
                  <c:v>INPC</c:v>
                </c:pt>
                <c:pt idx="23">
                  <c:v>MASB</c:v>
                </c:pt>
                <c:pt idx="24">
                  <c:v>MAYA</c:v>
                </c:pt>
                <c:pt idx="25">
                  <c:v>MCOR</c:v>
                </c:pt>
                <c:pt idx="26">
                  <c:v>MEGA</c:v>
                </c:pt>
                <c:pt idx="27">
                  <c:v>NISP</c:v>
                </c:pt>
                <c:pt idx="28">
                  <c:v>PNBN</c:v>
                </c:pt>
                <c:pt idx="29">
                  <c:v>SDRA</c:v>
                </c:pt>
              </c:strCache>
            </c:strRef>
          </c:cat>
          <c:val>
            <c:numRef>
              <c:f>ROA!$D$3:$D$32</c:f>
              <c:numCache>
                <c:formatCode>General</c:formatCode>
                <c:ptCount val="30"/>
                <c:pt idx="0">
                  <c:v>-14.75</c:v>
                </c:pt>
                <c:pt idx="1">
                  <c:v>0.18</c:v>
                </c:pt>
                <c:pt idx="2">
                  <c:v>0.22</c:v>
                </c:pt>
                <c:pt idx="3">
                  <c:v>3.4</c:v>
                </c:pt>
                <c:pt idx="4">
                  <c:v>4.3099999999999996</c:v>
                </c:pt>
                <c:pt idx="5">
                  <c:v>1.4</c:v>
                </c:pt>
                <c:pt idx="6">
                  <c:v>2.72</c:v>
                </c:pt>
                <c:pt idx="7">
                  <c:v>0.81</c:v>
                </c:pt>
                <c:pt idx="8">
                  <c:v>1.2</c:v>
                </c:pt>
                <c:pt idx="9">
                  <c:v>0.23</c:v>
                </c:pt>
                <c:pt idx="10">
                  <c:v>0.44</c:v>
                </c:pt>
                <c:pt idx="11">
                  <c:v>1.73</c:v>
                </c:pt>
                <c:pt idx="12">
                  <c:v>2.0499999999999998</c:v>
                </c:pt>
                <c:pt idx="13">
                  <c:v>0.79</c:v>
                </c:pt>
                <c:pt idx="14">
                  <c:v>2.5299999999999998</c:v>
                </c:pt>
                <c:pt idx="15">
                  <c:v>0.74</c:v>
                </c:pt>
                <c:pt idx="16">
                  <c:v>1.88</c:v>
                </c:pt>
                <c:pt idx="17">
                  <c:v>1.34</c:v>
                </c:pt>
                <c:pt idx="18">
                  <c:v>0.7</c:v>
                </c:pt>
                <c:pt idx="19">
                  <c:v>0.34</c:v>
                </c:pt>
                <c:pt idx="20">
                  <c:v>2.2000000000000002</c:v>
                </c:pt>
                <c:pt idx="21">
                  <c:v>-0.71</c:v>
                </c:pt>
                <c:pt idx="22">
                  <c:v>-0.73</c:v>
                </c:pt>
                <c:pt idx="23">
                  <c:v>1.19</c:v>
                </c:pt>
                <c:pt idx="24">
                  <c:v>7.0000000000000007E-2</c:v>
                </c:pt>
                <c:pt idx="25">
                  <c:v>0.41</c:v>
                </c:pt>
                <c:pt idx="26">
                  <c:v>4.22</c:v>
                </c:pt>
                <c:pt idx="27">
                  <c:v>1.55</c:v>
                </c:pt>
                <c:pt idx="28">
                  <c:v>1.35</c:v>
                </c:pt>
                <c:pt idx="29">
                  <c:v>2</c:v>
                </c:pt>
              </c:numCache>
            </c:numRef>
          </c:val>
          <c:extLst xmlns:c16r2="http://schemas.microsoft.com/office/drawing/2015/06/chart">
            <c:ext xmlns:c16="http://schemas.microsoft.com/office/drawing/2014/chart" uri="{C3380CC4-5D6E-409C-BE32-E72D297353CC}">
              <c16:uniqueId val="{00000002-096C-4751-830E-5A599D3035FC}"/>
            </c:ext>
          </c:extLst>
        </c:ser>
        <c:ser>
          <c:idx val="3"/>
          <c:order val="3"/>
          <c:tx>
            <c:strRef>
              <c:f>ROA!$E$2</c:f>
              <c:strCache>
                <c:ptCount val="1"/>
                <c:pt idx="0">
                  <c:v>2022</c:v>
                </c:pt>
              </c:strCache>
            </c:strRef>
          </c:tx>
          <c:spPr>
            <a:solidFill>
              <a:schemeClr val="accent4"/>
            </a:solidFill>
            <a:ln>
              <a:noFill/>
            </a:ln>
            <a:effectLst/>
          </c:spPr>
          <c:invertIfNegative val="0"/>
          <c:cat>
            <c:strRef>
              <c:f>ROA!$A$3:$A$32</c:f>
              <c:strCache>
                <c:ptCount val="30"/>
                <c:pt idx="0">
                  <c:v>AGRO</c:v>
                </c:pt>
                <c:pt idx="1">
                  <c:v>BABP</c:v>
                </c:pt>
                <c:pt idx="2">
                  <c:v>BACA</c:v>
                </c:pt>
                <c:pt idx="3">
                  <c:v>BBCA</c:v>
                </c:pt>
                <c:pt idx="4">
                  <c:v>BBMD</c:v>
                </c:pt>
                <c:pt idx="5">
                  <c:v>BBNI</c:v>
                </c:pt>
                <c:pt idx="6">
                  <c:v>BBRI</c:v>
                </c:pt>
                <c:pt idx="7">
                  <c:v>BBTN</c:v>
                </c:pt>
                <c:pt idx="8">
                  <c:v>BDM</c:v>
                </c:pt>
                <c:pt idx="9">
                  <c:v>BGTG</c:v>
                </c:pt>
                <c:pt idx="10">
                  <c:v>BINA</c:v>
                </c:pt>
                <c:pt idx="11">
                  <c:v>BJBR</c:v>
                </c:pt>
                <c:pt idx="12">
                  <c:v>BJTM</c:v>
                </c:pt>
                <c:pt idx="13">
                  <c:v>BMAS</c:v>
                </c:pt>
                <c:pt idx="14">
                  <c:v>BMRI</c:v>
                </c:pt>
                <c:pt idx="15">
                  <c:v>BNBA</c:v>
                </c:pt>
                <c:pt idx="16">
                  <c:v>BNGA</c:v>
                </c:pt>
                <c:pt idx="17">
                  <c:v>BNII</c:v>
                </c:pt>
                <c:pt idx="18">
                  <c:v>BNLI</c:v>
                </c:pt>
                <c:pt idx="19">
                  <c:v>BSIM</c:v>
                </c:pt>
                <c:pt idx="20">
                  <c:v>BTPN</c:v>
                </c:pt>
                <c:pt idx="21">
                  <c:v>BVIC</c:v>
                </c:pt>
                <c:pt idx="22">
                  <c:v>INPC</c:v>
                </c:pt>
                <c:pt idx="23">
                  <c:v>MASB</c:v>
                </c:pt>
                <c:pt idx="24">
                  <c:v>MAYA</c:v>
                </c:pt>
                <c:pt idx="25">
                  <c:v>MCOR</c:v>
                </c:pt>
                <c:pt idx="26">
                  <c:v>MEGA</c:v>
                </c:pt>
                <c:pt idx="27">
                  <c:v>NISP</c:v>
                </c:pt>
                <c:pt idx="28">
                  <c:v>PNBN</c:v>
                </c:pt>
                <c:pt idx="29">
                  <c:v>SDRA</c:v>
                </c:pt>
              </c:strCache>
            </c:strRef>
          </c:cat>
          <c:val>
            <c:numRef>
              <c:f>ROA!$E$3:$E$32</c:f>
              <c:numCache>
                <c:formatCode>General</c:formatCode>
                <c:ptCount val="30"/>
                <c:pt idx="0">
                  <c:v>0.85</c:v>
                </c:pt>
                <c:pt idx="1">
                  <c:v>1.04</c:v>
                </c:pt>
                <c:pt idx="2">
                  <c:v>0.18</c:v>
                </c:pt>
                <c:pt idx="3">
                  <c:v>3.2</c:v>
                </c:pt>
                <c:pt idx="4">
                  <c:v>3.97</c:v>
                </c:pt>
                <c:pt idx="5">
                  <c:v>2.5</c:v>
                </c:pt>
                <c:pt idx="6">
                  <c:v>3.76</c:v>
                </c:pt>
                <c:pt idx="7">
                  <c:v>1.02</c:v>
                </c:pt>
                <c:pt idx="8">
                  <c:v>2.2999999999999998</c:v>
                </c:pt>
                <c:pt idx="9">
                  <c:v>0.6</c:v>
                </c:pt>
                <c:pt idx="10">
                  <c:v>1.0900000000000001</c:v>
                </c:pt>
                <c:pt idx="11">
                  <c:v>1.75</c:v>
                </c:pt>
                <c:pt idx="12">
                  <c:v>1.95</c:v>
                </c:pt>
                <c:pt idx="13">
                  <c:v>1.06</c:v>
                </c:pt>
                <c:pt idx="14">
                  <c:v>3.3</c:v>
                </c:pt>
                <c:pt idx="15">
                  <c:v>0.59</c:v>
                </c:pt>
                <c:pt idx="16">
                  <c:v>2.16</c:v>
                </c:pt>
                <c:pt idx="17">
                  <c:v>1.25</c:v>
                </c:pt>
                <c:pt idx="18">
                  <c:v>1.1000000000000001</c:v>
                </c:pt>
                <c:pt idx="19">
                  <c:v>0.54</c:v>
                </c:pt>
                <c:pt idx="20">
                  <c:v>2.4</c:v>
                </c:pt>
                <c:pt idx="21">
                  <c:v>1.47</c:v>
                </c:pt>
                <c:pt idx="22">
                  <c:v>0.25</c:v>
                </c:pt>
                <c:pt idx="23">
                  <c:v>1.86</c:v>
                </c:pt>
                <c:pt idx="24">
                  <c:v>0.04</c:v>
                </c:pt>
                <c:pt idx="25">
                  <c:v>0.69</c:v>
                </c:pt>
                <c:pt idx="26">
                  <c:v>4</c:v>
                </c:pt>
                <c:pt idx="27">
                  <c:v>1.86</c:v>
                </c:pt>
                <c:pt idx="28">
                  <c:v>1.91</c:v>
                </c:pt>
                <c:pt idx="29">
                  <c:v>2.33</c:v>
                </c:pt>
              </c:numCache>
            </c:numRef>
          </c:val>
          <c:extLst xmlns:c16r2="http://schemas.microsoft.com/office/drawing/2015/06/chart">
            <c:ext xmlns:c16="http://schemas.microsoft.com/office/drawing/2014/chart" uri="{C3380CC4-5D6E-409C-BE32-E72D297353CC}">
              <c16:uniqueId val="{00000003-096C-4751-830E-5A599D3035FC}"/>
            </c:ext>
          </c:extLst>
        </c:ser>
        <c:ser>
          <c:idx val="4"/>
          <c:order val="4"/>
          <c:tx>
            <c:strRef>
              <c:f>ROA!$F$2</c:f>
              <c:strCache>
                <c:ptCount val="1"/>
                <c:pt idx="0">
                  <c:v>2023</c:v>
                </c:pt>
              </c:strCache>
            </c:strRef>
          </c:tx>
          <c:spPr>
            <a:solidFill>
              <a:schemeClr val="accent5"/>
            </a:solidFill>
            <a:ln>
              <a:noFill/>
            </a:ln>
            <a:effectLst/>
          </c:spPr>
          <c:invertIfNegative val="0"/>
          <c:cat>
            <c:strRef>
              <c:f>ROA!$A$3:$A$32</c:f>
              <c:strCache>
                <c:ptCount val="30"/>
                <c:pt idx="0">
                  <c:v>AGRO</c:v>
                </c:pt>
                <c:pt idx="1">
                  <c:v>BABP</c:v>
                </c:pt>
                <c:pt idx="2">
                  <c:v>BACA</c:v>
                </c:pt>
                <c:pt idx="3">
                  <c:v>BBCA</c:v>
                </c:pt>
                <c:pt idx="4">
                  <c:v>BBMD</c:v>
                </c:pt>
                <c:pt idx="5">
                  <c:v>BBNI</c:v>
                </c:pt>
                <c:pt idx="6">
                  <c:v>BBRI</c:v>
                </c:pt>
                <c:pt idx="7">
                  <c:v>BBTN</c:v>
                </c:pt>
                <c:pt idx="8">
                  <c:v>BDM</c:v>
                </c:pt>
                <c:pt idx="9">
                  <c:v>BGTG</c:v>
                </c:pt>
                <c:pt idx="10">
                  <c:v>BINA</c:v>
                </c:pt>
                <c:pt idx="11">
                  <c:v>BJBR</c:v>
                </c:pt>
                <c:pt idx="12">
                  <c:v>BJTM</c:v>
                </c:pt>
                <c:pt idx="13">
                  <c:v>BMAS</c:v>
                </c:pt>
                <c:pt idx="14">
                  <c:v>BMRI</c:v>
                </c:pt>
                <c:pt idx="15">
                  <c:v>BNBA</c:v>
                </c:pt>
                <c:pt idx="16">
                  <c:v>BNGA</c:v>
                </c:pt>
                <c:pt idx="17">
                  <c:v>BNII</c:v>
                </c:pt>
                <c:pt idx="18">
                  <c:v>BNLI</c:v>
                </c:pt>
                <c:pt idx="19">
                  <c:v>BSIM</c:v>
                </c:pt>
                <c:pt idx="20">
                  <c:v>BTPN</c:v>
                </c:pt>
                <c:pt idx="21">
                  <c:v>BVIC</c:v>
                </c:pt>
                <c:pt idx="22">
                  <c:v>INPC</c:v>
                </c:pt>
                <c:pt idx="23">
                  <c:v>MASB</c:v>
                </c:pt>
                <c:pt idx="24">
                  <c:v>MAYA</c:v>
                </c:pt>
                <c:pt idx="25">
                  <c:v>MCOR</c:v>
                </c:pt>
                <c:pt idx="26">
                  <c:v>MEGA</c:v>
                </c:pt>
                <c:pt idx="27">
                  <c:v>NISP</c:v>
                </c:pt>
                <c:pt idx="28">
                  <c:v>PNBN</c:v>
                </c:pt>
                <c:pt idx="29">
                  <c:v>SDRA</c:v>
                </c:pt>
              </c:strCache>
            </c:strRef>
          </c:cat>
          <c:val>
            <c:numRef>
              <c:f>ROA!$F$3:$F$32</c:f>
              <c:numCache>
                <c:formatCode>General</c:formatCode>
                <c:ptCount val="30"/>
                <c:pt idx="0">
                  <c:v>1.05</c:v>
                </c:pt>
                <c:pt idx="1">
                  <c:v>0.71</c:v>
                </c:pt>
                <c:pt idx="2">
                  <c:v>0.64</c:v>
                </c:pt>
                <c:pt idx="3">
                  <c:v>3.6</c:v>
                </c:pt>
                <c:pt idx="4">
                  <c:v>3.26</c:v>
                </c:pt>
                <c:pt idx="5">
                  <c:v>2.6</c:v>
                </c:pt>
                <c:pt idx="6">
                  <c:v>3.93</c:v>
                </c:pt>
                <c:pt idx="7">
                  <c:v>1.07</c:v>
                </c:pt>
                <c:pt idx="8">
                  <c:v>2.2999999999999998</c:v>
                </c:pt>
                <c:pt idx="9">
                  <c:v>1.55</c:v>
                </c:pt>
                <c:pt idx="10">
                  <c:v>1.17</c:v>
                </c:pt>
                <c:pt idx="11">
                  <c:v>1.29</c:v>
                </c:pt>
                <c:pt idx="12">
                  <c:v>1.87</c:v>
                </c:pt>
                <c:pt idx="13">
                  <c:v>0.46</c:v>
                </c:pt>
                <c:pt idx="14">
                  <c:v>4.03</c:v>
                </c:pt>
                <c:pt idx="15">
                  <c:v>0.71</c:v>
                </c:pt>
                <c:pt idx="16">
                  <c:v>2.59</c:v>
                </c:pt>
                <c:pt idx="17">
                  <c:v>1.41</c:v>
                </c:pt>
                <c:pt idx="18">
                  <c:v>1.3</c:v>
                </c:pt>
                <c:pt idx="19">
                  <c:v>0.15</c:v>
                </c:pt>
                <c:pt idx="20">
                  <c:v>1.7</c:v>
                </c:pt>
                <c:pt idx="21">
                  <c:v>0.48</c:v>
                </c:pt>
                <c:pt idx="22">
                  <c:v>0.6</c:v>
                </c:pt>
                <c:pt idx="23">
                  <c:v>1.24</c:v>
                </c:pt>
                <c:pt idx="24">
                  <c:v>0.04</c:v>
                </c:pt>
                <c:pt idx="25">
                  <c:v>1.22</c:v>
                </c:pt>
                <c:pt idx="26">
                  <c:v>3.47</c:v>
                </c:pt>
                <c:pt idx="27">
                  <c:v>2.14</c:v>
                </c:pt>
                <c:pt idx="28">
                  <c:v>1.57</c:v>
                </c:pt>
                <c:pt idx="29">
                  <c:v>1.72</c:v>
                </c:pt>
              </c:numCache>
            </c:numRef>
          </c:val>
          <c:extLst xmlns:c16r2="http://schemas.microsoft.com/office/drawing/2015/06/chart">
            <c:ext xmlns:c16="http://schemas.microsoft.com/office/drawing/2014/chart" uri="{C3380CC4-5D6E-409C-BE32-E72D297353CC}">
              <c16:uniqueId val="{00000004-096C-4751-830E-5A599D3035FC}"/>
            </c:ext>
          </c:extLst>
        </c:ser>
        <c:dLbls>
          <c:showLegendKey val="0"/>
          <c:showVal val="0"/>
          <c:showCatName val="0"/>
          <c:showSerName val="0"/>
          <c:showPercent val="0"/>
          <c:showBubbleSize val="0"/>
        </c:dLbls>
        <c:gapWidth val="219"/>
        <c:overlap val="-27"/>
        <c:axId val="374092480"/>
        <c:axId val="374095224"/>
      </c:barChart>
      <c:catAx>
        <c:axId val="37409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095224"/>
        <c:crosses val="autoZero"/>
        <c:auto val="1"/>
        <c:lblAlgn val="ctr"/>
        <c:lblOffset val="100"/>
        <c:noMultiLvlLbl val="0"/>
      </c:catAx>
      <c:valAx>
        <c:axId val="374095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092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Posisi</a:t>
            </a:r>
            <a:r>
              <a:rPr lang="en-US" baseline="0"/>
              <a:t> Devisa Neto</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PDN!$B$2</c:f>
              <c:strCache>
                <c:ptCount val="1"/>
                <c:pt idx="0">
                  <c:v>2019</c:v>
                </c:pt>
              </c:strCache>
            </c:strRef>
          </c:tx>
          <c:spPr>
            <a:solidFill>
              <a:schemeClr val="accent1"/>
            </a:solidFill>
            <a:ln>
              <a:noFill/>
            </a:ln>
            <a:effectLst/>
          </c:spPr>
          <c:invertIfNegative val="0"/>
          <c:cat>
            <c:strRef>
              <c:f>PDN!$A$3:$A$32</c:f>
              <c:strCache>
                <c:ptCount val="30"/>
                <c:pt idx="0">
                  <c:v>AGRO</c:v>
                </c:pt>
                <c:pt idx="1">
                  <c:v>BABP</c:v>
                </c:pt>
                <c:pt idx="2">
                  <c:v>BACA</c:v>
                </c:pt>
                <c:pt idx="3">
                  <c:v>BBCA</c:v>
                </c:pt>
                <c:pt idx="4">
                  <c:v>BBMD</c:v>
                </c:pt>
                <c:pt idx="5">
                  <c:v>BBNI</c:v>
                </c:pt>
                <c:pt idx="6">
                  <c:v>BBRI</c:v>
                </c:pt>
                <c:pt idx="7">
                  <c:v>BBTN</c:v>
                </c:pt>
                <c:pt idx="8">
                  <c:v>BDM</c:v>
                </c:pt>
                <c:pt idx="9">
                  <c:v>BGTG</c:v>
                </c:pt>
                <c:pt idx="10">
                  <c:v>BINA</c:v>
                </c:pt>
                <c:pt idx="11">
                  <c:v>BJBR</c:v>
                </c:pt>
                <c:pt idx="12">
                  <c:v>BJTM</c:v>
                </c:pt>
                <c:pt idx="13">
                  <c:v>BMAS</c:v>
                </c:pt>
                <c:pt idx="14">
                  <c:v>BMRI</c:v>
                </c:pt>
                <c:pt idx="15">
                  <c:v>BNBA</c:v>
                </c:pt>
                <c:pt idx="16">
                  <c:v>BNGA</c:v>
                </c:pt>
                <c:pt idx="17">
                  <c:v>BNII</c:v>
                </c:pt>
                <c:pt idx="18">
                  <c:v>BNLI</c:v>
                </c:pt>
                <c:pt idx="19">
                  <c:v>BSIM</c:v>
                </c:pt>
                <c:pt idx="20">
                  <c:v>BTPN</c:v>
                </c:pt>
                <c:pt idx="21">
                  <c:v>BVIC</c:v>
                </c:pt>
                <c:pt idx="22">
                  <c:v>INPC</c:v>
                </c:pt>
                <c:pt idx="23">
                  <c:v>MASB</c:v>
                </c:pt>
                <c:pt idx="24">
                  <c:v>MAYA</c:v>
                </c:pt>
                <c:pt idx="25">
                  <c:v>MCOR</c:v>
                </c:pt>
                <c:pt idx="26">
                  <c:v>MEGA</c:v>
                </c:pt>
                <c:pt idx="27">
                  <c:v>NISP</c:v>
                </c:pt>
                <c:pt idx="28">
                  <c:v>PNBN</c:v>
                </c:pt>
                <c:pt idx="29">
                  <c:v>SDRA</c:v>
                </c:pt>
              </c:strCache>
            </c:strRef>
          </c:cat>
          <c:val>
            <c:numRef>
              <c:f>PDN!$B$3:$B$32</c:f>
              <c:numCache>
                <c:formatCode>0.00</c:formatCode>
                <c:ptCount val="30"/>
                <c:pt idx="0">
                  <c:v>0.98</c:v>
                </c:pt>
                <c:pt idx="1">
                  <c:v>7.68</c:v>
                </c:pt>
                <c:pt idx="2">
                  <c:v>4.28</c:v>
                </c:pt>
                <c:pt idx="3">
                  <c:v>0.09</c:v>
                </c:pt>
                <c:pt idx="4">
                  <c:v>0.46</c:v>
                </c:pt>
                <c:pt idx="5">
                  <c:v>2.4</c:v>
                </c:pt>
                <c:pt idx="6">
                  <c:v>1.87</c:v>
                </c:pt>
                <c:pt idx="7">
                  <c:v>4.1399999999999997</c:v>
                </c:pt>
                <c:pt idx="8">
                  <c:v>1.4</c:v>
                </c:pt>
                <c:pt idx="9">
                  <c:v>0.34</c:v>
                </c:pt>
                <c:pt idx="10">
                  <c:v>0</c:v>
                </c:pt>
                <c:pt idx="11">
                  <c:v>1.1100000000000001</c:v>
                </c:pt>
                <c:pt idx="12">
                  <c:v>1.37</c:v>
                </c:pt>
                <c:pt idx="13">
                  <c:v>2.0299999999999998</c:v>
                </c:pt>
                <c:pt idx="14">
                  <c:v>1.0900000000000001</c:v>
                </c:pt>
                <c:pt idx="15">
                  <c:v>0.84</c:v>
                </c:pt>
                <c:pt idx="16">
                  <c:v>3.63</c:v>
                </c:pt>
                <c:pt idx="17">
                  <c:v>4.55</c:v>
                </c:pt>
                <c:pt idx="18">
                  <c:v>8.6</c:v>
                </c:pt>
                <c:pt idx="19">
                  <c:v>2.2599999999999998</c:v>
                </c:pt>
                <c:pt idx="20">
                  <c:v>0.1</c:v>
                </c:pt>
                <c:pt idx="21">
                  <c:v>0.28999999999999998</c:v>
                </c:pt>
                <c:pt idx="22">
                  <c:v>0.86</c:v>
                </c:pt>
                <c:pt idx="23">
                  <c:v>0.25</c:v>
                </c:pt>
                <c:pt idx="24">
                  <c:v>0.38</c:v>
                </c:pt>
                <c:pt idx="25">
                  <c:v>0.64</c:v>
                </c:pt>
                <c:pt idx="26">
                  <c:v>9.99</c:v>
                </c:pt>
                <c:pt idx="27">
                  <c:v>3.28</c:v>
                </c:pt>
                <c:pt idx="28">
                  <c:v>0.77</c:v>
                </c:pt>
                <c:pt idx="29">
                  <c:v>0.48</c:v>
                </c:pt>
              </c:numCache>
            </c:numRef>
          </c:val>
          <c:extLst xmlns:c16r2="http://schemas.microsoft.com/office/drawing/2015/06/chart">
            <c:ext xmlns:c16="http://schemas.microsoft.com/office/drawing/2014/chart" uri="{C3380CC4-5D6E-409C-BE32-E72D297353CC}">
              <c16:uniqueId val="{00000000-6D0F-44A2-B883-F4E524EB5278}"/>
            </c:ext>
          </c:extLst>
        </c:ser>
        <c:ser>
          <c:idx val="1"/>
          <c:order val="1"/>
          <c:tx>
            <c:strRef>
              <c:f>PDN!$C$2</c:f>
              <c:strCache>
                <c:ptCount val="1"/>
                <c:pt idx="0">
                  <c:v>2020</c:v>
                </c:pt>
              </c:strCache>
            </c:strRef>
          </c:tx>
          <c:spPr>
            <a:solidFill>
              <a:schemeClr val="accent2"/>
            </a:solidFill>
            <a:ln>
              <a:noFill/>
            </a:ln>
            <a:effectLst/>
          </c:spPr>
          <c:invertIfNegative val="0"/>
          <c:cat>
            <c:strRef>
              <c:f>PDN!$A$3:$A$32</c:f>
              <c:strCache>
                <c:ptCount val="30"/>
                <c:pt idx="0">
                  <c:v>AGRO</c:v>
                </c:pt>
                <c:pt idx="1">
                  <c:v>BABP</c:v>
                </c:pt>
                <c:pt idx="2">
                  <c:v>BACA</c:v>
                </c:pt>
                <c:pt idx="3">
                  <c:v>BBCA</c:v>
                </c:pt>
                <c:pt idx="4">
                  <c:v>BBMD</c:v>
                </c:pt>
                <c:pt idx="5">
                  <c:v>BBNI</c:v>
                </c:pt>
                <c:pt idx="6">
                  <c:v>BBRI</c:v>
                </c:pt>
                <c:pt idx="7">
                  <c:v>BBTN</c:v>
                </c:pt>
                <c:pt idx="8">
                  <c:v>BDM</c:v>
                </c:pt>
                <c:pt idx="9">
                  <c:v>BGTG</c:v>
                </c:pt>
                <c:pt idx="10">
                  <c:v>BINA</c:v>
                </c:pt>
                <c:pt idx="11">
                  <c:v>BJBR</c:v>
                </c:pt>
                <c:pt idx="12">
                  <c:v>BJTM</c:v>
                </c:pt>
                <c:pt idx="13">
                  <c:v>BMAS</c:v>
                </c:pt>
                <c:pt idx="14">
                  <c:v>BMRI</c:v>
                </c:pt>
                <c:pt idx="15">
                  <c:v>BNBA</c:v>
                </c:pt>
                <c:pt idx="16">
                  <c:v>BNGA</c:v>
                </c:pt>
                <c:pt idx="17">
                  <c:v>BNII</c:v>
                </c:pt>
                <c:pt idx="18">
                  <c:v>BNLI</c:v>
                </c:pt>
                <c:pt idx="19">
                  <c:v>BSIM</c:v>
                </c:pt>
                <c:pt idx="20">
                  <c:v>BTPN</c:v>
                </c:pt>
                <c:pt idx="21">
                  <c:v>BVIC</c:v>
                </c:pt>
                <c:pt idx="22">
                  <c:v>INPC</c:v>
                </c:pt>
                <c:pt idx="23">
                  <c:v>MASB</c:v>
                </c:pt>
                <c:pt idx="24">
                  <c:v>MAYA</c:v>
                </c:pt>
                <c:pt idx="25">
                  <c:v>MCOR</c:v>
                </c:pt>
                <c:pt idx="26">
                  <c:v>MEGA</c:v>
                </c:pt>
                <c:pt idx="27">
                  <c:v>NISP</c:v>
                </c:pt>
                <c:pt idx="28">
                  <c:v>PNBN</c:v>
                </c:pt>
                <c:pt idx="29">
                  <c:v>SDRA</c:v>
                </c:pt>
              </c:strCache>
            </c:strRef>
          </c:cat>
          <c:val>
            <c:numRef>
              <c:f>PDN!$C$3:$C$32</c:f>
              <c:numCache>
                <c:formatCode>0.00</c:formatCode>
                <c:ptCount val="30"/>
                <c:pt idx="0">
                  <c:v>0.09</c:v>
                </c:pt>
                <c:pt idx="1">
                  <c:v>4.87</c:v>
                </c:pt>
                <c:pt idx="2">
                  <c:v>1.29</c:v>
                </c:pt>
                <c:pt idx="3">
                  <c:v>0.04</c:v>
                </c:pt>
                <c:pt idx="4">
                  <c:v>0.53</c:v>
                </c:pt>
                <c:pt idx="5">
                  <c:v>3.2</c:v>
                </c:pt>
                <c:pt idx="6">
                  <c:v>1.07</c:v>
                </c:pt>
                <c:pt idx="7">
                  <c:v>3.17</c:v>
                </c:pt>
                <c:pt idx="8">
                  <c:v>1.4</c:v>
                </c:pt>
                <c:pt idx="9">
                  <c:v>0.6</c:v>
                </c:pt>
                <c:pt idx="10">
                  <c:v>0.18</c:v>
                </c:pt>
                <c:pt idx="11">
                  <c:v>1.05</c:v>
                </c:pt>
                <c:pt idx="12">
                  <c:v>0.9</c:v>
                </c:pt>
                <c:pt idx="13">
                  <c:v>0.41</c:v>
                </c:pt>
                <c:pt idx="14">
                  <c:v>0.91</c:v>
                </c:pt>
                <c:pt idx="15">
                  <c:v>0.47</c:v>
                </c:pt>
                <c:pt idx="16">
                  <c:v>1.77</c:v>
                </c:pt>
                <c:pt idx="17">
                  <c:v>7.37</c:v>
                </c:pt>
                <c:pt idx="18">
                  <c:v>3.2</c:v>
                </c:pt>
                <c:pt idx="19">
                  <c:v>0.68</c:v>
                </c:pt>
                <c:pt idx="20">
                  <c:v>0.4</c:v>
                </c:pt>
                <c:pt idx="21">
                  <c:v>0.17</c:v>
                </c:pt>
                <c:pt idx="22">
                  <c:v>0.63</c:v>
                </c:pt>
                <c:pt idx="23">
                  <c:v>0.26</c:v>
                </c:pt>
                <c:pt idx="24">
                  <c:v>1.86</c:v>
                </c:pt>
                <c:pt idx="25">
                  <c:v>0.17</c:v>
                </c:pt>
                <c:pt idx="26">
                  <c:v>0.26</c:v>
                </c:pt>
                <c:pt idx="27">
                  <c:v>1.65</c:v>
                </c:pt>
                <c:pt idx="28">
                  <c:v>2.21</c:v>
                </c:pt>
                <c:pt idx="29">
                  <c:v>0.49</c:v>
                </c:pt>
              </c:numCache>
            </c:numRef>
          </c:val>
          <c:extLst xmlns:c16r2="http://schemas.microsoft.com/office/drawing/2015/06/chart">
            <c:ext xmlns:c16="http://schemas.microsoft.com/office/drawing/2014/chart" uri="{C3380CC4-5D6E-409C-BE32-E72D297353CC}">
              <c16:uniqueId val="{00000001-6D0F-44A2-B883-F4E524EB5278}"/>
            </c:ext>
          </c:extLst>
        </c:ser>
        <c:ser>
          <c:idx val="2"/>
          <c:order val="2"/>
          <c:tx>
            <c:strRef>
              <c:f>PDN!$D$2</c:f>
              <c:strCache>
                <c:ptCount val="1"/>
                <c:pt idx="0">
                  <c:v>2021</c:v>
                </c:pt>
              </c:strCache>
            </c:strRef>
          </c:tx>
          <c:spPr>
            <a:solidFill>
              <a:schemeClr val="accent3"/>
            </a:solidFill>
            <a:ln>
              <a:noFill/>
            </a:ln>
            <a:effectLst/>
          </c:spPr>
          <c:invertIfNegative val="0"/>
          <c:cat>
            <c:strRef>
              <c:f>PDN!$A$3:$A$32</c:f>
              <c:strCache>
                <c:ptCount val="30"/>
                <c:pt idx="0">
                  <c:v>AGRO</c:v>
                </c:pt>
                <c:pt idx="1">
                  <c:v>BABP</c:v>
                </c:pt>
                <c:pt idx="2">
                  <c:v>BACA</c:v>
                </c:pt>
                <c:pt idx="3">
                  <c:v>BBCA</c:v>
                </c:pt>
                <c:pt idx="4">
                  <c:v>BBMD</c:v>
                </c:pt>
                <c:pt idx="5">
                  <c:v>BBNI</c:v>
                </c:pt>
                <c:pt idx="6">
                  <c:v>BBRI</c:v>
                </c:pt>
                <c:pt idx="7">
                  <c:v>BBTN</c:v>
                </c:pt>
                <c:pt idx="8">
                  <c:v>BDM</c:v>
                </c:pt>
                <c:pt idx="9">
                  <c:v>BGTG</c:v>
                </c:pt>
                <c:pt idx="10">
                  <c:v>BINA</c:v>
                </c:pt>
                <c:pt idx="11">
                  <c:v>BJBR</c:v>
                </c:pt>
                <c:pt idx="12">
                  <c:v>BJTM</c:v>
                </c:pt>
                <c:pt idx="13">
                  <c:v>BMAS</c:v>
                </c:pt>
                <c:pt idx="14">
                  <c:v>BMRI</c:v>
                </c:pt>
                <c:pt idx="15">
                  <c:v>BNBA</c:v>
                </c:pt>
                <c:pt idx="16">
                  <c:v>BNGA</c:v>
                </c:pt>
                <c:pt idx="17">
                  <c:v>BNII</c:v>
                </c:pt>
                <c:pt idx="18">
                  <c:v>BNLI</c:v>
                </c:pt>
                <c:pt idx="19">
                  <c:v>BSIM</c:v>
                </c:pt>
                <c:pt idx="20">
                  <c:v>BTPN</c:v>
                </c:pt>
                <c:pt idx="21">
                  <c:v>BVIC</c:v>
                </c:pt>
                <c:pt idx="22">
                  <c:v>INPC</c:v>
                </c:pt>
                <c:pt idx="23">
                  <c:v>MASB</c:v>
                </c:pt>
                <c:pt idx="24">
                  <c:v>MAYA</c:v>
                </c:pt>
                <c:pt idx="25">
                  <c:v>MCOR</c:v>
                </c:pt>
                <c:pt idx="26">
                  <c:v>MEGA</c:v>
                </c:pt>
                <c:pt idx="27">
                  <c:v>NISP</c:v>
                </c:pt>
                <c:pt idx="28">
                  <c:v>PNBN</c:v>
                </c:pt>
                <c:pt idx="29">
                  <c:v>SDRA</c:v>
                </c:pt>
              </c:strCache>
            </c:strRef>
          </c:cat>
          <c:val>
            <c:numRef>
              <c:f>PDN!$D$3:$D$32</c:f>
              <c:numCache>
                <c:formatCode>0.00</c:formatCode>
                <c:ptCount val="30"/>
                <c:pt idx="0">
                  <c:v>0.32</c:v>
                </c:pt>
                <c:pt idx="1">
                  <c:v>2.12</c:v>
                </c:pt>
                <c:pt idx="2">
                  <c:v>0.84</c:v>
                </c:pt>
                <c:pt idx="3">
                  <c:v>0.01</c:v>
                </c:pt>
                <c:pt idx="4">
                  <c:v>0.53</c:v>
                </c:pt>
                <c:pt idx="5">
                  <c:v>0.9</c:v>
                </c:pt>
                <c:pt idx="6">
                  <c:v>0.81</c:v>
                </c:pt>
                <c:pt idx="7">
                  <c:v>2.63</c:v>
                </c:pt>
                <c:pt idx="8">
                  <c:v>0.8</c:v>
                </c:pt>
                <c:pt idx="9">
                  <c:v>0.38</c:v>
                </c:pt>
                <c:pt idx="10">
                  <c:v>0.13</c:v>
                </c:pt>
                <c:pt idx="11">
                  <c:v>0.89</c:v>
                </c:pt>
                <c:pt idx="12">
                  <c:v>0.84</c:v>
                </c:pt>
                <c:pt idx="13">
                  <c:v>3.36</c:v>
                </c:pt>
                <c:pt idx="14">
                  <c:v>4.2699999999999996</c:v>
                </c:pt>
                <c:pt idx="15">
                  <c:v>0.87</c:v>
                </c:pt>
                <c:pt idx="16">
                  <c:v>1.22</c:v>
                </c:pt>
                <c:pt idx="17">
                  <c:v>3.38</c:v>
                </c:pt>
                <c:pt idx="18">
                  <c:v>0.3</c:v>
                </c:pt>
                <c:pt idx="19">
                  <c:v>1.1100000000000001</c:v>
                </c:pt>
                <c:pt idx="20">
                  <c:v>0.1</c:v>
                </c:pt>
                <c:pt idx="21">
                  <c:v>0.98</c:v>
                </c:pt>
                <c:pt idx="22">
                  <c:v>2.14</c:v>
                </c:pt>
                <c:pt idx="23">
                  <c:v>0.6</c:v>
                </c:pt>
                <c:pt idx="24">
                  <c:v>0.36</c:v>
                </c:pt>
                <c:pt idx="25">
                  <c:v>0.11</c:v>
                </c:pt>
                <c:pt idx="26">
                  <c:v>0.46</c:v>
                </c:pt>
                <c:pt idx="27">
                  <c:v>3.47</c:v>
                </c:pt>
                <c:pt idx="28">
                  <c:v>0.4</c:v>
                </c:pt>
                <c:pt idx="29">
                  <c:v>0.3</c:v>
                </c:pt>
              </c:numCache>
            </c:numRef>
          </c:val>
          <c:extLst xmlns:c16r2="http://schemas.microsoft.com/office/drawing/2015/06/chart">
            <c:ext xmlns:c16="http://schemas.microsoft.com/office/drawing/2014/chart" uri="{C3380CC4-5D6E-409C-BE32-E72D297353CC}">
              <c16:uniqueId val="{00000002-6D0F-44A2-B883-F4E524EB5278}"/>
            </c:ext>
          </c:extLst>
        </c:ser>
        <c:ser>
          <c:idx val="3"/>
          <c:order val="3"/>
          <c:tx>
            <c:strRef>
              <c:f>PDN!$E$2</c:f>
              <c:strCache>
                <c:ptCount val="1"/>
                <c:pt idx="0">
                  <c:v>2022</c:v>
                </c:pt>
              </c:strCache>
            </c:strRef>
          </c:tx>
          <c:spPr>
            <a:solidFill>
              <a:schemeClr val="accent4"/>
            </a:solidFill>
            <a:ln>
              <a:noFill/>
            </a:ln>
            <a:effectLst/>
          </c:spPr>
          <c:invertIfNegative val="0"/>
          <c:cat>
            <c:strRef>
              <c:f>PDN!$A$3:$A$32</c:f>
              <c:strCache>
                <c:ptCount val="30"/>
                <c:pt idx="0">
                  <c:v>AGRO</c:v>
                </c:pt>
                <c:pt idx="1">
                  <c:v>BABP</c:v>
                </c:pt>
                <c:pt idx="2">
                  <c:v>BACA</c:v>
                </c:pt>
                <c:pt idx="3">
                  <c:v>BBCA</c:v>
                </c:pt>
                <c:pt idx="4">
                  <c:v>BBMD</c:v>
                </c:pt>
                <c:pt idx="5">
                  <c:v>BBNI</c:v>
                </c:pt>
                <c:pt idx="6">
                  <c:v>BBRI</c:v>
                </c:pt>
                <c:pt idx="7">
                  <c:v>BBTN</c:v>
                </c:pt>
                <c:pt idx="8">
                  <c:v>BDM</c:v>
                </c:pt>
                <c:pt idx="9">
                  <c:v>BGTG</c:v>
                </c:pt>
                <c:pt idx="10">
                  <c:v>BINA</c:v>
                </c:pt>
                <c:pt idx="11">
                  <c:v>BJBR</c:v>
                </c:pt>
                <c:pt idx="12">
                  <c:v>BJTM</c:v>
                </c:pt>
                <c:pt idx="13">
                  <c:v>BMAS</c:v>
                </c:pt>
                <c:pt idx="14">
                  <c:v>BMRI</c:v>
                </c:pt>
                <c:pt idx="15">
                  <c:v>BNBA</c:v>
                </c:pt>
                <c:pt idx="16">
                  <c:v>BNGA</c:v>
                </c:pt>
                <c:pt idx="17">
                  <c:v>BNII</c:v>
                </c:pt>
                <c:pt idx="18">
                  <c:v>BNLI</c:v>
                </c:pt>
                <c:pt idx="19">
                  <c:v>BSIM</c:v>
                </c:pt>
                <c:pt idx="20">
                  <c:v>BTPN</c:v>
                </c:pt>
                <c:pt idx="21">
                  <c:v>BVIC</c:v>
                </c:pt>
                <c:pt idx="22">
                  <c:v>INPC</c:v>
                </c:pt>
                <c:pt idx="23">
                  <c:v>MASB</c:v>
                </c:pt>
                <c:pt idx="24">
                  <c:v>MAYA</c:v>
                </c:pt>
                <c:pt idx="25">
                  <c:v>MCOR</c:v>
                </c:pt>
                <c:pt idx="26">
                  <c:v>MEGA</c:v>
                </c:pt>
                <c:pt idx="27">
                  <c:v>NISP</c:v>
                </c:pt>
                <c:pt idx="28">
                  <c:v>PNBN</c:v>
                </c:pt>
                <c:pt idx="29">
                  <c:v>SDRA</c:v>
                </c:pt>
              </c:strCache>
            </c:strRef>
          </c:cat>
          <c:val>
            <c:numRef>
              <c:f>PDN!$E$3:$E$32</c:f>
              <c:numCache>
                <c:formatCode>0.00</c:formatCode>
                <c:ptCount val="30"/>
                <c:pt idx="0">
                  <c:v>0.93</c:v>
                </c:pt>
                <c:pt idx="1">
                  <c:v>0.85</c:v>
                </c:pt>
                <c:pt idx="2">
                  <c:v>0.87</c:v>
                </c:pt>
                <c:pt idx="3">
                  <c:v>0.01</c:v>
                </c:pt>
                <c:pt idx="4">
                  <c:v>0.57999999999999996</c:v>
                </c:pt>
                <c:pt idx="5">
                  <c:v>1.6</c:v>
                </c:pt>
                <c:pt idx="6">
                  <c:v>0.85</c:v>
                </c:pt>
                <c:pt idx="7">
                  <c:v>4.17</c:v>
                </c:pt>
                <c:pt idx="8">
                  <c:v>1.4</c:v>
                </c:pt>
                <c:pt idx="9">
                  <c:v>0.38</c:v>
                </c:pt>
                <c:pt idx="10">
                  <c:v>0</c:v>
                </c:pt>
                <c:pt idx="11">
                  <c:v>1.84</c:v>
                </c:pt>
                <c:pt idx="12">
                  <c:v>3.26</c:v>
                </c:pt>
                <c:pt idx="13">
                  <c:v>1.1499999999999999</c:v>
                </c:pt>
                <c:pt idx="14">
                  <c:v>9.7799999999999994</c:v>
                </c:pt>
                <c:pt idx="15">
                  <c:v>0.73</c:v>
                </c:pt>
                <c:pt idx="16">
                  <c:v>0.77</c:v>
                </c:pt>
                <c:pt idx="17">
                  <c:v>2.61</c:v>
                </c:pt>
                <c:pt idx="18">
                  <c:v>0.1</c:v>
                </c:pt>
                <c:pt idx="19">
                  <c:v>0.81</c:v>
                </c:pt>
                <c:pt idx="20">
                  <c:v>0.3</c:v>
                </c:pt>
                <c:pt idx="21">
                  <c:v>0.12</c:v>
                </c:pt>
                <c:pt idx="22">
                  <c:v>0.82</c:v>
                </c:pt>
                <c:pt idx="23">
                  <c:v>0.27</c:v>
                </c:pt>
                <c:pt idx="24">
                  <c:v>0.5</c:v>
                </c:pt>
                <c:pt idx="25">
                  <c:v>0.4</c:v>
                </c:pt>
                <c:pt idx="26">
                  <c:v>0.21</c:v>
                </c:pt>
                <c:pt idx="27">
                  <c:v>2.56</c:v>
                </c:pt>
                <c:pt idx="28">
                  <c:v>0.73</c:v>
                </c:pt>
                <c:pt idx="29">
                  <c:v>0.9</c:v>
                </c:pt>
              </c:numCache>
            </c:numRef>
          </c:val>
          <c:extLst xmlns:c16r2="http://schemas.microsoft.com/office/drawing/2015/06/chart">
            <c:ext xmlns:c16="http://schemas.microsoft.com/office/drawing/2014/chart" uri="{C3380CC4-5D6E-409C-BE32-E72D297353CC}">
              <c16:uniqueId val="{00000003-6D0F-44A2-B883-F4E524EB5278}"/>
            </c:ext>
          </c:extLst>
        </c:ser>
        <c:ser>
          <c:idx val="4"/>
          <c:order val="4"/>
          <c:tx>
            <c:strRef>
              <c:f>PDN!$F$2</c:f>
              <c:strCache>
                <c:ptCount val="1"/>
                <c:pt idx="0">
                  <c:v>2023</c:v>
                </c:pt>
              </c:strCache>
            </c:strRef>
          </c:tx>
          <c:spPr>
            <a:solidFill>
              <a:schemeClr val="accent5"/>
            </a:solidFill>
            <a:ln>
              <a:noFill/>
            </a:ln>
            <a:effectLst/>
          </c:spPr>
          <c:invertIfNegative val="0"/>
          <c:cat>
            <c:strRef>
              <c:f>PDN!$A$3:$A$32</c:f>
              <c:strCache>
                <c:ptCount val="30"/>
                <c:pt idx="0">
                  <c:v>AGRO</c:v>
                </c:pt>
                <c:pt idx="1">
                  <c:v>BABP</c:v>
                </c:pt>
                <c:pt idx="2">
                  <c:v>BACA</c:v>
                </c:pt>
                <c:pt idx="3">
                  <c:v>BBCA</c:v>
                </c:pt>
                <c:pt idx="4">
                  <c:v>BBMD</c:v>
                </c:pt>
                <c:pt idx="5">
                  <c:v>BBNI</c:v>
                </c:pt>
                <c:pt idx="6">
                  <c:v>BBRI</c:v>
                </c:pt>
                <c:pt idx="7">
                  <c:v>BBTN</c:v>
                </c:pt>
                <c:pt idx="8">
                  <c:v>BDM</c:v>
                </c:pt>
                <c:pt idx="9">
                  <c:v>BGTG</c:v>
                </c:pt>
                <c:pt idx="10">
                  <c:v>BINA</c:v>
                </c:pt>
                <c:pt idx="11">
                  <c:v>BJBR</c:v>
                </c:pt>
                <c:pt idx="12">
                  <c:v>BJTM</c:v>
                </c:pt>
                <c:pt idx="13">
                  <c:v>BMAS</c:v>
                </c:pt>
                <c:pt idx="14">
                  <c:v>BMRI</c:v>
                </c:pt>
                <c:pt idx="15">
                  <c:v>BNBA</c:v>
                </c:pt>
                <c:pt idx="16">
                  <c:v>BNGA</c:v>
                </c:pt>
                <c:pt idx="17">
                  <c:v>BNII</c:v>
                </c:pt>
                <c:pt idx="18">
                  <c:v>BNLI</c:v>
                </c:pt>
                <c:pt idx="19">
                  <c:v>BSIM</c:v>
                </c:pt>
                <c:pt idx="20">
                  <c:v>BTPN</c:v>
                </c:pt>
                <c:pt idx="21">
                  <c:v>BVIC</c:v>
                </c:pt>
                <c:pt idx="22">
                  <c:v>INPC</c:v>
                </c:pt>
                <c:pt idx="23">
                  <c:v>MASB</c:v>
                </c:pt>
                <c:pt idx="24">
                  <c:v>MAYA</c:v>
                </c:pt>
                <c:pt idx="25">
                  <c:v>MCOR</c:v>
                </c:pt>
                <c:pt idx="26">
                  <c:v>MEGA</c:v>
                </c:pt>
                <c:pt idx="27">
                  <c:v>NISP</c:v>
                </c:pt>
                <c:pt idx="28">
                  <c:v>PNBN</c:v>
                </c:pt>
                <c:pt idx="29">
                  <c:v>SDRA</c:v>
                </c:pt>
              </c:strCache>
            </c:strRef>
          </c:cat>
          <c:val>
            <c:numRef>
              <c:f>PDN!$F$3:$F$32</c:f>
              <c:numCache>
                <c:formatCode>0.00</c:formatCode>
                <c:ptCount val="30"/>
                <c:pt idx="0">
                  <c:v>0.12</c:v>
                </c:pt>
                <c:pt idx="1">
                  <c:v>1.1100000000000001</c:v>
                </c:pt>
                <c:pt idx="2">
                  <c:v>0.33</c:v>
                </c:pt>
                <c:pt idx="3">
                  <c:v>0.01</c:v>
                </c:pt>
                <c:pt idx="4">
                  <c:v>0.41</c:v>
                </c:pt>
                <c:pt idx="5">
                  <c:v>1.7</c:v>
                </c:pt>
                <c:pt idx="6">
                  <c:v>0.62</c:v>
                </c:pt>
                <c:pt idx="7">
                  <c:v>1.73</c:v>
                </c:pt>
                <c:pt idx="8">
                  <c:v>0.9</c:v>
                </c:pt>
                <c:pt idx="9">
                  <c:v>0.17</c:v>
                </c:pt>
                <c:pt idx="10">
                  <c:v>0</c:v>
                </c:pt>
                <c:pt idx="11">
                  <c:v>8.09</c:v>
                </c:pt>
                <c:pt idx="12">
                  <c:v>0.43</c:v>
                </c:pt>
                <c:pt idx="13">
                  <c:v>1.52</c:v>
                </c:pt>
                <c:pt idx="14">
                  <c:v>1.28</c:v>
                </c:pt>
                <c:pt idx="15">
                  <c:v>0.98</c:v>
                </c:pt>
                <c:pt idx="16">
                  <c:v>3.05</c:v>
                </c:pt>
                <c:pt idx="17">
                  <c:v>4.6100000000000003</c:v>
                </c:pt>
                <c:pt idx="18">
                  <c:v>0.7</c:v>
                </c:pt>
                <c:pt idx="19">
                  <c:v>6.57</c:v>
                </c:pt>
                <c:pt idx="20">
                  <c:v>0.5</c:v>
                </c:pt>
                <c:pt idx="21">
                  <c:v>0.39</c:v>
                </c:pt>
                <c:pt idx="22">
                  <c:v>0.81</c:v>
                </c:pt>
                <c:pt idx="23">
                  <c:v>0.15</c:v>
                </c:pt>
                <c:pt idx="24">
                  <c:v>0.11</c:v>
                </c:pt>
                <c:pt idx="25">
                  <c:v>0.17</c:v>
                </c:pt>
                <c:pt idx="26">
                  <c:v>0.75</c:v>
                </c:pt>
                <c:pt idx="27">
                  <c:v>1.55</c:v>
                </c:pt>
                <c:pt idx="28">
                  <c:v>0.18</c:v>
                </c:pt>
                <c:pt idx="29">
                  <c:v>0.24</c:v>
                </c:pt>
              </c:numCache>
            </c:numRef>
          </c:val>
          <c:extLst xmlns:c16r2="http://schemas.microsoft.com/office/drawing/2015/06/chart">
            <c:ext xmlns:c16="http://schemas.microsoft.com/office/drawing/2014/chart" uri="{C3380CC4-5D6E-409C-BE32-E72D297353CC}">
              <c16:uniqueId val="{00000004-6D0F-44A2-B883-F4E524EB5278}"/>
            </c:ext>
          </c:extLst>
        </c:ser>
        <c:dLbls>
          <c:showLegendKey val="0"/>
          <c:showVal val="0"/>
          <c:showCatName val="0"/>
          <c:showSerName val="0"/>
          <c:showPercent val="0"/>
          <c:showBubbleSize val="0"/>
        </c:dLbls>
        <c:gapWidth val="219"/>
        <c:overlap val="-27"/>
        <c:axId val="380213328"/>
        <c:axId val="380212936"/>
      </c:barChart>
      <c:catAx>
        <c:axId val="380213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0212936"/>
        <c:crosses val="autoZero"/>
        <c:auto val="1"/>
        <c:lblAlgn val="ctr"/>
        <c:lblOffset val="100"/>
        <c:noMultiLvlLbl val="0"/>
      </c:catAx>
      <c:valAx>
        <c:axId val="3802129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0213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Biaya</a:t>
            </a:r>
            <a:r>
              <a:rPr lang="en-US" baseline="0"/>
              <a:t> Operasional Beban Operasional</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BOPO!$B$2</c:f>
              <c:strCache>
                <c:ptCount val="1"/>
                <c:pt idx="0">
                  <c:v>2019</c:v>
                </c:pt>
              </c:strCache>
            </c:strRef>
          </c:tx>
          <c:spPr>
            <a:solidFill>
              <a:schemeClr val="accent1"/>
            </a:solidFill>
            <a:ln>
              <a:noFill/>
            </a:ln>
            <a:effectLst/>
          </c:spPr>
          <c:invertIfNegative val="0"/>
          <c:cat>
            <c:strRef>
              <c:f>BOPO!$A$3:$A$32</c:f>
              <c:strCache>
                <c:ptCount val="30"/>
                <c:pt idx="0">
                  <c:v>AGRO</c:v>
                </c:pt>
                <c:pt idx="1">
                  <c:v>BABP</c:v>
                </c:pt>
                <c:pt idx="2">
                  <c:v>BACA</c:v>
                </c:pt>
                <c:pt idx="3">
                  <c:v>BBCA</c:v>
                </c:pt>
                <c:pt idx="4">
                  <c:v>BBMD</c:v>
                </c:pt>
                <c:pt idx="5">
                  <c:v>BBNI</c:v>
                </c:pt>
                <c:pt idx="6">
                  <c:v>BBRI</c:v>
                </c:pt>
                <c:pt idx="7">
                  <c:v>BBTN</c:v>
                </c:pt>
                <c:pt idx="8">
                  <c:v>BDM</c:v>
                </c:pt>
                <c:pt idx="9">
                  <c:v>BGTG</c:v>
                </c:pt>
                <c:pt idx="10">
                  <c:v>BINA</c:v>
                </c:pt>
                <c:pt idx="11">
                  <c:v>BJBR</c:v>
                </c:pt>
                <c:pt idx="12">
                  <c:v>BJTM</c:v>
                </c:pt>
                <c:pt idx="13">
                  <c:v>BMAS</c:v>
                </c:pt>
                <c:pt idx="14">
                  <c:v>BMRI</c:v>
                </c:pt>
                <c:pt idx="15">
                  <c:v>BNBA</c:v>
                </c:pt>
                <c:pt idx="16">
                  <c:v>BNGA</c:v>
                </c:pt>
                <c:pt idx="17">
                  <c:v>BNII</c:v>
                </c:pt>
                <c:pt idx="18">
                  <c:v>BNLI</c:v>
                </c:pt>
                <c:pt idx="19">
                  <c:v>BSIM</c:v>
                </c:pt>
                <c:pt idx="20">
                  <c:v>BTPN</c:v>
                </c:pt>
                <c:pt idx="21">
                  <c:v>BVIC</c:v>
                </c:pt>
                <c:pt idx="22">
                  <c:v>INPC</c:v>
                </c:pt>
                <c:pt idx="23">
                  <c:v>MASB</c:v>
                </c:pt>
                <c:pt idx="24">
                  <c:v>MAYA</c:v>
                </c:pt>
                <c:pt idx="25">
                  <c:v>MCOR</c:v>
                </c:pt>
                <c:pt idx="26">
                  <c:v>MEGA</c:v>
                </c:pt>
                <c:pt idx="27">
                  <c:v>NISP</c:v>
                </c:pt>
                <c:pt idx="28">
                  <c:v>PNBN</c:v>
                </c:pt>
                <c:pt idx="29">
                  <c:v>SDRA</c:v>
                </c:pt>
              </c:strCache>
            </c:strRef>
          </c:cat>
          <c:val>
            <c:numRef>
              <c:f>BOPO!$B$3:$B$32</c:f>
              <c:numCache>
                <c:formatCode>General</c:formatCode>
                <c:ptCount val="30"/>
                <c:pt idx="0">
                  <c:v>86.16</c:v>
                </c:pt>
                <c:pt idx="1">
                  <c:v>95.21</c:v>
                </c:pt>
                <c:pt idx="2">
                  <c:v>98.12</c:v>
                </c:pt>
                <c:pt idx="3">
                  <c:v>59.1</c:v>
                </c:pt>
                <c:pt idx="4">
                  <c:v>71.48</c:v>
                </c:pt>
                <c:pt idx="5">
                  <c:v>73.2</c:v>
                </c:pt>
                <c:pt idx="6">
                  <c:v>70.099999999999994</c:v>
                </c:pt>
                <c:pt idx="7">
                  <c:v>98.12</c:v>
                </c:pt>
                <c:pt idx="8">
                  <c:v>82.7</c:v>
                </c:pt>
                <c:pt idx="9">
                  <c:v>96.69</c:v>
                </c:pt>
                <c:pt idx="10">
                  <c:v>96.8</c:v>
                </c:pt>
                <c:pt idx="11">
                  <c:v>84.23</c:v>
                </c:pt>
                <c:pt idx="12">
                  <c:v>71.400000000000006</c:v>
                </c:pt>
                <c:pt idx="13">
                  <c:v>87.1</c:v>
                </c:pt>
                <c:pt idx="14">
                  <c:v>67.44</c:v>
                </c:pt>
                <c:pt idx="15">
                  <c:v>89.55</c:v>
                </c:pt>
                <c:pt idx="16">
                  <c:v>82.44</c:v>
                </c:pt>
                <c:pt idx="17">
                  <c:v>85.78</c:v>
                </c:pt>
                <c:pt idx="18">
                  <c:v>85.7</c:v>
                </c:pt>
                <c:pt idx="19">
                  <c:v>119.43</c:v>
                </c:pt>
                <c:pt idx="20">
                  <c:v>80.5</c:v>
                </c:pt>
                <c:pt idx="21">
                  <c:v>100.69</c:v>
                </c:pt>
                <c:pt idx="22">
                  <c:v>105.11</c:v>
                </c:pt>
                <c:pt idx="23">
                  <c:v>85.02</c:v>
                </c:pt>
                <c:pt idx="24">
                  <c:v>92.16</c:v>
                </c:pt>
                <c:pt idx="25">
                  <c:v>91.49</c:v>
                </c:pt>
                <c:pt idx="26">
                  <c:v>74.099999999999994</c:v>
                </c:pt>
                <c:pt idx="27">
                  <c:v>74.77</c:v>
                </c:pt>
                <c:pt idx="28">
                  <c:v>77.959999999999994</c:v>
                </c:pt>
                <c:pt idx="29">
                  <c:v>75.75</c:v>
                </c:pt>
              </c:numCache>
            </c:numRef>
          </c:val>
          <c:extLst xmlns:c16r2="http://schemas.microsoft.com/office/drawing/2015/06/chart">
            <c:ext xmlns:c16="http://schemas.microsoft.com/office/drawing/2014/chart" uri="{C3380CC4-5D6E-409C-BE32-E72D297353CC}">
              <c16:uniqueId val="{00000000-75AC-4386-9E90-280A37EFD062}"/>
            </c:ext>
          </c:extLst>
        </c:ser>
        <c:ser>
          <c:idx val="1"/>
          <c:order val="1"/>
          <c:tx>
            <c:strRef>
              <c:f>BOPO!$C$2</c:f>
              <c:strCache>
                <c:ptCount val="1"/>
                <c:pt idx="0">
                  <c:v>2020</c:v>
                </c:pt>
              </c:strCache>
            </c:strRef>
          </c:tx>
          <c:spPr>
            <a:solidFill>
              <a:schemeClr val="accent2"/>
            </a:solidFill>
            <a:ln>
              <a:noFill/>
            </a:ln>
            <a:effectLst/>
          </c:spPr>
          <c:invertIfNegative val="0"/>
          <c:cat>
            <c:strRef>
              <c:f>BOPO!$A$3:$A$32</c:f>
              <c:strCache>
                <c:ptCount val="30"/>
                <c:pt idx="0">
                  <c:v>AGRO</c:v>
                </c:pt>
                <c:pt idx="1">
                  <c:v>BABP</c:v>
                </c:pt>
                <c:pt idx="2">
                  <c:v>BACA</c:v>
                </c:pt>
                <c:pt idx="3">
                  <c:v>BBCA</c:v>
                </c:pt>
                <c:pt idx="4">
                  <c:v>BBMD</c:v>
                </c:pt>
                <c:pt idx="5">
                  <c:v>BBNI</c:v>
                </c:pt>
                <c:pt idx="6">
                  <c:v>BBRI</c:v>
                </c:pt>
                <c:pt idx="7">
                  <c:v>BBTN</c:v>
                </c:pt>
                <c:pt idx="8">
                  <c:v>BDM</c:v>
                </c:pt>
                <c:pt idx="9">
                  <c:v>BGTG</c:v>
                </c:pt>
                <c:pt idx="10">
                  <c:v>BINA</c:v>
                </c:pt>
                <c:pt idx="11">
                  <c:v>BJBR</c:v>
                </c:pt>
                <c:pt idx="12">
                  <c:v>BJTM</c:v>
                </c:pt>
                <c:pt idx="13">
                  <c:v>BMAS</c:v>
                </c:pt>
                <c:pt idx="14">
                  <c:v>BMRI</c:v>
                </c:pt>
                <c:pt idx="15">
                  <c:v>BNBA</c:v>
                </c:pt>
                <c:pt idx="16">
                  <c:v>BNGA</c:v>
                </c:pt>
                <c:pt idx="17">
                  <c:v>BNII</c:v>
                </c:pt>
                <c:pt idx="18">
                  <c:v>BNLI</c:v>
                </c:pt>
                <c:pt idx="19">
                  <c:v>BSIM</c:v>
                </c:pt>
                <c:pt idx="20">
                  <c:v>BTPN</c:v>
                </c:pt>
                <c:pt idx="21">
                  <c:v>BVIC</c:v>
                </c:pt>
                <c:pt idx="22">
                  <c:v>INPC</c:v>
                </c:pt>
                <c:pt idx="23">
                  <c:v>MASB</c:v>
                </c:pt>
                <c:pt idx="24">
                  <c:v>MAYA</c:v>
                </c:pt>
                <c:pt idx="25">
                  <c:v>MCOR</c:v>
                </c:pt>
                <c:pt idx="26">
                  <c:v>MEGA</c:v>
                </c:pt>
                <c:pt idx="27">
                  <c:v>NISP</c:v>
                </c:pt>
                <c:pt idx="28">
                  <c:v>PNBN</c:v>
                </c:pt>
                <c:pt idx="29">
                  <c:v>SDRA</c:v>
                </c:pt>
              </c:strCache>
            </c:strRef>
          </c:cat>
          <c:val>
            <c:numRef>
              <c:f>BOPO!$C$3:$C$32</c:f>
              <c:numCache>
                <c:formatCode>General</c:formatCode>
                <c:ptCount val="30"/>
                <c:pt idx="0">
                  <c:v>97.12</c:v>
                </c:pt>
                <c:pt idx="1">
                  <c:v>98.09</c:v>
                </c:pt>
                <c:pt idx="2">
                  <c:v>98.84</c:v>
                </c:pt>
                <c:pt idx="3">
                  <c:v>63.5</c:v>
                </c:pt>
                <c:pt idx="4">
                  <c:v>67.59</c:v>
                </c:pt>
                <c:pt idx="5">
                  <c:v>93.3</c:v>
                </c:pt>
                <c:pt idx="6">
                  <c:v>81.22</c:v>
                </c:pt>
                <c:pt idx="7">
                  <c:v>91.61</c:v>
                </c:pt>
                <c:pt idx="8">
                  <c:v>88.9</c:v>
                </c:pt>
                <c:pt idx="9">
                  <c:v>98.4</c:v>
                </c:pt>
                <c:pt idx="10">
                  <c:v>93.8</c:v>
                </c:pt>
                <c:pt idx="11">
                  <c:v>83.95</c:v>
                </c:pt>
                <c:pt idx="12">
                  <c:v>77.760000000000005</c:v>
                </c:pt>
                <c:pt idx="13">
                  <c:v>87.58</c:v>
                </c:pt>
                <c:pt idx="14">
                  <c:v>80.03</c:v>
                </c:pt>
                <c:pt idx="15">
                  <c:v>92.02</c:v>
                </c:pt>
                <c:pt idx="16">
                  <c:v>89.38</c:v>
                </c:pt>
                <c:pt idx="17">
                  <c:v>87.83</c:v>
                </c:pt>
                <c:pt idx="18">
                  <c:v>88.8</c:v>
                </c:pt>
                <c:pt idx="19">
                  <c:v>111.7</c:v>
                </c:pt>
                <c:pt idx="20">
                  <c:v>85.5</c:v>
                </c:pt>
                <c:pt idx="21">
                  <c:v>112.09</c:v>
                </c:pt>
                <c:pt idx="22">
                  <c:v>97.75</c:v>
                </c:pt>
                <c:pt idx="23">
                  <c:v>86.73</c:v>
                </c:pt>
                <c:pt idx="24">
                  <c:v>98.41</c:v>
                </c:pt>
                <c:pt idx="25">
                  <c:v>97.7</c:v>
                </c:pt>
                <c:pt idx="26">
                  <c:v>65.94</c:v>
                </c:pt>
                <c:pt idx="27">
                  <c:v>81.13</c:v>
                </c:pt>
                <c:pt idx="28">
                  <c:v>79.540000000000006</c:v>
                </c:pt>
                <c:pt idx="29">
                  <c:v>74.22</c:v>
                </c:pt>
              </c:numCache>
            </c:numRef>
          </c:val>
          <c:extLst xmlns:c16r2="http://schemas.microsoft.com/office/drawing/2015/06/chart">
            <c:ext xmlns:c16="http://schemas.microsoft.com/office/drawing/2014/chart" uri="{C3380CC4-5D6E-409C-BE32-E72D297353CC}">
              <c16:uniqueId val="{00000001-75AC-4386-9E90-280A37EFD062}"/>
            </c:ext>
          </c:extLst>
        </c:ser>
        <c:ser>
          <c:idx val="2"/>
          <c:order val="2"/>
          <c:tx>
            <c:strRef>
              <c:f>BOPO!$D$2</c:f>
              <c:strCache>
                <c:ptCount val="1"/>
                <c:pt idx="0">
                  <c:v>2021</c:v>
                </c:pt>
              </c:strCache>
            </c:strRef>
          </c:tx>
          <c:spPr>
            <a:solidFill>
              <a:schemeClr val="accent3"/>
            </a:solidFill>
            <a:ln>
              <a:noFill/>
            </a:ln>
            <a:effectLst/>
          </c:spPr>
          <c:invertIfNegative val="0"/>
          <c:cat>
            <c:strRef>
              <c:f>BOPO!$A$3:$A$32</c:f>
              <c:strCache>
                <c:ptCount val="30"/>
                <c:pt idx="0">
                  <c:v>AGRO</c:v>
                </c:pt>
                <c:pt idx="1">
                  <c:v>BABP</c:v>
                </c:pt>
                <c:pt idx="2">
                  <c:v>BACA</c:v>
                </c:pt>
                <c:pt idx="3">
                  <c:v>BBCA</c:v>
                </c:pt>
                <c:pt idx="4">
                  <c:v>BBMD</c:v>
                </c:pt>
                <c:pt idx="5">
                  <c:v>BBNI</c:v>
                </c:pt>
                <c:pt idx="6">
                  <c:v>BBRI</c:v>
                </c:pt>
                <c:pt idx="7">
                  <c:v>BBTN</c:v>
                </c:pt>
                <c:pt idx="8">
                  <c:v>BDM</c:v>
                </c:pt>
                <c:pt idx="9">
                  <c:v>BGTG</c:v>
                </c:pt>
                <c:pt idx="10">
                  <c:v>BINA</c:v>
                </c:pt>
                <c:pt idx="11">
                  <c:v>BJBR</c:v>
                </c:pt>
                <c:pt idx="12">
                  <c:v>BJTM</c:v>
                </c:pt>
                <c:pt idx="13">
                  <c:v>BMAS</c:v>
                </c:pt>
                <c:pt idx="14">
                  <c:v>BMRI</c:v>
                </c:pt>
                <c:pt idx="15">
                  <c:v>BNBA</c:v>
                </c:pt>
                <c:pt idx="16">
                  <c:v>BNGA</c:v>
                </c:pt>
                <c:pt idx="17">
                  <c:v>BNII</c:v>
                </c:pt>
                <c:pt idx="18">
                  <c:v>BNLI</c:v>
                </c:pt>
                <c:pt idx="19">
                  <c:v>BSIM</c:v>
                </c:pt>
                <c:pt idx="20">
                  <c:v>BTPN</c:v>
                </c:pt>
                <c:pt idx="21">
                  <c:v>BVIC</c:v>
                </c:pt>
                <c:pt idx="22">
                  <c:v>INPC</c:v>
                </c:pt>
                <c:pt idx="23">
                  <c:v>MASB</c:v>
                </c:pt>
                <c:pt idx="24">
                  <c:v>MAYA</c:v>
                </c:pt>
                <c:pt idx="25">
                  <c:v>MCOR</c:v>
                </c:pt>
                <c:pt idx="26">
                  <c:v>MEGA</c:v>
                </c:pt>
                <c:pt idx="27">
                  <c:v>NISP</c:v>
                </c:pt>
                <c:pt idx="28">
                  <c:v>PNBN</c:v>
                </c:pt>
                <c:pt idx="29">
                  <c:v>SDRA</c:v>
                </c:pt>
              </c:strCache>
            </c:strRef>
          </c:cat>
          <c:val>
            <c:numRef>
              <c:f>BOPO!$D$3:$D$32</c:f>
              <c:numCache>
                <c:formatCode>General</c:formatCode>
                <c:ptCount val="30"/>
                <c:pt idx="0">
                  <c:v>287.86</c:v>
                </c:pt>
                <c:pt idx="1">
                  <c:v>97.81</c:v>
                </c:pt>
                <c:pt idx="2">
                  <c:v>98.23</c:v>
                </c:pt>
                <c:pt idx="3">
                  <c:v>54.2</c:v>
                </c:pt>
                <c:pt idx="4">
                  <c:v>51.7</c:v>
                </c:pt>
                <c:pt idx="5">
                  <c:v>81.2</c:v>
                </c:pt>
                <c:pt idx="6">
                  <c:v>74.3</c:v>
                </c:pt>
                <c:pt idx="7">
                  <c:v>89.28</c:v>
                </c:pt>
                <c:pt idx="8">
                  <c:v>86.6</c:v>
                </c:pt>
                <c:pt idx="9">
                  <c:v>94.81</c:v>
                </c:pt>
                <c:pt idx="10">
                  <c:v>92.42</c:v>
                </c:pt>
                <c:pt idx="11">
                  <c:v>81.94</c:v>
                </c:pt>
                <c:pt idx="12">
                  <c:v>75.95</c:v>
                </c:pt>
                <c:pt idx="13">
                  <c:v>89.48</c:v>
                </c:pt>
                <c:pt idx="14">
                  <c:v>67.260000000000005</c:v>
                </c:pt>
                <c:pt idx="15">
                  <c:v>88.87</c:v>
                </c:pt>
                <c:pt idx="16">
                  <c:v>78.37</c:v>
                </c:pt>
                <c:pt idx="17">
                  <c:v>82.69</c:v>
                </c:pt>
                <c:pt idx="18">
                  <c:v>90.1</c:v>
                </c:pt>
                <c:pt idx="19">
                  <c:v>97.12</c:v>
                </c:pt>
                <c:pt idx="20">
                  <c:v>76</c:v>
                </c:pt>
                <c:pt idx="21">
                  <c:v>104.94</c:v>
                </c:pt>
                <c:pt idx="22">
                  <c:v>111.09</c:v>
                </c:pt>
                <c:pt idx="23">
                  <c:v>78.680000000000007</c:v>
                </c:pt>
                <c:pt idx="24">
                  <c:v>98.83</c:v>
                </c:pt>
                <c:pt idx="25">
                  <c:v>92.75</c:v>
                </c:pt>
                <c:pt idx="26">
                  <c:v>56.06</c:v>
                </c:pt>
                <c:pt idx="27">
                  <c:v>76.5</c:v>
                </c:pt>
                <c:pt idx="28">
                  <c:v>86.09</c:v>
                </c:pt>
                <c:pt idx="29">
                  <c:v>70.319999999999993</c:v>
                </c:pt>
              </c:numCache>
            </c:numRef>
          </c:val>
          <c:extLst xmlns:c16r2="http://schemas.microsoft.com/office/drawing/2015/06/chart">
            <c:ext xmlns:c16="http://schemas.microsoft.com/office/drawing/2014/chart" uri="{C3380CC4-5D6E-409C-BE32-E72D297353CC}">
              <c16:uniqueId val="{00000002-75AC-4386-9E90-280A37EFD062}"/>
            </c:ext>
          </c:extLst>
        </c:ser>
        <c:ser>
          <c:idx val="3"/>
          <c:order val="3"/>
          <c:tx>
            <c:strRef>
              <c:f>BOPO!$E$2</c:f>
              <c:strCache>
                <c:ptCount val="1"/>
                <c:pt idx="0">
                  <c:v>2022</c:v>
                </c:pt>
              </c:strCache>
            </c:strRef>
          </c:tx>
          <c:spPr>
            <a:solidFill>
              <a:schemeClr val="accent4"/>
            </a:solidFill>
            <a:ln>
              <a:noFill/>
            </a:ln>
            <a:effectLst/>
          </c:spPr>
          <c:invertIfNegative val="0"/>
          <c:cat>
            <c:strRef>
              <c:f>BOPO!$A$3:$A$32</c:f>
              <c:strCache>
                <c:ptCount val="30"/>
                <c:pt idx="0">
                  <c:v>AGRO</c:v>
                </c:pt>
                <c:pt idx="1">
                  <c:v>BABP</c:v>
                </c:pt>
                <c:pt idx="2">
                  <c:v>BACA</c:v>
                </c:pt>
                <c:pt idx="3">
                  <c:v>BBCA</c:v>
                </c:pt>
                <c:pt idx="4">
                  <c:v>BBMD</c:v>
                </c:pt>
                <c:pt idx="5">
                  <c:v>BBNI</c:v>
                </c:pt>
                <c:pt idx="6">
                  <c:v>BBRI</c:v>
                </c:pt>
                <c:pt idx="7">
                  <c:v>BBTN</c:v>
                </c:pt>
                <c:pt idx="8">
                  <c:v>BDM</c:v>
                </c:pt>
                <c:pt idx="9">
                  <c:v>BGTG</c:v>
                </c:pt>
                <c:pt idx="10">
                  <c:v>BINA</c:v>
                </c:pt>
                <c:pt idx="11">
                  <c:v>BJBR</c:v>
                </c:pt>
                <c:pt idx="12">
                  <c:v>BJTM</c:v>
                </c:pt>
                <c:pt idx="13">
                  <c:v>BMAS</c:v>
                </c:pt>
                <c:pt idx="14">
                  <c:v>BMRI</c:v>
                </c:pt>
                <c:pt idx="15">
                  <c:v>BNBA</c:v>
                </c:pt>
                <c:pt idx="16">
                  <c:v>BNGA</c:v>
                </c:pt>
                <c:pt idx="17">
                  <c:v>BNII</c:v>
                </c:pt>
                <c:pt idx="18">
                  <c:v>BNLI</c:v>
                </c:pt>
                <c:pt idx="19">
                  <c:v>BSIM</c:v>
                </c:pt>
                <c:pt idx="20">
                  <c:v>BTPN</c:v>
                </c:pt>
                <c:pt idx="21">
                  <c:v>BVIC</c:v>
                </c:pt>
                <c:pt idx="22">
                  <c:v>INPC</c:v>
                </c:pt>
                <c:pt idx="23">
                  <c:v>MASB</c:v>
                </c:pt>
                <c:pt idx="24">
                  <c:v>MAYA</c:v>
                </c:pt>
                <c:pt idx="25">
                  <c:v>MCOR</c:v>
                </c:pt>
                <c:pt idx="26">
                  <c:v>MEGA</c:v>
                </c:pt>
                <c:pt idx="27">
                  <c:v>NISP</c:v>
                </c:pt>
                <c:pt idx="28">
                  <c:v>PNBN</c:v>
                </c:pt>
                <c:pt idx="29">
                  <c:v>SDRA</c:v>
                </c:pt>
              </c:strCache>
            </c:strRef>
          </c:cat>
          <c:val>
            <c:numRef>
              <c:f>BOPO!$E$3:$E$32</c:f>
              <c:numCache>
                <c:formatCode>General</c:formatCode>
                <c:ptCount val="30"/>
                <c:pt idx="0">
                  <c:v>93.34</c:v>
                </c:pt>
                <c:pt idx="1">
                  <c:v>88.16</c:v>
                </c:pt>
                <c:pt idx="2">
                  <c:v>98.84</c:v>
                </c:pt>
                <c:pt idx="3">
                  <c:v>46.5</c:v>
                </c:pt>
                <c:pt idx="4">
                  <c:v>52.74</c:v>
                </c:pt>
                <c:pt idx="5">
                  <c:v>68.599999999999994</c:v>
                </c:pt>
                <c:pt idx="6">
                  <c:v>64.2</c:v>
                </c:pt>
                <c:pt idx="7">
                  <c:v>86</c:v>
                </c:pt>
                <c:pt idx="8">
                  <c:v>72.900000000000006</c:v>
                </c:pt>
                <c:pt idx="9">
                  <c:v>86.83</c:v>
                </c:pt>
                <c:pt idx="10">
                  <c:v>82.43</c:v>
                </c:pt>
                <c:pt idx="11">
                  <c:v>80.349999999999994</c:v>
                </c:pt>
                <c:pt idx="12">
                  <c:v>76.150000000000006</c:v>
                </c:pt>
                <c:pt idx="13">
                  <c:v>84.99</c:v>
                </c:pt>
                <c:pt idx="14">
                  <c:v>57.35</c:v>
                </c:pt>
                <c:pt idx="15">
                  <c:v>91.31</c:v>
                </c:pt>
                <c:pt idx="16">
                  <c:v>74.099999999999994</c:v>
                </c:pt>
                <c:pt idx="17">
                  <c:v>83.1</c:v>
                </c:pt>
                <c:pt idx="18">
                  <c:v>82.4</c:v>
                </c:pt>
                <c:pt idx="19">
                  <c:v>93.27</c:v>
                </c:pt>
                <c:pt idx="20">
                  <c:v>75.099999999999994</c:v>
                </c:pt>
                <c:pt idx="21">
                  <c:v>79.44</c:v>
                </c:pt>
                <c:pt idx="22">
                  <c:v>96.26</c:v>
                </c:pt>
                <c:pt idx="23">
                  <c:v>69.599999999999994</c:v>
                </c:pt>
                <c:pt idx="24">
                  <c:v>99.32</c:v>
                </c:pt>
                <c:pt idx="25">
                  <c:v>87.76</c:v>
                </c:pt>
                <c:pt idx="26">
                  <c:v>56.76</c:v>
                </c:pt>
                <c:pt idx="27">
                  <c:v>71.09</c:v>
                </c:pt>
                <c:pt idx="28">
                  <c:v>74.53</c:v>
                </c:pt>
                <c:pt idx="29">
                  <c:v>66.849999999999994</c:v>
                </c:pt>
              </c:numCache>
            </c:numRef>
          </c:val>
          <c:extLst xmlns:c16r2="http://schemas.microsoft.com/office/drawing/2015/06/chart">
            <c:ext xmlns:c16="http://schemas.microsoft.com/office/drawing/2014/chart" uri="{C3380CC4-5D6E-409C-BE32-E72D297353CC}">
              <c16:uniqueId val="{00000003-75AC-4386-9E90-280A37EFD062}"/>
            </c:ext>
          </c:extLst>
        </c:ser>
        <c:ser>
          <c:idx val="4"/>
          <c:order val="4"/>
          <c:tx>
            <c:strRef>
              <c:f>BOPO!$F$2</c:f>
              <c:strCache>
                <c:ptCount val="1"/>
                <c:pt idx="0">
                  <c:v>2023</c:v>
                </c:pt>
              </c:strCache>
            </c:strRef>
          </c:tx>
          <c:spPr>
            <a:solidFill>
              <a:schemeClr val="accent5"/>
            </a:solidFill>
            <a:ln>
              <a:noFill/>
            </a:ln>
            <a:effectLst/>
          </c:spPr>
          <c:invertIfNegative val="0"/>
          <c:cat>
            <c:strRef>
              <c:f>BOPO!$A$3:$A$32</c:f>
              <c:strCache>
                <c:ptCount val="30"/>
                <c:pt idx="0">
                  <c:v>AGRO</c:v>
                </c:pt>
                <c:pt idx="1">
                  <c:v>BABP</c:v>
                </c:pt>
                <c:pt idx="2">
                  <c:v>BACA</c:v>
                </c:pt>
                <c:pt idx="3">
                  <c:v>BBCA</c:v>
                </c:pt>
                <c:pt idx="4">
                  <c:v>BBMD</c:v>
                </c:pt>
                <c:pt idx="5">
                  <c:v>BBNI</c:v>
                </c:pt>
                <c:pt idx="6">
                  <c:v>BBRI</c:v>
                </c:pt>
                <c:pt idx="7">
                  <c:v>BBTN</c:v>
                </c:pt>
                <c:pt idx="8">
                  <c:v>BDM</c:v>
                </c:pt>
                <c:pt idx="9">
                  <c:v>BGTG</c:v>
                </c:pt>
                <c:pt idx="10">
                  <c:v>BINA</c:v>
                </c:pt>
                <c:pt idx="11">
                  <c:v>BJBR</c:v>
                </c:pt>
                <c:pt idx="12">
                  <c:v>BJTM</c:v>
                </c:pt>
                <c:pt idx="13">
                  <c:v>BMAS</c:v>
                </c:pt>
                <c:pt idx="14">
                  <c:v>BMRI</c:v>
                </c:pt>
                <c:pt idx="15">
                  <c:v>BNBA</c:v>
                </c:pt>
                <c:pt idx="16">
                  <c:v>BNGA</c:v>
                </c:pt>
                <c:pt idx="17">
                  <c:v>BNII</c:v>
                </c:pt>
                <c:pt idx="18">
                  <c:v>BNLI</c:v>
                </c:pt>
                <c:pt idx="19">
                  <c:v>BSIM</c:v>
                </c:pt>
                <c:pt idx="20">
                  <c:v>BTPN</c:v>
                </c:pt>
                <c:pt idx="21">
                  <c:v>BVIC</c:v>
                </c:pt>
                <c:pt idx="22">
                  <c:v>INPC</c:v>
                </c:pt>
                <c:pt idx="23">
                  <c:v>MASB</c:v>
                </c:pt>
                <c:pt idx="24">
                  <c:v>MAYA</c:v>
                </c:pt>
                <c:pt idx="25">
                  <c:v>MCOR</c:v>
                </c:pt>
                <c:pt idx="26">
                  <c:v>MEGA</c:v>
                </c:pt>
                <c:pt idx="27">
                  <c:v>NISP</c:v>
                </c:pt>
                <c:pt idx="28">
                  <c:v>PNBN</c:v>
                </c:pt>
                <c:pt idx="29">
                  <c:v>SDRA</c:v>
                </c:pt>
              </c:strCache>
            </c:strRef>
          </c:cat>
          <c:val>
            <c:numRef>
              <c:f>BOPO!$F$3:$F$32</c:f>
              <c:numCache>
                <c:formatCode>General</c:formatCode>
                <c:ptCount val="30"/>
                <c:pt idx="0">
                  <c:v>90.51</c:v>
                </c:pt>
                <c:pt idx="1">
                  <c:v>92.73</c:v>
                </c:pt>
                <c:pt idx="2">
                  <c:v>97.21</c:v>
                </c:pt>
                <c:pt idx="3">
                  <c:v>43.8</c:v>
                </c:pt>
                <c:pt idx="4">
                  <c:v>60.58</c:v>
                </c:pt>
                <c:pt idx="5">
                  <c:v>68.400000000000006</c:v>
                </c:pt>
                <c:pt idx="6">
                  <c:v>64.349999999999994</c:v>
                </c:pt>
                <c:pt idx="7">
                  <c:v>86.1</c:v>
                </c:pt>
                <c:pt idx="8">
                  <c:v>75.7</c:v>
                </c:pt>
                <c:pt idx="9">
                  <c:v>79.36</c:v>
                </c:pt>
                <c:pt idx="10">
                  <c:v>84.37</c:v>
                </c:pt>
                <c:pt idx="11">
                  <c:v>85.65</c:v>
                </c:pt>
                <c:pt idx="12">
                  <c:v>77.27</c:v>
                </c:pt>
                <c:pt idx="13">
                  <c:v>93.29</c:v>
                </c:pt>
                <c:pt idx="14">
                  <c:v>51.88</c:v>
                </c:pt>
                <c:pt idx="15">
                  <c:v>89.7</c:v>
                </c:pt>
                <c:pt idx="16">
                  <c:v>71.47</c:v>
                </c:pt>
                <c:pt idx="17">
                  <c:v>83.13</c:v>
                </c:pt>
                <c:pt idx="18">
                  <c:v>81.7</c:v>
                </c:pt>
                <c:pt idx="19">
                  <c:v>103.36</c:v>
                </c:pt>
                <c:pt idx="20">
                  <c:v>83.7</c:v>
                </c:pt>
                <c:pt idx="21">
                  <c:v>91.67</c:v>
                </c:pt>
                <c:pt idx="22">
                  <c:v>90.11</c:v>
                </c:pt>
                <c:pt idx="23">
                  <c:v>80.760000000000005</c:v>
                </c:pt>
                <c:pt idx="24">
                  <c:v>99.4</c:v>
                </c:pt>
                <c:pt idx="25">
                  <c:v>82.76</c:v>
                </c:pt>
                <c:pt idx="26">
                  <c:v>65.34</c:v>
                </c:pt>
                <c:pt idx="27">
                  <c:v>71.010000000000005</c:v>
                </c:pt>
                <c:pt idx="28">
                  <c:v>78.180000000000007</c:v>
                </c:pt>
                <c:pt idx="29">
                  <c:v>77.45</c:v>
                </c:pt>
              </c:numCache>
            </c:numRef>
          </c:val>
          <c:extLst xmlns:c16r2="http://schemas.microsoft.com/office/drawing/2015/06/chart">
            <c:ext xmlns:c16="http://schemas.microsoft.com/office/drawing/2014/chart" uri="{C3380CC4-5D6E-409C-BE32-E72D297353CC}">
              <c16:uniqueId val="{00000004-75AC-4386-9E90-280A37EFD062}"/>
            </c:ext>
          </c:extLst>
        </c:ser>
        <c:dLbls>
          <c:showLegendKey val="0"/>
          <c:showVal val="0"/>
          <c:showCatName val="0"/>
          <c:showSerName val="0"/>
          <c:showPercent val="0"/>
          <c:showBubbleSize val="0"/>
        </c:dLbls>
        <c:gapWidth val="219"/>
        <c:overlap val="-27"/>
        <c:axId val="436939704"/>
        <c:axId val="436936960"/>
      </c:barChart>
      <c:catAx>
        <c:axId val="436939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936960"/>
        <c:crosses val="autoZero"/>
        <c:auto val="1"/>
        <c:lblAlgn val="ctr"/>
        <c:lblOffset val="100"/>
        <c:noMultiLvlLbl val="0"/>
      </c:catAx>
      <c:valAx>
        <c:axId val="436936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939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Debt</a:t>
            </a:r>
            <a:r>
              <a:rPr lang="en-US" baseline="0"/>
              <a:t> to Equity Ratio</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DER!$B$2</c:f>
              <c:strCache>
                <c:ptCount val="1"/>
                <c:pt idx="0">
                  <c:v>2019</c:v>
                </c:pt>
              </c:strCache>
            </c:strRef>
          </c:tx>
          <c:spPr>
            <a:solidFill>
              <a:schemeClr val="accent1"/>
            </a:solidFill>
            <a:ln>
              <a:noFill/>
            </a:ln>
            <a:effectLst/>
          </c:spPr>
          <c:invertIfNegative val="0"/>
          <c:cat>
            <c:strRef>
              <c:f>DER!$A$3:$A$32</c:f>
              <c:strCache>
                <c:ptCount val="30"/>
                <c:pt idx="0">
                  <c:v>AGRO</c:v>
                </c:pt>
                <c:pt idx="1">
                  <c:v>BABP</c:v>
                </c:pt>
                <c:pt idx="2">
                  <c:v>BACA</c:v>
                </c:pt>
                <c:pt idx="3">
                  <c:v>BBCA</c:v>
                </c:pt>
                <c:pt idx="4">
                  <c:v>BBMD</c:v>
                </c:pt>
                <c:pt idx="5">
                  <c:v>BBNI</c:v>
                </c:pt>
                <c:pt idx="6">
                  <c:v>BBRI</c:v>
                </c:pt>
                <c:pt idx="7">
                  <c:v>BBTN</c:v>
                </c:pt>
                <c:pt idx="8">
                  <c:v>BDM</c:v>
                </c:pt>
                <c:pt idx="9">
                  <c:v>BGTG</c:v>
                </c:pt>
                <c:pt idx="10">
                  <c:v>BINA</c:v>
                </c:pt>
                <c:pt idx="11">
                  <c:v>BJBR</c:v>
                </c:pt>
                <c:pt idx="12">
                  <c:v>BJTM</c:v>
                </c:pt>
                <c:pt idx="13">
                  <c:v>BMAS</c:v>
                </c:pt>
                <c:pt idx="14">
                  <c:v>BMRI</c:v>
                </c:pt>
                <c:pt idx="15">
                  <c:v>BNBA</c:v>
                </c:pt>
                <c:pt idx="16">
                  <c:v>BNGA</c:v>
                </c:pt>
                <c:pt idx="17">
                  <c:v>BNII</c:v>
                </c:pt>
                <c:pt idx="18">
                  <c:v>BNLI</c:v>
                </c:pt>
                <c:pt idx="19">
                  <c:v>BSIM</c:v>
                </c:pt>
                <c:pt idx="20">
                  <c:v>BTPN</c:v>
                </c:pt>
                <c:pt idx="21">
                  <c:v>BVIC</c:v>
                </c:pt>
                <c:pt idx="22">
                  <c:v>INPC</c:v>
                </c:pt>
                <c:pt idx="23">
                  <c:v>MASB</c:v>
                </c:pt>
                <c:pt idx="24">
                  <c:v>MAYA</c:v>
                </c:pt>
                <c:pt idx="25">
                  <c:v>MCOR</c:v>
                </c:pt>
                <c:pt idx="26">
                  <c:v>MEGA</c:v>
                </c:pt>
                <c:pt idx="27">
                  <c:v>NISP</c:v>
                </c:pt>
                <c:pt idx="28">
                  <c:v>PNBN</c:v>
                </c:pt>
                <c:pt idx="29">
                  <c:v>SDRA</c:v>
                </c:pt>
              </c:strCache>
            </c:strRef>
          </c:cat>
          <c:val>
            <c:numRef>
              <c:f>DER!$B$3:$B$32</c:f>
              <c:numCache>
                <c:formatCode>General</c:formatCode>
                <c:ptCount val="30"/>
                <c:pt idx="0">
                  <c:v>503.96</c:v>
                </c:pt>
                <c:pt idx="1">
                  <c:v>580.23</c:v>
                </c:pt>
                <c:pt idx="2">
                  <c:v>1113.47</c:v>
                </c:pt>
                <c:pt idx="3">
                  <c:v>438.5</c:v>
                </c:pt>
                <c:pt idx="4">
                  <c:v>270.64999999999998</c:v>
                </c:pt>
                <c:pt idx="5">
                  <c:v>567.5</c:v>
                </c:pt>
                <c:pt idx="6">
                  <c:v>559.45000000000005</c:v>
                </c:pt>
                <c:pt idx="7" formatCode="#,##0.00">
                  <c:v>1130.43</c:v>
                </c:pt>
                <c:pt idx="8">
                  <c:v>330</c:v>
                </c:pt>
                <c:pt idx="9">
                  <c:v>321.91000000000003</c:v>
                </c:pt>
                <c:pt idx="10">
                  <c:v>330.96</c:v>
                </c:pt>
                <c:pt idx="11">
                  <c:v>834.9</c:v>
                </c:pt>
                <c:pt idx="12">
                  <c:v>750.81</c:v>
                </c:pt>
                <c:pt idx="13">
                  <c:v>515.95000000000005</c:v>
                </c:pt>
                <c:pt idx="14">
                  <c:v>480.42</c:v>
                </c:pt>
                <c:pt idx="15">
                  <c:v>399.3</c:v>
                </c:pt>
                <c:pt idx="16">
                  <c:v>534</c:v>
                </c:pt>
                <c:pt idx="17">
                  <c:v>534</c:v>
                </c:pt>
                <c:pt idx="18">
                  <c:v>579</c:v>
                </c:pt>
                <c:pt idx="19">
                  <c:v>501.86</c:v>
                </c:pt>
                <c:pt idx="20">
                  <c:v>502.7</c:v>
                </c:pt>
                <c:pt idx="21">
                  <c:v>856.22</c:v>
                </c:pt>
                <c:pt idx="22">
                  <c:v>462.85</c:v>
                </c:pt>
                <c:pt idx="23">
                  <c:v>766.96</c:v>
                </c:pt>
                <c:pt idx="24">
                  <c:v>656.84</c:v>
                </c:pt>
                <c:pt idx="25">
                  <c:v>576.02</c:v>
                </c:pt>
                <c:pt idx="26">
                  <c:v>548.59</c:v>
                </c:pt>
                <c:pt idx="27">
                  <c:v>553.20000000000005</c:v>
                </c:pt>
                <c:pt idx="28">
                  <c:v>375.43</c:v>
                </c:pt>
                <c:pt idx="29">
                  <c:v>433</c:v>
                </c:pt>
              </c:numCache>
            </c:numRef>
          </c:val>
          <c:extLst xmlns:c16r2="http://schemas.microsoft.com/office/drawing/2015/06/chart">
            <c:ext xmlns:c16="http://schemas.microsoft.com/office/drawing/2014/chart" uri="{C3380CC4-5D6E-409C-BE32-E72D297353CC}">
              <c16:uniqueId val="{00000000-C3E4-4BE2-B572-E364156A38B2}"/>
            </c:ext>
          </c:extLst>
        </c:ser>
        <c:ser>
          <c:idx val="1"/>
          <c:order val="1"/>
          <c:tx>
            <c:strRef>
              <c:f>DER!$C$2</c:f>
              <c:strCache>
                <c:ptCount val="1"/>
                <c:pt idx="0">
                  <c:v>2020</c:v>
                </c:pt>
              </c:strCache>
            </c:strRef>
          </c:tx>
          <c:spPr>
            <a:solidFill>
              <a:schemeClr val="accent2"/>
            </a:solidFill>
            <a:ln>
              <a:noFill/>
            </a:ln>
            <a:effectLst/>
          </c:spPr>
          <c:invertIfNegative val="0"/>
          <c:cat>
            <c:strRef>
              <c:f>DER!$A$3:$A$32</c:f>
              <c:strCache>
                <c:ptCount val="30"/>
                <c:pt idx="0">
                  <c:v>AGRO</c:v>
                </c:pt>
                <c:pt idx="1">
                  <c:v>BABP</c:v>
                </c:pt>
                <c:pt idx="2">
                  <c:v>BACA</c:v>
                </c:pt>
                <c:pt idx="3">
                  <c:v>BBCA</c:v>
                </c:pt>
                <c:pt idx="4">
                  <c:v>BBMD</c:v>
                </c:pt>
                <c:pt idx="5">
                  <c:v>BBNI</c:v>
                </c:pt>
                <c:pt idx="6">
                  <c:v>BBRI</c:v>
                </c:pt>
                <c:pt idx="7">
                  <c:v>BBTN</c:v>
                </c:pt>
                <c:pt idx="8">
                  <c:v>BDM</c:v>
                </c:pt>
                <c:pt idx="9">
                  <c:v>BGTG</c:v>
                </c:pt>
                <c:pt idx="10">
                  <c:v>BINA</c:v>
                </c:pt>
                <c:pt idx="11">
                  <c:v>BJBR</c:v>
                </c:pt>
                <c:pt idx="12">
                  <c:v>BJTM</c:v>
                </c:pt>
                <c:pt idx="13">
                  <c:v>BMAS</c:v>
                </c:pt>
                <c:pt idx="14">
                  <c:v>BMRI</c:v>
                </c:pt>
                <c:pt idx="15">
                  <c:v>BNBA</c:v>
                </c:pt>
                <c:pt idx="16">
                  <c:v>BNGA</c:v>
                </c:pt>
                <c:pt idx="17">
                  <c:v>BNII</c:v>
                </c:pt>
                <c:pt idx="18">
                  <c:v>BNLI</c:v>
                </c:pt>
                <c:pt idx="19">
                  <c:v>BSIM</c:v>
                </c:pt>
                <c:pt idx="20">
                  <c:v>BTPN</c:v>
                </c:pt>
                <c:pt idx="21">
                  <c:v>BVIC</c:v>
                </c:pt>
                <c:pt idx="22">
                  <c:v>INPC</c:v>
                </c:pt>
                <c:pt idx="23">
                  <c:v>MASB</c:v>
                </c:pt>
                <c:pt idx="24">
                  <c:v>MAYA</c:v>
                </c:pt>
                <c:pt idx="25">
                  <c:v>MCOR</c:v>
                </c:pt>
                <c:pt idx="26">
                  <c:v>MEGA</c:v>
                </c:pt>
                <c:pt idx="27">
                  <c:v>NISP</c:v>
                </c:pt>
                <c:pt idx="28">
                  <c:v>PNBN</c:v>
                </c:pt>
                <c:pt idx="29">
                  <c:v>SDRA</c:v>
                </c:pt>
              </c:strCache>
            </c:strRef>
          </c:cat>
          <c:val>
            <c:numRef>
              <c:f>DER!$C$3:$C$32</c:f>
              <c:numCache>
                <c:formatCode>General</c:formatCode>
                <c:ptCount val="30"/>
                <c:pt idx="0">
                  <c:v>553.39</c:v>
                </c:pt>
                <c:pt idx="1">
                  <c:v>651.20000000000005</c:v>
                </c:pt>
                <c:pt idx="2">
                  <c:v>1133.03</c:v>
                </c:pt>
                <c:pt idx="3">
                  <c:v>482.3</c:v>
                </c:pt>
                <c:pt idx="4">
                  <c:v>253.18</c:v>
                </c:pt>
                <c:pt idx="5">
                  <c:v>689.6</c:v>
                </c:pt>
                <c:pt idx="6">
                  <c:v>631.52</c:v>
                </c:pt>
                <c:pt idx="7" formatCode="#,##0.00">
                  <c:v>1607.86</c:v>
                </c:pt>
                <c:pt idx="8">
                  <c:v>360</c:v>
                </c:pt>
                <c:pt idx="9">
                  <c:v>371.02</c:v>
                </c:pt>
                <c:pt idx="10">
                  <c:v>593.24</c:v>
                </c:pt>
                <c:pt idx="11">
                  <c:v>961.56</c:v>
                </c:pt>
                <c:pt idx="12">
                  <c:v>735.78</c:v>
                </c:pt>
                <c:pt idx="13">
                  <c:v>687.26</c:v>
                </c:pt>
                <c:pt idx="14">
                  <c:v>588.11</c:v>
                </c:pt>
                <c:pt idx="15">
                  <c:v>401.93</c:v>
                </c:pt>
                <c:pt idx="16">
                  <c:v>585</c:v>
                </c:pt>
                <c:pt idx="17">
                  <c:v>533</c:v>
                </c:pt>
                <c:pt idx="18">
                  <c:v>468</c:v>
                </c:pt>
                <c:pt idx="19">
                  <c:v>636.55999999999995</c:v>
                </c:pt>
                <c:pt idx="20">
                  <c:v>491.2</c:v>
                </c:pt>
                <c:pt idx="21">
                  <c:v>827.46</c:v>
                </c:pt>
                <c:pt idx="22">
                  <c:v>757.61</c:v>
                </c:pt>
                <c:pt idx="23">
                  <c:v>1039.67</c:v>
                </c:pt>
                <c:pt idx="24">
                  <c:v>616.39</c:v>
                </c:pt>
                <c:pt idx="25">
                  <c:v>319.42</c:v>
                </c:pt>
                <c:pt idx="26">
                  <c:v>516.23</c:v>
                </c:pt>
                <c:pt idx="27">
                  <c:v>591.59</c:v>
                </c:pt>
                <c:pt idx="28">
                  <c:v>359.47</c:v>
                </c:pt>
                <c:pt idx="29">
                  <c:v>233</c:v>
                </c:pt>
              </c:numCache>
            </c:numRef>
          </c:val>
          <c:extLst xmlns:c16r2="http://schemas.microsoft.com/office/drawing/2015/06/chart">
            <c:ext xmlns:c16="http://schemas.microsoft.com/office/drawing/2014/chart" uri="{C3380CC4-5D6E-409C-BE32-E72D297353CC}">
              <c16:uniqueId val="{00000001-C3E4-4BE2-B572-E364156A38B2}"/>
            </c:ext>
          </c:extLst>
        </c:ser>
        <c:ser>
          <c:idx val="2"/>
          <c:order val="2"/>
          <c:tx>
            <c:strRef>
              <c:f>DER!$D$2</c:f>
              <c:strCache>
                <c:ptCount val="1"/>
                <c:pt idx="0">
                  <c:v>2021</c:v>
                </c:pt>
              </c:strCache>
            </c:strRef>
          </c:tx>
          <c:spPr>
            <a:solidFill>
              <a:schemeClr val="accent3"/>
            </a:solidFill>
            <a:ln>
              <a:noFill/>
            </a:ln>
            <a:effectLst/>
          </c:spPr>
          <c:invertIfNegative val="0"/>
          <c:cat>
            <c:strRef>
              <c:f>DER!$A$3:$A$32</c:f>
              <c:strCache>
                <c:ptCount val="30"/>
                <c:pt idx="0">
                  <c:v>AGRO</c:v>
                </c:pt>
                <c:pt idx="1">
                  <c:v>BABP</c:v>
                </c:pt>
                <c:pt idx="2">
                  <c:v>BACA</c:v>
                </c:pt>
                <c:pt idx="3">
                  <c:v>BBCA</c:v>
                </c:pt>
                <c:pt idx="4">
                  <c:v>BBMD</c:v>
                </c:pt>
                <c:pt idx="5">
                  <c:v>BBNI</c:v>
                </c:pt>
                <c:pt idx="6">
                  <c:v>BBRI</c:v>
                </c:pt>
                <c:pt idx="7">
                  <c:v>BBTN</c:v>
                </c:pt>
                <c:pt idx="8">
                  <c:v>BDM</c:v>
                </c:pt>
                <c:pt idx="9">
                  <c:v>BGTG</c:v>
                </c:pt>
                <c:pt idx="10">
                  <c:v>BINA</c:v>
                </c:pt>
                <c:pt idx="11">
                  <c:v>BJBR</c:v>
                </c:pt>
                <c:pt idx="12">
                  <c:v>BJTM</c:v>
                </c:pt>
                <c:pt idx="13">
                  <c:v>BMAS</c:v>
                </c:pt>
                <c:pt idx="14">
                  <c:v>BMRI</c:v>
                </c:pt>
                <c:pt idx="15">
                  <c:v>BNBA</c:v>
                </c:pt>
                <c:pt idx="16">
                  <c:v>BNGA</c:v>
                </c:pt>
                <c:pt idx="17">
                  <c:v>BNII</c:v>
                </c:pt>
                <c:pt idx="18">
                  <c:v>BNLI</c:v>
                </c:pt>
                <c:pt idx="19">
                  <c:v>BSIM</c:v>
                </c:pt>
                <c:pt idx="20">
                  <c:v>BTPN</c:v>
                </c:pt>
                <c:pt idx="21">
                  <c:v>BVIC</c:v>
                </c:pt>
                <c:pt idx="22">
                  <c:v>INPC</c:v>
                </c:pt>
                <c:pt idx="23">
                  <c:v>MASB</c:v>
                </c:pt>
                <c:pt idx="24">
                  <c:v>MAYA</c:v>
                </c:pt>
                <c:pt idx="25">
                  <c:v>MCOR</c:v>
                </c:pt>
                <c:pt idx="26">
                  <c:v>MEGA</c:v>
                </c:pt>
                <c:pt idx="27">
                  <c:v>NISP</c:v>
                </c:pt>
                <c:pt idx="28">
                  <c:v>PNBN</c:v>
                </c:pt>
                <c:pt idx="29">
                  <c:v>SDRA</c:v>
                </c:pt>
              </c:strCache>
            </c:strRef>
          </c:cat>
          <c:val>
            <c:numRef>
              <c:f>DER!$D$3:$D$32</c:f>
              <c:numCache>
                <c:formatCode>General</c:formatCode>
                <c:ptCount val="30"/>
                <c:pt idx="0">
                  <c:v>586.28</c:v>
                </c:pt>
                <c:pt idx="1">
                  <c:v>492.5</c:v>
                </c:pt>
                <c:pt idx="2">
                  <c:v>951.73</c:v>
                </c:pt>
                <c:pt idx="3">
                  <c:v>505.5</c:v>
                </c:pt>
                <c:pt idx="4">
                  <c:v>272.58</c:v>
                </c:pt>
                <c:pt idx="5">
                  <c:v>687.9</c:v>
                </c:pt>
                <c:pt idx="6">
                  <c:v>449.11</c:v>
                </c:pt>
                <c:pt idx="7" formatCode="#,##0.00">
                  <c:v>1530.8</c:v>
                </c:pt>
                <c:pt idx="8">
                  <c:v>330</c:v>
                </c:pt>
                <c:pt idx="9">
                  <c:v>299.08999999999997</c:v>
                </c:pt>
                <c:pt idx="10">
                  <c:v>534.28</c:v>
                </c:pt>
                <c:pt idx="11">
                  <c:v>995.37</c:v>
                </c:pt>
                <c:pt idx="12">
                  <c:v>823.17</c:v>
                </c:pt>
                <c:pt idx="13">
                  <c:v>969.28</c:v>
                </c:pt>
                <c:pt idx="14">
                  <c:v>614.41</c:v>
                </c:pt>
                <c:pt idx="15">
                  <c:v>286.52</c:v>
                </c:pt>
                <c:pt idx="16">
                  <c:v>616.29</c:v>
                </c:pt>
                <c:pt idx="17">
                  <c:v>484</c:v>
                </c:pt>
                <c:pt idx="18">
                  <c:v>540.1</c:v>
                </c:pt>
                <c:pt idx="19">
                  <c:v>615.71</c:v>
                </c:pt>
                <c:pt idx="20">
                  <c:v>458.8</c:v>
                </c:pt>
                <c:pt idx="21">
                  <c:v>687.54</c:v>
                </c:pt>
                <c:pt idx="22">
                  <c:v>560.79999999999995</c:v>
                </c:pt>
                <c:pt idx="23">
                  <c:v>759.04</c:v>
                </c:pt>
                <c:pt idx="24">
                  <c:v>752.07</c:v>
                </c:pt>
                <c:pt idx="25">
                  <c:v>330.75</c:v>
                </c:pt>
                <c:pt idx="26">
                  <c:v>594.1</c:v>
                </c:pt>
                <c:pt idx="27">
                  <c:v>563.20000000000005</c:v>
                </c:pt>
                <c:pt idx="28">
                  <c:v>321.16000000000003</c:v>
                </c:pt>
                <c:pt idx="29">
                  <c:v>373</c:v>
                </c:pt>
              </c:numCache>
            </c:numRef>
          </c:val>
          <c:extLst xmlns:c16r2="http://schemas.microsoft.com/office/drawing/2015/06/chart">
            <c:ext xmlns:c16="http://schemas.microsoft.com/office/drawing/2014/chart" uri="{C3380CC4-5D6E-409C-BE32-E72D297353CC}">
              <c16:uniqueId val="{00000002-C3E4-4BE2-B572-E364156A38B2}"/>
            </c:ext>
          </c:extLst>
        </c:ser>
        <c:ser>
          <c:idx val="3"/>
          <c:order val="3"/>
          <c:tx>
            <c:strRef>
              <c:f>DER!$E$2</c:f>
              <c:strCache>
                <c:ptCount val="1"/>
                <c:pt idx="0">
                  <c:v>2022</c:v>
                </c:pt>
              </c:strCache>
            </c:strRef>
          </c:tx>
          <c:spPr>
            <a:solidFill>
              <a:schemeClr val="accent4"/>
            </a:solidFill>
            <a:ln>
              <a:noFill/>
            </a:ln>
            <a:effectLst/>
          </c:spPr>
          <c:invertIfNegative val="0"/>
          <c:cat>
            <c:strRef>
              <c:f>DER!$A$3:$A$32</c:f>
              <c:strCache>
                <c:ptCount val="30"/>
                <c:pt idx="0">
                  <c:v>AGRO</c:v>
                </c:pt>
                <c:pt idx="1">
                  <c:v>BABP</c:v>
                </c:pt>
                <c:pt idx="2">
                  <c:v>BACA</c:v>
                </c:pt>
                <c:pt idx="3">
                  <c:v>BBCA</c:v>
                </c:pt>
                <c:pt idx="4">
                  <c:v>BBMD</c:v>
                </c:pt>
                <c:pt idx="5">
                  <c:v>BBNI</c:v>
                </c:pt>
                <c:pt idx="6">
                  <c:v>BBRI</c:v>
                </c:pt>
                <c:pt idx="7">
                  <c:v>BBTN</c:v>
                </c:pt>
                <c:pt idx="8">
                  <c:v>BDM</c:v>
                </c:pt>
                <c:pt idx="9">
                  <c:v>BGTG</c:v>
                </c:pt>
                <c:pt idx="10">
                  <c:v>BINA</c:v>
                </c:pt>
                <c:pt idx="11">
                  <c:v>BJBR</c:v>
                </c:pt>
                <c:pt idx="12">
                  <c:v>BJTM</c:v>
                </c:pt>
                <c:pt idx="13">
                  <c:v>BMAS</c:v>
                </c:pt>
                <c:pt idx="14">
                  <c:v>BMRI</c:v>
                </c:pt>
                <c:pt idx="15">
                  <c:v>BNBA</c:v>
                </c:pt>
                <c:pt idx="16">
                  <c:v>BNGA</c:v>
                </c:pt>
                <c:pt idx="17">
                  <c:v>BNII</c:v>
                </c:pt>
                <c:pt idx="18">
                  <c:v>BNLI</c:v>
                </c:pt>
                <c:pt idx="19">
                  <c:v>BSIM</c:v>
                </c:pt>
                <c:pt idx="20">
                  <c:v>BTPN</c:v>
                </c:pt>
                <c:pt idx="21">
                  <c:v>BVIC</c:v>
                </c:pt>
                <c:pt idx="22">
                  <c:v>INPC</c:v>
                </c:pt>
                <c:pt idx="23">
                  <c:v>MASB</c:v>
                </c:pt>
                <c:pt idx="24">
                  <c:v>MAYA</c:v>
                </c:pt>
                <c:pt idx="25">
                  <c:v>MCOR</c:v>
                </c:pt>
                <c:pt idx="26">
                  <c:v>MEGA</c:v>
                </c:pt>
                <c:pt idx="27">
                  <c:v>NISP</c:v>
                </c:pt>
                <c:pt idx="28">
                  <c:v>PNBN</c:v>
                </c:pt>
                <c:pt idx="29">
                  <c:v>SDRA</c:v>
                </c:pt>
              </c:strCache>
            </c:strRef>
          </c:cat>
          <c:val>
            <c:numRef>
              <c:f>DER!$E$3:$E$32</c:f>
              <c:numCache>
                <c:formatCode>General</c:formatCode>
                <c:ptCount val="30"/>
                <c:pt idx="0">
                  <c:v>310.10000000000002</c:v>
                </c:pt>
                <c:pt idx="1">
                  <c:v>521.69000000000005</c:v>
                </c:pt>
                <c:pt idx="2">
                  <c:v>527.48</c:v>
                </c:pt>
                <c:pt idx="3">
                  <c:v>494.4</c:v>
                </c:pt>
                <c:pt idx="4">
                  <c:v>264.3</c:v>
                </c:pt>
                <c:pt idx="5">
                  <c:v>657</c:v>
                </c:pt>
                <c:pt idx="6">
                  <c:v>496.34</c:v>
                </c:pt>
                <c:pt idx="7" formatCode="#,##0.00">
                  <c:v>1356.18</c:v>
                </c:pt>
                <c:pt idx="8">
                  <c:v>320</c:v>
                </c:pt>
                <c:pt idx="9">
                  <c:v>185.72</c:v>
                </c:pt>
                <c:pt idx="10">
                  <c:v>525.07000000000005</c:v>
                </c:pt>
                <c:pt idx="11">
                  <c:v>0</c:v>
                </c:pt>
                <c:pt idx="12">
                  <c:v>800.16</c:v>
                </c:pt>
                <c:pt idx="13">
                  <c:v>374.41</c:v>
                </c:pt>
                <c:pt idx="14">
                  <c:v>643.38</c:v>
                </c:pt>
                <c:pt idx="15">
                  <c:v>166.88</c:v>
                </c:pt>
                <c:pt idx="16">
                  <c:v>577.52</c:v>
                </c:pt>
                <c:pt idx="17">
                  <c:v>445</c:v>
                </c:pt>
                <c:pt idx="18">
                  <c:v>578.23</c:v>
                </c:pt>
                <c:pt idx="19">
                  <c:v>549.97</c:v>
                </c:pt>
                <c:pt idx="20">
                  <c:v>460</c:v>
                </c:pt>
                <c:pt idx="21">
                  <c:v>743.53</c:v>
                </c:pt>
                <c:pt idx="22">
                  <c:v>535.25</c:v>
                </c:pt>
                <c:pt idx="23">
                  <c:v>522.30999999999995</c:v>
                </c:pt>
                <c:pt idx="24">
                  <c:v>877.02</c:v>
                </c:pt>
                <c:pt idx="25">
                  <c:v>303.64999999999998</c:v>
                </c:pt>
                <c:pt idx="26">
                  <c:v>586.99</c:v>
                </c:pt>
                <c:pt idx="27">
                  <c:v>597.14</c:v>
                </c:pt>
                <c:pt idx="28">
                  <c:v>318.86</c:v>
                </c:pt>
                <c:pt idx="29">
                  <c:v>419</c:v>
                </c:pt>
              </c:numCache>
            </c:numRef>
          </c:val>
          <c:extLst xmlns:c16r2="http://schemas.microsoft.com/office/drawing/2015/06/chart">
            <c:ext xmlns:c16="http://schemas.microsoft.com/office/drawing/2014/chart" uri="{C3380CC4-5D6E-409C-BE32-E72D297353CC}">
              <c16:uniqueId val="{00000003-C3E4-4BE2-B572-E364156A38B2}"/>
            </c:ext>
          </c:extLst>
        </c:ser>
        <c:ser>
          <c:idx val="4"/>
          <c:order val="4"/>
          <c:tx>
            <c:strRef>
              <c:f>DER!$F$2</c:f>
              <c:strCache>
                <c:ptCount val="1"/>
                <c:pt idx="0">
                  <c:v>2023</c:v>
                </c:pt>
              </c:strCache>
            </c:strRef>
          </c:tx>
          <c:spPr>
            <a:solidFill>
              <a:schemeClr val="accent5"/>
            </a:solidFill>
            <a:ln>
              <a:noFill/>
            </a:ln>
            <a:effectLst/>
          </c:spPr>
          <c:invertIfNegative val="0"/>
          <c:cat>
            <c:strRef>
              <c:f>DER!$A$3:$A$32</c:f>
              <c:strCache>
                <c:ptCount val="30"/>
                <c:pt idx="0">
                  <c:v>AGRO</c:v>
                </c:pt>
                <c:pt idx="1">
                  <c:v>BABP</c:v>
                </c:pt>
                <c:pt idx="2">
                  <c:v>BACA</c:v>
                </c:pt>
                <c:pt idx="3">
                  <c:v>BBCA</c:v>
                </c:pt>
                <c:pt idx="4">
                  <c:v>BBMD</c:v>
                </c:pt>
                <c:pt idx="5">
                  <c:v>BBNI</c:v>
                </c:pt>
                <c:pt idx="6">
                  <c:v>BBRI</c:v>
                </c:pt>
                <c:pt idx="7">
                  <c:v>BBTN</c:v>
                </c:pt>
                <c:pt idx="8">
                  <c:v>BDM</c:v>
                </c:pt>
                <c:pt idx="9">
                  <c:v>BGTG</c:v>
                </c:pt>
                <c:pt idx="10">
                  <c:v>BINA</c:v>
                </c:pt>
                <c:pt idx="11">
                  <c:v>BJBR</c:v>
                </c:pt>
                <c:pt idx="12">
                  <c:v>BJTM</c:v>
                </c:pt>
                <c:pt idx="13">
                  <c:v>BMAS</c:v>
                </c:pt>
                <c:pt idx="14">
                  <c:v>BMRI</c:v>
                </c:pt>
                <c:pt idx="15">
                  <c:v>BNBA</c:v>
                </c:pt>
                <c:pt idx="16">
                  <c:v>BNGA</c:v>
                </c:pt>
                <c:pt idx="17">
                  <c:v>BNII</c:v>
                </c:pt>
                <c:pt idx="18">
                  <c:v>BNLI</c:v>
                </c:pt>
                <c:pt idx="19">
                  <c:v>BSIM</c:v>
                </c:pt>
                <c:pt idx="20">
                  <c:v>BTPN</c:v>
                </c:pt>
                <c:pt idx="21">
                  <c:v>BVIC</c:v>
                </c:pt>
                <c:pt idx="22">
                  <c:v>INPC</c:v>
                </c:pt>
                <c:pt idx="23">
                  <c:v>MASB</c:v>
                </c:pt>
                <c:pt idx="24">
                  <c:v>MAYA</c:v>
                </c:pt>
                <c:pt idx="25">
                  <c:v>MCOR</c:v>
                </c:pt>
                <c:pt idx="26">
                  <c:v>MEGA</c:v>
                </c:pt>
                <c:pt idx="27">
                  <c:v>NISP</c:v>
                </c:pt>
                <c:pt idx="28">
                  <c:v>PNBN</c:v>
                </c:pt>
                <c:pt idx="29">
                  <c:v>SDRA</c:v>
                </c:pt>
              </c:strCache>
            </c:strRef>
          </c:cat>
          <c:val>
            <c:numRef>
              <c:f>DER!$F$3:$F$32</c:f>
              <c:numCache>
                <c:formatCode>General</c:formatCode>
                <c:ptCount val="30"/>
                <c:pt idx="0">
                  <c:v>263.73</c:v>
                </c:pt>
                <c:pt idx="1">
                  <c:v>405.86</c:v>
                </c:pt>
                <c:pt idx="2">
                  <c:v>486.06</c:v>
                </c:pt>
                <c:pt idx="3">
                  <c:v>480.6</c:v>
                </c:pt>
                <c:pt idx="4">
                  <c:v>227.41</c:v>
                </c:pt>
                <c:pt idx="5">
                  <c:v>618.6</c:v>
                </c:pt>
                <c:pt idx="6">
                  <c:v>514.34</c:v>
                </c:pt>
                <c:pt idx="7" formatCode="#,##0.00">
                  <c:v>1250.57</c:v>
                </c:pt>
                <c:pt idx="8">
                  <c:v>340</c:v>
                </c:pt>
                <c:pt idx="9">
                  <c:v>189.82</c:v>
                </c:pt>
                <c:pt idx="10">
                  <c:v>583.70000000000005</c:v>
                </c:pt>
                <c:pt idx="11">
                  <c:v>0</c:v>
                </c:pt>
                <c:pt idx="12">
                  <c:v>735.22</c:v>
                </c:pt>
                <c:pt idx="13">
                  <c:v>192.53</c:v>
                </c:pt>
                <c:pt idx="14">
                  <c:v>608.39</c:v>
                </c:pt>
                <c:pt idx="15">
                  <c:v>155.97999999999999</c:v>
                </c:pt>
                <c:pt idx="16">
                  <c:v>577.72</c:v>
                </c:pt>
                <c:pt idx="17">
                  <c:v>458</c:v>
                </c:pt>
                <c:pt idx="18">
                  <c:v>543.73</c:v>
                </c:pt>
                <c:pt idx="19">
                  <c:v>572.5</c:v>
                </c:pt>
                <c:pt idx="20">
                  <c:v>414.2</c:v>
                </c:pt>
                <c:pt idx="21">
                  <c:v>674.53</c:v>
                </c:pt>
                <c:pt idx="22">
                  <c:v>525.83000000000004</c:v>
                </c:pt>
                <c:pt idx="23">
                  <c:v>643.69000000000005</c:v>
                </c:pt>
                <c:pt idx="24">
                  <c:v>791.68</c:v>
                </c:pt>
                <c:pt idx="25">
                  <c:v>325.83</c:v>
                </c:pt>
                <c:pt idx="26">
                  <c:v>506.96</c:v>
                </c:pt>
                <c:pt idx="27">
                  <c:v>569.23</c:v>
                </c:pt>
                <c:pt idx="28">
                  <c:v>316.44</c:v>
                </c:pt>
                <c:pt idx="29">
                  <c:v>434</c:v>
                </c:pt>
              </c:numCache>
            </c:numRef>
          </c:val>
          <c:extLst xmlns:c16r2="http://schemas.microsoft.com/office/drawing/2015/06/chart">
            <c:ext xmlns:c16="http://schemas.microsoft.com/office/drawing/2014/chart" uri="{C3380CC4-5D6E-409C-BE32-E72D297353CC}">
              <c16:uniqueId val="{00000004-C3E4-4BE2-B572-E364156A38B2}"/>
            </c:ext>
          </c:extLst>
        </c:ser>
        <c:dLbls>
          <c:showLegendKey val="0"/>
          <c:showVal val="0"/>
          <c:showCatName val="0"/>
          <c:showSerName val="0"/>
          <c:showPercent val="0"/>
          <c:showBubbleSize val="0"/>
        </c:dLbls>
        <c:gapWidth val="219"/>
        <c:overlap val="-27"/>
        <c:axId val="436939312"/>
        <c:axId val="436937352"/>
      </c:barChart>
      <c:catAx>
        <c:axId val="436939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937352"/>
        <c:crosses val="autoZero"/>
        <c:auto val="1"/>
        <c:lblAlgn val="ctr"/>
        <c:lblOffset val="100"/>
        <c:noMultiLvlLbl val="0"/>
      </c:catAx>
      <c:valAx>
        <c:axId val="436937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939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86413-5670-4640-A3F4-8711E73F9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2662</TotalTime>
  <Pages>83</Pages>
  <Words>17614</Words>
  <Characters>100405</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aldi yas</cp:lastModifiedBy>
  <cp:revision>97</cp:revision>
  <cp:lastPrinted>2024-06-24T12:28:00Z</cp:lastPrinted>
  <dcterms:created xsi:type="dcterms:W3CDTF">2024-05-12T08:43:00Z</dcterms:created>
  <dcterms:modified xsi:type="dcterms:W3CDTF">2024-08-12T16:24:00Z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4th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http://www.zotero.org/styles/universitas-negeri-yogyakarta-program-pascasarjana</vt:lpwstr>
  </property>
  <property fmtid="{D5CDD505-2E9C-101B-9397-08002B2CF9AE}" pid="21" name="Mendeley Recent Style Name 9_1">
    <vt:lpwstr>Universitas Negeri Yogyakarta - Program Pascasarjana (Bahasa Indonesia)</vt:lpwstr>
  </property>
  <property fmtid="{D5CDD505-2E9C-101B-9397-08002B2CF9AE}" pid="22" name="Mendeley Document_1">
    <vt:lpwstr>True</vt:lpwstr>
  </property>
  <property fmtid="{D5CDD505-2E9C-101B-9397-08002B2CF9AE}" pid="23" name="Mendeley Unique User Id_1">
    <vt:lpwstr>83e2be6f-38ae-34eb-b62e-f1fa01836268</vt:lpwstr>
  </property>
  <property fmtid="{D5CDD505-2E9C-101B-9397-08002B2CF9AE}" pid="24" name="Mendeley Citation Style_1">
    <vt:lpwstr>http://www.zotero.org/styles/apa</vt:lpwstr>
  </property>
</Properties>
</file>