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DD46B" w14:textId="7263156F" w:rsidR="00FF2329" w:rsidRDefault="00FF2329" w:rsidP="00B648CD"/>
    <w:p w14:paraId="6E0AF7CB" w14:textId="601C2047" w:rsidR="00886E1B" w:rsidRDefault="00886E1B" w:rsidP="00107ACF">
      <w:pPr>
        <w:spacing w:line="360" w:lineRule="auto"/>
      </w:pPr>
    </w:p>
    <w:p w14:paraId="35D1084E" w14:textId="22E706AC" w:rsidR="00886E1B" w:rsidRPr="00886E1B" w:rsidRDefault="00530204" w:rsidP="00530204">
      <w:pPr>
        <w:tabs>
          <w:tab w:val="left" w:pos="5944"/>
        </w:tabs>
        <w:spacing w:line="360" w:lineRule="auto"/>
      </w:pPr>
      <w:r>
        <w:tab/>
      </w:r>
    </w:p>
    <w:p w14:paraId="1C81D73B" w14:textId="69664E99" w:rsidR="00211E3D" w:rsidRDefault="00211E3D" w:rsidP="00C5779A">
      <w:pPr>
        <w:spacing w:line="360" w:lineRule="auto"/>
      </w:pPr>
    </w:p>
    <w:p w14:paraId="14E23F97" w14:textId="77777777" w:rsidR="00B37CC1" w:rsidRDefault="00B37CC1" w:rsidP="00C5779A">
      <w:pPr>
        <w:spacing w:line="360" w:lineRule="auto"/>
      </w:pPr>
    </w:p>
    <w:p w14:paraId="763C5D6D" w14:textId="152870B8" w:rsidR="006F3C6B" w:rsidRDefault="008A05F3" w:rsidP="00464990">
      <w:pPr>
        <w:pStyle w:val="Heading1"/>
        <w:spacing w:line="480" w:lineRule="auto"/>
      </w:pPr>
      <w:bookmarkStart w:id="0" w:name="_Toc170109880"/>
      <w:r w:rsidRPr="008A05F3">
        <w:t>BAB IV</w:t>
      </w:r>
      <w:r>
        <w:t xml:space="preserve"> </w:t>
      </w:r>
      <w:r>
        <w:br/>
      </w:r>
      <w:r w:rsidRPr="008A05F3">
        <w:t>HASIL DAN PEMBAHASAN</w:t>
      </w:r>
      <w:bookmarkEnd w:id="0"/>
    </w:p>
    <w:p w14:paraId="54C324DB" w14:textId="77777777" w:rsidR="006F3C6B" w:rsidRPr="006F3C6B" w:rsidRDefault="006F3C6B" w:rsidP="00464990">
      <w:pPr>
        <w:spacing w:line="480" w:lineRule="auto"/>
      </w:pPr>
    </w:p>
    <w:p w14:paraId="43C6E3BE" w14:textId="7E55C72E" w:rsidR="006F3C6B" w:rsidRDefault="006F3C6B" w:rsidP="00E9317A">
      <w:pPr>
        <w:pStyle w:val="Heading2"/>
        <w:numPr>
          <w:ilvl w:val="0"/>
          <w:numId w:val="29"/>
        </w:numPr>
        <w:spacing w:line="480" w:lineRule="auto"/>
      </w:pPr>
      <w:bookmarkStart w:id="1" w:name="_Toc170109881"/>
      <w:r>
        <w:t>GAMBARAN UMUM</w:t>
      </w:r>
      <w:bookmarkEnd w:id="1"/>
    </w:p>
    <w:p w14:paraId="3BC73B9B" w14:textId="6977ED6C" w:rsidR="006F3C6B" w:rsidRPr="0086726C" w:rsidRDefault="006F3C6B" w:rsidP="00E9317A">
      <w:pPr>
        <w:pStyle w:val="Heading3"/>
        <w:numPr>
          <w:ilvl w:val="3"/>
          <w:numId w:val="5"/>
        </w:numPr>
        <w:spacing w:line="480" w:lineRule="auto"/>
        <w:ind w:left="1134"/>
      </w:pPr>
      <w:bookmarkStart w:id="2" w:name="_Toc170109882"/>
      <w:r w:rsidRPr="0086726C">
        <w:t xml:space="preserve">Sejarah Bursa Efek Indonesia </w:t>
      </w:r>
      <w:r w:rsidR="0086726C" w:rsidRPr="0086726C">
        <w:t>(BEI)</w:t>
      </w:r>
      <w:bookmarkEnd w:id="2"/>
    </w:p>
    <w:p w14:paraId="2D2D9D09" w14:textId="3A2C357D" w:rsidR="0018612A" w:rsidRPr="0018612A" w:rsidRDefault="006F3C6B" w:rsidP="0018612A">
      <w:pPr>
        <w:spacing w:line="480" w:lineRule="auto"/>
        <w:ind w:left="1134"/>
        <w:rPr>
          <w:rFonts w:cs="Times New Roman"/>
          <w:szCs w:val="24"/>
        </w:rPr>
      </w:pPr>
      <w:r w:rsidRPr="0086726C">
        <w:rPr>
          <w:rFonts w:cs="Times New Roman"/>
          <w:szCs w:val="24"/>
        </w:rPr>
        <w:tab/>
      </w:r>
      <w:r w:rsidR="0086726C">
        <w:rPr>
          <w:rFonts w:cs="Times New Roman"/>
          <w:szCs w:val="24"/>
        </w:rPr>
        <w:tab/>
      </w:r>
      <w:r w:rsidR="0018612A" w:rsidRPr="0018612A">
        <w:rPr>
          <w:rFonts w:cs="Times New Roman"/>
          <w:szCs w:val="24"/>
        </w:rPr>
        <w:t>Sec</w:t>
      </w:r>
      <w:r w:rsidR="0018612A">
        <w:rPr>
          <w:rFonts w:cs="Times New Roman"/>
          <w:szCs w:val="24"/>
        </w:rPr>
        <w:t xml:space="preserve">ara historis, pasar modal sudah </w:t>
      </w:r>
      <w:r w:rsidR="0018612A" w:rsidRPr="0018612A">
        <w:rPr>
          <w:rFonts w:cs="Times New Roman"/>
          <w:szCs w:val="24"/>
        </w:rPr>
        <w:t>hadir jauh sebelum Indonesia merdeka. Pasar m</w:t>
      </w:r>
      <w:r w:rsidR="0018612A">
        <w:rPr>
          <w:rFonts w:cs="Times New Roman"/>
          <w:szCs w:val="24"/>
        </w:rPr>
        <w:t>odal atau bursa efek sudah ada pada jaman kolonial b</w:t>
      </w:r>
      <w:r w:rsidR="0018612A" w:rsidRPr="0018612A">
        <w:rPr>
          <w:rFonts w:cs="Times New Roman"/>
          <w:szCs w:val="24"/>
        </w:rPr>
        <w:t>elanda d</w:t>
      </w:r>
      <w:r w:rsidR="0018612A">
        <w:rPr>
          <w:rFonts w:cs="Times New Roman"/>
          <w:szCs w:val="24"/>
        </w:rPr>
        <w:t>an tepatnya pada tahun 1912 di b</w:t>
      </w:r>
      <w:r w:rsidR="0018612A" w:rsidRPr="0018612A">
        <w:rPr>
          <w:rFonts w:cs="Times New Roman"/>
          <w:szCs w:val="24"/>
        </w:rPr>
        <w:t>atavia. Pasar modal ketika</w:t>
      </w:r>
      <w:r w:rsidR="0018612A">
        <w:rPr>
          <w:rFonts w:cs="Times New Roman"/>
          <w:szCs w:val="24"/>
        </w:rPr>
        <w:t xml:space="preserve"> itu didirikan oleh pemerintah hidia b</w:t>
      </w:r>
      <w:r w:rsidR="0018612A" w:rsidRPr="0018612A">
        <w:rPr>
          <w:rFonts w:cs="Times New Roman"/>
          <w:szCs w:val="24"/>
        </w:rPr>
        <w:t>elanda untuk kepentiang pemerintah kolonial atau VOC.</w:t>
      </w:r>
    </w:p>
    <w:p w14:paraId="78B4B240" w14:textId="4AF899D0" w:rsidR="004A69F5" w:rsidRDefault="0018612A" w:rsidP="008912C3">
      <w:pPr>
        <w:spacing w:line="480" w:lineRule="auto"/>
        <w:ind w:left="1134"/>
        <w:rPr>
          <w:rFonts w:cs="Times New Roman"/>
          <w:szCs w:val="24"/>
        </w:rPr>
        <w:sectPr w:rsidR="004A69F5" w:rsidSect="005F63E0">
          <w:headerReference w:type="default" r:id="rId8"/>
          <w:footerReference w:type="first" r:id="rId9"/>
          <w:pgSz w:w="12240" w:h="15840"/>
          <w:pgMar w:top="2268" w:right="1701" w:bottom="1701" w:left="2268" w:header="709" w:footer="709" w:gutter="0"/>
          <w:pgNumType w:start="79"/>
          <w:cols w:space="708"/>
          <w:titlePg/>
          <w:docGrid w:linePitch="360"/>
        </w:sectPr>
      </w:pPr>
      <w:r w:rsidRPr="0018612A">
        <w:rPr>
          <w:rFonts w:cs="Times New Roman"/>
          <w:szCs w:val="24"/>
        </w:rPr>
        <w:t xml:space="preserve">Meskipun pasar </w:t>
      </w:r>
      <w:r>
        <w:rPr>
          <w:rFonts w:cs="Times New Roman"/>
          <w:szCs w:val="24"/>
        </w:rPr>
        <w:t xml:space="preserve">modal sudah </w:t>
      </w:r>
      <w:r w:rsidRPr="0018612A">
        <w:rPr>
          <w:rFonts w:cs="Times New Roman"/>
          <w:szCs w:val="24"/>
        </w:rPr>
        <w:t xml:space="preserve">ada sejak tahun 1912, perkembangan dan pertumbuhan pasar modal tidak berjalan seperti yang diharapkan, bahkan pada beberapa periode kegiatan pasar modal mengalami kevakuman. Hal tersebut disebabkan oleh beberapa faktor seperti perang dunia ke I dan II, perpindahan kekuasaan dari pemerintah kolonial kepada pemerintah Republik Indonesia, dan berbagai kondisi yang menyebabkan operasi bursa </w:t>
      </w:r>
      <w:r w:rsidRPr="0018612A">
        <w:rPr>
          <w:rFonts w:cs="Times New Roman"/>
          <w:szCs w:val="24"/>
        </w:rPr>
        <w:lastRenderedPageBreak/>
        <w:t>efek tidak dapat berjalan sebagaimana mestinya. Pemerintah Republik Indonesia mengaktifkan kembali pasar modal pada tahun 1977, dan beberapa tahun kemudian pasar modal mengalami pertumbuhan seiring dengan berbagai insentif dan regul</w:t>
      </w:r>
      <w:r w:rsidR="004A69F5">
        <w:rPr>
          <w:rFonts w:cs="Times New Roman"/>
          <w:szCs w:val="24"/>
        </w:rPr>
        <w:t>asi yang dikeluarkan pemerinta</w:t>
      </w:r>
    </w:p>
    <w:p w14:paraId="6888CF87" w14:textId="14769A2D" w:rsidR="00254A52" w:rsidRPr="00254A52" w:rsidRDefault="00254A52" w:rsidP="00254A52">
      <w:pPr>
        <w:pStyle w:val="Caption"/>
        <w:jc w:val="center"/>
        <w:rPr>
          <w:color w:val="auto"/>
          <w:sz w:val="24"/>
          <w:szCs w:val="24"/>
        </w:rPr>
      </w:pPr>
      <w:bookmarkStart w:id="3" w:name="_Toc168999369"/>
      <w:r w:rsidRPr="00254A52">
        <w:rPr>
          <w:color w:val="auto"/>
          <w:sz w:val="24"/>
          <w:szCs w:val="24"/>
        </w:rPr>
        <w:lastRenderedPageBreak/>
        <w:t xml:space="preserve">Tabel.  </w:t>
      </w:r>
      <w:r w:rsidRPr="00254A52">
        <w:rPr>
          <w:color w:val="auto"/>
          <w:sz w:val="24"/>
          <w:szCs w:val="24"/>
        </w:rPr>
        <w:fldChar w:fldCharType="begin"/>
      </w:r>
      <w:r w:rsidRPr="00254A52">
        <w:rPr>
          <w:color w:val="auto"/>
          <w:sz w:val="24"/>
          <w:szCs w:val="24"/>
        </w:rPr>
        <w:instrText xml:space="preserve"> SEQ Tabel._ \* ARABIC </w:instrText>
      </w:r>
      <w:r w:rsidRPr="00254A52">
        <w:rPr>
          <w:color w:val="auto"/>
          <w:sz w:val="24"/>
          <w:szCs w:val="24"/>
        </w:rPr>
        <w:fldChar w:fldCharType="separate"/>
      </w:r>
      <w:r w:rsidR="0017483D">
        <w:rPr>
          <w:noProof/>
          <w:color w:val="auto"/>
          <w:sz w:val="24"/>
          <w:szCs w:val="24"/>
        </w:rPr>
        <w:t>5</w:t>
      </w:r>
      <w:r w:rsidRPr="00254A52">
        <w:rPr>
          <w:color w:val="auto"/>
          <w:sz w:val="24"/>
          <w:szCs w:val="24"/>
        </w:rPr>
        <w:fldChar w:fldCharType="end"/>
      </w:r>
      <w:r w:rsidRPr="00254A52">
        <w:rPr>
          <w:color w:val="auto"/>
          <w:sz w:val="24"/>
          <w:szCs w:val="24"/>
          <w:lang w:val="en-US"/>
        </w:rPr>
        <w:t xml:space="preserve"> Sejarah perkembangan pasar modal</w:t>
      </w:r>
      <w:bookmarkEnd w:id="3"/>
    </w:p>
    <w:tbl>
      <w:tblPr>
        <w:tblStyle w:val="TableGrid"/>
        <w:tblW w:w="7751" w:type="dxa"/>
        <w:tblInd w:w="608" w:type="dxa"/>
        <w:tblLook w:val="04A0" w:firstRow="1" w:lastRow="0" w:firstColumn="1" w:lastColumn="0" w:noHBand="0" w:noVBand="1"/>
      </w:tblPr>
      <w:tblGrid>
        <w:gridCol w:w="988"/>
        <w:gridCol w:w="6763"/>
      </w:tblGrid>
      <w:tr w:rsidR="004750CB" w14:paraId="18620FBC" w14:textId="77777777" w:rsidTr="004750CB">
        <w:tc>
          <w:tcPr>
            <w:tcW w:w="988" w:type="dxa"/>
            <w:vAlign w:val="center"/>
          </w:tcPr>
          <w:p w14:paraId="0AFAF0AB" w14:textId="41856C07" w:rsidR="004750CB" w:rsidRDefault="004750CB" w:rsidP="004750CB">
            <w:pPr>
              <w:spacing w:line="360" w:lineRule="auto"/>
              <w:jc w:val="center"/>
              <w:rPr>
                <w:rFonts w:cs="Times New Roman"/>
                <w:szCs w:val="24"/>
              </w:rPr>
            </w:pPr>
            <w:r w:rsidRPr="00805A46">
              <w:rPr>
                <w:rFonts w:eastAsia="Arial Unicode MS"/>
                <w:b/>
                <w:color w:val="000000" w:themeColor="text1"/>
                <w:szCs w:val="24"/>
                <w:shd w:val="clear" w:color="auto" w:fill="FFFFFF"/>
              </w:rPr>
              <w:t>No</w:t>
            </w:r>
            <w:r>
              <w:rPr>
                <w:rFonts w:eastAsia="Arial Unicode MS"/>
                <w:b/>
                <w:color w:val="000000" w:themeColor="text1"/>
                <w:szCs w:val="24"/>
                <w:shd w:val="clear" w:color="auto" w:fill="FFFFFF"/>
              </w:rPr>
              <w:t>.</w:t>
            </w:r>
          </w:p>
        </w:tc>
        <w:tc>
          <w:tcPr>
            <w:tcW w:w="6763" w:type="dxa"/>
            <w:vAlign w:val="center"/>
          </w:tcPr>
          <w:p w14:paraId="57EF74D6" w14:textId="368E1C2A" w:rsidR="004750CB" w:rsidRDefault="004750CB" w:rsidP="004750CB">
            <w:pPr>
              <w:spacing w:line="360" w:lineRule="auto"/>
              <w:jc w:val="center"/>
              <w:rPr>
                <w:rFonts w:cs="Times New Roman"/>
                <w:szCs w:val="24"/>
              </w:rPr>
            </w:pPr>
            <w:r w:rsidRPr="00805A46">
              <w:rPr>
                <w:rFonts w:eastAsia="Arial Unicode MS"/>
                <w:b/>
                <w:color w:val="000000" w:themeColor="text1"/>
                <w:szCs w:val="24"/>
                <w:shd w:val="clear" w:color="auto" w:fill="FFFFFF"/>
              </w:rPr>
              <w:t>Tahun dan perkembangan Pasar Modal</w:t>
            </w:r>
          </w:p>
        </w:tc>
      </w:tr>
      <w:tr w:rsidR="004750CB" w14:paraId="46AB91EA" w14:textId="77777777" w:rsidTr="004750CB">
        <w:tc>
          <w:tcPr>
            <w:tcW w:w="988" w:type="dxa"/>
          </w:tcPr>
          <w:p w14:paraId="0502588C" w14:textId="5D851485"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1</w:t>
            </w:r>
          </w:p>
        </w:tc>
        <w:tc>
          <w:tcPr>
            <w:tcW w:w="6763" w:type="dxa"/>
          </w:tcPr>
          <w:p w14:paraId="460B9DA5" w14:textId="20B2C8F1" w:rsidR="004750CB" w:rsidRDefault="004750CB" w:rsidP="004750CB">
            <w:pPr>
              <w:spacing w:line="276" w:lineRule="auto"/>
              <w:jc w:val="left"/>
              <w:rPr>
                <w:rFonts w:cs="Times New Roman"/>
                <w:szCs w:val="24"/>
              </w:rPr>
            </w:pPr>
            <w:r w:rsidRPr="00BA30ED">
              <w:rPr>
                <w:rFonts w:eastAsia="Arial Unicode MS"/>
                <w:color w:val="000000" w:themeColor="text1"/>
                <w:szCs w:val="24"/>
                <w:shd w:val="clear" w:color="auto" w:fill="FFFFFF"/>
              </w:rPr>
              <w:t xml:space="preserve">14 Desember 1912: Bursa Efek pertama di Indonesia </w:t>
            </w:r>
            <w:r>
              <w:rPr>
                <w:rFonts w:eastAsia="Arial Unicode MS"/>
                <w:color w:val="000000" w:themeColor="text1"/>
                <w:szCs w:val="24"/>
                <w:shd w:val="clear" w:color="auto" w:fill="FFFFFF"/>
              </w:rPr>
              <w:t>dibentuk di</w:t>
            </w:r>
            <w:r w:rsidRPr="00BA30ED">
              <w:rPr>
                <w:rFonts w:eastAsia="Arial Unicode MS"/>
                <w:color w:val="000000" w:themeColor="text1"/>
                <w:szCs w:val="24"/>
                <w:shd w:val="clear" w:color="auto" w:fill="FFFFFF"/>
              </w:rPr>
              <w:t xml:space="preserve"> Batavia oleh Pemerintah Hindia Belanda.</w:t>
            </w:r>
          </w:p>
        </w:tc>
      </w:tr>
      <w:tr w:rsidR="004750CB" w14:paraId="04A21E1C" w14:textId="77777777" w:rsidTr="004750CB">
        <w:tc>
          <w:tcPr>
            <w:tcW w:w="988" w:type="dxa"/>
          </w:tcPr>
          <w:p w14:paraId="3F09A915" w14:textId="55710A5B"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2</w:t>
            </w:r>
          </w:p>
        </w:tc>
        <w:tc>
          <w:tcPr>
            <w:tcW w:w="6763" w:type="dxa"/>
          </w:tcPr>
          <w:p w14:paraId="70A853C2" w14:textId="05D3822C" w:rsidR="004750CB" w:rsidRDefault="004750CB" w:rsidP="004750CB">
            <w:pPr>
              <w:spacing w:line="276" w:lineRule="auto"/>
              <w:jc w:val="left"/>
              <w:rPr>
                <w:rFonts w:cs="Times New Roman"/>
                <w:szCs w:val="24"/>
              </w:rPr>
            </w:pPr>
            <w:r>
              <w:rPr>
                <w:rFonts w:eastAsia="Arial Unicode MS"/>
                <w:color w:val="000000" w:themeColor="text1"/>
                <w:szCs w:val="24"/>
                <w:shd w:val="clear" w:color="auto" w:fill="FFFFFF"/>
              </w:rPr>
              <w:t>1914 – 1918: Bursa Efek di Batavia ditutup selama Perang Dunia I</w:t>
            </w:r>
          </w:p>
        </w:tc>
      </w:tr>
      <w:tr w:rsidR="004750CB" w14:paraId="0D656B46" w14:textId="77777777" w:rsidTr="004750CB">
        <w:tc>
          <w:tcPr>
            <w:tcW w:w="988" w:type="dxa"/>
          </w:tcPr>
          <w:p w14:paraId="5A69C98C" w14:textId="6CA72F4E"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3</w:t>
            </w:r>
          </w:p>
        </w:tc>
        <w:tc>
          <w:tcPr>
            <w:tcW w:w="6763" w:type="dxa"/>
          </w:tcPr>
          <w:p w14:paraId="2765F499" w14:textId="1E358370" w:rsidR="004750CB" w:rsidRDefault="004750CB" w:rsidP="004750CB">
            <w:pPr>
              <w:spacing w:line="276" w:lineRule="auto"/>
              <w:jc w:val="left"/>
              <w:rPr>
                <w:rFonts w:cs="Times New Roman"/>
                <w:szCs w:val="24"/>
              </w:rPr>
            </w:pPr>
            <w:r>
              <w:rPr>
                <w:rFonts w:eastAsia="Arial Unicode MS"/>
                <w:color w:val="000000" w:themeColor="text1"/>
                <w:szCs w:val="24"/>
                <w:shd w:val="clear" w:color="auto" w:fill="FFFFFF"/>
              </w:rPr>
              <w:t>1925 – 1942: Bursa Efek di Jakarta dibuka Kembali bersama dengan Bursa Efek di Semarang dan Surabaya.</w:t>
            </w:r>
          </w:p>
        </w:tc>
      </w:tr>
      <w:tr w:rsidR="004750CB" w14:paraId="6880144D" w14:textId="77777777" w:rsidTr="004750CB">
        <w:tc>
          <w:tcPr>
            <w:tcW w:w="988" w:type="dxa"/>
          </w:tcPr>
          <w:p w14:paraId="06D1202B" w14:textId="64CEB2E7"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4</w:t>
            </w:r>
          </w:p>
        </w:tc>
        <w:tc>
          <w:tcPr>
            <w:tcW w:w="6763" w:type="dxa"/>
          </w:tcPr>
          <w:p w14:paraId="1FCBCCE4" w14:textId="06003509" w:rsidR="004750CB" w:rsidRDefault="004750CB" w:rsidP="004750CB">
            <w:pPr>
              <w:spacing w:line="276" w:lineRule="auto"/>
              <w:jc w:val="left"/>
              <w:rPr>
                <w:rFonts w:cs="Times New Roman"/>
                <w:szCs w:val="24"/>
              </w:rPr>
            </w:pPr>
            <w:r>
              <w:rPr>
                <w:rFonts w:eastAsia="Arial Unicode MS"/>
                <w:color w:val="000000" w:themeColor="text1"/>
                <w:szCs w:val="24"/>
                <w:shd w:val="clear" w:color="auto" w:fill="FFFFFF"/>
              </w:rPr>
              <w:t>Awal tahun 1939: Karena isu politik (Perang Dunia II) Bursa Efek di Semarang dan Surabaya ditutup.</w:t>
            </w:r>
          </w:p>
        </w:tc>
      </w:tr>
      <w:tr w:rsidR="004750CB" w14:paraId="4AF4C57C" w14:textId="77777777" w:rsidTr="004750CB">
        <w:tc>
          <w:tcPr>
            <w:tcW w:w="988" w:type="dxa"/>
          </w:tcPr>
          <w:p w14:paraId="1497C722" w14:textId="68B23396"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5</w:t>
            </w:r>
          </w:p>
        </w:tc>
        <w:tc>
          <w:tcPr>
            <w:tcW w:w="6763" w:type="dxa"/>
          </w:tcPr>
          <w:p w14:paraId="1DBF322E" w14:textId="50FF4979" w:rsidR="004750CB" w:rsidRDefault="004750CB" w:rsidP="004750CB">
            <w:pPr>
              <w:spacing w:line="276" w:lineRule="auto"/>
              <w:jc w:val="left"/>
              <w:rPr>
                <w:rFonts w:cs="Times New Roman"/>
                <w:szCs w:val="24"/>
              </w:rPr>
            </w:pPr>
            <w:r w:rsidRPr="00BA30ED">
              <w:rPr>
                <w:rFonts w:eastAsia="Arial Unicode MS"/>
                <w:color w:val="000000" w:themeColor="text1"/>
                <w:szCs w:val="24"/>
                <w:shd w:val="clear" w:color="auto" w:fill="FFFFFF"/>
              </w:rPr>
              <w:t>1942 – 1952: Bursa Efek di Jakarta ditutup kembali selama Perang Dunia II.</w:t>
            </w:r>
          </w:p>
        </w:tc>
      </w:tr>
      <w:tr w:rsidR="004750CB" w14:paraId="63584F75" w14:textId="77777777" w:rsidTr="004750CB">
        <w:tc>
          <w:tcPr>
            <w:tcW w:w="988" w:type="dxa"/>
          </w:tcPr>
          <w:p w14:paraId="2B48F76C" w14:textId="1772025F"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6</w:t>
            </w:r>
          </w:p>
        </w:tc>
        <w:tc>
          <w:tcPr>
            <w:tcW w:w="6763" w:type="dxa"/>
          </w:tcPr>
          <w:p w14:paraId="2948A7C1" w14:textId="6CB2916D" w:rsidR="004750CB" w:rsidRDefault="004750CB" w:rsidP="004750CB">
            <w:pPr>
              <w:spacing w:line="276" w:lineRule="auto"/>
              <w:jc w:val="left"/>
              <w:rPr>
                <w:rFonts w:cs="Times New Roman"/>
                <w:szCs w:val="24"/>
              </w:rPr>
            </w:pPr>
            <w:r w:rsidRPr="00BA30ED">
              <w:rPr>
                <w:rFonts w:eastAsia="Arial Unicode MS"/>
                <w:color w:val="000000" w:themeColor="text1"/>
                <w:szCs w:val="24"/>
                <w:shd w:val="clear" w:color="auto" w:fill="FFFFFF"/>
              </w:rPr>
              <w:t>Tahun 1952: Bursa Efek di Jakarta diaktifkan kembali dengan Undang-undang Darurat Pasar Modal 1952, yang dikeluarkan oleh Menteri Kehakiman (LukmanWiradinata) dan Menteri Keuangan (Prof. R. Sumitro Djojohadikusumo). Instrumen yang diperdagankan yaitu Obligasi Pemerintah RI (1950).</w:t>
            </w:r>
          </w:p>
        </w:tc>
      </w:tr>
      <w:tr w:rsidR="004750CB" w14:paraId="260205BB" w14:textId="77777777" w:rsidTr="004750CB">
        <w:tc>
          <w:tcPr>
            <w:tcW w:w="988" w:type="dxa"/>
          </w:tcPr>
          <w:p w14:paraId="4DED2C1F" w14:textId="0BD1BA2D"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7</w:t>
            </w:r>
          </w:p>
        </w:tc>
        <w:tc>
          <w:tcPr>
            <w:tcW w:w="6763" w:type="dxa"/>
          </w:tcPr>
          <w:p w14:paraId="1EC27B54" w14:textId="19820713" w:rsidR="004750CB" w:rsidRDefault="004750CB" w:rsidP="004750CB">
            <w:pPr>
              <w:spacing w:line="276" w:lineRule="auto"/>
              <w:jc w:val="left"/>
              <w:rPr>
                <w:rFonts w:cs="Times New Roman"/>
                <w:szCs w:val="24"/>
              </w:rPr>
            </w:pPr>
            <w:r>
              <w:rPr>
                <w:rFonts w:eastAsia="Arial Unicode MS"/>
                <w:color w:val="000000" w:themeColor="text1"/>
                <w:szCs w:val="24"/>
                <w:shd w:val="clear" w:color="auto" w:fill="FFFFFF"/>
              </w:rPr>
              <w:t>Tahun 1956: Program nasionalisasi perusahaan Belanda. Bursa Efek semakin tidak aktif</w:t>
            </w:r>
          </w:p>
        </w:tc>
      </w:tr>
      <w:tr w:rsidR="004750CB" w14:paraId="70C4CB07" w14:textId="77777777" w:rsidTr="004750CB">
        <w:tc>
          <w:tcPr>
            <w:tcW w:w="988" w:type="dxa"/>
          </w:tcPr>
          <w:p w14:paraId="36A2A3F6" w14:textId="07E004A7"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8</w:t>
            </w:r>
          </w:p>
        </w:tc>
        <w:tc>
          <w:tcPr>
            <w:tcW w:w="6763" w:type="dxa"/>
          </w:tcPr>
          <w:p w14:paraId="1878E3B8" w14:textId="2C561CC6" w:rsidR="004750CB" w:rsidRDefault="004750CB" w:rsidP="004750CB">
            <w:pPr>
              <w:spacing w:line="276" w:lineRule="auto"/>
              <w:jc w:val="left"/>
              <w:rPr>
                <w:rFonts w:cs="Times New Roman"/>
                <w:szCs w:val="24"/>
              </w:rPr>
            </w:pPr>
            <w:r>
              <w:rPr>
                <w:rFonts w:eastAsia="Arial Unicode MS"/>
                <w:color w:val="000000" w:themeColor="text1"/>
                <w:szCs w:val="24"/>
                <w:shd w:val="clear" w:color="auto" w:fill="FFFFFF"/>
              </w:rPr>
              <w:t>Tahun 1956: Tingkat Inflasi mencapai 650%</w:t>
            </w:r>
          </w:p>
        </w:tc>
      </w:tr>
      <w:tr w:rsidR="004750CB" w14:paraId="7C13332D" w14:textId="77777777" w:rsidTr="004750CB">
        <w:tc>
          <w:tcPr>
            <w:tcW w:w="988" w:type="dxa"/>
          </w:tcPr>
          <w:p w14:paraId="48ADCCCB" w14:textId="381F25E7"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9</w:t>
            </w:r>
          </w:p>
        </w:tc>
        <w:tc>
          <w:tcPr>
            <w:tcW w:w="6763" w:type="dxa"/>
          </w:tcPr>
          <w:p w14:paraId="4E966E53" w14:textId="7E9AAC98" w:rsidR="004750CB" w:rsidRDefault="004750CB" w:rsidP="004750CB">
            <w:pPr>
              <w:spacing w:line="276" w:lineRule="auto"/>
              <w:jc w:val="left"/>
              <w:rPr>
                <w:rFonts w:cs="Times New Roman"/>
                <w:szCs w:val="24"/>
              </w:rPr>
            </w:pPr>
            <w:r>
              <w:rPr>
                <w:rFonts w:eastAsia="Arial Unicode MS"/>
                <w:color w:val="000000" w:themeColor="text1"/>
                <w:szCs w:val="24"/>
                <w:shd w:val="clear" w:color="auto" w:fill="FFFFFF"/>
              </w:rPr>
              <w:t>Tahun 1971: Pemerintah mulai memperkenalkan Deposito Berjangka, Tabanas dan Taska, dan Sertifikat Bank Indonesia (SBI).</w:t>
            </w:r>
          </w:p>
        </w:tc>
      </w:tr>
      <w:tr w:rsidR="004750CB" w14:paraId="3EEF38C2" w14:textId="77777777" w:rsidTr="004750CB">
        <w:tc>
          <w:tcPr>
            <w:tcW w:w="988" w:type="dxa"/>
          </w:tcPr>
          <w:p w14:paraId="079F3B10" w14:textId="1DFDE157"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10</w:t>
            </w:r>
          </w:p>
        </w:tc>
        <w:tc>
          <w:tcPr>
            <w:tcW w:w="6763" w:type="dxa"/>
          </w:tcPr>
          <w:p w14:paraId="02A99614" w14:textId="0EDC4D2A" w:rsidR="004750CB" w:rsidRDefault="004750CB" w:rsidP="004750CB">
            <w:pPr>
              <w:spacing w:line="276" w:lineRule="auto"/>
              <w:jc w:val="left"/>
              <w:rPr>
                <w:rFonts w:cs="Times New Roman"/>
                <w:szCs w:val="24"/>
              </w:rPr>
            </w:pPr>
            <w:r w:rsidRPr="009E4D43">
              <w:rPr>
                <w:rFonts w:eastAsia="Arial Unicode MS"/>
                <w:color w:val="000000" w:themeColor="text1"/>
                <w:szCs w:val="24"/>
                <w:shd w:val="clear" w:color="auto" w:fill="FFFFFF"/>
              </w:rPr>
              <w:t>1956 – 1977: Perdagangan di Bursa Efek vakum.</w:t>
            </w:r>
          </w:p>
        </w:tc>
      </w:tr>
      <w:tr w:rsidR="004750CB" w14:paraId="67DF9D60" w14:textId="77777777" w:rsidTr="004750CB">
        <w:tc>
          <w:tcPr>
            <w:tcW w:w="988" w:type="dxa"/>
          </w:tcPr>
          <w:p w14:paraId="7A614CDB" w14:textId="2FBA98F4"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11</w:t>
            </w:r>
          </w:p>
        </w:tc>
        <w:tc>
          <w:tcPr>
            <w:tcW w:w="6763" w:type="dxa"/>
          </w:tcPr>
          <w:p w14:paraId="01CE715D" w14:textId="3489072B" w:rsidR="004750CB" w:rsidRDefault="004750CB" w:rsidP="004750CB">
            <w:pPr>
              <w:spacing w:line="276" w:lineRule="auto"/>
              <w:jc w:val="left"/>
              <w:rPr>
                <w:rFonts w:cs="Times New Roman"/>
                <w:szCs w:val="24"/>
              </w:rPr>
            </w:pPr>
            <w:r w:rsidRPr="009E4D43">
              <w:rPr>
                <w:rFonts w:eastAsia="Arial Unicode MS"/>
                <w:color w:val="000000" w:themeColor="text1"/>
                <w:szCs w:val="24"/>
                <w:shd w:val="clear" w:color="auto" w:fill="FFFFFF"/>
              </w:rPr>
              <w:t xml:space="preserve">10 Agustus 1977: Bursa Efek diresmikan kembali oleh Presiden Soeharto. BEJ dijalankan dibawah BAPEPAM (Badan Pelaksana Pasar Modal). Pengaktifan kembali pasar modal ini juga ditandai dengan </w:t>
            </w:r>
            <w:r w:rsidRPr="009E4D43">
              <w:rPr>
                <w:rFonts w:eastAsia="Arial Unicode MS"/>
                <w:i/>
                <w:color w:val="000000" w:themeColor="text1"/>
                <w:szCs w:val="24"/>
                <w:shd w:val="clear" w:color="auto" w:fill="FFFFFF"/>
              </w:rPr>
              <w:t xml:space="preserve">go public </w:t>
            </w:r>
            <w:r w:rsidRPr="009E4D43">
              <w:rPr>
                <w:rFonts w:eastAsia="Arial Unicode MS"/>
                <w:color w:val="000000" w:themeColor="text1"/>
                <w:szCs w:val="24"/>
                <w:shd w:val="clear" w:color="auto" w:fill="FFFFFF"/>
              </w:rPr>
              <w:t>PT Semen Cibinong sebagai emiten pertama.</w:t>
            </w:r>
          </w:p>
        </w:tc>
      </w:tr>
      <w:tr w:rsidR="004750CB" w14:paraId="4ECC8A1C" w14:textId="77777777" w:rsidTr="004750CB">
        <w:tc>
          <w:tcPr>
            <w:tcW w:w="988" w:type="dxa"/>
          </w:tcPr>
          <w:p w14:paraId="08A56C9C" w14:textId="248A9405"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12</w:t>
            </w:r>
          </w:p>
        </w:tc>
        <w:tc>
          <w:tcPr>
            <w:tcW w:w="6763" w:type="dxa"/>
          </w:tcPr>
          <w:p w14:paraId="4D444309" w14:textId="07E4DE55" w:rsidR="004750CB" w:rsidRDefault="004750CB" w:rsidP="004750CB">
            <w:pPr>
              <w:spacing w:line="276" w:lineRule="auto"/>
              <w:jc w:val="left"/>
              <w:rPr>
                <w:rFonts w:cs="Times New Roman"/>
                <w:szCs w:val="24"/>
              </w:rPr>
            </w:pPr>
            <w:r w:rsidRPr="009E4D43">
              <w:rPr>
                <w:rFonts w:eastAsia="Arial Unicode MS"/>
                <w:color w:val="000000" w:themeColor="text1"/>
                <w:szCs w:val="24"/>
                <w:shd w:val="clear" w:color="auto" w:fill="FFFFFF"/>
              </w:rPr>
              <w:t>1977 – 1987: Perdagangan di Bursa Efek sangat lesu. Jumlah emiten hingga 1987 baru mencapai 24. Masyarakat lebih memilih instrumen perbankan dibandingkan instrumen Pasar Modal.</w:t>
            </w:r>
          </w:p>
        </w:tc>
      </w:tr>
      <w:tr w:rsidR="004750CB" w14:paraId="5125CE25" w14:textId="77777777" w:rsidTr="004750CB">
        <w:tc>
          <w:tcPr>
            <w:tcW w:w="988" w:type="dxa"/>
          </w:tcPr>
          <w:p w14:paraId="17DB25D9" w14:textId="735D5350"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13</w:t>
            </w:r>
          </w:p>
        </w:tc>
        <w:tc>
          <w:tcPr>
            <w:tcW w:w="6763" w:type="dxa"/>
          </w:tcPr>
          <w:p w14:paraId="4D47A8DC" w14:textId="0A4E951B" w:rsidR="004750CB" w:rsidRDefault="004750CB" w:rsidP="004750CB">
            <w:pPr>
              <w:spacing w:line="276" w:lineRule="auto"/>
              <w:jc w:val="left"/>
              <w:rPr>
                <w:rFonts w:cs="Times New Roman"/>
                <w:szCs w:val="24"/>
              </w:rPr>
            </w:pPr>
            <w:r>
              <w:rPr>
                <w:rFonts w:eastAsia="Arial Unicode MS"/>
                <w:color w:val="000000" w:themeColor="text1"/>
                <w:szCs w:val="24"/>
                <w:shd w:val="clear" w:color="auto" w:fill="FFFFFF"/>
              </w:rPr>
              <w:t>Tahun 1987: Ditandai dengan hadirnya paket Desember 1987 (PAKDES 1987) yang memberikan kemudahan bagi perusahaan untuk melakukan Penawaran Umum dan investor asing menanamkan modal di Indonesia</w:t>
            </w:r>
          </w:p>
        </w:tc>
      </w:tr>
      <w:tr w:rsidR="004750CB" w14:paraId="1E8F44FB" w14:textId="77777777" w:rsidTr="004750CB">
        <w:tc>
          <w:tcPr>
            <w:tcW w:w="988" w:type="dxa"/>
          </w:tcPr>
          <w:p w14:paraId="3262538F" w14:textId="5E52198C"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lastRenderedPageBreak/>
              <w:t>14</w:t>
            </w:r>
          </w:p>
        </w:tc>
        <w:tc>
          <w:tcPr>
            <w:tcW w:w="6763" w:type="dxa"/>
          </w:tcPr>
          <w:p w14:paraId="012C60EE" w14:textId="03BAF02C" w:rsidR="004750CB" w:rsidRDefault="004750CB" w:rsidP="004750CB">
            <w:pPr>
              <w:spacing w:line="276" w:lineRule="auto"/>
              <w:jc w:val="left"/>
              <w:rPr>
                <w:rFonts w:cs="Times New Roman"/>
                <w:szCs w:val="24"/>
              </w:rPr>
            </w:pPr>
            <w:r w:rsidRPr="009E4D43">
              <w:rPr>
                <w:rFonts w:eastAsia="Arial Unicode MS"/>
                <w:color w:val="000000" w:themeColor="text1"/>
                <w:szCs w:val="24"/>
                <w:shd w:val="clear" w:color="auto" w:fill="FFFFFF"/>
              </w:rPr>
              <w:t>1988 – 1990: Paket deregulasi dibidang perbankan dan Pasar Modal diluncurkan. Pintu BEJ terbuka untuk asing. Aktivitas bursa terlihat meningkat.</w:t>
            </w:r>
          </w:p>
        </w:tc>
      </w:tr>
      <w:tr w:rsidR="004750CB" w14:paraId="5BEBA09B" w14:textId="77777777" w:rsidTr="004750CB">
        <w:tc>
          <w:tcPr>
            <w:tcW w:w="988" w:type="dxa"/>
          </w:tcPr>
          <w:p w14:paraId="795625B3" w14:textId="0EAB08DF"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15</w:t>
            </w:r>
          </w:p>
        </w:tc>
        <w:tc>
          <w:tcPr>
            <w:tcW w:w="6763" w:type="dxa"/>
          </w:tcPr>
          <w:p w14:paraId="78F14B88" w14:textId="359C86C6" w:rsidR="004750CB" w:rsidRDefault="004750CB" w:rsidP="004750CB">
            <w:pPr>
              <w:spacing w:line="276" w:lineRule="auto"/>
              <w:jc w:val="left"/>
              <w:rPr>
                <w:rFonts w:cs="Times New Roman"/>
                <w:szCs w:val="24"/>
              </w:rPr>
            </w:pPr>
            <w:r>
              <w:rPr>
                <w:rFonts w:eastAsia="Arial Unicode MS"/>
                <w:color w:val="000000" w:themeColor="text1"/>
                <w:szCs w:val="24"/>
                <w:shd w:val="clear" w:color="auto" w:fill="FFFFFF"/>
              </w:rPr>
              <w:t>02 Juni 1988: Bursa Paralel Indonesia (BPI) mulai beroperasi dan dikelola oleh Persatuan Perdagangan Uang dan Efek (PPUE), sedangkan oranisasinya terdiri dari broker dan dealer</w:t>
            </w:r>
          </w:p>
        </w:tc>
      </w:tr>
      <w:tr w:rsidR="004750CB" w14:paraId="561BA8B0" w14:textId="77777777" w:rsidTr="004750CB">
        <w:tc>
          <w:tcPr>
            <w:tcW w:w="988" w:type="dxa"/>
          </w:tcPr>
          <w:p w14:paraId="797D526A" w14:textId="528013E6"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16</w:t>
            </w:r>
          </w:p>
        </w:tc>
        <w:tc>
          <w:tcPr>
            <w:tcW w:w="6763" w:type="dxa"/>
          </w:tcPr>
          <w:p w14:paraId="57CFB33A" w14:textId="50EB3C03" w:rsidR="004750CB" w:rsidRDefault="004750CB" w:rsidP="004750CB">
            <w:pPr>
              <w:spacing w:line="276" w:lineRule="auto"/>
              <w:jc w:val="left"/>
              <w:rPr>
                <w:rFonts w:cs="Times New Roman"/>
                <w:szCs w:val="24"/>
              </w:rPr>
            </w:pPr>
            <w:r w:rsidRPr="009E4D43">
              <w:rPr>
                <w:rFonts w:eastAsia="Arial Unicode MS"/>
                <w:color w:val="000000" w:themeColor="text1"/>
                <w:szCs w:val="24"/>
                <w:shd w:val="clear" w:color="auto" w:fill="FFFFFF"/>
              </w:rPr>
              <w:t xml:space="preserve">Desember 1988: Pemerintah mengeluarkan Paket Desember 88 (PAKDES 88) yang memberikan kemudahan perusahaan untuk </w:t>
            </w:r>
            <w:r w:rsidRPr="009E4D43">
              <w:rPr>
                <w:rFonts w:eastAsia="Arial Unicode MS"/>
                <w:i/>
                <w:color w:val="000000" w:themeColor="text1"/>
                <w:szCs w:val="24"/>
                <w:shd w:val="clear" w:color="auto" w:fill="FFFFFF"/>
              </w:rPr>
              <w:t>go public</w:t>
            </w:r>
            <w:r w:rsidRPr="009E4D43">
              <w:rPr>
                <w:rFonts w:eastAsia="Arial Unicode MS"/>
                <w:color w:val="000000" w:themeColor="text1"/>
                <w:szCs w:val="24"/>
                <w:shd w:val="clear" w:color="auto" w:fill="FFFFFF"/>
              </w:rPr>
              <w:t xml:space="preserve"> dan beberapa kebijakan lain yang positif bagi pertumbuhan pasar modal.</w:t>
            </w:r>
          </w:p>
        </w:tc>
      </w:tr>
      <w:tr w:rsidR="004750CB" w14:paraId="285F5ADE" w14:textId="77777777" w:rsidTr="004750CB">
        <w:tc>
          <w:tcPr>
            <w:tcW w:w="988" w:type="dxa"/>
          </w:tcPr>
          <w:p w14:paraId="7E2341FF" w14:textId="168843EF"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17</w:t>
            </w:r>
          </w:p>
        </w:tc>
        <w:tc>
          <w:tcPr>
            <w:tcW w:w="6763" w:type="dxa"/>
          </w:tcPr>
          <w:p w14:paraId="29A7E094" w14:textId="6B6A1003" w:rsidR="004750CB" w:rsidRDefault="004750CB" w:rsidP="004750CB">
            <w:pPr>
              <w:spacing w:line="276" w:lineRule="auto"/>
              <w:jc w:val="left"/>
              <w:rPr>
                <w:rFonts w:cs="Times New Roman"/>
                <w:szCs w:val="24"/>
              </w:rPr>
            </w:pPr>
            <w:r>
              <w:rPr>
                <w:rFonts w:eastAsia="Arial Unicode MS"/>
                <w:color w:val="000000" w:themeColor="text1"/>
                <w:szCs w:val="24"/>
                <w:shd w:val="clear" w:color="auto" w:fill="FFFFFF"/>
              </w:rPr>
              <w:t xml:space="preserve">16 Juni 1989: Bursa Efek Surabaya (BES) mulai beroperasi dan dikelola oleh </w:t>
            </w:r>
            <w:r w:rsidRPr="008164BE">
              <w:rPr>
                <w:rFonts w:eastAsia="Arial Unicode MS"/>
                <w:color w:val="000000" w:themeColor="text1"/>
                <w:szCs w:val="24"/>
                <w:shd w:val="clear" w:color="auto" w:fill="FFFFFF"/>
              </w:rPr>
              <w:t>Perseroan Terbatas</w:t>
            </w:r>
            <w:r>
              <w:rPr>
                <w:rFonts w:eastAsia="Arial Unicode MS"/>
                <w:color w:val="000000" w:themeColor="text1"/>
                <w:szCs w:val="24"/>
                <w:shd w:val="clear" w:color="auto" w:fill="FFFFFF"/>
              </w:rPr>
              <w:t xml:space="preserve"> milik swasta yaitu PT. Bursa Efek Surabaya</w:t>
            </w:r>
          </w:p>
        </w:tc>
      </w:tr>
      <w:tr w:rsidR="004750CB" w14:paraId="210F173C" w14:textId="77777777" w:rsidTr="004750CB">
        <w:tc>
          <w:tcPr>
            <w:tcW w:w="988" w:type="dxa"/>
          </w:tcPr>
          <w:p w14:paraId="6D2DCCF7" w14:textId="04A2F873"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18</w:t>
            </w:r>
          </w:p>
        </w:tc>
        <w:tc>
          <w:tcPr>
            <w:tcW w:w="6763" w:type="dxa"/>
          </w:tcPr>
          <w:p w14:paraId="111D032A" w14:textId="11FEBF25" w:rsidR="004750CB" w:rsidRDefault="004750CB" w:rsidP="004750CB">
            <w:pPr>
              <w:spacing w:line="276" w:lineRule="auto"/>
              <w:jc w:val="left"/>
              <w:rPr>
                <w:rFonts w:cs="Times New Roman"/>
                <w:szCs w:val="24"/>
              </w:rPr>
            </w:pPr>
            <w:r>
              <w:rPr>
                <w:rFonts w:eastAsia="Arial Unicode MS"/>
                <w:color w:val="000000" w:themeColor="text1"/>
                <w:szCs w:val="24"/>
                <w:shd w:val="clear" w:color="auto" w:fill="FFFFFF"/>
              </w:rPr>
              <w:t xml:space="preserve">13 Juli 1992: Swastanisasi BEJ. BAPEPAM </w:t>
            </w:r>
            <w:r w:rsidR="00774A95">
              <w:rPr>
                <w:rFonts w:eastAsia="Arial Unicode MS"/>
                <w:color w:val="000000" w:themeColor="text1"/>
                <w:szCs w:val="24"/>
                <w:shd w:val="clear" w:color="auto" w:fill="FFFFFF"/>
              </w:rPr>
              <w:t xml:space="preserve">berubah menjadi Badan </w:t>
            </w:r>
            <w:r>
              <w:rPr>
                <w:rFonts w:eastAsia="Arial Unicode MS"/>
                <w:color w:val="000000" w:themeColor="text1"/>
                <w:szCs w:val="24"/>
                <w:shd w:val="clear" w:color="auto" w:fill="FFFFFF"/>
              </w:rPr>
              <w:t>Pengawas Pasar Modal. Tanggal ini diperingati sebagai HUT BEJ.</w:t>
            </w:r>
          </w:p>
        </w:tc>
      </w:tr>
      <w:tr w:rsidR="004750CB" w14:paraId="405DCC54" w14:textId="77777777" w:rsidTr="004750CB">
        <w:tc>
          <w:tcPr>
            <w:tcW w:w="988" w:type="dxa"/>
          </w:tcPr>
          <w:p w14:paraId="5AFB1C62" w14:textId="7B221855"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19</w:t>
            </w:r>
          </w:p>
        </w:tc>
        <w:tc>
          <w:tcPr>
            <w:tcW w:w="6763" w:type="dxa"/>
          </w:tcPr>
          <w:p w14:paraId="6E7CAF4B" w14:textId="7D609CD3" w:rsidR="004750CB" w:rsidRDefault="004750CB" w:rsidP="004750CB">
            <w:pPr>
              <w:spacing w:line="276" w:lineRule="auto"/>
              <w:jc w:val="left"/>
              <w:rPr>
                <w:rFonts w:cs="Times New Roman"/>
                <w:szCs w:val="24"/>
              </w:rPr>
            </w:pPr>
            <w:r w:rsidRPr="009E4D43">
              <w:rPr>
                <w:rFonts w:eastAsia="Arial Unicode MS"/>
                <w:color w:val="000000" w:themeColor="text1"/>
                <w:szCs w:val="24"/>
                <w:shd w:val="clear" w:color="auto" w:fill="FFFFFF"/>
              </w:rPr>
              <w:t>21 Desember 1993: Pendirian PT Pemeringkat Efek Indonesia (PEFINDO).</w:t>
            </w:r>
          </w:p>
        </w:tc>
      </w:tr>
      <w:tr w:rsidR="004750CB" w14:paraId="603FEAB1" w14:textId="77777777" w:rsidTr="004750CB">
        <w:tc>
          <w:tcPr>
            <w:tcW w:w="988" w:type="dxa"/>
          </w:tcPr>
          <w:p w14:paraId="6974848F" w14:textId="660C7CCC"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20</w:t>
            </w:r>
          </w:p>
        </w:tc>
        <w:tc>
          <w:tcPr>
            <w:tcW w:w="6763" w:type="dxa"/>
          </w:tcPr>
          <w:p w14:paraId="360E5E2E" w14:textId="7E6D3FFD" w:rsidR="004750CB" w:rsidRDefault="004750CB" w:rsidP="004750CB">
            <w:pPr>
              <w:spacing w:line="276" w:lineRule="auto"/>
              <w:jc w:val="left"/>
              <w:rPr>
                <w:rFonts w:cs="Times New Roman"/>
                <w:szCs w:val="24"/>
              </w:rPr>
            </w:pPr>
            <w:r w:rsidRPr="009E4D43">
              <w:rPr>
                <w:rFonts w:eastAsia="Arial Unicode MS"/>
                <w:color w:val="000000" w:themeColor="text1"/>
                <w:szCs w:val="24"/>
                <w:shd w:val="clear" w:color="auto" w:fill="FFFFFF"/>
              </w:rPr>
              <w:t>22 Mei 1995: Sistem Otomosi Perdagangan di BEJ dilaksaanakan dengan sistem computer JATS (Jakarta Automated Trading System).</w:t>
            </w:r>
          </w:p>
        </w:tc>
      </w:tr>
      <w:tr w:rsidR="004750CB" w14:paraId="2CA38AFB" w14:textId="77777777" w:rsidTr="004750CB">
        <w:tc>
          <w:tcPr>
            <w:tcW w:w="988" w:type="dxa"/>
          </w:tcPr>
          <w:p w14:paraId="0F1B7C4B" w14:textId="081C8B22"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21</w:t>
            </w:r>
          </w:p>
        </w:tc>
        <w:tc>
          <w:tcPr>
            <w:tcW w:w="6763" w:type="dxa"/>
          </w:tcPr>
          <w:p w14:paraId="2C7C039E" w14:textId="403CB822" w:rsidR="004750CB" w:rsidRDefault="004750CB" w:rsidP="004750CB">
            <w:pPr>
              <w:spacing w:line="276" w:lineRule="auto"/>
              <w:jc w:val="left"/>
              <w:rPr>
                <w:rFonts w:cs="Times New Roman"/>
                <w:szCs w:val="24"/>
              </w:rPr>
            </w:pPr>
            <w:r w:rsidRPr="009E4D43">
              <w:rPr>
                <w:rFonts w:eastAsia="Arial Unicode MS"/>
                <w:color w:val="000000" w:themeColor="text1"/>
                <w:szCs w:val="24"/>
                <w:shd w:val="clear" w:color="auto" w:fill="FFFFFF"/>
              </w:rPr>
              <w:t>10 November 1995: Pemerintah mengeluarkan Undang-Undang No.8 Tahun 1995 tentang Pasar Modal. Undang-undang ini mulai diberlakukan mulai Januari 1996.</w:t>
            </w:r>
          </w:p>
        </w:tc>
      </w:tr>
      <w:tr w:rsidR="004750CB" w14:paraId="01A976AF" w14:textId="77777777" w:rsidTr="004750CB">
        <w:tc>
          <w:tcPr>
            <w:tcW w:w="988" w:type="dxa"/>
          </w:tcPr>
          <w:p w14:paraId="19179D12" w14:textId="4A1255D7"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22</w:t>
            </w:r>
          </w:p>
        </w:tc>
        <w:tc>
          <w:tcPr>
            <w:tcW w:w="6763" w:type="dxa"/>
          </w:tcPr>
          <w:p w14:paraId="39F185DE" w14:textId="7470C77E" w:rsidR="004750CB" w:rsidRDefault="004750CB" w:rsidP="004750CB">
            <w:pPr>
              <w:spacing w:line="276" w:lineRule="auto"/>
              <w:jc w:val="left"/>
              <w:rPr>
                <w:rFonts w:cs="Times New Roman"/>
                <w:szCs w:val="24"/>
              </w:rPr>
            </w:pPr>
            <w:r w:rsidRPr="009E4D43">
              <w:rPr>
                <w:rFonts w:eastAsia="Arial Unicode MS"/>
                <w:color w:val="000000" w:themeColor="text1"/>
                <w:szCs w:val="24"/>
                <w:shd w:val="clear" w:color="auto" w:fill="FFFFFF"/>
              </w:rPr>
              <w:t>Tahun 1995: Bursa Paralel Indonesia merger dengan Bursa Efek Surabaya.</w:t>
            </w:r>
          </w:p>
        </w:tc>
      </w:tr>
      <w:tr w:rsidR="004750CB" w14:paraId="3A3B2FF9" w14:textId="77777777" w:rsidTr="004750CB">
        <w:tc>
          <w:tcPr>
            <w:tcW w:w="988" w:type="dxa"/>
          </w:tcPr>
          <w:p w14:paraId="5D3AD3AA" w14:textId="3C7405AD"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23</w:t>
            </w:r>
          </w:p>
        </w:tc>
        <w:tc>
          <w:tcPr>
            <w:tcW w:w="6763" w:type="dxa"/>
          </w:tcPr>
          <w:p w14:paraId="34D71486" w14:textId="25A21021" w:rsidR="004750CB" w:rsidRDefault="004750CB" w:rsidP="004750CB">
            <w:pPr>
              <w:spacing w:line="276" w:lineRule="auto"/>
              <w:jc w:val="left"/>
              <w:rPr>
                <w:rFonts w:cs="Times New Roman"/>
                <w:szCs w:val="24"/>
              </w:rPr>
            </w:pPr>
            <w:r w:rsidRPr="009E4D43">
              <w:rPr>
                <w:rFonts w:eastAsia="Arial Unicode MS"/>
                <w:color w:val="000000" w:themeColor="text1"/>
                <w:szCs w:val="24"/>
                <w:shd w:val="clear" w:color="auto" w:fill="FFFFFF"/>
              </w:rPr>
              <w:t>06 Agustus 1996: Pendirian Kliring Pinjaman Efek Indonesia (KPEI)</w:t>
            </w:r>
          </w:p>
        </w:tc>
      </w:tr>
      <w:tr w:rsidR="004750CB" w14:paraId="2849794E" w14:textId="77777777" w:rsidTr="004750CB">
        <w:tc>
          <w:tcPr>
            <w:tcW w:w="988" w:type="dxa"/>
          </w:tcPr>
          <w:p w14:paraId="0BAC2E64" w14:textId="4A0A9F41"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24</w:t>
            </w:r>
          </w:p>
        </w:tc>
        <w:tc>
          <w:tcPr>
            <w:tcW w:w="6763" w:type="dxa"/>
          </w:tcPr>
          <w:p w14:paraId="677C5804" w14:textId="5551966E" w:rsidR="004750CB" w:rsidRDefault="004750CB" w:rsidP="004750CB">
            <w:pPr>
              <w:spacing w:line="276" w:lineRule="auto"/>
              <w:jc w:val="left"/>
              <w:rPr>
                <w:rFonts w:cs="Times New Roman"/>
                <w:szCs w:val="24"/>
              </w:rPr>
            </w:pPr>
            <w:r w:rsidRPr="009E4D43">
              <w:rPr>
                <w:rFonts w:eastAsia="Arial Unicode MS"/>
                <w:color w:val="000000" w:themeColor="text1"/>
                <w:szCs w:val="24"/>
                <w:shd w:val="clear" w:color="auto" w:fill="FFFFFF"/>
              </w:rPr>
              <w:t xml:space="preserve">23 Desember 1997: Pendirian Kustodian Sentra Efek Indonesia </w:t>
            </w:r>
          </w:p>
        </w:tc>
      </w:tr>
      <w:tr w:rsidR="004750CB" w14:paraId="56FE81FB" w14:textId="77777777" w:rsidTr="004750CB">
        <w:tc>
          <w:tcPr>
            <w:tcW w:w="988" w:type="dxa"/>
          </w:tcPr>
          <w:p w14:paraId="25BF75BC" w14:textId="148C5F8D"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25</w:t>
            </w:r>
          </w:p>
        </w:tc>
        <w:tc>
          <w:tcPr>
            <w:tcW w:w="6763" w:type="dxa"/>
          </w:tcPr>
          <w:p w14:paraId="3D148351" w14:textId="3604EF00" w:rsidR="004750CB" w:rsidRDefault="004750CB" w:rsidP="004750CB">
            <w:pPr>
              <w:spacing w:line="276" w:lineRule="auto"/>
              <w:jc w:val="left"/>
              <w:rPr>
                <w:rFonts w:cs="Times New Roman"/>
                <w:szCs w:val="24"/>
              </w:rPr>
            </w:pPr>
            <w:r w:rsidRPr="009E4D43">
              <w:rPr>
                <w:rFonts w:eastAsia="Arial Unicode MS"/>
                <w:color w:val="000000" w:themeColor="text1"/>
                <w:szCs w:val="24"/>
                <w:shd w:val="clear" w:color="auto" w:fill="FFFFFF"/>
              </w:rPr>
              <w:t>21 Juli 2000: Sistem Perdagangan Tanpa Warkat (</w:t>
            </w:r>
            <w:r w:rsidRPr="009E4D43">
              <w:rPr>
                <w:rFonts w:eastAsia="Arial Unicode MS"/>
                <w:i/>
                <w:color w:val="000000" w:themeColor="text1"/>
                <w:szCs w:val="24"/>
                <w:shd w:val="clear" w:color="auto" w:fill="FFFFFF"/>
              </w:rPr>
              <w:t>scripless trading</w:t>
            </w:r>
            <w:r w:rsidRPr="009E4D43">
              <w:rPr>
                <w:rFonts w:eastAsia="Arial Unicode MS"/>
                <w:color w:val="000000" w:themeColor="text1"/>
                <w:szCs w:val="24"/>
                <w:shd w:val="clear" w:color="auto" w:fill="FFFFFF"/>
              </w:rPr>
              <w:t>) mulai diaplikasikan di Pasar Modal Indonesia.</w:t>
            </w:r>
          </w:p>
        </w:tc>
      </w:tr>
      <w:tr w:rsidR="004750CB" w14:paraId="2C4ACF88" w14:textId="77777777" w:rsidTr="004750CB">
        <w:tc>
          <w:tcPr>
            <w:tcW w:w="988" w:type="dxa"/>
          </w:tcPr>
          <w:p w14:paraId="7CCD65ED" w14:textId="683A5D04"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26</w:t>
            </w:r>
          </w:p>
        </w:tc>
        <w:tc>
          <w:tcPr>
            <w:tcW w:w="6763" w:type="dxa"/>
          </w:tcPr>
          <w:p w14:paraId="6ECC3CF1" w14:textId="7651A232" w:rsidR="004750CB" w:rsidRDefault="004750CB" w:rsidP="004750CB">
            <w:pPr>
              <w:spacing w:line="276" w:lineRule="auto"/>
              <w:jc w:val="left"/>
              <w:rPr>
                <w:rFonts w:cs="Times New Roman"/>
                <w:szCs w:val="24"/>
              </w:rPr>
            </w:pPr>
            <w:r w:rsidRPr="009E4D43">
              <w:rPr>
                <w:rFonts w:eastAsia="Arial Unicode MS"/>
                <w:color w:val="000000" w:themeColor="text1"/>
                <w:szCs w:val="24"/>
                <w:shd w:val="clear" w:color="auto" w:fill="FFFFFF"/>
              </w:rPr>
              <w:t>28 Maret 2002: BEJ  mulai mengaplikasikan sistem perdagangan jarak jauh (</w:t>
            </w:r>
            <w:r w:rsidRPr="009E4D43">
              <w:rPr>
                <w:rFonts w:eastAsia="Arial Unicode MS"/>
                <w:i/>
                <w:color w:val="000000" w:themeColor="text1"/>
                <w:szCs w:val="24"/>
                <w:shd w:val="clear" w:color="auto" w:fill="FFFFFF"/>
              </w:rPr>
              <w:t>remote trading</w:t>
            </w:r>
            <w:r w:rsidRPr="009E4D43">
              <w:rPr>
                <w:rFonts w:eastAsia="Arial Unicode MS"/>
                <w:color w:val="000000" w:themeColor="text1"/>
                <w:szCs w:val="24"/>
                <w:shd w:val="clear" w:color="auto" w:fill="FFFFFF"/>
              </w:rPr>
              <w:t>)</w:t>
            </w:r>
          </w:p>
        </w:tc>
      </w:tr>
      <w:tr w:rsidR="004750CB" w14:paraId="5C46574A" w14:textId="77777777" w:rsidTr="004750CB">
        <w:tc>
          <w:tcPr>
            <w:tcW w:w="988" w:type="dxa"/>
          </w:tcPr>
          <w:p w14:paraId="4D085020" w14:textId="220F5685"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27</w:t>
            </w:r>
          </w:p>
        </w:tc>
        <w:tc>
          <w:tcPr>
            <w:tcW w:w="6763" w:type="dxa"/>
          </w:tcPr>
          <w:p w14:paraId="52F6AC8C" w14:textId="34C85825" w:rsidR="004750CB" w:rsidRDefault="004750CB" w:rsidP="004750CB">
            <w:pPr>
              <w:spacing w:line="276" w:lineRule="auto"/>
              <w:jc w:val="left"/>
              <w:rPr>
                <w:rFonts w:cs="Times New Roman"/>
                <w:szCs w:val="24"/>
              </w:rPr>
            </w:pPr>
            <w:r w:rsidRPr="009E4D43">
              <w:rPr>
                <w:rFonts w:eastAsia="Arial Unicode MS"/>
                <w:color w:val="000000" w:themeColor="text1"/>
                <w:szCs w:val="24"/>
                <w:shd w:val="clear" w:color="auto" w:fill="FFFFFF"/>
              </w:rPr>
              <w:t>09 September 2002: Penyelesaian Transaksi T+4 menjadi T+3.</w:t>
            </w:r>
          </w:p>
        </w:tc>
      </w:tr>
      <w:tr w:rsidR="004750CB" w14:paraId="1C5D38F1" w14:textId="77777777" w:rsidTr="004750CB">
        <w:tc>
          <w:tcPr>
            <w:tcW w:w="988" w:type="dxa"/>
          </w:tcPr>
          <w:p w14:paraId="118FA952" w14:textId="4176EDA7"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t>28</w:t>
            </w:r>
          </w:p>
        </w:tc>
        <w:tc>
          <w:tcPr>
            <w:tcW w:w="6763" w:type="dxa"/>
          </w:tcPr>
          <w:p w14:paraId="4F5F76CB" w14:textId="04EA4036" w:rsidR="004750CB" w:rsidRDefault="004750CB" w:rsidP="004750CB">
            <w:pPr>
              <w:spacing w:line="276" w:lineRule="auto"/>
              <w:jc w:val="left"/>
              <w:rPr>
                <w:rFonts w:cs="Times New Roman"/>
                <w:szCs w:val="24"/>
              </w:rPr>
            </w:pPr>
            <w:r w:rsidRPr="009E4D43">
              <w:rPr>
                <w:rFonts w:eastAsia="Arial Unicode MS"/>
                <w:color w:val="000000" w:themeColor="text1"/>
                <w:szCs w:val="24"/>
                <w:shd w:val="clear" w:color="auto" w:fill="FFFFFF"/>
              </w:rPr>
              <w:t xml:space="preserve">06 Oktober 2004: Perilisan </w:t>
            </w:r>
            <w:r w:rsidRPr="009E4D43">
              <w:rPr>
                <w:rFonts w:eastAsia="Arial Unicode MS"/>
                <w:i/>
                <w:color w:val="000000" w:themeColor="text1"/>
                <w:szCs w:val="24"/>
                <w:shd w:val="clear" w:color="auto" w:fill="FFFFFF"/>
              </w:rPr>
              <w:t>Stock Option.</w:t>
            </w:r>
          </w:p>
        </w:tc>
      </w:tr>
      <w:tr w:rsidR="004750CB" w14:paraId="30636752" w14:textId="77777777" w:rsidTr="004750CB">
        <w:tc>
          <w:tcPr>
            <w:tcW w:w="988" w:type="dxa"/>
          </w:tcPr>
          <w:p w14:paraId="3F5E3E4E" w14:textId="0A88087F" w:rsidR="004750CB" w:rsidRDefault="004750CB" w:rsidP="004750CB">
            <w:pPr>
              <w:spacing w:line="360" w:lineRule="auto"/>
              <w:jc w:val="center"/>
              <w:rPr>
                <w:rFonts w:cs="Times New Roman"/>
                <w:szCs w:val="24"/>
              </w:rPr>
            </w:pPr>
            <w:r>
              <w:rPr>
                <w:rFonts w:eastAsia="Arial Unicode MS"/>
                <w:color w:val="000000" w:themeColor="text1"/>
                <w:szCs w:val="24"/>
                <w:shd w:val="clear" w:color="auto" w:fill="FFFFFF"/>
              </w:rPr>
              <w:lastRenderedPageBreak/>
              <w:t>29</w:t>
            </w:r>
          </w:p>
        </w:tc>
        <w:tc>
          <w:tcPr>
            <w:tcW w:w="6763" w:type="dxa"/>
          </w:tcPr>
          <w:p w14:paraId="1D891E7D" w14:textId="29AE1702" w:rsidR="004750CB" w:rsidRDefault="004750CB" w:rsidP="004750CB">
            <w:pPr>
              <w:spacing w:line="276" w:lineRule="auto"/>
              <w:jc w:val="left"/>
              <w:rPr>
                <w:rFonts w:cs="Times New Roman"/>
                <w:szCs w:val="24"/>
              </w:rPr>
            </w:pPr>
            <w:r>
              <w:rPr>
                <w:noProof/>
              </w:rPr>
              <mc:AlternateContent>
                <mc:Choice Requires="wps">
                  <w:drawing>
                    <wp:anchor distT="0" distB="0" distL="114300" distR="114300" simplePos="0" relativeHeight="251684864" behindDoc="0" locked="0" layoutInCell="1" allowOverlap="1" wp14:anchorId="16B574D5" wp14:editId="4A4FBF55">
                      <wp:simplePos x="0" y="0"/>
                      <wp:positionH relativeFrom="column">
                        <wp:posOffset>74295</wp:posOffset>
                      </wp:positionH>
                      <wp:positionV relativeFrom="paragraph">
                        <wp:posOffset>541020</wp:posOffset>
                      </wp:positionV>
                      <wp:extent cx="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1B74E8" id="Straight Connector 2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85pt,42.6pt" to="5.8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" strokecolor="#5b9bd5 [3204]" strokeweight=".5pt">
                      <v:stroke joinstyle="miter"/>
                    </v:line>
                  </w:pict>
                </mc:Fallback>
              </mc:AlternateContent>
            </w:r>
            <w:r w:rsidRPr="009E4D43">
              <w:rPr>
                <w:rFonts w:eastAsia="Arial Unicode MS"/>
                <w:color w:val="000000" w:themeColor="text1"/>
                <w:szCs w:val="24"/>
                <w:shd w:val="clear" w:color="auto" w:fill="FFFFFF"/>
              </w:rPr>
              <w:t>30 November 2007: Penggabungan Bursa Efek Surabaya (BES) ke Bursa Efek Jakarta (BEJ) dan berubah nama menjadi Bursa Efek Indonesia (BEI).</w:t>
            </w:r>
          </w:p>
        </w:tc>
      </w:tr>
    </w:tbl>
    <w:p w14:paraId="4EA6993B" w14:textId="77777777" w:rsidR="004750CB" w:rsidRDefault="004750CB" w:rsidP="004750CB">
      <w:pPr>
        <w:spacing w:line="480" w:lineRule="auto"/>
        <w:jc w:val="center"/>
        <w:rPr>
          <w:rFonts w:cs="Times New Roman"/>
          <w:szCs w:val="24"/>
        </w:rPr>
      </w:pPr>
    </w:p>
    <w:p w14:paraId="3D13A361" w14:textId="74B458AB" w:rsidR="009A247E" w:rsidRDefault="009A247E" w:rsidP="00E9317A">
      <w:pPr>
        <w:pStyle w:val="Heading3"/>
        <w:numPr>
          <w:ilvl w:val="3"/>
          <w:numId w:val="5"/>
        </w:numPr>
        <w:spacing w:line="480" w:lineRule="auto"/>
        <w:ind w:left="993"/>
      </w:pPr>
      <w:bookmarkStart w:id="4" w:name="_Toc135899927"/>
      <w:bookmarkStart w:id="5" w:name="_Toc170109883"/>
      <w:r w:rsidRPr="009A247E">
        <w:t>Visi dan Misi Bursa Efek Indonesia (BEI)</w:t>
      </w:r>
      <w:bookmarkEnd w:id="4"/>
      <w:bookmarkEnd w:id="5"/>
    </w:p>
    <w:p w14:paraId="0D169E7C" w14:textId="77777777" w:rsidR="009A247E" w:rsidRDefault="009A247E" w:rsidP="00E9317A">
      <w:pPr>
        <w:pStyle w:val="ListParagraph"/>
        <w:numPr>
          <w:ilvl w:val="0"/>
          <w:numId w:val="30"/>
        </w:numPr>
        <w:spacing w:after="0" w:line="480" w:lineRule="auto"/>
        <w:ind w:left="1276"/>
        <w:jc w:val="left"/>
        <w:rPr>
          <w:b/>
        </w:rPr>
      </w:pPr>
      <w:r w:rsidRPr="00E154A3">
        <w:rPr>
          <w:b/>
        </w:rPr>
        <w:t xml:space="preserve">Visi </w:t>
      </w:r>
    </w:p>
    <w:p w14:paraId="37CAB677" w14:textId="77777777" w:rsidR="009A247E" w:rsidRPr="00924B07" w:rsidRDefault="009A247E" w:rsidP="009A247E">
      <w:pPr>
        <w:pStyle w:val="ListParagraph"/>
        <w:spacing w:after="0" w:line="480" w:lineRule="auto"/>
        <w:ind w:left="1276"/>
      </w:pPr>
      <w:r w:rsidRPr="00924B07">
        <w:t>Menjadi bursa yang kompetitif dengan kredibilitas tingkat dunia</w:t>
      </w:r>
    </w:p>
    <w:p w14:paraId="76C6CEA4" w14:textId="77777777" w:rsidR="009A247E" w:rsidRDefault="009A247E" w:rsidP="00E9317A">
      <w:pPr>
        <w:pStyle w:val="ListParagraph"/>
        <w:numPr>
          <w:ilvl w:val="0"/>
          <w:numId w:val="30"/>
        </w:numPr>
        <w:spacing w:after="0" w:line="480" w:lineRule="auto"/>
        <w:ind w:left="1276"/>
        <w:jc w:val="left"/>
        <w:rPr>
          <w:b/>
        </w:rPr>
      </w:pPr>
      <w:r>
        <w:rPr>
          <w:b/>
        </w:rPr>
        <w:t>Misi</w:t>
      </w:r>
    </w:p>
    <w:p w14:paraId="43F25A7F" w14:textId="77777777" w:rsidR="009A247E" w:rsidRDefault="009A247E" w:rsidP="00E9317A">
      <w:pPr>
        <w:pStyle w:val="ListParagraph"/>
        <w:numPr>
          <w:ilvl w:val="0"/>
          <w:numId w:val="31"/>
        </w:numPr>
        <w:spacing w:after="0" w:line="480" w:lineRule="auto"/>
        <w:ind w:left="1701"/>
      </w:pPr>
      <w:r w:rsidRPr="00924B07">
        <w:t>Menciptakan infrastruktur pasar keuangan yang terpercaya dan kredibel untuk mewujudkan pasar yang teratur, wajar, dan efisien, serta dapat diakses oleh semua pemangku kepentingan melalui produk dan layanan yang inovatif</w:t>
      </w:r>
    </w:p>
    <w:p w14:paraId="438689C9" w14:textId="77777777" w:rsidR="009A247E" w:rsidRDefault="009A247E" w:rsidP="00E9317A">
      <w:pPr>
        <w:pStyle w:val="ListParagraph"/>
        <w:numPr>
          <w:ilvl w:val="0"/>
          <w:numId w:val="31"/>
        </w:numPr>
        <w:spacing w:after="0" w:line="480" w:lineRule="auto"/>
        <w:ind w:left="1701"/>
      </w:pPr>
      <w:r>
        <w:t>Senantiasa bekerja sama secara sinergis untuk mencapai tujuan bersama</w:t>
      </w:r>
    </w:p>
    <w:p w14:paraId="1B60C115" w14:textId="77777777" w:rsidR="009A247E" w:rsidRDefault="009A247E" w:rsidP="00E9317A">
      <w:pPr>
        <w:pStyle w:val="ListParagraph"/>
        <w:numPr>
          <w:ilvl w:val="0"/>
          <w:numId w:val="31"/>
        </w:numPr>
        <w:spacing w:after="0" w:line="480" w:lineRule="auto"/>
        <w:ind w:left="1701"/>
      </w:pPr>
      <w:r w:rsidRPr="00924B07">
        <w:t xml:space="preserve">Konsistensi antara pikiran, ucapan, dan tindakan dengan selalu menjunjung tinggi kejujuran, transparansi </w:t>
      </w:r>
      <w:r>
        <w:t>dan independensi sesuai dengan n</w:t>
      </w:r>
      <w:r w:rsidRPr="00924B07">
        <w:t>ilai - nilai perusahaan dan norma yang berlaku</w:t>
      </w:r>
    </w:p>
    <w:p w14:paraId="69DC0D08" w14:textId="77777777" w:rsidR="009A247E" w:rsidRDefault="009A247E" w:rsidP="00E9317A">
      <w:pPr>
        <w:pStyle w:val="ListParagraph"/>
        <w:numPr>
          <w:ilvl w:val="0"/>
          <w:numId w:val="31"/>
        </w:numPr>
        <w:spacing w:after="0" w:line="480" w:lineRule="auto"/>
        <w:ind w:left="1701"/>
      </w:pPr>
      <w:r w:rsidRPr="00924B07">
        <w:t xml:space="preserve">Menunjukkan sikap, </w:t>
      </w:r>
      <w:r w:rsidRPr="009A247E">
        <w:rPr>
          <w:i/>
        </w:rPr>
        <w:t>appearance</w:t>
      </w:r>
      <w:r w:rsidRPr="00924B07">
        <w:t xml:space="preserve"> dan kompetensi dengan penuh tanggung jawab untuk memberikan hasil terbaik</w:t>
      </w:r>
    </w:p>
    <w:p w14:paraId="39ECD3E8" w14:textId="67D05FA9" w:rsidR="009A247E" w:rsidRDefault="009A247E" w:rsidP="004750CB">
      <w:pPr>
        <w:pStyle w:val="ListParagraph"/>
        <w:spacing w:after="0" w:line="480" w:lineRule="auto"/>
        <w:ind w:left="1701"/>
      </w:pPr>
      <w:r w:rsidRPr="00924B07">
        <w:t xml:space="preserve">Senantiasa memberikan layanan terbaik bagi </w:t>
      </w:r>
      <w:r w:rsidRPr="009A247E">
        <w:rPr>
          <w:i/>
        </w:rPr>
        <w:t>stakeholders</w:t>
      </w:r>
      <w:r w:rsidRPr="00924B07">
        <w:t xml:space="preserve">  </w:t>
      </w:r>
    </w:p>
    <w:p w14:paraId="3FF2C4C4" w14:textId="77777777" w:rsidR="00C512DE" w:rsidRPr="00773A09" w:rsidRDefault="00C512DE" w:rsidP="004750CB">
      <w:pPr>
        <w:pStyle w:val="ListParagraph"/>
        <w:spacing w:after="0" w:line="480" w:lineRule="auto"/>
        <w:ind w:left="1701"/>
      </w:pPr>
    </w:p>
    <w:p w14:paraId="1694ACEE" w14:textId="181FA9DB" w:rsidR="009A247E" w:rsidRDefault="00A61E88" w:rsidP="00E9317A">
      <w:pPr>
        <w:pStyle w:val="Heading3"/>
        <w:numPr>
          <w:ilvl w:val="3"/>
          <w:numId w:val="5"/>
        </w:numPr>
        <w:spacing w:line="480" w:lineRule="auto"/>
        <w:ind w:left="993"/>
      </w:pPr>
      <w:bookmarkStart w:id="6" w:name="_Toc170109884"/>
      <w:r w:rsidRPr="00A61E88">
        <w:lastRenderedPageBreak/>
        <w:t>Struktur Organisasi Bursa Efek Indonesia (BEI)</w:t>
      </w:r>
      <w:bookmarkEnd w:id="6"/>
    </w:p>
    <w:p w14:paraId="611915E0" w14:textId="596F6477" w:rsidR="00E63BB0" w:rsidRPr="00E63BB0" w:rsidRDefault="00E63BB0" w:rsidP="00C512DE">
      <w:pPr>
        <w:pStyle w:val="Caption"/>
        <w:ind w:left="993"/>
        <w:jc w:val="center"/>
        <w:rPr>
          <w:color w:val="auto"/>
          <w:sz w:val="24"/>
          <w:szCs w:val="24"/>
        </w:rPr>
      </w:pPr>
      <w:bookmarkStart w:id="7" w:name="_Toc168371618"/>
      <w:r w:rsidRPr="00E63BB0">
        <w:rPr>
          <w:color w:val="auto"/>
          <w:sz w:val="24"/>
          <w:szCs w:val="24"/>
        </w:rPr>
        <w:t xml:space="preserve">Gambar.  </w:t>
      </w:r>
      <w:r w:rsidRPr="00E63BB0">
        <w:rPr>
          <w:color w:val="auto"/>
          <w:sz w:val="24"/>
          <w:szCs w:val="24"/>
        </w:rPr>
        <w:fldChar w:fldCharType="begin"/>
      </w:r>
      <w:r w:rsidRPr="00E63BB0">
        <w:rPr>
          <w:color w:val="auto"/>
          <w:sz w:val="24"/>
          <w:szCs w:val="24"/>
        </w:rPr>
        <w:instrText xml:space="preserve"> SEQ Gambar._ \* ARABIC </w:instrText>
      </w:r>
      <w:r w:rsidRPr="00E63BB0">
        <w:rPr>
          <w:color w:val="auto"/>
          <w:sz w:val="24"/>
          <w:szCs w:val="24"/>
        </w:rPr>
        <w:fldChar w:fldCharType="separate"/>
      </w:r>
      <w:r w:rsidR="0017483D">
        <w:rPr>
          <w:noProof/>
          <w:color w:val="auto"/>
          <w:sz w:val="24"/>
          <w:szCs w:val="24"/>
        </w:rPr>
        <w:t>3</w:t>
      </w:r>
      <w:r w:rsidRPr="00E63BB0">
        <w:rPr>
          <w:color w:val="auto"/>
          <w:sz w:val="24"/>
          <w:szCs w:val="24"/>
        </w:rPr>
        <w:fldChar w:fldCharType="end"/>
      </w:r>
      <w:r w:rsidRPr="00E63BB0">
        <w:rPr>
          <w:color w:val="auto"/>
          <w:sz w:val="24"/>
          <w:szCs w:val="24"/>
          <w:lang w:val="en-US"/>
        </w:rPr>
        <w:t xml:space="preserve"> Struktur Organisasi Bursa Efek Indonesi (BEI)</w:t>
      </w:r>
      <w:bookmarkEnd w:id="7"/>
    </w:p>
    <w:p w14:paraId="131F9B01" w14:textId="33B28499" w:rsidR="00A61E88" w:rsidRDefault="00A61E88" w:rsidP="008912C3">
      <w:pPr>
        <w:jc w:val="right"/>
      </w:pPr>
      <w:r w:rsidRPr="00A61E88">
        <w:rPr>
          <w:noProof/>
        </w:rPr>
        <w:drawing>
          <wp:inline distT="0" distB="0" distL="0" distR="0" wp14:anchorId="7F3255CA" wp14:editId="76FA64C0">
            <wp:extent cx="4785278" cy="3859823"/>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93060" cy="3866100"/>
                    </a:xfrm>
                    <a:prstGeom prst="rect">
                      <a:avLst/>
                    </a:prstGeom>
                  </pic:spPr>
                </pic:pic>
              </a:graphicData>
            </a:graphic>
          </wp:inline>
        </w:drawing>
      </w:r>
    </w:p>
    <w:p w14:paraId="6295A876" w14:textId="1632A148" w:rsidR="00A61E88" w:rsidRDefault="008912C3" w:rsidP="008912C3">
      <w:pPr>
        <w:ind w:firstLine="720"/>
      </w:pPr>
      <w:r w:rsidRPr="008912C3">
        <w:t>Sumber: Website Bursa Efek Indonesia</w:t>
      </w:r>
    </w:p>
    <w:p w14:paraId="2F620965" w14:textId="04D5236B" w:rsidR="008912C3" w:rsidRDefault="00774A95" w:rsidP="004750CB">
      <w:pPr>
        <w:ind w:firstLine="720"/>
        <w:jc w:val="center"/>
      </w:pPr>
      <w:r>
        <w:t xml:space="preserve">Gambar </w:t>
      </w:r>
      <w:r w:rsidR="004750CB">
        <w:t>6 Struktur Organisasi Bursa Efek Indonesia</w:t>
      </w:r>
    </w:p>
    <w:p w14:paraId="578E7433" w14:textId="77777777" w:rsidR="00774A95" w:rsidRPr="00774A95" w:rsidRDefault="00774A95" w:rsidP="00774A95">
      <w:pPr>
        <w:spacing w:after="0" w:line="480" w:lineRule="auto"/>
        <w:ind w:left="851" w:firstLine="578"/>
        <w:rPr>
          <w:rFonts w:eastAsia="Calibri" w:cs="Times New Roman"/>
          <w:lang w:val="id-ID"/>
        </w:rPr>
      </w:pPr>
      <w:r w:rsidRPr="00774A95">
        <w:rPr>
          <w:rFonts w:eastAsia="Calibri" w:cs="Times New Roman"/>
          <w:bCs/>
          <w:szCs w:val="24"/>
          <w:lang w:val="id-ID"/>
        </w:rPr>
        <w:t>Berikut susunan pengurus Bursa Efek Indonesia (BEI) adalah sebagai berikut:</w:t>
      </w:r>
    </w:p>
    <w:p w14:paraId="0F0CA42B" w14:textId="77777777" w:rsidR="00774A95" w:rsidRPr="00774A95" w:rsidRDefault="00774A95" w:rsidP="00E9317A">
      <w:pPr>
        <w:numPr>
          <w:ilvl w:val="0"/>
          <w:numId w:val="32"/>
        </w:numPr>
        <w:spacing w:after="0" w:line="480" w:lineRule="auto"/>
        <w:ind w:left="1276" w:hanging="284"/>
        <w:contextualSpacing/>
        <w:jc w:val="left"/>
        <w:rPr>
          <w:rFonts w:eastAsia="Calibri" w:cs="Times New Roman"/>
          <w:bCs/>
          <w:szCs w:val="24"/>
          <w:lang w:val="id-ID"/>
        </w:rPr>
      </w:pPr>
      <w:r w:rsidRPr="00774A95">
        <w:rPr>
          <w:rFonts w:eastAsia="Calibri" w:cs="Times New Roman"/>
          <w:bCs/>
          <w:szCs w:val="24"/>
          <w:lang w:val="id-ID"/>
        </w:rPr>
        <w:t>Jajaran Direksi</w:t>
      </w:r>
    </w:p>
    <w:p w14:paraId="7302BEB7" w14:textId="77777777" w:rsidR="00774A95" w:rsidRPr="00774A95" w:rsidRDefault="00774A95" w:rsidP="00E9317A">
      <w:pPr>
        <w:numPr>
          <w:ilvl w:val="0"/>
          <w:numId w:val="33"/>
        </w:numPr>
        <w:spacing w:after="200" w:line="480" w:lineRule="auto"/>
        <w:ind w:left="1560" w:hanging="284"/>
        <w:contextualSpacing/>
        <w:jc w:val="left"/>
        <w:rPr>
          <w:rFonts w:eastAsia="Calibri" w:cs="Times New Roman"/>
          <w:szCs w:val="24"/>
          <w:lang w:val="id-ID"/>
        </w:rPr>
      </w:pPr>
      <w:r w:rsidRPr="00774A95">
        <w:rPr>
          <w:rFonts w:eastAsia="Calibri" w:cs="Times New Roman"/>
          <w:iCs/>
          <w:szCs w:val="24"/>
          <w:lang w:val="id-ID"/>
        </w:rPr>
        <w:t xml:space="preserve">Direktur Utama : </w:t>
      </w:r>
      <w:r w:rsidRPr="00774A95">
        <w:rPr>
          <w:rFonts w:eastAsia="Calibri" w:cs="Times New Roman"/>
          <w:bCs/>
          <w:szCs w:val="24"/>
        </w:rPr>
        <w:t>Iman Rachman</w:t>
      </w:r>
    </w:p>
    <w:p w14:paraId="4B5B5C0E" w14:textId="77777777" w:rsidR="00774A95" w:rsidRPr="00774A95" w:rsidRDefault="00774A95" w:rsidP="00E9317A">
      <w:pPr>
        <w:numPr>
          <w:ilvl w:val="0"/>
          <w:numId w:val="33"/>
        </w:numPr>
        <w:spacing w:after="200" w:line="480" w:lineRule="auto"/>
        <w:ind w:left="1560" w:hanging="284"/>
        <w:contextualSpacing/>
        <w:jc w:val="left"/>
        <w:rPr>
          <w:rFonts w:eastAsia="Calibri" w:cs="Times New Roman"/>
          <w:szCs w:val="24"/>
          <w:lang w:val="id-ID"/>
        </w:rPr>
      </w:pPr>
      <w:r w:rsidRPr="00774A95">
        <w:rPr>
          <w:rFonts w:eastAsia="Calibri" w:cs="Times New Roman"/>
          <w:iCs/>
          <w:szCs w:val="24"/>
          <w:lang w:val="id-ID"/>
        </w:rPr>
        <w:t xml:space="preserve">Direktur Penilaian Perusahaan : </w:t>
      </w:r>
      <w:r w:rsidRPr="00774A95">
        <w:rPr>
          <w:rFonts w:eastAsia="Calibri" w:cs="Times New Roman"/>
          <w:bCs/>
          <w:szCs w:val="24"/>
          <w:lang w:val="id-ID"/>
        </w:rPr>
        <w:t>I Gede Nyoman Yetna</w:t>
      </w:r>
      <w:r w:rsidRPr="00774A95">
        <w:rPr>
          <w:rFonts w:eastAsia="Calibri" w:cs="Times New Roman"/>
          <w:bCs/>
          <w:szCs w:val="24"/>
        </w:rPr>
        <w:t xml:space="preserve"> Setia</w:t>
      </w:r>
    </w:p>
    <w:p w14:paraId="0AE75C62" w14:textId="77777777" w:rsidR="00774A95" w:rsidRPr="00774A95" w:rsidRDefault="00774A95" w:rsidP="00E9317A">
      <w:pPr>
        <w:numPr>
          <w:ilvl w:val="0"/>
          <w:numId w:val="33"/>
        </w:numPr>
        <w:spacing w:after="200" w:line="480" w:lineRule="auto"/>
        <w:ind w:left="1560" w:hanging="284"/>
        <w:contextualSpacing/>
        <w:jc w:val="left"/>
        <w:rPr>
          <w:rFonts w:eastAsia="Calibri" w:cs="Times New Roman"/>
          <w:szCs w:val="24"/>
          <w:lang w:val="id-ID"/>
        </w:rPr>
      </w:pPr>
      <w:r w:rsidRPr="00774A95">
        <w:rPr>
          <w:rFonts w:eastAsia="Calibri" w:cs="Times New Roman"/>
          <w:iCs/>
          <w:szCs w:val="24"/>
          <w:lang w:val="id-ID"/>
        </w:rPr>
        <w:t xml:space="preserve">Direktur Perdagangan dan Pengaturan Anggota Bursa : </w:t>
      </w:r>
      <w:r w:rsidRPr="00774A95">
        <w:rPr>
          <w:rFonts w:eastAsia="Calibri" w:cs="Times New Roman"/>
          <w:bCs/>
          <w:szCs w:val="24"/>
        </w:rPr>
        <w:t>Irvan Susandy</w:t>
      </w:r>
    </w:p>
    <w:p w14:paraId="68CFC02A" w14:textId="77777777" w:rsidR="00774A95" w:rsidRPr="00774A95" w:rsidRDefault="00774A95" w:rsidP="00E9317A">
      <w:pPr>
        <w:numPr>
          <w:ilvl w:val="0"/>
          <w:numId w:val="33"/>
        </w:numPr>
        <w:spacing w:after="200" w:line="480" w:lineRule="auto"/>
        <w:ind w:left="1560" w:hanging="284"/>
        <w:contextualSpacing/>
        <w:jc w:val="left"/>
        <w:rPr>
          <w:rFonts w:eastAsia="Calibri" w:cs="Times New Roman"/>
          <w:lang w:val="id-ID"/>
        </w:rPr>
      </w:pPr>
      <w:r w:rsidRPr="00774A95">
        <w:rPr>
          <w:rFonts w:eastAsia="Calibri" w:cs="Times New Roman"/>
          <w:iCs/>
          <w:szCs w:val="24"/>
          <w:lang w:val="id-ID"/>
        </w:rPr>
        <w:lastRenderedPageBreak/>
        <w:t xml:space="preserve">Direktur Pengawasan Transaksi dan Kepatuhan : </w:t>
      </w:r>
      <w:r w:rsidRPr="00774A95">
        <w:rPr>
          <w:rFonts w:eastAsia="Calibri" w:cs="Times New Roman"/>
          <w:bCs/>
          <w:szCs w:val="24"/>
          <w:lang w:val="id-ID"/>
        </w:rPr>
        <w:t>Kristian S</w:t>
      </w:r>
      <w:r w:rsidRPr="00774A95">
        <w:rPr>
          <w:rFonts w:eastAsia="Calibri" w:cs="Times New Roman"/>
          <w:bCs/>
          <w:szCs w:val="24"/>
        </w:rPr>
        <w:t>ihar</w:t>
      </w:r>
      <w:r w:rsidRPr="00774A95">
        <w:rPr>
          <w:rFonts w:eastAsia="Calibri" w:cs="Times New Roman"/>
          <w:bCs/>
          <w:szCs w:val="24"/>
          <w:lang w:val="id-ID"/>
        </w:rPr>
        <w:t xml:space="preserve"> Manullang</w:t>
      </w:r>
    </w:p>
    <w:p w14:paraId="050BFDAD" w14:textId="77777777" w:rsidR="00774A95" w:rsidRPr="00774A95" w:rsidRDefault="00774A95" w:rsidP="00E9317A">
      <w:pPr>
        <w:numPr>
          <w:ilvl w:val="0"/>
          <w:numId w:val="33"/>
        </w:numPr>
        <w:spacing w:after="200" w:line="480" w:lineRule="auto"/>
        <w:ind w:left="1560" w:hanging="284"/>
        <w:contextualSpacing/>
        <w:jc w:val="left"/>
        <w:rPr>
          <w:rFonts w:eastAsia="Calibri" w:cs="Times New Roman"/>
          <w:iCs/>
          <w:szCs w:val="24"/>
          <w:lang w:val="id-ID"/>
        </w:rPr>
      </w:pPr>
      <w:r w:rsidRPr="00774A95">
        <w:rPr>
          <w:rFonts w:eastAsia="Calibri" w:cs="Times New Roman"/>
          <w:iCs/>
          <w:szCs w:val="24"/>
          <w:lang w:val="id-ID"/>
        </w:rPr>
        <w:t xml:space="preserve">Direktur Teknologi Informasi dan </w:t>
      </w:r>
      <w:r w:rsidRPr="00774A95">
        <w:rPr>
          <w:rFonts w:eastAsia="Calibri" w:cs="Times New Roman"/>
          <w:lang w:val="id-ID"/>
        </w:rPr>
        <w:t xml:space="preserve">Manajemen Risiko </w:t>
      </w:r>
      <w:r w:rsidRPr="00774A95">
        <w:rPr>
          <w:rFonts w:eastAsia="Calibri" w:cs="Times New Roman"/>
          <w:iCs/>
          <w:szCs w:val="24"/>
          <w:lang w:val="id-ID"/>
        </w:rPr>
        <w:t xml:space="preserve">: </w:t>
      </w:r>
      <w:r w:rsidRPr="00774A95">
        <w:rPr>
          <w:rFonts w:eastAsia="Calibri" w:cs="Times New Roman"/>
          <w:iCs/>
        </w:rPr>
        <w:t>Sunandar</w:t>
      </w:r>
    </w:p>
    <w:p w14:paraId="380F9756" w14:textId="77777777" w:rsidR="00774A95" w:rsidRPr="00774A95" w:rsidRDefault="00774A95" w:rsidP="00E9317A">
      <w:pPr>
        <w:numPr>
          <w:ilvl w:val="0"/>
          <w:numId w:val="33"/>
        </w:numPr>
        <w:spacing w:after="200" w:line="480" w:lineRule="auto"/>
        <w:ind w:left="1560" w:hanging="284"/>
        <w:contextualSpacing/>
        <w:jc w:val="left"/>
        <w:rPr>
          <w:rFonts w:eastAsia="Calibri" w:cs="Times New Roman"/>
          <w:iCs/>
          <w:lang w:val="id-ID"/>
        </w:rPr>
      </w:pPr>
      <w:r w:rsidRPr="00774A95">
        <w:rPr>
          <w:rFonts w:eastAsia="Calibri" w:cs="Times New Roman"/>
          <w:iCs/>
          <w:szCs w:val="24"/>
          <w:lang w:val="id-ID"/>
        </w:rPr>
        <w:t xml:space="preserve">Direktur Pengembangan : </w:t>
      </w:r>
      <w:r w:rsidRPr="00774A95">
        <w:rPr>
          <w:rFonts w:eastAsia="Calibri" w:cs="Times New Roman"/>
          <w:iCs/>
        </w:rPr>
        <w:t>Jeffrey Hendrik</w:t>
      </w:r>
    </w:p>
    <w:p w14:paraId="492D8EA4" w14:textId="77777777" w:rsidR="00774A95" w:rsidRPr="00774A95" w:rsidRDefault="00774A95" w:rsidP="00E9317A">
      <w:pPr>
        <w:numPr>
          <w:ilvl w:val="0"/>
          <w:numId w:val="33"/>
        </w:numPr>
        <w:spacing w:after="200" w:line="480" w:lineRule="auto"/>
        <w:ind w:left="1560" w:hanging="284"/>
        <w:contextualSpacing/>
        <w:jc w:val="left"/>
        <w:rPr>
          <w:rFonts w:eastAsia="Calibri" w:cs="Times New Roman"/>
          <w:lang w:val="id-ID"/>
        </w:rPr>
      </w:pPr>
      <w:r w:rsidRPr="00774A95">
        <w:rPr>
          <w:rFonts w:eastAsia="Calibri" w:cs="Times New Roman"/>
          <w:iCs/>
          <w:szCs w:val="24"/>
          <w:lang w:val="id-ID"/>
        </w:rPr>
        <w:t xml:space="preserve">Direktur Keuangan dan Sumber Daya Manusia : </w:t>
      </w:r>
      <w:r w:rsidRPr="00774A95">
        <w:rPr>
          <w:rFonts w:eastAsia="Calibri" w:cs="Times New Roman"/>
          <w:bCs/>
          <w:szCs w:val="24"/>
          <w:lang w:val="id-ID"/>
        </w:rPr>
        <w:t>Risa E</w:t>
      </w:r>
      <w:r w:rsidRPr="00774A95">
        <w:rPr>
          <w:rFonts w:eastAsia="Calibri" w:cs="Times New Roman"/>
          <w:bCs/>
          <w:szCs w:val="24"/>
        </w:rPr>
        <w:t>ffrennita</w:t>
      </w:r>
      <w:r w:rsidRPr="00774A95">
        <w:rPr>
          <w:rFonts w:eastAsia="Calibri" w:cs="Times New Roman"/>
          <w:bCs/>
          <w:szCs w:val="24"/>
          <w:lang w:val="id-ID"/>
        </w:rPr>
        <w:t xml:space="preserve"> Rustam</w:t>
      </w:r>
    </w:p>
    <w:p w14:paraId="73C5FF98" w14:textId="77777777" w:rsidR="00774A95" w:rsidRPr="00774A95" w:rsidRDefault="00774A95" w:rsidP="00E9317A">
      <w:pPr>
        <w:numPr>
          <w:ilvl w:val="0"/>
          <w:numId w:val="32"/>
        </w:numPr>
        <w:spacing w:after="200" w:line="480" w:lineRule="auto"/>
        <w:ind w:left="1276" w:hanging="284"/>
        <w:contextualSpacing/>
        <w:jc w:val="left"/>
        <w:rPr>
          <w:rFonts w:eastAsia="Calibri" w:cs="Times New Roman"/>
          <w:szCs w:val="24"/>
          <w:lang w:val="id-ID"/>
        </w:rPr>
      </w:pPr>
      <w:r w:rsidRPr="00774A95">
        <w:rPr>
          <w:rFonts w:eastAsia="Calibri" w:cs="Times New Roman"/>
          <w:bCs/>
          <w:lang w:val="id-ID"/>
        </w:rPr>
        <w:t>Jajaran</w:t>
      </w:r>
      <w:r w:rsidRPr="00774A95">
        <w:rPr>
          <w:rFonts w:eastAsia="Calibri" w:cs="Times New Roman"/>
          <w:szCs w:val="24"/>
          <w:lang w:val="id-ID"/>
        </w:rPr>
        <w:t xml:space="preserve"> Komisaris</w:t>
      </w:r>
    </w:p>
    <w:p w14:paraId="0DEB5824" w14:textId="77777777" w:rsidR="00774A95" w:rsidRPr="00774A95" w:rsidRDefault="00774A95" w:rsidP="00E9317A">
      <w:pPr>
        <w:numPr>
          <w:ilvl w:val="0"/>
          <w:numId w:val="34"/>
        </w:numPr>
        <w:spacing w:after="200" w:line="480" w:lineRule="auto"/>
        <w:ind w:left="1560" w:hanging="284"/>
        <w:contextualSpacing/>
        <w:jc w:val="left"/>
        <w:rPr>
          <w:rFonts w:eastAsia="Calibri" w:cs="Times New Roman"/>
          <w:iCs/>
          <w:szCs w:val="24"/>
          <w:lang w:val="id-ID"/>
        </w:rPr>
      </w:pPr>
      <w:r w:rsidRPr="00774A95">
        <w:rPr>
          <w:rFonts w:eastAsia="Calibri" w:cs="Times New Roman"/>
          <w:iCs/>
          <w:szCs w:val="24"/>
          <w:lang w:val="id-ID"/>
        </w:rPr>
        <w:t xml:space="preserve">Komisaris Utama </w:t>
      </w:r>
      <w:r w:rsidRPr="00774A95">
        <w:rPr>
          <w:rFonts w:eastAsia="Calibri" w:cs="Times New Roman"/>
          <w:iCs/>
          <w:szCs w:val="24"/>
          <w:lang w:val="id-ID"/>
        </w:rPr>
        <w:tab/>
        <w:t xml:space="preserve">: </w:t>
      </w:r>
      <w:r w:rsidRPr="00774A95">
        <w:rPr>
          <w:rFonts w:eastAsia="Calibri" w:cs="Times New Roman"/>
          <w:iCs/>
          <w:lang w:val="id-ID"/>
        </w:rPr>
        <w:t>John Aristianto Prasetio</w:t>
      </w:r>
    </w:p>
    <w:p w14:paraId="18A1228A" w14:textId="77777777" w:rsidR="00774A95" w:rsidRPr="00774A95" w:rsidRDefault="00774A95" w:rsidP="00E9317A">
      <w:pPr>
        <w:numPr>
          <w:ilvl w:val="0"/>
          <w:numId w:val="34"/>
        </w:numPr>
        <w:spacing w:after="200" w:line="480" w:lineRule="auto"/>
        <w:ind w:left="1560" w:hanging="284"/>
        <w:contextualSpacing/>
        <w:jc w:val="left"/>
        <w:rPr>
          <w:rFonts w:eastAsia="Calibri" w:cs="Times New Roman"/>
          <w:iCs/>
          <w:lang w:val="id-ID"/>
        </w:rPr>
      </w:pPr>
      <w:r w:rsidRPr="00774A95">
        <w:rPr>
          <w:rFonts w:eastAsia="Calibri" w:cs="Times New Roman"/>
          <w:iCs/>
          <w:lang w:val="id-ID"/>
        </w:rPr>
        <w:t xml:space="preserve">Komisaris </w:t>
      </w:r>
      <w:r w:rsidRPr="00774A95">
        <w:rPr>
          <w:rFonts w:eastAsia="Calibri" w:cs="Times New Roman"/>
          <w:iCs/>
          <w:lang w:val="id-ID"/>
        </w:rPr>
        <w:tab/>
      </w:r>
      <w:r w:rsidRPr="00774A95">
        <w:rPr>
          <w:rFonts w:eastAsia="Calibri" w:cs="Times New Roman"/>
          <w:iCs/>
          <w:lang w:val="id-ID"/>
        </w:rPr>
        <w:tab/>
        <w:t xml:space="preserve">: </w:t>
      </w:r>
      <w:r w:rsidRPr="00774A95">
        <w:rPr>
          <w:rFonts w:eastAsia="Calibri" w:cs="Times New Roman"/>
          <w:szCs w:val="24"/>
          <w:lang w:val="id-ID"/>
        </w:rPr>
        <w:t>M. Noor Rachman</w:t>
      </w:r>
      <w:r w:rsidRPr="00774A95">
        <w:rPr>
          <w:rFonts w:eastAsia="Calibri" w:cs="Times New Roman"/>
          <w:iCs/>
          <w:lang w:val="id-ID"/>
        </w:rPr>
        <w:t xml:space="preserve"> </w:t>
      </w:r>
    </w:p>
    <w:p w14:paraId="78B6CA37" w14:textId="77777777" w:rsidR="00774A95" w:rsidRPr="00774A95" w:rsidRDefault="00774A95" w:rsidP="00E9317A">
      <w:pPr>
        <w:numPr>
          <w:ilvl w:val="0"/>
          <w:numId w:val="34"/>
        </w:numPr>
        <w:spacing w:after="200" w:line="480" w:lineRule="auto"/>
        <w:ind w:left="1560" w:hanging="284"/>
        <w:contextualSpacing/>
        <w:jc w:val="left"/>
        <w:rPr>
          <w:rFonts w:eastAsia="Calibri" w:cs="Times New Roman"/>
          <w:iCs/>
          <w:lang w:val="id-ID"/>
        </w:rPr>
      </w:pPr>
      <w:r w:rsidRPr="00774A95">
        <w:rPr>
          <w:rFonts w:eastAsia="Calibri" w:cs="Times New Roman"/>
          <w:iCs/>
          <w:szCs w:val="24"/>
          <w:lang w:val="id-ID"/>
        </w:rPr>
        <w:t xml:space="preserve">Komisaris </w:t>
      </w:r>
      <w:r w:rsidRPr="00774A95">
        <w:rPr>
          <w:rFonts w:eastAsia="Calibri" w:cs="Times New Roman"/>
          <w:iCs/>
          <w:szCs w:val="24"/>
          <w:lang w:val="id-ID"/>
        </w:rPr>
        <w:tab/>
      </w:r>
      <w:r w:rsidRPr="00774A95">
        <w:rPr>
          <w:rFonts w:eastAsia="Calibri" w:cs="Times New Roman"/>
          <w:iCs/>
          <w:szCs w:val="24"/>
          <w:lang w:val="id-ID"/>
        </w:rPr>
        <w:tab/>
        <w:t xml:space="preserve">: </w:t>
      </w:r>
      <w:r w:rsidRPr="00774A95">
        <w:rPr>
          <w:rFonts w:eastAsia="Calibri" w:cs="Times New Roman"/>
          <w:iCs/>
        </w:rPr>
        <w:t>Karman Pamurahardjo</w:t>
      </w:r>
    </w:p>
    <w:p w14:paraId="1778A821" w14:textId="77777777" w:rsidR="00774A95" w:rsidRPr="00774A95" w:rsidRDefault="00774A95" w:rsidP="00E9317A">
      <w:pPr>
        <w:numPr>
          <w:ilvl w:val="0"/>
          <w:numId w:val="34"/>
        </w:numPr>
        <w:spacing w:after="200" w:line="480" w:lineRule="auto"/>
        <w:ind w:left="1560" w:hanging="284"/>
        <w:contextualSpacing/>
        <w:jc w:val="left"/>
        <w:rPr>
          <w:rFonts w:eastAsia="Calibri" w:cs="Times New Roman"/>
          <w:iCs/>
          <w:lang w:val="id-ID"/>
        </w:rPr>
      </w:pPr>
      <w:r w:rsidRPr="00774A95">
        <w:rPr>
          <w:rFonts w:eastAsia="Calibri" w:cs="Times New Roman"/>
          <w:iCs/>
          <w:szCs w:val="24"/>
          <w:lang w:val="id-ID"/>
        </w:rPr>
        <w:t xml:space="preserve">Komisaris </w:t>
      </w:r>
      <w:r w:rsidRPr="00774A95">
        <w:rPr>
          <w:rFonts w:eastAsia="Calibri" w:cs="Times New Roman"/>
          <w:iCs/>
          <w:szCs w:val="24"/>
          <w:lang w:val="id-ID"/>
        </w:rPr>
        <w:tab/>
      </w:r>
      <w:r w:rsidRPr="00774A95">
        <w:rPr>
          <w:rFonts w:eastAsia="Calibri" w:cs="Times New Roman"/>
          <w:iCs/>
          <w:szCs w:val="24"/>
          <w:lang w:val="id-ID"/>
        </w:rPr>
        <w:tab/>
        <w:t xml:space="preserve">: </w:t>
      </w:r>
      <w:r w:rsidRPr="00774A95">
        <w:rPr>
          <w:rFonts w:eastAsia="Calibri" w:cs="Times New Roman"/>
          <w:iCs/>
        </w:rPr>
        <w:t>Pandu Patria Sjahrir</w:t>
      </w:r>
    </w:p>
    <w:p w14:paraId="0AD6AF1E" w14:textId="488FF62F" w:rsidR="00774A95" w:rsidRPr="00774A95" w:rsidRDefault="00774A95" w:rsidP="00E9317A">
      <w:pPr>
        <w:numPr>
          <w:ilvl w:val="0"/>
          <w:numId w:val="34"/>
        </w:numPr>
        <w:spacing w:after="200" w:line="480" w:lineRule="auto"/>
        <w:ind w:left="1560" w:hanging="284"/>
        <w:contextualSpacing/>
        <w:jc w:val="left"/>
        <w:rPr>
          <w:rFonts w:eastAsia="Calibri" w:cs="Times New Roman"/>
          <w:szCs w:val="24"/>
          <w:lang w:val="id-ID"/>
        </w:rPr>
      </w:pPr>
      <w:r w:rsidRPr="00774A95">
        <w:rPr>
          <w:rFonts w:eastAsia="Calibri" w:cs="Times New Roman"/>
          <w:iCs/>
          <w:lang w:val="id-ID"/>
        </w:rPr>
        <w:t>Kom</w:t>
      </w:r>
      <w:r w:rsidRPr="00774A95">
        <w:rPr>
          <w:rFonts w:eastAsia="Calibri" w:cs="Times New Roman"/>
          <w:szCs w:val="24"/>
          <w:lang w:val="id-ID"/>
        </w:rPr>
        <w:t xml:space="preserve">isaris </w:t>
      </w:r>
      <w:r w:rsidRPr="00774A95">
        <w:rPr>
          <w:rFonts w:eastAsia="Calibri" w:cs="Times New Roman"/>
          <w:szCs w:val="24"/>
          <w:lang w:val="id-ID"/>
        </w:rPr>
        <w:tab/>
      </w:r>
      <w:r w:rsidRPr="00774A95">
        <w:rPr>
          <w:rFonts w:eastAsia="Calibri" w:cs="Times New Roman"/>
          <w:szCs w:val="24"/>
          <w:lang w:val="id-ID"/>
        </w:rPr>
        <w:tab/>
        <w:t xml:space="preserve">: </w:t>
      </w:r>
      <w:r w:rsidRPr="00774A95">
        <w:rPr>
          <w:rFonts w:eastAsia="Calibri" w:cs="Times New Roman"/>
          <w:szCs w:val="24"/>
        </w:rPr>
        <w:t>Arisandhi Indrodwisatio</w:t>
      </w:r>
    </w:p>
    <w:p w14:paraId="0BE7D60D" w14:textId="2A79FD80" w:rsidR="00774A95" w:rsidRDefault="00774A95" w:rsidP="00E9317A">
      <w:pPr>
        <w:pStyle w:val="Heading3"/>
        <w:numPr>
          <w:ilvl w:val="3"/>
          <w:numId w:val="5"/>
        </w:numPr>
        <w:spacing w:line="480" w:lineRule="auto"/>
        <w:ind w:left="993"/>
      </w:pPr>
      <w:bookmarkStart w:id="8" w:name="_Toc135899929"/>
      <w:bookmarkStart w:id="9" w:name="_Toc170109885"/>
      <w:r>
        <w:t>Deskripsi Perusahaan SRI-KEHATI</w:t>
      </w:r>
      <w:bookmarkEnd w:id="8"/>
      <w:bookmarkEnd w:id="9"/>
    </w:p>
    <w:p w14:paraId="2CD323DC" w14:textId="723E3F94" w:rsidR="00774A95" w:rsidRDefault="00774A95" w:rsidP="00774A95">
      <w:pPr>
        <w:pStyle w:val="ListParagraph"/>
        <w:spacing w:after="0" w:line="480" w:lineRule="auto"/>
        <w:ind w:firstLine="720"/>
      </w:pPr>
      <w:r>
        <w:t xml:space="preserve">Perusahaan yang menjadi sampel dalam penelitian ini merupakan perusahaan yang masuk </w:t>
      </w:r>
      <w:r w:rsidRPr="00774A95">
        <w:rPr>
          <w:rStyle w:val="hof-figcaption-name"/>
          <w:bCs/>
          <w:szCs w:val="24"/>
        </w:rPr>
        <w:t>kedalam</w:t>
      </w:r>
      <w:r>
        <w:t xml:space="preserve"> indeks SRI-KEHATI pada periode 2019-2023 secara berturut-turut, maka didapatkan sebanyak 13 perusahaan dapat dijabarkan sebagai berikut.</w:t>
      </w:r>
    </w:p>
    <w:p w14:paraId="4BD62B99" w14:textId="77777777" w:rsidR="00EA0873" w:rsidRDefault="00EA0873" w:rsidP="00E9317A">
      <w:pPr>
        <w:pStyle w:val="ListParagraph"/>
        <w:numPr>
          <w:ilvl w:val="0"/>
          <w:numId w:val="35"/>
        </w:numPr>
        <w:spacing w:after="200" w:line="480" w:lineRule="auto"/>
        <w:ind w:left="1134"/>
        <w:jc w:val="left"/>
        <w:rPr>
          <w:rFonts w:cs="Times New Roman"/>
          <w:szCs w:val="24"/>
        </w:rPr>
      </w:pPr>
      <w:r>
        <w:rPr>
          <w:rFonts w:cs="Times New Roman"/>
          <w:szCs w:val="24"/>
        </w:rPr>
        <w:t>PT. Bank Central Asia (Persero) Tbk (BBCA)</w:t>
      </w:r>
    </w:p>
    <w:p w14:paraId="232C13CD" w14:textId="48C86BA3" w:rsidR="00EA0873" w:rsidRPr="00EA0873" w:rsidRDefault="00EA0873" w:rsidP="00EA0873">
      <w:pPr>
        <w:pStyle w:val="ListParagraph"/>
        <w:spacing w:after="200" w:line="480" w:lineRule="auto"/>
        <w:ind w:left="1134" w:firstLine="306"/>
        <w:rPr>
          <w:rFonts w:cs="Times New Roman"/>
          <w:szCs w:val="24"/>
        </w:rPr>
      </w:pPr>
      <w:r w:rsidRPr="00EA0873">
        <w:rPr>
          <w:rFonts w:cs="Times New Roman"/>
          <w:szCs w:val="24"/>
        </w:rPr>
        <w:t xml:space="preserve">PT Bank Central Asia Tbk (BCA) didirikan sejak 10 Agustus 1955 dengan nama N.V. Perseroan Dagang dan Industrie Semarang Knitting Factory. Perusahaan ini mulai beroperasi di sektor perbankan pada 12 </w:t>
      </w:r>
      <w:r w:rsidRPr="00EA0873">
        <w:rPr>
          <w:rFonts w:cs="Times New Roman"/>
          <w:szCs w:val="24"/>
        </w:rPr>
        <w:lastRenderedPageBreak/>
        <w:t>Oktober 1956. Bank swasta terbesar di Indonesia ini juga pernah menjadi bagian dari Salim Group sebelum akhirnya berada di bawah kepemilikan Grup Djarum.</w:t>
      </w:r>
    </w:p>
    <w:p w14:paraId="3156D224" w14:textId="0A602E36" w:rsidR="00EA0873" w:rsidRDefault="00EA0873" w:rsidP="00EA0873">
      <w:pPr>
        <w:pStyle w:val="ListParagraph"/>
        <w:spacing w:after="200" w:line="480" w:lineRule="auto"/>
        <w:ind w:left="1134" w:firstLine="306"/>
        <w:rPr>
          <w:rFonts w:cs="Times New Roman"/>
          <w:szCs w:val="24"/>
        </w:rPr>
      </w:pPr>
      <w:r w:rsidRPr="00EA0873">
        <w:rPr>
          <w:rFonts w:cs="Times New Roman"/>
          <w:szCs w:val="24"/>
        </w:rPr>
        <w:t>Berdasarkan Anggaran Dasar Perusahaan, BCA memiliki ruang lingkup kegiatan usaha di bidang perbankan dan jasa keuangan lainnya. Pemegang saham dengan kepemilikan saham lebih dari 5% atau lebih adalah PT Dwimuria Investama Andalan sebesar 54,94%.</w:t>
      </w:r>
    </w:p>
    <w:p w14:paraId="30EA9C6C" w14:textId="19CE9136" w:rsidR="00EA0873" w:rsidRPr="00EA0873" w:rsidRDefault="00EA0873" w:rsidP="00E9317A">
      <w:pPr>
        <w:pStyle w:val="ListParagraph"/>
        <w:numPr>
          <w:ilvl w:val="0"/>
          <w:numId w:val="35"/>
        </w:numPr>
        <w:spacing w:after="200" w:line="480" w:lineRule="auto"/>
        <w:ind w:left="1134"/>
        <w:jc w:val="left"/>
        <w:rPr>
          <w:rFonts w:cs="Times New Roman"/>
          <w:szCs w:val="24"/>
        </w:rPr>
      </w:pPr>
      <w:r w:rsidRPr="00EA0873">
        <w:rPr>
          <w:rFonts w:cs="Times New Roman"/>
          <w:szCs w:val="24"/>
        </w:rPr>
        <w:t>PT. Bank Negara Indonesia (Persero) Tbk (BBNI)</w:t>
      </w:r>
    </w:p>
    <w:p w14:paraId="337FB380" w14:textId="77777777" w:rsidR="00EA0873" w:rsidRDefault="00EA0873" w:rsidP="00EA0873">
      <w:pPr>
        <w:pStyle w:val="ListParagraph"/>
        <w:spacing w:after="0" w:line="480" w:lineRule="auto"/>
        <w:ind w:left="1276" w:firstLine="425"/>
      </w:pPr>
      <w:r>
        <w:t>PT Bank Negara Indonesia (Persero) Tbk, pada awalnya didirikan di Indonesia sebagai Bank sentral dengan nama “Bank Negara Indonesia” berdasarkan Peraturan Pemerintah Pengganti Undang-Undang No. 2 tahun 1946 tanggal 5 Juli 1946. Selanjutnya, berdasarkan Undang-Undang No. 17 tahun 1968, BNI ditetapkan menjadi “Bank Negara Indonesia 1946”, dan statusnya menjadi Bank Umum Milik Negara.</w:t>
      </w:r>
    </w:p>
    <w:p w14:paraId="45160E4A" w14:textId="77777777" w:rsidR="00EA0873" w:rsidRDefault="00EA0873" w:rsidP="00EA0873">
      <w:pPr>
        <w:pStyle w:val="ListParagraph"/>
        <w:spacing w:after="0" w:line="480" w:lineRule="auto"/>
        <w:ind w:left="1276" w:firstLine="425"/>
      </w:pPr>
      <w:r>
        <w:t>Berdasarkan Peraturan Pemerintah No. 19 tahun 1992, tanggal 29 April 1992, telah dilakukan penyesuaian bentuk hukum BNI menjadi Perusahaan Perseroan Terbatas (Persero). BNI merupakan Bank BUMN (Badan Usaha Milik Negara) pertama yang menjadi perusahaan publik setelah mencatatkan sahamnya di Bursa Efek Jakarta dan Bursa Efek Surabaya pada tahun 1996.</w:t>
      </w:r>
    </w:p>
    <w:p w14:paraId="7A2F1016" w14:textId="77777777" w:rsidR="00EA0873" w:rsidRDefault="00EA0873" w:rsidP="00EA0873">
      <w:pPr>
        <w:pStyle w:val="ListParagraph"/>
        <w:spacing w:after="0" w:line="480" w:lineRule="auto"/>
        <w:ind w:left="1276" w:firstLine="425"/>
      </w:pPr>
      <w:r>
        <w:t xml:space="preserve"> Saat ini, 60% saham-saham BNI dimiliki oleh Pemerintah Republik Indonesia, sedangkan 40% sisanya dimiliki oleh masyarakat, baik </w:t>
      </w:r>
      <w:r>
        <w:lastRenderedPageBreak/>
        <w:t>individu maupun institusi, domestik dan asing. BNI kini tercatat sebagai Bank nasional terbesar ke-4 di Indonesia, dilihat dari total aset, total kredit maupun total dana pihak ketiga. Dalam memberikan layanan finansial secara terpadu, BNI didukung oleh sejumlah perusahaan anak, yakni Bank BNI Syariah, BNI Multifinance, BNI Sekuritas, BNI Life Insurance, BNI Ventures,  BNI Remittance dan Bank Mayora.</w:t>
      </w:r>
    </w:p>
    <w:p w14:paraId="6CB481FE" w14:textId="1B3B100A" w:rsidR="00EA0873" w:rsidRPr="00EA0873" w:rsidRDefault="00EA0873" w:rsidP="00E9317A">
      <w:pPr>
        <w:pStyle w:val="ListParagraph"/>
        <w:numPr>
          <w:ilvl w:val="0"/>
          <w:numId w:val="35"/>
        </w:numPr>
        <w:spacing w:after="200" w:line="480" w:lineRule="auto"/>
        <w:ind w:left="1134"/>
        <w:jc w:val="left"/>
        <w:rPr>
          <w:rFonts w:cs="Times New Roman"/>
          <w:szCs w:val="24"/>
        </w:rPr>
      </w:pPr>
      <w:r w:rsidRPr="00EA0873">
        <w:rPr>
          <w:rFonts w:cs="Times New Roman"/>
          <w:szCs w:val="24"/>
        </w:rPr>
        <w:t>PT. Bank Rakyat Indonesia (Persero) Tbk (BBRI)</w:t>
      </w:r>
    </w:p>
    <w:p w14:paraId="63EBD845" w14:textId="77777777" w:rsidR="00EA0873" w:rsidRDefault="00EA0873" w:rsidP="00EA0873">
      <w:pPr>
        <w:pStyle w:val="ListParagraph"/>
        <w:spacing w:line="480" w:lineRule="auto"/>
        <w:ind w:left="1276" w:firstLine="425"/>
      </w:pPr>
      <w:r>
        <w:t>Bank Rakyat Indonesia (BRI) adalah salah satu bank milik pemerintah yang terbesar di Indonesia. Bank Rakyat Indonesia (BRI) didirikan di Purwokerto, Jawa Tengah oleh Raden Bei Aria Wirjaatmadja tanggal 16 Desember 1895.</w:t>
      </w:r>
    </w:p>
    <w:p w14:paraId="69D4B797" w14:textId="77777777" w:rsidR="00EA0873" w:rsidRDefault="00EA0873" w:rsidP="00EA0873">
      <w:pPr>
        <w:pStyle w:val="ListParagraph"/>
        <w:spacing w:line="480" w:lineRule="auto"/>
        <w:ind w:left="1276" w:firstLine="425"/>
      </w:pPr>
      <w:r>
        <w:t>Berdasarkan Anggaran Dasar Perusahaan, ruang lingkup kegiatan BBRI adalah melakukan usaha di bidang perbankan serta optimalisasi pemanfaatan sumber daya yang dimiliki BRI untuk menghasilkan jasa yang bermutu tinggi dan berdaya saing kuat untuk mendapat keuntungan guna meningkatkan nilai perusahaan dengan menerapkan prinsip-prinsip Perseroan Terbatas.</w:t>
      </w:r>
    </w:p>
    <w:p w14:paraId="1F54CA7E" w14:textId="495B6ED9" w:rsidR="00EA0873" w:rsidRPr="00EA0873" w:rsidRDefault="00EA0873" w:rsidP="00E9317A">
      <w:pPr>
        <w:pStyle w:val="ListParagraph"/>
        <w:numPr>
          <w:ilvl w:val="0"/>
          <w:numId w:val="35"/>
        </w:numPr>
        <w:spacing w:after="200" w:line="480" w:lineRule="auto"/>
        <w:ind w:left="1134"/>
        <w:jc w:val="left"/>
        <w:rPr>
          <w:rFonts w:cs="Times New Roman"/>
          <w:szCs w:val="24"/>
        </w:rPr>
      </w:pPr>
      <w:r w:rsidRPr="00EA0873">
        <w:rPr>
          <w:rFonts w:cs="Times New Roman"/>
          <w:szCs w:val="24"/>
        </w:rPr>
        <w:t>PT. Bank Tabungan Negara (Persero) Tbk (BBTN)</w:t>
      </w:r>
    </w:p>
    <w:p w14:paraId="12E8FC92" w14:textId="77777777" w:rsidR="00EA0873" w:rsidRDefault="00EA0873" w:rsidP="00EA0873">
      <w:pPr>
        <w:pStyle w:val="ListParagraph"/>
        <w:spacing w:line="480" w:lineRule="auto"/>
        <w:ind w:left="1276" w:firstLine="425"/>
      </w:pPr>
      <w:r>
        <w:t xml:space="preserve">PT Bank Tabungan Negara, (Persero)Tbk (Bank BTN) adalah Badan Usaha Milik Negara (BUMN) yang bergerak dibidang Perbankan. Kami berkomitmen menjadi Bank yang melayani dan mendukung pembiayaan </w:t>
      </w:r>
      <w:r>
        <w:lastRenderedPageBreak/>
        <w:t xml:space="preserve">sektor perumahan melalui tiga produk utama, perbankan perseorangan, bisnis dan syariah. </w:t>
      </w:r>
    </w:p>
    <w:p w14:paraId="0F2E3ABE" w14:textId="77777777" w:rsidR="00EA0873" w:rsidRDefault="00EA0873" w:rsidP="00EA0873">
      <w:pPr>
        <w:pStyle w:val="ListParagraph"/>
        <w:spacing w:line="480" w:lineRule="auto"/>
        <w:ind w:left="1276" w:firstLine="425"/>
      </w:pPr>
      <w:r>
        <w:t xml:space="preserve">Cikal bakal Bank BTN dimulai dengan didirikannya Postspaarbank di Batavia pada tahun 1897, pada masa pemerintah Belanda. PT. Bank Tabungan Negara (Persero) Tbk (BBTN) bergerak dalam kegiatan perbankan komersial. Bank BTN memulai kegiatannya berdasarkan prinsip syariah pada tanggal 14 Februari 2005 dengan pengoperasian cabang syariah pertamanya di Jakarta-Harmoni. </w:t>
      </w:r>
    </w:p>
    <w:p w14:paraId="03566886" w14:textId="087F8ACC" w:rsidR="00EA0873" w:rsidRPr="00EA0873" w:rsidRDefault="00EA0873" w:rsidP="00E9317A">
      <w:pPr>
        <w:pStyle w:val="ListParagraph"/>
        <w:numPr>
          <w:ilvl w:val="0"/>
          <w:numId w:val="35"/>
        </w:numPr>
        <w:spacing w:after="200" w:line="480" w:lineRule="auto"/>
        <w:ind w:left="1134"/>
        <w:jc w:val="left"/>
        <w:rPr>
          <w:rFonts w:cs="Times New Roman"/>
          <w:szCs w:val="24"/>
        </w:rPr>
      </w:pPr>
      <w:r w:rsidRPr="00EA0873">
        <w:rPr>
          <w:rFonts w:cs="Times New Roman"/>
          <w:szCs w:val="24"/>
        </w:rPr>
        <w:t>PT. Bank Mandiri (Persero) Tbk (BMRI)</w:t>
      </w:r>
    </w:p>
    <w:p w14:paraId="24F49674" w14:textId="77777777" w:rsidR="00EA0873" w:rsidRDefault="00EA0873" w:rsidP="00EA0873">
      <w:pPr>
        <w:pStyle w:val="ListParagraph"/>
        <w:spacing w:line="480" w:lineRule="auto"/>
        <w:ind w:left="1276" w:firstLine="425"/>
      </w:pPr>
      <w:r>
        <w:t>Bank Mandiri didirikan pada 2 Oktober 1998, sebagai bagian dari program restrukturisasi perbankan yang dilaksanakan oleh pemerintah Indonesia. Pada bulan Juli 1999, empat bank pemerintah yaitu Bank Bumi Daya, Bank Dagang Negara, Bank Ekspor Impor Indonesia dan Bank Pembangunan Indonesia dilebur menjadi Bank Mandiri, dimana masing-masing bank tersebut memiliki peran yang tak terpisahkan dalam pembangunan perekonomian Indonesia. Sampai dengan hari ini, Bank Mandiri meneruskan tradisi selama lebih dari 140 tahun memberikan kontribusi dalam dunia perbankan dan perekonomian Indonesia.</w:t>
      </w:r>
    </w:p>
    <w:p w14:paraId="563C9557" w14:textId="77777777" w:rsidR="00EA0873" w:rsidRDefault="00EA0873" w:rsidP="00EA0873">
      <w:pPr>
        <w:pStyle w:val="ListParagraph"/>
        <w:spacing w:line="480" w:lineRule="auto"/>
        <w:ind w:left="1276" w:firstLine="425"/>
      </w:pPr>
      <w:r>
        <w:t xml:space="preserve">Setelah melalui proses konsolidasi dan integrasi menyeluruh di segala bidang, Bank Mandiri berhasil membangun organisasi bank yang solid dan mengimplementasikan core banking system baru yang terintegrasi menggantikan </w:t>
      </w:r>
      <w:r>
        <w:rPr>
          <w:i/>
        </w:rPr>
        <w:t>core banking system</w:t>
      </w:r>
      <w:r>
        <w:t xml:space="preserve"> dari keempat bank </w:t>
      </w:r>
      <w:r>
        <w:rPr>
          <w:i/>
        </w:rPr>
        <w:t>legacy</w:t>
      </w:r>
      <w:r>
        <w:t xml:space="preserve"> </w:t>
      </w:r>
      <w:r>
        <w:lastRenderedPageBreak/>
        <w:t>sebelumnya yang saling terpisah. Sejak didirikan, kinerja Bank Mandiri senantiasa mengalami perbaikan terlihat dari laba yang terus meningkat dari Rp1,18 triliun di tahun 2000 hingga mencapai Rp5,3 triliun di tahun 2004. Bank Mandiri melakukan penawaran saham perdana pada 14 Juli 2003 sebesar 20% atau ekuivalen dengan 4 miliar lembar saham.</w:t>
      </w:r>
    </w:p>
    <w:p w14:paraId="6368CC90" w14:textId="727E48CE" w:rsidR="00B36BF8" w:rsidRPr="00B36BF8" w:rsidRDefault="00B36BF8" w:rsidP="00E9317A">
      <w:pPr>
        <w:pStyle w:val="ListParagraph"/>
        <w:numPr>
          <w:ilvl w:val="0"/>
          <w:numId w:val="35"/>
        </w:numPr>
        <w:spacing w:after="200" w:line="480" w:lineRule="auto"/>
        <w:ind w:left="1134"/>
        <w:jc w:val="left"/>
        <w:rPr>
          <w:rFonts w:cs="Times New Roman"/>
          <w:szCs w:val="24"/>
        </w:rPr>
      </w:pPr>
      <w:r w:rsidRPr="00B36BF8">
        <w:rPr>
          <w:rFonts w:cs="Times New Roman"/>
          <w:szCs w:val="24"/>
        </w:rPr>
        <w:t>PT. Indofood Sukses Makmur Tbk (INDF)</w:t>
      </w:r>
    </w:p>
    <w:p w14:paraId="467C95B1" w14:textId="77777777" w:rsidR="00B36BF8" w:rsidRDefault="00B36BF8" w:rsidP="00B36BF8">
      <w:pPr>
        <w:pStyle w:val="ListParagraph"/>
        <w:spacing w:line="480" w:lineRule="auto"/>
        <w:ind w:left="1276" w:firstLine="425"/>
      </w:pPr>
      <w:r>
        <w:t>Indofood Sukses Makmur Tbk (INDF) didirikan tanggal 14 Agustus 1990 dengan nama PT Panganjaya Intikusuma dan memulai kegiatan usaha komersialnya pada tahun 1990. Kantor pusat Indofood berlokasi di Sudirman Plaza, Indofood Tower, Lantai 21, Jl. Jend. Sudirman Kav. 76 – 78, Jakarta 12910 – Indonesia. Sedangkan pabrik dan perkebunan Indofood, Entitas Anak dan Entitas Asosiasi berlokasi di berbagai tempat di Indonesia, antara lain, di pulau Jawa, Sumatera, Kalimantan, Sulawesi, dan di luar negeri, antara lain Malaysia, Arab Saudi, Mesir, Turki, Kenya, Maroko, Serbia, Nigeria dan Ghana.</w:t>
      </w:r>
    </w:p>
    <w:p w14:paraId="348777ED" w14:textId="6FF21508" w:rsidR="00B36BF8" w:rsidRDefault="00B36BF8" w:rsidP="00B36BF8">
      <w:pPr>
        <w:pStyle w:val="ListParagraph"/>
        <w:spacing w:line="480" w:lineRule="auto"/>
        <w:ind w:left="1276" w:firstLine="425"/>
      </w:pPr>
      <w:r>
        <w:t>Berdasarkan Anggaran Dasar Perusahaan, ruang lingkup kegiatan INDF antara lain mendirikan dan menjalankan industri makanan olahan, bumbu penyedap, minuman ringan, kemasan, minyak goreng, penggilingan biji gandum, pembuatan tekstil karung terigu, perdagangan, pengangkutan, agrobisnis dan jasa.</w:t>
      </w:r>
    </w:p>
    <w:p w14:paraId="351DD143" w14:textId="003BABBA" w:rsidR="0018338D" w:rsidRDefault="0018338D" w:rsidP="00B36BF8">
      <w:pPr>
        <w:pStyle w:val="ListParagraph"/>
        <w:spacing w:line="480" w:lineRule="auto"/>
        <w:ind w:left="1276" w:firstLine="425"/>
      </w:pPr>
    </w:p>
    <w:p w14:paraId="0C37A5E9" w14:textId="77777777" w:rsidR="0018338D" w:rsidRDefault="0018338D" w:rsidP="00B36BF8">
      <w:pPr>
        <w:pStyle w:val="ListParagraph"/>
        <w:spacing w:line="480" w:lineRule="auto"/>
        <w:ind w:left="1276" w:firstLine="425"/>
      </w:pPr>
    </w:p>
    <w:p w14:paraId="0A31A0E7" w14:textId="4D52BF1D" w:rsidR="0018338D" w:rsidRPr="0018338D" w:rsidRDefault="0018338D" w:rsidP="00E9317A">
      <w:pPr>
        <w:pStyle w:val="ListParagraph"/>
        <w:numPr>
          <w:ilvl w:val="0"/>
          <w:numId w:val="35"/>
        </w:numPr>
        <w:spacing w:line="480" w:lineRule="auto"/>
        <w:ind w:left="1134"/>
        <w:rPr>
          <w:rFonts w:cs="Times New Roman"/>
          <w:sz w:val="22"/>
          <w:szCs w:val="24"/>
        </w:rPr>
      </w:pPr>
      <w:r>
        <w:rPr>
          <w:rFonts w:cs="Times New Roman"/>
          <w:szCs w:val="24"/>
        </w:rPr>
        <w:lastRenderedPageBreak/>
        <w:t>PT. Jasa Marga (Persero) Tbk (JSRM)</w:t>
      </w:r>
    </w:p>
    <w:p w14:paraId="0FAA640E" w14:textId="77777777" w:rsidR="00DB438D" w:rsidRDefault="0018338D" w:rsidP="00DB438D">
      <w:pPr>
        <w:pStyle w:val="ListParagraph"/>
        <w:spacing w:line="480" w:lineRule="auto"/>
        <w:ind w:left="1134" w:firstLine="426"/>
        <w:rPr>
          <w:rFonts w:cs="Times New Roman"/>
          <w:szCs w:val="24"/>
        </w:rPr>
      </w:pPr>
      <w:r w:rsidRPr="0018338D">
        <w:rPr>
          <w:rFonts w:cs="Times New Roman"/>
          <w:szCs w:val="24"/>
        </w:rPr>
        <w:t xml:space="preserve">Jasa Marga (Persero) Tbk (JSMR) didirikan tanggal 01 Maret 1978 dan memulai kegiatan usaha komersialnya pada tahun 1978. ruang lingkup kegiatan JSMR adalah turut serta melaksanakan dan menunjang kebijaksanaan dan program Pemerintah di bidang ekonomi dan pembangunan nasional pada umumnya, khususnya pembangunan dibidang pengusahaan jalan tol dengan sarana penunjangnya dengan menerapkan prinsip-prinsip perusahaan terbatas. </w:t>
      </w:r>
    </w:p>
    <w:p w14:paraId="62FD77F7" w14:textId="01CA925C" w:rsidR="0018338D" w:rsidRPr="00DB438D" w:rsidRDefault="0018338D" w:rsidP="00DB438D">
      <w:pPr>
        <w:pStyle w:val="ListParagraph"/>
        <w:spacing w:line="480" w:lineRule="auto"/>
        <w:ind w:left="1134" w:firstLine="426"/>
        <w:rPr>
          <w:rFonts w:cs="Times New Roman"/>
          <w:szCs w:val="24"/>
        </w:rPr>
      </w:pPr>
      <w:r w:rsidRPr="0018338D">
        <w:rPr>
          <w:rFonts w:cs="Times New Roman"/>
          <w:szCs w:val="24"/>
        </w:rPr>
        <w:t>Pemegang saham yang memiliki 5% atau lebih saham Jasa Marga (Persero) Tbk (31-Mar-2023), yaitu: Pemerintah Republik Indonesia, dengan memiliki 1 Saham Preferen (Saham Seri A Dwiwarna) dan 70,00% di saham Seri B. Pada tanggal 01 Nopember 2007, JSMR memperoleh pernyataan efektif dari Bapepam-LK untuk melakukan Penawaran Umum Perdana Saham JSMR (IPO) kepada masyarakat sebanyak 2.040.000.000 saham Seri B dengan nilai nominal Rp500,- per saham dengan harga penawaran Rp1.700,- per saham. Saham-saham tersebut dicatatkan pada Bursa Efek Indonesia (BEI) pada tanggal 12 Nopember 2007.</w:t>
      </w:r>
    </w:p>
    <w:p w14:paraId="04796799" w14:textId="06FD25E3" w:rsidR="0018338D" w:rsidRPr="0018338D" w:rsidRDefault="0018338D" w:rsidP="00E9317A">
      <w:pPr>
        <w:pStyle w:val="ListParagraph"/>
        <w:numPr>
          <w:ilvl w:val="0"/>
          <w:numId w:val="35"/>
        </w:numPr>
        <w:spacing w:after="200" w:line="480" w:lineRule="auto"/>
        <w:ind w:left="1134"/>
        <w:jc w:val="left"/>
        <w:rPr>
          <w:rFonts w:cs="Times New Roman"/>
          <w:szCs w:val="24"/>
        </w:rPr>
      </w:pPr>
      <w:r w:rsidRPr="0018338D">
        <w:rPr>
          <w:rFonts w:cs="Times New Roman"/>
          <w:szCs w:val="24"/>
        </w:rPr>
        <w:t>PT. Kalbe Farma Tbk (KLBF)</w:t>
      </w:r>
    </w:p>
    <w:p w14:paraId="40881679" w14:textId="77777777" w:rsidR="0018338D" w:rsidRDefault="0018338D" w:rsidP="0018338D">
      <w:pPr>
        <w:pStyle w:val="ListParagraph"/>
        <w:spacing w:line="480" w:lineRule="auto"/>
        <w:ind w:left="1276" w:firstLine="425"/>
      </w:pPr>
      <w:r>
        <w:t xml:space="preserve">Kalbe Farma Tbk (KLBF) didirikan tanggal 10 September 1966 dan memulai kegiatan usaha komersialnya pada tahun 1966. Kantor pusat Kalbe Farma Tbk berdomisili di Gedung KALBE, Jl. Let. Jend. Suprapto Kav. 4, Cempaka Putih, Jakarta 10510 – Indonesia, sedangkan fasilitas </w:t>
      </w:r>
      <w:r>
        <w:lastRenderedPageBreak/>
        <w:t>pabriknya berlokasi di Kawasan Industri Delta Silicon, Jl. M.H. Thamrin, Blok A3-1, Lippo Cikarang, Bekasi, Jawa Barat.</w:t>
      </w:r>
    </w:p>
    <w:p w14:paraId="3FD2FB25" w14:textId="77777777" w:rsidR="0018338D" w:rsidRDefault="0018338D" w:rsidP="0018338D">
      <w:pPr>
        <w:pStyle w:val="ListParagraph"/>
        <w:spacing w:line="480" w:lineRule="auto"/>
        <w:ind w:left="1276" w:firstLine="425"/>
      </w:pPr>
      <w:r>
        <w:t>Berdasarkan Anggaran Dasar Perusahaan, ruang lingkup kegiatan KLBF meliputi, antara lain usaha dalam bidang farmasi, perdagangan dan perwakilan. Saat ini, KLBF terutama bergerak dalam bidang pengembangan, pembuatan dan perdagangan sediaan farmasi termasuk obat untuk manusia dan produk konsumsi kesehatan.</w:t>
      </w:r>
    </w:p>
    <w:p w14:paraId="3EBEE110" w14:textId="03CBB4E9" w:rsidR="0018338D" w:rsidRDefault="0018338D" w:rsidP="00E9317A">
      <w:pPr>
        <w:pStyle w:val="ListParagraph"/>
        <w:numPr>
          <w:ilvl w:val="0"/>
          <w:numId w:val="35"/>
        </w:numPr>
        <w:spacing w:after="200" w:line="480" w:lineRule="auto"/>
        <w:ind w:left="1134"/>
        <w:jc w:val="left"/>
      </w:pPr>
      <w:r w:rsidRPr="0018338D">
        <w:rPr>
          <w:rFonts w:cs="Times New Roman"/>
          <w:szCs w:val="24"/>
        </w:rPr>
        <w:t>PT. Semen Indonesia Tbk (SMGR)</w:t>
      </w:r>
    </w:p>
    <w:p w14:paraId="3BCCE965" w14:textId="77777777" w:rsidR="0018338D" w:rsidRDefault="0018338D" w:rsidP="0018338D">
      <w:pPr>
        <w:pStyle w:val="ListParagraph"/>
        <w:spacing w:line="480" w:lineRule="auto"/>
        <w:ind w:left="1276" w:firstLine="425"/>
      </w:pPr>
      <w:r>
        <w:t>Semen Indonesia (Persero) Tbk (dahulu bernama Semen Gresik (Persero) Tbk) (SMGR) didirikan 25 Maret 1953 dengan nama “NV Pabrik Semen Gresik” dan mulai beroperasi secara komersial pada tanggal 07 Agustus 1957. Kantor pusat Semen Indonesia (Persero) Tbk berlokasi di South Quarter Tower A, Lantai 19-20, Jalan R.A. Kartini Kav.8, Cilandak Barat, Jakarta Selatan 12430 – Indonesia.</w:t>
      </w:r>
    </w:p>
    <w:p w14:paraId="3F22A594" w14:textId="77777777" w:rsidR="0018338D" w:rsidRDefault="0018338D" w:rsidP="0018338D">
      <w:pPr>
        <w:pStyle w:val="ListParagraph"/>
        <w:spacing w:line="480" w:lineRule="auto"/>
        <w:ind w:left="1276" w:firstLine="425"/>
      </w:pPr>
      <w:r>
        <w:t>Berdasarkan Anggaran Dasar Perusahaan, ruang lingkup kegiatan SMGR adalah bergerak dalam bidang industri semen, termasuk kegiatan produksi, menambang dan/atau menggali bahan yang diperlukan dalam industri semen atau industri lainnya, perdagangan, pemasaran dan distribusi terkait dengan industri semen serta pemberian jasa untuk industri semen dan/atau industri lainnya. Saat ini, kegiatan utama Perusahaan adalah bergerak di industri semen, hasil produksi dipasarkan di dalam dan di luar negeri.</w:t>
      </w:r>
    </w:p>
    <w:p w14:paraId="3ADCEB78" w14:textId="77777777" w:rsidR="00FA5A34" w:rsidRDefault="0018338D" w:rsidP="00E9317A">
      <w:pPr>
        <w:pStyle w:val="ListParagraph"/>
        <w:numPr>
          <w:ilvl w:val="0"/>
          <w:numId w:val="35"/>
        </w:numPr>
        <w:spacing w:line="480" w:lineRule="auto"/>
        <w:ind w:left="1134"/>
        <w:rPr>
          <w:rFonts w:cs="Times New Roman"/>
          <w:sz w:val="22"/>
          <w:szCs w:val="24"/>
        </w:rPr>
      </w:pPr>
      <w:r w:rsidRPr="0018338D">
        <w:rPr>
          <w:rFonts w:cs="Times New Roman"/>
          <w:szCs w:val="24"/>
        </w:rPr>
        <w:lastRenderedPageBreak/>
        <w:t>PT. Telkom Indonesia (Persero) Tbk</w:t>
      </w:r>
      <w:r>
        <w:rPr>
          <w:rFonts w:cs="Times New Roman"/>
          <w:szCs w:val="24"/>
        </w:rPr>
        <w:t xml:space="preserve"> (TLKM)</w:t>
      </w:r>
    </w:p>
    <w:p w14:paraId="47DD4806" w14:textId="77777777" w:rsidR="00FA5A34" w:rsidRDefault="00DB438D" w:rsidP="00FA5A34">
      <w:pPr>
        <w:pStyle w:val="ListParagraph"/>
        <w:spacing w:line="480" w:lineRule="auto"/>
        <w:ind w:left="1134" w:firstLine="567"/>
        <w:rPr>
          <w:rFonts w:cs="Times New Roman"/>
          <w:szCs w:val="24"/>
        </w:rPr>
      </w:pPr>
      <w:r w:rsidRPr="00FA5A34">
        <w:rPr>
          <w:rFonts w:cs="Times New Roman"/>
          <w:szCs w:val="24"/>
        </w:rPr>
        <w:t xml:space="preserve">Telekomunikasi Indonesia (Persero) Tbk biasa dikenal dengan nama Telkom </w:t>
      </w:r>
      <w:r w:rsidR="00FA5A34" w:rsidRPr="00FA5A34">
        <w:rPr>
          <w:rFonts w:cs="Times New Roman"/>
          <w:szCs w:val="24"/>
        </w:rPr>
        <w:t xml:space="preserve">Indonesia </w:t>
      </w:r>
      <w:r w:rsidRPr="00FA5A34">
        <w:rPr>
          <w:rFonts w:cs="Times New Roman"/>
          <w:szCs w:val="24"/>
        </w:rPr>
        <w:t xml:space="preserve">(Persero) Tbk (TLKM) pada mulanya merupakan bagian dari </w:t>
      </w:r>
      <w:r w:rsidRPr="00FA5A34">
        <w:rPr>
          <w:rFonts w:cs="Times New Roman"/>
          <w:i/>
          <w:szCs w:val="24"/>
        </w:rPr>
        <w:t>“Post en Telegraafdienst”,</w:t>
      </w:r>
      <w:r w:rsidRPr="00FA5A34">
        <w:rPr>
          <w:rFonts w:cs="Times New Roman"/>
          <w:szCs w:val="24"/>
        </w:rPr>
        <w:t xml:space="preserve"> yang didirikan pada tahun 1884. Pada tahun 1991, berdasarkan Peraturan Pemerintah No. 25 tahun 1991, status Telkom diubah menjadi perseroan terbatas milik negara (“Persero”). Kantor pusat Telkom berlokasi di Jalan Japati No. 1, Bandung, Jawa Barat. </w:t>
      </w:r>
      <w:r w:rsidR="00FA5A34">
        <w:rPr>
          <w:rFonts w:cs="Times New Roman"/>
          <w:szCs w:val="24"/>
        </w:rPr>
        <w:t xml:space="preserve">  </w:t>
      </w:r>
    </w:p>
    <w:p w14:paraId="64655381" w14:textId="36EF0FC5" w:rsidR="0018338D" w:rsidRDefault="00DB438D" w:rsidP="00FA5A34">
      <w:pPr>
        <w:pStyle w:val="ListParagraph"/>
        <w:spacing w:line="480" w:lineRule="auto"/>
        <w:ind w:left="1134" w:firstLine="709"/>
        <w:rPr>
          <w:rFonts w:cs="Times New Roman"/>
          <w:szCs w:val="24"/>
        </w:rPr>
      </w:pPr>
      <w:r w:rsidRPr="00FA5A34">
        <w:rPr>
          <w:rFonts w:cs="Times New Roman"/>
          <w:szCs w:val="24"/>
        </w:rPr>
        <w:t>Pemegang saham yang memiliki 5% atau lebih saham Telekomunikasi Indonesia (Persero) Tbk (28-Feb-2023), yaitu: Pemerintah Republik Indonesia, dengan memiliki 1 Saham Preferen (Saham Seri A Dwiwarna) dan 52,09% di saham Seri B.  ang lingkup kegiatan Telkom Indonesia adalah penyelenggaraan jaringan dan jasa telekomunikasi, informatika, serta optimalisasi pemanfaatan sumber daya yang dimiliki Perusahaan untuk menghasilkan barang dan/atau jasa yang bermutu tinggi dan berdaya saing kuat untuk mendapatkan/mengejar keuntungan guna meningkatkan nilai Perusahaan dengan menerap</w:t>
      </w:r>
      <w:r w:rsidR="00FA5A34">
        <w:rPr>
          <w:rFonts w:cs="Times New Roman"/>
          <w:szCs w:val="24"/>
        </w:rPr>
        <w:t>kan prinsip Perseroan Terbatas. K</w:t>
      </w:r>
      <w:r w:rsidRPr="00FA5A34">
        <w:rPr>
          <w:rFonts w:cs="Times New Roman"/>
          <w:szCs w:val="24"/>
        </w:rPr>
        <w:t>egiatan usaha utama Telkom Indonesia adalah menyediakan layanan telekomunikasi yang mencakup sambungan telepon kabel tidak bergerak dan telepon nirkabel tidak bergerak, komunikasi selular, layanan jaringan dan interkoneksi serta layanan internet dan komunikasi data.</w:t>
      </w:r>
    </w:p>
    <w:p w14:paraId="0C3CD242" w14:textId="36185937" w:rsidR="00FA5A34" w:rsidRDefault="00FA5A34" w:rsidP="00FA5A34">
      <w:pPr>
        <w:pStyle w:val="ListParagraph"/>
        <w:spacing w:line="480" w:lineRule="auto"/>
        <w:ind w:left="1134" w:firstLine="709"/>
        <w:rPr>
          <w:rFonts w:cs="Times New Roman"/>
          <w:szCs w:val="24"/>
        </w:rPr>
      </w:pPr>
    </w:p>
    <w:p w14:paraId="5F2367DF" w14:textId="77777777" w:rsidR="00FA5A34" w:rsidRPr="00FA5A34" w:rsidRDefault="00FA5A34" w:rsidP="00FA5A34">
      <w:pPr>
        <w:pStyle w:val="ListParagraph"/>
        <w:spacing w:line="480" w:lineRule="auto"/>
        <w:ind w:left="1134" w:firstLine="709"/>
        <w:rPr>
          <w:rFonts w:cs="Times New Roman"/>
          <w:sz w:val="22"/>
          <w:szCs w:val="24"/>
        </w:rPr>
      </w:pPr>
    </w:p>
    <w:p w14:paraId="467C38CA" w14:textId="21EB54F8" w:rsidR="00FA5A34" w:rsidRPr="00FA5A34" w:rsidRDefault="0018338D" w:rsidP="00E9317A">
      <w:pPr>
        <w:pStyle w:val="ListParagraph"/>
        <w:numPr>
          <w:ilvl w:val="0"/>
          <w:numId w:val="35"/>
        </w:numPr>
        <w:spacing w:line="480" w:lineRule="auto"/>
        <w:ind w:left="1134"/>
        <w:rPr>
          <w:rFonts w:cs="Times New Roman"/>
          <w:sz w:val="22"/>
          <w:szCs w:val="24"/>
        </w:rPr>
      </w:pPr>
      <w:r>
        <w:rPr>
          <w:rFonts w:cs="Times New Roman"/>
          <w:szCs w:val="24"/>
        </w:rPr>
        <w:lastRenderedPageBreak/>
        <w:t>PT. United Tractors Tbk (UNTR)</w:t>
      </w:r>
    </w:p>
    <w:p w14:paraId="1D5F5B3F" w14:textId="77777777" w:rsidR="00FA5A34" w:rsidRDefault="00FA5A34" w:rsidP="00FA5A34">
      <w:pPr>
        <w:pStyle w:val="ListParagraph"/>
        <w:spacing w:line="480" w:lineRule="auto"/>
        <w:ind w:left="1134" w:firstLine="567"/>
        <w:rPr>
          <w:rFonts w:cs="Times New Roman"/>
          <w:szCs w:val="24"/>
        </w:rPr>
      </w:pPr>
      <w:r w:rsidRPr="00FA5A34">
        <w:rPr>
          <w:rFonts w:cs="Times New Roman"/>
          <w:szCs w:val="24"/>
        </w:rPr>
        <w:t>United Tractors Tbk (UNTR) didirikan di Indonesia pada tanggal 13 Oktober 1972 dengan nama PT Inter Astra Motor Works dan memulai kegiatan operasinya pada tahun 1973. Kantor pusat United Tractors Tbk berlokasi di Jalan Raya Bekasi Km. 22, Cakung, Jakarta 13910 – Indonesia. United Tractors mempunyai 20 cabang, 39 jaringan pendukung (site supports) dan 25 kantor perwakilan serta berbagai titik layanan lainnya yang tersebar di seluruh Indonesia.</w:t>
      </w:r>
    </w:p>
    <w:p w14:paraId="1EA437F1" w14:textId="5EAC91B9" w:rsidR="00FA5A34" w:rsidRPr="00FA5A34" w:rsidRDefault="00FA5A34" w:rsidP="00FA5A34">
      <w:pPr>
        <w:pStyle w:val="ListParagraph"/>
        <w:spacing w:line="480" w:lineRule="auto"/>
        <w:ind w:left="1134" w:firstLine="567"/>
        <w:rPr>
          <w:rFonts w:cs="Times New Roman"/>
          <w:szCs w:val="24"/>
        </w:rPr>
      </w:pPr>
      <w:r w:rsidRPr="00FA5A34">
        <w:rPr>
          <w:rFonts w:cs="Times New Roman"/>
          <w:szCs w:val="24"/>
        </w:rPr>
        <w:t xml:space="preserve"> Ruang lingkup kegiatan usaha UNTR dan entitas anak meliputi penjualan dan penyewaan alat berat (Mesin konstruksi) beserta pelayanan purna jual; penambangan dan kontraktor penambangan; rekayasa, perencanaan, perakitan, dan pembuatan komponen mesin, alat, peralatan, dan alat berat; pembuatan kapal serta jasa perbaikannya; penyewaan kapal dan angkutan pelayaran; industri konstruksi; pembangkit listrik; dan industri perikanan. Pada tahun 1989, UNTR melalui Penawaran Umum Perdana Saham menawarkan 2.700.000 lembar sahamnya kepada masyarakat dengan nilai nominal Rp1.000,- per saham, dengan harga penawaran sebesar Rp7.250,- per saham.</w:t>
      </w:r>
    </w:p>
    <w:p w14:paraId="7A3E831A" w14:textId="389C4B1E" w:rsidR="0018338D" w:rsidRPr="00FA5A34" w:rsidRDefault="0018338D" w:rsidP="00E9317A">
      <w:pPr>
        <w:pStyle w:val="ListParagraph"/>
        <w:numPr>
          <w:ilvl w:val="0"/>
          <w:numId w:val="35"/>
        </w:numPr>
        <w:spacing w:line="480" w:lineRule="auto"/>
        <w:ind w:left="1134"/>
        <w:rPr>
          <w:rFonts w:cs="Times New Roman"/>
          <w:sz w:val="22"/>
          <w:szCs w:val="24"/>
        </w:rPr>
      </w:pPr>
      <w:r>
        <w:rPr>
          <w:rFonts w:cs="Times New Roman"/>
          <w:szCs w:val="24"/>
        </w:rPr>
        <w:t>PT. Unilever Indonesia Tbk (UNVR)</w:t>
      </w:r>
    </w:p>
    <w:p w14:paraId="576556B4" w14:textId="77777777" w:rsidR="00FA5A34" w:rsidRPr="00FA5A34" w:rsidRDefault="00FA5A34" w:rsidP="00FA5A34">
      <w:pPr>
        <w:pStyle w:val="ListParagraph"/>
        <w:spacing w:line="480" w:lineRule="auto"/>
        <w:ind w:left="1134" w:firstLine="567"/>
        <w:rPr>
          <w:rFonts w:cs="Times New Roman"/>
          <w:sz w:val="22"/>
          <w:szCs w:val="24"/>
        </w:rPr>
      </w:pPr>
      <w:r w:rsidRPr="00FA5A34">
        <w:rPr>
          <w:rFonts w:cs="Times New Roman"/>
          <w:sz w:val="22"/>
          <w:szCs w:val="24"/>
        </w:rPr>
        <w:t xml:space="preserve">Unilever Indonesia Tbk (UNVR) didirikan pada tanggal 5 Desember 1933 dengan nama Lever’s Zeepfabrieken N.V. dan mulai beroperasi secara komersial tahun 1933. Kantor pusat Unilever berlokasi di Grha Unilever, BSD Green Office </w:t>
      </w:r>
      <w:r w:rsidRPr="00FA5A34">
        <w:rPr>
          <w:rFonts w:cs="Times New Roman"/>
          <w:sz w:val="22"/>
          <w:szCs w:val="24"/>
        </w:rPr>
        <w:lastRenderedPageBreak/>
        <w:t>Park Kav. 3, Jln BSD Boulevard Barat, BSD City, Tangerang, Banten 15345 – Indonesia. Pemegang saham yang memiliki 5% atau lebih saham Unilever Indonesia Tbk (28-Feb-2022), yaitu: Unilever Indonesia Holding B.V., dengan persentase kepemilikan sebesar 84,99%%, sedangkan induk usaha terakhir adalah Unilever PLC, beralamat di Unilever House, 100 Victoria Embankiment, London EC4Y 0DY, Inggris Raya. ruang lingkup kegiatan usaha UNVR meliputi bidang produksi, pemasaran dan distribusi barang-barang konsumsi yang meliputi sabun, deterjen, margarin, makanan berinti susu, es krim, produk–produk kosmetik, minuman dengan bahan pokok teh dan minuman sari buah.</w:t>
      </w:r>
    </w:p>
    <w:p w14:paraId="45E5F3CD" w14:textId="78431104" w:rsidR="0018338D" w:rsidRPr="00CF2DE4" w:rsidRDefault="0018338D" w:rsidP="00E9317A">
      <w:pPr>
        <w:pStyle w:val="ListParagraph"/>
        <w:numPr>
          <w:ilvl w:val="0"/>
          <w:numId w:val="35"/>
        </w:numPr>
        <w:spacing w:line="480" w:lineRule="auto"/>
        <w:ind w:left="1134"/>
        <w:rPr>
          <w:szCs w:val="24"/>
        </w:rPr>
      </w:pPr>
      <w:r w:rsidRPr="00CF2DE4">
        <w:rPr>
          <w:rFonts w:cs="Times New Roman"/>
          <w:szCs w:val="24"/>
        </w:rPr>
        <w:t xml:space="preserve">PT. Wijaya Karya (Persero) Tbk (WIKA) </w:t>
      </w:r>
    </w:p>
    <w:p w14:paraId="5523EB91" w14:textId="77777777" w:rsidR="00CF2DE4" w:rsidRDefault="00CF2DE4" w:rsidP="00CF2DE4">
      <w:pPr>
        <w:pStyle w:val="ListParagraph"/>
        <w:spacing w:line="480" w:lineRule="auto"/>
        <w:ind w:left="1134" w:firstLine="567"/>
        <w:rPr>
          <w:szCs w:val="24"/>
        </w:rPr>
      </w:pPr>
      <w:r w:rsidRPr="00CF2DE4">
        <w:rPr>
          <w:szCs w:val="24"/>
        </w:rPr>
        <w:t>Wijaya Karya (Persero) Tbk (WIKA) didirikan tanggal 29 Maret 1961 dengan nama Perusahaan Negara/PN “Widjaja Karja” dan mulai beroperasi secara komersial pada tahun 1961. Kantor pusat Wijaya Karya (Persero) Tbk beralamat di Jl. D.I Panjaitan Kav. 9-10, Jakarta Timur 13340 – Indonesia.</w:t>
      </w:r>
    </w:p>
    <w:p w14:paraId="24FEE7C0" w14:textId="470299E4" w:rsidR="00774A95" w:rsidRDefault="00CF2DE4" w:rsidP="00D1616F">
      <w:pPr>
        <w:pStyle w:val="ListParagraph"/>
        <w:spacing w:line="480" w:lineRule="auto"/>
        <w:ind w:left="1134" w:firstLine="567"/>
        <w:rPr>
          <w:szCs w:val="24"/>
        </w:rPr>
      </w:pPr>
      <w:r w:rsidRPr="00CF2DE4">
        <w:rPr>
          <w:szCs w:val="24"/>
        </w:rPr>
        <w:t xml:space="preserve"> Pemegang saham pengendali Wijaya Karya (Persero) Tbk adalah Pemerintah Republik Indonesia, dengan memiliki 1 Saham Preferen (Saham Seri A Dwiwar</w:t>
      </w:r>
      <w:r>
        <w:rPr>
          <w:szCs w:val="24"/>
        </w:rPr>
        <w:t xml:space="preserve">na) dan 65,05% di saham Seri B. </w:t>
      </w:r>
      <w:r w:rsidRPr="00CF2DE4">
        <w:rPr>
          <w:szCs w:val="24"/>
        </w:rPr>
        <w:t xml:space="preserve">WIKA memiliki anak usaha yang juga tercatat di Bursa Efek Indonesia (BEI), yaitu Wijaya Karya Beton Tbk (WIKA Beton) (WTON) dan Wijaya Karya Bangunan Gedung Tbk (WIKA Gedung) (WEGE). maksud dan tujuan WIKA adalah berusaha dalam bidang industri konstruksi, industri pabrikasi, jasa </w:t>
      </w:r>
      <w:r w:rsidRPr="00D1616F">
        <w:rPr>
          <w:szCs w:val="24"/>
        </w:rPr>
        <w:lastRenderedPageBreak/>
        <w:t>penyewaan, jasa keagenan, investasi, agro industri, industri energi, energi terbarukan dan energi konversi, penyelenggaraan perkeretaapian, penyelenggaraan pelabuhan, penyelenggaraan kebandarudaraan, logistik, perdagangan, engineering procurement construction, pengembangan dan pengelolaan kawasan, layanan peningkatan kemampuan dibidang jasa konstruksi, teknologi informasi, jasa enjinering dan perencanaan, investasi dan pengelolaan usaha dibidang prasarana dan sarana dasar (infrastruktur) untuk menghasilkan barang dan/ atau jasa.</w:t>
      </w:r>
    </w:p>
    <w:p w14:paraId="49D6A5F5" w14:textId="3FC83124" w:rsidR="00D1616F" w:rsidRDefault="00D1616F" w:rsidP="00A363DD">
      <w:pPr>
        <w:pStyle w:val="Heading2"/>
        <w:numPr>
          <w:ilvl w:val="0"/>
          <w:numId w:val="29"/>
        </w:numPr>
        <w:spacing w:line="480" w:lineRule="auto"/>
      </w:pPr>
      <w:bookmarkStart w:id="10" w:name="_Toc170109886"/>
      <w:r>
        <w:t>HASIL PENELITIAN</w:t>
      </w:r>
      <w:bookmarkEnd w:id="10"/>
      <w:r>
        <w:t xml:space="preserve"> </w:t>
      </w:r>
    </w:p>
    <w:p w14:paraId="4A492352" w14:textId="77777777" w:rsidR="00241237" w:rsidRDefault="00756260" w:rsidP="00241237">
      <w:pPr>
        <w:pStyle w:val="Heading3"/>
        <w:numPr>
          <w:ilvl w:val="3"/>
          <w:numId w:val="34"/>
        </w:numPr>
        <w:spacing w:line="480" w:lineRule="auto"/>
        <w:ind w:left="1134"/>
      </w:pPr>
      <w:bookmarkStart w:id="11" w:name="_Toc170109887"/>
      <w:r>
        <w:t>Statistik Deskriptif</w:t>
      </w:r>
      <w:bookmarkEnd w:id="11"/>
      <w:r>
        <w:t xml:space="preserve"> </w:t>
      </w:r>
    </w:p>
    <w:p w14:paraId="49017B12" w14:textId="10F02363" w:rsidR="001444F4" w:rsidRDefault="00A363DD" w:rsidP="002E334F">
      <w:pPr>
        <w:spacing w:line="480" w:lineRule="auto"/>
        <w:ind w:left="1276" w:firstLine="720"/>
        <w:rPr>
          <w:i/>
        </w:rPr>
      </w:pPr>
      <w:r w:rsidRPr="00A363DD">
        <w:t>Data yang didapat dari nilai rata rata (mean), maksimum, dan minimum dari variabel yang diteliti dideskripsikan dengan menggunakan statistik deskriptif</w:t>
      </w:r>
      <w:r>
        <w:t xml:space="preserve"> yaitu bermanfaat </w:t>
      </w:r>
      <w:r w:rsidRPr="00A363DD">
        <w:t xml:space="preserve">untuk memberikan data dan analisis statistik deskriptif dilakukan terhadap variabel </w:t>
      </w:r>
      <w:r w:rsidRPr="00241237">
        <w:rPr>
          <w:i/>
        </w:rPr>
        <w:t>leverage, likuditas, firm size,</w:t>
      </w:r>
      <w:r w:rsidRPr="00A363DD">
        <w:t xml:space="preserve"> profitabilitas dan </w:t>
      </w:r>
      <w:r w:rsidRPr="00241237">
        <w:rPr>
          <w:i/>
        </w:rPr>
        <w:t>sustainability report.</w:t>
      </w:r>
    </w:p>
    <w:p w14:paraId="678A398C" w14:textId="61C1444E" w:rsidR="001444F4" w:rsidRPr="00747CBA" w:rsidRDefault="001444F4" w:rsidP="001444F4">
      <w:pPr>
        <w:pStyle w:val="ListParagraph"/>
        <w:numPr>
          <w:ilvl w:val="4"/>
          <w:numId w:val="34"/>
        </w:numPr>
        <w:spacing w:line="480" w:lineRule="auto"/>
        <w:ind w:left="1134"/>
        <w:rPr>
          <w:i/>
        </w:rPr>
      </w:pPr>
      <w:r w:rsidRPr="00747CBA">
        <w:rPr>
          <w:i/>
        </w:rPr>
        <w:t xml:space="preserve">Leverage </w:t>
      </w:r>
    </w:p>
    <w:p w14:paraId="4E6660A4" w14:textId="225FF023" w:rsidR="001002FD" w:rsidRDefault="001002FD" w:rsidP="001002FD">
      <w:pPr>
        <w:pStyle w:val="ListParagraph"/>
        <w:spacing w:line="480" w:lineRule="auto"/>
        <w:ind w:left="1134" w:firstLine="306"/>
      </w:pPr>
      <w:r>
        <w:t xml:space="preserve">Hasil analisis statistik deskriptif untuk </w:t>
      </w:r>
      <w:r w:rsidRPr="00070BC7">
        <w:rPr>
          <w:i/>
        </w:rPr>
        <w:t>leverage</w:t>
      </w:r>
      <w:r>
        <w:t xml:space="preserve"> disajikam dalam bentuk tabel berikut:</w:t>
      </w:r>
    </w:p>
    <w:p w14:paraId="558C2F61" w14:textId="00544A33" w:rsidR="001002FD" w:rsidRDefault="001002FD" w:rsidP="001002FD">
      <w:pPr>
        <w:pStyle w:val="ListParagraph"/>
        <w:spacing w:line="480" w:lineRule="auto"/>
        <w:ind w:left="1134" w:firstLine="306"/>
      </w:pPr>
    </w:p>
    <w:p w14:paraId="3CAF3A27" w14:textId="6D5D8990" w:rsidR="001002FD" w:rsidRDefault="001002FD" w:rsidP="001002FD">
      <w:pPr>
        <w:pStyle w:val="ListParagraph"/>
        <w:spacing w:line="480" w:lineRule="auto"/>
        <w:ind w:left="1134" w:firstLine="306"/>
      </w:pPr>
    </w:p>
    <w:p w14:paraId="387346B5" w14:textId="77777777" w:rsidR="001002FD" w:rsidRDefault="001002FD" w:rsidP="001002FD">
      <w:pPr>
        <w:pStyle w:val="ListParagraph"/>
        <w:spacing w:line="480" w:lineRule="auto"/>
        <w:ind w:left="1134" w:firstLine="306"/>
      </w:pPr>
    </w:p>
    <w:p w14:paraId="272C43D4" w14:textId="6125961D" w:rsidR="00B4202F" w:rsidRPr="00B4202F" w:rsidRDefault="00254A52" w:rsidP="00274326">
      <w:pPr>
        <w:pStyle w:val="Caption"/>
        <w:jc w:val="center"/>
        <w:rPr>
          <w:color w:val="auto"/>
          <w:sz w:val="24"/>
          <w:szCs w:val="24"/>
          <w:lang w:val="en-US"/>
        </w:rPr>
      </w:pPr>
      <w:bookmarkStart w:id="12" w:name="_Toc168999370"/>
      <w:r w:rsidRPr="00254A52">
        <w:rPr>
          <w:color w:val="auto"/>
          <w:sz w:val="24"/>
          <w:szCs w:val="24"/>
        </w:rPr>
        <w:lastRenderedPageBreak/>
        <w:t xml:space="preserve">Tabel.  </w:t>
      </w:r>
      <w:r w:rsidRPr="00254A52">
        <w:rPr>
          <w:color w:val="auto"/>
          <w:sz w:val="24"/>
          <w:szCs w:val="24"/>
        </w:rPr>
        <w:fldChar w:fldCharType="begin"/>
      </w:r>
      <w:r w:rsidRPr="00254A52">
        <w:rPr>
          <w:color w:val="auto"/>
          <w:sz w:val="24"/>
          <w:szCs w:val="24"/>
        </w:rPr>
        <w:instrText xml:space="preserve"> SEQ Tabel._ \* ARABIC </w:instrText>
      </w:r>
      <w:r w:rsidRPr="00254A52">
        <w:rPr>
          <w:color w:val="auto"/>
          <w:sz w:val="24"/>
          <w:szCs w:val="24"/>
        </w:rPr>
        <w:fldChar w:fldCharType="separate"/>
      </w:r>
      <w:r w:rsidR="0017483D">
        <w:rPr>
          <w:noProof/>
          <w:color w:val="auto"/>
          <w:sz w:val="24"/>
          <w:szCs w:val="24"/>
        </w:rPr>
        <w:t>6</w:t>
      </w:r>
      <w:r w:rsidRPr="00254A52">
        <w:rPr>
          <w:color w:val="auto"/>
          <w:sz w:val="24"/>
          <w:szCs w:val="24"/>
        </w:rPr>
        <w:fldChar w:fldCharType="end"/>
      </w:r>
      <w:r w:rsidRPr="00254A52">
        <w:rPr>
          <w:color w:val="auto"/>
          <w:sz w:val="24"/>
          <w:szCs w:val="24"/>
          <w:lang w:val="en-US"/>
        </w:rPr>
        <w:t xml:space="preserve"> Hasil uji statistik deskriptif leverage</w:t>
      </w:r>
      <w:bookmarkEnd w:id="12"/>
    </w:p>
    <w:tbl>
      <w:tblPr>
        <w:tblW w:w="7394" w:type="dxa"/>
        <w:tblInd w:w="8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B4202F" w:rsidRPr="00B4202F" w14:paraId="0131FC3C" w14:textId="77777777" w:rsidTr="00B4202F">
        <w:trPr>
          <w:cantSplit/>
        </w:trPr>
        <w:tc>
          <w:tcPr>
            <w:tcW w:w="7394" w:type="dxa"/>
            <w:gridSpan w:val="6"/>
            <w:tcBorders>
              <w:top w:val="nil"/>
              <w:left w:val="nil"/>
              <w:bottom w:val="nil"/>
              <w:right w:val="nil"/>
            </w:tcBorders>
            <w:shd w:val="clear" w:color="auto" w:fill="FFFFFF"/>
            <w:vAlign w:val="center"/>
          </w:tcPr>
          <w:p w14:paraId="6832D569" w14:textId="77777777" w:rsidR="00B4202F" w:rsidRPr="00B4202F" w:rsidRDefault="00B4202F" w:rsidP="00B4202F">
            <w:pPr>
              <w:autoSpaceDE w:val="0"/>
              <w:autoSpaceDN w:val="0"/>
              <w:adjustRightInd w:val="0"/>
              <w:spacing w:after="0" w:line="320" w:lineRule="atLeast"/>
              <w:ind w:left="60" w:right="60"/>
              <w:jc w:val="center"/>
              <w:rPr>
                <w:rFonts w:cs="Times New Roman"/>
                <w:color w:val="010205"/>
                <w:sz w:val="22"/>
              </w:rPr>
            </w:pPr>
            <w:r w:rsidRPr="00B4202F">
              <w:rPr>
                <w:rFonts w:cs="Times New Roman"/>
                <w:b/>
                <w:bCs/>
                <w:color w:val="010205"/>
                <w:sz w:val="22"/>
              </w:rPr>
              <w:t>Descriptive Statistics</w:t>
            </w:r>
          </w:p>
        </w:tc>
      </w:tr>
      <w:tr w:rsidR="00B4202F" w:rsidRPr="00B4202F" w14:paraId="005DDF54" w14:textId="77777777" w:rsidTr="00B4202F">
        <w:trPr>
          <w:cantSplit/>
        </w:trPr>
        <w:tc>
          <w:tcPr>
            <w:tcW w:w="1706" w:type="dxa"/>
            <w:tcBorders>
              <w:top w:val="nil"/>
              <w:left w:val="nil"/>
              <w:bottom w:val="single" w:sz="8" w:space="0" w:color="152935"/>
              <w:right w:val="nil"/>
            </w:tcBorders>
            <w:shd w:val="clear" w:color="auto" w:fill="FFFFFF"/>
            <w:vAlign w:val="bottom"/>
          </w:tcPr>
          <w:p w14:paraId="75A62A2A" w14:textId="77777777" w:rsidR="00B4202F" w:rsidRPr="00B4202F" w:rsidRDefault="00B4202F" w:rsidP="00B4202F">
            <w:pPr>
              <w:autoSpaceDE w:val="0"/>
              <w:autoSpaceDN w:val="0"/>
              <w:adjustRightInd w:val="0"/>
              <w:spacing w:after="0" w:line="240" w:lineRule="auto"/>
              <w:jc w:val="left"/>
              <w:rPr>
                <w:rFonts w:cs="Times New Roman"/>
                <w:sz w:val="22"/>
              </w:rPr>
            </w:pPr>
          </w:p>
        </w:tc>
        <w:tc>
          <w:tcPr>
            <w:tcW w:w="1029" w:type="dxa"/>
            <w:tcBorders>
              <w:top w:val="nil"/>
              <w:left w:val="nil"/>
              <w:bottom w:val="single" w:sz="8" w:space="0" w:color="152935"/>
              <w:right w:val="single" w:sz="8" w:space="0" w:color="E0E0E0"/>
            </w:tcBorders>
            <w:shd w:val="clear" w:color="auto" w:fill="FFFFFF"/>
            <w:vAlign w:val="bottom"/>
          </w:tcPr>
          <w:p w14:paraId="02AC7916" w14:textId="77777777" w:rsidR="00B4202F" w:rsidRPr="00B4202F" w:rsidRDefault="00B4202F" w:rsidP="00B4202F">
            <w:pPr>
              <w:autoSpaceDE w:val="0"/>
              <w:autoSpaceDN w:val="0"/>
              <w:adjustRightInd w:val="0"/>
              <w:spacing w:after="0" w:line="320" w:lineRule="atLeast"/>
              <w:ind w:left="60" w:right="60"/>
              <w:jc w:val="center"/>
              <w:rPr>
                <w:rFonts w:cs="Times New Roman"/>
                <w:color w:val="264A60"/>
                <w:sz w:val="22"/>
              </w:rPr>
            </w:pPr>
            <w:r w:rsidRPr="00B4202F">
              <w:rPr>
                <w:rFonts w:cs="Times New Roman"/>
                <w:color w:val="264A60"/>
                <w:sz w:val="22"/>
              </w:rPr>
              <w:t>N</w:t>
            </w:r>
          </w:p>
        </w:tc>
        <w:tc>
          <w:tcPr>
            <w:tcW w:w="1077" w:type="dxa"/>
            <w:tcBorders>
              <w:top w:val="nil"/>
              <w:left w:val="single" w:sz="8" w:space="0" w:color="E0E0E0"/>
              <w:bottom w:val="single" w:sz="8" w:space="0" w:color="152935"/>
              <w:right w:val="single" w:sz="8" w:space="0" w:color="E0E0E0"/>
            </w:tcBorders>
            <w:shd w:val="clear" w:color="auto" w:fill="FFFFFF"/>
            <w:vAlign w:val="bottom"/>
          </w:tcPr>
          <w:p w14:paraId="2DADE855" w14:textId="77777777" w:rsidR="00B4202F" w:rsidRPr="00B4202F" w:rsidRDefault="00B4202F" w:rsidP="00B4202F">
            <w:pPr>
              <w:autoSpaceDE w:val="0"/>
              <w:autoSpaceDN w:val="0"/>
              <w:adjustRightInd w:val="0"/>
              <w:spacing w:after="0" w:line="320" w:lineRule="atLeast"/>
              <w:ind w:left="60" w:right="60"/>
              <w:jc w:val="center"/>
              <w:rPr>
                <w:rFonts w:cs="Times New Roman"/>
                <w:color w:val="264A60"/>
                <w:sz w:val="22"/>
              </w:rPr>
            </w:pPr>
            <w:r w:rsidRPr="00B4202F">
              <w:rPr>
                <w:rFonts w:cs="Times New Roman"/>
                <w:color w:val="264A60"/>
                <w:sz w:val="22"/>
              </w:rPr>
              <w:t>Minimum</w:t>
            </w:r>
          </w:p>
        </w:tc>
        <w:tc>
          <w:tcPr>
            <w:tcW w:w="1107" w:type="dxa"/>
            <w:tcBorders>
              <w:top w:val="nil"/>
              <w:left w:val="single" w:sz="8" w:space="0" w:color="E0E0E0"/>
              <w:bottom w:val="single" w:sz="8" w:space="0" w:color="152935"/>
              <w:right w:val="single" w:sz="8" w:space="0" w:color="E0E0E0"/>
            </w:tcBorders>
            <w:shd w:val="clear" w:color="auto" w:fill="FFFFFF"/>
            <w:vAlign w:val="bottom"/>
          </w:tcPr>
          <w:p w14:paraId="03B6C639" w14:textId="77777777" w:rsidR="00B4202F" w:rsidRPr="00B4202F" w:rsidRDefault="00B4202F" w:rsidP="00B4202F">
            <w:pPr>
              <w:autoSpaceDE w:val="0"/>
              <w:autoSpaceDN w:val="0"/>
              <w:adjustRightInd w:val="0"/>
              <w:spacing w:after="0" w:line="320" w:lineRule="atLeast"/>
              <w:ind w:left="60" w:right="60"/>
              <w:jc w:val="center"/>
              <w:rPr>
                <w:rFonts w:cs="Times New Roman"/>
                <w:color w:val="264A60"/>
                <w:sz w:val="22"/>
              </w:rPr>
            </w:pPr>
            <w:r w:rsidRPr="00B4202F">
              <w:rPr>
                <w:rFonts w:cs="Times New Roman"/>
                <w:color w:val="264A60"/>
                <w:sz w:val="22"/>
              </w:rPr>
              <w:t>Maximum</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15DF2BD0" w14:textId="77777777" w:rsidR="00B4202F" w:rsidRPr="00B4202F" w:rsidRDefault="00B4202F" w:rsidP="00B4202F">
            <w:pPr>
              <w:autoSpaceDE w:val="0"/>
              <w:autoSpaceDN w:val="0"/>
              <w:adjustRightInd w:val="0"/>
              <w:spacing w:after="0" w:line="320" w:lineRule="atLeast"/>
              <w:ind w:left="60" w:right="60"/>
              <w:jc w:val="center"/>
              <w:rPr>
                <w:rFonts w:cs="Times New Roman"/>
                <w:color w:val="264A60"/>
                <w:sz w:val="22"/>
              </w:rPr>
            </w:pPr>
            <w:r w:rsidRPr="00B4202F">
              <w:rPr>
                <w:rFonts w:cs="Times New Roman"/>
                <w:color w:val="264A60"/>
                <w:sz w:val="22"/>
              </w:rPr>
              <w:t>Mean</w:t>
            </w:r>
          </w:p>
        </w:tc>
        <w:tc>
          <w:tcPr>
            <w:tcW w:w="1445" w:type="dxa"/>
            <w:tcBorders>
              <w:top w:val="nil"/>
              <w:left w:val="single" w:sz="8" w:space="0" w:color="E0E0E0"/>
              <w:bottom w:val="single" w:sz="8" w:space="0" w:color="152935"/>
              <w:right w:val="nil"/>
            </w:tcBorders>
            <w:shd w:val="clear" w:color="auto" w:fill="FFFFFF"/>
            <w:vAlign w:val="bottom"/>
          </w:tcPr>
          <w:p w14:paraId="2DA07965" w14:textId="77777777" w:rsidR="00B4202F" w:rsidRPr="00B4202F" w:rsidRDefault="00B4202F" w:rsidP="00B4202F">
            <w:pPr>
              <w:autoSpaceDE w:val="0"/>
              <w:autoSpaceDN w:val="0"/>
              <w:adjustRightInd w:val="0"/>
              <w:spacing w:after="0" w:line="320" w:lineRule="atLeast"/>
              <w:ind w:left="60" w:right="60"/>
              <w:jc w:val="center"/>
              <w:rPr>
                <w:rFonts w:cs="Times New Roman"/>
                <w:color w:val="264A60"/>
                <w:sz w:val="22"/>
              </w:rPr>
            </w:pPr>
            <w:r w:rsidRPr="00B4202F">
              <w:rPr>
                <w:rFonts w:cs="Times New Roman"/>
                <w:color w:val="264A60"/>
                <w:sz w:val="22"/>
              </w:rPr>
              <w:t>Std. Deviation</w:t>
            </w:r>
          </w:p>
        </w:tc>
      </w:tr>
      <w:tr w:rsidR="00B4202F" w:rsidRPr="00B4202F" w14:paraId="23EE5819" w14:textId="77777777" w:rsidTr="00B4202F">
        <w:trPr>
          <w:cantSplit/>
        </w:trPr>
        <w:tc>
          <w:tcPr>
            <w:tcW w:w="1706" w:type="dxa"/>
            <w:tcBorders>
              <w:top w:val="single" w:sz="8" w:space="0" w:color="152935"/>
              <w:left w:val="nil"/>
              <w:bottom w:val="single" w:sz="8" w:space="0" w:color="AEAEAE"/>
              <w:right w:val="nil"/>
            </w:tcBorders>
            <w:shd w:val="clear" w:color="auto" w:fill="E0E0E0"/>
          </w:tcPr>
          <w:p w14:paraId="2C4D3F81" w14:textId="77777777" w:rsidR="00B4202F" w:rsidRPr="00B4202F" w:rsidRDefault="00B4202F" w:rsidP="00B4202F">
            <w:pPr>
              <w:autoSpaceDE w:val="0"/>
              <w:autoSpaceDN w:val="0"/>
              <w:adjustRightInd w:val="0"/>
              <w:spacing w:after="0" w:line="320" w:lineRule="atLeast"/>
              <w:ind w:left="60" w:right="60"/>
              <w:jc w:val="left"/>
              <w:rPr>
                <w:rFonts w:cs="Times New Roman"/>
                <w:color w:val="264A60"/>
                <w:sz w:val="22"/>
              </w:rPr>
            </w:pPr>
            <w:r w:rsidRPr="00B4202F">
              <w:rPr>
                <w:rFonts w:cs="Times New Roman"/>
                <w:color w:val="264A60"/>
                <w:sz w:val="22"/>
              </w:rPr>
              <w:t>Leverage</w:t>
            </w:r>
          </w:p>
        </w:tc>
        <w:tc>
          <w:tcPr>
            <w:tcW w:w="1029" w:type="dxa"/>
            <w:tcBorders>
              <w:top w:val="single" w:sz="8" w:space="0" w:color="152935"/>
              <w:left w:val="nil"/>
              <w:bottom w:val="single" w:sz="8" w:space="0" w:color="AEAEAE"/>
              <w:right w:val="single" w:sz="8" w:space="0" w:color="E0E0E0"/>
            </w:tcBorders>
            <w:shd w:val="clear" w:color="auto" w:fill="FFFFFF"/>
          </w:tcPr>
          <w:p w14:paraId="2A8A153A" w14:textId="77777777" w:rsidR="00B4202F" w:rsidRPr="00B4202F" w:rsidRDefault="00B4202F" w:rsidP="00B4202F">
            <w:pPr>
              <w:autoSpaceDE w:val="0"/>
              <w:autoSpaceDN w:val="0"/>
              <w:adjustRightInd w:val="0"/>
              <w:spacing w:after="0" w:line="320" w:lineRule="atLeast"/>
              <w:ind w:left="60" w:right="60"/>
              <w:jc w:val="right"/>
              <w:rPr>
                <w:rFonts w:cs="Times New Roman"/>
                <w:color w:val="010205"/>
                <w:sz w:val="22"/>
              </w:rPr>
            </w:pPr>
            <w:r w:rsidRPr="00B4202F">
              <w:rPr>
                <w:rFonts w:cs="Times New Roman"/>
                <w:color w:val="010205"/>
                <w:sz w:val="22"/>
              </w:rPr>
              <w:t>60</w:t>
            </w:r>
          </w:p>
        </w:tc>
        <w:tc>
          <w:tcPr>
            <w:tcW w:w="1077" w:type="dxa"/>
            <w:tcBorders>
              <w:top w:val="single" w:sz="8" w:space="0" w:color="152935"/>
              <w:left w:val="single" w:sz="8" w:space="0" w:color="E0E0E0"/>
              <w:bottom w:val="single" w:sz="8" w:space="0" w:color="AEAEAE"/>
              <w:right w:val="single" w:sz="8" w:space="0" w:color="E0E0E0"/>
            </w:tcBorders>
            <w:shd w:val="clear" w:color="auto" w:fill="FFFFFF"/>
          </w:tcPr>
          <w:p w14:paraId="0E5D2060" w14:textId="77777777" w:rsidR="00B4202F" w:rsidRPr="00B4202F" w:rsidRDefault="00B4202F" w:rsidP="00B4202F">
            <w:pPr>
              <w:autoSpaceDE w:val="0"/>
              <w:autoSpaceDN w:val="0"/>
              <w:adjustRightInd w:val="0"/>
              <w:spacing w:after="0" w:line="320" w:lineRule="atLeast"/>
              <w:ind w:left="60" w:right="60"/>
              <w:jc w:val="right"/>
              <w:rPr>
                <w:rFonts w:cs="Times New Roman"/>
                <w:color w:val="010205"/>
                <w:sz w:val="22"/>
              </w:rPr>
            </w:pPr>
            <w:r w:rsidRPr="00B4202F">
              <w:rPr>
                <w:rFonts w:cs="Times New Roman"/>
                <w:color w:val="010205"/>
                <w:sz w:val="22"/>
              </w:rPr>
              <w:t>-.50</w:t>
            </w:r>
          </w:p>
        </w:tc>
        <w:tc>
          <w:tcPr>
            <w:tcW w:w="1107" w:type="dxa"/>
            <w:tcBorders>
              <w:top w:val="single" w:sz="8" w:space="0" w:color="152935"/>
              <w:left w:val="single" w:sz="8" w:space="0" w:color="E0E0E0"/>
              <w:bottom w:val="single" w:sz="8" w:space="0" w:color="AEAEAE"/>
              <w:right w:val="single" w:sz="8" w:space="0" w:color="E0E0E0"/>
            </w:tcBorders>
            <w:shd w:val="clear" w:color="auto" w:fill="FFFFFF"/>
          </w:tcPr>
          <w:p w14:paraId="25AFAF3C" w14:textId="77777777" w:rsidR="00B4202F" w:rsidRPr="00B4202F" w:rsidRDefault="00B4202F" w:rsidP="00B4202F">
            <w:pPr>
              <w:autoSpaceDE w:val="0"/>
              <w:autoSpaceDN w:val="0"/>
              <w:adjustRightInd w:val="0"/>
              <w:spacing w:after="0" w:line="320" w:lineRule="atLeast"/>
              <w:ind w:left="60" w:right="60"/>
              <w:jc w:val="right"/>
              <w:rPr>
                <w:rFonts w:cs="Times New Roman"/>
                <w:color w:val="010205"/>
                <w:sz w:val="22"/>
              </w:rPr>
            </w:pPr>
            <w:r w:rsidRPr="00B4202F">
              <w:rPr>
                <w:rFonts w:cs="Times New Roman"/>
                <w:color w:val="010205"/>
                <w:sz w:val="22"/>
              </w:rPr>
              <w:t>14.62</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5FE258A7" w14:textId="77777777" w:rsidR="00B4202F" w:rsidRPr="00B4202F" w:rsidRDefault="00B4202F" w:rsidP="00B4202F">
            <w:pPr>
              <w:autoSpaceDE w:val="0"/>
              <w:autoSpaceDN w:val="0"/>
              <w:adjustRightInd w:val="0"/>
              <w:spacing w:after="0" w:line="320" w:lineRule="atLeast"/>
              <w:ind w:left="60" w:right="60"/>
              <w:jc w:val="right"/>
              <w:rPr>
                <w:rFonts w:cs="Times New Roman"/>
                <w:color w:val="010205"/>
                <w:sz w:val="22"/>
              </w:rPr>
            </w:pPr>
            <w:r w:rsidRPr="00B4202F">
              <w:rPr>
                <w:rFonts w:cs="Times New Roman"/>
                <w:color w:val="010205"/>
                <w:sz w:val="22"/>
              </w:rPr>
              <w:t>3.0228</w:t>
            </w:r>
          </w:p>
        </w:tc>
        <w:tc>
          <w:tcPr>
            <w:tcW w:w="1445" w:type="dxa"/>
            <w:tcBorders>
              <w:top w:val="single" w:sz="8" w:space="0" w:color="152935"/>
              <w:left w:val="single" w:sz="8" w:space="0" w:color="E0E0E0"/>
              <w:bottom w:val="single" w:sz="8" w:space="0" w:color="AEAEAE"/>
              <w:right w:val="nil"/>
            </w:tcBorders>
            <w:shd w:val="clear" w:color="auto" w:fill="FFFFFF"/>
          </w:tcPr>
          <w:p w14:paraId="096FDFEE" w14:textId="77777777" w:rsidR="00B4202F" w:rsidRPr="00B4202F" w:rsidRDefault="00B4202F" w:rsidP="00B4202F">
            <w:pPr>
              <w:autoSpaceDE w:val="0"/>
              <w:autoSpaceDN w:val="0"/>
              <w:adjustRightInd w:val="0"/>
              <w:spacing w:after="0" w:line="320" w:lineRule="atLeast"/>
              <w:ind w:left="60" w:right="60"/>
              <w:jc w:val="right"/>
              <w:rPr>
                <w:rFonts w:cs="Times New Roman"/>
                <w:color w:val="010205"/>
                <w:sz w:val="22"/>
              </w:rPr>
            </w:pPr>
            <w:r w:rsidRPr="00B4202F">
              <w:rPr>
                <w:rFonts w:cs="Times New Roman"/>
                <w:color w:val="010205"/>
                <w:sz w:val="22"/>
              </w:rPr>
              <w:t>3.44617</w:t>
            </w:r>
          </w:p>
        </w:tc>
      </w:tr>
      <w:tr w:rsidR="00B4202F" w:rsidRPr="00B4202F" w14:paraId="2B2E7C2B" w14:textId="77777777" w:rsidTr="00B4202F">
        <w:trPr>
          <w:cantSplit/>
        </w:trPr>
        <w:tc>
          <w:tcPr>
            <w:tcW w:w="1706" w:type="dxa"/>
            <w:tcBorders>
              <w:top w:val="single" w:sz="8" w:space="0" w:color="AEAEAE"/>
              <w:left w:val="nil"/>
              <w:bottom w:val="single" w:sz="8" w:space="0" w:color="152935"/>
              <w:right w:val="nil"/>
            </w:tcBorders>
            <w:shd w:val="clear" w:color="auto" w:fill="E0E0E0"/>
          </w:tcPr>
          <w:p w14:paraId="09B67820" w14:textId="77777777" w:rsidR="00B4202F" w:rsidRPr="00B4202F" w:rsidRDefault="00B4202F" w:rsidP="00B4202F">
            <w:pPr>
              <w:autoSpaceDE w:val="0"/>
              <w:autoSpaceDN w:val="0"/>
              <w:adjustRightInd w:val="0"/>
              <w:spacing w:after="0" w:line="320" w:lineRule="atLeast"/>
              <w:ind w:left="60" w:right="60"/>
              <w:jc w:val="left"/>
              <w:rPr>
                <w:rFonts w:cs="Times New Roman"/>
                <w:color w:val="264A60"/>
                <w:sz w:val="22"/>
              </w:rPr>
            </w:pPr>
            <w:r w:rsidRPr="00B4202F">
              <w:rPr>
                <w:rFonts w:cs="Times New Roman"/>
                <w:color w:val="264A60"/>
                <w:sz w:val="22"/>
              </w:rPr>
              <w:t>Valid N (listwise)</w:t>
            </w:r>
          </w:p>
        </w:tc>
        <w:tc>
          <w:tcPr>
            <w:tcW w:w="1029" w:type="dxa"/>
            <w:tcBorders>
              <w:top w:val="single" w:sz="8" w:space="0" w:color="AEAEAE"/>
              <w:left w:val="nil"/>
              <w:bottom w:val="single" w:sz="8" w:space="0" w:color="152935"/>
              <w:right w:val="single" w:sz="8" w:space="0" w:color="E0E0E0"/>
            </w:tcBorders>
            <w:shd w:val="clear" w:color="auto" w:fill="FFFFFF"/>
          </w:tcPr>
          <w:p w14:paraId="382B0A37" w14:textId="77777777" w:rsidR="00B4202F" w:rsidRPr="00B4202F" w:rsidRDefault="00B4202F" w:rsidP="00B4202F">
            <w:pPr>
              <w:autoSpaceDE w:val="0"/>
              <w:autoSpaceDN w:val="0"/>
              <w:adjustRightInd w:val="0"/>
              <w:spacing w:after="0" w:line="320" w:lineRule="atLeast"/>
              <w:ind w:left="60" w:right="60"/>
              <w:jc w:val="right"/>
              <w:rPr>
                <w:rFonts w:cs="Times New Roman"/>
                <w:color w:val="010205"/>
                <w:sz w:val="22"/>
              </w:rPr>
            </w:pPr>
            <w:r w:rsidRPr="00B4202F">
              <w:rPr>
                <w:rFonts w:cs="Times New Roman"/>
                <w:color w:val="010205"/>
                <w:sz w:val="22"/>
              </w:rPr>
              <w:t>60</w:t>
            </w:r>
          </w:p>
        </w:tc>
        <w:tc>
          <w:tcPr>
            <w:tcW w:w="107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633A85C" w14:textId="77777777" w:rsidR="00B4202F" w:rsidRPr="00B4202F" w:rsidRDefault="00B4202F" w:rsidP="00B4202F">
            <w:pPr>
              <w:autoSpaceDE w:val="0"/>
              <w:autoSpaceDN w:val="0"/>
              <w:adjustRightInd w:val="0"/>
              <w:spacing w:after="0" w:line="240" w:lineRule="auto"/>
              <w:jc w:val="left"/>
              <w:rPr>
                <w:rFonts w:cs="Times New Roman"/>
                <w:sz w:val="22"/>
              </w:rPr>
            </w:pPr>
          </w:p>
        </w:tc>
        <w:tc>
          <w:tcPr>
            <w:tcW w:w="110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6CEBD17" w14:textId="77777777" w:rsidR="00B4202F" w:rsidRPr="00B4202F" w:rsidRDefault="00B4202F" w:rsidP="00B4202F">
            <w:pPr>
              <w:autoSpaceDE w:val="0"/>
              <w:autoSpaceDN w:val="0"/>
              <w:adjustRightInd w:val="0"/>
              <w:spacing w:after="0" w:line="240" w:lineRule="auto"/>
              <w:jc w:val="left"/>
              <w:rPr>
                <w:rFonts w:cs="Times New Roman"/>
                <w:sz w:val="22"/>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4391C3C" w14:textId="77777777" w:rsidR="00B4202F" w:rsidRPr="00B4202F" w:rsidRDefault="00B4202F" w:rsidP="00B4202F">
            <w:pPr>
              <w:autoSpaceDE w:val="0"/>
              <w:autoSpaceDN w:val="0"/>
              <w:adjustRightInd w:val="0"/>
              <w:spacing w:after="0" w:line="240" w:lineRule="auto"/>
              <w:jc w:val="left"/>
              <w:rPr>
                <w:rFonts w:cs="Times New Roman"/>
                <w:sz w:val="22"/>
              </w:rPr>
            </w:pPr>
          </w:p>
        </w:tc>
        <w:tc>
          <w:tcPr>
            <w:tcW w:w="1445" w:type="dxa"/>
            <w:tcBorders>
              <w:top w:val="single" w:sz="8" w:space="0" w:color="AEAEAE"/>
              <w:left w:val="single" w:sz="8" w:space="0" w:color="E0E0E0"/>
              <w:bottom w:val="single" w:sz="8" w:space="0" w:color="152935"/>
              <w:right w:val="nil"/>
            </w:tcBorders>
            <w:shd w:val="clear" w:color="auto" w:fill="FFFFFF"/>
            <w:vAlign w:val="center"/>
          </w:tcPr>
          <w:p w14:paraId="3DFCED75" w14:textId="77777777" w:rsidR="00B4202F" w:rsidRPr="00B4202F" w:rsidRDefault="00B4202F" w:rsidP="00B4202F">
            <w:pPr>
              <w:autoSpaceDE w:val="0"/>
              <w:autoSpaceDN w:val="0"/>
              <w:adjustRightInd w:val="0"/>
              <w:spacing w:after="0" w:line="240" w:lineRule="auto"/>
              <w:jc w:val="left"/>
              <w:rPr>
                <w:rFonts w:cs="Times New Roman"/>
                <w:sz w:val="22"/>
              </w:rPr>
            </w:pPr>
          </w:p>
        </w:tc>
      </w:tr>
    </w:tbl>
    <w:p w14:paraId="1296833B" w14:textId="626995B4" w:rsidR="001444F4" w:rsidRDefault="001444F4" w:rsidP="00B4202F">
      <w:pPr>
        <w:autoSpaceDE w:val="0"/>
        <w:autoSpaceDN w:val="0"/>
        <w:adjustRightInd w:val="0"/>
        <w:spacing w:after="0" w:line="480" w:lineRule="auto"/>
        <w:ind w:left="851"/>
        <w:jc w:val="left"/>
        <w:rPr>
          <w:rFonts w:cs="Times New Roman"/>
          <w:szCs w:val="24"/>
        </w:rPr>
      </w:pPr>
      <w:r>
        <w:rPr>
          <w:rFonts w:cs="Times New Roman"/>
          <w:szCs w:val="24"/>
        </w:rPr>
        <w:t>S</w:t>
      </w:r>
      <w:r w:rsidR="001002FD">
        <w:rPr>
          <w:rFonts w:cs="Times New Roman"/>
          <w:szCs w:val="24"/>
        </w:rPr>
        <w:t>umber</w:t>
      </w:r>
      <w:r>
        <w:rPr>
          <w:rFonts w:cs="Times New Roman"/>
          <w:szCs w:val="24"/>
        </w:rPr>
        <w:t>: Data output SPSS25, 2024</w:t>
      </w:r>
    </w:p>
    <w:p w14:paraId="79376498" w14:textId="5BF1092F" w:rsidR="001444F4" w:rsidRDefault="00140F8B" w:rsidP="001002FD">
      <w:pPr>
        <w:autoSpaceDE w:val="0"/>
        <w:autoSpaceDN w:val="0"/>
        <w:adjustRightInd w:val="0"/>
        <w:spacing w:after="0" w:line="480" w:lineRule="auto"/>
        <w:ind w:left="709" w:firstLine="709"/>
        <w:rPr>
          <w:rFonts w:cs="Times New Roman"/>
          <w:szCs w:val="24"/>
        </w:rPr>
      </w:pPr>
      <w:r w:rsidRPr="00140F8B">
        <w:rPr>
          <w:rFonts w:cs="Times New Roman"/>
          <w:szCs w:val="24"/>
        </w:rPr>
        <w:t xml:space="preserve">Dari data diatas </w:t>
      </w:r>
      <w:r w:rsidRPr="00140F8B">
        <w:rPr>
          <w:rFonts w:cs="Times New Roman"/>
          <w:i/>
          <w:szCs w:val="24"/>
        </w:rPr>
        <w:t xml:space="preserve">leverage </w:t>
      </w:r>
      <w:r>
        <w:rPr>
          <w:rFonts w:cs="Times New Roman"/>
          <w:szCs w:val="24"/>
        </w:rPr>
        <w:t xml:space="preserve">yang diukur menggunakan </w:t>
      </w:r>
      <w:r w:rsidRPr="00140F8B">
        <w:rPr>
          <w:rFonts w:cs="Times New Roman"/>
          <w:i/>
          <w:szCs w:val="24"/>
        </w:rPr>
        <w:t>debt to equity ratio</w:t>
      </w:r>
      <w:r w:rsidR="00884730">
        <w:rPr>
          <w:rFonts w:cs="Times New Roman"/>
          <w:szCs w:val="24"/>
        </w:rPr>
        <w:t xml:space="preserve"> (DER) menunjukan nilai max</w:t>
      </w:r>
      <w:r w:rsidRPr="00140F8B">
        <w:rPr>
          <w:rFonts w:cs="Times New Roman"/>
          <w:szCs w:val="24"/>
        </w:rPr>
        <w:t>imum (tertinggi) seluruh perusahaan yang menjadi sampel dalam penel</w:t>
      </w:r>
      <w:r w:rsidR="00B4202F">
        <w:rPr>
          <w:rFonts w:cs="Times New Roman"/>
          <w:szCs w:val="24"/>
        </w:rPr>
        <w:t>itian ini adalah sebesar 14.62</w:t>
      </w:r>
      <w:r w:rsidRPr="00140F8B">
        <w:rPr>
          <w:rFonts w:cs="Times New Roman"/>
          <w:szCs w:val="24"/>
        </w:rPr>
        <w:t>. Nilai minimum (t</w:t>
      </w:r>
      <w:r w:rsidR="00B4202F">
        <w:rPr>
          <w:rFonts w:cs="Times New Roman"/>
          <w:szCs w:val="24"/>
        </w:rPr>
        <w:t>erendah) -0.5</w:t>
      </w:r>
      <w:r w:rsidRPr="00140F8B">
        <w:rPr>
          <w:rFonts w:cs="Times New Roman"/>
          <w:szCs w:val="24"/>
        </w:rPr>
        <w:t>0. Nilai mean (rata-rata) seb</w:t>
      </w:r>
      <w:r w:rsidR="00B4202F">
        <w:rPr>
          <w:rFonts w:cs="Times New Roman"/>
          <w:szCs w:val="24"/>
        </w:rPr>
        <w:t>esar</w:t>
      </w:r>
      <w:r w:rsidR="00B4202F">
        <w:rPr>
          <w:rFonts w:ascii="Arial" w:hAnsi="Arial" w:cs="Arial"/>
          <w:color w:val="010205"/>
          <w:sz w:val="18"/>
          <w:szCs w:val="18"/>
        </w:rPr>
        <w:t xml:space="preserve"> </w:t>
      </w:r>
      <w:r w:rsidR="00B4202F" w:rsidRPr="00B4202F">
        <w:rPr>
          <w:rFonts w:cs="Times New Roman"/>
          <w:color w:val="010205"/>
          <w:szCs w:val="24"/>
        </w:rPr>
        <w:t>3.0228</w:t>
      </w:r>
      <w:r w:rsidRPr="00140F8B">
        <w:rPr>
          <w:rFonts w:cs="Times New Roman"/>
          <w:szCs w:val="24"/>
        </w:rPr>
        <w:t>. Sedangkan stan</w:t>
      </w:r>
      <w:r w:rsidR="00B4202F">
        <w:rPr>
          <w:rFonts w:cs="Times New Roman"/>
          <w:szCs w:val="24"/>
        </w:rPr>
        <w:t>dar deviasinya sebesar 3.44617</w:t>
      </w:r>
      <w:r w:rsidRPr="00140F8B">
        <w:rPr>
          <w:rFonts w:cs="Times New Roman"/>
          <w:szCs w:val="24"/>
        </w:rPr>
        <w:t>.</w:t>
      </w:r>
    </w:p>
    <w:p w14:paraId="272DFEA0" w14:textId="32A007C2" w:rsidR="00254A52" w:rsidRPr="00254A52" w:rsidRDefault="00254A52" w:rsidP="00254A52">
      <w:pPr>
        <w:pStyle w:val="Caption"/>
        <w:jc w:val="center"/>
        <w:rPr>
          <w:color w:val="auto"/>
          <w:sz w:val="24"/>
          <w:szCs w:val="24"/>
        </w:rPr>
      </w:pPr>
      <w:bookmarkStart w:id="13" w:name="_Toc168999371"/>
      <w:r w:rsidRPr="00254A52">
        <w:rPr>
          <w:color w:val="auto"/>
          <w:sz w:val="24"/>
          <w:szCs w:val="24"/>
        </w:rPr>
        <w:t xml:space="preserve">Tabel.  </w:t>
      </w:r>
      <w:r w:rsidRPr="00254A52">
        <w:rPr>
          <w:color w:val="auto"/>
          <w:sz w:val="24"/>
          <w:szCs w:val="24"/>
        </w:rPr>
        <w:fldChar w:fldCharType="begin"/>
      </w:r>
      <w:r w:rsidRPr="00254A52">
        <w:rPr>
          <w:color w:val="auto"/>
          <w:sz w:val="24"/>
          <w:szCs w:val="24"/>
        </w:rPr>
        <w:instrText xml:space="preserve"> SEQ Tabel._ \* ARABIC </w:instrText>
      </w:r>
      <w:r w:rsidRPr="00254A52">
        <w:rPr>
          <w:color w:val="auto"/>
          <w:sz w:val="24"/>
          <w:szCs w:val="24"/>
        </w:rPr>
        <w:fldChar w:fldCharType="separate"/>
      </w:r>
      <w:r w:rsidR="0017483D">
        <w:rPr>
          <w:noProof/>
          <w:color w:val="auto"/>
          <w:sz w:val="24"/>
          <w:szCs w:val="24"/>
        </w:rPr>
        <w:t>7</w:t>
      </w:r>
      <w:r w:rsidRPr="00254A52">
        <w:rPr>
          <w:color w:val="auto"/>
          <w:sz w:val="24"/>
          <w:szCs w:val="24"/>
        </w:rPr>
        <w:fldChar w:fldCharType="end"/>
      </w:r>
      <w:r w:rsidRPr="00254A52">
        <w:rPr>
          <w:color w:val="auto"/>
          <w:sz w:val="24"/>
          <w:szCs w:val="24"/>
          <w:lang w:val="en-US"/>
        </w:rPr>
        <w:t xml:space="preserve"> Data sekunder Leverage 2019-2023</w:t>
      </w:r>
      <w:bookmarkEnd w:id="13"/>
    </w:p>
    <w:tbl>
      <w:tblPr>
        <w:tblStyle w:val="TableGrid"/>
        <w:tblW w:w="0" w:type="auto"/>
        <w:tblInd w:w="709" w:type="dxa"/>
        <w:tblLook w:val="04A0" w:firstRow="1" w:lastRow="0" w:firstColumn="1" w:lastColumn="0" w:noHBand="0" w:noVBand="1"/>
      </w:tblPr>
      <w:tblGrid>
        <w:gridCol w:w="668"/>
        <w:gridCol w:w="1737"/>
        <w:gridCol w:w="859"/>
        <w:gridCol w:w="1072"/>
        <w:gridCol w:w="1072"/>
        <w:gridCol w:w="1072"/>
        <w:gridCol w:w="1072"/>
      </w:tblGrid>
      <w:tr w:rsidR="008A1A83" w14:paraId="3AAD17AE" w14:textId="0ACF7811" w:rsidTr="00270B21">
        <w:tc>
          <w:tcPr>
            <w:tcW w:w="668" w:type="dxa"/>
            <w:vMerge w:val="restart"/>
            <w:vAlign w:val="center"/>
          </w:tcPr>
          <w:p w14:paraId="2F53E4B0" w14:textId="61250F2B" w:rsidR="008A1A83" w:rsidRPr="00270B21" w:rsidRDefault="008A1A83" w:rsidP="00270B21">
            <w:pPr>
              <w:autoSpaceDE w:val="0"/>
              <w:autoSpaceDN w:val="0"/>
              <w:adjustRightInd w:val="0"/>
              <w:spacing w:line="360" w:lineRule="auto"/>
              <w:jc w:val="center"/>
              <w:rPr>
                <w:rFonts w:cs="Times New Roman"/>
                <w:b/>
                <w:szCs w:val="24"/>
              </w:rPr>
            </w:pPr>
            <w:r w:rsidRPr="00270B21">
              <w:rPr>
                <w:rFonts w:cs="Times New Roman"/>
                <w:b/>
                <w:szCs w:val="24"/>
              </w:rPr>
              <w:t>No</w:t>
            </w:r>
          </w:p>
        </w:tc>
        <w:tc>
          <w:tcPr>
            <w:tcW w:w="1737" w:type="dxa"/>
            <w:vMerge w:val="restart"/>
            <w:vAlign w:val="center"/>
          </w:tcPr>
          <w:p w14:paraId="407903D0" w14:textId="41A9D4D9" w:rsidR="008A1A83" w:rsidRPr="00270B21" w:rsidRDefault="008A1A83" w:rsidP="00270B21">
            <w:pPr>
              <w:autoSpaceDE w:val="0"/>
              <w:autoSpaceDN w:val="0"/>
              <w:adjustRightInd w:val="0"/>
              <w:spacing w:line="360" w:lineRule="auto"/>
              <w:jc w:val="center"/>
              <w:rPr>
                <w:rFonts w:cs="Times New Roman"/>
                <w:b/>
                <w:szCs w:val="24"/>
              </w:rPr>
            </w:pPr>
            <w:r w:rsidRPr="00270B21">
              <w:rPr>
                <w:rFonts w:cs="Times New Roman"/>
                <w:b/>
                <w:szCs w:val="24"/>
              </w:rPr>
              <w:t>Kode Saham</w:t>
            </w:r>
          </w:p>
        </w:tc>
        <w:tc>
          <w:tcPr>
            <w:tcW w:w="5147" w:type="dxa"/>
            <w:gridSpan w:val="5"/>
          </w:tcPr>
          <w:p w14:paraId="543DD4BA" w14:textId="392E5162" w:rsidR="008A1A83" w:rsidRPr="00270B21" w:rsidRDefault="008A1A83" w:rsidP="00140F8B">
            <w:pPr>
              <w:autoSpaceDE w:val="0"/>
              <w:autoSpaceDN w:val="0"/>
              <w:adjustRightInd w:val="0"/>
              <w:spacing w:line="276" w:lineRule="auto"/>
              <w:jc w:val="center"/>
              <w:rPr>
                <w:rFonts w:cs="Times New Roman"/>
                <w:b/>
                <w:szCs w:val="24"/>
              </w:rPr>
            </w:pPr>
            <w:r w:rsidRPr="00270B21">
              <w:rPr>
                <w:rFonts w:cs="Times New Roman"/>
                <w:b/>
                <w:szCs w:val="24"/>
              </w:rPr>
              <w:t>Leverage</w:t>
            </w:r>
          </w:p>
        </w:tc>
      </w:tr>
      <w:tr w:rsidR="008A1A83" w14:paraId="3F6448F5" w14:textId="6316D862" w:rsidTr="008A1A83">
        <w:tc>
          <w:tcPr>
            <w:tcW w:w="668" w:type="dxa"/>
            <w:vMerge/>
          </w:tcPr>
          <w:p w14:paraId="1D723C24" w14:textId="77777777" w:rsidR="008A1A83" w:rsidRPr="00270B21" w:rsidRDefault="008A1A83" w:rsidP="00140F8B">
            <w:pPr>
              <w:autoSpaceDE w:val="0"/>
              <w:autoSpaceDN w:val="0"/>
              <w:adjustRightInd w:val="0"/>
              <w:spacing w:line="276" w:lineRule="auto"/>
              <w:jc w:val="center"/>
              <w:rPr>
                <w:rFonts w:cs="Times New Roman"/>
                <w:b/>
                <w:szCs w:val="24"/>
              </w:rPr>
            </w:pPr>
          </w:p>
        </w:tc>
        <w:tc>
          <w:tcPr>
            <w:tcW w:w="1737" w:type="dxa"/>
            <w:vMerge/>
          </w:tcPr>
          <w:p w14:paraId="4279E0F5" w14:textId="77777777" w:rsidR="008A1A83" w:rsidRPr="00270B21" w:rsidRDefault="008A1A83" w:rsidP="00140F8B">
            <w:pPr>
              <w:autoSpaceDE w:val="0"/>
              <w:autoSpaceDN w:val="0"/>
              <w:adjustRightInd w:val="0"/>
              <w:spacing w:line="276" w:lineRule="auto"/>
              <w:jc w:val="center"/>
              <w:rPr>
                <w:rFonts w:cs="Times New Roman"/>
                <w:b/>
                <w:szCs w:val="24"/>
              </w:rPr>
            </w:pPr>
          </w:p>
        </w:tc>
        <w:tc>
          <w:tcPr>
            <w:tcW w:w="859" w:type="dxa"/>
          </w:tcPr>
          <w:p w14:paraId="58B7F377" w14:textId="3C3A4A47" w:rsidR="008A1A83" w:rsidRPr="00270B21" w:rsidRDefault="008A1A83" w:rsidP="00140F8B">
            <w:pPr>
              <w:autoSpaceDE w:val="0"/>
              <w:autoSpaceDN w:val="0"/>
              <w:adjustRightInd w:val="0"/>
              <w:spacing w:line="276" w:lineRule="auto"/>
              <w:jc w:val="center"/>
              <w:rPr>
                <w:rFonts w:cs="Times New Roman"/>
                <w:b/>
                <w:szCs w:val="24"/>
              </w:rPr>
            </w:pPr>
            <w:r w:rsidRPr="00270B21">
              <w:rPr>
                <w:rFonts w:cs="Times New Roman"/>
                <w:b/>
                <w:szCs w:val="24"/>
              </w:rPr>
              <w:t>2019</w:t>
            </w:r>
          </w:p>
        </w:tc>
        <w:tc>
          <w:tcPr>
            <w:tcW w:w="1072" w:type="dxa"/>
          </w:tcPr>
          <w:p w14:paraId="2403FB9E" w14:textId="2710D6FE" w:rsidR="008A1A83" w:rsidRPr="00270B21" w:rsidRDefault="008A1A83" w:rsidP="00140F8B">
            <w:pPr>
              <w:autoSpaceDE w:val="0"/>
              <w:autoSpaceDN w:val="0"/>
              <w:adjustRightInd w:val="0"/>
              <w:spacing w:line="276" w:lineRule="auto"/>
              <w:jc w:val="center"/>
              <w:rPr>
                <w:rFonts w:cs="Times New Roman"/>
                <w:b/>
                <w:szCs w:val="24"/>
              </w:rPr>
            </w:pPr>
            <w:r w:rsidRPr="00270B21">
              <w:rPr>
                <w:rFonts w:cs="Times New Roman"/>
                <w:b/>
                <w:szCs w:val="24"/>
              </w:rPr>
              <w:t>2020</w:t>
            </w:r>
          </w:p>
        </w:tc>
        <w:tc>
          <w:tcPr>
            <w:tcW w:w="1072" w:type="dxa"/>
          </w:tcPr>
          <w:p w14:paraId="47D898A4" w14:textId="73B29247" w:rsidR="008A1A83" w:rsidRPr="00270B21" w:rsidRDefault="008A1A83" w:rsidP="00140F8B">
            <w:pPr>
              <w:autoSpaceDE w:val="0"/>
              <w:autoSpaceDN w:val="0"/>
              <w:adjustRightInd w:val="0"/>
              <w:spacing w:line="276" w:lineRule="auto"/>
              <w:jc w:val="center"/>
              <w:rPr>
                <w:rFonts w:cs="Times New Roman"/>
                <w:b/>
                <w:szCs w:val="24"/>
              </w:rPr>
            </w:pPr>
            <w:r w:rsidRPr="00270B21">
              <w:rPr>
                <w:rFonts w:cs="Times New Roman"/>
                <w:b/>
                <w:szCs w:val="24"/>
              </w:rPr>
              <w:t>2021</w:t>
            </w:r>
          </w:p>
        </w:tc>
        <w:tc>
          <w:tcPr>
            <w:tcW w:w="1072" w:type="dxa"/>
          </w:tcPr>
          <w:p w14:paraId="5B64A6EA" w14:textId="7D0D9336" w:rsidR="008A1A83" w:rsidRPr="00270B21" w:rsidRDefault="008A1A83" w:rsidP="00140F8B">
            <w:pPr>
              <w:autoSpaceDE w:val="0"/>
              <w:autoSpaceDN w:val="0"/>
              <w:adjustRightInd w:val="0"/>
              <w:spacing w:line="276" w:lineRule="auto"/>
              <w:jc w:val="center"/>
              <w:rPr>
                <w:rFonts w:cs="Times New Roman"/>
                <w:b/>
                <w:szCs w:val="24"/>
              </w:rPr>
            </w:pPr>
            <w:r w:rsidRPr="00270B21">
              <w:rPr>
                <w:rFonts w:cs="Times New Roman"/>
                <w:b/>
                <w:szCs w:val="24"/>
              </w:rPr>
              <w:t>2022</w:t>
            </w:r>
          </w:p>
        </w:tc>
        <w:tc>
          <w:tcPr>
            <w:tcW w:w="1072" w:type="dxa"/>
          </w:tcPr>
          <w:p w14:paraId="7E780841" w14:textId="238D2CBD" w:rsidR="008A1A83" w:rsidRPr="00270B21" w:rsidRDefault="008A1A83" w:rsidP="00140F8B">
            <w:pPr>
              <w:autoSpaceDE w:val="0"/>
              <w:autoSpaceDN w:val="0"/>
              <w:adjustRightInd w:val="0"/>
              <w:spacing w:line="276" w:lineRule="auto"/>
              <w:jc w:val="center"/>
              <w:rPr>
                <w:rFonts w:cs="Times New Roman"/>
                <w:b/>
                <w:szCs w:val="24"/>
              </w:rPr>
            </w:pPr>
            <w:r w:rsidRPr="00270B21">
              <w:rPr>
                <w:rFonts w:cs="Times New Roman"/>
                <w:b/>
                <w:szCs w:val="24"/>
              </w:rPr>
              <w:t>2023</w:t>
            </w:r>
          </w:p>
        </w:tc>
      </w:tr>
      <w:tr w:rsidR="008A1A83" w14:paraId="325E08AD" w14:textId="5DE1B1F4" w:rsidTr="008A1A83">
        <w:tc>
          <w:tcPr>
            <w:tcW w:w="668" w:type="dxa"/>
          </w:tcPr>
          <w:p w14:paraId="054FB2B4" w14:textId="229DDDE8" w:rsidR="008A1A83" w:rsidRPr="000F0B7F" w:rsidRDefault="008A1A83" w:rsidP="00140F8B">
            <w:pPr>
              <w:autoSpaceDE w:val="0"/>
              <w:autoSpaceDN w:val="0"/>
              <w:adjustRightInd w:val="0"/>
              <w:spacing w:line="276" w:lineRule="auto"/>
              <w:jc w:val="center"/>
              <w:rPr>
                <w:rFonts w:cs="Times New Roman"/>
                <w:szCs w:val="24"/>
              </w:rPr>
            </w:pPr>
            <w:r w:rsidRPr="000F0B7F">
              <w:rPr>
                <w:rFonts w:cs="Times New Roman"/>
                <w:szCs w:val="24"/>
              </w:rPr>
              <w:t>1.</w:t>
            </w:r>
          </w:p>
        </w:tc>
        <w:tc>
          <w:tcPr>
            <w:tcW w:w="1737" w:type="dxa"/>
          </w:tcPr>
          <w:p w14:paraId="5D8752BE" w14:textId="2CEACBB4" w:rsidR="008A1A83" w:rsidRPr="000F0B7F" w:rsidRDefault="008A1A83" w:rsidP="008A1A83">
            <w:pPr>
              <w:autoSpaceDE w:val="0"/>
              <w:autoSpaceDN w:val="0"/>
              <w:adjustRightInd w:val="0"/>
              <w:spacing w:line="276" w:lineRule="auto"/>
              <w:jc w:val="center"/>
              <w:rPr>
                <w:rFonts w:cs="Times New Roman"/>
                <w:szCs w:val="24"/>
              </w:rPr>
            </w:pPr>
            <w:r w:rsidRPr="000F0B7F">
              <w:rPr>
                <w:rFonts w:cs="Times New Roman"/>
                <w:szCs w:val="24"/>
              </w:rPr>
              <w:t>BBCA</w:t>
            </w:r>
          </w:p>
        </w:tc>
        <w:tc>
          <w:tcPr>
            <w:tcW w:w="859" w:type="dxa"/>
          </w:tcPr>
          <w:p w14:paraId="2B7E3B6F" w14:textId="403684B1" w:rsidR="008A1A83" w:rsidRPr="000F0B7F" w:rsidRDefault="008A1A83" w:rsidP="00140F8B">
            <w:pPr>
              <w:autoSpaceDE w:val="0"/>
              <w:autoSpaceDN w:val="0"/>
              <w:adjustRightInd w:val="0"/>
              <w:spacing w:line="276" w:lineRule="auto"/>
              <w:jc w:val="center"/>
              <w:rPr>
                <w:rFonts w:cs="Times New Roman"/>
                <w:szCs w:val="24"/>
              </w:rPr>
            </w:pPr>
            <w:r w:rsidRPr="000F0B7F">
              <w:rPr>
                <w:rFonts w:cs="Times New Roman"/>
                <w:szCs w:val="24"/>
              </w:rPr>
              <w:t>4,25</w:t>
            </w:r>
          </w:p>
        </w:tc>
        <w:tc>
          <w:tcPr>
            <w:tcW w:w="1072" w:type="dxa"/>
          </w:tcPr>
          <w:p w14:paraId="24BAE732" w14:textId="6A55BF87" w:rsidR="008A1A83" w:rsidRPr="000F0B7F" w:rsidRDefault="008A1A83" w:rsidP="00140F8B">
            <w:pPr>
              <w:autoSpaceDE w:val="0"/>
              <w:autoSpaceDN w:val="0"/>
              <w:adjustRightInd w:val="0"/>
              <w:spacing w:line="276" w:lineRule="auto"/>
              <w:jc w:val="center"/>
              <w:rPr>
                <w:rFonts w:cs="Times New Roman"/>
                <w:szCs w:val="24"/>
              </w:rPr>
            </w:pPr>
            <w:r w:rsidRPr="000F0B7F">
              <w:rPr>
                <w:rFonts w:cs="Times New Roman"/>
                <w:szCs w:val="24"/>
              </w:rPr>
              <w:t>4,79</w:t>
            </w:r>
          </w:p>
        </w:tc>
        <w:tc>
          <w:tcPr>
            <w:tcW w:w="1072" w:type="dxa"/>
          </w:tcPr>
          <w:p w14:paraId="314422C9" w14:textId="3131F00F" w:rsidR="008A1A83" w:rsidRPr="000F0B7F" w:rsidRDefault="000A7E8C" w:rsidP="00140F8B">
            <w:pPr>
              <w:autoSpaceDE w:val="0"/>
              <w:autoSpaceDN w:val="0"/>
              <w:adjustRightInd w:val="0"/>
              <w:spacing w:line="276" w:lineRule="auto"/>
              <w:jc w:val="center"/>
              <w:rPr>
                <w:rFonts w:cs="Times New Roman"/>
                <w:szCs w:val="24"/>
              </w:rPr>
            </w:pPr>
            <w:r>
              <w:rPr>
                <w:rFonts w:cs="Times New Roman"/>
                <w:szCs w:val="24"/>
              </w:rPr>
              <w:t>5,03</w:t>
            </w:r>
          </w:p>
        </w:tc>
        <w:tc>
          <w:tcPr>
            <w:tcW w:w="1072" w:type="dxa"/>
          </w:tcPr>
          <w:p w14:paraId="1DF746A6" w14:textId="60887474"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4,92</w:t>
            </w:r>
          </w:p>
        </w:tc>
        <w:tc>
          <w:tcPr>
            <w:tcW w:w="1072" w:type="dxa"/>
          </w:tcPr>
          <w:p w14:paraId="3674BFB9" w14:textId="1ABD1895"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4,77</w:t>
            </w:r>
          </w:p>
        </w:tc>
      </w:tr>
      <w:tr w:rsidR="008A1A83" w14:paraId="63D52FBC" w14:textId="37EBED21" w:rsidTr="008A1A83">
        <w:tc>
          <w:tcPr>
            <w:tcW w:w="668" w:type="dxa"/>
          </w:tcPr>
          <w:p w14:paraId="5C7F9B6E" w14:textId="3C5AD72A" w:rsidR="008A1A83" w:rsidRPr="000F0B7F" w:rsidRDefault="008A1A83" w:rsidP="00140F8B">
            <w:pPr>
              <w:autoSpaceDE w:val="0"/>
              <w:autoSpaceDN w:val="0"/>
              <w:adjustRightInd w:val="0"/>
              <w:spacing w:line="276" w:lineRule="auto"/>
              <w:jc w:val="center"/>
              <w:rPr>
                <w:rFonts w:cs="Times New Roman"/>
                <w:szCs w:val="24"/>
              </w:rPr>
            </w:pPr>
            <w:r w:rsidRPr="000F0B7F">
              <w:rPr>
                <w:rFonts w:cs="Times New Roman"/>
                <w:szCs w:val="24"/>
              </w:rPr>
              <w:t>2.</w:t>
            </w:r>
          </w:p>
        </w:tc>
        <w:tc>
          <w:tcPr>
            <w:tcW w:w="1737" w:type="dxa"/>
          </w:tcPr>
          <w:p w14:paraId="267AA8D9" w14:textId="10CAE46D" w:rsidR="008A1A83" w:rsidRPr="000F0B7F" w:rsidRDefault="008A1A83" w:rsidP="00140F8B">
            <w:pPr>
              <w:autoSpaceDE w:val="0"/>
              <w:autoSpaceDN w:val="0"/>
              <w:adjustRightInd w:val="0"/>
              <w:spacing w:line="276" w:lineRule="auto"/>
              <w:jc w:val="center"/>
              <w:rPr>
                <w:rFonts w:cs="Times New Roman"/>
                <w:szCs w:val="24"/>
              </w:rPr>
            </w:pPr>
            <w:r w:rsidRPr="000F0B7F">
              <w:rPr>
                <w:rFonts w:cs="Times New Roman"/>
                <w:szCs w:val="24"/>
              </w:rPr>
              <w:t>BBNI</w:t>
            </w:r>
          </w:p>
        </w:tc>
        <w:tc>
          <w:tcPr>
            <w:tcW w:w="859" w:type="dxa"/>
          </w:tcPr>
          <w:p w14:paraId="4AAC5729" w14:textId="5E03E3FE" w:rsidR="008A1A83" w:rsidRPr="000F0B7F" w:rsidRDefault="008A1A83" w:rsidP="00140F8B">
            <w:pPr>
              <w:autoSpaceDE w:val="0"/>
              <w:autoSpaceDN w:val="0"/>
              <w:adjustRightInd w:val="0"/>
              <w:spacing w:line="276" w:lineRule="auto"/>
              <w:jc w:val="center"/>
              <w:rPr>
                <w:rFonts w:cs="Times New Roman"/>
                <w:szCs w:val="24"/>
              </w:rPr>
            </w:pPr>
            <w:r w:rsidRPr="000F0B7F">
              <w:rPr>
                <w:rFonts w:cs="Times New Roman"/>
                <w:szCs w:val="24"/>
              </w:rPr>
              <w:t>5,51</w:t>
            </w:r>
          </w:p>
        </w:tc>
        <w:tc>
          <w:tcPr>
            <w:tcW w:w="1072" w:type="dxa"/>
          </w:tcPr>
          <w:p w14:paraId="5098A0ED" w14:textId="2C333502"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6,61</w:t>
            </w:r>
          </w:p>
        </w:tc>
        <w:tc>
          <w:tcPr>
            <w:tcW w:w="1072" w:type="dxa"/>
          </w:tcPr>
          <w:p w14:paraId="0A62868F" w14:textId="6A614929" w:rsidR="008A1A83" w:rsidRPr="000F0B7F" w:rsidRDefault="000A7E8C" w:rsidP="00140F8B">
            <w:pPr>
              <w:autoSpaceDE w:val="0"/>
              <w:autoSpaceDN w:val="0"/>
              <w:adjustRightInd w:val="0"/>
              <w:spacing w:line="276" w:lineRule="auto"/>
              <w:jc w:val="center"/>
              <w:rPr>
                <w:rFonts w:cs="Times New Roman"/>
                <w:szCs w:val="24"/>
              </w:rPr>
            </w:pPr>
            <w:r>
              <w:rPr>
                <w:rFonts w:cs="Times New Roman"/>
                <w:szCs w:val="24"/>
              </w:rPr>
              <w:t>6,63</w:t>
            </w:r>
          </w:p>
        </w:tc>
        <w:tc>
          <w:tcPr>
            <w:tcW w:w="1072" w:type="dxa"/>
          </w:tcPr>
          <w:p w14:paraId="00D0C2FE" w14:textId="6A015F96" w:rsidR="008A1A83" w:rsidRPr="000F0B7F" w:rsidRDefault="000A7E8C" w:rsidP="00140F8B">
            <w:pPr>
              <w:autoSpaceDE w:val="0"/>
              <w:autoSpaceDN w:val="0"/>
              <w:adjustRightInd w:val="0"/>
              <w:spacing w:line="276" w:lineRule="auto"/>
              <w:jc w:val="center"/>
              <w:rPr>
                <w:rFonts w:cs="Times New Roman"/>
                <w:szCs w:val="24"/>
              </w:rPr>
            </w:pPr>
            <w:r>
              <w:rPr>
                <w:rFonts w:cs="Times New Roman"/>
                <w:szCs w:val="24"/>
              </w:rPr>
              <w:t>6,35</w:t>
            </w:r>
          </w:p>
        </w:tc>
        <w:tc>
          <w:tcPr>
            <w:tcW w:w="1072" w:type="dxa"/>
          </w:tcPr>
          <w:p w14:paraId="70F4EB6B" w14:textId="267E5FAD"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6,02</w:t>
            </w:r>
          </w:p>
        </w:tc>
      </w:tr>
      <w:tr w:rsidR="008A1A83" w14:paraId="6FBFCAA0" w14:textId="7EF85F4E" w:rsidTr="008A1A83">
        <w:tc>
          <w:tcPr>
            <w:tcW w:w="668" w:type="dxa"/>
          </w:tcPr>
          <w:p w14:paraId="0495389C" w14:textId="214926C0" w:rsidR="008A1A83" w:rsidRPr="000F0B7F" w:rsidRDefault="008A1A83" w:rsidP="00140F8B">
            <w:pPr>
              <w:autoSpaceDE w:val="0"/>
              <w:autoSpaceDN w:val="0"/>
              <w:adjustRightInd w:val="0"/>
              <w:spacing w:line="276" w:lineRule="auto"/>
              <w:jc w:val="center"/>
              <w:rPr>
                <w:rFonts w:cs="Times New Roman"/>
                <w:szCs w:val="24"/>
              </w:rPr>
            </w:pPr>
            <w:r w:rsidRPr="000F0B7F">
              <w:rPr>
                <w:rFonts w:cs="Times New Roman"/>
                <w:szCs w:val="24"/>
              </w:rPr>
              <w:t>3.</w:t>
            </w:r>
          </w:p>
        </w:tc>
        <w:tc>
          <w:tcPr>
            <w:tcW w:w="1737" w:type="dxa"/>
          </w:tcPr>
          <w:p w14:paraId="6BA97A88" w14:textId="1F2CDDBD" w:rsidR="008A1A83" w:rsidRPr="000F0B7F" w:rsidRDefault="008A1A83" w:rsidP="00140F8B">
            <w:pPr>
              <w:autoSpaceDE w:val="0"/>
              <w:autoSpaceDN w:val="0"/>
              <w:adjustRightInd w:val="0"/>
              <w:spacing w:line="276" w:lineRule="auto"/>
              <w:jc w:val="center"/>
              <w:rPr>
                <w:rFonts w:cs="Times New Roman"/>
                <w:szCs w:val="24"/>
              </w:rPr>
            </w:pPr>
            <w:r w:rsidRPr="000F0B7F">
              <w:rPr>
                <w:rFonts w:cs="Times New Roman"/>
                <w:szCs w:val="24"/>
              </w:rPr>
              <w:t>BBRI</w:t>
            </w:r>
          </w:p>
        </w:tc>
        <w:tc>
          <w:tcPr>
            <w:tcW w:w="859" w:type="dxa"/>
          </w:tcPr>
          <w:p w14:paraId="5FCEA6A5" w14:textId="4481CD41"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5,67</w:t>
            </w:r>
          </w:p>
        </w:tc>
        <w:tc>
          <w:tcPr>
            <w:tcW w:w="1072" w:type="dxa"/>
          </w:tcPr>
          <w:p w14:paraId="15DBEFDF" w14:textId="29983073" w:rsidR="008A1A83" w:rsidRPr="000F0B7F" w:rsidRDefault="000A7E8C" w:rsidP="00140F8B">
            <w:pPr>
              <w:autoSpaceDE w:val="0"/>
              <w:autoSpaceDN w:val="0"/>
              <w:adjustRightInd w:val="0"/>
              <w:spacing w:line="276" w:lineRule="auto"/>
              <w:jc w:val="center"/>
              <w:rPr>
                <w:rFonts w:cs="Times New Roman"/>
                <w:szCs w:val="24"/>
              </w:rPr>
            </w:pPr>
            <w:r>
              <w:rPr>
                <w:rFonts w:cs="Times New Roman"/>
                <w:szCs w:val="24"/>
              </w:rPr>
              <w:t>6,39</w:t>
            </w:r>
          </w:p>
        </w:tc>
        <w:tc>
          <w:tcPr>
            <w:tcW w:w="1072" w:type="dxa"/>
          </w:tcPr>
          <w:p w14:paraId="318DEF04" w14:textId="36E4E7AA" w:rsidR="008A1A83" w:rsidRPr="000F0B7F" w:rsidRDefault="000A7E8C" w:rsidP="00140F8B">
            <w:pPr>
              <w:autoSpaceDE w:val="0"/>
              <w:autoSpaceDN w:val="0"/>
              <w:adjustRightInd w:val="0"/>
              <w:spacing w:line="276" w:lineRule="auto"/>
              <w:jc w:val="center"/>
              <w:rPr>
                <w:rFonts w:cs="Times New Roman"/>
                <w:szCs w:val="24"/>
              </w:rPr>
            </w:pPr>
            <w:r>
              <w:rPr>
                <w:rFonts w:cs="Times New Roman"/>
                <w:szCs w:val="24"/>
              </w:rPr>
              <w:t>4,75</w:t>
            </w:r>
          </w:p>
        </w:tc>
        <w:tc>
          <w:tcPr>
            <w:tcW w:w="1072" w:type="dxa"/>
          </w:tcPr>
          <w:p w14:paraId="2D173E5A" w14:textId="133E1CA5"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5,15</w:t>
            </w:r>
          </w:p>
        </w:tc>
        <w:tc>
          <w:tcPr>
            <w:tcW w:w="1072" w:type="dxa"/>
          </w:tcPr>
          <w:p w14:paraId="196D21DC" w14:textId="363BCEA9"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5,21</w:t>
            </w:r>
          </w:p>
        </w:tc>
      </w:tr>
      <w:tr w:rsidR="008A1A83" w14:paraId="2A9DBE14" w14:textId="0AB8A567" w:rsidTr="008A1A83">
        <w:tc>
          <w:tcPr>
            <w:tcW w:w="668" w:type="dxa"/>
          </w:tcPr>
          <w:p w14:paraId="2BCD445A" w14:textId="24B6550F" w:rsidR="008A1A83" w:rsidRPr="000F0B7F" w:rsidRDefault="008A1A83" w:rsidP="00140F8B">
            <w:pPr>
              <w:autoSpaceDE w:val="0"/>
              <w:autoSpaceDN w:val="0"/>
              <w:adjustRightInd w:val="0"/>
              <w:spacing w:line="276" w:lineRule="auto"/>
              <w:jc w:val="center"/>
              <w:rPr>
                <w:rFonts w:cs="Times New Roman"/>
                <w:szCs w:val="24"/>
              </w:rPr>
            </w:pPr>
            <w:r w:rsidRPr="000F0B7F">
              <w:rPr>
                <w:rFonts w:cs="Times New Roman"/>
                <w:szCs w:val="24"/>
              </w:rPr>
              <w:t>4.</w:t>
            </w:r>
          </w:p>
        </w:tc>
        <w:tc>
          <w:tcPr>
            <w:tcW w:w="1737" w:type="dxa"/>
          </w:tcPr>
          <w:p w14:paraId="7CC3FDA5" w14:textId="1D2E97F6" w:rsidR="008A1A83" w:rsidRPr="000F0B7F" w:rsidRDefault="008A1A83" w:rsidP="00140F8B">
            <w:pPr>
              <w:autoSpaceDE w:val="0"/>
              <w:autoSpaceDN w:val="0"/>
              <w:adjustRightInd w:val="0"/>
              <w:spacing w:line="276" w:lineRule="auto"/>
              <w:jc w:val="center"/>
              <w:rPr>
                <w:rFonts w:cs="Times New Roman"/>
                <w:szCs w:val="24"/>
              </w:rPr>
            </w:pPr>
            <w:r w:rsidRPr="000F0B7F">
              <w:rPr>
                <w:rFonts w:cs="Times New Roman"/>
                <w:szCs w:val="24"/>
              </w:rPr>
              <w:t>BBTN</w:t>
            </w:r>
          </w:p>
        </w:tc>
        <w:tc>
          <w:tcPr>
            <w:tcW w:w="859" w:type="dxa"/>
          </w:tcPr>
          <w:p w14:paraId="05E691B0" w14:textId="04770BB6"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11,30</w:t>
            </w:r>
          </w:p>
        </w:tc>
        <w:tc>
          <w:tcPr>
            <w:tcW w:w="1072" w:type="dxa"/>
          </w:tcPr>
          <w:p w14:paraId="796FD265" w14:textId="5C74A1D1"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16,08</w:t>
            </w:r>
          </w:p>
        </w:tc>
        <w:tc>
          <w:tcPr>
            <w:tcW w:w="1072" w:type="dxa"/>
          </w:tcPr>
          <w:p w14:paraId="51E75524" w14:textId="6E6AC6AD" w:rsidR="008A1A83" w:rsidRPr="000F0B7F" w:rsidRDefault="000A7E8C" w:rsidP="00140F8B">
            <w:pPr>
              <w:autoSpaceDE w:val="0"/>
              <w:autoSpaceDN w:val="0"/>
              <w:adjustRightInd w:val="0"/>
              <w:spacing w:line="276" w:lineRule="auto"/>
              <w:jc w:val="center"/>
              <w:rPr>
                <w:rFonts w:cs="Times New Roman"/>
                <w:szCs w:val="24"/>
              </w:rPr>
            </w:pPr>
            <w:r>
              <w:rPr>
                <w:rFonts w:cs="Times New Roman"/>
                <w:szCs w:val="24"/>
              </w:rPr>
              <w:t>15,31</w:t>
            </w:r>
          </w:p>
        </w:tc>
        <w:tc>
          <w:tcPr>
            <w:tcW w:w="1072" w:type="dxa"/>
          </w:tcPr>
          <w:p w14:paraId="32BA2803" w14:textId="2A707D80"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13,56</w:t>
            </w:r>
          </w:p>
        </w:tc>
        <w:tc>
          <w:tcPr>
            <w:tcW w:w="1072" w:type="dxa"/>
          </w:tcPr>
          <w:p w14:paraId="68AE27E6" w14:textId="71CCDFC3"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12,51</w:t>
            </w:r>
          </w:p>
        </w:tc>
      </w:tr>
      <w:tr w:rsidR="008A1A83" w14:paraId="341FA0D0" w14:textId="7C3D8754" w:rsidTr="008A1A83">
        <w:tc>
          <w:tcPr>
            <w:tcW w:w="668" w:type="dxa"/>
          </w:tcPr>
          <w:p w14:paraId="0091C795" w14:textId="61EB4E1E" w:rsidR="008A1A83" w:rsidRPr="000F0B7F" w:rsidRDefault="008A1A83" w:rsidP="00140F8B">
            <w:pPr>
              <w:autoSpaceDE w:val="0"/>
              <w:autoSpaceDN w:val="0"/>
              <w:adjustRightInd w:val="0"/>
              <w:spacing w:line="276" w:lineRule="auto"/>
              <w:jc w:val="center"/>
              <w:rPr>
                <w:rFonts w:cs="Times New Roman"/>
                <w:szCs w:val="24"/>
              </w:rPr>
            </w:pPr>
            <w:r w:rsidRPr="000F0B7F">
              <w:rPr>
                <w:rFonts w:cs="Times New Roman"/>
                <w:szCs w:val="24"/>
              </w:rPr>
              <w:t>5.</w:t>
            </w:r>
          </w:p>
        </w:tc>
        <w:tc>
          <w:tcPr>
            <w:tcW w:w="1737" w:type="dxa"/>
          </w:tcPr>
          <w:p w14:paraId="73A24916" w14:textId="5920FFB5" w:rsidR="008A1A83" w:rsidRPr="000F0B7F" w:rsidRDefault="008A1A83" w:rsidP="00140F8B">
            <w:pPr>
              <w:autoSpaceDE w:val="0"/>
              <w:autoSpaceDN w:val="0"/>
              <w:adjustRightInd w:val="0"/>
              <w:spacing w:line="276" w:lineRule="auto"/>
              <w:jc w:val="center"/>
              <w:rPr>
                <w:rFonts w:cs="Times New Roman"/>
                <w:szCs w:val="24"/>
              </w:rPr>
            </w:pPr>
            <w:r w:rsidRPr="000F0B7F">
              <w:rPr>
                <w:rFonts w:cs="Times New Roman"/>
                <w:szCs w:val="24"/>
              </w:rPr>
              <w:t>BMRI</w:t>
            </w:r>
          </w:p>
        </w:tc>
        <w:tc>
          <w:tcPr>
            <w:tcW w:w="859" w:type="dxa"/>
          </w:tcPr>
          <w:p w14:paraId="33DAC668" w14:textId="7D88ADE1"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4,91</w:t>
            </w:r>
          </w:p>
        </w:tc>
        <w:tc>
          <w:tcPr>
            <w:tcW w:w="1072" w:type="dxa"/>
          </w:tcPr>
          <w:p w14:paraId="6AFA5B12" w14:textId="326B1593"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5,94</w:t>
            </w:r>
          </w:p>
        </w:tc>
        <w:tc>
          <w:tcPr>
            <w:tcW w:w="1072" w:type="dxa"/>
          </w:tcPr>
          <w:p w14:paraId="2184B2D5" w14:textId="1305050E" w:rsidR="008A1A83" w:rsidRPr="000F0B7F" w:rsidRDefault="000A7E8C" w:rsidP="00140F8B">
            <w:pPr>
              <w:autoSpaceDE w:val="0"/>
              <w:autoSpaceDN w:val="0"/>
              <w:adjustRightInd w:val="0"/>
              <w:spacing w:line="276" w:lineRule="auto"/>
              <w:jc w:val="center"/>
              <w:rPr>
                <w:rFonts w:cs="Times New Roman"/>
                <w:szCs w:val="24"/>
              </w:rPr>
            </w:pPr>
            <w:r>
              <w:rPr>
                <w:rFonts w:cs="Times New Roman"/>
                <w:szCs w:val="24"/>
              </w:rPr>
              <w:t>5,97</w:t>
            </w:r>
          </w:p>
        </w:tc>
        <w:tc>
          <w:tcPr>
            <w:tcW w:w="1072" w:type="dxa"/>
          </w:tcPr>
          <w:p w14:paraId="7ACD616E" w14:textId="39518BE2"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6,12</w:t>
            </w:r>
          </w:p>
        </w:tc>
        <w:tc>
          <w:tcPr>
            <w:tcW w:w="1072" w:type="dxa"/>
          </w:tcPr>
          <w:p w14:paraId="5F7DAD7B" w14:textId="6D10748D"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5,78</w:t>
            </w:r>
          </w:p>
        </w:tc>
      </w:tr>
      <w:tr w:rsidR="008A1A83" w14:paraId="76ACD0B4" w14:textId="7DC4C9A4" w:rsidTr="008A1A83">
        <w:tc>
          <w:tcPr>
            <w:tcW w:w="668" w:type="dxa"/>
          </w:tcPr>
          <w:p w14:paraId="3BB6C861" w14:textId="0CC22130" w:rsidR="008A1A83" w:rsidRPr="000F0B7F" w:rsidRDefault="00B4202F" w:rsidP="00140F8B">
            <w:pPr>
              <w:autoSpaceDE w:val="0"/>
              <w:autoSpaceDN w:val="0"/>
              <w:adjustRightInd w:val="0"/>
              <w:spacing w:line="276" w:lineRule="auto"/>
              <w:jc w:val="center"/>
              <w:rPr>
                <w:rFonts w:cs="Times New Roman"/>
                <w:szCs w:val="24"/>
              </w:rPr>
            </w:pPr>
            <w:r>
              <w:rPr>
                <w:rFonts w:cs="Times New Roman"/>
                <w:szCs w:val="24"/>
              </w:rPr>
              <w:t>6.</w:t>
            </w:r>
          </w:p>
        </w:tc>
        <w:tc>
          <w:tcPr>
            <w:tcW w:w="1737" w:type="dxa"/>
          </w:tcPr>
          <w:p w14:paraId="6E3210B2" w14:textId="509B5AEC" w:rsidR="008A1A83" w:rsidRPr="000F0B7F" w:rsidRDefault="008A1A83" w:rsidP="00140F8B">
            <w:pPr>
              <w:autoSpaceDE w:val="0"/>
              <w:autoSpaceDN w:val="0"/>
              <w:adjustRightInd w:val="0"/>
              <w:spacing w:line="276" w:lineRule="auto"/>
              <w:jc w:val="center"/>
              <w:rPr>
                <w:rFonts w:cs="Times New Roman"/>
                <w:szCs w:val="24"/>
              </w:rPr>
            </w:pPr>
            <w:r w:rsidRPr="000F0B7F">
              <w:rPr>
                <w:rFonts w:cs="Times New Roman"/>
                <w:szCs w:val="24"/>
              </w:rPr>
              <w:t>UNTR</w:t>
            </w:r>
          </w:p>
        </w:tc>
        <w:tc>
          <w:tcPr>
            <w:tcW w:w="859" w:type="dxa"/>
          </w:tcPr>
          <w:p w14:paraId="11B7663E" w14:textId="663FDF91"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0,83</w:t>
            </w:r>
          </w:p>
        </w:tc>
        <w:tc>
          <w:tcPr>
            <w:tcW w:w="1072" w:type="dxa"/>
          </w:tcPr>
          <w:p w14:paraId="43DA0974" w14:textId="0A0CBD6D" w:rsidR="008A1A83" w:rsidRPr="000F0B7F" w:rsidRDefault="000A7E8C" w:rsidP="00140F8B">
            <w:pPr>
              <w:autoSpaceDE w:val="0"/>
              <w:autoSpaceDN w:val="0"/>
              <w:adjustRightInd w:val="0"/>
              <w:spacing w:line="276" w:lineRule="auto"/>
              <w:jc w:val="center"/>
              <w:rPr>
                <w:rFonts w:cs="Times New Roman"/>
                <w:szCs w:val="24"/>
              </w:rPr>
            </w:pPr>
            <w:r>
              <w:rPr>
                <w:rFonts w:cs="Times New Roman"/>
                <w:szCs w:val="24"/>
              </w:rPr>
              <w:t>0,58</w:t>
            </w:r>
          </w:p>
        </w:tc>
        <w:tc>
          <w:tcPr>
            <w:tcW w:w="1072" w:type="dxa"/>
          </w:tcPr>
          <w:p w14:paraId="1EA97212" w14:textId="503A4102" w:rsidR="008A1A83" w:rsidRPr="000F0B7F" w:rsidRDefault="000A7E8C" w:rsidP="00140F8B">
            <w:pPr>
              <w:autoSpaceDE w:val="0"/>
              <w:autoSpaceDN w:val="0"/>
              <w:adjustRightInd w:val="0"/>
              <w:spacing w:line="276" w:lineRule="auto"/>
              <w:jc w:val="center"/>
              <w:rPr>
                <w:rFonts w:cs="Times New Roman"/>
                <w:szCs w:val="24"/>
              </w:rPr>
            </w:pPr>
            <w:r>
              <w:rPr>
                <w:rFonts w:cs="Times New Roman"/>
                <w:szCs w:val="24"/>
              </w:rPr>
              <w:t>0,57</w:t>
            </w:r>
          </w:p>
        </w:tc>
        <w:tc>
          <w:tcPr>
            <w:tcW w:w="1072" w:type="dxa"/>
          </w:tcPr>
          <w:p w14:paraId="6589E897" w14:textId="719FDC0E" w:rsidR="008A1A83" w:rsidRPr="000F0B7F" w:rsidRDefault="000A7E8C" w:rsidP="00140F8B">
            <w:pPr>
              <w:autoSpaceDE w:val="0"/>
              <w:autoSpaceDN w:val="0"/>
              <w:adjustRightInd w:val="0"/>
              <w:spacing w:line="276" w:lineRule="auto"/>
              <w:jc w:val="center"/>
              <w:rPr>
                <w:rFonts w:cs="Times New Roman"/>
                <w:szCs w:val="24"/>
              </w:rPr>
            </w:pPr>
            <w:r>
              <w:rPr>
                <w:rFonts w:cs="Times New Roman"/>
                <w:szCs w:val="24"/>
              </w:rPr>
              <w:t>0,57</w:t>
            </w:r>
          </w:p>
        </w:tc>
        <w:tc>
          <w:tcPr>
            <w:tcW w:w="1072" w:type="dxa"/>
          </w:tcPr>
          <w:p w14:paraId="01788CF2" w14:textId="5649DFDB" w:rsidR="008A1A83" w:rsidRPr="000F0B7F" w:rsidRDefault="000A7E8C" w:rsidP="00140F8B">
            <w:pPr>
              <w:autoSpaceDE w:val="0"/>
              <w:autoSpaceDN w:val="0"/>
              <w:adjustRightInd w:val="0"/>
              <w:spacing w:line="276" w:lineRule="auto"/>
              <w:jc w:val="center"/>
              <w:rPr>
                <w:rFonts w:cs="Times New Roman"/>
                <w:szCs w:val="24"/>
              </w:rPr>
            </w:pPr>
            <w:r>
              <w:rPr>
                <w:rFonts w:cs="Times New Roman"/>
                <w:szCs w:val="24"/>
              </w:rPr>
              <w:t>0,83</w:t>
            </w:r>
          </w:p>
        </w:tc>
      </w:tr>
      <w:tr w:rsidR="008A1A83" w14:paraId="5E0AA788" w14:textId="08C3D6D7" w:rsidTr="008A1A83">
        <w:tc>
          <w:tcPr>
            <w:tcW w:w="668" w:type="dxa"/>
          </w:tcPr>
          <w:p w14:paraId="5ECF8027" w14:textId="008B2A3F" w:rsidR="008A1A83" w:rsidRPr="000F0B7F" w:rsidRDefault="00B4202F" w:rsidP="00140F8B">
            <w:pPr>
              <w:autoSpaceDE w:val="0"/>
              <w:autoSpaceDN w:val="0"/>
              <w:adjustRightInd w:val="0"/>
              <w:spacing w:line="276" w:lineRule="auto"/>
              <w:jc w:val="center"/>
              <w:rPr>
                <w:rFonts w:cs="Times New Roman"/>
                <w:szCs w:val="24"/>
              </w:rPr>
            </w:pPr>
            <w:r>
              <w:rPr>
                <w:rFonts w:cs="Times New Roman"/>
                <w:szCs w:val="24"/>
              </w:rPr>
              <w:t>7</w:t>
            </w:r>
            <w:r w:rsidR="008A1A83" w:rsidRPr="000F0B7F">
              <w:rPr>
                <w:rFonts w:cs="Times New Roman"/>
                <w:szCs w:val="24"/>
              </w:rPr>
              <w:t>.</w:t>
            </w:r>
          </w:p>
        </w:tc>
        <w:tc>
          <w:tcPr>
            <w:tcW w:w="1737" w:type="dxa"/>
          </w:tcPr>
          <w:p w14:paraId="59742E42" w14:textId="48F65D3D" w:rsidR="008A1A83" w:rsidRPr="000F0B7F" w:rsidRDefault="008A1A83" w:rsidP="00140F8B">
            <w:pPr>
              <w:autoSpaceDE w:val="0"/>
              <w:autoSpaceDN w:val="0"/>
              <w:adjustRightInd w:val="0"/>
              <w:spacing w:line="276" w:lineRule="auto"/>
              <w:jc w:val="center"/>
              <w:rPr>
                <w:rFonts w:cs="Times New Roman"/>
                <w:szCs w:val="24"/>
              </w:rPr>
            </w:pPr>
            <w:r w:rsidRPr="000F0B7F">
              <w:rPr>
                <w:rFonts w:cs="Times New Roman"/>
                <w:szCs w:val="24"/>
              </w:rPr>
              <w:t>UNVR</w:t>
            </w:r>
          </w:p>
        </w:tc>
        <w:tc>
          <w:tcPr>
            <w:tcW w:w="859" w:type="dxa"/>
          </w:tcPr>
          <w:p w14:paraId="591F8EDD" w14:textId="2D15E643"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2,91</w:t>
            </w:r>
          </w:p>
        </w:tc>
        <w:tc>
          <w:tcPr>
            <w:tcW w:w="1072" w:type="dxa"/>
          </w:tcPr>
          <w:p w14:paraId="2AB89BEA" w14:textId="2D8AA86A" w:rsidR="008A1A83" w:rsidRPr="000F0B7F" w:rsidRDefault="000A7E8C" w:rsidP="00140F8B">
            <w:pPr>
              <w:autoSpaceDE w:val="0"/>
              <w:autoSpaceDN w:val="0"/>
              <w:adjustRightInd w:val="0"/>
              <w:spacing w:line="276" w:lineRule="auto"/>
              <w:jc w:val="center"/>
              <w:rPr>
                <w:rFonts w:cs="Times New Roman"/>
                <w:szCs w:val="24"/>
              </w:rPr>
            </w:pPr>
            <w:r>
              <w:rPr>
                <w:rFonts w:cs="Times New Roman"/>
                <w:szCs w:val="24"/>
              </w:rPr>
              <w:t>3,16</w:t>
            </w:r>
          </w:p>
        </w:tc>
        <w:tc>
          <w:tcPr>
            <w:tcW w:w="1072" w:type="dxa"/>
          </w:tcPr>
          <w:p w14:paraId="07421B81" w14:textId="3F5B110F" w:rsidR="008A1A83" w:rsidRPr="000F0B7F" w:rsidRDefault="000A7E8C" w:rsidP="00140F8B">
            <w:pPr>
              <w:autoSpaceDE w:val="0"/>
              <w:autoSpaceDN w:val="0"/>
              <w:adjustRightInd w:val="0"/>
              <w:spacing w:line="276" w:lineRule="auto"/>
              <w:jc w:val="center"/>
              <w:rPr>
                <w:rFonts w:cs="Times New Roman"/>
                <w:szCs w:val="24"/>
              </w:rPr>
            </w:pPr>
            <w:r>
              <w:rPr>
                <w:rFonts w:cs="Times New Roman"/>
                <w:szCs w:val="24"/>
              </w:rPr>
              <w:t>3,41</w:t>
            </w:r>
          </w:p>
        </w:tc>
        <w:tc>
          <w:tcPr>
            <w:tcW w:w="1072" w:type="dxa"/>
          </w:tcPr>
          <w:p w14:paraId="0E25DFE2" w14:textId="57794C68" w:rsidR="008A1A83" w:rsidRPr="000F0B7F" w:rsidRDefault="000A7E8C" w:rsidP="00140F8B">
            <w:pPr>
              <w:autoSpaceDE w:val="0"/>
              <w:autoSpaceDN w:val="0"/>
              <w:adjustRightInd w:val="0"/>
              <w:spacing w:line="276" w:lineRule="auto"/>
              <w:jc w:val="center"/>
              <w:rPr>
                <w:rFonts w:cs="Times New Roman"/>
                <w:szCs w:val="24"/>
              </w:rPr>
            </w:pPr>
            <w:r>
              <w:rPr>
                <w:rFonts w:cs="Times New Roman"/>
                <w:szCs w:val="24"/>
              </w:rPr>
              <w:t>3,58</w:t>
            </w:r>
          </w:p>
        </w:tc>
        <w:tc>
          <w:tcPr>
            <w:tcW w:w="1072" w:type="dxa"/>
          </w:tcPr>
          <w:p w14:paraId="5C15AF0D" w14:textId="1854561B" w:rsidR="008A1A83" w:rsidRPr="000F0B7F" w:rsidRDefault="000A7E8C" w:rsidP="00140F8B">
            <w:pPr>
              <w:autoSpaceDE w:val="0"/>
              <w:autoSpaceDN w:val="0"/>
              <w:adjustRightInd w:val="0"/>
              <w:spacing w:line="276" w:lineRule="auto"/>
              <w:jc w:val="center"/>
              <w:rPr>
                <w:rFonts w:cs="Times New Roman"/>
                <w:szCs w:val="24"/>
              </w:rPr>
            </w:pPr>
            <w:r>
              <w:rPr>
                <w:rFonts w:cs="Times New Roman"/>
                <w:szCs w:val="24"/>
              </w:rPr>
              <w:t>3,93</w:t>
            </w:r>
          </w:p>
        </w:tc>
      </w:tr>
      <w:tr w:rsidR="008A1A83" w14:paraId="0128CEF7" w14:textId="46E96CDD" w:rsidTr="008A1A83">
        <w:tc>
          <w:tcPr>
            <w:tcW w:w="668" w:type="dxa"/>
          </w:tcPr>
          <w:p w14:paraId="59CA02B7" w14:textId="15F9283A" w:rsidR="008A1A83" w:rsidRPr="000F0B7F" w:rsidRDefault="00B4202F" w:rsidP="00140F8B">
            <w:pPr>
              <w:autoSpaceDE w:val="0"/>
              <w:autoSpaceDN w:val="0"/>
              <w:adjustRightInd w:val="0"/>
              <w:spacing w:line="276" w:lineRule="auto"/>
              <w:jc w:val="center"/>
              <w:rPr>
                <w:rFonts w:cs="Times New Roman"/>
                <w:szCs w:val="24"/>
              </w:rPr>
            </w:pPr>
            <w:r>
              <w:rPr>
                <w:rFonts w:cs="Times New Roman"/>
                <w:szCs w:val="24"/>
              </w:rPr>
              <w:t>8</w:t>
            </w:r>
            <w:r w:rsidR="008A1A83" w:rsidRPr="000F0B7F">
              <w:rPr>
                <w:rFonts w:cs="Times New Roman"/>
                <w:szCs w:val="24"/>
              </w:rPr>
              <w:t>.</w:t>
            </w:r>
          </w:p>
        </w:tc>
        <w:tc>
          <w:tcPr>
            <w:tcW w:w="1737" w:type="dxa"/>
          </w:tcPr>
          <w:p w14:paraId="35D71F6A" w14:textId="41BC6EE5" w:rsidR="008A1A83" w:rsidRPr="000F0B7F" w:rsidRDefault="0049747C" w:rsidP="00140F8B">
            <w:pPr>
              <w:autoSpaceDE w:val="0"/>
              <w:autoSpaceDN w:val="0"/>
              <w:adjustRightInd w:val="0"/>
              <w:spacing w:line="276" w:lineRule="auto"/>
              <w:jc w:val="center"/>
              <w:rPr>
                <w:rFonts w:cs="Times New Roman"/>
                <w:szCs w:val="24"/>
              </w:rPr>
            </w:pPr>
            <w:r>
              <w:rPr>
                <w:rFonts w:cs="Times New Roman"/>
                <w:szCs w:val="24"/>
              </w:rPr>
              <w:t>WI</w:t>
            </w:r>
            <w:r w:rsidR="008A1A83" w:rsidRPr="000F0B7F">
              <w:rPr>
                <w:rFonts w:cs="Times New Roman"/>
                <w:szCs w:val="24"/>
              </w:rPr>
              <w:t>KA</w:t>
            </w:r>
          </w:p>
        </w:tc>
        <w:tc>
          <w:tcPr>
            <w:tcW w:w="859" w:type="dxa"/>
          </w:tcPr>
          <w:p w14:paraId="18DD05CB" w14:textId="5546D84A"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2,23</w:t>
            </w:r>
          </w:p>
        </w:tc>
        <w:tc>
          <w:tcPr>
            <w:tcW w:w="1072" w:type="dxa"/>
          </w:tcPr>
          <w:p w14:paraId="7233FFE1" w14:textId="6A7DF239" w:rsidR="008A1A83" w:rsidRPr="000F0B7F" w:rsidRDefault="000A7E8C" w:rsidP="00140F8B">
            <w:pPr>
              <w:autoSpaceDE w:val="0"/>
              <w:autoSpaceDN w:val="0"/>
              <w:adjustRightInd w:val="0"/>
              <w:spacing w:line="276" w:lineRule="auto"/>
              <w:jc w:val="center"/>
              <w:rPr>
                <w:rFonts w:cs="Times New Roman"/>
                <w:szCs w:val="24"/>
              </w:rPr>
            </w:pPr>
            <w:r>
              <w:rPr>
                <w:rFonts w:cs="Times New Roman"/>
                <w:szCs w:val="24"/>
              </w:rPr>
              <w:t>3,09</w:t>
            </w:r>
          </w:p>
        </w:tc>
        <w:tc>
          <w:tcPr>
            <w:tcW w:w="1072" w:type="dxa"/>
          </w:tcPr>
          <w:p w14:paraId="4FEC5159" w14:textId="7C06C348" w:rsidR="008A1A83" w:rsidRPr="000F0B7F" w:rsidRDefault="000A7E8C" w:rsidP="00140F8B">
            <w:pPr>
              <w:autoSpaceDE w:val="0"/>
              <w:autoSpaceDN w:val="0"/>
              <w:adjustRightInd w:val="0"/>
              <w:spacing w:line="276" w:lineRule="auto"/>
              <w:jc w:val="center"/>
              <w:rPr>
                <w:rFonts w:cs="Times New Roman"/>
                <w:szCs w:val="24"/>
              </w:rPr>
            </w:pPr>
            <w:r>
              <w:rPr>
                <w:rFonts w:cs="Times New Roman"/>
                <w:szCs w:val="24"/>
              </w:rPr>
              <w:t>2,98</w:t>
            </w:r>
          </w:p>
        </w:tc>
        <w:tc>
          <w:tcPr>
            <w:tcW w:w="1072" w:type="dxa"/>
          </w:tcPr>
          <w:p w14:paraId="37F9B1DA" w14:textId="44DCF8B3"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3,29</w:t>
            </w:r>
          </w:p>
        </w:tc>
        <w:tc>
          <w:tcPr>
            <w:tcW w:w="1072" w:type="dxa"/>
          </w:tcPr>
          <w:p w14:paraId="04022212" w14:textId="4D1AC9DA" w:rsidR="008A1A83" w:rsidRPr="000F0B7F" w:rsidRDefault="000F0B7F" w:rsidP="00140F8B">
            <w:pPr>
              <w:autoSpaceDE w:val="0"/>
              <w:autoSpaceDN w:val="0"/>
              <w:adjustRightInd w:val="0"/>
              <w:spacing w:line="276" w:lineRule="auto"/>
              <w:jc w:val="center"/>
              <w:rPr>
                <w:rFonts w:cs="Times New Roman"/>
                <w:szCs w:val="24"/>
              </w:rPr>
            </w:pPr>
            <w:r w:rsidRPr="000F0B7F">
              <w:rPr>
                <w:rFonts w:cs="Times New Roman"/>
                <w:szCs w:val="24"/>
              </w:rPr>
              <w:t>5.89</w:t>
            </w:r>
          </w:p>
        </w:tc>
      </w:tr>
      <w:tr w:rsidR="008A1A83" w14:paraId="5E914606" w14:textId="77777777" w:rsidTr="00BC09C6">
        <w:tc>
          <w:tcPr>
            <w:tcW w:w="2405" w:type="dxa"/>
            <w:gridSpan w:val="2"/>
          </w:tcPr>
          <w:p w14:paraId="75992674" w14:textId="39C06711" w:rsidR="008A1A83" w:rsidRPr="00270B21" w:rsidRDefault="00270B21" w:rsidP="00140F8B">
            <w:pPr>
              <w:autoSpaceDE w:val="0"/>
              <w:autoSpaceDN w:val="0"/>
              <w:adjustRightInd w:val="0"/>
              <w:spacing w:line="276" w:lineRule="auto"/>
              <w:jc w:val="center"/>
              <w:rPr>
                <w:rFonts w:cs="Times New Roman"/>
                <w:szCs w:val="24"/>
              </w:rPr>
            </w:pPr>
            <w:r w:rsidRPr="00270B21">
              <w:rPr>
                <w:rFonts w:cs="Times New Roman"/>
                <w:szCs w:val="24"/>
              </w:rPr>
              <w:t>Nila</w:t>
            </w:r>
            <w:r>
              <w:rPr>
                <w:rFonts w:cs="Times New Roman"/>
                <w:szCs w:val="24"/>
              </w:rPr>
              <w:t>i T</w:t>
            </w:r>
            <w:r w:rsidRPr="00270B21">
              <w:rPr>
                <w:rFonts w:cs="Times New Roman"/>
                <w:szCs w:val="24"/>
              </w:rPr>
              <w:t>ertinggi</w:t>
            </w:r>
          </w:p>
        </w:tc>
        <w:tc>
          <w:tcPr>
            <w:tcW w:w="5147" w:type="dxa"/>
            <w:gridSpan w:val="5"/>
          </w:tcPr>
          <w:p w14:paraId="7A8F17CE" w14:textId="160247D0" w:rsidR="008A1A83" w:rsidRPr="00270B21" w:rsidRDefault="000A7E8C" w:rsidP="00140F8B">
            <w:pPr>
              <w:autoSpaceDE w:val="0"/>
              <w:autoSpaceDN w:val="0"/>
              <w:adjustRightInd w:val="0"/>
              <w:spacing w:line="276" w:lineRule="auto"/>
              <w:jc w:val="center"/>
              <w:rPr>
                <w:rFonts w:cs="Times New Roman"/>
                <w:szCs w:val="24"/>
              </w:rPr>
            </w:pPr>
            <w:r>
              <w:rPr>
                <w:rFonts w:cs="Times New Roman"/>
                <w:szCs w:val="24"/>
              </w:rPr>
              <w:t>14.62</w:t>
            </w:r>
          </w:p>
        </w:tc>
      </w:tr>
      <w:tr w:rsidR="008A1A83" w14:paraId="48AA3B02" w14:textId="77777777" w:rsidTr="00BC09C6">
        <w:tc>
          <w:tcPr>
            <w:tcW w:w="2405" w:type="dxa"/>
            <w:gridSpan w:val="2"/>
          </w:tcPr>
          <w:p w14:paraId="05EBFDC1" w14:textId="3B148A76" w:rsidR="008A1A83" w:rsidRPr="00270B21" w:rsidRDefault="00270B21" w:rsidP="00140F8B">
            <w:pPr>
              <w:autoSpaceDE w:val="0"/>
              <w:autoSpaceDN w:val="0"/>
              <w:adjustRightInd w:val="0"/>
              <w:spacing w:line="276" w:lineRule="auto"/>
              <w:jc w:val="center"/>
              <w:rPr>
                <w:rFonts w:cs="Times New Roman"/>
                <w:szCs w:val="24"/>
              </w:rPr>
            </w:pPr>
            <w:r w:rsidRPr="00270B21">
              <w:rPr>
                <w:rFonts w:cs="Times New Roman"/>
                <w:szCs w:val="24"/>
              </w:rPr>
              <w:t xml:space="preserve">Nilai </w:t>
            </w:r>
            <w:r>
              <w:rPr>
                <w:rFonts w:cs="Times New Roman"/>
                <w:szCs w:val="24"/>
              </w:rPr>
              <w:t>T</w:t>
            </w:r>
            <w:r w:rsidRPr="00270B21">
              <w:rPr>
                <w:rFonts w:cs="Times New Roman"/>
                <w:szCs w:val="24"/>
              </w:rPr>
              <w:t xml:space="preserve">erendah </w:t>
            </w:r>
          </w:p>
        </w:tc>
        <w:tc>
          <w:tcPr>
            <w:tcW w:w="5147" w:type="dxa"/>
            <w:gridSpan w:val="5"/>
          </w:tcPr>
          <w:p w14:paraId="75549377" w14:textId="49A2C84C" w:rsidR="008A1A83" w:rsidRPr="000A7E8C" w:rsidRDefault="000A7E8C" w:rsidP="000A7E8C">
            <w:pPr>
              <w:autoSpaceDE w:val="0"/>
              <w:autoSpaceDN w:val="0"/>
              <w:adjustRightInd w:val="0"/>
              <w:spacing w:line="276" w:lineRule="auto"/>
              <w:jc w:val="center"/>
              <w:rPr>
                <w:rFonts w:cs="Times New Roman"/>
                <w:szCs w:val="24"/>
              </w:rPr>
            </w:pPr>
            <w:r>
              <w:rPr>
                <w:rFonts w:cs="Times New Roman"/>
                <w:szCs w:val="24"/>
              </w:rPr>
              <w:t>-</w:t>
            </w:r>
            <w:r w:rsidRPr="000A7E8C">
              <w:rPr>
                <w:rFonts w:cs="Times New Roman"/>
                <w:szCs w:val="24"/>
              </w:rPr>
              <w:t>0.5</w:t>
            </w:r>
            <w:r w:rsidR="00270B21" w:rsidRPr="000A7E8C">
              <w:rPr>
                <w:rFonts w:cs="Times New Roman"/>
                <w:szCs w:val="24"/>
              </w:rPr>
              <w:t>0</w:t>
            </w:r>
          </w:p>
        </w:tc>
      </w:tr>
      <w:tr w:rsidR="008A1A83" w14:paraId="2E275E66" w14:textId="77777777" w:rsidTr="00BC09C6">
        <w:tc>
          <w:tcPr>
            <w:tcW w:w="2405" w:type="dxa"/>
            <w:gridSpan w:val="2"/>
          </w:tcPr>
          <w:p w14:paraId="35AD7D74" w14:textId="6B5B5B31" w:rsidR="008A1A83" w:rsidRPr="00270B21" w:rsidRDefault="00270B21" w:rsidP="00140F8B">
            <w:pPr>
              <w:autoSpaceDE w:val="0"/>
              <w:autoSpaceDN w:val="0"/>
              <w:adjustRightInd w:val="0"/>
              <w:spacing w:line="276" w:lineRule="auto"/>
              <w:jc w:val="center"/>
              <w:rPr>
                <w:rFonts w:cs="Times New Roman"/>
                <w:szCs w:val="24"/>
              </w:rPr>
            </w:pPr>
            <w:r w:rsidRPr="00270B21">
              <w:rPr>
                <w:rFonts w:cs="Times New Roman"/>
                <w:szCs w:val="24"/>
              </w:rPr>
              <w:t xml:space="preserve">Nilai </w:t>
            </w:r>
            <w:r>
              <w:rPr>
                <w:rFonts w:cs="Times New Roman"/>
                <w:szCs w:val="24"/>
              </w:rPr>
              <w:t>R</w:t>
            </w:r>
            <w:r w:rsidRPr="00270B21">
              <w:rPr>
                <w:rFonts w:cs="Times New Roman"/>
                <w:szCs w:val="24"/>
              </w:rPr>
              <w:t xml:space="preserve">ata-rata </w:t>
            </w:r>
          </w:p>
        </w:tc>
        <w:tc>
          <w:tcPr>
            <w:tcW w:w="5147" w:type="dxa"/>
            <w:gridSpan w:val="5"/>
          </w:tcPr>
          <w:p w14:paraId="2C21F7AC" w14:textId="7D2E87E2" w:rsidR="008A1A83" w:rsidRPr="00270B21" w:rsidRDefault="000A7E8C" w:rsidP="00140F8B">
            <w:pPr>
              <w:autoSpaceDE w:val="0"/>
              <w:autoSpaceDN w:val="0"/>
              <w:adjustRightInd w:val="0"/>
              <w:spacing w:line="276" w:lineRule="auto"/>
              <w:jc w:val="center"/>
              <w:rPr>
                <w:rFonts w:cs="Times New Roman"/>
                <w:szCs w:val="24"/>
              </w:rPr>
            </w:pPr>
            <w:r w:rsidRPr="00B4202F">
              <w:rPr>
                <w:rFonts w:cs="Times New Roman"/>
                <w:color w:val="010205"/>
                <w:szCs w:val="24"/>
              </w:rPr>
              <w:t>3.0228</w:t>
            </w:r>
          </w:p>
        </w:tc>
      </w:tr>
    </w:tbl>
    <w:p w14:paraId="19F42242" w14:textId="071B4A8C" w:rsidR="00140F8B" w:rsidRDefault="00270B21" w:rsidP="00270B21">
      <w:pPr>
        <w:autoSpaceDE w:val="0"/>
        <w:autoSpaceDN w:val="0"/>
        <w:adjustRightInd w:val="0"/>
        <w:spacing w:after="0" w:line="480" w:lineRule="auto"/>
        <w:ind w:left="709"/>
        <w:rPr>
          <w:rFonts w:cs="Times New Roman"/>
          <w:szCs w:val="24"/>
        </w:rPr>
      </w:pPr>
      <w:r w:rsidRPr="00270B21">
        <w:rPr>
          <w:rFonts w:cs="Times New Roman"/>
          <w:szCs w:val="24"/>
        </w:rPr>
        <w:t>Su</w:t>
      </w:r>
      <w:r>
        <w:rPr>
          <w:rFonts w:cs="Times New Roman"/>
          <w:szCs w:val="24"/>
        </w:rPr>
        <w:t>mber</w:t>
      </w:r>
      <w:r w:rsidRPr="00270B21">
        <w:rPr>
          <w:rFonts w:cs="Times New Roman"/>
          <w:szCs w:val="24"/>
        </w:rPr>
        <w:t>: Data sekunder yang diolah tahun 2024</w:t>
      </w:r>
    </w:p>
    <w:p w14:paraId="6B99E053" w14:textId="50E9EFA8" w:rsidR="009D6F1C" w:rsidRDefault="009D6F1C" w:rsidP="001002FD">
      <w:pPr>
        <w:autoSpaceDE w:val="0"/>
        <w:autoSpaceDN w:val="0"/>
        <w:adjustRightInd w:val="0"/>
        <w:spacing w:after="0" w:line="480" w:lineRule="auto"/>
        <w:ind w:left="709" w:firstLine="425"/>
        <w:rPr>
          <w:rFonts w:cs="Times New Roman"/>
          <w:szCs w:val="24"/>
        </w:rPr>
      </w:pPr>
      <w:r w:rsidRPr="009D6F1C">
        <w:rPr>
          <w:rFonts w:cs="Times New Roman"/>
          <w:szCs w:val="24"/>
        </w:rPr>
        <w:t xml:space="preserve">Berdasarkan tabel diatas, data variabel </w:t>
      </w:r>
      <w:r w:rsidRPr="00070BC7">
        <w:rPr>
          <w:rFonts w:cs="Times New Roman"/>
          <w:i/>
          <w:szCs w:val="24"/>
        </w:rPr>
        <w:t>leverage</w:t>
      </w:r>
      <w:r w:rsidRPr="009D6F1C">
        <w:rPr>
          <w:rFonts w:cs="Times New Roman"/>
          <w:szCs w:val="24"/>
        </w:rPr>
        <w:t xml:space="preserve"> pada tahun 2019-2023 bisa digambarkan dengan grafik sebagai berikut:</w:t>
      </w:r>
    </w:p>
    <w:p w14:paraId="399BD839" w14:textId="77777777" w:rsidR="008C20D2" w:rsidRDefault="008C20D2" w:rsidP="001002FD">
      <w:pPr>
        <w:autoSpaceDE w:val="0"/>
        <w:autoSpaceDN w:val="0"/>
        <w:adjustRightInd w:val="0"/>
        <w:spacing w:after="0" w:line="480" w:lineRule="auto"/>
        <w:ind w:left="709" w:firstLine="425"/>
        <w:rPr>
          <w:rFonts w:cs="Times New Roman"/>
          <w:szCs w:val="24"/>
        </w:rPr>
      </w:pPr>
    </w:p>
    <w:p w14:paraId="15C3EFA0" w14:textId="5FA2BDB7" w:rsidR="009D6F1C" w:rsidRPr="00C512DE" w:rsidRDefault="00C512DE" w:rsidP="00C512DE">
      <w:pPr>
        <w:pStyle w:val="Caption"/>
        <w:ind w:left="993"/>
        <w:jc w:val="center"/>
        <w:rPr>
          <w:rFonts w:cs="Times New Roman"/>
          <w:b w:val="0"/>
          <w:color w:val="auto"/>
          <w:sz w:val="24"/>
          <w:szCs w:val="24"/>
        </w:rPr>
      </w:pPr>
      <w:bookmarkStart w:id="14" w:name="_Toc168371619"/>
      <w:r w:rsidRPr="00C512DE">
        <w:rPr>
          <w:color w:val="auto"/>
          <w:sz w:val="24"/>
          <w:szCs w:val="24"/>
        </w:rPr>
        <w:lastRenderedPageBreak/>
        <w:t xml:space="preserve">Gambar.  </w:t>
      </w:r>
      <w:r w:rsidRPr="00C512DE">
        <w:rPr>
          <w:color w:val="auto"/>
          <w:sz w:val="24"/>
          <w:szCs w:val="24"/>
        </w:rPr>
        <w:fldChar w:fldCharType="begin"/>
      </w:r>
      <w:r w:rsidRPr="00C512DE">
        <w:rPr>
          <w:color w:val="auto"/>
          <w:sz w:val="24"/>
          <w:szCs w:val="24"/>
        </w:rPr>
        <w:instrText xml:space="preserve"> SEQ Gambar._ \* ARABIC </w:instrText>
      </w:r>
      <w:r w:rsidRPr="00C512DE">
        <w:rPr>
          <w:color w:val="auto"/>
          <w:sz w:val="24"/>
          <w:szCs w:val="24"/>
        </w:rPr>
        <w:fldChar w:fldCharType="separate"/>
      </w:r>
      <w:r w:rsidR="0017483D">
        <w:rPr>
          <w:noProof/>
          <w:color w:val="auto"/>
          <w:sz w:val="24"/>
          <w:szCs w:val="24"/>
        </w:rPr>
        <w:t>4</w:t>
      </w:r>
      <w:r w:rsidRPr="00C512DE">
        <w:rPr>
          <w:color w:val="auto"/>
          <w:sz w:val="24"/>
          <w:szCs w:val="24"/>
        </w:rPr>
        <w:fldChar w:fldCharType="end"/>
      </w:r>
      <w:r w:rsidRPr="00C512DE">
        <w:rPr>
          <w:color w:val="auto"/>
          <w:sz w:val="24"/>
          <w:szCs w:val="24"/>
          <w:lang w:val="en-US"/>
        </w:rPr>
        <w:t xml:space="preserve"> Grafik leverage tahun 2019-2023</w:t>
      </w:r>
      <w:bookmarkEnd w:id="14"/>
    </w:p>
    <w:p w14:paraId="68173ACE" w14:textId="4FBA350B" w:rsidR="009D6F1C" w:rsidRDefault="006B6627" w:rsidP="0090450E">
      <w:pPr>
        <w:autoSpaceDE w:val="0"/>
        <w:autoSpaceDN w:val="0"/>
        <w:adjustRightInd w:val="0"/>
        <w:spacing w:after="0" w:line="276" w:lineRule="auto"/>
        <w:ind w:left="142" w:firstLine="425"/>
        <w:jc w:val="center"/>
        <w:rPr>
          <w:rFonts w:cs="Times New Roman"/>
          <w:b/>
          <w:szCs w:val="24"/>
        </w:rPr>
      </w:pPr>
      <w:r>
        <w:rPr>
          <w:noProof/>
        </w:rPr>
        <w:drawing>
          <wp:inline distT="0" distB="0" distL="0" distR="0" wp14:anchorId="3591CB2D" wp14:editId="537DEE09">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C93DAD" w14:textId="53C40582" w:rsidR="0090450E" w:rsidRPr="008E5CBC" w:rsidRDefault="0090450E" w:rsidP="008E5CBC">
      <w:pPr>
        <w:autoSpaceDE w:val="0"/>
        <w:autoSpaceDN w:val="0"/>
        <w:adjustRightInd w:val="0"/>
        <w:spacing w:after="0" w:line="480" w:lineRule="auto"/>
        <w:ind w:left="851"/>
        <w:rPr>
          <w:rFonts w:cs="Times New Roman"/>
          <w:szCs w:val="24"/>
        </w:rPr>
      </w:pPr>
      <w:r w:rsidRPr="00270B21">
        <w:rPr>
          <w:rFonts w:cs="Times New Roman"/>
          <w:szCs w:val="24"/>
        </w:rPr>
        <w:t>Su</w:t>
      </w:r>
      <w:r>
        <w:rPr>
          <w:rFonts w:cs="Times New Roman"/>
          <w:szCs w:val="24"/>
        </w:rPr>
        <w:t>mber</w:t>
      </w:r>
      <w:r w:rsidRPr="00270B21">
        <w:rPr>
          <w:rFonts w:cs="Times New Roman"/>
          <w:szCs w:val="24"/>
        </w:rPr>
        <w:t>: Data sekunder yang diolah tahun 2024</w:t>
      </w:r>
    </w:p>
    <w:p w14:paraId="5CB021B6" w14:textId="5FD214B3" w:rsidR="009D6F1C" w:rsidRDefault="001002FD" w:rsidP="002E334F">
      <w:pPr>
        <w:autoSpaceDE w:val="0"/>
        <w:autoSpaceDN w:val="0"/>
        <w:adjustRightInd w:val="0"/>
        <w:spacing w:after="0" w:line="480" w:lineRule="auto"/>
        <w:ind w:left="426" w:firstLine="425"/>
        <w:rPr>
          <w:rFonts w:cs="Times New Roman"/>
          <w:szCs w:val="24"/>
        </w:rPr>
      </w:pPr>
      <w:r w:rsidRPr="001002FD">
        <w:rPr>
          <w:rFonts w:cs="Times New Roman"/>
          <w:szCs w:val="24"/>
        </w:rPr>
        <w:t xml:space="preserve">Berdasarkan grafik diatas, diketahui bahwa </w:t>
      </w:r>
      <w:r w:rsidRPr="001002FD">
        <w:rPr>
          <w:rFonts w:cs="Times New Roman"/>
          <w:i/>
          <w:szCs w:val="24"/>
        </w:rPr>
        <w:t>leverage</w:t>
      </w:r>
      <w:r w:rsidRPr="001002FD">
        <w:rPr>
          <w:rFonts w:cs="Times New Roman"/>
          <w:szCs w:val="24"/>
        </w:rPr>
        <w:t xml:space="preserve"> tertinggi pada tahun 2019 terdapat pada PT Bank Tabungan Negara (BBTN) sebesar 11,30</w:t>
      </w:r>
      <w:r w:rsidR="00E606BA">
        <w:rPr>
          <w:rFonts w:cs="Times New Roman"/>
          <w:szCs w:val="24"/>
        </w:rPr>
        <w:t xml:space="preserve"> </w:t>
      </w:r>
      <w:r w:rsidRPr="001002FD">
        <w:rPr>
          <w:rFonts w:cs="Times New Roman"/>
          <w:szCs w:val="24"/>
        </w:rPr>
        <w:t xml:space="preserve">% sedangkan </w:t>
      </w:r>
      <w:r w:rsidRPr="001002FD">
        <w:rPr>
          <w:rFonts w:cs="Times New Roman"/>
          <w:i/>
          <w:szCs w:val="24"/>
        </w:rPr>
        <w:t>leverage</w:t>
      </w:r>
      <w:r w:rsidRPr="001002FD">
        <w:rPr>
          <w:rFonts w:cs="Times New Roman"/>
          <w:szCs w:val="24"/>
        </w:rPr>
        <w:t xml:space="preserve"> terendah terdapat pada PT </w:t>
      </w:r>
      <w:r w:rsidR="00E606BA">
        <w:rPr>
          <w:rFonts w:cs="Times New Roman"/>
          <w:szCs w:val="24"/>
        </w:rPr>
        <w:t>United Tractors (UNTR) sebesar 0,83</w:t>
      </w:r>
      <w:r w:rsidRPr="001002FD">
        <w:rPr>
          <w:rFonts w:cs="Times New Roman"/>
          <w:szCs w:val="24"/>
        </w:rPr>
        <w:t xml:space="preserve">%. Pada tahun 2020 </w:t>
      </w:r>
      <w:r w:rsidRPr="001002FD">
        <w:rPr>
          <w:rFonts w:cs="Times New Roman"/>
          <w:i/>
          <w:szCs w:val="24"/>
        </w:rPr>
        <w:t xml:space="preserve">leverage </w:t>
      </w:r>
      <w:r w:rsidRPr="001002FD">
        <w:rPr>
          <w:rFonts w:cs="Times New Roman"/>
          <w:szCs w:val="24"/>
        </w:rPr>
        <w:t xml:space="preserve">tertinggi terdapat pada PT Bank Tabungan Negara (BBTN) sebesar 16,08% </w:t>
      </w:r>
      <w:r w:rsidR="00EF7B78">
        <w:rPr>
          <w:rFonts w:cs="Times New Roman"/>
          <w:szCs w:val="24"/>
        </w:rPr>
        <w:t xml:space="preserve"> </w:t>
      </w:r>
      <w:r w:rsidRPr="001002FD">
        <w:rPr>
          <w:rFonts w:cs="Times New Roman"/>
          <w:szCs w:val="24"/>
        </w:rPr>
        <w:t xml:space="preserve">sedangkan </w:t>
      </w:r>
      <w:r w:rsidRPr="001002FD">
        <w:rPr>
          <w:rFonts w:cs="Times New Roman"/>
          <w:i/>
          <w:szCs w:val="24"/>
        </w:rPr>
        <w:t>leverage</w:t>
      </w:r>
      <w:r w:rsidRPr="001002FD">
        <w:rPr>
          <w:rFonts w:cs="Times New Roman"/>
          <w:szCs w:val="24"/>
        </w:rPr>
        <w:t xml:space="preserve"> terendah terdapat pada </w:t>
      </w:r>
      <w:r w:rsidR="00E606BA" w:rsidRPr="001002FD">
        <w:rPr>
          <w:rFonts w:cs="Times New Roman"/>
          <w:szCs w:val="24"/>
        </w:rPr>
        <w:t xml:space="preserve">PT </w:t>
      </w:r>
      <w:r w:rsidR="00E606BA">
        <w:rPr>
          <w:rFonts w:cs="Times New Roman"/>
          <w:szCs w:val="24"/>
        </w:rPr>
        <w:t>United Tractors (UNTR</w:t>
      </w:r>
      <w:r w:rsidR="00E606BA" w:rsidRPr="001002FD">
        <w:rPr>
          <w:rFonts w:cs="Times New Roman"/>
          <w:szCs w:val="24"/>
        </w:rPr>
        <w:t xml:space="preserve">) </w:t>
      </w:r>
      <w:r w:rsidR="00E606BA">
        <w:rPr>
          <w:rFonts w:cs="Times New Roman"/>
          <w:szCs w:val="24"/>
        </w:rPr>
        <w:t xml:space="preserve"> sebesar 0,53</w:t>
      </w:r>
      <w:r w:rsidRPr="001002FD">
        <w:rPr>
          <w:rFonts w:cs="Times New Roman"/>
          <w:szCs w:val="24"/>
        </w:rPr>
        <w:t xml:space="preserve">. Pada tahun 2021 </w:t>
      </w:r>
      <w:r w:rsidRPr="001002FD">
        <w:rPr>
          <w:rFonts w:cs="Times New Roman"/>
          <w:i/>
          <w:szCs w:val="24"/>
        </w:rPr>
        <w:t xml:space="preserve">leverage </w:t>
      </w:r>
      <w:r w:rsidRPr="001002FD">
        <w:rPr>
          <w:rFonts w:cs="Times New Roman"/>
          <w:szCs w:val="24"/>
        </w:rPr>
        <w:t xml:space="preserve">tertinggi terdapat pada </w:t>
      </w:r>
      <w:r w:rsidR="00E606BA" w:rsidRPr="001002FD">
        <w:rPr>
          <w:rFonts w:cs="Times New Roman"/>
          <w:szCs w:val="24"/>
        </w:rPr>
        <w:t>PT Bank Tabungan Negara</w:t>
      </w:r>
      <w:r w:rsidR="00E606BA">
        <w:rPr>
          <w:rFonts w:cs="Times New Roman"/>
          <w:szCs w:val="24"/>
        </w:rPr>
        <w:t xml:space="preserve"> (BBTN) sebesar 15,31</w:t>
      </w:r>
      <w:r w:rsidRPr="001002FD">
        <w:rPr>
          <w:rFonts w:cs="Times New Roman"/>
          <w:szCs w:val="24"/>
        </w:rPr>
        <w:t xml:space="preserve">% sedangkan </w:t>
      </w:r>
      <w:r w:rsidRPr="001002FD">
        <w:rPr>
          <w:rFonts w:cs="Times New Roman"/>
          <w:i/>
          <w:szCs w:val="24"/>
        </w:rPr>
        <w:t xml:space="preserve">leverage </w:t>
      </w:r>
      <w:r w:rsidRPr="001002FD">
        <w:rPr>
          <w:rFonts w:cs="Times New Roman"/>
          <w:szCs w:val="24"/>
        </w:rPr>
        <w:t>ter</w:t>
      </w:r>
      <w:r>
        <w:rPr>
          <w:rFonts w:cs="Times New Roman"/>
          <w:szCs w:val="24"/>
        </w:rPr>
        <w:t xml:space="preserve">endah terdapat pada </w:t>
      </w:r>
      <w:r w:rsidR="00E606BA" w:rsidRPr="001002FD">
        <w:rPr>
          <w:rFonts w:cs="Times New Roman"/>
          <w:szCs w:val="24"/>
        </w:rPr>
        <w:t xml:space="preserve">PT </w:t>
      </w:r>
      <w:r w:rsidR="00E606BA">
        <w:rPr>
          <w:rFonts w:cs="Times New Roman"/>
          <w:szCs w:val="24"/>
        </w:rPr>
        <w:t>United Tractors (UNTR</w:t>
      </w:r>
      <w:r w:rsidR="00E606BA" w:rsidRPr="001002FD">
        <w:rPr>
          <w:rFonts w:cs="Times New Roman"/>
          <w:szCs w:val="24"/>
        </w:rPr>
        <w:t xml:space="preserve">) </w:t>
      </w:r>
      <w:r w:rsidR="00E606BA">
        <w:rPr>
          <w:rFonts w:cs="Times New Roman"/>
          <w:szCs w:val="24"/>
        </w:rPr>
        <w:t>sebesar 0,57</w:t>
      </w:r>
      <w:r w:rsidR="00EF7B78">
        <w:rPr>
          <w:rFonts w:cs="Times New Roman"/>
          <w:szCs w:val="24"/>
        </w:rPr>
        <w:t>%</w:t>
      </w:r>
      <w:r w:rsidRPr="001002FD">
        <w:rPr>
          <w:rFonts w:cs="Times New Roman"/>
          <w:szCs w:val="24"/>
        </w:rPr>
        <w:t xml:space="preserve">. Pada tahun 2022 </w:t>
      </w:r>
      <w:r w:rsidRPr="001002FD">
        <w:rPr>
          <w:rFonts w:cs="Times New Roman"/>
          <w:i/>
          <w:szCs w:val="24"/>
        </w:rPr>
        <w:t xml:space="preserve">leverage </w:t>
      </w:r>
      <w:r w:rsidRPr="001002FD">
        <w:rPr>
          <w:rFonts w:cs="Times New Roman"/>
          <w:szCs w:val="24"/>
        </w:rPr>
        <w:t>t</w:t>
      </w:r>
      <w:r>
        <w:rPr>
          <w:rFonts w:cs="Times New Roman"/>
          <w:szCs w:val="24"/>
        </w:rPr>
        <w:t>ertinggi terdapat pada PT Bank Tabungan N</w:t>
      </w:r>
      <w:r w:rsidRPr="001002FD">
        <w:rPr>
          <w:rFonts w:cs="Times New Roman"/>
          <w:szCs w:val="24"/>
        </w:rPr>
        <w:t xml:space="preserve">egara (BBTN) sebesar 13,56% sedangkan </w:t>
      </w:r>
      <w:r w:rsidRPr="001002FD">
        <w:rPr>
          <w:rFonts w:cs="Times New Roman"/>
          <w:i/>
          <w:szCs w:val="24"/>
        </w:rPr>
        <w:t>leverage</w:t>
      </w:r>
      <w:r w:rsidRPr="001002FD">
        <w:rPr>
          <w:rFonts w:cs="Times New Roman"/>
          <w:szCs w:val="24"/>
        </w:rPr>
        <w:t xml:space="preserve"> terendah terdapat pada </w:t>
      </w:r>
      <w:r w:rsidR="00E606BA" w:rsidRPr="001002FD">
        <w:rPr>
          <w:rFonts w:cs="Times New Roman"/>
          <w:szCs w:val="24"/>
        </w:rPr>
        <w:t xml:space="preserve">PT </w:t>
      </w:r>
      <w:r w:rsidR="00E606BA">
        <w:rPr>
          <w:rFonts w:cs="Times New Roman"/>
          <w:szCs w:val="24"/>
        </w:rPr>
        <w:t>United Tractors (UNTR</w:t>
      </w:r>
      <w:r w:rsidR="00E606BA" w:rsidRPr="001002FD">
        <w:rPr>
          <w:rFonts w:cs="Times New Roman"/>
          <w:szCs w:val="24"/>
        </w:rPr>
        <w:t xml:space="preserve">) </w:t>
      </w:r>
      <w:r w:rsidRPr="001002FD">
        <w:rPr>
          <w:rFonts w:cs="Times New Roman"/>
          <w:szCs w:val="24"/>
        </w:rPr>
        <w:t>sebesar</w:t>
      </w:r>
      <w:r w:rsidR="00E606BA">
        <w:rPr>
          <w:rFonts w:cs="Times New Roman"/>
          <w:szCs w:val="24"/>
        </w:rPr>
        <w:t xml:space="preserve"> 0,57</w:t>
      </w:r>
      <w:r w:rsidRPr="001002FD">
        <w:rPr>
          <w:rFonts w:cs="Times New Roman"/>
          <w:szCs w:val="24"/>
        </w:rPr>
        <w:t xml:space="preserve">%. Dan pada tahun 2023 leverage tertinggi terdapat </w:t>
      </w:r>
      <w:r>
        <w:rPr>
          <w:rFonts w:cs="Times New Roman"/>
          <w:szCs w:val="24"/>
        </w:rPr>
        <w:t xml:space="preserve">pada PT Bank </w:t>
      </w:r>
      <w:r>
        <w:rPr>
          <w:rFonts w:cs="Times New Roman"/>
          <w:szCs w:val="24"/>
        </w:rPr>
        <w:lastRenderedPageBreak/>
        <w:t>Tabungan N</w:t>
      </w:r>
      <w:r w:rsidRPr="001002FD">
        <w:rPr>
          <w:rFonts w:cs="Times New Roman"/>
          <w:szCs w:val="24"/>
        </w:rPr>
        <w:t xml:space="preserve">egara (BBTN) sebesar 12,51% sedangkan </w:t>
      </w:r>
      <w:r w:rsidRPr="001002FD">
        <w:rPr>
          <w:rFonts w:cs="Times New Roman"/>
          <w:i/>
          <w:szCs w:val="24"/>
        </w:rPr>
        <w:t>leverage</w:t>
      </w:r>
      <w:r w:rsidRPr="001002FD">
        <w:rPr>
          <w:rFonts w:cs="Times New Roman"/>
          <w:szCs w:val="24"/>
        </w:rPr>
        <w:t xml:space="preserve"> terendah terdapat pada </w:t>
      </w:r>
      <w:r w:rsidR="00E606BA" w:rsidRPr="001002FD">
        <w:rPr>
          <w:rFonts w:cs="Times New Roman"/>
          <w:szCs w:val="24"/>
        </w:rPr>
        <w:t xml:space="preserve">PT </w:t>
      </w:r>
      <w:r w:rsidR="00E606BA">
        <w:rPr>
          <w:rFonts w:cs="Times New Roman"/>
          <w:szCs w:val="24"/>
        </w:rPr>
        <w:t>United Tractors (UNTR</w:t>
      </w:r>
      <w:r w:rsidR="00E606BA" w:rsidRPr="001002FD">
        <w:rPr>
          <w:rFonts w:cs="Times New Roman"/>
          <w:szCs w:val="24"/>
        </w:rPr>
        <w:t xml:space="preserve">) </w:t>
      </w:r>
      <w:r w:rsidR="00E606BA">
        <w:rPr>
          <w:rFonts w:cs="Times New Roman"/>
          <w:szCs w:val="24"/>
        </w:rPr>
        <w:t>sebesar 0,83</w:t>
      </w:r>
      <w:r w:rsidRPr="001002FD">
        <w:rPr>
          <w:rFonts w:cs="Times New Roman"/>
          <w:szCs w:val="24"/>
        </w:rPr>
        <w:t>%.</w:t>
      </w:r>
      <w:r w:rsidR="00993795" w:rsidRPr="001002FD">
        <w:rPr>
          <w:rFonts w:cs="Times New Roman"/>
          <w:szCs w:val="24"/>
        </w:rPr>
        <w:t xml:space="preserve"> </w:t>
      </w:r>
      <w:r w:rsidR="009956CF" w:rsidRPr="001002FD">
        <w:rPr>
          <w:rFonts w:cs="Times New Roman"/>
          <w:szCs w:val="24"/>
        </w:rPr>
        <w:t xml:space="preserve"> </w:t>
      </w:r>
    </w:p>
    <w:p w14:paraId="3B1511AE" w14:textId="43A887CA" w:rsidR="001002FD" w:rsidRDefault="001002FD" w:rsidP="001002FD">
      <w:pPr>
        <w:pStyle w:val="ListParagraph"/>
        <w:numPr>
          <w:ilvl w:val="1"/>
          <w:numId w:val="34"/>
        </w:numPr>
        <w:autoSpaceDE w:val="0"/>
        <w:autoSpaceDN w:val="0"/>
        <w:adjustRightInd w:val="0"/>
        <w:spacing w:after="0" w:line="480" w:lineRule="auto"/>
        <w:ind w:left="851"/>
        <w:rPr>
          <w:rFonts w:cs="Times New Roman"/>
          <w:szCs w:val="24"/>
        </w:rPr>
      </w:pPr>
      <w:r>
        <w:rPr>
          <w:rFonts w:cs="Times New Roman"/>
          <w:szCs w:val="24"/>
        </w:rPr>
        <w:t xml:space="preserve">Likuiditas </w:t>
      </w:r>
    </w:p>
    <w:p w14:paraId="32713E1C" w14:textId="5B4362EA" w:rsidR="001002FD" w:rsidRDefault="001002FD" w:rsidP="001002FD">
      <w:pPr>
        <w:pStyle w:val="ListParagraph"/>
        <w:spacing w:line="480" w:lineRule="auto"/>
        <w:ind w:firstLine="720"/>
      </w:pPr>
      <w:r>
        <w:t xml:space="preserve">Hasil analisis statistik deskriptif </w:t>
      </w:r>
      <w:r w:rsidR="00306D32">
        <w:t>untuk likuiditas</w:t>
      </w:r>
      <w:r>
        <w:t xml:space="preserve"> disajikam dalam bentuk tabel berikut:</w:t>
      </w:r>
    </w:p>
    <w:p w14:paraId="7AE66721" w14:textId="0FCF9616" w:rsidR="00E606BA" w:rsidRPr="00E606BA" w:rsidRDefault="00254A52" w:rsidP="00274326">
      <w:pPr>
        <w:pStyle w:val="Caption"/>
        <w:jc w:val="center"/>
        <w:rPr>
          <w:color w:val="auto"/>
          <w:sz w:val="24"/>
          <w:szCs w:val="24"/>
          <w:lang w:val="en-US"/>
        </w:rPr>
      </w:pPr>
      <w:bookmarkStart w:id="15" w:name="_Toc168999372"/>
      <w:r w:rsidRPr="00254A52">
        <w:rPr>
          <w:color w:val="auto"/>
          <w:sz w:val="24"/>
          <w:szCs w:val="24"/>
        </w:rPr>
        <w:t xml:space="preserve">Tabel.  </w:t>
      </w:r>
      <w:r w:rsidRPr="00254A52">
        <w:rPr>
          <w:color w:val="auto"/>
          <w:sz w:val="24"/>
          <w:szCs w:val="24"/>
        </w:rPr>
        <w:fldChar w:fldCharType="begin"/>
      </w:r>
      <w:r w:rsidRPr="00254A52">
        <w:rPr>
          <w:color w:val="auto"/>
          <w:sz w:val="24"/>
          <w:szCs w:val="24"/>
        </w:rPr>
        <w:instrText xml:space="preserve"> SEQ Tabel._ \* ARABIC </w:instrText>
      </w:r>
      <w:r w:rsidRPr="00254A52">
        <w:rPr>
          <w:color w:val="auto"/>
          <w:sz w:val="24"/>
          <w:szCs w:val="24"/>
        </w:rPr>
        <w:fldChar w:fldCharType="separate"/>
      </w:r>
      <w:r w:rsidR="0017483D">
        <w:rPr>
          <w:noProof/>
          <w:color w:val="auto"/>
          <w:sz w:val="24"/>
          <w:szCs w:val="24"/>
        </w:rPr>
        <w:t>8</w:t>
      </w:r>
      <w:r w:rsidRPr="00254A52">
        <w:rPr>
          <w:color w:val="auto"/>
          <w:sz w:val="24"/>
          <w:szCs w:val="24"/>
        </w:rPr>
        <w:fldChar w:fldCharType="end"/>
      </w:r>
      <w:r w:rsidRPr="00254A52">
        <w:rPr>
          <w:color w:val="auto"/>
          <w:sz w:val="24"/>
          <w:szCs w:val="24"/>
          <w:lang w:val="en-US"/>
        </w:rPr>
        <w:t xml:space="preserve"> Hasil uji statistik deskriptif Likuiditas</w:t>
      </w:r>
      <w:bookmarkEnd w:id="15"/>
    </w:p>
    <w:tbl>
      <w:tblPr>
        <w:tblW w:w="7455" w:type="dxa"/>
        <w:tblInd w:w="8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6"/>
        <w:gridCol w:w="1107"/>
        <w:gridCol w:w="1092"/>
        <w:gridCol w:w="1445"/>
      </w:tblGrid>
      <w:tr w:rsidR="00E606BA" w:rsidRPr="00E606BA" w14:paraId="08F05B29" w14:textId="77777777" w:rsidTr="00E606BA">
        <w:trPr>
          <w:cantSplit/>
        </w:trPr>
        <w:tc>
          <w:tcPr>
            <w:tcW w:w="7455" w:type="dxa"/>
            <w:gridSpan w:val="6"/>
            <w:tcBorders>
              <w:top w:val="nil"/>
              <w:left w:val="nil"/>
              <w:bottom w:val="nil"/>
              <w:right w:val="nil"/>
            </w:tcBorders>
            <w:shd w:val="clear" w:color="auto" w:fill="FFFFFF"/>
            <w:vAlign w:val="center"/>
          </w:tcPr>
          <w:p w14:paraId="740F45A9" w14:textId="77777777" w:rsidR="00E606BA" w:rsidRPr="00E606BA" w:rsidRDefault="00E606BA" w:rsidP="00E606BA">
            <w:pPr>
              <w:autoSpaceDE w:val="0"/>
              <w:autoSpaceDN w:val="0"/>
              <w:adjustRightInd w:val="0"/>
              <w:spacing w:after="0" w:line="320" w:lineRule="atLeast"/>
              <w:ind w:left="60" w:right="60"/>
              <w:jc w:val="center"/>
              <w:rPr>
                <w:rFonts w:cs="Times New Roman"/>
                <w:color w:val="010205"/>
                <w:sz w:val="22"/>
              </w:rPr>
            </w:pPr>
            <w:r w:rsidRPr="00E606BA">
              <w:rPr>
                <w:rFonts w:cs="Times New Roman"/>
                <w:b/>
                <w:bCs/>
                <w:color w:val="010205"/>
                <w:sz w:val="22"/>
              </w:rPr>
              <w:t>Descriptive Statistics</w:t>
            </w:r>
          </w:p>
        </w:tc>
      </w:tr>
      <w:tr w:rsidR="00E606BA" w:rsidRPr="00E606BA" w14:paraId="1B9148CD" w14:textId="77777777" w:rsidTr="00E606BA">
        <w:trPr>
          <w:cantSplit/>
        </w:trPr>
        <w:tc>
          <w:tcPr>
            <w:tcW w:w="1706" w:type="dxa"/>
            <w:tcBorders>
              <w:top w:val="nil"/>
              <w:left w:val="nil"/>
              <w:bottom w:val="single" w:sz="8" w:space="0" w:color="152935"/>
              <w:right w:val="nil"/>
            </w:tcBorders>
            <w:shd w:val="clear" w:color="auto" w:fill="FFFFFF"/>
            <w:vAlign w:val="bottom"/>
          </w:tcPr>
          <w:p w14:paraId="07E5E3A1" w14:textId="77777777" w:rsidR="00E606BA" w:rsidRPr="00E606BA" w:rsidRDefault="00E606BA" w:rsidP="00E606BA">
            <w:pPr>
              <w:autoSpaceDE w:val="0"/>
              <w:autoSpaceDN w:val="0"/>
              <w:adjustRightInd w:val="0"/>
              <w:spacing w:after="0" w:line="240" w:lineRule="auto"/>
              <w:jc w:val="left"/>
              <w:rPr>
                <w:rFonts w:cs="Times New Roman"/>
                <w:sz w:val="22"/>
              </w:rPr>
            </w:pPr>
          </w:p>
        </w:tc>
        <w:tc>
          <w:tcPr>
            <w:tcW w:w="1029" w:type="dxa"/>
            <w:tcBorders>
              <w:top w:val="nil"/>
              <w:left w:val="nil"/>
              <w:bottom w:val="single" w:sz="8" w:space="0" w:color="152935"/>
              <w:right w:val="single" w:sz="8" w:space="0" w:color="E0E0E0"/>
            </w:tcBorders>
            <w:shd w:val="clear" w:color="auto" w:fill="FFFFFF"/>
            <w:vAlign w:val="bottom"/>
          </w:tcPr>
          <w:p w14:paraId="195A3FA7" w14:textId="77777777" w:rsidR="00E606BA" w:rsidRPr="00E606BA" w:rsidRDefault="00E606BA" w:rsidP="00E606BA">
            <w:pPr>
              <w:autoSpaceDE w:val="0"/>
              <w:autoSpaceDN w:val="0"/>
              <w:adjustRightInd w:val="0"/>
              <w:spacing w:after="0" w:line="320" w:lineRule="atLeast"/>
              <w:ind w:left="60" w:right="60"/>
              <w:jc w:val="center"/>
              <w:rPr>
                <w:rFonts w:cs="Times New Roman"/>
                <w:color w:val="264A60"/>
                <w:sz w:val="22"/>
              </w:rPr>
            </w:pPr>
            <w:r w:rsidRPr="00E606BA">
              <w:rPr>
                <w:rFonts w:cs="Times New Roman"/>
                <w:color w:val="264A60"/>
                <w:sz w:val="22"/>
              </w:rPr>
              <w:t>N</w:t>
            </w:r>
          </w:p>
        </w:tc>
        <w:tc>
          <w:tcPr>
            <w:tcW w:w="1076" w:type="dxa"/>
            <w:tcBorders>
              <w:top w:val="nil"/>
              <w:left w:val="single" w:sz="8" w:space="0" w:color="E0E0E0"/>
              <w:bottom w:val="single" w:sz="8" w:space="0" w:color="152935"/>
              <w:right w:val="single" w:sz="8" w:space="0" w:color="E0E0E0"/>
            </w:tcBorders>
            <w:shd w:val="clear" w:color="auto" w:fill="FFFFFF"/>
            <w:vAlign w:val="bottom"/>
          </w:tcPr>
          <w:p w14:paraId="3648AAEE" w14:textId="77777777" w:rsidR="00E606BA" w:rsidRPr="00E606BA" w:rsidRDefault="00E606BA" w:rsidP="00E606BA">
            <w:pPr>
              <w:autoSpaceDE w:val="0"/>
              <w:autoSpaceDN w:val="0"/>
              <w:adjustRightInd w:val="0"/>
              <w:spacing w:after="0" w:line="320" w:lineRule="atLeast"/>
              <w:ind w:left="60" w:right="60"/>
              <w:jc w:val="center"/>
              <w:rPr>
                <w:rFonts w:cs="Times New Roman"/>
                <w:color w:val="264A60"/>
                <w:sz w:val="22"/>
              </w:rPr>
            </w:pPr>
            <w:r w:rsidRPr="00E606BA">
              <w:rPr>
                <w:rFonts w:cs="Times New Roman"/>
                <w:color w:val="264A60"/>
                <w:sz w:val="22"/>
              </w:rPr>
              <w:t>Minimum</w:t>
            </w:r>
          </w:p>
        </w:tc>
        <w:tc>
          <w:tcPr>
            <w:tcW w:w="1107" w:type="dxa"/>
            <w:tcBorders>
              <w:top w:val="nil"/>
              <w:left w:val="single" w:sz="8" w:space="0" w:color="E0E0E0"/>
              <w:bottom w:val="single" w:sz="8" w:space="0" w:color="152935"/>
              <w:right w:val="single" w:sz="8" w:space="0" w:color="E0E0E0"/>
            </w:tcBorders>
            <w:shd w:val="clear" w:color="auto" w:fill="FFFFFF"/>
            <w:vAlign w:val="bottom"/>
          </w:tcPr>
          <w:p w14:paraId="1CD24E52" w14:textId="77777777" w:rsidR="00E606BA" w:rsidRPr="00E606BA" w:rsidRDefault="00E606BA" w:rsidP="00E606BA">
            <w:pPr>
              <w:autoSpaceDE w:val="0"/>
              <w:autoSpaceDN w:val="0"/>
              <w:adjustRightInd w:val="0"/>
              <w:spacing w:after="0" w:line="320" w:lineRule="atLeast"/>
              <w:ind w:left="60" w:right="60"/>
              <w:jc w:val="center"/>
              <w:rPr>
                <w:rFonts w:cs="Times New Roman"/>
                <w:color w:val="264A60"/>
                <w:sz w:val="22"/>
              </w:rPr>
            </w:pPr>
            <w:r w:rsidRPr="00E606BA">
              <w:rPr>
                <w:rFonts w:cs="Times New Roman"/>
                <w:color w:val="264A60"/>
                <w:sz w:val="22"/>
              </w:rPr>
              <w:t>Maximum</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4B135BCE" w14:textId="77777777" w:rsidR="00E606BA" w:rsidRPr="00E606BA" w:rsidRDefault="00E606BA" w:rsidP="00E606BA">
            <w:pPr>
              <w:autoSpaceDE w:val="0"/>
              <w:autoSpaceDN w:val="0"/>
              <w:adjustRightInd w:val="0"/>
              <w:spacing w:after="0" w:line="320" w:lineRule="atLeast"/>
              <w:ind w:left="60" w:right="60"/>
              <w:jc w:val="center"/>
              <w:rPr>
                <w:rFonts w:cs="Times New Roman"/>
                <w:color w:val="264A60"/>
                <w:sz w:val="22"/>
              </w:rPr>
            </w:pPr>
            <w:r w:rsidRPr="00E606BA">
              <w:rPr>
                <w:rFonts w:cs="Times New Roman"/>
                <w:color w:val="264A60"/>
                <w:sz w:val="22"/>
              </w:rPr>
              <w:t>Mean</w:t>
            </w:r>
          </w:p>
        </w:tc>
        <w:tc>
          <w:tcPr>
            <w:tcW w:w="1445" w:type="dxa"/>
            <w:tcBorders>
              <w:top w:val="nil"/>
              <w:left w:val="single" w:sz="8" w:space="0" w:color="E0E0E0"/>
              <w:bottom w:val="single" w:sz="8" w:space="0" w:color="152935"/>
              <w:right w:val="nil"/>
            </w:tcBorders>
            <w:shd w:val="clear" w:color="auto" w:fill="FFFFFF"/>
            <w:vAlign w:val="bottom"/>
          </w:tcPr>
          <w:p w14:paraId="40B5DAA2" w14:textId="77777777" w:rsidR="00E606BA" w:rsidRPr="00E606BA" w:rsidRDefault="00E606BA" w:rsidP="00E606BA">
            <w:pPr>
              <w:autoSpaceDE w:val="0"/>
              <w:autoSpaceDN w:val="0"/>
              <w:adjustRightInd w:val="0"/>
              <w:spacing w:after="0" w:line="320" w:lineRule="atLeast"/>
              <w:ind w:left="60" w:right="60"/>
              <w:jc w:val="center"/>
              <w:rPr>
                <w:rFonts w:cs="Times New Roman"/>
                <w:color w:val="264A60"/>
                <w:sz w:val="22"/>
              </w:rPr>
            </w:pPr>
            <w:r w:rsidRPr="00E606BA">
              <w:rPr>
                <w:rFonts w:cs="Times New Roman"/>
                <w:color w:val="264A60"/>
                <w:sz w:val="22"/>
              </w:rPr>
              <w:t>Std. Deviation</w:t>
            </w:r>
          </w:p>
        </w:tc>
      </w:tr>
      <w:tr w:rsidR="00E606BA" w:rsidRPr="00E606BA" w14:paraId="72D12AE4" w14:textId="77777777" w:rsidTr="00E606BA">
        <w:trPr>
          <w:cantSplit/>
        </w:trPr>
        <w:tc>
          <w:tcPr>
            <w:tcW w:w="1706" w:type="dxa"/>
            <w:tcBorders>
              <w:top w:val="single" w:sz="8" w:space="0" w:color="152935"/>
              <w:left w:val="nil"/>
              <w:bottom w:val="single" w:sz="8" w:space="0" w:color="AEAEAE"/>
              <w:right w:val="nil"/>
            </w:tcBorders>
            <w:shd w:val="clear" w:color="auto" w:fill="E0E0E0"/>
          </w:tcPr>
          <w:p w14:paraId="2FA2B30C" w14:textId="77777777" w:rsidR="00E606BA" w:rsidRPr="00E606BA" w:rsidRDefault="00E606BA" w:rsidP="00E606BA">
            <w:pPr>
              <w:autoSpaceDE w:val="0"/>
              <w:autoSpaceDN w:val="0"/>
              <w:adjustRightInd w:val="0"/>
              <w:spacing w:after="0" w:line="320" w:lineRule="atLeast"/>
              <w:ind w:left="60" w:right="60"/>
              <w:jc w:val="left"/>
              <w:rPr>
                <w:rFonts w:cs="Times New Roman"/>
                <w:color w:val="264A60"/>
                <w:sz w:val="22"/>
              </w:rPr>
            </w:pPr>
            <w:r w:rsidRPr="00E606BA">
              <w:rPr>
                <w:rFonts w:cs="Times New Roman"/>
                <w:color w:val="264A60"/>
                <w:sz w:val="22"/>
              </w:rPr>
              <w:t>Likuiditas</w:t>
            </w:r>
          </w:p>
        </w:tc>
        <w:tc>
          <w:tcPr>
            <w:tcW w:w="1029" w:type="dxa"/>
            <w:tcBorders>
              <w:top w:val="single" w:sz="8" w:space="0" w:color="152935"/>
              <w:left w:val="nil"/>
              <w:bottom w:val="single" w:sz="8" w:space="0" w:color="AEAEAE"/>
              <w:right w:val="single" w:sz="8" w:space="0" w:color="E0E0E0"/>
            </w:tcBorders>
            <w:shd w:val="clear" w:color="auto" w:fill="FFFFFF"/>
          </w:tcPr>
          <w:p w14:paraId="0FBB8D48" w14:textId="77777777" w:rsidR="00E606BA" w:rsidRPr="00E606BA" w:rsidRDefault="00E606BA" w:rsidP="00E606BA">
            <w:pPr>
              <w:autoSpaceDE w:val="0"/>
              <w:autoSpaceDN w:val="0"/>
              <w:adjustRightInd w:val="0"/>
              <w:spacing w:after="0" w:line="320" w:lineRule="atLeast"/>
              <w:ind w:left="60" w:right="60"/>
              <w:jc w:val="right"/>
              <w:rPr>
                <w:rFonts w:cs="Times New Roman"/>
                <w:color w:val="010205"/>
                <w:sz w:val="22"/>
              </w:rPr>
            </w:pPr>
            <w:r w:rsidRPr="00E606BA">
              <w:rPr>
                <w:rFonts w:cs="Times New Roman"/>
                <w:color w:val="010205"/>
                <w:sz w:val="22"/>
              </w:rPr>
              <w:t>60</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14:paraId="2927C64B" w14:textId="77777777" w:rsidR="00E606BA" w:rsidRPr="00E606BA" w:rsidRDefault="00E606BA" w:rsidP="00E606BA">
            <w:pPr>
              <w:autoSpaceDE w:val="0"/>
              <w:autoSpaceDN w:val="0"/>
              <w:adjustRightInd w:val="0"/>
              <w:spacing w:after="0" w:line="320" w:lineRule="atLeast"/>
              <w:ind w:left="60" w:right="60"/>
              <w:jc w:val="right"/>
              <w:rPr>
                <w:rFonts w:cs="Times New Roman"/>
                <w:color w:val="010205"/>
                <w:sz w:val="22"/>
              </w:rPr>
            </w:pPr>
            <w:r w:rsidRPr="00E606BA">
              <w:rPr>
                <w:rFonts w:cs="Times New Roman"/>
                <w:color w:val="010205"/>
                <w:sz w:val="22"/>
              </w:rPr>
              <w:t>-8.77</w:t>
            </w:r>
          </w:p>
        </w:tc>
        <w:tc>
          <w:tcPr>
            <w:tcW w:w="1107" w:type="dxa"/>
            <w:tcBorders>
              <w:top w:val="single" w:sz="8" w:space="0" w:color="152935"/>
              <w:left w:val="single" w:sz="8" w:space="0" w:color="E0E0E0"/>
              <w:bottom w:val="single" w:sz="8" w:space="0" w:color="AEAEAE"/>
              <w:right w:val="single" w:sz="8" w:space="0" w:color="E0E0E0"/>
            </w:tcBorders>
            <w:shd w:val="clear" w:color="auto" w:fill="FFFFFF"/>
          </w:tcPr>
          <w:p w14:paraId="75EEFB7E" w14:textId="77777777" w:rsidR="00E606BA" w:rsidRPr="00E606BA" w:rsidRDefault="00E606BA" w:rsidP="00E606BA">
            <w:pPr>
              <w:autoSpaceDE w:val="0"/>
              <w:autoSpaceDN w:val="0"/>
              <w:adjustRightInd w:val="0"/>
              <w:spacing w:after="0" w:line="320" w:lineRule="atLeast"/>
              <w:ind w:left="60" w:right="60"/>
              <w:jc w:val="right"/>
              <w:rPr>
                <w:rFonts w:cs="Times New Roman"/>
                <w:color w:val="010205"/>
                <w:sz w:val="22"/>
              </w:rPr>
            </w:pPr>
            <w:r w:rsidRPr="00E606BA">
              <w:rPr>
                <w:rFonts w:cs="Times New Roman"/>
                <w:color w:val="010205"/>
                <w:sz w:val="22"/>
              </w:rPr>
              <w:t>482.84</w:t>
            </w:r>
          </w:p>
        </w:tc>
        <w:tc>
          <w:tcPr>
            <w:tcW w:w="1092" w:type="dxa"/>
            <w:tcBorders>
              <w:top w:val="single" w:sz="8" w:space="0" w:color="152935"/>
              <w:left w:val="single" w:sz="8" w:space="0" w:color="E0E0E0"/>
              <w:bottom w:val="single" w:sz="8" w:space="0" w:color="AEAEAE"/>
              <w:right w:val="single" w:sz="8" w:space="0" w:color="E0E0E0"/>
            </w:tcBorders>
            <w:shd w:val="clear" w:color="auto" w:fill="FFFFFF"/>
          </w:tcPr>
          <w:p w14:paraId="6C32FF37" w14:textId="77777777" w:rsidR="00E606BA" w:rsidRPr="00E606BA" w:rsidRDefault="00E606BA" w:rsidP="00E606BA">
            <w:pPr>
              <w:autoSpaceDE w:val="0"/>
              <w:autoSpaceDN w:val="0"/>
              <w:adjustRightInd w:val="0"/>
              <w:spacing w:after="0" w:line="320" w:lineRule="atLeast"/>
              <w:ind w:left="60" w:right="60"/>
              <w:jc w:val="right"/>
              <w:rPr>
                <w:rFonts w:cs="Times New Roman"/>
                <w:color w:val="010205"/>
                <w:sz w:val="22"/>
              </w:rPr>
            </w:pPr>
            <w:r w:rsidRPr="00E606BA">
              <w:rPr>
                <w:rFonts w:cs="Times New Roman"/>
                <w:color w:val="010205"/>
                <w:sz w:val="22"/>
              </w:rPr>
              <w:t>104.1478</w:t>
            </w:r>
          </w:p>
        </w:tc>
        <w:tc>
          <w:tcPr>
            <w:tcW w:w="1445" w:type="dxa"/>
            <w:tcBorders>
              <w:top w:val="single" w:sz="8" w:space="0" w:color="152935"/>
              <w:left w:val="single" w:sz="8" w:space="0" w:color="E0E0E0"/>
              <w:bottom w:val="single" w:sz="8" w:space="0" w:color="AEAEAE"/>
              <w:right w:val="nil"/>
            </w:tcBorders>
            <w:shd w:val="clear" w:color="auto" w:fill="FFFFFF"/>
          </w:tcPr>
          <w:p w14:paraId="7B75D74A" w14:textId="77777777" w:rsidR="00E606BA" w:rsidRPr="00E606BA" w:rsidRDefault="00E606BA" w:rsidP="00E606BA">
            <w:pPr>
              <w:autoSpaceDE w:val="0"/>
              <w:autoSpaceDN w:val="0"/>
              <w:adjustRightInd w:val="0"/>
              <w:spacing w:after="0" w:line="320" w:lineRule="atLeast"/>
              <w:ind w:left="60" w:right="60"/>
              <w:jc w:val="right"/>
              <w:rPr>
                <w:rFonts w:cs="Times New Roman"/>
                <w:color w:val="010205"/>
                <w:sz w:val="22"/>
              </w:rPr>
            </w:pPr>
            <w:r w:rsidRPr="00E606BA">
              <w:rPr>
                <w:rFonts w:cs="Times New Roman"/>
                <w:color w:val="010205"/>
                <w:sz w:val="22"/>
              </w:rPr>
              <w:t>94.82213</w:t>
            </w:r>
          </w:p>
        </w:tc>
      </w:tr>
      <w:tr w:rsidR="00E606BA" w:rsidRPr="00E606BA" w14:paraId="02283DA8" w14:textId="77777777" w:rsidTr="00E606BA">
        <w:trPr>
          <w:cantSplit/>
        </w:trPr>
        <w:tc>
          <w:tcPr>
            <w:tcW w:w="1706" w:type="dxa"/>
            <w:tcBorders>
              <w:top w:val="single" w:sz="8" w:space="0" w:color="AEAEAE"/>
              <w:left w:val="nil"/>
              <w:bottom w:val="single" w:sz="8" w:space="0" w:color="152935"/>
              <w:right w:val="nil"/>
            </w:tcBorders>
            <w:shd w:val="clear" w:color="auto" w:fill="E0E0E0"/>
          </w:tcPr>
          <w:p w14:paraId="5D675427" w14:textId="77777777" w:rsidR="00E606BA" w:rsidRPr="00E606BA" w:rsidRDefault="00E606BA" w:rsidP="00E606BA">
            <w:pPr>
              <w:autoSpaceDE w:val="0"/>
              <w:autoSpaceDN w:val="0"/>
              <w:adjustRightInd w:val="0"/>
              <w:spacing w:after="0" w:line="320" w:lineRule="atLeast"/>
              <w:ind w:left="60" w:right="60"/>
              <w:jc w:val="left"/>
              <w:rPr>
                <w:rFonts w:cs="Times New Roman"/>
                <w:color w:val="264A60"/>
                <w:sz w:val="22"/>
              </w:rPr>
            </w:pPr>
            <w:r w:rsidRPr="00E606BA">
              <w:rPr>
                <w:rFonts w:cs="Times New Roman"/>
                <w:color w:val="264A60"/>
                <w:sz w:val="22"/>
              </w:rPr>
              <w:t>Valid N (listwise)</w:t>
            </w:r>
          </w:p>
        </w:tc>
        <w:tc>
          <w:tcPr>
            <w:tcW w:w="1029" w:type="dxa"/>
            <w:tcBorders>
              <w:top w:val="single" w:sz="8" w:space="0" w:color="AEAEAE"/>
              <w:left w:val="nil"/>
              <w:bottom w:val="single" w:sz="8" w:space="0" w:color="152935"/>
              <w:right w:val="single" w:sz="8" w:space="0" w:color="E0E0E0"/>
            </w:tcBorders>
            <w:shd w:val="clear" w:color="auto" w:fill="FFFFFF"/>
          </w:tcPr>
          <w:p w14:paraId="60144896" w14:textId="77777777" w:rsidR="00E606BA" w:rsidRPr="00E606BA" w:rsidRDefault="00E606BA" w:rsidP="00E606BA">
            <w:pPr>
              <w:autoSpaceDE w:val="0"/>
              <w:autoSpaceDN w:val="0"/>
              <w:adjustRightInd w:val="0"/>
              <w:spacing w:after="0" w:line="320" w:lineRule="atLeast"/>
              <w:ind w:left="60" w:right="60"/>
              <w:jc w:val="right"/>
              <w:rPr>
                <w:rFonts w:cs="Times New Roman"/>
                <w:color w:val="010205"/>
                <w:sz w:val="22"/>
              </w:rPr>
            </w:pPr>
            <w:r w:rsidRPr="00E606BA">
              <w:rPr>
                <w:rFonts w:cs="Times New Roman"/>
                <w:color w:val="010205"/>
                <w:sz w:val="22"/>
              </w:rPr>
              <w:t>60</w:t>
            </w:r>
          </w:p>
        </w:tc>
        <w:tc>
          <w:tcPr>
            <w:tcW w:w="107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5319C54" w14:textId="77777777" w:rsidR="00E606BA" w:rsidRPr="00E606BA" w:rsidRDefault="00E606BA" w:rsidP="00E606BA">
            <w:pPr>
              <w:autoSpaceDE w:val="0"/>
              <w:autoSpaceDN w:val="0"/>
              <w:adjustRightInd w:val="0"/>
              <w:spacing w:after="0" w:line="240" w:lineRule="auto"/>
              <w:jc w:val="left"/>
              <w:rPr>
                <w:rFonts w:cs="Times New Roman"/>
                <w:sz w:val="22"/>
              </w:rPr>
            </w:pPr>
          </w:p>
        </w:tc>
        <w:tc>
          <w:tcPr>
            <w:tcW w:w="110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B470354" w14:textId="77777777" w:rsidR="00E606BA" w:rsidRPr="00E606BA" w:rsidRDefault="00E606BA" w:rsidP="00E606BA">
            <w:pPr>
              <w:autoSpaceDE w:val="0"/>
              <w:autoSpaceDN w:val="0"/>
              <w:adjustRightInd w:val="0"/>
              <w:spacing w:after="0" w:line="240" w:lineRule="auto"/>
              <w:jc w:val="left"/>
              <w:rPr>
                <w:rFonts w:cs="Times New Roman"/>
                <w:sz w:val="22"/>
              </w:rPr>
            </w:pPr>
          </w:p>
        </w:tc>
        <w:tc>
          <w:tcPr>
            <w:tcW w:w="109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E578BED" w14:textId="77777777" w:rsidR="00E606BA" w:rsidRPr="00E606BA" w:rsidRDefault="00E606BA" w:rsidP="00E606BA">
            <w:pPr>
              <w:autoSpaceDE w:val="0"/>
              <w:autoSpaceDN w:val="0"/>
              <w:adjustRightInd w:val="0"/>
              <w:spacing w:after="0" w:line="240" w:lineRule="auto"/>
              <w:jc w:val="left"/>
              <w:rPr>
                <w:rFonts w:cs="Times New Roman"/>
                <w:sz w:val="22"/>
              </w:rPr>
            </w:pPr>
          </w:p>
        </w:tc>
        <w:tc>
          <w:tcPr>
            <w:tcW w:w="1445" w:type="dxa"/>
            <w:tcBorders>
              <w:top w:val="single" w:sz="8" w:space="0" w:color="AEAEAE"/>
              <w:left w:val="single" w:sz="8" w:space="0" w:color="E0E0E0"/>
              <w:bottom w:val="single" w:sz="8" w:space="0" w:color="152935"/>
              <w:right w:val="nil"/>
            </w:tcBorders>
            <w:shd w:val="clear" w:color="auto" w:fill="FFFFFF"/>
            <w:vAlign w:val="center"/>
          </w:tcPr>
          <w:p w14:paraId="0F9FD7D8" w14:textId="77777777" w:rsidR="00E606BA" w:rsidRPr="00E606BA" w:rsidRDefault="00E606BA" w:rsidP="00E606BA">
            <w:pPr>
              <w:autoSpaceDE w:val="0"/>
              <w:autoSpaceDN w:val="0"/>
              <w:adjustRightInd w:val="0"/>
              <w:spacing w:after="0" w:line="240" w:lineRule="auto"/>
              <w:jc w:val="left"/>
              <w:rPr>
                <w:rFonts w:cs="Times New Roman"/>
                <w:sz w:val="22"/>
              </w:rPr>
            </w:pPr>
          </w:p>
        </w:tc>
      </w:tr>
    </w:tbl>
    <w:p w14:paraId="6C123DC5" w14:textId="2B9E680B" w:rsidR="00884730" w:rsidRPr="00274326" w:rsidRDefault="00884730" w:rsidP="00E606BA">
      <w:pPr>
        <w:autoSpaceDE w:val="0"/>
        <w:autoSpaceDN w:val="0"/>
        <w:adjustRightInd w:val="0"/>
        <w:spacing w:after="0" w:line="480" w:lineRule="auto"/>
        <w:ind w:left="851"/>
        <w:jc w:val="left"/>
        <w:rPr>
          <w:rFonts w:cs="Times New Roman"/>
          <w:sz w:val="22"/>
        </w:rPr>
      </w:pPr>
      <w:r w:rsidRPr="00274326">
        <w:rPr>
          <w:rFonts w:cs="Times New Roman"/>
          <w:sz w:val="22"/>
        </w:rPr>
        <w:t>Sumber: Data output SPSS25, 2024</w:t>
      </w:r>
    </w:p>
    <w:p w14:paraId="76F8F722" w14:textId="77777777" w:rsidR="004E328F" w:rsidRDefault="00884730" w:rsidP="00884730">
      <w:pPr>
        <w:autoSpaceDE w:val="0"/>
        <w:autoSpaceDN w:val="0"/>
        <w:adjustRightInd w:val="0"/>
        <w:spacing w:after="0" w:line="480" w:lineRule="auto"/>
        <w:ind w:left="709" w:firstLine="709"/>
        <w:rPr>
          <w:rFonts w:cs="Times New Roman"/>
          <w:szCs w:val="24"/>
        </w:rPr>
      </w:pPr>
      <w:r w:rsidRPr="00140F8B">
        <w:rPr>
          <w:rFonts w:cs="Times New Roman"/>
          <w:szCs w:val="24"/>
        </w:rPr>
        <w:t xml:space="preserve">Dari data diatas </w:t>
      </w:r>
      <w:r w:rsidRPr="00884730">
        <w:rPr>
          <w:rFonts w:cs="Times New Roman"/>
          <w:szCs w:val="24"/>
        </w:rPr>
        <w:t>L</w:t>
      </w:r>
      <w:r>
        <w:rPr>
          <w:rFonts w:cs="Times New Roman"/>
          <w:szCs w:val="24"/>
        </w:rPr>
        <w:t>ikuiditas</w:t>
      </w:r>
      <w:r>
        <w:rPr>
          <w:rFonts w:cs="Times New Roman"/>
          <w:i/>
          <w:szCs w:val="24"/>
        </w:rPr>
        <w:t xml:space="preserve"> </w:t>
      </w:r>
      <w:r>
        <w:rPr>
          <w:rFonts w:cs="Times New Roman"/>
          <w:szCs w:val="24"/>
        </w:rPr>
        <w:t xml:space="preserve">yang diukur menggunakan </w:t>
      </w:r>
      <w:r>
        <w:rPr>
          <w:rFonts w:cs="Times New Roman"/>
          <w:i/>
          <w:szCs w:val="24"/>
        </w:rPr>
        <w:t xml:space="preserve">Current Ratio </w:t>
      </w:r>
      <w:r>
        <w:rPr>
          <w:rFonts w:cs="Times New Roman"/>
          <w:szCs w:val="24"/>
        </w:rPr>
        <w:t>(CR) menunjukan nilai max</w:t>
      </w:r>
      <w:r w:rsidRPr="00140F8B">
        <w:rPr>
          <w:rFonts w:cs="Times New Roman"/>
          <w:szCs w:val="24"/>
        </w:rPr>
        <w:t>imum (tertinggi) seluruh perusahaan yang menjadi sampel dalam penel</w:t>
      </w:r>
      <w:r>
        <w:rPr>
          <w:rFonts w:cs="Times New Roman"/>
          <w:szCs w:val="24"/>
        </w:rPr>
        <w:t xml:space="preserve">itian ini adalah sebesar </w:t>
      </w:r>
      <w:r w:rsidR="00E606BA" w:rsidRPr="00E606BA">
        <w:rPr>
          <w:rFonts w:cs="Times New Roman"/>
          <w:color w:val="010205"/>
          <w:szCs w:val="24"/>
        </w:rPr>
        <w:t>482.84</w:t>
      </w:r>
      <w:r>
        <w:rPr>
          <w:rFonts w:cs="Times New Roman"/>
          <w:szCs w:val="24"/>
        </w:rPr>
        <w:t>. Nilai minimum (terendah)</w:t>
      </w:r>
    </w:p>
    <w:p w14:paraId="044037CC" w14:textId="549EB441" w:rsidR="00884730" w:rsidRDefault="00884730" w:rsidP="004E328F">
      <w:pPr>
        <w:autoSpaceDE w:val="0"/>
        <w:autoSpaceDN w:val="0"/>
        <w:adjustRightInd w:val="0"/>
        <w:spacing w:after="0" w:line="480" w:lineRule="auto"/>
        <w:ind w:left="709"/>
        <w:rPr>
          <w:rFonts w:cs="Times New Roman"/>
          <w:szCs w:val="24"/>
        </w:rPr>
      </w:pPr>
      <w:r w:rsidRPr="004E328F">
        <w:rPr>
          <w:rFonts w:cs="Times New Roman"/>
          <w:szCs w:val="24"/>
        </w:rPr>
        <w:t xml:space="preserve"> </w:t>
      </w:r>
      <w:r w:rsidR="004E328F" w:rsidRPr="00E606BA">
        <w:rPr>
          <w:rFonts w:cs="Times New Roman"/>
          <w:color w:val="010205"/>
          <w:szCs w:val="24"/>
        </w:rPr>
        <w:t>-8.77</w:t>
      </w:r>
      <w:r w:rsidRPr="00140F8B">
        <w:rPr>
          <w:rFonts w:cs="Times New Roman"/>
          <w:szCs w:val="24"/>
        </w:rPr>
        <w:t>. Nilai mean (rata-rata) seb</w:t>
      </w:r>
      <w:r>
        <w:rPr>
          <w:rFonts w:cs="Times New Roman"/>
          <w:szCs w:val="24"/>
        </w:rPr>
        <w:t xml:space="preserve">esar </w:t>
      </w:r>
      <w:r w:rsidR="004E328F" w:rsidRPr="00E606BA">
        <w:rPr>
          <w:rFonts w:cs="Times New Roman"/>
          <w:color w:val="010205"/>
          <w:szCs w:val="24"/>
        </w:rPr>
        <w:t>104.1478</w:t>
      </w:r>
      <w:r w:rsidRPr="00140F8B">
        <w:rPr>
          <w:rFonts w:cs="Times New Roman"/>
          <w:szCs w:val="24"/>
        </w:rPr>
        <w:t>. Sedangkan stan</w:t>
      </w:r>
      <w:r>
        <w:rPr>
          <w:rFonts w:cs="Times New Roman"/>
          <w:szCs w:val="24"/>
        </w:rPr>
        <w:t>dar deviasinya sebesar </w:t>
      </w:r>
      <w:r w:rsidR="004E328F" w:rsidRPr="00E606BA">
        <w:rPr>
          <w:rFonts w:cs="Times New Roman"/>
          <w:color w:val="010205"/>
          <w:szCs w:val="24"/>
        </w:rPr>
        <w:t>94.82213</w:t>
      </w:r>
      <w:r>
        <w:rPr>
          <w:rFonts w:cs="Times New Roman"/>
          <w:szCs w:val="24"/>
        </w:rPr>
        <w:t>.</w:t>
      </w:r>
      <w:r w:rsidR="004E328F">
        <w:rPr>
          <w:rFonts w:cs="Times New Roman"/>
          <w:szCs w:val="24"/>
        </w:rPr>
        <w:t xml:space="preserve"> </w:t>
      </w:r>
    </w:p>
    <w:p w14:paraId="7AA75694" w14:textId="7580CD04" w:rsidR="00254A52" w:rsidRPr="00254A52" w:rsidRDefault="00254A52" w:rsidP="00254A52">
      <w:pPr>
        <w:pStyle w:val="Caption"/>
        <w:jc w:val="center"/>
        <w:rPr>
          <w:color w:val="auto"/>
          <w:sz w:val="24"/>
          <w:szCs w:val="24"/>
        </w:rPr>
      </w:pPr>
      <w:bookmarkStart w:id="16" w:name="_Toc168999373"/>
      <w:r w:rsidRPr="00254A52">
        <w:rPr>
          <w:color w:val="auto"/>
          <w:sz w:val="24"/>
          <w:szCs w:val="24"/>
        </w:rPr>
        <w:t xml:space="preserve">Tabel.  </w:t>
      </w:r>
      <w:r w:rsidRPr="00254A52">
        <w:rPr>
          <w:color w:val="auto"/>
          <w:sz w:val="24"/>
          <w:szCs w:val="24"/>
        </w:rPr>
        <w:fldChar w:fldCharType="begin"/>
      </w:r>
      <w:r w:rsidRPr="00254A52">
        <w:rPr>
          <w:color w:val="auto"/>
          <w:sz w:val="24"/>
          <w:szCs w:val="24"/>
        </w:rPr>
        <w:instrText xml:space="preserve"> SEQ Tabel._ \* ARABIC </w:instrText>
      </w:r>
      <w:r w:rsidRPr="00254A52">
        <w:rPr>
          <w:color w:val="auto"/>
          <w:sz w:val="24"/>
          <w:szCs w:val="24"/>
        </w:rPr>
        <w:fldChar w:fldCharType="separate"/>
      </w:r>
      <w:r w:rsidR="0017483D">
        <w:rPr>
          <w:noProof/>
          <w:color w:val="auto"/>
          <w:sz w:val="24"/>
          <w:szCs w:val="24"/>
        </w:rPr>
        <w:t>9</w:t>
      </w:r>
      <w:r w:rsidRPr="00254A52">
        <w:rPr>
          <w:color w:val="auto"/>
          <w:sz w:val="24"/>
          <w:szCs w:val="24"/>
        </w:rPr>
        <w:fldChar w:fldCharType="end"/>
      </w:r>
      <w:r w:rsidRPr="00254A52">
        <w:rPr>
          <w:color w:val="auto"/>
          <w:sz w:val="24"/>
          <w:szCs w:val="24"/>
          <w:lang w:val="en-US"/>
        </w:rPr>
        <w:t xml:space="preserve"> Data sekunder Likuiditas 2019-2023</w:t>
      </w:r>
      <w:bookmarkEnd w:id="16"/>
    </w:p>
    <w:tbl>
      <w:tblPr>
        <w:tblStyle w:val="TableGrid"/>
        <w:tblW w:w="0" w:type="auto"/>
        <w:tblInd w:w="709" w:type="dxa"/>
        <w:tblLook w:val="04A0" w:firstRow="1" w:lastRow="0" w:firstColumn="1" w:lastColumn="0" w:noHBand="0" w:noVBand="1"/>
      </w:tblPr>
      <w:tblGrid>
        <w:gridCol w:w="667"/>
        <w:gridCol w:w="1729"/>
        <w:gridCol w:w="876"/>
        <w:gridCol w:w="1070"/>
        <w:gridCol w:w="1070"/>
        <w:gridCol w:w="1070"/>
        <w:gridCol w:w="1070"/>
      </w:tblGrid>
      <w:tr w:rsidR="00884730" w14:paraId="333D9C76" w14:textId="77777777" w:rsidTr="00254A52">
        <w:trPr>
          <w:tblHeader/>
        </w:trPr>
        <w:tc>
          <w:tcPr>
            <w:tcW w:w="667" w:type="dxa"/>
            <w:vMerge w:val="restart"/>
            <w:vAlign w:val="center"/>
          </w:tcPr>
          <w:p w14:paraId="6C3AB343" w14:textId="77777777" w:rsidR="00884730" w:rsidRPr="00270B21" w:rsidRDefault="00884730" w:rsidP="00BC09C6">
            <w:pPr>
              <w:autoSpaceDE w:val="0"/>
              <w:autoSpaceDN w:val="0"/>
              <w:adjustRightInd w:val="0"/>
              <w:spacing w:line="360" w:lineRule="auto"/>
              <w:jc w:val="center"/>
              <w:rPr>
                <w:rFonts w:cs="Times New Roman"/>
                <w:b/>
                <w:szCs w:val="24"/>
              </w:rPr>
            </w:pPr>
            <w:r w:rsidRPr="00270B21">
              <w:rPr>
                <w:rFonts w:cs="Times New Roman"/>
                <w:b/>
                <w:szCs w:val="24"/>
              </w:rPr>
              <w:t>No</w:t>
            </w:r>
          </w:p>
        </w:tc>
        <w:tc>
          <w:tcPr>
            <w:tcW w:w="1729" w:type="dxa"/>
            <w:vMerge w:val="restart"/>
            <w:vAlign w:val="center"/>
          </w:tcPr>
          <w:p w14:paraId="22FBF1A0" w14:textId="77777777" w:rsidR="00884730" w:rsidRPr="00270B21" w:rsidRDefault="00884730" w:rsidP="00BC09C6">
            <w:pPr>
              <w:autoSpaceDE w:val="0"/>
              <w:autoSpaceDN w:val="0"/>
              <w:adjustRightInd w:val="0"/>
              <w:spacing w:line="360" w:lineRule="auto"/>
              <w:jc w:val="center"/>
              <w:rPr>
                <w:rFonts w:cs="Times New Roman"/>
                <w:b/>
                <w:szCs w:val="24"/>
              </w:rPr>
            </w:pPr>
            <w:r w:rsidRPr="00270B21">
              <w:rPr>
                <w:rFonts w:cs="Times New Roman"/>
                <w:b/>
                <w:szCs w:val="24"/>
              </w:rPr>
              <w:t>Kode Saham</w:t>
            </w:r>
          </w:p>
        </w:tc>
        <w:tc>
          <w:tcPr>
            <w:tcW w:w="5156" w:type="dxa"/>
            <w:gridSpan w:val="5"/>
          </w:tcPr>
          <w:p w14:paraId="36714A56" w14:textId="3FB0BDB1" w:rsidR="00884730" w:rsidRPr="00270B21" w:rsidRDefault="00884730" w:rsidP="00BC09C6">
            <w:pPr>
              <w:autoSpaceDE w:val="0"/>
              <w:autoSpaceDN w:val="0"/>
              <w:adjustRightInd w:val="0"/>
              <w:spacing w:line="276" w:lineRule="auto"/>
              <w:jc w:val="center"/>
              <w:rPr>
                <w:rFonts w:cs="Times New Roman"/>
                <w:b/>
                <w:szCs w:val="24"/>
              </w:rPr>
            </w:pPr>
            <w:r>
              <w:rPr>
                <w:rFonts w:cs="Times New Roman"/>
                <w:b/>
                <w:szCs w:val="24"/>
              </w:rPr>
              <w:t xml:space="preserve">Likuiditas </w:t>
            </w:r>
          </w:p>
        </w:tc>
      </w:tr>
      <w:tr w:rsidR="00884730" w14:paraId="2A9F1DB5" w14:textId="77777777" w:rsidTr="00254A52">
        <w:trPr>
          <w:tblHeader/>
        </w:trPr>
        <w:tc>
          <w:tcPr>
            <w:tcW w:w="667" w:type="dxa"/>
            <w:vMerge/>
          </w:tcPr>
          <w:p w14:paraId="5DA81ED3" w14:textId="77777777" w:rsidR="00884730" w:rsidRPr="00270B21" w:rsidRDefault="00884730" w:rsidP="00BC09C6">
            <w:pPr>
              <w:autoSpaceDE w:val="0"/>
              <w:autoSpaceDN w:val="0"/>
              <w:adjustRightInd w:val="0"/>
              <w:spacing w:line="276" w:lineRule="auto"/>
              <w:jc w:val="center"/>
              <w:rPr>
                <w:rFonts w:cs="Times New Roman"/>
                <w:b/>
                <w:szCs w:val="24"/>
              </w:rPr>
            </w:pPr>
          </w:p>
        </w:tc>
        <w:tc>
          <w:tcPr>
            <w:tcW w:w="1729" w:type="dxa"/>
            <w:vMerge/>
          </w:tcPr>
          <w:p w14:paraId="15B37B31" w14:textId="77777777" w:rsidR="00884730" w:rsidRPr="00270B21" w:rsidRDefault="00884730" w:rsidP="00BC09C6">
            <w:pPr>
              <w:autoSpaceDE w:val="0"/>
              <w:autoSpaceDN w:val="0"/>
              <w:adjustRightInd w:val="0"/>
              <w:spacing w:line="276" w:lineRule="auto"/>
              <w:jc w:val="center"/>
              <w:rPr>
                <w:rFonts w:cs="Times New Roman"/>
                <w:b/>
                <w:szCs w:val="24"/>
              </w:rPr>
            </w:pPr>
          </w:p>
        </w:tc>
        <w:tc>
          <w:tcPr>
            <w:tcW w:w="876" w:type="dxa"/>
          </w:tcPr>
          <w:p w14:paraId="2189C7EA" w14:textId="77777777" w:rsidR="00884730" w:rsidRPr="00270B21" w:rsidRDefault="00884730" w:rsidP="00BC09C6">
            <w:pPr>
              <w:autoSpaceDE w:val="0"/>
              <w:autoSpaceDN w:val="0"/>
              <w:adjustRightInd w:val="0"/>
              <w:spacing w:line="276" w:lineRule="auto"/>
              <w:jc w:val="center"/>
              <w:rPr>
                <w:rFonts w:cs="Times New Roman"/>
                <w:b/>
                <w:szCs w:val="24"/>
              </w:rPr>
            </w:pPr>
            <w:r w:rsidRPr="00270B21">
              <w:rPr>
                <w:rFonts w:cs="Times New Roman"/>
                <w:b/>
                <w:szCs w:val="24"/>
              </w:rPr>
              <w:t>2019</w:t>
            </w:r>
          </w:p>
        </w:tc>
        <w:tc>
          <w:tcPr>
            <w:tcW w:w="1070" w:type="dxa"/>
          </w:tcPr>
          <w:p w14:paraId="3DC72FEE" w14:textId="77777777" w:rsidR="00884730" w:rsidRPr="00270B21" w:rsidRDefault="00884730" w:rsidP="00BC09C6">
            <w:pPr>
              <w:autoSpaceDE w:val="0"/>
              <w:autoSpaceDN w:val="0"/>
              <w:adjustRightInd w:val="0"/>
              <w:spacing w:line="276" w:lineRule="auto"/>
              <w:jc w:val="center"/>
              <w:rPr>
                <w:rFonts w:cs="Times New Roman"/>
                <w:b/>
                <w:szCs w:val="24"/>
              </w:rPr>
            </w:pPr>
            <w:r w:rsidRPr="00270B21">
              <w:rPr>
                <w:rFonts w:cs="Times New Roman"/>
                <w:b/>
                <w:szCs w:val="24"/>
              </w:rPr>
              <w:t>2020</w:t>
            </w:r>
          </w:p>
        </w:tc>
        <w:tc>
          <w:tcPr>
            <w:tcW w:w="1070" w:type="dxa"/>
          </w:tcPr>
          <w:p w14:paraId="1D8681B9" w14:textId="77777777" w:rsidR="00884730" w:rsidRPr="00270B21" w:rsidRDefault="00884730" w:rsidP="00BC09C6">
            <w:pPr>
              <w:autoSpaceDE w:val="0"/>
              <w:autoSpaceDN w:val="0"/>
              <w:adjustRightInd w:val="0"/>
              <w:spacing w:line="276" w:lineRule="auto"/>
              <w:jc w:val="center"/>
              <w:rPr>
                <w:rFonts w:cs="Times New Roman"/>
                <w:b/>
                <w:szCs w:val="24"/>
              </w:rPr>
            </w:pPr>
            <w:r w:rsidRPr="00270B21">
              <w:rPr>
                <w:rFonts w:cs="Times New Roman"/>
                <w:b/>
                <w:szCs w:val="24"/>
              </w:rPr>
              <w:t>2021</w:t>
            </w:r>
          </w:p>
        </w:tc>
        <w:tc>
          <w:tcPr>
            <w:tcW w:w="1070" w:type="dxa"/>
          </w:tcPr>
          <w:p w14:paraId="4C2B5BE4" w14:textId="77777777" w:rsidR="00884730" w:rsidRPr="00270B21" w:rsidRDefault="00884730" w:rsidP="00BC09C6">
            <w:pPr>
              <w:autoSpaceDE w:val="0"/>
              <w:autoSpaceDN w:val="0"/>
              <w:adjustRightInd w:val="0"/>
              <w:spacing w:line="276" w:lineRule="auto"/>
              <w:jc w:val="center"/>
              <w:rPr>
                <w:rFonts w:cs="Times New Roman"/>
                <w:b/>
                <w:szCs w:val="24"/>
              </w:rPr>
            </w:pPr>
            <w:r w:rsidRPr="00270B21">
              <w:rPr>
                <w:rFonts w:cs="Times New Roman"/>
                <w:b/>
                <w:szCs w:val="24"/>
              </w:rPr>
              <w:t>2022</w:t>
            </w:r>
          </w:p>
        </w:tc>
        <w:tc>
          <w:tcPr>
            <w:tcW w:w="1070" w:type="dxa"/>
          </w:tcPr>
          <w:p w14:paraId="367110D2" w14:textId="77777777" w:rsidR="00884730" w:rsidRPr="00270B21" w:rsidRDefault="00884730" w:rsidP="00BC09C6">
            <w:pPr>
              <w:autoSpaceDE w:val="0"/>
              <w:autoSpaceDN w:val="0"/>
              <w:adjustRightInd w:val="0"/>
              <w:spacing w:line="276" w:lineRule="auto"/>
              <w:jc w:val="center"/>
              <w:rPr>
                <w:rFonts w:cs="Times New Roman"/>
                <w:b/>
                <w:szCs w:val="24"/>
              </w:rPr>
            </w:pPr>
            <w:r w:rsidRPr="00270B21">
              <w:rPr>
                <w:rFonts w:cs="Times New Roman"/>
                <w:b/>
                <w:szCs w:val="24"/>
              </w:rPr>
              <w:t>2023</w:t>
            </w:r>
          </w:p>
        </w:tc>
      </w:tr>
      <w:tr w:rsidR="0049747C" w14:paraId="469BF47A" w14:textId="77777777" w:rsidTr="00254A52">
        <w:tc>
          <w:tcPr>
            <w:tcW w:w="667" w:type="dxa"/>
          </w:tcPr>
          <w:p w14:paraId="3543854B" w14:textId="77777777" w:rsidR="0049747C" w:rsidRPr="000F0B7F" w:rsidRDefault="0049747C" w:rsidP="00BC09C6">
            <w:pPr>
              <w:autoSpaceDE w:val="0"/>
              <w:autoSpaceDN w:val="0"/>
              <w:adjustRightInd w:val="0"/>
              <w:spacing w:line="276" w:lineRule="auto"/>
              <w:jc w:val="center"/>
              <w:rPr>
                <w:rFonts w:cs="Times New Roman"/>
                <w:szCs w:val="24"/>
              </w:rPr>
            </w:pPr>
            <w:r w:rsidRPr="000F0B7F">
              <w:rPr>
                <w:rFonts w:cs="Times New Roman"/>
                <w:szCs w:val="24"/>
              </w:rPr>
              <w:t>1.</w:t>
            </w:r>
          </w:p>
        </w:tc>
        <w:tc>
          <w:tcPr>
            <w:tcW w:w="1729" w:type="dxa"/>
          </w:tcPr>
          <w:p w14:paraId="7A5D4E3B" w14:textId="77777777" w:rsidR="0049747C" w:rsidRPr="000F0B7F" w:rsidRDefault="0049747C" w:rsidP="00BC09C6">
            <w:pPr>
              <w:autoSpaceDE w:val="0"/>
              <w:autoSpaceDN w:val="0"/>
              <w:adjustRightInd w:val="0"/>
              <w:spacing w:line="276" w:lineRule="auto"/>
              <w:jc w:val="center"/>
              <w:rPr>
                <w:rFonts w:cs="Times New Roman"/>
                <w:szCs w:val="24"/>
              </w:rPr>
            </w:pPr>
            <w:r w:rsidRPr="000F0B7F">
              <w:rPr>
                <w:rFonts w:cs="Times New Roman"/>
                <w:szCs w:val="24"/>
              </w:rPr>
              <w:t>BBCA</w:t>
            </w:r>
          </w:p>
        </w:tc>
        <w:tc>
          <w:tcPr>
            <w:tcW w:w="876" w:type="dxa"/>
          </w:tcPr>
          <w:p w14:paraId="688F3248" w14:textId="37B5CE93"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124,18</w:t>
            </w:r>
          </w:p>
        </w:tc>
        <w:tc>
          <w:tcPr>
            <w:tcW w:w="1070" w:type="dxa"/>
          </w:tcPr>
          <w:p w14:paraId="5888CFF1" w14:textId="27D43A15"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121,46</w:t>
            </w:r>
          </w:p>
        </w:tc>
        <w:tc>
          <w:tcPr>
            <w:tcW w:w="1070" w:type="dxa"/>
          </w:tcPr>
          <w:p w14:paraId="139E3DF3" w14:textId="0AD7C126"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120,45</w:t>
            </w:r>
          </w:p>
        </w:tc>
        <w:tc>
          <w:tcPr>
            <w:tcW w:w="1070" w:type="dxa"/>
          </w:tcPr>
          <w:p w14:paraId="38BB4E3F" w14:textId="6402F19C"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120,94</w:t>
            </w:r>
          </w:p>
        </w:tc>
        <w:tc>
          <w:tcPr>
            <w:tcW w:w="1070" w:type="dxa"/>
          </w:tcPr>
          <w:p w14:paraId="04B59EDB" w14:textId="141E4B13"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121,63</w:t>
            </w:r>
          </w:p>
        </w:tc>
      </w:tr>
      <w:tr w:rsidR="0049747C" w14:paraId="32B5BFE9" w14:textId="77777777" w:rsidTr="00254A52">
        <w:tc>
          <w:tcPr>
            <w:tcW w:w="667" w:type="dxa"/>
          </w:tcPr>
          <w:p w14:paraId="67FEB9A5" w14:textId="77777777" w:rsidR="0049747C" w:rsidRPr="000F0B7F" w:rsidRDefault="0049747C" w:rsidP="00BC09C6">
            <w:pPr>
              <w:autoSpaceDE w:val="0"/>
              <w:autoSpaceDN w:val="0"/>
              <w:adjustRightInd w:val="0"/>
              <w:spacing w:line="276" w:lineRule="auto"/>
              <w:jc w:val="center"/>
              <w:rPr>
                <w:rFonts w:cs="Times New Roman"/>
                <w:szCs w:val="24"/>
              </w:rPr>
            </w:pPr>
            <w:r w:rsidRPr="000F0B7F">
              <w:rPr>
                <w:rFonts w:cs="Times New Roman"/>
                <w:szCs w:val="24"/>
              </w:rPr>
              <w:t>2.</w:t>
            </w:r>
          </w:p>
        </w:tc>
        <w:tc>
          <w:tcPr>
            <w:tcW w:w="1729" w:type="dxa"/>
          </w:tcPr>
          <w:p w14:paraId="3224DA2A" w14:textId="77777777" w:rsidR="0049747C" w:rsidRPr="000F0B7F" w:rsidRDefault="0049747C" w:rsidP="00BC09C6">
            <w:pPr>
              <w:autoSpaceDE w:val="0"/>
              <w:autoSpaceDN w:val="0"/>
              <w:adjustRightInd w:val="0"/>
              <w:spacing w:line="276" w:lineRule="auto"/>
              <w:jc w:val="center"/>
              <w:rPr>
                <w:rFonts w:cs="Times New Roman"/>
                <w:szCs w:val="24"/>
              </w:rPr>
            </w:pPr>
            <w:r w:rsidRPr="000F0B7F">
              <w:rPr>
                <w:rFonts w:cs="Times New Roman"/>
                <w:szCs w:val="24"/>
              </w:rPr>
              <w:t>BBNI</w:t>
            </w:r>
          </w:p>
        </w:tc>
        <w:tc>
          <w:tcPr>
            <w:tcW w:w="876" w:type="dxa"/>
          </w:tcPr>
          <w:p w14:paraId="4AD25453" w14:textId="761C7DE9"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122,82</w:t>
            </w:r>
          </w:p>
        </w:tc>
        <w:tc>
          <w:tcPr>
            <w:tcW w:w="1070" w:type="dxa"/>
          </w:tcPr>
          <w:p w14:paraId="01F9D08B" w14:textId="25B4117B"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119,44</w:t>
            </w:r>
          </w:p>
        </w:tc>
        <w:tc>
          <w:tcPr>
            <w:tcW w:w="1070" w:type="dxa"/>
          </w:tcPr>
          <w:p w14:paraId="67C2168C" w14:textId="04E95474"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115,09</w:t>
            </w:r>
          </w:p>
        </w:tc>
        <w:tc>
          <w:tcPr>
            <w:tcW w:w="1070" w:type="dxa"/>
          </w:tcPr>
          <w:p w14:paraId="1BE7DF97" w14:textId="71BEAC37"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115,76</w:t>
            </w:r>
          </w:p>
        </w:tc>
        <w:tc>
          <w:tcPr>
            <w:tcW w:w="1070" w:type="dxa"/>
          </w:tcPr>
          <w:p w14:paraId="29796F76" w14:textId="6D24DDE7"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116,60</w:t>
            </w:r>
          </w:p>
        </w:tc>
      </w:tr>
      <w:tr w:rsidR="0049747C" w14:paraId="72AAFA59" w14:textId="77777777" w:rsidTr="00254A52">
        <w:tc>
          <w:tcPr>
            <w:tcW w:w="667" w:type="dxa"/>
          </w:tcPr>
          <w:p w14:paraId="01901069" w14:textId="77777777" w:rsidR="0049747C" w:rsidRPr="000F0B7F" w:rsidRDefault="0049747C" w:rsidP="00BC09C6">
            <w:pPr>
              <w:autoSpaceDE w:val="0"/>
              <w:autoSpaceDN w:val="0"/>
              <w:adjustRightInd w:val="0"/>
              <w:spacing w:line="276" w:lineRule="auto"/>
              <w:jc w:val="center"/>
              <w:rPr>
                <w:rFonts w:cs="Times New Roman"/>
                <w:szCs w:val="24"/>
              </w:rPr>
            </w:pPr>
            <w:r w:rsidRPr="000F0B7F">
              <w:rPr>
                <w:rFonts w:cs="Times New Roman"/>
                <w:szCs w:val="24"/>
              </w:rPr>
              <w:t>3.</w:t>
            </w:r>
          </w:p>
        </w:tc>
        <w:tc>
          <w:tcPr>
            <w:tcW w:w="1729" w:type="dxa"/>
          </w:tcPr>
          <w:p w14:paraId="0ED2398E" w14:textId="77777777" w:rsidR="0049747C" w:rsidRPr="000F0B7F" w:rsidRDefault="0049747C" w:rsidP="00BC09C6">
            <w:pPr>
              <w:autoSpaceDE w:val="0"/>
              <w:autoSpaceDN w:val="0"/>
              <w:adjustRightInd w:val="0"/>
              <w:spacing w:line="276" w:lineRule="auto"/>
              <w:jc w:val="center"/>
              <w:rPr>
                <w:rFonts w:cs="Times New Roman"/>
                <w:szCs w:val="24"/>
              </w:rPr>
            </w:pPr>
            <w:r w:rsidRPr="000F0B7F">
              <w:rPr>
                <w:rFonts w:cs="Times New Roman"/>
                <w:szCs w:val="24"/>
              </w:rPr>
              <w:t>BBRI</w:t>
            </w:r>
          </w:p>
        </w:tc>
        <w:tc>
          <w:tcPr>
            <w:tcW w:w="876" w:type="dxa"/>
          </w:tcPr>
          <w:p w14:paraId="31F6B2E9" w14:textId="3CAEA117"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119,74</w:t>
            </w:r>
          </w:p>
        </w:tc>
        <w:tc>
          <w:tcPr>
            <w:tcW w:w="1070" w:type="dxa"/>
          </w:tcPr>
          <w:p w14:paraId="603A6E12" w14:textId="04015351"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118,26</w:t>
            </w:r>
          </w:p>
        </w:tc>
        <w:tc>
          <w:tcPr>
            <w:tcW w:w="1070" w:type="dxa"/>
          </w:tcPr>
          <w:p w14:paraId="3C9D8D6E" w14:textId="21BEC001"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121,05</w:t>
            </w:r>
          </w:p>
        </w:tc>
        <w:tc>
          <w:tcPr>
            <w:tcW w:w="1070" w:type="dxa"/>
          </w:tcPr>
          <w:p w14:paraId="034791E0" w14:textId="2DAA3FF9"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119,42</w:t>
            </w:r>
          </w:p>
        </w:tc>
        <w:tc>
          <w:tcPr>
            <w:tcW w:w="1070" w:type="dxa"/>
          </w:tcPr>
          <w:p w14:paraId="6BB3FAD7" w14:textId="1B84933A"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119,20</w:t>
            </w:r>
          </w:p>
        </w:tc>
      </w:tr>
      <w:tr w:rsidR="0049747C" w14:paraId="076E6184" w14:textId="77777777" w:rsidTr="00254A52">
        <w:tc>
          <w:tcPr>
            <w:tcW w:w="667" w:type="dxa"/>
          </w:tcPr>
          <w:p w14:paraId="24531CFF" w14:textId="77777777" w:rsidR="0049747C" w:rsidRPr="000F0B7F" w:rsidRDefault="0049747C" w:rsidP="00BC09C6">
            <w:pPr>
              <w:autoSpaceDE w:val="0"/>
              <w:autoSpaceDN w:val="0"/>
              <w:adjustRightInd w:val="0"/>
              <w:spacing w:line="276" w:lineRule="auto"/>
              <w:jc w:val="center"/>
              <w:rPr>
                <w:rFonts w:cs="Times New Roman"/>
                <w:szCs w:val="24"/>
              </w:rPr>
            </w:pPr>
            <w:r w:rsidRPr="000F0B7F">
              <w:rPr>
                <w:rFonts w:cs="Times New Roman"/>
                <w:szCs w:val="24"/>
              </w:rPr>
              <w:t>4.</w:t>
            </w:r>
          </w:p>
        </w:tc>
        <w:tc>
          <w:tcPr>
            <w:tcW w:w="1729" w:type="dxa"/>
          </w:tcPr>
          <w:p w14:paraId="238C356F" w14:textId="77777777" w:rsidR="0049747C" w:rsidRPr="000F0B7F" w:rsidRDefault="0049747C" w:rsidP="00BC09C6">
            <w:pPr>
              <w:autoSpaceDE w:val="0"/>
              <w:autoSpaceDN w:val="0"/>
              <w:adjustRightInd w:val="0"/>
              <w:spacing w:line="276" w:lineRule="auto"/>
              <w:jc w:val="center"/>
              <w:rPr>
                <w:rFonts w:cs="Times New Roman"/>
                <w:szCs w:val="24"/>
              </w:rPr>
            </w:pPr>
            <w:r w:rsidRPr="000F0B7F">
              <w:rPr>
                <w:rFonts w:cs="Times New Roman"/>
                <w:szCs w:val="24"/>
              </w:rPr>
              <w:t>BBTN</w:t>
            </w:r>
          </w:p>
        </w:tc>
        <w:tc>
          <w:tcPr>
            <w:tcW w:w="876" w:type="dxa"/>
          </w:tcPr>
          <w:p w14:paraId="54EAB226" w14:textId="3BADD0DA"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115,71</w:t>
            </w:r>
          </w:p>
        </w:tc>
        <w:tc>
          <w:tcPr>
            <w:tcW w:w="1070" w:type="dxa"/>
          </w:tcPr>
          <w:p w14:paraId="4AC138F1" w14:textId="5688B81C"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112,39</w:t>
            </w:r>
          </w:p>
        </w:tc>
        <w:tc>
          <w:tcPr>
            <w:tcW w:w="1070" w:type="dxa"/>
          </w:tcPr>
          <w:p w14:paraId="71B246EC" w14:textId="2E332CB3"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113,48</w:t>
            </w:r>
          </w:p>
        </w:tc>
        <w:tc>
          <w:tcPr>
            <w:tcW w:w="1070" w:type="dxa"/>
          </w:tcPr>
          <w:p w14:paraId="5F57AF9D" w14:textId="66AAE473"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114,45</w:t>
            </w:r>
          </w:p>
        </w:tc>
        <w:tc>
          <w:tcPr>
            <w:tcW w:w="1070" w:type="dxa"/>
          </w:tcPr>
          <w:p w14:paraId="41F8F8D2" w14:textId="5EF784C3" w:rsidR="0049747C" w:rsidRPr="000F0B7F" w:rsidRDefault="0090450E" w:rsidP="00BC09C6">
            <w:pPr>
              <w:autoSpaceDE w:val="0"/>
              <w:autoSpaceDN w:val="0"/>
              <w:adjustRightInd w:val="0"/>
              <w:spacing w:line="276" w:lineRule="auto"/>
              <w:jc w:val="center"/>
              <w:rPr>
                <w:rFonts w:cs="Times New Roman"/>
                <w:szCs w:val="24"/>
              </w:rPr>
            </w:pPr>
            <w:r>
              <w:rPr>
                <w:rFonts w:cs="Times New Roman"/>
                <w:szCs w:val="24"/>
              </w:rPr>
              <w:t>115,11</w:t>
            </w:r>
          </w:p>
        </w:tc>
      </w:tr>
      <w:tr w:rsidR="0049747C" w14:paraId="3D65F7CC" w14:textId="77777777" w:rsidTr="00254A52">
        <w:tc>
          <w:tcPr>
            <w:tcW w:w="667" w:type="dxa"/>
          </w:tcPr>
          <w:p w14:paraId="309FB489" w14:textId="77777777" w:rsidR="0049747C" w:rsidRPr="000F0B7F" w:rsidRDefault="0049747C" w:rsidP="00BC09C6">
            <w:pPr>
              <w:autoSpaceDE w:val="0"/>
              <w:autoSpaceDN w:val="0"/>
              <w:adjustRightInd w:val="0"/>
              <w:spacing w:line="276" w:lineRule="auto"/>
              <w:jc w:val="center"/>
              <w:rPr>
                <w:rFonts w:cs="Times New Roman"/>
                <w:szCs w:val="24"/>
              </w:rPr>
            </w:pPr>
            <w:r w:rsidRPr="000F0B7F">
              <w:rPr>
                <w:rFonts w:cs="Times New Roman"/>
                <w:szCs w:val="24"/>
              </w:rPr>
              <w:t>5.</w:t>
            </w:r>
          </w:p>
        </w:tc>
        <w:tc>
          <w:tcPr>
            <w:tcW w:w="1729" w:type="dxa"/>
          </w:tcPr>
          <w:p w14:paraId="79DDAC5B" w14:textId="77777777" w:rsidR="0049747C" w:rsidRPr="000F0B7F" w:rsidRDefault="0049747C" w:rsidP="00BC09C6">
            <w:pPr>
              <w:autoSpaceDE w:val="0"/>
              <w:autoSpaceDN w:val="0"/>
              <w:adjustRightInd w:val="0"/>
              <w:spacing w:line="276" w:lineRule="auto"/>
              <w:jc w:val="center"/>
              <w:rPr>
                <w:rFonts w:cs="Times New Roman"/>
                <w:szCs w:val="24"/>
              </w:rPr>
            </w:pPr>
            <w:r w:rsidRPr="000F0B7F">
              <w:rPr>
                <w:rFonts w:cs="Times New Roman"/>
                <w:szCs w:val="24"/>
              </w:rPr>
              <w:t>BMRI</w:t>
            </w:r>
          </w:p>
        </w:tc>
        <w:tc>
          <w:tcPr>
            <w:tcW w:w="876" w:type="dxa"/>
          </w:tcPr>
          <w:p w14:paraId="482A0EED" w14:textId="3C4DF676"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128,52</w:t>
            </w:r>
          </w:p>
        </w:tc>
        <w:tc>
          <w:tcPr>
            <w:tcW w:w="1070" w:type="dxa"/>
          </w:tcPr>
          <w:p w14:paraId="108B7B48" w14:textId="0A8A1421"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124,15</w:t>
            </w:r>
          </w:p>
        </w:tc>
        <w:tc>
          <w:tcPr>
            <w:tcW w:w="1070" w:type="dxa"/>
          </w:tcPr>
          <w:p w14:paraId="5205432F" w14:textId="531AA768"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130,08</w:t>
            </w:r>
          </w:p>
        </w:tc>
        <w:tc>
          <w:tcPr>
            <w:tcW w:w="1070" w:type="dxa"/>
          </w:tcPr>
          <w:p w14:paraId="2EEF4D99" w14:textId="77B93F3D"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129,04</w:t>
            </w:r>
          </w:p>
        </w:tc>
        <w:tc>
          <w:tcPr>
            <w:tcW w:w="1070" w:type="dxa"/>
          </w:tcPr>
          <w:p w14:paraId="2D80B329" w14:textId="3566002D" w:rsidR="0049747C" w:rsidRPr="000F0B7F" w:rsidRDefault="0090450E" w:rsidP="00BC09C6">
            <w:pPr>
              <w:autoSpaceDE w:val="0"/>
              <w:autoSpaceDN w:val="0"/>
              <w:adjustRightInd w:val="0"/>
              <w:spacing w:line="276" w:lineRule="auto"/>
              <w:jc w:val="center"/>
              <w:rPr>
                <w:rFonts w:cs="Times New Roman"/>
                <w:szCs w:val="24"/>
              </w:rPr>
            </w:pPr>
            <w:r>
              <w:rPr>
                <w:rFonts w:cs="Times New Roman"/>
                <w:szCs w:val="24"/>
              </w:rPr>
              <w:t>130,94</w:t>
            </w:r>
          </w:p>
        </w:tc>
      </w:tr>
      <w:tr w:rsidR="0049747C" w14:paraId="33DD8EF6" w14:textId="77777777" w:rsidTr="00254A52">
        <w:tc>
          <w:tcPr>
            <w:tcW w:w="667" w:type="dxa"/>
          </w:tcPr>
          <w:p w14:paraId="1616519B" w14:textId="4097155B" w:rsidR="0049747C" w:rsidRPr="000F0B7F" w:rsidRDefault="00E610CE" w:rsidP="00BC09C6">
            <w:pPr>
              <w:autoSpaceDE w:val="0"/>
              <w:autoSpaceDN w:val="0"/>
              <w:adjustRightInd w:val="0"/>
              <w:spacing w:line="276" w:lineRule="auto"/>
              <w:jc w:val="center"/>
              <w:rPr>
                <w:rFonts w:cs="Times New Roman"/>
                <w:szCs w:val="24"/>
              </w:rPr>
            </w:pPr>
            <w:r>
              <w:rPr>
                <w:rFonts w:cs="Times New Roman"/>
                <w:szCs w:val="24"/>
              </w:rPr>
              <w:t>6</w:t>
            </w:r>
            <w:r w:rsidR="0049747C" w:rsidRPr="000F0B7F">
              <w:rPr>
                <w:rFonts w:cs="Times New Roman"/>
                <w:szCs w:val="24"/>
              </w:rPr>
              <w:t>.</w:t>
            </w:r>
          </w:p>
        </w:tc>
        <w:tc>
          <w:tcPr>
            <w:tcW w:w="1729" w:type="dxa"/>
          </w:tcPr>
          <w:p w14:paraId="71457515" w14:textId="77777777" w:rsidR="0049747C" w:rsidRPr="000F0B7F" w:rsidRDefault="0049747C" w:rsidP="00BC09C6">
            <w:pPr>
              <w:autoSpaceDE w:val="0"/>
              <w:autoSpaceDN w:val="0"/>
              <w:adjustRightInd w:val="0"/>
              <w:spacing w:line="276" w:lineRule="auto"/>
              <w:jc w:val="center"/>
              <w:rPr>
                <w:rFonts w:cs="Times New Roman"/>
                <w:szCs w:val="24"/>
              </w:rPr>
            </w:pPr>
            <w:r w:rsidRPr="000F0B7F">
              <w:rPr>
                <w:rFonts w:cs="Times New Roman"/>
                <w:szCs w:val="24"/>
              </w:rPr>
              <w:t>UNTR</w:t>
            </w:r>
          </w:p>
        </w:tc>
        <w:tc>
          <w:tcPr>
            <w:tcW w:w="876" w:type="dxa"/>
          </w:tcPr>
          <w:p w14:paraId="10A9954D" w14:textId="512E2494"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155,98</w:t>
            </w:r>
          </w:p>
        </w:tc>
        <w:tc>
          <w:tcPr>
            <w:tcW w:w="1070" w:type="dxa"/>
          </w:tcPr>
          <w:p w14:paraId="54D16963" w14:textId="7BA99655"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211,01</w:t>
            </w:r>
          </w:p>
        </w:tc>
        <w:tc>
          <w:tcPr>
            <w:tcW w:w="1070" w:type="dxa"/>
          </w:tcPr>
          <w:p w14:paraId="00C4E092" w14:textId="69E56CF7"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198,77</w:t>
            </w:r>
          </w:p>
        </w:tc>
        <w:tc>
          <w:tcPr>
            <w:tcW w:w="1070" w:type="dxa"/>
          </w:tcPr>
          <w:p w14:paraId="1BE80035" w14:textId="62CCA7E7"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187,76</w:t>
            </w:r>
          </w:p>
        </w:tc>
        <w:tc>
          <w:tcPr>
            <w:tcW w:w="1070" w:type="dxa"/>
          </w:tcPr>
          <w:p w14:paraId="2E5CA974" w14:textId="086F3900" w:rsidR="0049747C" w:rsidRPr="000F0B7F" w:rsidRDefault="0090450E" w:rsidP="00BC09C6">
            <w:pPr>
              <w:autoSpaceDE w:val="0"/>
              <w:autoSpaceDN w:val="0"/>
              <w:adjustRightInd w:val="0"/>
              <w:spacing w:line="276" w:lineRule="auto"/>
              <w:jc w:val="center"/>
              <w:rPr>
                <w:rFonts w:cs="Times New Roman"/>
                <w:szCs w:val="24"/>
              </w:rPr>
            </w:pPr>
            <w:r>
              <w:rPr>
                <w:rFonts w:cs="Times New Roman"/>
                <w:szCs w:val="24"/>
              </w:rPr>
              <w:t>145,61</w:t>
            </w:r>
          </w:p>
        </w:tc>
      </w:tr>
      <w:tr w:rsidR="0049747C" w14:paraId="2973E93A" w14:textId="77777777" w:rsidTr="00254A52">
        <w:tc>
          <w:tcPr>
            <w:tcW w:w="667" w:type="dxa"/>
          </w:tcPr>
          <w:p w14:paraId="55C23DF5" w14:textId="24E530E6" w:rsidR="0049747C" w:rsidRPr="000F0B7F" w:rsidRDefault="00E610CE" w:rsidP="00BC09C6">
            <w:pPr>
              <w:autoSpaceDE w:val="0"/>
              <w:autoSpaceDN w:val="0"/>
              <w:adjustRightInd w:val="0"/>
              <w:spacing w:line="276" w:lineRule="auto"/>
              <w:jc w:val="center"/>
              <w:rPr>
                <w:rFonts w:cs="Times New Roman"/>
                <w:szCs w:val="24"/>
              </w:rPr>
            </w:pPr>
            <w:r>
              <w:rPr>
                <w:rFonts w:cs="Times New Roman"/>
                <w:szCs w:val="24"/>
              </w:rPr>
              <w:t>7</w:t>
            </w:r>
            <w:r w:rsidR="0049747C" w:rsidRPr="000F0B7F">
              <w:rPr>
                <w:rFonts w:cs="Times New Roman"/>
                <w:szCs w:val="24"/>
              </w:rPr>
              <w:t>.</w:t>
            </w:r>
          </w:p>
        </w:tc>
        <w:tc>
          <w:tcPr>
            <w:tcW w:w="1729" w:type="dxa"/>
          </w:tcPr>
          <w:p w14:paraId="17CFC63F" w14:textId="77777777" w:rsidR="0049747C" w:rsidRPr="000F0B7F" w:rsidRDefault="0049747C" w:rsidP="00BC09C6">
            <w:pPr>
              <w:autoSpaceDE w:val="0"/>
              <w:autoSpaceDN w:val="0"/>
              <w:adjustRightInd w:val="0"/>
              <w:spacing w:line="276" w:lineRule="auto"/>
              <w:jc w:val="center"/>
              <w:rPr>
                <w:rFonts w:cs="Times New Roman"/>
                <w:szCs w:val="24"/>
              </w:rPr>
            </w:pPr>
            <w:r w:rsidRPr="000F0B7F">
              <w:rPr>
                <w:rFonts w:cs="Times New Roman"/>
                <w:szCs w:val="24"/>
              </w:rPr>
              <w:t>UNVR</w:t>
            </w:r>
          </w:p>
        </w:tc>
        <w:tc>
          <w:tcPr>
            <w:tcW w:w="876" w:type="dxa"/>
          </w:tcPr>
          <w:p w14:paraId="18F51FC7" w14:textId="7A462525"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65,29</w:t>
            </w:r>
          </w:p>
        </w:tc>
        <w:tc>
          <w:tcPr>
            <w:tcW w:w="1070" w:type="dxa"/>
          </w:tcPr>
          <w:p w14:paraId="0ED0D450" w14:textId="7F278E7B"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66,09</w:t>
            </w:r>
          </w:p>
        </w:tc>
        <w:tc>
          <w:tcPr>
            <w:tcW w:w="1070" w:type="dxa"/>
          </w:tcPr>
          <w:p w14:paraId="7C6DAB52" w14:textId="09659954"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61,41</w:t>
            </w:r>
          </w:p>
        </w:tc>
        <w:tc>
          <w:tcPr>
            <w:tcW w:w="1070" w:type="dxa"/>
          </w:tcPr>
          <w:p w14:paraId="165253B7" w14:textId="28A4D6C2"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60,82</w:t>
            </w:r>
          </w:p>
        </w:tc>
        <w:tc>
          <w:tcPr>
            <w:tcW w:w="1070" w:type="dxa"/>
          </w:tcPr>
          <w:p w14:paraId="6F624EBF" w14:textId="015F63EA" w:rsidR="0049747C" w:rsidRPr="000F0B7F" w:rsidRDefault="0090450E" w:rsidP="00BC09C6">
            <w:pPr>
              <w:autoSpaceDE w:val="0"/>
              <w:autoSpaceDN w:val="0"/>
              <w:adjustRightInd w:val="0"/>
              <w:spacing w:line="276" w:lineRule="auto"/>
              <w:jc w:val="center"/>
              <w:rPr>
                <w:rFonts w:cs="Times New Roman"/>
                <w:szCs w:val="24"/>
              </w:rPr>
            </w:pPr>
            <w:r>
              <w:rPr>
                <w:rFonts w:cs="Times New Roman"/>
                <w:szCs w:val="24"/>
              </w:rPr>
              <w:t>55,17</w:t>
            </w:r>
          </w:p>
        </w:tc>
      </w:tr>
      <w:tr w:rsidR="0049747C" w14:paraId="63EDDD97" w14:textId="77777777" w:rsidTr="00254A52">
        <w:tc>
          <w:tcPr>
            <w:tcW w:w="667" w:type="dxa"/>
          </w:tcPr>
          <w:p w14:paraId="5EC72904" w14:textId="66275D4A" w:rsidR="0049747C" w:rsidRPr="000F0B7F" w:rsidRDefault="00E610CE" w:rsidP="00BC09C6">
            <w:pPr>
              <w:autoSpaceDE w:val="0"/>
              <w:autoSpaceDN w:val="0"/>
              <w:adjustRightInd w:val="0"/>
              <w:spacing w:line="276" w:lineRule="auto"/>
              <w:jc w:val="center"/>
              <w:rPr>
                <w:rFonts w:cs="Times New Roman"/>
                <w:szCs w:val="24"/>
              </w:rPr>
            </w:pPr>
            <w:r>
              <w:rPr>
                <w:rFonts w:cs="Times New Roman"/>
                <w:szCs w:val="24"/>
              </w:rPr>
              <w:t>8</w:t>
            </w:r>
            <w:r w:rsidR="0049747C" w:rsidRPr="000F0B7F">
              <w:rPr>
                <w:rFonts w:cs="Times New Roman"/>
                <w:szCs w:val="24"/>
              </w:rPr>
              <w:t>.</w:t>
            </w:r>
          </w:p>
        </w:tc>
        <w:tc>
          <w:tcPr>
            <w:tcW w:w="1729" w:type="dxa"/>
          </w:tcPr>
          <w:p w14:paraId="197D5B38" w14:textId="0234806E"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WI</w:t>
            </w:r>
            <w:r w:rsidRPr="000F0B7F">
              <w:rPr>
                <w:rFonts w:cs="Times New Roman"/>
                <w:szCs w:val="24"/>
              </w:rPr>
              <w:t>KA</w:t>
            </w:r>
          </w:p>
        </w:tc>
        <w:tc>
          <w:tcPr>
            <w:tcW w:w="876" w:type="dxa"/>
          </w:tcPr>
          <w:p w14:paraId="792121DF" w14:textId="570BE7C4"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139,49</w:t>
            </w:r>
          </w:p>
        </w:tc>
        <w:tc>
          <w:tcPr>
            <w:tcW w:w="1070" w:type="dxa"/>
          </w:tcPr>
          <w:p w14:paraId="071D6080" w14:textId="45F2C68A"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108,63</w:t>
            </w:r>
          </w:p>
        </w:tc>
        <w:tc>
          <w:tcPr>
            <w:tcW w:w="1070" w:type="dxa"/>
          </w:tcPr>
          <w:p w14:paraId="0D0BC4FA" w14:textId="49C4096D"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129,78</w:t>
            </w:r>
          </w:p>
        </w:tc>
        <w:tc>
          <w:tcPr>
            <w:tcW w:w="1070" w:type="dxa"/>
          </w:tcPr>
          <w:p w14:paraId="17906052" w14:textId="26F7BD3A" w:rsidR="0049747C" w:rsidRPr="000F0B7F" w:rsidRDefault="0049747C" w:rsidP="00BC09C6">
            <w:pPr>
              <w:autoSpaceDE w:val="0"/>
              <w:autoSpaceDN w:val="0"/>
              <w:adjustRightInd w:val="0"/>
              <w:spacing w:line="276" w:lineRule="auto"/>
              <w:jc w:val="center"/>
              <w:rPr>
                <w:rFonts w:cs="Times New Roman"/>
                <w:szCs w:val="24"/>
              </w:rPr>
            </w:pPr>
            <w:r>
              <w:rPr>
                <w:rFonts w:cs="Times New Roman"/>
                <w:szCs w:val="24"/>
              </w:rPr>
              <w:t>109,68</w:t>
            </w:r>
          </w:p>
        </w:tc>
        <w:tc>
          <w:tcPr>
            <w:tcW w:w="1070" w:type="dxa"/>
          </w:tcPr>
          <w:p w14:paraId="18CBF7CB" w14:textId="0A426277" w:rsidR="0049747C" w:rsidRPr="000F0B7F" w:rsidRDefault="0090450E" w:rsidP="00BC09C6">
            <w:pPr>
              <w:autoSpaceDE w:val="0"/>
              <w:autoSpaceDN w:val="0"/>
              <w:adjustRightInd w:val="0"/>
              <w:spacing w:line="276" w:lineRule="auto"/>
              <w:jc w:val="center"/>
              <w:rPr>
                <w:rFonts w:cs="Times New Roman"/>
                <w:szCs w:val="24"/>
              </w:rPr>
            </w:pPr>
            <w:r>
              <w:rPr>
                <w:rFonts w:cs="Times New Roman"/>
                <w:szCs w:val="24"/>
              </w:rPr>
              <w:t>79,71</w:t>
            </w:r>
          </w:p>
        </w:tc>
      </w:tr>
      <w:tr w:rsidR="0049747C" w14:paraId="39B41FD7" w14:textId="77777777" w:rsidTr="00254A52">
        <w:tc>
          <w:tcPr>
            <w:tcW w:w="2396" w:type="dxa"/>
            <w:gridSpan w:val="2"/>
          </w:tcPr>
          <w:p w14:paraId="375AE88F" w14:textId="77777777" w:rsidR="0049747C" w:rsidRPr="00270B21" w:rsidRDefault="0049747C" w:rsidP="00BC09C6">
            <w:pPr>
              <w:autoSpaceDE w:val="0"/>
              <w:autoSpaceDN w:val="0"/>
              <w:adjustRightInd w:val="0"/>
              <w:spacing w:line="276" w:lineRule="auto"/>
              <w:jc w:val="center"/>
              <w:rPr>
                <w:rFonts w:cs="Times New Roman"/>
                <w:szCs w:val="24"/>
              </w:rPr>
            </w:pPr>
            <w:r w:rsidRPr="00270B21">
              <w:rPr>
                <w:rFonts w:cs="Times New Roman"/>
                <w:szCs w:val="24"/>
              </w:rPr>
              <w:lastRenderedPageBreak/>
              <w:t>Nila</w:t>
            </w:r>
            <w:r>
              <w:rPr>
                <w:rFonts w:cs="Times New Roman"/>
                <w:szCs w:val="24"/>
              </w:rPr>
              <w:t>i T</w:t>
            </w:r>
            <w:r w:rsidRPr="00270B21">
              <w:rPr>
                <w:rFonts w:cs="Times New Roman"/>
                <w:szCs w:val="24"/>
              </w:rPr>
              <w:t>ertinggi</w:t>
            </w:r>
          </w:p>
        </w:tc>
        <w:tc>
          <w:tcPr>
            <w:tcW w:w="5156" w:type="dxa"/>
            <w:gridSpan w:val="5"/>
          </w:tcPr>
          <w:p w14:paraId="359895B5" w14:textId="1A4ED730" w:rsidR="0049747C" w:rsidRPr="00270B21" w:rsidRDefault="00E610CE" w:rsidP="00BC09C6">
            <w:pPr>
              <w:autoSpaceDE w:val="0"/>
              <w:autoSpaceDN w:val="0"/>
              <w:adjustRightInd w:val="0"/>
              <w:spacing w:line="276" w:lineRule="auto"/>
              <w:jc w:val="center"/>
              <w:rPr>
                <w:rFonts w:cs="Times New Roman"/>
                <w:szCs w:val="24"/>
              </w:rPr>
            </w:pPr>
            <w:r w:rsidRPr="00E606BA">
              <w:rPr>
                <w:rFonts w:cs="Times New Roman"/>
                <w:color w:val="010205"/>
                <w:szCs w:val="24"/>
              </w:rPr>
              <w:t>482.84</w:t>
            </w:r>
          </w:p>
        </w:tc>
      </w:tr>
      <w:tr w:rsidR="0049747C" w14:paraId="1D9E6EC4" w14:textId="77777777" w:rsidTr="00254A52">
        <w:tc>
          <w:tcPr>
            <w:tcW w:w="2396" w:type="dxa"/>
            <w:gridSpan w:val="2"/>
          </w:tcPr>
          <w:p w14:paraId="4E3641D6" w14:textId="77777777" w:rsidR="0049747C" w:rsidRPr="00270B21" w:rsidRDefault="0049747C" w:rsidP="00BC09C6">
            <w:pPr>
              <w:autoSpaceDE w:val="0"/>
              <w:autoSpaceDN w:val="0"/>
              <w:adjustRightInd w:val="0"/>
              <w:spacing w:line="276" w:lineRule="auto"/>
              <w:jc w:val="center"/>
              <w:rPr>
                <w:rFonts w:cs="Times New Roman"/>
                <w:szCs w:val="24"/>
              </w:rPr>
            </w:pPr>
            <w:r w:rsidRPr="00270B21">
              <w:rPr>
                <w:rFonts w:cs="Times New Roman"/>
                <w:szCs w:val="24"/>
              </w:rPr>
              <w:t xml:space="preserve">Nilai </w:t>
            </w:r>
            <w:r>
              <w:rPr>
                <w:rFonts w:cs="Times New Roman"/>
                <w:szCs w:val="24"/>
              </w:rPr>
              <w:t>T</w:t>
            </w:r>
            <w:r w:rsidRPr="00270B21">
              <w:rPr>
                <w:rFonts w:cs="Times New Roman"/>
                <w:szCs w:val="24"/>
              </w:rPr>
              <w:t xml:space="preserve">erendah </w:t>
            </w:r>
          </w:p>
        </w:tc>
        <w:tc>
          <w:tcPr>
            <w:tcW w:w="5156" w:type="dxa"/>
            <w:gridSpan w:val="5"/>
          </w:tcPr>
          <w:p w14:paraId="12889A91" w14:textId="18194184" w:rsidR="0049747C" w:rsidRPr="00270B21" w:rsidRDefault="00E610CE" w:rsidP="00BC09C6">
            <w:pPr>
              <w:autoSpaceDE w:val="0"/>
              <w:autoSpaceDN w:val="0"/>
              <w:adjustRightInd w:val="0"/>
              <w:spacing w:line="276" w:lineRule="auto"/>
              <w:jc w:val="center"/>
              <w:rPr>
                <w:rFonts w:cs="Times New Roman"/>
                <w:szCs w:val="24"/>
              </w:rPr>
            </w:pPr>
            <w:r w:rsidRPr="00E606BA">
              <w:rPr>
                <w:rFonts w:cs="Times New Roman"/>
                <w:color w:val="010205"/>
                <w:szCs w:val="24"/>
              </w:rPr>
              <w:t>-8.77</w:t>
            </w:r>
          </w:p>
        </w:tc>
      </w:tr>
      <w:tr w:rsidR="0049747C" w14:paraId="3CA9ABE7" w14:textId="77777777" w:rsidTr="00254A52">
        <w:tc>
          <w:tcPr>
            <w:tcW w:w="2396" w:type="dxa"/>
            <w:gridSpan w:val="2"/>
          </w:tcPr>
          <w:p w14:paraId="620C109F" w14:textId="77777777" w:rsidR="0049747C" w:rsidRPr="00270B21" w:rsidRDefault="0049747C" w:rsidP="00BC09C6">
            <w:pPr>
              <w:autoSpaceDE w:val="0"/>
              <w:autoSpaceDN w:val="0"/>
              <w:adjustRightInd w:val="0"/>
              <w:spacing w:line="276" w:lineRule="auto"/>
              <w:jc w:val="center"/>
              <w:rPr>
                <w:rFonts w:cs="Times New Roman"/>
                <w:szCs w:val="24"/>
              </w:rPr>
            </w:pPr>
            <w:r w:rsidRPr="00270B21">
              <w:rPr>
                <w:rFonts w:cs="Times New Roman"/>
                <w:szCs w:val="24"/>
              </w:rPr>
              <w:t xml:space="preserve">Nilai </w:t>
            </w:r>
            <w:r>
              <w:rPr>
                <w:rFonts w:cs="Times New Roman"/>
                <w:szCs w:val="24"/>
              </w:rPr>
              <w:t>R</w:t>
            </w:r>
            <w:r w:rsidRPr="00270B21">
              <w:rPr>
                <w:rFonts w:cs="Times New Roman"/>
                <w:szCs w:val="24"/>
              </w:rPr>
              <w:t xml:space="preserve">ata-rata </w:t>
            </w:r>
          </w:p>
        </w:tc>
        <w:tc>
          <w:tcPr>
            <w:tcW w:w="5156" w:type="dxa"/>
            <w:gridSpan w:val="5"/>
          </w:tcPr>
          <w:p w14:paraId="03E67F2E" w14:textId="0004E20C" w:rsidR="0049747C" w:rsidRPr="00270B21" w:rsidRDefault="00E610CE" w:rsidP="00BC09C6">
            <w:pPr>
              <w:autoSpaceDE w:val="0"/>
              <w:autoSpaceDN w:val="0"/>
              <w:adjustRightInd w:val="0"/>
              <w:spacing w:line="276" w:lineRule="auto"/>
              <w:jc w:val="center"/>
              <w:rPr>
                <w:rFonts w:cs="Times New Roman"/>
                <w:szCs w:val="24"/>
              </w:rPr>
            </w:pPr>
            <w:r w:rsidRPr="00E606BA">
              <w:rPr>
                <w:rFonts w:cs="Times New Roman"/>
                <w:color w:val="010205"/>
                <w:szCs w:val="24"/>
              </w:rPr>
              <w:t>104.1478</w:t>
            </w:r>
          </w:p>
        </w:tc>
      </w:tr>
    </w:tbl>
    <w:p w14:paraId="54348C7E" w14:textId="3820EA39" w:rsidR="00884730" w:rsidRDefault="00884730" w:rsidP="00884730">
      <w:pPr>
        <w:autoSpaceDE w:val="0"/>
        <w:autoSpaceDN w:val="0"/>
        <w:adjustRightInd w:val="0"/>
        <w:spacing w:after="0" w:line="480" w:lineRule="auto"/>
        <w:ind w:left="709"/>
        <w:rPr>
          <w:rFonts w:cs="Times New Roman"/>
          <w:szCs w:val="24"/>
        </w:rPr>
      </w:pPr>
      <w:r w:rsidRPr="00270B21">
        <w:rPr>
          <w:rFonts w:cs="Times New Roman"/>
          <w:szCs w:val="24"/>
        </w:rPr>
        <w:t>Su</w:t>
      </w:r>
      <w:r>
        <w:rPr>
          <w:rFonts w:cs="Times New Roman"/>
          <w:szCs w:val="24"/>
        </w:rPr>
        <w:t>mber</w:t>
      </w:r>
      <w:r w:rsidRPr="00270B21">
        <w:rPr>
          <w:rFonts w:cs="Times New Roman"/>
          <w:szCs w:val="24"/>
        </w:rPr>
        <w:t>: Data sekunder yang diolah tahun 2024</w:t>
      </w:r>
    </w:p>
    <w:p w14:paraId="314A5026" w14:textId="01A220DF" w:rsidR="0090450E" w:rsidRDefault="0090450E" w:rsidP="0090450E">
      <w:pPr>
        <w:autoSpaceDE w:val="0"/>
        <w:autoSpaceDN w:val="0"/>
        <w:adjustRightInd w:val="0"/>
        <w:spacing w:after="0" w:line="480" w:lineRule="auto"/>
        <w:ind w:left="709" w:firstLine="425"/>
        <w:rPr>
          <w:rFonts w:cs="Times New Roman"/>
          <w:szCs w:val="24"/>
        </w:rPr>
      </w:pPr>
      <w:r w:rsidRPr="009D6F1C">
        <w:rPr>
          <w:rFonts w:cs="Times New Roman"/>
          <w:szCs w:val="24"/>
        </w:rPr>
        <w:t>Berdasarkan tab</w:t>
      </w:r>
      <w:r w:rsidR="004A26EE">
        <w:rPr>
          <w:rFonts w:cs="Times New Roman"/>
          <w:szCs w:val="24"/>
        </w:rPr>
        <w:t>el diatas, data variabel likuiditas</w:t>
      </w:r>
      <w:r w:rsidRPr="009D6F1C">
        <w:rPr>
          <w:rFonts w:cs="Times New Roman"/>
          <w:szCs w:val="24"/>
        </w:rPr>
        <w:t xml:space="preserve"> pada tahun 2019-2023 bisa digambarkan dengan grafik sebagai berikut:</w:t>
      </w:r>
    </w:p>
    <w:p w14:paraId="19B19CBB" w14:textId="1DA40FD3" w:rsidR="0090450E" w:rsidRPr="00C512DE" w:rsidRDefault="00C512DE" w:rsidP="00C512DE">
      <w:pPr>
        <w:pStyle w:val="Caption"/>
        <w:jc w:val="center"/>
        <w:rPr>
          <w:rFonts w:cs="Times New Roman"/>
          <w:b w:val="0"/>
          <w:color w:val="auto"/>
          <w:sz w:val="24"/>
          <w:szCs w:val="24"/>
        </w:rPr>
      </w:pPr>
      <w:bookmarkStart w:id="17" w:name="_Toc168371620"/>
      <w:r w:rsidRPr="00C512DE">
        <w:rPr>
          <w:color w:val="auto"/>
          <w:sz w:val="24"/>
          <w:szCs w:val="24"/>
        </w:rPr>
        <w:t xml:space="preserve">Gambar.  </w:t>
      </w:r>
      <w:r w:rsidRPr="00C512DE">
        <w:rPr>
          <w:color w:val="auto"/>
          <w:sz w:val="24"/>
          <w:szCs w:val="24"/>
        </w:rPr>
        <w:fldChar w:fldCharType="begin"/>
      </w:r>
      <w:r w:rsidRPr="00C512DE">
        <w:rPr>
          <w:color w:val="auto"/>
          <w:sz w:val="24"/>
          <w:szCs w:val="24"/>
        </w:rPr>
        <w:instrText xml:space="preserve"> SEQ Gambar._ \* ARABIC </w:instrText>
      </w:r>
      <w:r w:rsidRPr="00C512DE">
        <w:rPr>
          <w:color w:val="auto"/>
          <w:sz w:val="24"/>
          <w:szCs w:val="24"/>
        </w:rPr>
        <w:fldChar w:fldCharType="separate"/>
      </w:r>
      <w:r w:rsidR="0017483D">
        <w:rPr>
          <w:noProof/>
          <w:color w:val="auto"/>
          <w:sz w:val="24"/>
          <w:szCs w:val="24"/>
        </w:rPr>
        <w:t>5</w:t>
      </w:r>
      <w:r w:rsidRPr="00C512DE">
        <w:rPr>
          <w:color w:val="auto"/>
          <w:sz w:val="24"/>
          <w:szCs w:val="24"/>
        </w:rPr>
        <w:fldChar w:fldCharType="end"/>
      </w:r>
      <w:r w:rsidRPr="00C512DE">
        <w:rPr>
          <w:color w:val="auto"/>
          <w:sz w:val="24"/>
          <w:szCs w:val="24"/>
          <w:lang w:val="en-US"/>
        </w:rPr>
        <w:t xml:space="preserve"> Grafik Likuiditas tahun 2019-2023</w:t>
      </w:r>
      <w:bookmarkEnd w:id="17"/>
    </w:p>
    <w:p w14:paraId="05E277CB" w14:textId="487084A4" w:rsidR="0090450E" w:rsidRDefault="00E610CE" w:rsidP="008E5CBC">
      <w:pPr>
        <w:autoSpaceDE w:val="0"/>
        <w:autoSpaceDN w:val="0"/>
        <w:adjustRightInd w:val="0"/>
        <w:spacing w:after="0" w:line="276" w:lineRule="auto"/>
        <w:ind w:firstLine="425"/>
        <w:jc w:val="center"/>
        <w:rPr>
          <w:rFonts w:cs="Times New Roman"/>
          <w:b/>
          <w:szCs w:val="24"/>
        </w:rPr>
      </w:pPr>
      <w:r>
        <w:rPr>
          <w:noProof/>
        </w:rPr>
        <w:drawing>
          <wp:inline distT="0" distB="0" distL="0" distR="0" wp14:anchorId="1F9D68FD" wp14:editId="19924831">
            <wp:extent cx="45720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221B0F" w14:textId="238BD059" w:rsidR="008E5CBC" w:rsidRDefault="008E5CBC" w:rsidP="008E5CBC">
      <w:pPr>
        <w:autoSpaceDE w:val="0"/>
        <w:autoSpaceDN w:val="0"/>
        <w:adjustRightInd w:val="0"/>
        <w:spacing w:after="0" w:line="276" w:lineRule="auto"/>
        <w:ind w:left="851"/>
        <w:rPr>
          <w:rFonts w:cs="Times New Roman"/>
          <w:szCs w:val="24"/>
        </w:rPr>
      </w:pPr>
      <w:r w:rsidRPr="00270B21">
        <w:rPr>
          <w:rFonts w:cs="Times New Roman"/>
          <w:szCs w:val="24"/>
        </w:rPr>
        <w:t>Su</w:t>
      </w:r>
      <w:r>
        <w:rPr>
          <w:rFonts w:cs="Times New Roman"/>
          <w:szCs w:val="24"/>
        </w:rPr>
        <w:t>mber</w:t>
      </w:r>
      <w:r w:rsidRPr="00270B21">
        <w:rPr>
          <w:rFonts w:cs="Times New Roman"/>
          <w:szCs w:val="24"/>
        </w:rPr>
        <w:t>: Data sekunder yang diolah tahun 2024</w:t>
      </w:r>
    </w:p>
    <w:p w14:paraId="45C4B322" w14:textId="5705A534" w:rsidR="00EF7B78" w:rsidRDefault="00EF7B78" w:rsidP="008E5CBC">
      <w:pPr>
        <w:autoSpaceDE w:val="0"/>
        <w:autoSpaceDN w:val="0"/>
        <w:adjustRightInd w:val="0"/>
        <w:spacing w:after="0" w:line="276" w:lineRule="auto"/>
        <w:ind w:left="851"/>
        <w:rPr>
          <w:rFonts w:cs="Times New Roman"/>
          <w:szCs w:val="24"/>
        </w:rPr>
      </w:pPr>
    </w:p>
    <w:p w14:paraId="0E9F9B34" w14:textId="05CFF2A3" w:rsidR="00EF7B78" w:rsidRDefault="00EF7B78" w:rsidP="00EF7B78">
      <w:pPr>
        <w:pStyle w:val="NoSpacing"/>
        <w:spacing w:line="480" w:lineRule="auto"/>
        <w:ind w:left="426" w:firstLine="425"/>
      </w:pPr>
      <w:r w:rsidRPr="00EF7B78">
        <w:t xml:space="preserve">Berdasarkan </w:t>
      </w:r>
      <w:r w:rsidR="00772966">
        <w:t>grafik diatas, diketahui bahwa l</w:t>
      </w:r>
      <w:r w:rsidRPr="00EF7B78">
        <w:t xml:space="preserve">ikuiditas tertinggi pada tahun 2019 terdapat pada </w:t>
      </w:r>
      <w:r w:rsidR="00274326" w:rsidRPr="001002FD">
        <w:rPr>
          <w:rFonts w:cs="Times New Roman"/>
          <w:szCs w:val="24"/>
        </w:rPr>
        <w:t xml:space="preserve">PT </w:t>
      </w:r>
      <w:r w:rsidR="00274326">
        <w:rPr>
          <w:rFonts w:cs="Times New Roman"/>
          <w:szCs w:val="24"/>
        </w:rPr>
        <w:t xml:space="preserve">United Tractors (UNTR) </w:t>
      </w:r>
      <w:r w:rsidR="00274326">
        <w:t>sebesar 155,98</w:t>
      </w:r>
      <w:r w:rsidRPr="00EF7B78">
        <w:t>7% sedangkan likuiditas terendah terdapat pada PT Unilever Indonesia (UNVR) s</w:t>
      </w:r>
      <w:r w:rsidR="00772966">
        <w:t>ebesar 65,29%. Pada tahun 2020 l</w:t>
      </w:r>
      <w:r w:rsidRPr="00EF7B78">
        <w:t xml:space="preserve">ikuiditas tertinggi terdapat pada </w:t>
      </w:r>
      <w:r w:rsidR="00274326" w:rsidRPr="001002FD">
        <w:rPr>
          <w:rFonts w:cs="Times New Roman"/>
          <w:szCs w:val="24"/>
        </w:rPr>
        <w:t xml:space="preserve">PT </w:t>
      </w:r>
      <w:r w:rsidR="00274326">
        <w:rPr>
          <w:rFonts w:cs="Times New Roman"/>
          <w:szCs w:val="24"/>
        </w:rPr>
        <w:t xml:space="preserve">United Tractors (UNTR) </w:t>
      </w:r>
      <w:r w:rsidR="00274326">
        <w:t>sebesar 221,01</w:t>
      </w:r>
      <w:r w:rsidRPr="00EF7B78">
        <w:t xml:space="preserve">% sedangkan likuiditas terendah terdapat pada PT Unilever Indonesia (UNVR) sebesar 66,09%. Pada tahun 2021 likuiditas tertinggi terdapat </w:t>
      </w:r>
      <w:r w:rsidRPr="00EF7B78">
        <w:lastRenderedPageBreak/>
        <w:t xml:space="preserve">pada </w:t>
      </w:r>
      <w:r w:rsidR="00274326" w:rsidRPr="001002FD">
        <w:rPr>
          <w:rFonts w:cs="Times New Roman"/>
          <w:szCs w:val="24"/>
        </w:rPr>
        <w:t xml:space="preserve">PT </w:t>
      </w:r>
      <w:r w:rsidR="00274326">
        <w:rPr>
          <w:rFonts w:cs="Times New Roman"/>
          <w:szCs w:val="24"/>
        </w:rPr>
        <w:t xml:space="preserve">United Tractors (UNTR) </w:t>
      </w:r>
      <w:r w:rsidR="00274326">
        <w:t>sebesar 198,77</w:t>
      </w:r>
      <w:r w:rsidRPr="00EF7B78">
        <w:t xml:space="preserve">% sedangkan likuiditas terendah terdapat pada PT Unilever Indonesia (UNVR) sebesar 61,41%. Pada tahun 2022 likuiditas tertinggi terdapat pada </w:t>
      </w:r>
      <w:r w:rsidR="00274326" w:rsidRPr="001002FD">
        <w:rPr>
          <w:rFonts w:cs="Times New Roman"/>
          <w:szCs w:val="24"/>
        </w:rPr>
        <w:t xml:space="preserve">PT </w:t>
      </w:r>
      <w:r w:rsidR="00274326">
        <w:rPr>
          <w:rFonts w:cs="Times New Roman"/>
          <w:szCs w:val="24"/>
        </w:rPr>
        <w:t xml:space="preserve">United Tractors (UNTR) </w:t>
      </w:r>
      <w:r w:rsidR="00274326">
        <w:t>sebesar 187,76</w:t>
      </w:r>
      <w:r w:rsidRPr="00EF7B78">
        <w:t xml:space="preserve">% sedangkan likuiditas terendah terdapat pada PT Unilever Indonesia  (UNVR) sebesar 60,82%. Dan pada tahun 2023 likuiditas tertinggi terdapat pada </w:t>
      </w:r>
      <w:r w:rsidR="00274326" w:rsidRPr="001002FD">
        <w:rPr>
          <w:rFonts w:cs="Times New Roman"/>
          <w:szCs w:val="24"/>
        </w:rPr>
        <w:t xml:space="preserve">PT </w:t>
      </w:r>
      <w:r w:rsidR="00274326">
        <w:rPr>
          <w:rFonts w:cs="Times New Roman"/>
          <w:szCs w:val="24"/>
        </w:rPr>
        <w:t xml:space="preserve">United Tractors (UNTR) </w:t>
      </w:r>
      <w:r w:rsidRPr="00EF7B78">
        <w:t xml:space="preserve"> sebes</w:t>
      </w:r>
      <w:r w:rsidR="00274326">
        <w:t>ar 145,61</w:t>
      </w:r>
      <w:r>
        <w:t xml:space="preserve">% sedangkan likuiditas </w:t>
      </w:r>
      <w:r w:rsidRPr="00EF7B78">
        <w:t>terendah terdapat pada PT Unilever Indonesia (UNVR) sebesar 55,17%.</w:t>
      </w:r>
    </w:p>
    <w:p w14:paraId="4EA14C12" w14:textId="2F4225F2" w:rsidR="00306D32" w:rsidRPr="00747CBA" w:rsidRDefault="00747CBA" w:rsidP="00306D32">
      <w:pPr>
        <w:pStyle w:val="NoSpacing"/>
        <w:numPr>
          <w:ilvl w:val="1"/>
          <w:numId w:val="34"/>
        </w:numPr>
        <w:spacing w:line="480" w:lineRule="auto"/>
        <w:ind w:left="851"/>
        <w:rPr>
          <w:i/>
        </w:rPr>
      </w:pPr>
      <w:r>
        <w:t xml:space="preserve">Ukuran Perusahaan </w:t>
      </w:r>
      <w:r w:rsidRPr="00747CBA">
        <w:rPr>
          <w:i/>
        </w:rPr>
        <w:t>(</w:t>
      </w:r>
      <w:r w:rsidR="00306D32" w:rsidRPr="00747CBA">
        <w:rPr>
          <w:i/>
        </w:rPr>
        <w:t>Firm Size</w:t>
      </w:r>
      <w:r w:rsidRPr="00747CBA">
        <w:rPr>
          <w:i/>
        </w:rPr>
        <w:t>)</w:t>
      </w:r>
      <w:r w:rsidR="00306D32" w:rsidRPr="00747CBA">
        <w:rPr>
          <w:i/>
        </w:rPr>
        <w:t xml:space="preserve"> </w:t>
      </w:r>
    </w:p>
    <w:p w14:paraId="3CF7F7F1" w14:textId="09D42D39" w:rsidR="00306D32" w:rsidRDefault="00306D32" w:rsidP="00306D32">
      <w:pPr>
        <w:pStyle w:val="ListParagraph"/>
        <w:spacing w:line="480" w:lineRule="auto"/>
        <w:ind w:firstLine="720"/>
      </w:pPr>
      <w:r>
        <w:t>Hasil analisis statis</w:t>
      </w:r>
      <w:r w:rsidR="004A26EE">
        <w:t xml:space="preserve">tik deskriptif untuk </w:t>
      </w:r>
      <w:r w:rsidR="004A26EE" w:rsidRPr="00070BC7">
        <w:rPr>
          <w:i/>
        </w:rPr>
        <w:t>Firm Size</w:t>
      </w:r>
      <w:r w:rsidR="004A26EE">
        <w:t xml:space="preserve"> </w:t>
      </w:r>
      <w:r>
        <w:t>disajikam dalam bentuk tabel berikut:</w:t>
      </w:r>
    </w:p>
    <w:p w14:paraId="26DC747A" w14:textId="0F2814B4" w:rsidR="00306D32" w:rsidRPr="00254A52" w:rsidRDefault="00254A52" w:rsidP="00254A52">
      <w:pPr>
        <w:pStyle w:val="Caption"/>
        <w:jc w:val="center"/>
        <w:rPr>
          <w:rFonts w:cs="Times New Roman"/>
          <w:color w:val="auto"/>
          <w:sz w:val="24"/>
          <w:szCs w:val="24"/>
        </w:rPr>
      </w:pPr>
      <w:bookmarkStart w:id="18" w:name="_Toc168999374"/>
      <w:r w:rsidRPr="00254A52">
        <w:rPr>
          <w:color w:val="auto"/>
          <w:sz w:val="24"/>
          <w:szCs w:val="24"/>
        </w:rPr>
        <w:t xml:space="preserve">Tabel.  </w:t>
      </w:r>
      <w:r w:rsidRPr="00254A52">
        <w:rPr>
          <w:color w:val="auto"/>
          <w:sz w:val="24"/>
          <w:szCs w:val="24"/>
        </w:rPr>
        <w:fldChar w:fldCharType="begin"/>
      </w:r>
      <w:r w:rsidRPr="00254A52">
        <w:rPr>
          <w:color w:val="auto"/>
          <w:sz w:val="24"/>
          <w:szCs w:val="24"/>
        </w:rPr>
        <w:instrText xml:space="preserve"> SEQ Tabel._ \* ARABIC </w:instrText>
      </w:r>
      <w:r w:rsidRPr="00254A52">
        <w:rPr>
          <w:color w:val="auto"/>
          <w:sz w:val="24"/>
          <w:szCs w:val="24"/>
        </w:rPr>
        <w:fldChar w:fldCharType="separate"/>
      </w:r>
      <w:r w:rsidR="0017483D">
        <w:rPr>
          <w:noProof/>
          <w:color w:val="auto"/>
          <w:sz w:val="24"/>
          <w:szCs w:val="24"/>
        </w:rPr>
        <w:t>10</w:t>
      </w:r>
      <w:r w:rsidRPr="00254A52">
        <w:rPr>
          <w:color w:val="auto"/>
          <w:sz w:val="24"/>
          <w:szCs w:val="24"/>
        </w:rPr>
        <w:fldChar w:fldCharType="end"/>
      </w:r>
      <w:r w:rsidRPr="00254A52">
        <w:rPr>
          <w:color w:val="auto"/>
          <w:sz w:val="24"/>
          <w:szCs w:val="24"/>
          <w:lang w:val="en-US"/>
        </w:rPr>
        <w:t xml:space="preserve"> Hasil uji statistik deskriptif Firm Size</w:t>
      </w:r>
      <w:bookmarkEnd w:id="18"/>
    </w:p>
    <w:tbl>
      <w:tblPr>
        <w:tblpPr w:leftFromText="180" w:rightFromText="180" w:vertAnchor="text" w:horzAnchor="margin" w:tblpXSpec="right" w:tblpY="78"/>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274326" w:rsidRPr="00274326" w14:paraId="096C9666" w14:textId="77777777" w:rsidTr="00274326">
        <w:trPr>
          <w:cantSplit/>
        </w:trPr>
        <w:tc>
          <w:tcPr>
            <w:tcW w:w="7394" w:type="dxa"/>
            <w:gridSpan w:val="6"/>
            <w:tcBorders>
              <w:top w:val="nil"/>
              <w:left w:val="nil"/>
              <w:bottom w:val="nil"/>
              <w:right w:val="nil"/>
            </w:tcBorders>
            <w:shd w:val="clear" w:color="auto" w:fill="FFFFFF"/>
            <w:vAlign w:val="center"/>
          </w:tcPr>
          <w:p w14:paraId="5A79B048" w14:textId="77777777" w:rsidR="00274326" w:rsidRPr="00274326" w:rsidRDefault="00274326" w:rsidP="00274326">
            <w:pPr>
              <w:autoSpaceDE w:val="0"/>
              <w:autoSpaceDN w:val="0"/>
              <w:adjustRightInd w:val="0"/>
              <w:spacing w:after="0" w:line="320" w:lineRule="atLeast"/>
              <w:ind w:left="60" w:right="60"/>
              <w:jc w:val="center"/>
              <w:rPr>
                <w:rFonts w:cs="Times New Roman"/>
                <w:color w:val="010205"/>
                <w:sz w:val="22"/>
              </w:rPr>
            </w:pPr>
            <w:r w:rsidRPr="00274326">
              <w:rPr>
                <w:rFonts w:cs="Times New Roman"/>
                <w:b/>
                <w:bCs/>
                <w:color w:val="010205"/>
                <w:sz w:val="22"/>
              </w:rPr>
              <w:t>Descriptive Statistics</w:t>
            </w:r>
          </w:p>
        </w:tc>
      </w:tr>
      <w:tr w:rsidR="00274326" w:rsidRPr="00274326" w14:paraId="59F99FDD" w14:textId="77777777" w:rsidTr="00274326">
        <w:trPr>
          <w:cantSplit/>
        </w:trPr>
        <w:tc>
          <w:tcPr>
            <w:tcW w:w="1706" w:type="dxa"/>
            <w:tcBorders>
              <w:top w:val="nil"/>
              <w:left w:val="nil"/>
              <w:bottom w:val="single" w:sz="8" w:space="0" w:color="152935"/>
              <w:right w:val="nil"/>
            </w:tcBorders>
            <w:shd w:val="clear" w:color="auto" w:fill="FFFFFF"/>
            <w:vAlign w:val="bottom"/>
          </w:tcPr>
          <w:p w14:paraId="25D26B2C" w14:textId="77777777" w:rsidR="00274326" w:rsidRPr="00274326" w:rsidRDefault="00274326" w:rsidP="00274326">
            <w:pPr>
              <w:autoSpaceDE w:val="0"/>
              <w:autoSpaceDN w:val="0"/>
              <w:adjustRightInd w:val="0"/>
              <w:spacing w:after="0" w:line="240" w:lineRule="auto"/>
              <w:jc w:val="left"/>
              <w:rPr>
                <w:rFonts w:cs="Times New Roman"/>
                <w:sz w:val="22"/>
              </w:rPr>
            </w:pPr>
          </w:p>
        </w:tc>
        <w:tc>
          <w:tcPr>
            <w:tcW w:w="1029" w:type="dxa"/>
            <w:tcBorders>
              <w:top w:val="nil"/>
              <w:left w:val="nil"/>
              <w:bottom w:val="single" w:sz="8" w:space="0" w:color="152935"/>
              <w:right w:val="single" w:sz="8" w:space="0" w:color="E0E0E0"/>
            </w:tcBorders>
            <w:shd w:val="clear" w:color="auto" w:fill="FFFFFF"/>
            <w:vAlign w:val="bottom"/>
          </w:tcPr>
          <w:p w14:paraId="14663F98" w14:textId="77777777" w:rsidR="00274326" w:rsidRPr="00274326" w:rsidRDefault="00274326" w:rsidP="00274326">
            <w:pPr>
              <w:autoSpaceDE w:val="0"/>
              <w:autoSpaceDN w:val="0"/>
              <w:adjustRightInd w:val="0"/>
              <w:spacing w:after="0" w:line="320" w:lineRule="atLeast"/>
              <w:ind w:left="60" w:right="60"/>
              <w:jc w:val="center"/>
              <w:rPr>
                <w:rFonts w:cs="Times New Roman"/>
                <w:color w:val="264A60"/>
                <w:sz w:val="22"/>
              </w:rPr>
            </w:pPr>
            <w:r w:rsidRPr="00274326">
              <w:rPr>
                <w:rFonts w:cs="Times New Roman"/>
                <w:color w:val="264A60"/>
                <w:sz w:val="22"/>
              </w:rPr>
              <w:t>N</w:t>
            </w:r>
          </w:p>
        </w:tc>
        <w:tc>
          <w:tcPr>
            <w:tcW w:w="1077" w:type="dxa"/>
            <w:tcBorders>
              <w:top w:val="nil"/>
              <w:left w:val="single" w:sz="8" w:space="0" w:color="E0E0E0"/>
              <w:bottom w:val="single" w:sz="8" w:space="0" w:color="152935"/>
              <w:right w:val="single" w:sz="8" w:space="0" w:color="E0E0E0"/>
            </w:tcBorders>
            <w:shd w:val="clear" w:color="auto" w:fill="FFFFFF"/>
            <w:vAlign w:val="bottom"/>
          </w:tcPr>
          <w:p w14:paraId="31A25E12" w14:textId="77777777" w:rsidR="00274326" w:rsidRPr="00274326" w:rsidRDefault="00274326" w:rsidP="00274326">
            <w:pPr>
              <w:autoSpaceDE w:val="0"/>
              <w:autoSpaceDN w:val="0"/>
              <w:adjustRightInd w:val="0"/>
              <w:spacing w:after="0" w:line="320" w:lineRule="atLeast"/>
              <w:ind w:left="60" w:right="60"/>
              <w:jc w:val="center"/>
              <w:rPr>
                <w:rFonts w:cs="Times New Roman"/>
                <w:color w:val="264A60"/>
                <w:sz w:val="22"/>
              </w:rPr>
            </w:pPr>
            <w:r w:rsidRPr="00274326">
              <w:rPr>
                <w:rFonts w:cs="Times New Roman"/>
                <w:color w:val="264A60"/>
                <w:sz w:val="22"/>
              </w:rPr>
              <w:t>Minimum</w:t>
            </w:r>
          </w:p>
        </w:tc>
        <w:tc>
          <w:tcPr>
            <w:tcW w:w="1107" w:type="dxa"/>
            <w:tcBorders>
              <w:top w:val="nil"/>
              <w:left w:val="single" w:sz="8" w:space="0" w:color="E0E0E0"/>
              <w:bottom w:val="single" w:sz="8" w:space="0" w:color="152935"/>
              <w:right w:val="single" w:sz="8" w:space="0" w:color="E0E0E0"/>
            </w:tcBorders>
            <w:shd w:val="clear" w:color="auto" w:fill="FFFFFF"/>
            <w:vAlign w:val="bottom"/>
          </w:tcPr>
          <w:p w14:paraId="3CFFA6B1" w14:textId="77777777" w:rsidR="00274326" w:rsidRPr="00274326" w:rsidRDefault="00274326" w:rsidP="00274326">
            <w:pPr>
              <w:autoSpaceDE w:val="0"/>
              <w:autoSpaceDN w:val="0"/>
              <w:adjustRightInd w:val="0"/>
              <w:spacing w:after="0" w:line="320" w:lineRule="atLeast"/>
              <w:ind w:left="60" w:right="60"/>
              <w:jc w:val="center"/>
              <w:rPr>
                <w:rFonts w:cs="Times New Roman"/>
                <w:color w:val="264A60"/>
                <w:sz w:val="22"/>
              </w:rPr>
            </w:pPr>
            <w:r w:rsidRPr="00274326">
              <w:rPr>
                <w:rFonts w:cs="Times New Roman"/>
                <w:color w:val="264A60"/>
                <w:sz w:val="22"/>
              </w:rPr>
              <w:t>Maximum</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36AA9916" w14:textId="77777777" w:rsidR="00274326" w:rsidRPr="00274326" w:rsidRDefault="00274326" w:rsidP="00274326">
            <w:pPr>
              <w:autoSpaceDE w:val="0"/>
              <w:autoSpaceDN w:val="0"/>
              <w:adjustRightInd w:val="0"/>
              <w:spacing w:after="0" w:line="320" w:lineRule="atLeast"/>
              <w:ind w:left="60" w:right="60"/>
              <w:jc w:val="center"/>
              <w:rPr>
                <w:rFonts w:cs="Times New Roman"/>
                <w:color w:val="264A60"/>
                <w:sz w:val="22"/>
              </w:rPr>
            </w:pPr>
            <w:r w:rsidRPr="00274326">
              <w:rPr>
                <w:rFonts w:cs="Times New Roman"/>
                <w:color w:val="264A60"/>
                <w:sz w:val="22"/>
              </w:rPr>
              <w:t>Mean</w:t>
            </w:r>
          </w:p>
        </w:tc>
        <w:tc>
          <w:tcPr>
            <w:tcW w:w="1445" w:type="dxa"/>
            <w:tcBorders>
              <w:top w:val="nil"/>
              <w:left w:val="single" w:sz="8" w:space="0" w:color="E0E0E0"/>
              <w:bottom w:val="single" w:sz="8" w:space="0" w:color="152935"/>
              <w:right w:val="nil"/>
            </w:tcBorders>
            <w:shd w:val="clear" w:color="auto" w:fill="FFFFFF"/>
            <w:vAlign w:val="bottom"/>
          </w:tcPr>
          <w:p w14:paraId="49BFB117" w14:textId="77777777" w:rsidR="00274326" w:rsidRPr="00274326" w:rsidRDefault="00274326" w:rsidP="00274326">
            <w:pPr>
              <w:autoSpaceDE w:val="0"/>
              <w:autoSpaceDN w:val="0"/>
              <w:adjustRightInd w:val="0"/>
              <w:spacing w:after="0" w:line="320" w:lineRule="atLeast"/>
              <w:ind w:left="60" w:right="60"/>
              <w:jc w:val="center"/>
              <w:rPr>
                <w:rFonts w:cs="Times New Roman"/>
                <w:color w:val="264A60"/>
                <w:sz w:val="22"/>
              </w:rPr>
            </w:pPr>
            <w:r w:rsidRPr="00274326">
              <w:rPr>
                <w:rFonts w:cs="Times New Roman"/>
                <w:color w:val="264A60"/>
                <w:sz w:val="22"/>
              </w:rPr>
              <w:t>Std. Deviation</w:t>
            </w:r>
          </w:p>
        </w:tc>
      </w:tr>
      <w:tr w:rsidR="00274326" w:rsidRPr="00274326" w14:paraId="75234ACF" w14:textId="77777777" w:rsidTr="00274326">
        <w:trPr>
          <w:cantSplit/>
        </w:trPr>
        <w:tc>
          <w:tcPr>
            <w:tcW w:w="1706" w:type="dxa"/>
            <w:tcBorders>
              <w:top w:val="single" w:sz="8" w:space="0" w:color="152935"/>
              <w:left w:val="nil"/>
              <w:bottom w:val="single" w:sz="8" w:space="0" w:color="AEAEAE"/>
              <w:right w:val="nil"/>
            </w:tcBorders>
            <w:shd w:val="clear" w:color="auto" w:fill="E0E0E0"/>
          </w:tcPr>
          <w:p w14:paraId="5876B953" w14:textId="77777777" w:rsidR="00274326" w:rsidRPr="00274326" w:rsidRDefault="00274326" w:rsidP="00274326">
            <w:pPr>
              <w:autoSpaceDE w:val="0"/>
              <w:autoSpaceDN w:val="0"/>
              <w:adjustRightInd w:val="0"/>
              <w:spacing w:after="0" w:line="320" w:lineRule="atLeast"/>
              <w:ind w:left="60" w:right="60"/>
              <w:jc w:val="left"/>
              <w:rPr>
                <w:rFonts w:cs="Times New Roman"/>
                <w:color w:val="264A60"/>
                <w:sz w:val="22"/>
              </w:rPr>
            </w:pPr>
            <w:r w:rsidRPr="00274326">
              <w:rPr>
                <w:rFonts w:cs="Times New Roman"/>
                <w:color w:val="264A60"/>
                <w:sz w:val="22"/>
              </w:rPr>
              <w:t>Firm size</w:t>
            </w:r>
          </w:p>
        </w:tc>
        <w:tc>
          <w:tcPr>
            <w:tcW w:w="1029" w:type="dxa"/>
            <w:tcBorders>
              <w:top w:val="single" w:sz="8" w:space="0" w:color="152935"/>
              <w:left w:val="nil"/>
              <w:bottom w:val="single" w:sz="8" w:space="0" w:color="AEAEAE"/>
              <w:right w:val="single" w:sz="8" w:space="0" w:color="E0E0E0"/>
            </w:tcBorders>
            <w:shd w:val="clear" w:color="auto" w:fill="FFFFFF"/>
          </w:tcPr>
          <w:p w14:paraId="5DB08F66" w14:textId="77777777" w:rsidR="00274326" w:rsidRPr="00274326" w:rsidRDefault="00274326" w:rsidP="00274326">
            <w:pPr>
              <w:autoSpaceDE w:val="0"/>
              <w:autoSpaceDN w:val="0"/>
              <w:adjustRightInd w:val="0"/>
              <w:spacing w:after="0" w:line="320" w:lineRule="atLeast"/>
              <w:ind w:left="60" w:right="60"/>
              <w:jc w:val="right"/>
              <w:rPr>
                <w:rFonts w:cs="Times New Roman"/>
                <w:color w:val="010205"/>
                <w:sz w:val="22"/>
              </w:rPr>
            </w:pPr>
            <w:r w:rsidRPr="00274326">
              <w:rPr>
                <w:rFonts w:cs="Times New Roman"/>
                <w:color w:val="010205"/>
                <w:sz w:val="22"/>
              </w:rPr>
              <w:t>60</w:t>
            </w:r>
          </w:p>
        </w:tc>
        <w:tc>
          <w:tcPr>
            <w:tcW w:w="1077" w:type="dxa"/>
            <w:tcBorders>
              <w:top w:val="single" w:sz="8" w:space="0" w:color="152935"/>
              <w:left w:val="single" w:sz="8" w:space="0" w:color="E0E0E0"/>
              <w:bottom w:val="single" w:sz="8" w:space="0" w:color="AEAEAE"/>
              <w:right w:val="single" w:sz="8" w:space="0" w:color="E0E0E0"/>
            </w:tcBorders>
            <w:shd w:val="clear" w:color="auto" w:fill="FFFFFF"/>
          </w:tcPr>
          <w:p w14:paraId="597A2B9F" w14:textId="77777777" w:rsidR="00274326" w:rsidRPr="00274326" w:rsidRDefault="00274326" w:rsidP="00274326">
            <w:pPr>
              <w:autoSpaceDE w:val="0"/>
              <w:autoSpaceDN w:val="0"/>
              <w:adjustRightInd w:val="0"/>
              <w:spacing w:after="0" w:line="320" w:lineRule="atLeast"/>
              <w:ind w:left="60" w:right="60"/>
              <w:jc w:val="right"/>
              <w:rPr>
                <w:rFonts w:cs="Times New Roman"/>
                <w:color w:val="010205"/>
                <w:sz w:val="22"/>
              </w:rPr>
            </w:pPr>
            <w:r w:rsidRPr="00274326">
              <w:rPr>
                <w:rFonts w:cs="Times New Roman"/>
                <w:color w:val="010205"/>
                <w:sz w:val="22"/>
              </w:rPr>
              <w:t>.00</w:t>
            </w:r>
          </w:p>
        </w:tc>
        <w:tc>
          <w:tcPr>
            <w:tcW w:w="1107" w:type="dxa"/>
            <w:tcBorders>
              <w:top w:val="single" w:sz="8" w:space="0" w:color="152935"/>
              <w:left w:val="single" w:sz="8" w:space="0" w:color="E0E0E0"/>
              <w:bottom w:val="single" w:sz="8" w:space="0" w:color="AEAEAE"/>
              <w:right w:val="single" w:sz="8" w:space="0" w:color="E0E0E0"/>
            </w:tcBorders>
            <w:shd w:val="clear" w:color="auto" w:fill="FFFFFF"/>
          </w:tcPr>
          <w:p w14:paraId="3EE85E5C" w14:textId="77777777" w:rsidR="00274326" w:rsidRPr="00274326" w:rsidRDefault="00274326" w:rsidP="00274326">
            <w:pPr>
              <w:autoSpaceDE w:val="0"/>
              <w:autoSpaceDN w:val="0"/>
              <w:adjustRightInd w:val="0"/>
              <w:spacing w:after="0" w:line="320" w:lineRule="atLeast"/>
              <w:ind w:left="60" w:right="60"/>
              <w:jc w:val="right"/>
              <w:rPr>
                <w:rFonts w:cs="Times New Roman"/>
                <w:color w:val="010205"/>
                <w:sz w:val="22"/>
              </w:rPr>
            </w:pPr>
            <w:r w:rsidRPr="00274326">
              <w:rPr>
                <w:rFonts w:cs="Times New Roman"/>
                <w:color w:val="010205"/>
                <w:sz w:val="22"/>
              </w:rPr>
              <w:t>26.76</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7378C2F7" w14:textId="77777777" w:rsidR="00274326" w:rsidRPr="00274326" w:rsidRDefault="00274326" w:rsidP="00274326">
            <w:pPr>
              <w:autoSpaceDE w:val="0"/>
              <w:autoSpaceDN w:val="0"/>
              <w:adjustRightInd w:val="0"/>
              <w:spacing w:after="0" w:line="320" w:lineRule="atLeast"/>
              <w:ind w:left="60" w:right="60"/>
              <w:jc w:val="right"/>
              <w:rPr>
                <w:rFonts w:cs="Times New Roman"/>
                <w:color w:val="010205"/>
                <w:sz w:val="22"/>
              </w:rPr>
            </w:pPr>
            <w:r w:rsidRPr="00274326">
              <w:rPr>
                <w:rFonts w:cs="Times New Roman"/>
                <w:color w:val="010205"/>
                <w:sz w:val="22"/>
              </w:rPr>
              <w:t>15.4076</w:t>
            </w:r>
          </w:p>
        </w:tc>
        <w:tc>
          <w:tcPr>
            <w:tcW w:w="1445" w:type="dxa"/>
            <w:tcBorders>
              <w:top w:val="single" w:sz="8" w:space="0" w:color="152935"/>
              <w:left w:val="single" w:sz="8" w:space="0" w:color="E0E0E0"/>
              <w:bottom w:val="single" w:sz="8" w:space="0" w:color="AEAEAE"/>
              <w:right w:val="nil"/>
            </w:tcBorders>
            <w:shd w:val="clear" w:color="auto" w:fill="FFFFFF"/>
          </w:tcPr>
          <w:p w14:paraId="7ADC6BDF" w14:textId="77777777" w:rsidR="00274326" w:rsidRPr="00274326" w:rsidRDefault="00274326" w:rsidP="00274326">
            <w:pPr>
              <w:autoSpaceDE w:val="0"/>
              <w:autoSpaceDN w:val="0"/>
              <w:adjustRightInd w:val="0"/>
              <w:spacing w:after="0" w:line="320" w:lineRule="atLeast"/>
              <w:ind w:left="60" w:right="60"/>
              <w:jc w:val="right"/>
              <w:rPr>
                <w:rFonts w:cs="Times New Roman"/>
                <w:color w:val="010205"/>
                <w:sz w:val="22"/>
              </w:rPr>
            </w:pPr>
            <w:r w:rsidRPr="00274326">
              <w:rPr>
                <w:rFonts w:cs="Times New Roman"/>
                <w:color w:val="010205"/>
                <w:sz w:val="22"/>
              </w:rPr>
              <w:t>4.61090</w:t>
            </w:r>
          </w:p>
        </w:tc>
      </w:tr>
      <w:tr w:rsidR="00274326" w:rsidRPr="00274326" w14:paraId="4E7B1141" w14:textId="77777777" w:rsidTr="00274326">
        <w:trPr>
          <w:cantSplit/>
        </w:trPr>
        <w:tc>
          <w:tcPr>
            <w:tcW w:w="1706" w:type="dxa"/>
            <w:tcBorders>
              <w:top w:val="single" w:sz="8" w:space="0" w:color="AEAEAE"/>
              <w:left w:val="nil"/>
              <w:bottom w:val="single" w:sz="8" w:space="0" w:color="152935"/>
              <w:right w:val="nil"/>
            </w:tcBorders>
            <w:shd w:val="clear" w:color="auto" w:fill="E0E0E0"/>
          </w:tcPr>
          <w:p w14:paraId="65F9F0B1" w14:textId="77777777" w:rsidR="00274326" w:rsidRPr="00274326" w:rsidRDefault="00274326" w:rsidP="00274326">
            <w:pPr>
              <w:autoSpaceDE w:val="0"/>
              <w:autoSpaceDN w:val="0"/>
              <w:adjustRightInd w:val="0"/>
              <w:spacing w:after="0" w:line="320" w:lineRule="atLeast"/>
              <w:ind w:left="60" w:right="60"/>
              <w:jc w:val="left"/>
              <w:rPr>
                <w:rFonts w:cs="Times New Roman"/>
                <w:color w:val="264A60"/>
                <w:sz w:val="22"/>
              </w:rPr>
            </w:pPr>
            <w:r w:rsidRPr="00274326">
              <w:rPr>
                <w:rFonts w:cs="Times New Roman"/>
                <w:color w:val="264A60"/>
                <w:sz w:val="22"/>
              </w:rPr>
              <w:t>Valid N (listwise)</w:t>
            </w:r>
          </w:p>
        </w:tc>
        <w:tc>
          <w:tcPr>
            <w:tcW w:w="1029" w:type="dxa"/>
            <w:tcBorders>
              <w:top w:val="single" w:sz="8" w:space="0" w:color="AEAEAE"/>
              <w:left w:val="nil"/>
              <w:bottom w:val="single" w:sz="8" w:space="0" w:color="152935"/>
              <w:right w:val="single" w:sz="8" w:space="0" w:color="E0E0E0"/>
            </w:tcBorders>
            <w:shd w:val="clear" w:color="auto" w:fill="FFFFFF"/>
          </w:tcPr>
          <w:p w14:paraId="40939C21" w14:textId="77777777" w:rsidR="00274326" w:rsidRPr="00274326" w:rsidRDefault="00274326" w:rsidP="00274326">
            <w:pPr>
              <w:autoSpaceDE w:val="0"/>
              <w:autoSpaceDN w:val="0"/>
              <w:adjustRightInd w:val="0"/>
              <w:spacing w:after="0" w:line="320" w:lineRule="atLeast"/>
              <w:ind w:left="60" w:right="60"/>
              <w:jc w:val="right"/>
              <w:rPr>
                <w:rFonts w:cs="Times New Roman"/>
                <w:color w:val="010205"/>
                <w:sz w:val="22"/>
              </w:rPr>
            </w:pPr>
            <w:r w:rsidRPr="00274326">
              <w:rPr>
                <w:rFonts w:cs="Times New Roman"/>
                <w:color w:val="010205"/>
                <w:sz w:val="22"/>
              </w:rPr>
              <w:t>60</w:t>
            </w:r>
          </w:p>
        </w:tc>
        <w:tc>
          <w:tcPr>
            <w:tcW w:w="107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9D9720E" w14:textId="77777777" w:rsidR="00274326" w:rsidRPr="00274326" w:rsidRDefault="00274326" w:rsidP="00274326">
            <w:pPr>
              <w:autoSpaceDE w:val="0"/>
              <w:autoSpaceDN w:val="0"/>
              <w:adjustRightInd w:val="0"/>
              <w:spacing w:after="0" w:line="240" w:lineRule="auto"/>
              <w:jc w:val="left"/>
              <w:rPr>
                <w:rFonts w:cs="Times New Roman"/>
                <w:sz w:val="22"/>
              </w:rPr>
            </w:pPr>
          </w:p>
        </w:tc>
        <w:tc>
          <w:tcPr>
            <w:tcW w:w="110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5F97BA6" w14:textId="77777777" w:rsidR="00274326" w:rsidRPr="00274326" w:rsidRDefault="00274326" w:rsidP="00274326">
            <w:pPr>
              <w:autoSpaceDE w:val="0"/>
              <w:autoSpaceDN w:val="0"/>
              <w:adjustRightInd w:val="0"/>
              <w:spacing w:after="0" w:line="240" w:lineRule="auto"/>
              <w:jc w:val="left"/>
              <w:rPr>
                <w:rFonts w:cs="Times New Roman"/>
                <w:sz w:val="22"/>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F094CD1" w14:textId="77777777" w:rsidR="00274326" w:rsidRPr="00274326" w:rsidRDefault="00274326" w:rsidP="00274326">
            <w:pPr>
              <w:autoSpaceDE w:val="0"/>
              <w:autoSpaceDN w:val="0"/>
              <w:adjustRightInd w:val="0"/>
              <w:spacing w:after="0" w:line="240" w:lineRule="auto"/>
              <w:jc w:val="left"/>
              <w:rPr>
                <w:rFonts w:cs="Times New Roman"/>
                <w:sz w:val="22"/>
              </w:rPr>
            </w:pPr>
          </w:p>
        </w:tc>
        <w:tc>
          <w:tcPr>
            <w:tcW w:w="1445" w:type="dxa"/>
            <w:tcBorders>
              <w:top w:val="single" w:sz="8" w:space="0" w:color="AEAEAE"/>
              <w:left w:val="single" w:sz="8" w:space="0" w:color="E0E0E0"/>
              <w:bottom w:val="single" w:sz="8" w:space="0" w:color="152935"/>
              <w:right w:val="nil"/>
            </w:tcBorders>
            <w:shd w:val="clear" w:color="auto" w:fill="FFFFFF"/>
            <w:vAlign w:val="center"/>
          </w:tcPr>
          <w:p w14:paraId="52D4F2FF" w14:textId="77777777" w:rsidR="00274326" w:rsidRPr="00274326" w:rsidRDefault="00274326" w:rsidP="00274326">
            <w:pPr>
              <w:autoSpaceDE w:val="0"/>
              <w:autoSpaceDN w:val="0"/>
              <w:adjustRightInd w:val="0"/>
              <w:spacing w:after="0" w:line="240" w:lineRule="auto"/>
              <w:jc w:val="left"/>
              <w:rPr>
                <w:rFonts w:cs="Times New Roman"/>
                <w:sz w:val="22"/>
              </w:rPr>
            </w:pPr>
          </w:p>
        </w:tc>
      </w:tr>
    </w:tbl>
    <w:p w14:paraId="656900B3" w14:textId="77777777" w:rsidR="00274326" w:rsidRPr="00274326" w:rsidRDefault="00274326" w:rsidP="00274326">
      <w:pPr>
        <w:autoSpaceDE w:val="0"/>
        <w:autoSpaceDN w:val="0"/>
        <w:adjustRightInd w:val="0"/>
        <w:spacing w:after="0" w:line="240" w:lineRule="auto"/>
        <w:jc w:val="left"/>
        <w:rPr>
          <w:rFonts w:cs="Times New Roman"/>
          <w:szCs w:val="24"/>
        </w:rPr>
      </w:pPr>
    </w:p>
    <w:p w14:paraId="081F1092" w14:textId="77777777" w:rsidR="00274326" w:rsidRPr="00274326" w:rsidRDefault="00274326" w:rsidP="00274326">
      <w:pPr>
        <w:autoSpaceDE w:val="0"/>
        <w:autoSpaceDN w:val="0"/>
        <w:adjustRightInd w:val="0"/>
        <w:spacing w:after="0" w:line="400" w:lineRule="atLeast"/>
        <w:jc w:val="left"/>
        <w:rPr>
          <w:rFonts w:cs="Times New Roman"/>
          <w:szCs w:val="24"/>
        </w:rPr>
      </w:pPr>
    </w:p>
    <w:p w14:paraId="57ECFC6C" w14:textId="38BD4C35" w:rsidR="00306D32" w:rsidRDefault="00BC09C6" w:rsidP="00274326">
      <w:pPr>
        <w:spacing w:line="276" w:lineRule="auto"/>
        <w:ind w:left="851"/>
        <w:rPr>
          <w:rFonts w:cs="Times New Roman"/>
          <w:szCs w:val="24"/>
        </w:rPr>
      </w:pPr>
      <w:r w:rsidRPr="00BC09C6">
        <w:rPr>
          <w:rFonts w:cs="Times New Roman"/>
          <w:szCs w:val="24"/>
        </w:rPr>
        <w:t>Sumber: Data output SPSS25, 2024</w:t>
      </w:r>
    </w:p>
    <w:p w14:paraId="2FEBE596" w14:textId="3B753E32" w:rsidR="00274326" w:rsidRDefault="00BC09C6" w:rsidP="00274326">
      <w:pPr>
        <w:autoSpaceDE w:val="0"/>
        <w:autoSpaceDN w:val="0"/>
        <w:adjustRightInd w:val="0"/>
        <w:spacing w:after="0" w:line="480" w:lineRule="auto"/>
        <w:ind w:left="709" w:firstLine="709"/>
        <w:rPr>
          <w:rFonts w:cs="Times New Roman"/>
          <w:szCs w:val="24"/>
        </w:rPr>
      </w:pPr>
      <w:r>
        <w:rPr>
          <w:rFonts w:cs="Times New Roman"/>
          <w:szCs w:val="24"/>
        </w:rPr>
        <w:t xml:space="preserve">Dari data diatas </w:t>
      </w:r>
      <w:r w:rsidRPr="00070BC7">
        <w:rPr>
          <w:rFonts w:cs="Times New Roman"/>
          <w:i/>
          <w:szCs w:val="24"/>
        </w:rPr>
        <w:t>Firm Size</w:t>
      </w:r>
      <w:r>
        <w:rPr>
          <w:rFonts w:cs="Times New Roman"/>
          <w:i/>
          <w:szCs w:val="24"/>
        </w:rPr>
        <w:t xml:space="preserve"> </w:t>
      </w:r>
      <w:r>
        <w:rPr>
          <w:rFonts w:cs="Times New Roman"/>
          <w:szCs w:val="24"/>
        </w:rPr>
        <w:t>yang diukur menggunakan Ln</w:t>
      </w:r>
      <w:r w:rsidRPr="00BC09C6">
        <w:rPr>
          <w:rFonts w:cs="Times New Roman"/>
          <w:szCs w:val="24"/>
        </w:rPr>
        <w:t>(Total</w:t>
      </w:r>
      <w:r>
        <w:rPr>
          <w:rFonts w:cs="Times New Roman"/>
          <w:szCs w:val="24"/>
        </w:rPr>
        <w:t xml:space="preserve"> Aset) menunjukan nilai max</w:t>
      </w:r>
      <w:r w:rsidRPr="00140F8B">
        <w:rPr>
          <w:rFonts w:cs="Times New Roman"/>
          <w:szCs w:val="24"/>
        </w:rPr>
        <w:t>imum (tertinggi) seluruh perusahaan yang menjadi sampel dalam penel</w:t>
      </w:r>
      <w:r>
        <w:rPr>
          <w:rFonts w:cs="Times New Roman"/>
          <w:szCs w:val="24"/>
        </w:rPr>
        <w:t xml:space="preserve">itian ini adalah sebesar </w:t>
      </w:r>
      <w:r w:rsidR="00BF645C" w:rsidRPr="00274326">
        <w:rPr>
          <w:rFonts w:cs="Times New Roman"/>
          <w:color w:val="010205"/>
          <w:szCs w:val="24"/>
        </w:rPr>
        <w:t>26.76</w:t>
      </w:r>
      <w:r w:rsidR="00BF645C">
        <w:rPr>
          <w:rFonts w:cs="Times New Roman"/>
          <w:szCs w:val="24"/>
        </w:rPr>
        <w:t>. Nilai minimum (terendah) 0</w:t>
      </w:r>
      <w:r>
        <w:rPr>
          <w:rFonts w:cs="Times New Roman"/>
          <w:szCs w:val="24"/>
        </w:rPr>
        <w:t>.00</w:t>
      </w:r>
      <w:r w:rsidRPr="00140F8B">
        <w:rPr>
          <w:rFonts w:cs="Times New Roman"/>
          <w:szCs w:val="24"/>
        </w:rPr>
        <w:t>. Nilai mean (rata-rata) seb</w:t>
      </w:r>
      <w:r>
        <w:rPr>
          <w:rFonts w:cs="Times New Roman"/>
          <w:szCs w:val="24"/>
        </w:rPr>
        <w:t xml:space="preserve">esar </w:t>
      </w:r>
      <w:r w:rsidR="00BF645C" w:rsidRPr="00274326">
        <w:rPr>
          <w:rFonts w:cs="Times New Roman"/>
          <w:color w:val="010205"/>
          <w:szCs w:val="24"/>
        </w:rPr>
        <w:t>15.4076</w:t>
      </w:r>
      <w:r w:rsidRPr="00140F8B">
        <w:rPr>
          <w:rFonts w:cs="Times New Roman"/>
          <w:szCs w:val="24"/>
        </w:rPr>
        <w:t>. Sedangkan stan</w:t>
      </w:r>
      <w:r>
        <w:rPr>
          <w:rFonts w:cs="Times New Roman"/>
          <w:szCs w:val="24"/>
        </w:rPr>
        <w:t>dar deviasinya sebesar </w:t>
      </w:r>
      <w:r w:rsidR="00BF645C" w:rsidRPr="00274326">
        <w:rPr>
          <w:rFonts w:cs="Times New Roman"/>
          <w:color w:val="010205"/>
          <w:szCs w:val="24"/>
        </w:rPr>
        <w:t>4.61090</w:t>
      </w:r>
      <w:r>
        <w:rPr>
          <w:rFonts w:cs="Times New Roman"/>
          <w:szCs w:val="24"/>
        </w:rPr>
        <w:t>.</w:t>
      </w:r>
    </w:p>
    <w:p w14:paraId="1BDFE905" w14:textId="0F58BE5A" w:rsidR="008C20D2" w:rsidRDefault="008C20D2" w:rsidP="00274326">
      <w:pPr>
        <w:autoSpaceDE w:val="0"/>
        <w:autoSpaceDN w:val="0"/>
        <w:adjustRightInd w:val="0"/>
        <w:spacing w:after="0" w:line="480" w:lineRule="auto"/>
        <w:ind w:left="709" w:firstLine="709"/>
        <w:rPr>
          <w:rFonts w:cs="Times New Roman"/>
          <w:szCs w:val="24"/>
        </w:rPr>
      </w:pPr>
    </w:p>
    <w:p w14:paraId="5A8B4A8D" w14:textId="77777777" w:rsidR="008C20D2" w:rsidRDefault="008C20D2" w:rsidP="00274326">
      <w:pPr>
        <w:autoSpaceDE w:val="0"/>
        <w:autoSpaceDN w:val="0"/>
        <w:adjustRightInd w:val="0"/>
        <w:spacing w:after="0" w:line="480" w:lineRule="auto"/>
        <w:ind w:left="709" w:firstLine="709"/>
        <w:rPr>
          <w:rFonts w:cs="Times New Roman"/>
          <w:szCs w:val="24"/>
        </w:rPr>
      </w:pPr>
    </w:p>
    <w:p w14:paraId="44DB9FB3" w14:textId="2132CB99" w:rsidR="00254A52" w:rsidRPr="00254A52" w:rsidRDefault="00254A52" w:rsidP="00254A52">
      <w:pPr>
        <w:pStyle w:val="Caption"/>
        <w:ind w:left="709"/>
        <w:jc w:val="center"/>
        <w:rPr>
          <w:color w:val="auto"/>
          <w:sz w:val="24"/>
          <w:szCs w:val="24"/>
        </w:rPr>
      </w:pPr>
      <w:bookmarkStart w:id="19" w:name="_Toc168999375"/>
      <w:r w:rsidRPr="00254A52">
        <w:rPr>
          <w:color w:val="auto"/>
          <w:sz w:val="24"/>
          <w:szCs w:val="24"/>
        </w:rPr>
        <w:lastRenderedPageBreak/>
        <w:t xml:space="preserve">Tabel.  </w:t>
      </w:r>
      <w:r w:rsidRPr="00254A52">
        <w:rPr>
          <w:color w:val="auto"/>
          <w:sz w:val="24"/>
          <w:szCs w:val="24"/>
        </w:rPr>
        <w:fldChar w:fldCharType="begin"/>
      </w:r>
      <w:r w:rsidRPr="00254A52">
        <w:rPr>
          <w:color w:val="auto"/>
          <w:sz w:val="24"/>
          <w:szCs w:val="24"/>
        </w:rPr>
        <w:instrText xml:space="preserve"> SEQ Tabel._ \* ARABIC </w:instrText>
      </w:r>
      <w:r w:rsidRPr="00254A52">
        <w:rPr>
          <w:color w:val="auto"/>
          <w:sz w:val="24"/>
          <w:szCs w:val="24"/>
        </w:rPr>
        <w:fldChar w:fldCharType="separate"/>
      </w:r>
      <w:r w:rsidR="0017483D">
        <w:rPr>
          <w:noProof/>
          <w:color w:val="auto"/>
          <w:sz w:val="24"/>
          <w:szCs w:val="24"/>
        </w:rPr>
        <w:t>11</w:t>
      </w:r>
      <w:r w:rsidRPr="00254A52">
        <w:rPr>
          <w:color w:val="auto"/>
          <w:sz w:val="24"/>
          <w:szCs w:val="24"/>
        </w:rPr>
        <w:fldChar w:fldCharType="end"/>
      </w:r>
      <w:r w:rsidRPr="00254A52">
        <w:rPr>
          <w:color w:val="auto"/>
          <w:sz w:val="24"/>
          <w:szCs w:val="24"/>
          <w:lang w:val="en-US"/>
        </w:rPr>
        <w:t xml:space="preserve"> Data sekunder Firm Size 2019-2023</w:t>
      </w:r>
      <w:bookmarkEnd w:id="19"/>
    </w:p>
    <w:tbl>
      <w:tblPr>
        <w:tblStyle w:val="TableGrid"/>
        <w:tblpPr w:leftFromText="180" w:rightFromText="180" w:vertAnchor="text" w:horzAnchor="margin" w:tblpXSpec="right" w:tblpY="75"/>
        <w:tblW w:w="0" w:type="auto"/>
        <w:tblLook w:val="04A0" w:firstRow="1" w:lastRow="0" w:firstColumn="1" w:lastColumn="0" w:noHBand="0" w:noVBand="1"/>
      </w:tblPr>
      <w:tblGrid>
        <w:gridCol w:w="668"/>
        <w:gridCol w:w="1737"/>
        <w:gridCol w:w="859"/>
        <w:gridCol w:w="1072"/>
        <w:gridCol w:w="1072"/>
        <w:gridCol w:w="1072"/>
        <w:gridCol w:w="1072"/>
      </w:tblGrid>
      <w:tr w:rsidR="00BC09C6" w14:paraId="4E11E00D" w14:textId="77777777" w:rsidTr="00274326">
        <w:trPr>
          <w:cantSplit/>
          <w:tblHeader/>
        </w:trPr>
        <w:tc>
          <w:tcPr>
            <w:tcW w:w="668" w:type="dxa"/>
            <w:vMerge w:val="restart"/>
            <w:vAlign w:val="center"/>
          </w:tcPr>
          <w:p w14:paraId="6460A52A" w14:textId="77777777" w:rsidR="00BC09C6" w:rsidRPr="00270B21" w:rsidRDefault="00BC09C6" w:rsidP="00BC09C6">
            <w:pPr>
              <w:autoSpaceDE w:val="0"/>
              <w:autoSpaceDN w:val="0"/>
              <w:adjustRightInd w:val="0"/>
              <w:spacing w:line="360" w:lineRule="auto"/>
              <w:jc w:val="center"/>
              <w:rPr>
                <w:rFonts w:cs="Times New Roman"/>
                <w:b/>
                <w:szCs w:val="24"/>
              </w:rPr>
            </w:pPr>
            <w:r w:rsidRPr="00270B21">
              <w:rPr>
                <w:rFonts w:cs="Times New Roman"/>
                <w:b/>
                <w:szCs w:val="24"/>
              </w:rPr>
              <w:t>No</w:t>
            </w:r>
          </w:p>
        </w:tc>
        <w:tc>
          <w:tcPr>
            <w:tcW w:w="1737" w:type="dxa"/>
            <w:vMerge w:val="restart"/>
            <w:vAlign w:val="center"/>
          </w:tcPr>
          <w:p w14:paraId="6AAD369D" w14:textId="77777777" w:rsidR="00BC09C6" w:rsidRPr="00270B21" w:rsidRDefault="00BC09C6" w:rsidP="00BC09C6">
            <w:pPr>
              <w:autoSpaceDE w:val="0"/>
              <w:autoSpaceDN w:val="0"/>
              <w:adjustRightInd w:val="0"/>
              <w:spacing w:line="360" w:lineRule="auto"/>
              <w:jc w:val="center"/>
              <w:rPr>
                <w:rFonts w:cs="Times New Roman"/>
                <w:b/>
                <w:szCs w:val="24"/>
              </w:rPr>
            </w:pPr>
            <w:r w:rsidRPr="00270B21">
              <w:rPr>
                <w:rFonts w:cs="Times New Roman"/>
                <w:b/>
                <w:szCs w:val="24"/>
              </w:rPr>
              <w:t>Kode Saham</w:t>
            </w:r>
          </w:p>
        </w:tc>
        <w:tc>
          <w:tcPr>
            <w:tcW w:w="5147" w:type="dxa"/>
            <w:gridSpan w:val="5"/>
          </w:tcPr>
          <w:p w14:paraId="121516A1" w14:textId="33B61ED2" w:rsidR="00BC09C6" w:rsidRPr="00270B21" w:rsidRDefault="00BC09C6" w:rsidP="00BC09C6">
            <w:pPr>
              <w:autoSpaceDE w:val="0"/>
              <w:autoSpaceDN w:val="0"/>
              <w:adjustRightInd w:val="0"/>
              <w:spacing w:line="276" w:lineRule="auto"/>
              <w:jc w:val="center"/>
              <w:rPr>
                <w:rFonts w:cs="Times New Roman"/>
                <w:b/>
                <w:szCs w:val="24"/>
              </w:rPr>
            </w:pPr>
            <w:r>
              <w:rPr>
                <w:rFonts w:cs="Times New Roman"/>
                <w:b/>
                <w:szCs w:val="24"/>
              </w:rPr>
              <w:t xml:space="preserve">Firm Size </w:t>
            </w:r>
          </w:p>
        </w:tc>
      </w:tr>
      <w:tr w:rsidR="00BC09C6" w14:paraId="5C7FFAC1" w14:textId="77777777" w:rsidTr="00274326">
        <w:trPr>
          <w:cantSplit/>
          <w:tblHeader/>
        </w:trPr>
        <w:tc>
          <w:tcPr>
            <w:tcW w:w="668" w:type="dxa"/>
            <w:vMerge/>
          </w:tcPr>
          <w:p w14:paraId="1ECD2A17" w14:textId="77777777" w:rsidR="00BC09C6" w:rsidRPr="00270B21" w:rsidRDefault="00BC09C6" w:rsidP="00BC09C6">
            <w:pPr>
              <w:autoSpaceDE w:val="0"/>
              <w:autoSpaceDN w:val="0"/>
              <w:adjustRightInd w:val="0"/>
              <w:spacing w:line="276" w:lineRule="auto"/>
              <w:jc w:val="center"/>
              <w:rPr>
                <w:rFonts w:cs="Times New Roman"/>
                <w:b/>
                <w:szCs w:val="24"/>
              </w:rPr>
            </w:pPr>
          </w:p>
        </w:tc>
        <w:tc>
          <w:tcPr>
            <w:tcW w:w="1737" w:type="dxa"/>
            <w:vMerge/>
          </w:tcPr>
          <w:p w14:paraId="3FD48641" w14:textId="77777777" w:rsidR="00BC09C6" w:rsidRPr="00270B21" w:rsidRDefault="00BC09C6" w:rsidP="00BC09C6">
            <w:pPr>
              <w:autoSpaceDE w:val="0"/>
              <w:autoSpaceDN w:val="0"/>
              <w:adjustRightInd w:val="0"/>
              <w:spacing w:line="276" w:lineRule="auto"/>
              <w:jc w:val="center"/>
              <w:rPr>
                <w:rFonts w:cs="Times New Roman"/>
                <w:b/>
                <w:szCs w:val="24"/>
              </w:rPr>
            </w:pPr>
          </w:p>
        </w:tc>
        <w:tc>
          <w:tcPr>
            <w:tcW w:w="859" w:type="dxa"/>
          </w:tcPr>
          <w:p w14:paraId="572F338B" w14:textId="77777777" w:rsidR="00BC09C6" w:rsidRPr="00270B21" w:rsidRDefault="00BC09C6" w:rsidP="00BC09C6">
            <w:pPr>
              <w:autoSpaceDE w:val="0"/>
              <w:autoSpaceDN w:val="0"/>
              <w:adjustRightInd w:val="0"/>
              <w:spacing w:line="276" w:lineRule="auto"/>
              <w:jc w:val="center"/>
              <w:rPr>
                <w:rFonts w:cs="Times New Roman"/>
                <w:b/>
                <w:szCs w:val="24"/>
              </w:rPr>
            </w:pPr>
            <w:r w:rsidRPr="00270B21">
              <w:rPr>
                <w:rFonts w:cs="Times New Roman"/>
                <w:b/>
                <w:szCs w:val="24"/>
              </w:rPr>
              <w:t>2019</w:t>
            </w:r>
          </w:p>
        </w:tc>
        <w:tc>
          <w:tcPr>
            <w:tcW w:w="1072" w:type="dxa"/>
          </w:tcPr>
          <w:p w14:paraId="48D943B9" w14:textId="77777777" w:rsidR="00BC09C6" w:rsidRPr="00270B21" w:rsidRDefault="00BC09C6" w:rsidP="00BC09C6">
            <w:pPr>
              <w:autoSpaceDE w:val="0"/>
              <w:autoSpaceDN w:val="0"/>
              <w:adjustRightInd w:val="0"/>
              <w:spacing w:line="276" w:lineRule="auto"/>
              <w:jc w:val="center"/>
              <w:rPr>
                <w:rFonts w:cs="Times New Roman"/>
                <w:b/>
                <w:szCs w:val="24"/>
              </w:rPr>
            </w:pPr>
            <w:r w:rsidRPr="00270B21">
              <w:rPr>
                <w:rFonts w:cs="Times New Roman"/>
                <w:b/>
                <w:szCs w:val="24"/>
              </w:rPr>
              <w:t>2020</w:t>
            </w:r>
          </w:p>
        </w:tc>
        <w:tc>
          <w:tcPr>
            <w:tcW w:w="1072" w:type="dxa"/>
          </w:tcPr>
          <w:p w14:paraId="5207DD15" w14:textId="77777777" w:rsidR="00BC09C6" w:rsidRPr="00270B21" w:rsidRDefault="00BC09C6" w:rsidP="00BC09C6">
            <w:pPr>
              <w:autoSpaceDE w:val="0"/>
              <w:autoSpaceDN w:val="0"/>
              <w:adjustRightInd w:val="0"/>
              <w:spacing w:line="276" w:lineRule="auto"/>
              <w:jc w:val="center"/>
              <w:rPr>
                <w:rFonts w:cs="Times New Roman"/>
                <w:b/>
                <w:szCs w:val="24"/>
              </w:rPr>
            </w:pPr>
            <w:r w:rsidRPr="00270B21">
              <w:rPr>
                <w:rFonts w:cs="Times New Roman"/>
                <w:b/>
                <w:szCs w:val="24"/>
              </w:rPr>
              <w:t>2021</w:t>
            </w:r>
          </w:p>
        </w:tc>
        <w:tc>
          <w:tcPr>
            <w:tcW w:w="1072" w:type="dxa"/>
          </w:tcPr>
          <w:p w14:paraId="12B95668" w14:textId="77777777" w:rsidR="00BC09C6" w:rsidRPr="00270B21" w:rsidRDefault="00BC09C6" w:rsidP="00BC09C6">
            <w:pPr>
              <w:autoSpaceDE w:val="0"/>
              <w:autoSpaceDN w:val="0"/>
              <w:adjustRightInd w:val="0"/>
              <w:spacing w:line="276" w:lineRule="auto"/>
              <w:jc w:val="center"/>
              <w:rPr>
                <w:rFonts w:cs="Times New Roman"/>
                <w:b/>
                <w:szCs w:val="24"/>
              </w:rPr>
            </w:pPr>
            <w:r w:rsidRPr="00270B21">
              <w:rPr>
                <w:rFonts w:cs="Times New Roman"/>
                <w:b/>
                <w:szCs w:val="24"/>
              </w:rPr>
              <w:t>2022</w:t>
            </w:r>
          </w:p>
        </w:tc>
        <w:tc>
          <w:tcPr>
            <w:tcW w:w="1072" w:type="dxa"/>
          </w:tcPr>
          <w:p w14:paraId="6B349D35" w14:textId="77777777" w:rsidR="00BC09C6" w:rsidRPr="00270B21" w:rsidRDefault="00BC09C6" w:rsidP="00BC09C6">
            <w:pPr>
              <w:autoSpaceDE w:val="0"/>
              <w:autoSpaceDN w:val="0"/>
              <w:adjustRightInd w:val="0"/>
              <w:spacing w:line="276" w:lineRule="auto"/>
              <w:jc w:val="center"/>
              <w:rPr>
                <w:rFonts w:cs="Times New Roman"/>
                <w:b/>
                <w:szCs w:val="24"/>
              </w:rPr>
            </w:pPr>
            <w:r w:rsidRPr="00270B21">
              <w:rPr>
                <w:rFonts w:cs="Times New Roman"/>
                <w:b/>
                <w:szCs w:val="24"/>
              </w:rPr>
              <w:t>2023</w:t>
            </w:r>
          </w:p>
        </w:tc>
      </w:tr>
      <w:tr w:rsidR="00BC09C6" w14:paraId="000A4420" w14:textId="77777777" w:rsidTr="00BC09C6">
        <w:tc>
          <w:tcPr>
            <w:tcW w:w="668" w:type="dxa"/>
          </w:tcPr>
          <w:p w14:paraId="34C3ABBC" w14:textId="77777777" w:rsidR="00BC09C6" w:rsidRPr="000F0B7F" w:rsidRDefault="00BC09C6" w:rsidP="00BC09C6">
            <w:pPr>
              <w:autoSpaceDE w:val="0"/>
              <w:autoSpaceDN w:val="0"/>
              <w:adjustRightInd w:val="0"/>
              <w:spacing w:line="276" w:lineRule="auto"/>
              <w:jc w:val="center"/>
              <w:rPr>
                <w:rFonts w:cs="Times New Roman"/>
                <w:szCs w:val="24"/>
              </w:rPr>
            </w:pPr>
            <w:r w:rsidRPr="000F0B7F">
              <w:rPr>
                <w:rFonts w:cs="Times New Roman"/>
                <w:szCs w:val="24"/>
              </w:rPr>
              <w:t>1.</w:t>
            </w:r>
          </w:p>
        </w:tc>
        <w:tc>
          <w:tcPr>
            <w:tcW w:w="1737" w:type="dxa"/>
          </w:tcPr>
          <w:p w14:paraId="51A01B2B" w14:textId="77777777" w:rsidR="00BC09C6" w:rsidRPr="000F0B7F" w:rsidRDefault="00BC09C6" w:rsidP="00BC09C6">
            <w:pPr>
              <w:autoSpaceDE w:val="0"/>
              <w:autoSpaceDN w:val="0"/>
              <w:adjustRightInd w:val="0"/>
              <w:spacing w:line="276" w:lineRule="auto"/>
              <w:jc w:val="center"/>
              <w:rPr>
                <w:rFonts w:cs="Times New Roman"/>
                <w:szCs w:val="24"/>
              </w:rPr>
            </w:pPr>
            <w:r w:rsidRPr="000F0B7F">
              <w:rPr>
                <w:rFonts w:cs="Times New Roman"/>
                <w:szCs w:val="24"/>
              </w:rPr>
              <w:t>BBCA</w:t>
            </w:r>
          </w:p>
        </w:tc>
        <w:tc>
          <w:tcPr>
            <w:tcW w:w="859" w:type="dxa"/>
          </w:tcPr>
          <w:p w14:paraId="063F3297" w14:textId="7AF51FB9"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20,64</w:t>
            </w:r>
          </w:p>
        </w:tc>
        <w:tc>
          <w:tcPr>
            <w:tcW w:w="1072" w:type="dxa"/>
          </w:tcPr>
          <w:p w14:paraId="418488E5" w14:textId="0BC18A50"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20,80</w:t>
            </w:r>
          </w:p>
        </w:tc>
        <w:tc>
          <w:tcPr>
            <w:tcW w:w="1072" w:type="dxa"/>
          </w:tcPr>
          <w:p w14:paraId="1484A252" w14:textId="12AD4E51"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20,93</w:t>
            </w:r>
          </w:p>
        </w:tc>
        <w:tc>
          <w:tcPr>
            <w:tcW w:w="1072" w:type="dxa"/>
          </w:tcPr>
          <w:p w14:paraId="3F53D132" w14:textId="7C58E220"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21,00</w:t>
            </w:r>
          </w:p>
        </w:tc>
        <w:tc>
          <w:tcPr>
            <w:tcW w:w="1072" w:type="dxa"/>
          </w:tcPr>
          <w:p w14:paraId="0D8D47DB" w14:textId="1EC99EFE"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21,07</w:t>
            </w:r>
          </w:p>
        </w:tc>
      </w:tr>
      <w:tr w:rsidR="00BC09C6" w14:paraId="69308933" w14:textId="77777777" w:rsidTr="00BC09C6">
        <w:tc>
          <w:tcPr>
            <w:tcW w:w="668" w:type="dxa"/>
          </w:tcPr>
          <w:p w14:paraId="24E42F82" w14:textId="77777777" w:rsidR="00BC09C6" w:rsidRPr="000F0B7F" w:rsidRDefault="00BC09C6" w:rsidP="00BC09C6">
            <w:pPr>
              <w:autoSpaceDE w:val="0"/>
              <w:autoSpaceDN w:val="0"/>
              <w:adjustRightInd w:val="0"/>
              <w:spacing w:line="276" w:lineRule="auto"/>
              <w:jc w:val="center"/>
              <w:rPr>
                <w:rFonts w:cs="Times New Roman"/>
                <w:szCs w:val="24"/>
              </w:rPr>
            </w:pPr>
            <w:r w:rsidRPr="000F0B7F">
              <w:rPr>
                <w:rFonts w:cs="Times New Roman"/>
                <w:szCs w:val="24"/>
              </w:rPr>
              <w:t>2.</w:t>
            </w:r>
          </w:p>
        </w:tc>
        <w:tc>
          <w:tcPr>
            <w:tcW w:w="1737" w:type="dxa"/>
          </w:tcPr>
          <w:p w14:paraId="60FF4453" w14:textId="77777777" w:rsidR="00BC09C6" w:rsidRPr="000F0B7F" w:rsidRDefault="00BC09C6" w:rsidP="00BC09C6">
            <w:pPr>
              <w:autoSpaceDE w:val="0"/>
              <w:autoSpaceDN w:val="0"/>
              <w:adjustRightInd w:val="0"/>
              <w:spacing w:line="276" w:lineRule="auto"/>
              <w:jc w:val="center"/>
              <w:rPr>
                <w:rFonts w:cs="Times New Roman"/>
                <w:szCs w:val="24"/>
              </w:rPr>
            </w:pPr>
            <w:r w:rsidRPr="000F0B7F">
              <w:rPr>
                <w:rFonts w:cs="Times New Roman"/>
                <w:szCs w:val="24"/>
              </w:rPr>
              <w:t>BBNI</w:t>
            </w:r>
          </w:p>
        </w:tc>
        <w:tc>
          <w:tcPr>
            <w:tcW w:w="859" w:type="dxa"/>
          </w:tcPr>
          <w:p w14:paraId="3BED112C" w14:textId="0881BAF3"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20,61</w:t>
            </w:r>
          </w:p>
        </w:tc>
        <w:tc>
          <w:tcPr>
            <w:tcW w:w="1072" w:type="dxa"/>
          </w:tcPr>
          <w:p w14:paraId="10B8A9D7" w14:textId="03D0F72E"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20,56</w:t>
            </w:r>
          </w:p>
        </w:tc>
        <w:tc>
          <w:tcPr>
            <w:tcW w:w="1072" w:type="dxa"/>
          </w:tcPr>
          <w:p w14:paraId="17586351" w14:textId="2A0A5BA6"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20,69</w:t>
            </w:r>
          </w:p>
        </w:tc>
        <w:tc>
          <w:tcPr>
            <w:tcW w:w="1072" w:type="dxa"/>
          </w:tcPr>
          <w:p w14:paraId="34E6D578" w14:textId="092D5856"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20,75</w:t>
            </w:r>
          </w:p>
        </w:tc>
        <w:tc>
          <w:tcPr>
            <w:tcW w:w="1072" w:type="dxa"/>
          </w:tcPr>
          <w:p w14:paraId="16983B88" w14:textId="00EB5A8A" w:rsidR="00BC09C6" w:rsidRPr="000F0B7F" w:rsidRDefault="004A26EE" w:rsidP="00BC09C6">
            <w:pPr>
              <w:autoSpaceDE w:val="0"/>
              <w:autoSpaceDN w:val="0"/>
              <w:adjustRightInd w:val="0"/>
              <w:spacing w:line="276" w:lineRule="auto"/>
              <w:jc w:val="center"/>
              <w:rPr>
                <w:rFonts w:cs="Times New Roman"/>
                <w:szCs w:val="24"/>
              </w:rPr>
            </w:pPr>
            <w:r>
              <w:rPr>
                <w:rFonts w:cs="Times New Roman"/>
                <w:szCs w:val="24"/>
              </w:rPr>
              <w:t>20,81</w:t>
            </w:r>
          </w:p>
        </w:tc>
      </w:tr>
      <w:tr w:rsidR="00BC09C6" w14:paraId="42CF1E20" w14:textId="77777777" w:rsidTr="00BC09C6">
        <w:tc>
          <w:tcPr>
            <w:tcW w:w="668" w:type="dxa"/>
          </w:tcPr>
          <w:p w14:paraId="060C5D98" w14:textId="77777777" w:rsidR="00BC09C6" w:rsidRPr="000F0B7F" w:rsidRDefault="00BC09C6" w:rsidP="00BC09C6">
            <w:pPr>
              <w:autoSpaceDE w:val="0"/>
              <w:autoSpaceDN w:val="0"/>
              <w:adjustRightInd w:val="0"/>
              <w:spacing w:line="276" w:lineRule="auto"/>
              <w:jc w:val="center"/>
              <w:rPr>
                <w:rFonts w:cs="Times New Roman"/>
                <w:szCs w:val="24"/>
              </w:rPr>
            </w:pPr>
            <w:r w:rsidRPr="000F0B7F">
              <w:rPr>
                <w:rFonts w:cs="Times New Roman"/>
                <w:szCs w:val="24"/>
              </w:rPr>
              <w:t>3.</w:t>
            </w:r>
          </w:p>
        </w:tc>
        <w:tc>
          <w:tcPr>
            <w:tcW w:w="1737" w:type="dxa"/>
          </w:tcPr>
          <w:p w14:paraId="236F518F" w14:textId="77777777" w:rsidR="00BC09C6" w:rsidRPr="000F0B7F" w:rsidRDefault="00BC09C6" w:rsidP="00BC09C6">
            <w:pPr>
              <w:autoSpaceDE w:val="0"/>
              <w:autoSpaceDN w:val="0"/>
              <w:adjustRightInd w:val="0"/>
              <w:spacing w:line="276" w:lineRule="auto"/>
              <w:jc w:val="center"/>
              <w:rPr>
                <w:rFonts w:cs="Times New Roman"/>
                <w:szCs w:val="24"/>
              </w:rPr>
            </w:pPr>
            <w:r w:rsidRPr="000F0B7F">
              <w:rPr>
                <w:rFonts w:cs="Times New Roman"/>
                <w:szCs w:val="24"/>
              </w:rPr>
              <w:t>BBRI</w:t>
            </w:r>
          </w:p>
        </w:tc>
        <w:tc>
          <w:tcPr>
            <w:tcW w:w="859" w:type="dxa"/>
          </w:tcPr>
          <w:p w14:paraId="00989D6A" w14:textId="1E5B925E"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21,07</w:t>
            </w:r>
          </w:p>
        </w:tc>
        <w:tc>
          <w:tcPr>
            <w:tcW w:w="1072" w:type="dxa"/>
          </w:tcPr>
          <w:p w14:paraId="79DBA367" w14:textId="5D45627A"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21,14</w:t>
            </w:r>
          </w:p>
        </w:tc>
        <w:tc>
          <w:tcPr>
            <w:tcW w:w="1072" w:type="dxa"/>
          </w:tcPr>
          <w:p w14:paraId="7A189396" w14:textId="62DFE9DE" w:rsidR="00BC09C6" w:rsidRPr="000F0B7F" w:rsidRDefault="00E65683" w:rsidP="00BC09C6">
            <w:pPr>
              <w:autoSpaceDE w:val="0"/>
              <w:autoSpaceDN w:val="0"/>
              <w:adjustRightInd w:val="0"/>
              <w:spacing w:line="276" w:lineRule="auto"/>
              <w:jc w:val="center"/>
              <w:rPr>
                <w:rFonts w:cs="Times New Roman"/>
                <w:szCs w:val="24"/>
              </w:rPr>
            </w:pPr>
            <w:r>
              <w:rPr>
                <w:rFonts w:cs="Times New Roman"/>
                <w:szCs w:val="24"/>
              </w:rPr>
              <w:t>21,24</w:t>
            </w:r>
          </w:p>
        </w:tc>
        <w:tc>
          <w:tcPr>
            <w:tcW w:w="1072" w:type="dxa"/>
          </w:tcPr>
          <w:p w14:paraId="1BE2DFE6" w14:textId="0773930D" w:rsidR="00BC09C6" w:rsidRPr="000F0B7F" w:rsidRDefault="00E65683" w:rsidP="00BC09C6">
            <w:pPr>
              <w:autoSpaceDE w:val="0"/>
              <w:autoSpaceDN w:val="0"/>
              <w:adjustRightInd w:val="0"/>
              <w:spacing w:line="276" w:lineRule="auto"/>
              <w:jc w:val="center"/>
              <w:rPr>
                <w:rFonts w:cs="Times New Roman"/>
                <w:szCs w:val="24"/>
              </w:rPr>
            </w:pPr>
            <w:r>
              <w:rPr>
                <w:rFonts w:cs="Times New Roman"/>
                <w:szCs w:val="24"/>
              </w:rPr>
              <w:t>21,35</w:t>
            </w:r>
          </w:p>
        </w:tc>
        <w:tc>
          <w:tcPr>
            <w:tcW w:w="1072" w:type="dxa"/>
          </w:tcPr>
          <w:p w14:paraId="69B43E83" w14:textId="44F39641" w:rsidR="00BC09C6" w:rsidRPr="000F0B7F" w:rsidRDefault="004A26EE" w:rsidP="00BC09C6">
            <w:pPr>
              <w:autoSpaceDE w:val="0"/>
              <w:autoSpaceDN w:val="0"/>
              <w:adjustRightInd w:val="0"/>
              <w:spacing w:line="276" w:lineRule="auto"/>
              <w:jc w:val="center"/>
              <w:rPr>
                <w:rFonts w:cs="Times New Roman"/>
                <w:szCs w:val="24"/>
              </w:rPr>
            </w:pPr>
            <w:r>
              <w:rPr>
                <w:rFonts w:cs="Times New Roman"/>
                <w:szCs w:val="24"/>
              </w:rPr>
              <w:t>21,40</w:t>
            </w:r>
          </w:p>
        </w:tc>
      </w:tr>
      <w:tr w:rsidR="00BC09C6" w14:paraId="5FA9473F" w14:textId="77777777" w:rsidTr="00BC09C6">
        <w:tc>
          <w:tcPr>
            <w:tcW w:w="668" w:type="dxa"/>
          </w:tcPr>
          <w:p w14:paraId="1EC3991A" w14:textId="77777777" w:rsidR="00BC09C6" w:rsidRPr="000F0B7F" w:rsidRDefault="00BC09C6" w:rsidP="00BC09C6">
            <w:pPr>
              <w:autoSpaceDE w:val="0"/>
              <w:autoSpaceDN w:val="0"/>
              <w:adjustRightInd w:val="0"/>
              <w:spacing w:line="276" w:lineRule="auto"/>
              <w:jc w:val="center"/>
              <w:rPr>
                <w:rFonts w:cs="Times New Roman"/>
                <w:szCs w:val="24"/>
              </w:rPr>
            </w:pPr>
            <w:r w:rsidRPr="000F0B7F">
              <w:rPr>
                <w:rFonts w:cs="Times New Roman"/>
                <w:szCs w:val="24"/>
              </w:rPr>
              <w:t>4.</w:t>
            </w:r>
          </w:p>
        </w:tc>
        <w:tc>
          <w:tcPr>
            <w:tcW w:w="1737" w:type="dxa"/>
          </w:tcPr>
          <w:p w14:paraId="50D54E5D" w14:textId="77777777" w:rsidR="00BC09C6" w:rsidRPr="000F0B7F" w:rsidRDefault="00BC09C6" w:rsidP="00BC09C6">
            <w:pPr>
              <w:autoSpaceDE w:val="0"/>
              <w:autoSpaceDN w:val="0"/>
              <w:adjustRightInd w:val="0"/>
              <w:spacing w:line="276" w:lineRule="auto"/>
              <w:jc w:val="center"/>
              <w:rPr>
                <w:rFonts w:cs="Times New Roman"/>
                <w:szCs w:val="24"/>
              </w:rPr>
            </w:pPr>
            <w:r w:rsidRPr="000F0B7F">
              <w:rPr>
                <w:rFonts w:cs="Times New Roman"/>
                <w:szCs w:val="24"/>
              </w:rPr>
              <w:t>BBTN</w:t>
            </w:r>
          </w:p>
        </w:tc>
        <w:tc>
          <w:tcPr>
            <w:tcW w:w="859" w:type="dxa"/>
          </w:tcPr>
          <w:p w14:paraId="222C3069" w14:textId="1704D7AC"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19,56</w:t>
            </w:r>
          </w:p>
        </w:tc>
        <w:tc>
          <w:tcPr>
            <w:tcW w:w="1072" w:type="dxa"/>
          </w:tcPr>
          <w:p w14:paraId="1449F1D5" w14:textId="21A9CD77" w:rsidR="009D3A6D" w:rsidRPr="000F0B7F" w:rsidRDefault="009D3A6D" w:rsidP="009D3A6D">
            <w:pPr>
              <w:autoSpaceDE w:val="0"/>
              <w:autoSpaceDN w:val="0"/>
              <w:adjustRightInd w:val="0"/>
              <w:spacing w:line="276" w:lineRule="auto"/>
              <w:jc w:val="center"/>
              <w:rPr>
                <w:rFonts w:cs="Times New Roman"/>
                <w:szCs w:val="24"/>
              </w:rPr>
            </w:pPr>
            <w:r>
              <w:rPr>
                <w:rFonts w:cs="Times New Roman"/>
                <w:szCs w:val="24"/>
              </w:rPr>
              <w:t>19,70</w:t>
            </w:r>
          </w:p>
        </w:tc>
        <w:tc>
          <w:tcPr>
            <w:tcW w:w="1072" w:type="dxa"/>
          </w:tcPr>
          <w:p w14:paraId="73CF2901" w14:textId="6F748C2E"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19,73</w:t>
            </w:r>
          </w:p>
        </w:tc>
        <w:tc>
          <w:tcPr>
            <w:tcW w:w="1072" w:type="dxa"/>
          </w:tcPr>
          <w:p w14:paraId="6D650724" w14:textId="0F62EA3E" w:rsidR="00BC09C6" w:rsidRPr="000F0B7F" w:rsidRDefault="00E65683" w:rsidP="00BC09C6">
            <w:pPr>
              <w:autoSpaceDE w:val="0"/>
              <w:autoSpaceDN w:val="0"/>
              <w:adjustRightInd w:val="0"/>
              <w:spacing w:line="276" w:lineRule="auto"/>
              <w:jc w:val="center"/>
              <w:rPr>
                <w:rFonts w:cs="Times New Roman"/>
                <w:szCs w:val="24"/>
              </w:rPr>
            </w:pPr>
            <w:r>
              <w:rPr>
                <w:rFonts w:cs="Times New Roman"/>
                <w:szCs w:val="24"/>
              </w:rPr>
              <w:t>19,81</w:t>
            </w:r>
          </w:p>
        </w:tc>
        <w:tc>
          <w:tcPr>
            <w:tcW w:w="1072" w:type="dxa"/>
          </w:tcPr>
          <w:p w14:paraId="57CFF2FA" w14:textId="0C491362" w:rsidR="00BC09C6" w:rsidRPr="000F0B7F" w:rsidRDefault="004A26EE" w:rsidP="00BC09C6">
            <w:pPr>
              <w:autoSpaceDE w:val="0"/>
              <w:autoSpaceDN w:val="0"/>
              <w:adjustRightInd w:val="0"/>
              <w:spacing w:line="276" w:lineRule="auto"/>
              <w:jc w:val="center"/>
              <w:rPr>
                <w:rFonts w:cs="Times New Roman"/>
                <w:szCs w:val="24"/>
              </w:rPr>
            </w:pPr>
            <w:r>
              <w:rPr>
                <w:rFonts w:cs="Times New Roman"/>
                <w:szCs w:val="24"/>
              </w:rPr>
              <w:t>19,90</w:t>
            </w:r>
          </w:p>
        </w:tc>
      </w:tr>
      <w:tr w:rsidR="00BC09C6" w14:paraId="021B1179" w14:textId="77777777" w:rsidTr="00BC09C6">
        <w:tc>
          <w:tcPr>
            <w:tcW w:w="668" w:type="dxa"/>
          </w:tcPr>
          <w:p w14:paraId="7C1F2156" w14:textId="77777777" w:rsidR="00BC09C6" w:rsidRPr="000F0B7F" w:rsidRDefault="00BC09C6" w:rsidP="00BC09C6">
            <w:pPr>
              <w:autoSpaceDE w:val="0"/>
              <w:autoSpaceDN w:val="0"/>
              <w:adjustRightInd w:val="0"/>
              <w:spacing w:line="276" w:lineRule="auto"/>
              <w:jc w:val="center"/>
              <w:rPr>
                <w:rFonts w:cs="Times New Roman"/>
                <w:szCs w:val="24"/>
              </w:rPr>
            </w:pPr>
            <w:r w:rsidRPr="000F0B7F">
              <w:rPr>
                <w:rFonts w:cs="Times New Roman"/>
                <w:szCs w:val="24"/>
              </w:rPr>
              <w:t>5.</w:t>
            </w:r>
          </w:p>
        </w:tc>
        <w:tc>
          <w:tcPr>
            <w:tcW w:w="1737" w:type="dxa"/>
          </w:tcPr>
          <w:p w14:paraId="514EDE32" w14:textId="77777777" w:rsidR="00BC09C6" w:rsidRPr="000F0B7F" w:rsidRDefault="00BC09C6" w:rsidP="00BC09C6">
            <w:pPr>
              <w:autoSpaceDE w:val="0"/>
              <w:autoSpaceDN w:val="0"/>
              <w:adjustRightInd w:val="0"/>
              <w:spacing w:line="276" w:lineRule="auto"/>
              <w:jc w:val="center"/>
              <w:rPr>
                <w:rFonts w:cs="Times New Roman"/>
                <w:szCs w:val="24"/>
              </w:rPr>
            </w:pPr>
            <w:r w:rsidRPr="000F0B7F">
              <w:rPr>
                <w:rFonts w:cs="Times New Roman"/>
                <w:szCs w:val="24"/>
              </w:rPr>
              <w:t>BMRI</w:t>
            </w:r>
          </w:p>
        </w:tc>
        <w:tc>
          <w:tcPr>
            <w:tcW w:w="859" w:type="dxa"/>
          </w:tcPr>
          <w:p w14:paraId="59AF0B0A" w14:textId="2D1837F8"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21,00</w:t>
            </w:r>
          </w:p>
        </w:tc>
        <w:tc>
          <w:tcPr>
            <w:tcW w:w="1072" w:type="dxa"/>
          </w:tcPr>
          <w:p w14:paraId="2B476789" w14:textId="01322222"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21,08</w:t>
            </w:r>
          </w:p>
        </w:tc>
        <w:tc>
          <w:tcPr>
            <w:tcW w:w="1072" w:type="dxa"/>
          </w:tcPr>
          <w:p w14:paraId="6D5BB1A2" w14:textId="5A87E144"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21,27</w:t>
            </w:r>
          </w:p>
        </w:tc>
        <w:tc>
          <w:tcPr>
            <w:tcW w:w="1072" w:type="dxa"/>
          </w:tcPr>
          <w:p w14:paraId="71BA7CE6" w14:textId="407C796C"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21,41</w:t>
            </w:r>
          </w:p>
        </w:tc>
        <w:tc>
          <w:tcPr>
            <w:tcW w:w="1072" w:type="dxa"/>
          </w:tcPr>
          <w:p w14:paraId="1A5676DF" w14:textId="0F16BEDA" w:rsidR="00BC09C6" w:rsidRPr="000F0B7F" w:rsidRDefault="004A26EE" w:rsidP="00BC09C6">
            <w:pPr>
              <w:autoSpaceDE w:val="0"/>
              <w:autoSpaceDN w:val="0"/>
              <w:adjustRightInd w:val="0"/>
              <w:spacing w:line="276" w:lineRule="auto"/>
              <w:jc w:val="center"/>
              <w:rPr>
                <w:rFonts w:cs="Times New Roman"/>
                <w:szCs w:val="24"/>
              </w:rPr>
            </w:pPr>
            <w:r>
              <w:rPr>
                <w:rFonts w:cs="Times New Roman"/>
                <w:szCs w:val="24"/>
              </w:rPr>
              <w:t>21,50</w:t>
            </w:r>
          </w:p>
        </w:tc>
      </w:tr>
      <w:tr w:rsidR="00BC09C6" w14:paraId="1C584607" w14:textId="77777777" w:rsidTr="00BC09C6">
        <w:tc>
          <w:tcPr>
            <w:tcW w:w="668" w:type="dxa"/>
          </w:tcPr>
          <w:p w14:paraId="21CB1852" w14:textId="1BBEA462" w:rsidR="00BC09C6" w:rsidRPr="000F0B7F" w:rsidRDefault="00BF645C" w:rsidP="00BC09C6">
            <w:pPr>
              <w:autoSpaceDE w:val="0"/>
              <w:autoSpaceDN w:val="0"/>
              <w:adjustRightInd w:val="0"/>
              <w:spacing w:line="276" w:lineRule="auto"/>
              <w:jc w:val="center"/>
              <w:rPr>
                <w:rFonts w:cs="Times New Roman"/>
                <w:szCs w:val="24"/>
              </w:rPr>
            </w:pPr>
            <w:r>
              <w:rPr>
                <w:rFonts w:cs="Times New Roman"/>
                <w:szCs w:val="24"/>
              </w:rPr>
              <w:t>6</w:t>
            </w:r>
            <w:r w:rsidR="00BC09C6" w:rsidRPr="000F0B7F">
              <w:rPr>
                <w:rFonts w:cs="Times New Roman"/>
                <w:szCs w:val="24"/>
              </w:rPr>
              <w:t>.</w:t>
            </w:r>
          </w:p>
        </w:tc>
        <w:tc>
          <w:tcPr>
            <w:tcW w:w="1737" w:type="dxa"/>
          </w:tcPr>
          <w:p w14:paraId="0770D93C" w14:textId="77777777" w:rsidR="00BC09C6" w:rsidRPr="000F0B7F" w:rsidRDefault="00BC09C6" w:rsidP="00BC09C6">
            <w:pPr>
              <w:autoSpaceDE w:val="0"/>
              <w:autoSpaceDN w:val="0"/>
              <w:adjustRightInd w:val="0"/>
              <w:spacing w:line="276" w:lineRule="auto"/>
              <w:jc w:val="center"/>
              <w:rPr>
                <w:rFonts w:cs="Times New Roman"/>
                <w:szCs w:val="24"/>
              </w:rPr>
            </w:pPr>
            <w:r w:rsidRPr="000F0B7F">
              <w:rPr>
                <w:rFonts w:cs="Times New Roman"/>
                <w:szCs w:val="24"/>
              </w:rPr>
              <w:t>UNTR</w:t>
            </w:r>
          </w:p>
        </w:tc>
        <w:tc>
          <w:tcPr>
            <w:tcW w:w="859" w:type="dxa"/>
          </w:tcPr>
          <w:p w14:paraId="0F4A854D" w14:textId="15711BBE"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18,53</w:t>
            </w:r>
          </w:p>
        </w:tc>
        <w:tc>
          <w:tcPr>
            <w:tcW w:w="1072" w:type="dxa"/>
          </w:tcPr>
          <w:p w14:paraId="38E89EC9" w14:textId="5FF62027"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18,42</w:t>
            </w:r>
          </w:p>
        </w:tc>
        <w:tc>
          <w:tcPr>
            <w:tcW w:w="1072" w:type="dxa"/>
          </w:tcPr>
          <w:p w14:paraId="4F204741" w14:textId="0FDA1830"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18,54</w:t>
            </w:r>
          </w:p>
        </w:tc>
        <w:tc>
          <w:tcPr>
            <w:tcW w:w="1072" w:type="dxa"/>
          </w:tcPr>
          <w:p w14:paraId="245A7855" w14:textId="60AFBD2D" w:rsidR="00BC09C6" w:rsidRPr="000F0B7F" w:rsidRDefault="004A26EE" w:rsidP="00BC09C6">
            <w:pPr>
              <w:autoSpaceDE w:val="0"/>
              <w:autoSpaceDN w:val="0"/>
              <w:adjustRightInd w:val="0"/>
              <w:spacing w:line="276" w:lineRule="auto"/>
              <w:jc w:val="center"/>
              <w:rPr>
                <w:rFonts w:cs="Times New Roman"/>
                <w:szCs w:val="24"/>
              </w:rPr>
            </w:pPr>
            <w:r>
              <w:rPr>
                <w:rFonts w:cs="Times New Roman"/>
                <w:szCs w:val="24"/>
              </w:rPr>
              <w:t>18,76</w:t>
            </w:r>
          </w:p>
        </w:tc>
        <w:tc>
          <w:tcPr>
            <w:tcW w:w="1072" w:type="dxa"/>
          </w:tcPr>
          <w:p w14:paraId="3DC7280D" w14:textId="15D4FCB4" w:rsidR="00BC09C6" w:rsidRPr="000F0B7F" w:rsidRDefault="004A26EE" w:rsidP="00BC09C6">
            <w:pPr>
              <w:autoSpaceDE w:val="0"/>
              <w:autoSpaceDN w:val="0"/>
              <w:adjustRightInd w:val="0"/>
              <w:spacing w:line="276" w:lineRule="auto"/>
              <w:jc w:val="center"/>
              <w:rPr>
                <w:rFonts w:cs="Times New Roman"/>
                <w:szCs w:val="24"/>
              </w:rPr>
            </w:pPr>
            <w:r>
              <w:rPr>
                <w:rFonts w:cs="Times New Roman"/>
                <w:szCs w:val="24"/>
              </w:rPr>
              <w:t>18,85</w:t>
            </w:r>
          </w:p>
        </w:tc>
      </w:tr>
      <w:tr w:rsidR="00BC09C6" w14:paraId="63B29973" w14:textId="77777777" w:rsidTr="00BC09C6">
        <w:tc>
          <w:tcPr>
            <w:tcW w:w="668" w:type="dxa"/>
          </w:tcPr>
          <w:p w14:paraId="01834314" w14:textId="64BD67B1" w:rsidR="00BC09C6" w:rsidRPr="000F0B7F" w:rsidRDefault="00BF645C" w:rsidP="00BC09C6">
            <w:pPr>
              <w:autoSpaceDE w:val="0"/>
              <w:autoSpaceDN w:val="0"/>
              <w:adjustRightInd w:val="0"/>
              <w:spacing w:line="276" w:lineRule="auto"/>
              <w:jc w:val="center"/>
              <w:rPr>
                <w:rFonts w:cs="Times New Roman"/>
                <w:szCs w:val="24"/>
              </w:rPr>
            </w:pPr>
            <w:r>
              <w:rPr>
                <w:rFonts w:cs="Times New Roman"/>
                <w:szCs w:val="24"/>
              </w:rPr>
              <w:t>7</w:t>
            </w:r>
            <w:r w:rsidR="00BC09C6" w:rsidRPr="000F0B7F">
              <w:rPr>
                <w:rFonts w:cs="Times New Roman"/>
                <w:szCs w:val="24"/>
              </w:rPr>
              <w:t>.</w:t>
            </w:r>
          </w:p>
        </w:tc>
        <w:tc>
          <w:tcPr>
            <w:tcW w:w="1737" w:type="dxa"/>
          </w:tcPr>
          <w:p w14:paraId="23B10326" w14:textId="77777777" w:rsidR="00BC09C6" w:rsidRPr="000F0B7F" w:rsidRDefault="00BC09C6" w:rsidP="00BC09C6">
            <w:pPr>
              <w:autoSpaceDE w:val="0"/>
              <w:autoSpaceDN w:val="0"/>
              <w:adjustRightInd w:val="0"/>
              <w:spacing w:line="276" w:lineRule="auto"/>
              <w:jc w:val="center"/>
              <w:rPr>
                <w:rFonts w:cs="Times New Roman"/>
                <w:szCs w:val="24"/>
              </w:rPr>
            </w:pPr>
            <w:r w:rsidRPr="000F0B7F">
              <w:rPr>
                <w:rFonts w:cs="Times New Roman"/>
                <w:szCs w:val="24"/>
              </w:rPr>
              <w:t>UNVR</w:t>
            </w:r>
          </w:p>
        </w:tc>
        <w:tc>
          <w:tcPr>
            <w:tcW w:w="859" w:type="dxa"/>
          </w:tcPr>
          <w:p w14:paraId="58D29B13" w14:textId="4B637037"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16,84</w:t>
            </w:r>
          </w:p>
        </w:tc>
        <w:tc>
          <w:tcPr>
            <w:tcW w:w="1072" w:type="dxa"/>
          </w:tcPr>
          <w:p w14:paraId="22941E2E" w14:textId="06BBA591"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16,84</w:t>
            </w:r>
          </w:p>
        </w:tc>
        <w:tc>
          <w:tcPr>
            <w:tcW w:w="1072" w:type="dxa"/>
          </w:tcPr>
          <w:p w14:paraId="275686A8" w14:textId="4AEA33BC"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16,76</w:t>
            </w:r>
          </w:p>
        </w:tc>
        <w:tc>
          <w:tcPr>
            <w:tcW w:w="1072" w:type="dxa"/>
          </w:tcPr>
          <w:p w14:paraId="3D789A7F" w14:textId="45E2EF04" w:rsidR="00BC09C6" w:rsidRPr="000F0B7F" w:rsidRDefault="004A26EE" w:rsidP="00BC09C6">
            <w:pPr>
              <w:autoSpaceDE w:val="0"/>
              <w:autoSpaceDN w:val="0"/>
              <w:adjustRightInd w:val="0"/>
              <w:spacing w:line="276" w:lineRule="auto"/>
              <w:jc w:val="center"/>
              <w:rPr>
                <w:rFonts w:cs="Times New Roman"/>
                <w:szCs w:val="24"/>
              </w:rPr>
            </w:pPr>
            <w:r>
              <w:rPr>
                <w:rFonts w:cs="Times New Roman"/>
                <w:szCs w:val="24"/>
              </w:rPr>
              <w:t>16,72</w:t>
            </w:r>
          </w:p>
        </w:tc>
        <w:tc>
          <w:tcPr>
            <w:tcW w:w="1072" w:type="dxa"/>
          </w:tcPr>
          <w:p w14:paraId="56CBCE35" w14:textId="60921799" w:rsidR="00BC09C6" w:rsidRPr="000F0B7F" w:rsidRDefault="004A26EE" w:rsidP="00BC09C6">
            <w:pPr>
              <w:autoSpaceDE w:val="0"/>
              <w:autoSpaceDN w:val="0"/>
              <w:adjustRightInd w:val="0"/>
              <w:spacing w:line="276" w:lineRule="auto"/>
              <w:jc w:val="center"/>
              <w:rPr>
                <w:rFonts w:cs="Times New Roman"/>
                <w:szCs w:val="24"/>
              </w:rPr>
            </w:pPr>
            <w:r>
              <w:rPr>
                <w:rFonts w:cs="Times New Roman"/>
                <w:szCs w:val="24"/>
              </w:rPr>
              <w:t>16,63</w:t>
            </w:r>
          </w:p>
        </w:tc>
      </w:tr>
      <w:tr w:rsidR="00BC09C6" w14:paraId="10EF1558" w14:textId="77777777" w:rsidTr="00BC09C6">
        <w:tc>
          <w:tcPr>
            <w:tcW w:w="668" w:type="dxa"/>
          </w:tcPr>
          <w:p w14:paraId="55B5B495" w14:textId="6FC9CE82" w:rsidR="00BC09C6" w:rsidRPr="000F0B7F" w:rsidRDefault="00BF645C" w:rsidP="00BC09C6">
            <w:pPr>
              <w:autoSpaceDE w:val="0"/>
              <w:autoSpaceDN w:val="0"/>
              <w:adjustRightInd w:val="0"/>
              <w:spacing w:line="276" w:lineRule="auto"/>
              <w:jc w:val="center"/>
              <w:rPr>
                <w:rFonts w:cs="Times New Roman"/>
                <w:szCs w:val="24"/>
              </w:rPr>
            </w:pPr>
            <w:r>
              <w:rPr>
                <w:rFonts w:cs="Times New Roman"/>
                <w:szCs w:val="24"/>
              </w:rPr>
              <w:t>8</w:t>
            </w:r>
            <w:r w:rsidR="00BC09C6" w:rsidRPr="000F0B7F">
              <w:rPr>
                <w:rFonts w:cs="Times New Roman"/>
                <w:szCs w:val="24"/>
              </w:rPr>
              <w:t>.</w:t>
            </w:r>
          </w:p>
        </w:tc>
        <w:tc>
          <w:tcPr>
            <w:tcW w:w="1737" w:type="dxa"/>
          </w:tcPr>
          <w:p w14:paraId="36DD8FDF" w14:textId="77777777" w:rsidR="00BC09C6" w:rsidRPr="000F0B7F" w:rsidRDefault="00BC09C6" w:rsidP="00BC09C6">
            <w:pPr>
              <w:autoSpaceDE w:val="0"/>
              <w:autoSpaceDN w:val="0"/>
              <w:adjustRightInd w:val="0"/>
              <w:spacing w:line="276" w:lineRule="auto"/>
              <w:jc w:val="center"/>
              <w:rPr>
                <w:rFonts w:cs="Times New Roman"/>
                <w:szCs w:val="24"/>
              </w:rPr>
            </w:pPr>
            <w:r>
              <w:rPr>
                <w:rFonts w:cs="Times New Roman"/>
                <w:szCs w:val="24"/>
              </w:rPr>
              <w:t>WI</w:t>
            </w:r>
            <w:r w:rsidRPr="000F0B7F">
              <w:rPr>
                <w:rFonts w:cs="Times New Roman"/>
                <w:szCs w:val="24"/>
              </w:rPr>
              <w:t>KA</w:t>
            </w:r>
          </w:p>
        </w:tc>
        <w:tc>
          <w:tcPr>
            <w:tcW w:w="859" w:type="dxa"/>
          </w:tcPr>
          <w:p w14:paraId="6CE52C62" w14:textId="6FDDC50E"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24,85</w:t>
            </w:r>
          </w:p>
        </w:tc>
        <w:tc>
          <w:tcPr>
            <w:tcW w:w="1072" w:type="dxa"/>
          </w:tcPr>
          <w:p w14:paraId="2EE4ABA8" w14:textId="6773E9C5"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24,94</w:t>
            </w:r>
          </w:p>
        </w:tc>
        <w:tc>
          <w:tcPr>
            <w:tcW w:w="1072" w:type="dxa"/>
          </w:tcPr>
          <w:p w14:paraId="159A0FD8" w14:textId="2A067889" w:rsidR="00BC09C6" w:rsidRPr="000F0B7F" w:rsidRDefault="009D3A6D" w:rsidP="00BC09C6">
            <w:pPr>
              <w:autoSpaceDE w:val="0"/>
              <w:autoSpaceDN w:val="0"/>
              <w:adjustRightInd w:val="0"/>
              <w:spacing w:line="276" w:lineRule="auto"/>
              <w:jc w:val="center"/>
              <w:rPr>
                <w:rFonts w:cs="Times New Roman"/>
                <w:szCs w:val="24"/>
              </w:rPr>
            </w:pPr>
            <w:r>
              <w:rPr>
                <w:rFonts w:cs="Times New Roman"/>
                <w:szCs w:val="24"/>
              </w:rPr>
              <w:t>24,96</w:t>
            </w:r>
          </w:p>
        </w:tc>
        <w:tc>
          <w:tcPr>
            <w:tcW w:w="1072" w:type="dxa"/>
          </w:tcPr>
          <w:p w14:paraId="525E93B4" w14:textId="0E08AD0C" w:rsidR="00BC09C6" w:rsidRPr="000F0B7F" w:rsidRDefault="004A26EE" w:rsidP="00BC09C6">
            <w:pPr>
              <w:autoSpaceDE w:val="0"/>
              <w:autoSpaceDN w:val="0"/>
              <w:adjustRightInd w:val="0"/>
              <w:spacing w:line="276" w:lineRule="auto"/>
              <w:jc w:val="center"/>
              <w:rPr>
                <w:rFonts w:cs="Times New Roman"/>
                <w:szCs w:val="24"/>
              </w:rPr>
            </w:pPr>
            <w:r>
              <w:rPr>
                <w:rFonts w:cs="Times New Roman"/>
                <w:szCs w:val="24"/>
              </w:rPr>
              <w:t>25,04</w:t>
            </w:r>
          </w:p>
        </w:tc>
        <w:tc>
          <w:tcPr>
            <w:tcW w:w="1072" w:type="dxa"/>
          </w:tcPr>
          <w:p w14:paraId="1155501D" w14:textId="55159CE7" w:rsidR="00BC09C6" w:rsidRPr="000F0B7F" w:rsidRDefault="004A26EE" w:rsidP="00BC09C6">
            <w:pPr>
              <w:autoSpaceDE w:val="0"/>
              <w:autoSpaceDN w:val="0"/>
              <w:adjustRightInd w:val="0"/>
              <w:spacing w:line="276" w:lineRule="auto"/>
              <w:jc w:val="center"/>
              <w:rPr>
                <w:rFonts w:cs="Times New Roman"/>
                <w:szCs w:val="24"/>
              </w:rPr>
            </w:pPr>
            <w:r>
              <w:rPr>
                <w:rFonts w:cs="Times New Roman"/>
                <w:szCs w:val="24"/>
              </w:rPr>
              <w:t>24,91</w:t>
            </w:r>
          </w:p>
        </w:tc>
      </w:tr>
      <w:tr w:rsidR="00BC09C6" w14:paraId="0DAC3D9E" w14:textId="77777777" w:rsidTr="00BC09C6">
        <w:tc>
          <w:tcPr>
            <w:tcW w:w="2405" w:type="dxa"/>
            <w:gridSpan w:val="2"/>
          </w:tcPr>
          <w:p w14:paraId="3F129C46" w14:textId="77777777" w:rsidR="00BC09C6" w:rsidRPr="00270B21" w:rsidRDefault="00BC09C6" w:rsidP="00BC09C6">
            <w:pPr>
              <w:autoSpaceDE w:val="0"/>
              <w:autoSpaceDN w:val="0"/>
              <w:adjustRightInd w:val="0"/>
              <w:spacing w:line="276" w:lineRule="auto"/>
              <w:jc w:val="center"/>
              <w:rPr>
                <w:rFonts w:cs="Times New Roman"/>
                <w:szCs w:val="24"/>
              </w:rPr>
            </w:pPr>
            <w:r w:rsidRPr="00270B21">
              <w:rPr>
                <w:rFonts w:cs="Times New Roman"/>
                <w:szCs w:val="24"/>
              </w:rPr>
              <w:t>Nila</w:t>
            </w:r>
            <w:r>
              <w:rPr>
                <w:rFonts w:cs="Times New Roman"/>
                <w:szCs w:val="24"/>
              </w:rPr>
              <w:t>i T</w:t>
            </w:r>
            <w:r w:rsidRPr="00270B21">
              <w:rPr>
                <w:rFonts w:cs="Times New Roman"/>
                <w:szCs w:val="24"/>
              </w:rPr>
              <w:t>ertinggi</w:t>
            </w:r>
          </w:p>
        </w:tc>
        <w:tc>
          <w:tcPr>
            <w:tcW w:w="5147" w:type="dxa"/>
            <w:gridSpan w:val="5"/>
          </w:tcPr>
          <w:p w14:paraId="4801F1F6" w14:textId="47171AFB" w:rsidR="00BC09C6" w:rsidRPr="00270B21" w:rsidRDefault="00BF645C" w:rsidP="00BC09C6">
            <w:pPr>
              <w:autoSpaceDE w:val="0"/>
              <w:autoSpaceDN w:val="0"/>
              <w:adjustRightInd w:val="0"/>
              <w:spacing w:line="276" w:lineRule="auto"/>
              <w:jc w:val="center"/>
              <w:rPr>
                <w:rFonts w:cs="Times New Roman"/>
                <w:szCs w:val="24"/>
              </w:rPr>
            </w:pPr>
            <w:r w:rsidRPr="00274326">
              <w:rPr>
                <w:rFonts w:cs="Times New Roman"/>
                <w:color w:val="010205"/>
                <w:szCs w:val="24"/>
              </w:rPr>
              <w:t>26.76</w:t>
            </w:r>
          </w:p>
        </w:tc>
      </w:tr>
      <w:tr w:rsidR="00BC09C6" w14:paraId="414766CB" w14:textId="77777777" w:rsidTr="00BC09C6">
        <w:tc>
          <w:tcPr>
            <w:tcW w:w="2405" w:type="dxa"/>
            <w:gridSpan w:val="2"/>
          </w:tcPr>
          <w:p w14:paraId="23C4824F" w14:textId="77777777" w:rsidR="00BC09C6" w:rsidRPr="00270B21" w:rsidRDefault="00BC09C6" w:rsidP="00BC09C6">
            <w:pPr>
              <w:autoSpaceDE w:val="0"/>
              <w:autoSpaceDN w:val="0"/>
              <w:adjustRightInd w:val="0"/>
              <w:spacing w:line="276" w:lineRule="auto"/>
              <w:jc w:val="center"/>
              <w:rPr>
                <w:rFonts w:cs="Times New Roman"/>
                <w:szCs w:val="24"/>
              </w:rPr>
            </w:pPr>
            <w:r w:rsidRPr="00270B21">
              <w:rPr>
                <w:rFonts w:cs="Times New Roman"/>
                <w:szCs w:val="24"/>
              </w:rPr>
              <w:t xml:space="preserve">Nilai </w:t>
            </w:r>
            <w:r>
              <w:rPr>
                <w:rFonts w:cs="Times New Roman"/>
                <w:szCs w:val="24"/>
              </w:rPr>
              <w:t>T</w:t>
            </w:r>
            <w:r w:rsidRPr="00270B21">
              <w:rPr>
                <w:rFonts w:cs="Times New Roman"/>
                <w:szCs w:val="24"/>
              </w:rPr>
              <w:t xml:space="preserve">erendah </w:t>
            </w:r>
          </w:p>
        </w:tc>
        <w:tc>
          <w:tcPr>
            <w:tcW w:w="5147" w:type="dxa"/>
            <w:gridSpan w:val="5"/>
          </w:tcPr>
          <w:p w14:paraId="44C7D51C" w14:textId="43B2C1E5" w:rsidR="00BC09C6" w:rsidRPr="00270B21" w:rsidRDefault="00BF645C" w:rsidP="00BC09C6">
            <w:pPr>
              <w:autoSpaceDE w:val="0"/>
              <w:autoSpaceDN w:val="0"/>
              <w:adjustRightInd w:val="0"/>
              <w:spacing w:line="276" w:lineRule="auto"/>
              <w:jc w:val="center"/>
              <w:rPr>
                <w:rFonts w:cs="Times New Roman"/>
                <w:szCs w:val="24"/>
              </w:rPr>
            </w:pPr>
            <w:r>
              <w:rPr>
                <w:rFonts w:cs="Times New Roman"/>
                <w:szCs w:val="24"/>
              </w:rPr>
              <w:t>0.00</w:t>
            </w:r>
          </w:p>
        </w:tc>
      </w:tr>
      <w:tr w:rsidR="00BC09C6" w14:paraId="5577B3FA" w14:textId="77777777" w:rsidTr="00BC09C6">
        <w:tc>
          <w:tcPr>
            <w:tcW w:w="2405" w:type="dxa"/>
            <w:gridSpan w:val="2"/>
          </w:tcPr>
          <w:p w14:paraId="6B3F487E" w14:textId="77777777" w:rsidR="00BC09C6" w:rsidRPr="00270B21" w:rsidRDefault="00BC09C6" w:rsidP="00BC09C6">
            <w:pPr>
              <w:autoSpaceDE w:val="0"/>
              <w:autoSpaceDN w:val="0"/>
              <w:adjustRightInd w:val="0"/>
              <w:spacing w:line="276" w:lineRule="auto"/>
              <w:jc w:val="center"/>
              <w:rPr>
                <w:rFonts w:cs="Times New Roman"/>
                <w:szCs w:val="24"/>
              </w:rPr>
            </w:pPr>
            <w:r w:rsidRPr="00270B21">
              <w:rPr>
                <w:rFonts w:cs="Times New Roman"/>
                <w:szCs w:val="24"/>
              </w:rPr>
              <w:t xml:space="preserve">Nilai </w:t>
            </w:r>
            <w:r>
              <w:rPr>
                <w:rFonts w:cs="Times New Roman"/>
                <w:szCs w:val="24"/>
              </w:rPr>
              <w:t>R</w:t>
            </w:r>
            <w:r w:rsidRPr="00270B21">
              <w:rPr>
                <w:rFonts w:cs="Times New Roman"/>
                <w:szCs w:val="24"/>
              </w:rPr>
              <w:t xml:space="preserve">ata-rata </w:t>
            </w:r>
          </w:p>
        </w:tc>
        <w:tc>
          <w:tcPr>
            <w:tcW w:w="5147" w:type="dxa"/>
            <w:gridSpan w:val="5"/>
          </w:tcPr>
          <w:p w14:paraId="75CD064D" w14:textId="6F735499" w:rsidR="00BC09C6" w:rsidRPr="00270B21" w:rsidRDefault="00BF645C" w:rsidP="00BC09C6">
            <w:pPr>
              <w:autoSpaceDE w:val="0"/>
              <w:autoSpaceDN w:val="0"/>
              <w:adjustRightInd w:val="0"/>
              <w:spacing w:line="276" w:lineRule="auto"/>
              <w:jc w:val="center"/>
              <w:rPr>
                <w:rFonts w:cs="Times New Roman"/>
                <w:szCs w:val="24"/>
              </w:rPr>
            </w:pPr>
            <w:r w:rsidRPr="00274326">
              <w:rPr>
                <w:rFonts w:cs="Times New Roman"/>
                <w:color w:val="010205"/>
                <w:szCs w:val="24"/>
              </w:rPr>
              <w:t>15.4076</w:t>
            </w:r>
          </w:p>
        </w:tc>
      </w:tr>
    </w:tbl>
    <w:p w14:paraId="56717727" w14:textId="416C4709" w:rsidR="00BC09C6" w:rsidRDefault="00BC09C6" w:rsidP="00BC09C6">
      <w:pPr>
        <w:autoSpaceDE w:val="0"/>
        <w:autoSpaceDN w:val="0"/>
        <w:adjustRightInd w:val="0"/>
        <w:spacing w:after="0" w:line="480" w:lineRule="auto"/>
        <w:ind w:firstLine="720"/>
        <w:rPr>
          <w:rFonts w:cs="Times New Roman"/>
          <w:szCs w:val="24"/>
        </w:rPr>
      </w:pPr>
      <w:r w:rsidRPr="00270B21">
        <w:rPr>
          <w:rFonts w:cs="Times New Roman"/>
          <w:szCs w:val="24"/>
        </w:rPr>
        <w:t>Su</w:t>
      </w:r>
      <w:r>
        <w:rPr>
          <w:rFonts w:cs="Times New Roman"/>
          <w:szCs w:val="24"/>
        </w:rPr>
        <w:t>mber</w:t>
      </w:r>
      <w:r w:rsidRPr="00270B21">
        <w:rPr>
          <w:rFonts w:cs="Times New Roman"/>
          <w:szCs w:val="24"/>
        </w:rPr>
        <w:t>: Data sekunder yang diolah tahun 2024</w:t>
      </w:r>
    </w:p>
    <w:p w14:paraId="4782CD99" w14:textId="68F705B5" w:rsidR="004A26EE" w:rsidRDefault="004A26EE" w:rsidP="00BF645C">
      <w:pPr>
        <w:autoSpaceDE w:val="0"/>
        <w:autoSpaceDN w:val="0"/>
        <w:adjustRightInd w:val="0"/>
        <w:spacing w:after="0" w:line="480" w:lineRule="auto"/>
        <w:ind w:left="709" w:firstLine="425"/>
        <w:rPr>
          <w:rFonts w:cs="Times New Roman"/>
          <w:szCs w:val="24"/>
        </w:rPr>
      </w:pPr>
      <w:r w:rsidRPr="009D6F1C">
        <w:rPr>
          <w:rFonts w:cs="Times New Roman"/>
          <w:szCs w:val="24"/>
        </w:rPr>
        <w:t>Berdasarkan tab</w:t>
      </w:r>
      <w:r>
        <w:rPr>
          <w:rFonts w:cs="Times New Roman"/>
          <w:szCs w:val="24"/>
        </w:rPr>
        <w:t xml:space="preserve">el diatas, data variabel </w:t>
      </w:r>
      <w:r w:rsidRPr="00070BC7">
        <w:rPr>
          <w:rFonts w:cs="Times New Roman"/>
          <w:i/>
          <w:szCs w:val="24"/>
        </w:rPr>
        <w:t>Firm Szie</w:t>
      </w:r>
      <w:r w:rsidRPr="009D6F1C">
        <w:rPr>
          <w:rFonts w:cs="Times New Roman"/>
          <w:szCs w:val="24"/>
        </w:rPr>
        <w:t xml:space="preserve"> pada tahun 2019-2023 bisa digambarkan dengan grafik sebagai berikut:</w:t>
      </w:r>
    </w:p>
    <w:p w14:paraId="3C83D12C" w14:textId="1D23772A" w:rsidR="004A26EE" w:rsidRPr="00C512DE" w:rsidRDefault="00C512DE" w:rsidP="00C512DE">
      <w:pPr>
        <w:pStyle w:val="Caption"/>
        <w:jc w:val="center"/>
        <w:rPr>
          <w:rFonts w:cs="Times New Roman"/>
          <w:b w:val="0"/>
          <w:color w:val="auto"/>
          <w:sz w:val="24"/>
          <w:szCs w:val="24"/>
        </w:rPr>
      </w:pPr>
      <w:bookmarkStart w:id="20" w:name="_Toc168371621"/>
      <w:r w:rsidRPr="00C512DE">
        <w:rPr>
          <w:color w:val="auto"/>
          <w:sz w:val="24"/>
          <w:szCs w:val="24"/>
        </w:rPr>
        <w:t xml:space="preserve">Gambar.  </w:t>
      </w:r>
      <w:r w:rsidRPr="00C512DE">
        <w:rPr>
          <w:color w:val="auto"/>
          <w:sz w:val="24"/>
          <w:szCs w:val="24"/>
        </w:rPr>
        <w:fldChar w:fldCharType="begin"/>
      </w:r>
      <w:r w:rsidRPr="00C512DE">
        <w:rPr>
          <w:color w:val="auto"/>
          <w:sz w:val="24"/>
          <w:szCs w:val="24"/>
        </w:rPr>
        <w:instrText xml:space="preserve"> SEQ Gambar._ \* ARABIC </w:instrText>
      </w:r>
      <w:r w:rsidRPr="00C512DE">
        <w:rPr>
          <w:color w:val="auto"/>
          <w:sz w:val="24"/>
          <w:szCs w:val="24"/>
        </w:rPr>
        <w:fldChar w:fldCharType="separate"/>
      </w:r>
      <w:r w:rsidR="0017483D">
        <w:rPr>
          <w:noProof/>
          <w:color w:val="auto"/>
          <w:sz w:val="24"/>
          <w:szCs w:val="24"/>
        </w:rPr>
        <w:t>6</w:t>
      </w:r>
      <w:r w:rsidRPr="00C512DE">
        <w:rPr>
          <w:color w:val="auto"/>
          <w:sz w:val="24"/>
          <w:szCs w:val="24"/>
        </w:rPr>
        <w:fldChar w:fldCharType="end"/>
      </w:r>
      <w:r w:rsidRPr="00C512DE">
        <w:rPr>
          <w:color w:val="auto"/>
          <w:sz w:val="24"/>
          <w:szCs w:val="24"/>
          <w:lang w:val="en-US"/>
        </w:rPr>
        <w:t xml:space="preserve"> Grafik Firm Size tahun 2019-2023</w:t>
      </w:r>
      <w:bookmarkEnd w:id="20"/>
    </w:p>
    <w:p w14:paraId="5DCAED45" w14:textId="4A9DE086" w:rsidR="004A26EE" w:rsidRDefault="00BF645C" w:rsidP="004A26EE">
      <w:pPr>
        <w:autoSpaceDE w:val="0"/>
        <w:autoSpaceDN w:val="0"/>
        <w:adjustRightInd w:val="0"/>
        <w:spacing w:after="0" w:line="276" w:lineRule="auto"/>
        <w:ind w:firstLine="425"/>
        <w:jc w:val="center"/>
        <w:rPr>
          <w:rFonts w:cs="Times New Roman"/>
          <w:b/>
          <w:szCs w:val="24"/>
        </w:rPr>
      </w:pPr>
      <w:r>
        <w:rPr>
          <w:noProof/>
        </w:rPr>
        <w:drawing>
          <wp:inline distT="0" distB="0" distL="0" distR="0" wp14:anchorId="25BB5D35" wp14:editId="5A9333CB">
            <wp:extent cx="4572000"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A0B5F3" w14:textId="4AC918AC" w:rsidR="004A26EE" w:rsidRDefault="004A26EE" w:rsidP="004A2EC1">
      <w:pPr>
        <w:autoSpaceDE w:val="0"/>
        <w:autoSpaceDN w:val="0"/>
        <w:adjustRightInd w:val="0"/>
        <w:spacing w:after="0" w:line="480" w:lineRule="auto"/>
        <w:ind w:left="709"/>
        <w:rPr>
          <w:rFonts w:cs="Times New Roman"/>
          <w:szCs w:val="24"/>
        </w:rPr>
      </w:pPr>
      <w:r w:rsidRPr="00270B21">
        <w:rPr>
          <w:rFonts w:cs="Times New Roman"/>
          <w:szCs w:val="24"/>
        </w:rPr>
        <w:t>Su</w:t>
      </w:r>
      <w:r>
        <w:rPr>
          <w:rFonts w:cs="Times New Roman"/>
          <w:szCs w:val="24"/>
        </w:rPr>
        <w:t>mber</w:t>
      </w:r>
      <w:r w:rsidRPr="00270B21">
        <w:rPr>
          <w:rFonts w:cs="Times New Roman"/>
          <w:szCs w:val="24"/>
        </w:rPr>
        <w:t>: Data sekunder yang diolah tahun 2024</w:t>
      </w:r>
    </w:p>
    <w:p w14:paraId="1FC4504F" w14:textId="764C19C7" w:rsidR="004A2EC1" w:rsidRDefault="004A2EC1" w:rsidP="004A2EC1">
      <w:pPr>
        <w:autoSpaceDE w:val="0"/>
        <w:autoSpaceDN w:val="0"/>
        <w:adjustRightInd w:val="0"/>
        <w:spacing w:after="0" w:line="480" w:lineRule="auto"/>
        <w:ind w:left="426" w:firstLine="425"/>
        <w:rPr>
          <w:rFonts w:cs="Times New Roman"/>
          <w:szCs w:val="24"/>
        </w:rPr>
      </w:pPr>
      <w:r w:rsidRPr="004A2EC1">
        <w:rPr>
          <w:rFonts w:cs="Times New Roman"/>
          <w:szCs w:val="24"/>
        </w:rPr>
        <w:lastRenderedPageBreak/>
        <w:t xml:space="preserve">Berdasarkan grafik diatas, diketahui bahwa </w:t>
      </w:r>
      <w:r w:rsidRPr="00070BC7">
        <w:rPr>
          <w:rFonts w:cs="Times New Roman"/>
          <w:i/>
          <w:szCs w:val="24"/>
        </w:rPr>
        <w:t>firm size</w:t>
      </w:r>
      <w:r w:rsidRPr="004A2EC1">
        <w:rPr>
          <w:rFonts w:cs="Times New Roman"/>
          <w:szCs w:val="24"/>
        </w:rPr>
        <w:t xml:space="preserve"> tertinggi pada tahun 2019 te</w:t>
      </w:r>
      <w:r w:rsidR="00BF645C">
        <w:rPr>
          <w:rFonts w:cs="Times New Roman"/>
          <w:szCs w:val="24"/>
        </w:rPr>
        <w:t>rdapat pada PT Wijaya Kraya (WIKA</w:t>
      </w:r>
      <w:r w:rsidR="0045629F">
        <w:rPr>
          <w:rFonts w:cs="Times New Roman"/>
          <w:szCs w:val="24"/>
        </w:rPr>
        <w:t>) sebesar 24,85</w:t>
      </w:r>
      <w:r w:rsidRPr="004A2EC1">
        <w:rPr>
          <w:rFonts w:cs="Times New Roman"/>
          <w:szCs w:val="24"/>
        </w:rPr>
        <w:t xml:space="preserve">% sedangkan </w:t>
      </w:r>
      <w:r w:rsidRPr="00070BC7">
        <w:rPr>
          <w:rFonts w:cs="Times New Roman"/>
          <w:i/>
          <w:szCs w:val="24"/>
        </w:rPr>
        <w:t>firm size</w:t>
      </w:r>
      <w:r w:rsidRPr="004A2EC1">
        <w:rPr>
          <w:rFonts w:cs="Times New Roman"/>
          <w:szCs w:val="24"/>
        </w:rPr>
        <w:t xml:space="preserve"> terendah terdapat </w:t>
      </w:r>
      <w:r w:rsidR="00682B3D">
        <w:rPr>
          <w:rFonts w:cs="Times New Roman"/>
          <w:szCs w:val="24"/>
        </w:rPr>
        <w:t>pada PT Unilever Indonesia (UNVR</w:t>
      </w:r>
      <w:r w:rsidR="0045629F">
        <w:rPr>
          <w:rFonts w:cs="Times New Roman"/>
          <w:szCs w:val="24"/>
        </w:rPr>
        <w:t>) sebesar 16,94</w:t>
      </w:r>
      <w:r w:rsidRPr="004A2EC1">
        <w:rPr>
          <w:rFonts w:cs="Times New Roman"/>
          <w:szCs w:val="24"/>
        </w:rPr>
        <w:t xml:space="preserve">%. Pada tahun 2020 </w:t>
      </w:r>
      <w:r w:rsidRPr="00070BC7">
        <w:rPr>
          <w:rFonts w:cs="Times New Roman"/>
          <w:i/>
          <w:szCs w:val="24"/>
        </w:rPr>
        <w:t>firm size</w:t>
      </w:r>
      <w:r w:rsidRPr="004A2EC1">
        <w:rPr>
          <w:rFonts w:cs="Times New Roman"/>
          <w:szCs w:val="24"/>
        </w:rPr>
        <w:t xml:space="preserve"> tertinggi terdapat pada </w:t>
      </w:r>
      <w:r w:rsidR="00682B3D">
        <w:rPr>
          <w:rFonts w:cs="Times New Roman"/>
          <w:szCs w:val="24"/>
        </w:rPr>
        <w:t>PT Wijaya Kraya (WIKA</w:t>
      </w:r>
      <w:r w:rsidR="00682B3D" w:rsidRPr="004A2EC1">
        <w:rPr>
          <w:rFonts w:cs="Times New Roman"/>
          <w:szCs w:val="24"/>
        </w:rPr>
        <w:t>)</w:t>
      </w:r>
      <w:r w:rsidR="0045629F">
        <w:rPr>
          <w:rFonts w:cs="Times New Roman"/>
          <w:szCs w:val="24"/>
        </w:rPr>
        <w:t xml:space="preserve"> sebesar 24,94</w:t>
      </w:r>
      <w:r w:rsidRPr="004A2EC1">
        <w:rPr>
          <w:rFonts w:cs="Times New Roman"/>
          <w:szCs w:val="24"/>
        </w:rPr>
        <w:t xml:space="preserve">% sedangkan </w:t>
      </w:r>
      <w:r w:rsidRPr="00070BC7">
        <w:rPr>
          <w:rFonts w:cs="Times New Roman"/>
          <w:i/>
          <w:szCs w:val="24"/>
        </w:rPr>
        <w:t>firm size</w:t>
      </w:r>
      <w:r w:rsidRPr="004A2EC1">
        <w:rPr>
          <w:rFonts w:cs="Times New Roman"/>
          <w:szCs w:val="24"/>
        </w:rPr>
        <w:t xml:space="preserve"> terendah terdapat pada </w:t>
      </w:r>
      <w:r w:rsidR="00682B3D">
        <w:rPr>
          <w:rFonts w:cs="Times New Roman"/>
          <w:szCs w:val="24"/>
        </w:rPr>
        <w:t>PT Unilever Indonesia (UNVR</w:t>
      </w:r>
      <w:r w:rsidR="00682B3D" w:rsidRPr="004A2EC1">
        <w:rPr>
          <w:rFonts w:cs="Times New Roman"/>
          <w:szCs w:val="24"/>
        </w:rPr>
        <w:t xml:space="preserve">) </w:t>
      </w:r>
      <w:r w:rsidR="0045629F">
        <w:rPr>
          <w:rFonts w:cs="Times New Roman"/>
          <w:szCs w:val="24"/>
        </w:rPr>
        <w:t>sebesar 16,84</w:t>
      </w:r>
      <w:r w:rsidRPr="004A2EC1">
        <w:rPr>
          <w:rFonts w:cs="Times New Roman"/>
          <w:szCs w:val="24"/>
        </w:rPr>
        <w:t xml:space="preserve">%. Pada tahun 2021 </w:t>
      </w:r>
      <w:r w:rsidRPr="00070BC7">
        <w:rPr>
          <w:rFonts w:cs="Times New Roman"/>
          <w:i/>
          <w:szCs w:val="24"/>
        </w:rPr>
        <w:t>firm size</w:t>
      </w:r>
      <w:r w:rsidRPr="004A2EC1">
        <w:rPr>
          <w:rFonts w:cs="Times New Roman"/>
          <w:szCs w:val="24"/>
        </w:rPr>
        <w:t xml:space="preserve"> tertinggi terdapat pada </w:t>
      </w:r>
      <w:r w:rsidR="00682B3D">
        <w:rPr>
          <w:rFonts w:cs="Times New Roman"/>
          <w:szCs w:val="24"/>
        </w:rPr>
        <w:t>PT Wijaya Kraya (WIKA</w:t>
      </w:r>
      <w:r w:rsidR="00682B3D" w:rsidRPr="004A2EC1">
        <w:rPr>
          <w:rFonts w:cs="Times New Roman"/>
          <w:szCs w:val="24"/>
        </w:rPr>
        <w:t>)</w:t>
      </w:r>
      <w:r w:rsidR="0045629F">
        <w:rPr>
          <w:rFonts w:cs="Times New Roman"/>
          <w:szCs w:val="24"/>
        </w:rPr>
        <w:t xml:space="preserve"> sebesar 24,96</w:t>
      </w:r>
      <w:r w:rsidRPr="004A2EC1">
        <w:rPr>
          <w:rFonts w:cs="Times New Roman"/>
          <w:szCs w:val="24"/>
        </w:rPr>
        <w:t xml:space="preserve">% sedangkan </w:t>
      </w:r>
      <w:r w:rsidRPr="00070BC7">
        <w:rPr>
          <w:rFonts w:cs="Times New Roman"/>
          <w:i/>
          <w:szCs w:val="24"/>
        </w:rPr>
        <w:t>firm size</w:t>
      </w:r>
      <w:r w:rsidRPr="004A2EC1">
        <w:rPr>
          <w:rFonts w:cs="Times New Roman"/>
          <w:szCs w:val="24"/>
        </w:rPr>
        <w:t xml:space="preserve"> terendah terdapat pada </w:t>
      </w:r>
      <w:r w:rsidR="00682B3D">
        <w:rPr>
          <w:rFonts w:cs="Times New Roman"/>
          <w:szCs w:val="24"/>
        </w:rPr>
        <w:t>PT Unilever Indonesia (UNVR</w:t>
      </w:r>
      <w:r w:rsidR="00682B3D" w:rsidRPr="004A2EC1">
        <w:rPr>
          <w:rFonts w:cs="Times New Roman"/>
          <w:szCs w:val="24"/>
        </w:rPr>
        <w:t xml:space="preserve">) </w:t>
      </w:r>
      <w:r w:rsidR="0045629F">
        <w:rPr>
          <w:rFonts w:cs="Times New Roman"/>
          <w:szCs w:val="24"/>
        </w:rPr>
        <w:t>sebesar 16,76</w:t>
      </w:r>
      <w:r w:rsidRPr="004A2EC1">
        <w:rPr>
          <w:rFonts w:cs="Times New Roman"/>
          <w:szCs w:val="24"/>
        </w:rPr>
        <w:t xml:space="preserve">%. Pada tahun 2022 </w:t>
      </w:r>
      <w:r w:rsidRPr="00070BC7">
        <w:rPr>
          <w:rFonts w:cs="Times New Roman"/>
          <w:i/>
          <w:szCs w:val="24"/>
        </w:rPr>
        <w:t>firm size</w:t>
      </w:r>
      <w:r w:rsidRPr="004A2EC1">
        <w:rPr>
          <w:rFonts w:cs="Times New Roman"/>
          <w:szCs w:val="24"/>
        </w:rPr>
        <w:t xml:space="preserve"> tertinggi terdapat pada </w:t>
      </w:r>
      <w:r w:rsidR="00682B3D">
        <w:rPr>
          <w:rFonts w:cs="Times New Roman"/>
          <w:szCs w:val="24"/>
        </w:rPr>
        <w:t>PT Wijaya Kraya (WIKA</w:t>
      </w:r>
      <w:r w:rsidR="00682B3D" w:rsidRPr="004A2EC1">
        <w:rPr>
          <w:rFonts w:cs="Times New Roman"/>
          <w:szCs w:val="24"/>
        </w:rPr>
        <w:t>)</w:t>
      </w:r>
      <w:r w:rsidR="0045629F">
        <w:rPr>
          <w:rFonts w:cs="Times New Roman"/>
          <w:szCs w:val="24"/>
        </w:rPr>
        <w:t xml:space="preserve"> sebesar 25,04</w:t>
      </w:r>
      <w:r w:rsidRPr="004A2EC1">
        <w:rPr>
          <w:rFonts w:cs="Times New Roman"/>
          <w:szCs w:val="24"/>
        </w:rPr>
        <w:t xml:space="preserve">% sedangkan </w:t>
      </w:r>
      <w:r w:rsidRPr="00070BC7">
        <w:rPr>
          <w:rFonts w:cs="Times New Roman"/>
          <w:i/>
          <w:szCs w:val="24"/>
        </w:rPr>
        <w:t xml:space="preserve">firm size </w:t>
      </w:r>
      <w:r w:rsidRPr="004A2EC1">
        <w:rPr>
          <w:rFonts w:cs="Times New Roman"/>
          <w:szCs w:val="24"/>
        </w:rPr>
        <w:t xml:space="preserve">terendah terdapat pada </w:t>
      </w:r>
      <w:r w:rsidR="00682B3D">
        <w:rPr>
          <w:rFonts w:cs="Times New Roman"/>
          <w:szCs w:val="24"/>
        </w:rPr>
        <w:t>PT Unilever Indonesia (UNVR</w:t>
      </w:r>
      <w:r w:rsidR="00682B3D" w:rsidRPr="004A2EC1">
        <w:rPr>
          <w:rFonts w:cs="Times New Roman"/>
          <w:szCs w:val="24"/>
        </w:rPr>
        <w:t xml:space="preserve">) </w:t>
      </w:r>
      <w:r w:rsidR="0045629F">
        <w:rPr>
          <w:rFonts w:cs="Times New Roman"/>
          <w:szCs w:val="24"/>
        </w:rPr>
        <w:t>sebesar 16,72</w:t>
      </w:r>
      <w:r w:rsidRPr="004A2EC1">
        <w:rPr>
          <w:rFonts w:cs="Times New Roman"/>
          <w:szCs w:val="24"/>
        </w:rPr>
        <w:t xml:space="preserve">%. Dan pada tahun 2023 </w:t>
      </w:r>
      <w:r w:rsidRPr="00070BC7">
        <w:rPr>
          <w:rFonts w:cs="Times New Roman"/>
          <w:i/>
          <w:szCs w:val="24"/>
        </w:rPr>
        <w:t>firm size</w:t>
      </w:r>
      <w:r w:rsidRPr="004A2EC1">
        <w:rPr>
          <w:rFonts w:cs="Times New Roman"/>
          <w:szCs w:val="24"/>
        </w:rPr>
        <w:t xml:space="preserve"> tertinggi terdapat pada</w:t>
      </w:r>
      <w:r w:rsidR="00682B3D" w:rsidRPr="00682B3D">
        <w:rPr>
          <w:rFonts w:cs="Times New Roman"/>
          <w:szCs w:val="24"/>
        </w:rPr>
        <w:t xml:space="preserve"> </w:t>
      </w:r>
      <w:r w:rsidR="00682B3D">
        <w:rPr>
          <w:rFonts w:cs="Times New Roman"/>
          <w:szCs w:val="24"/>
        </w:rPr>
        <w:t>PT Wijaya Kraya (WIKA</w:t>
      </w:r>
      <w:r w:rsidR="00682B3D" w:rsidRPr="004A2EC1">
        <w:rPr>
          <w:rFonts w:cs="Times New Roman"/>
          <w:szCs w:val="24"/>
        </w:rPr>
        <w:t>)</w:t>
      </w:r>
      <w:r w:rsidR="00682B3D">
        <w:rPr>
          <w:rFonts w:cs="Times New Roman"/>
          <w:szCs w:val="24"/>
        </w:rPr>
        <w:t xml:space="preserve"> </w:t>
      </w:r>
      <w:r w:rsidRPr="004A2EC1">
        <w:rPr>
          <w:rFonts w:cs="Times New Roman"/>
          <w:szCs w:val="24"/>
        </w:rPr>
        <w:t>sebesa</w:t>
      </w:r>
      <w:r w:rsidR="0045629F">
        <w:rPr>
          <w:rFonts w:cs="Times New Roman"/>
          <w:szCs w:val="24"/>
        </w:rPr>
        <w:t>r 24,91</w:t>
      </w:r>
      <w:r w:rsidRPr="004A2EC1">
        <w:rPr>
          <w:rFonts w:cs="Times New Roman"/>
          <w:szCs w:val="24"/>
        </w:rPr>
        <w:t xml:space="preserve">% sedangkan </w:t>
      </w:r>
      <w:r w:rsidRPr="00070BC7">
        <w:rPr>
          <w:rFonts w:cs="Times New Roman"/>
          <w:i/>
          <w:szCs w:val="24"/>
        </w:rPr>
        <w:t>firm size</w:t>
      </w:r>
      <w:r w:rsidRPr="004A2EC1">
        <w:rPr>
          <w:rFonts w:cs="Times New Roman"/>
          <w:szCs w:val="24"/>
        </w:rPr>
        <w:t xml:space="preserve"> terendah terdapat pada </w:t>
      </w:r>
      <w:r w:rsidR="00682B3D">
        <w:rPr>
          <w:rFonts w:cs="Times New Roman"/>
          <w:szCs w:val="24"/>
        </w:rPr>
        <w:t>PT Unilever Indonesia (UNVR</w:t>
      </w:r>
      <w:r w:rsidR="00682B3D" w:rsidRPr="004A2EC1">
        <w:rPr>
          <w:rFonts w:cs="Times New Roman"/>
          <w:szCs w:val="24"/>
        </w:rPr>
        <w:t xml:space="preserve">) </w:t>
      </w:r>
      <w:r w:rsidR="0045629F">
        <w:rPr>
          <w:rFonts w:cs="Times New Roman"/>
          <w:szCs w:val="24"/>
        </w:rPr>
        <w:t>sebesar 16,63</w:t>
      </w:r>
      <w:r w:rsidRPr="004A2EC1">
        <w:rPr>
          <w:rFonts w:cs="Times New Roman"/>
          <w:szCs w:val="24"/>
        </w:rPr>
        <w:t>%.</w:t>
      </w:r>
    </w:p>
    <w:p w14:paraId="12940B8C" w14:textId="4369DCEE" w:rsidR="00747CBA" w:rsidRDefault="00747CBA" w:rsidP="007E2AF5">
      <w:pPr>
        <w:pStyle w:val="ListParagraph"/>
        <w:numPr>
          <w:ilvl w:val="1"/>
          <w:numId w:val="34"/>
        </w:numPr>
        <w:autoSpaceDE w:val="0"/>
        <w:autoSpaceDN w:val="0"/>
        <w:adjustRightInd w:val="0"/>
        <w:spacing w:after="0" w:line="480" w:lineRule="auto"/>
        <w:ind w:left="851"/>
        <w:rPr>
          <w:rFonts w:cs="Times New Roman"/>
          <w:i/>
          <w:szCs w:val="24"/>
        </w:rPr>
      </w:pPr>
      <w:r w:rsidRPr="007E2AF5">
        <w:rPr>
          <w:rFonts w:cs="Times New Roman"/>
          <w:szCs w:val="24"/>
        </w:rPr>
        <w:t>Laporan</w:t>
      </w:r>
      <w:r>
        <w:rPr>
          <w:rFonts w:cs="Times New Roman"/>
          <w:szCs w:val="24"/>
        </w:rPr>
        <w:t xml:space="preserve"> Keberlanjutan </w:t>
      </w:r>
      <w:r w:rsidRPr="00747CBA">
        <w:rPr>
          <w:rFonts w:cs="Times New Roman"/>
          <w:i/>
          <w:szCs w:val="24"/>
        </w:rPr>
        <w:t>(Sustainbaility report)</w:t>
      </w:r>
    </w:p>
    <w:p w14:paraId="3C8FFEC8" w14:textId="3FAD0805" w:rsidR="00070BC7" w:rsidRDefault="00070BC7" w:rsidP="00070BC7">
      <w:pPr>
        <w:pStyle w:val="ListParagraph"/>
        <w:spacing w:line="480" w:lineRule="auto"/>
        <w:ind w:firstLine="720"/>
      </w:pPr>
      <w:r>
        <w:t xml:space="preserve">Hasil analisis statistik deskriptif untuk </w:t>
      </w:r>
      <w:r w:rsidRPr="00070BC7">
        <w:rPr>
          <w:i/>
        </w:rPr>
        <w:t>Sustainability report</w:t>
      </w:r>
      <w:r>
        <w:t xml:space="preserve"> disajikam dalam bentuk tabel berikut:</w:t>
      </w:r>
    </w:p>
    <w:p w14:paraId="1BC37D5B" w14:textId="4F99C5D6" w:rsidR="00254A52" w:rsidRPr="00254A52" w:rsidRDefault="00254A52" w:rsidP="00254A52">
      <w:pPr>
        <w:pStyle w:val="Caption"/>
        <w:jc w:val="center"/>
        <w:rPr>
          <w:color w:val="auto"/>
          <w:sz w:val="24"/>
          <w:szCs w:val="24"/>
        </w:rPr>
      </w:pPr>
      <w:bookmarkStart w:id="21" w:name="_Toc168999376"/>
      <w:r w:rsidRPr="00254A52">
        <w:rPr>
          <w:color w:val="auto"/>
          <w:sz w:val="24"/>
          <w:szCs w:val="24"/>
        </w:rPr>
        <w:t xml:space="preserve">Tabel.  </w:t>
      </w:r>
      <w:r w:rsidRPr="00254A52">
        <w:rPr>
          <w:color w:val="auto"/>
          <w:sz w:val="24"/>
          <w:szCs w:val="24"/>
        </w:rPr>
        <w:fldChar w:fldCharType="begin"/>
      </w:r>
      <w:r w:rsidRPr="00254A52">
        <w:rPr>
          <w:color w:val="auto"/>
          <w:sz w:val="24"/>
          <w:szCs w:val="24"/>
        </w:rPr>
        <w:instrText xml:space="preserve"> SEQ Tabel._ \* ARABIC </w:instrText>
      </w:r>
      <w:r w:rsidRPr="00254A52">
        <w:rPr>
          <w:color w:val="auto"/>
          <w:sz w:val="24"/>
          <w:szCs w:val="24"/>
        </w:rPr>
        <w:fldChar w:fldCharType="separate"/>
      </w:r>
      <w:r w:rsidR="0017483D">
        <w:rPr>
          <w:noProof/>
          <w:color w:val="auto"/>
          <w:sz w:val="24"/>
          <w:szCs w:val="24"/>
        </w:rPr>
        <w:t>12</w:t>
      </w:r>
      <w:r w:rsidRPr="00254A52">
        <w:rPr>
          <w:color w:val="auto"/>
          <w:sz w:val="24"/>
          <w:szCs w:val="24"/>
        </w:rPr>
        <w:fldChar w:fldCharType="end"/>
      </w:r>
      <w:r w:rsidRPr="00254A52">
        <w:rPr>
          <w:color w:val="auto"/>
          <w:sz w:val="24"/>
          <w:szCs w:val="24"/>
          <w:lang w:val="en-US"/>
        </w:rPr>
        <w:t xml:space="preserve"> Hasil uji statistik deskriptif Sustainability report</w:t>
      </w:r>
      <w:bookmarkEnd w:id="21"/>
    </w:p>
    <w:p w14:paraId="68107518" w14:textId="77777777" w:rsidR="0045629F" w:rsidRPr="0045629F" w:rsidRDefault="0045629F" w:rsidP="0045629F">
      <w:pPr>
        <w:autoSpaceDE w:val="0"/>
        <w:autoSpaceDN w:val="0"/>
        <w:adjustRightInd w:val="0"/>
        <w:spacing w:after="0" w:line="240" w:lineRule="auto"/>
        <w:jc w:val="left"/>
        <w:rPr>
          <w:rFonts w:cs="Times New Roman"/>
          <w:szCs w:val="24"/>
        </w:rPr>
      </w:pPr>
    </w:p>
    <w:tbl>
      <w:tblPr>
        <w:tblW w:w="7870"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82"/>
        <w:gridCol w:w="1030"/>
        <w:gridCol w:w="1076"/>
        <w:gridCol w:w="1107"/>
        <w:gridCol w:w="1030"/>
        <w:gridCol w:w="1445"/>
      </w:tblGrid>
      <w:tr w:rsidR="0045629F" w:rsidRPr="0045629F" w14:paraId="0CFD4572" w14:textId="77777777" w:rsidTr="0045629F">
        <w:trPr>
          <w:cantSplit/>
        </w:trPr>
        <w:tc>
          <w:tcPr>
            <w:tcW w:w="7870" w:type="dxa"/>
            <w:gridSpan w:val="6"/>
            <w:tcBorders>
              <w:top w:val="nil"/>
              <w:left w:val="nil"/>
              <w:bottom w:val="nil"/>
              <w:right w:val="nil"/>
            </w:tcBorders>
            <w:shd w:val="clear" w:color="auto" w:fill="FFFFFF"/>
            <w:vAlign w:val="center"/>
          </w:tcPr>
          <w:p w14:paraId="5A691952" w14:textId="77777777" w:rsidR="0045629F" w:rsidRPr="00B56A82" w:rsidRDefault="0045629F" w:rsidP="0045629F">
            <w:pPr>
              <w:autoSpaceDE w:val="0"/>
              <w:autoSpaceDN w:val="0"/>
              <w:adjustRightInd w:val="0"/>
              <w:spacing w:after="0" w:line="320" w:lineRule="atLeast"/>
              <w:ind w:left="60" w:right="60"/>
              <w:jc w:val="center"/>
              <w:rPr>
                <w:rFonts w:cs="Times New Roman"/>
                <w:color w:val="010205"/>
                <w:sz w:val="20"/>
                <w:szCs w:val="20"/>
              </w:rPr>
            </w:pPr>
            <w:r w:rsidRPr="00B56A82">
              <w:rPr>
                <w:rFonts w:cs="Times New Roman"/>
                <w:b/>
                <w:bCs/>
                <w:color w:val="010205"/>
                <w:sz w:val="20"/>
                <w:szCs w:val="20"/>
              </w:rPr>
              <w:t>Descriptive Statistics</w:t>
            </w:r>
          </w:p>
        </w:tc>
      </w:tr>
      <w:tr w:rsidR="0045629F" w:rsidRPr="0045629F" w14:paraId="4C280377" w14:textId="77777777" w:rsidTr="0045629F">
        <w:trPr>
          <w:cantSplit/>
        </w:trPr>
        <w:tc>
          <w:tcPr>
            <w:tcW w:w="2182" w:type="dxa"/>
            <w:tcBorders>
              <w:top w:val="nil"/>
              <w:left w:val="nil"/>
              <w:bottom w:val="single" w:sz="8" w:space="0" w:color="152935"/>
              <w:right w:val="nil"/>
            </w:tcBorders>
            <w:shd w:val="clear" w:color="auto" w:fill="FFFFFF"/>
            <w:vAlign w:val="bottom"/>
          </w:tcPr>
          <w:p w14:paraId="6B5DD40B" w14:textId="77777777" w:rsidR="0045629F" w:rsidRPr="00B56A82" w:rsidRDefault="0045629F" w:rsidP="0045629F">
            <w:pPr>
              <w:autoSpaceDE w:val="0"/>
              <w:autoSpaceDN w:val="0"/>
              <w:adjustRightInd w:val="0"/>
              <w:spacing w:after="0" w:line="240" w:lineRule="auto"/>
              <w:jc w:val="left"/>
              <w:rPr>
                <w:rFonts w:cs="Times New Roman"/>
                <w:sz w:val="20"/>
                <w:szCs w:val="20"/>
              </w:rPr>
            </w:pPr>
          </w:p>
        </w:tc>
        <w:tc>
          <w:tcPr>
            <w:tcW w:w="1030" w:type="dxa"/>
            <w:tcBorders>
              <w:top w:val="nil"/>
              <w:left w:val="nil"/>
              <w:bottom w:val="single" w:sz="8" w:space="0" w:color="152935"/>
              <w:right w:val="single" w:sz="8" w:space="0" w:color="E0E0E0"/>
            </w:tcBorders>
            <w:shd w:val="clear" w:color="auto" w:fill="FFFFFF"/>
            <w:vAlign w:val="bottom"/>
          </w:tcPr>
          <w:p w14:paraId="099C9B97" w14:textId="77777777" w:rsidR="0045629F" w:rsidRPr="00B56A82" w:rsidRDefault="0045629F" w:rsidP="0045629F">
            <w:pPr>
              <w:autoSpaceDE w:val="0"/>
              <w:autoSpaceDN w:val="0"/>
              <w:adjustRightInd w:val="0"/>
              <w:spacing w:after="0" w:line="320" w:lineRule="atLeast"/>
              <w:ind w:left="60" w:right="60"/>
              <w:jc w:val="center"/>
              <w:rPr>
                <w:rFonts w:cs="Times New Roman"/>
                <w:color w:val="264A60"/>
                <w:sz w:val="20"/>
                <w:szCs w:val="20"/>
              </w:rPr>
            </w:pPr>
            <w:r w:rsidRPr="00B56A82">
              <w:rPr>
                <w:rFonts w:cs="Times New Roman"/>
                <w:color w:val="264A60"/>
                <w:sz w:val="20"/>
                <w:szCs w:val="20"/>
              </w:rPr>
              <w:t>N</w:t>
            </w:r>
          </w:p>
        </w:tc>
        <w:tc>
          <w:tcPr>
            <w:tcW w:w="1076" w:type="dxa"/>
            <w:tcBorders>
              <w:top w:val="nil"/>
              <w:left w:val="single" w:sz="8" w:space="0" w:color="E0E0E0"/>
              <w:bottom w:val="single" w:sz="8" w:space="0" w:color="152935"/>
              <w:right w:val="single" w:sz="8" w:space="0" w:color="E0E0E0"/>
            </w:tcBorders>
            <w:shd w:val="clear" w:color="auto" w:fill="FFFFFF"/>
            <w:vAlign w:val="bottom"/>
          </w:tcPr>
          <w:p w14:paraId="5809B16B" w14:textId="77777777" w:rsidR="0045629F" w:rsidRPr="00B56A82" w:rsidRDefault="0045629F" w:rsidP="0045629F">
            <w:pPr>
              <w:autoSpaceDE w:val="0"/>
              <w:autoSpaceDN w:val="0"/>
              <w:adjustRightInd w:val="0"/>
              <w:spacing w:after="0" w:line="320" w:lineRule="atLeast"/>
              <w:ind w:left="60" w:right="60"/>
              <w:jc w:val="center"/>
              <w:rPr>
                <w:rFonts w:cs="Times New Roman"/>
                <w:color w:val="264A60"/>
                <w:sz w:val="20"/>
                <w:szCs w:val="20"/>
              </w:rPr>
            </w:pPr>
            <w:r w:rsidRPr="00B56A82">
              <w:rPr>
                <w:rFonts w:cs="Times New Roman"/>
                <w:color w:val="264A60"/>
                <w:sz w:val="20"/>
                <w:szCs w:val="20"/>
              </w:rPr>
              <w:t>Minimum</w:t>
            </w:r>
          </w:p>
        </w:tc>
        <w:tc>
          <w:tcPr>
            <w:tcW w:w="1107" w:type="dxa"/>
            <w:tcBorders>
              <w:top w:val="nil"/>
              <w:left w:val="single" w:sz="8" w:space="0" w:color="E0E0E0"/>
              <w:bottom w:val="single" w:sz="8" w:space="0" w:color="152935"/>
              <w:right w:val="single" w:sz="8" w:space="0" w:color="E0E0E0"/>
            </w:tcBorders>
            <w:shd w:val="clear" w:color="auto" w:fill="FFFFFF"/>
            <w:vAlign w:val="bottom"/>
          </w:tcPr>
          <w:p w14:paraId="06E82D3E" w14:textId="77777777" w:rsidR="0045629F" w:rsidRPr="00B56A82" w:rsidRDefault="0045629F" w:rsidP="0045629F">
            <w:pPr>
              <w:autoSpaceDE w:val="0"/>
              <w:autoSpaceDN w:val="0"/>
              <w:adjustRightInd w:val="0"/>
              <w:spacing w:after="0" w:line="320" w:lineRule="atLeast"/>
              <w:ind w:left="60" w:right="60"/>
              <w:jc w:val="center"/>
              <w:rPr>
                <w:rFonts w:cs="Times New Roman"/>
                <w:color w:val="264A60"/>
                <w:sz w:val="20"/>
                <w:szCs w:val="20"/>
              </w:rPr>
            </w:pPr>
            <w:r w:rsidRPr="00B56A82">
              <w:rPr>
                <w:rFonts w:cs="Times New Roman"/>
                <w:color w:val="264A60"/>
                <w:sz w:val="20"/>
                <w:szCs w:val="20"/>
              </w:rPr>
              <w:t>Maximum</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141C4F0F" w14:textId="77777777" w:rsidR="0045629F" w:rsidRPr="00B56A82" w:rsidRDefault="0045629F" w:rsidP="0045629F">
            <w:pPr>
              <w:autoSpaceDE w:val="0"/>
              <w:autoSpaceDN w:val="0"/>
              <w:adjustRightInd w:val="0"/>
              <w:spacing w:after="0" w:line="320" w:lineRule="atLeast"/>
              <w:ind w:left="60" w:right="60"/>
              <w:jc w:val="center"/>
              <w:rPr>
                <w:rFonts w:cs="Times New Roman"/>
                <w:color w:val="264A60"/>
                <w:sz w:val="20"/>
                <w:szCs w:val="20"/>
              </w:rPr>
            </w:pPr>
            <w:r w:rsidRPr="00B56A82">
              <w:rPr>
                <w:rFonts w:cs="Times New Roman"/>
                <w:color w:val="264A60"/>
                <w:sz w:val="20"/>
                <w:szCs w:val="20"/>
              </w:rPr>
              <w:t>Mean</w:t>
            </w:r>
          </w:p>
        </w:tc>
        <w:tc>
          <w:tcPr>
            <w:tcW w:w="1445" w:type="dxa"/>
            <w:tcBorders>
              <w:top w:val="nil"/>
              <w:left w:val="single" w:sz="8" w:space="0" w:color="E0E0E0"/>
              <w:bottom w:val="single" w:sz="8" w:space="0" w:color="152935"/>
              <w:right w:val="nil"/>
            </w:tcBorders>
            <w:shd w:val="clear" w:color="auto" w:fill="FFFFFF"/>
            <w:vAlign w:val="bottom"/>
          </w:tcPr>
          <w:p w14:paraId="1D11BA62" w14:textId="77777777" w:rsidR="0045629F" w:rsidRPr="00B56A82" w:rsidRDefault="0045629F" w:rsidP="0045629F">
            <w:pPr>
              <w:autoSpaceDE w:val="0"/>
              <w:autoSpaceDN w:val="0"/>
              <w:adjustRightInd w:val="0"/>
              <w:spacing w:after="0" w:line="320" w:lineRule="atLeast"/>
              <w:ind w:left="60" w:right="60"/>
              <w:jc w:val="center"/>
              <w:rPr>
                <w:rFonts w:cs="Times New Roman"/>
                <w:color w:val="264A60"/>
                <w:sz w:val="20"/>
                <w:szCs w:val="20"/>
              </w:rPr>
            </w:pPr>
            <w:r w:rsidRPr="00B56A82">
              <w:rPr>
                <w:rFonts w:cs="Times New Roman"/>
                <w:color w:val="264A60"/>
                <w:sz w:val="20"/>
                <w:szCs w:val="20"/>
              </w:rPr>
              <w:t>Std. Deviation</w:t>
            </w:r>
          </w:p>
        </w:tc>
      </w:tr>
      <w:tr w:rsidR="0045629F" w:rsidRPr="0045629F" w14:paraId="65E08F2C" w14:textId="77777777" w:rsidTr="0045629F">
        <w:trPr>
          <w:cantSplit/>
        </w:trPr>
        <w:tc>
          <w:tcPr>
            <w:tcW w:w="2182" w:type="dxa"/>
            <w:tcBorders>
              <w:top w:val="single" w:sz="8" w:space="0" w:color="152935"/>
              <w:left w:val="nil"/>
              <w:bottom w:val="single" w:sz="8" w:space="0" w:color="AEAEAE"/>
              <w:right w:val="nil"/>
            </w:tcBorders>
            <w:shd w:val="clear" w:color="auto" w:fill="E0E0E0"/>
          </w:tcPr>
          <w:p w14:paraId="3619B91C" w14:textId="77777777" w:rsidR="0045629F" w:rsidRPr="00B56A82" w:rsidRDefault="0045629F" w:rsidP="0045629F">
            <w:pPr>
              <w:autoSpaceDE w:val="0"/>
              <w:autoSpaceDN w:val="0"/>
              <w:adjustRightInd w:val="0"/>
              <w:spacing w:after="0" w:line="320" w:lineRule="atLeast"/>
              <w:ind w:left="60" w:right="60"/>
              <w:jc w:val="left"/>
              <w:rPr>
                <w:rFonts w:cs="Times New Roman"/>
                <w:color w:val="264A60"/>
                <w:sz w:val="20"/>
                <w:szCs w:val="20"/>
              </w:rPr>
            </w:pPr>
            <w:r w:rsidRPr="00B56A82">
              <w:rPr>
                <w:rFonts w:cs="Times New Roman"/>
                <w:color w:val="264A60"/>
                <w:sz w:val="20"/>
                <w:szCs w:val="20"/>
              </w:rPr>
              <w:t>LaporanKeberlanjutan</w:t>
            </w:r>
          </w:p>
        </w:tc>
        <w:tc>
          <w:tcPr>
            <w:tcW w:w="1030" w:type="dxa"/>
            <w:tcBorders>
              <w:top w:val="single" w:sz="8" w:space="0" w:color="152935"/>
              <w:left w:val="nil"/>
              <w:bottom w:val="single" w:sz="8" w:space="0" w:color="AEAEAE"/>
              <w:right w:val="single" w:sz="8" w:space="0" w:color="E0E0E0"/>
            </w:tcBorders>
            <w:shd w:val="clear" w:color="auto" w:fill="FFFFFF"/>
          </w:tcPr>
          <w:p w14:paraId="13DF2896" w14:textId="77777777" w:rsidR="0045629F" w:rsidRPr="00B56A82" w:rsidRDefault="0045629F" w:rsidP="0045629F">
            <w:pPr>
              <w:autoSpaceDE w:val="0"/>
              <w:autoSpaceDN w:val="0"/>
              <w:adjustRightInd w:val="0"/>
              <w:spacing w:after="0" w:line="320" w:lineRule="atLeast"/>
              <w:ind w:left="60" w:right="60"/>
              <w:jc w:val="right"/>
              <w:rPr>
                <w:rFonts w:cs="Times New Roman"/>
                <w:color w:val="010205"/>
                <w:sz w:val="20"/>
                <w:szCs w:val="20"/>
              </w:rPr>
            </w:pPr>
            <w:r w:rsidRPr="00B56A82">
              <w:rPr>
                <w:rFonts w:cs="Times New Roman"/>
                <w:color w:val="010205"/>
                <w:sz w:val="20"/>
                <w:szCs w:val="20"/>
              </w:rPr>
              <w:t>60</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14:paraId="7324CBEB" w14:textId="77777777" w:rsidR="0045629F" w:rsidRPr="00B56A82" w:rsidRDefault="0045629F" w:rsidP="0045629F">
            <w:pPr>
              <w:autoSpaceDE w:val="0"/>
              <w:autoSpaceDN w:val="0"/>
              <w:adjustRightInd w:val="0"/>
              <w:spacing w:after="0" w:line="320" w:lineRule="atLeast"/>
              <w:ind w:left="60" w:right="60"/>
              <w:jc w:val="right"/>
              <w:rPr>
                <w:rFonts w:cs="Times New Roman"/>
                <w:color w:val="010205"/>
                <w:sz w:val="20"/>
                <w:szCs w:val="20"/>
              </w:rPr>
            </w:pPr>
            <w:r w:rsidRPr="00B56A82">
              <w:rPr>
                <w:rFonts w:cs="Times New Roman"/>
                <w:color w:val="010205"/>
                <w:sz w:val="20"/>
                <w:szCs w:val="20"/>
              </w:rPr>
              <w:t>-.06</w:t>
            </w:r>
          </w:p>
        </w:tc>
        <w:tc>
          <w:tcPr>
            <w:tcW w:w="1107" w:type="dxa"/>
            <w:tcBorders>
              <w:top w:val="single" w:sz="8" w:space="0" w:color="152935"/>
              <w:left w:val="single" w:sz="8" w:space="0" w:color="E0E0E0"/>
              <w:bottom w:val="single" w:sz="8" w:space="0" w:color="AEAEAE"/>
              <w:right w:val="single" w:sz="8" w:space="0" w:color="E0E0E0"/>
            </w:tcBorders>
            <w:shd w:val="clear" w:color="auto" w:fill="FFFFFF"/>
          </w:tcPr>
          <w:p w14:paraId="65AFF6DF" w14:textId="77777777" w:rsidR="0045629F" w:rsidRPr="00B56A82" w:rsidRDefault="0045629F" w:rsidP="0045629F">
            <w:pPr>
              <w:autoSpaceDE w:val="0"/>
              <w:autoSpaceDN w:val="0"/>
              <w:adjustRightInd w:val="0"/>
              <w:spacing w:after="0" w:line="320" w:lineRule="atLeast"/>
              <w:ind w:left="60" w:right="60"/>
              <w:jc w:val="right"/>
              <w:rPr>
                <w:rFonts w:cs="Times New Roman"/>
                <w:color w:val="010205"/>
                <w:sz w:val="20"/>
                <w:szCs w:val="20"/>
              </w:rPr>
            </w:pPr>
            <w:r w:rsidRPr="00B56A82">
              <w:rPr>
                <w:rFonts w:cs="Times New Roman"/>
                <w:color w:val="010205"/>
                <w:sz w:val="20"/>
                <w:szCs w:val="20"/>
              </w:rPr>
              <w:t>.57</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2A9EB6A2" w14:textId="77777777" w:rsidR="0045629F" w:rsidRPr="00B56A82" w:rsidRDefault="0045629F" w:rsidP="0045629F">
            <w:pPr>
              <w:autoSpaceDE w:val="0"/>
              <w:autoSpaceDN w:val="0"/>
              <w:adjustRightInd w:val="0"/>
              <w:spacing w:after="0" w:line="320" w:lineRule="atLeast"/>
              <w:ind w:left="60" w:right="60"/>
              <w:jc w:val="right"/>
              <w:rPr>
                <w:rFonts w:cs="Times New Roman"/>
                <w:color w:val="010205"/>
                <w:sz w:val="20"/>
                <w:szCs w:val="20"/>
              </w:rPr>
            </w:pPr>
            <w:r w:rsidRPr="00B56A82">
              <w:rPr>
                <w:rFonts w:cs="Times New Roman"/>
                <w:color w:val="010205"/>
                <w:sz w:val="20"/>
                <w:szCs w:val="20"/>
              </w:rPr>
              <w:t>.2518</w:t>
            </w:r>
          </w:p>
        </w:tc>
        <w:tc>
          <w:tcPr>
            <w:tcW w:w="1445" w:type="dxa"/>
            <w:tcBorders>
              <w:top w:val="single" w:sz="8" w:space="0" w:color="152935"/>
              <w:left w:val="single" w:sz="8" w:space="0" w:color="E0E0E0"/>
              <w:bottom w:val="single" w:sz="8" w:space="0" w:color="AEAEAE"/>
              <w:right w:val="nil"/>
            </w:tcBorders>
            <w:shd w:val="clear" w:color="auto" w:fill="FFFFFF"/>
          </w:tcPr>
          <w:p w14:paraId="25D134BA" w14:textId="77777777" w:rsidR="0045629F" w:rsidRPr="00B56A82" w:rsidRDefault="0045629F" w:rsidP="0045629F">
            <w:pPr>
              <w:autoSpaceDE w:val="0"/>
              <w:autoSpaceDN w:val="0"/>
              <w:adjustRightInd w:val="0"/>
              <w:spacing w:after="0" w:line="320" w:lineRule="atLeast"/>
              <w:ind w:left="60" w:right="60"/>
              <w:jc w:val="right"/>
              <w:rPr>
                <w:rFonts w:cs="Times New Roman"/>
                <w:color w:val="010205"/>
                <w:sz w:val="20"/>
                <w:szCs w:val="20"/>
              </w:rPr>
            </w:pPr>
            <w:r w:rsidRPr="00B56A82">
              <w:rPr>
                <w:rFonts w:cs="Times New Roman"/>
                <w:color w:val="010205"/>
                <w:sz w:val="20"/>
                <w:szCs w:val="20"/>
              </w:rPr>
              <w:t>.13256</w:t>
            </w:r>
          </w:p>
        </w:tc>
      </w:tr>
      <w:tr w:rsidR="0045629F" w:rsidRPr="0045629F" w14:paraId="5C71DDF1" w14:textId="77777777" w:rsidTr="0045629F">
        <w:trPr>
          <w:cantSplit/>
        </w:trPr>
        <w:tc>
          <w:tcPr>
            <w:tcW w:w="2182" w:type="dxa"/>
            <w:tcBorders>
              <w:top w:val="single" w:sz="8" w:space="0" w:color="AEAEAE"/>
              <w:left w:val="nil"/>
              <w:bottom w:val="single" w:sz="8" w:space="0" w:color="152935"/>
              <w:right w:val="nil"/>
            </w:tcBorders>
            <w:shd w:val="clear" w:color="auto" w:fill="E0E0E0"/>
          </w:tcPr>
          <w:p w14:paraId="72E16F63" w14:textId="77777777" w:rsidR="0045629F" w:rsidRPr="00B56A82" w:rsidRDefault="0045629F" w:rsidP="0045629F">
            <w:pPr>
              <w:autoSpaceDE w:val="0"/>
              <w:autoSpaceDN w:val="0"/>
              <w:adjustRightInd w:val="0"/>
              <w:spacing w:after="0" w:line="320" w:lineRule="atLeast"/>
              <w:ind w:left="60" w:right="60"/>
              <w:jc w:val="left"/>
              <w:rPr>
                <w:rFonts w:cs="Times New Roman"/>
                <w:color w:val="264A60"/>
                <w:sz w:val="20"/>
                <w:szCs w:val="20"/>
              </w:rPr>
            </w:pPr>
            <w:r w:rsidRPr="00B56A82">
              <w:rPr>
                <w:rFonts w:cs="Times New Roman"/>
                <w:color w:val="264A60"/>
                <w:sz w:val="20"/>
                <w:szCs w:val="20"/>
              </w:rPr>
              <w:t>Valid N (listwise)</w:t>
            </w:r>
          </w:p>
        </w:tc>
        <w:tc>
          <w:tcPr>
            <w:tcW w:w="1030" w:type="dxa"/>
            <w:tcBorders>
              <w:top w:val="single" w:sz="8" w:space="0" w:color="AEAEAE"/>
              <w:left w:val="nil"/>
              <w:bottom w:val="single" w:sz="8" w:space="0" w:color="152935"/>
              <w:right w:val="single" w:sz="8" w:space="0" w:color="E0E0E0"/>
            </w:tcBorders>
            <w:shd w:val="clear" w:color="auto" w:fill="FFFFFF"/>
          </w:tcPr>
          <w:p w14:paraId="4D7B1217" w14:textId="77777777" w:rsidR="0045629F" w:rsidRPr="00B56A82" w:rsidRDefault="0045629F" w:rsidP="0045629F">
            <w:pPr>
              <w:autoSpaceDE w:val="0"/>
              <w:autoSpaceDN w:val="0"/>
              <w:adjustRightInd w:val="0"/>
              <w:spacing w:after="0" w:line="320" w:lineRule="atLeast"/>
              <w:ind w:left="60" w:right="60"/>
              <w:jc w:val="right"/>
              <w:rPr>
                <w:rFonts w:cs="Times New Roman"/>
                <w:color w:val="010205"/>
                <w:sz w:val="20"/>
                <w:szCs w:val="20"/>
              </w:rPr>
            </w:pPr>
            <w:r w:rsidRPr="00B56A82">
              <w:rPr>
                <w:rFonts w:cs="Times New Roman"/>
                <w:color w:val="010205"/>
                <w:sz w:val="20"/>
                <w:szCs w:val="20"/>
              </w:rPr>
              <w:t>60</w:t>
            </w:r>
          </w:p>
        </w:tc>
        <w:tc>
          <w:tcPr>
            <w:tcW w:w="107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571D034" w14:textId="77777777" w:rsidR="0045629F" w:rsidRPr="00B56A82" w:rsidRDefault="0045629F" w:rsidP="0045629F">
            <w:pPr>
              <w:autoSpaceDE w:val="0"/>
              <w:autoSpaceDN w:val="0"/>
              <w:adjustRightInd w:val="0"/>
              <w:spacing w:after="0" w:line="240" w:lineRule="auto"/>
              <w:jc w:val="left"/>
              <w:rPr>
                <w:rFonts w:cs="Times New Roman"/>
                <w:sz w:val="20"/>
                <w:szCs w:val="20"/>
              </w:rPr>
            </w:pPr>
          </w:p>
        </w:tc>
        <w:tc>
          <w:tcPr>
            <w:tcW w:w="110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A4D182E" w14:textId="77777777" w:rsidR="0045629F" w:rsidRPr="00B56A82" w:rsidRDefault="0045629F" w:rsidP="0045629F">
            <w:pPr>
              <w:autoSpaceDE w:val="0"/>
              <w:autoSpaceDN w:val="0"/>
              <w:adjustRightInd w:val="0"/>
              <w:spacing w:after="0" w:line="240" w:lineRule="auto"/>
              <w:jc w:val="left"/>
              <w:rPr>
                <w:rFonts w:cs="Times New Roman"/>
                <w:sz w:val="20"/>
                <w:szCs w:val="20"/>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AA58CE0" w14:textId="77777777" w:rsidR="0045629F" w:rsidRPr="00B56A82" w:rsidRDefault="0045629F" w:rsidP="0045629F">
            <w:pPr>
              <w:autoSpaceDE w:val="0"/>
              <w:autoSpaceDN w:val="0"/>
              <w:adjustRightInd w:val="0"/>
              <w:spacing w:after="0" w:line="240" w:lineRule="auto"/>
              <w:jc w:val="left"/>
              <w:rPr>
                <w:rFonts w:cs="Times New Roman"/>
                <w:sz w:val="20"/>
                <w:szCs w:val="20"/>
              </w:rPr>
            </w:pPr>
          </w:p>
        </w:tc>
        <w:tc>
          <w:tcPr>
            <w:tcW w:w="1445" w:type="dxa"/>
            <w:tcBorders>
              <w:top w:val="single" w:sz="8" w:space="0" w:color="AEAEAE"/>
              <w:left w:val="single" w:sz="8" w:space="0" w:color="E0E0E0"/>
              <w:bottom w:val="single" w:sz="8" w:space="0" w:color="152935"/>
              <w:right w:val="nil"/>
            </w:tcBorders>
            <w:shd w:val="clear" w:color="auto" w:fill="FFFFFF"/>
            <w:vAlign w:val="center"/>
          </w:tcPr>
          <w:p w14:paraId="3C1A6A6E" w14:textId="77777777" w:rsidR="0045629F" w:rsidRPr="00B56A82" w:rsidRDefault="0045629F" w:rsidP="0045629F">
            <w:pPr>
              <w:autoSpaceDE w:val="0"/>
              <w:autoSpaceDN w:val="0"/>
              <w:adjustRightInd w:val="0"/>
              <w:spacing w:after="0" w:line="240" w:lineRule="auto"/>
              <w:jc w:val="left"/>
              <w:rPr>
                <w:rFonts w:cs="Times New Roman"/>
                <w:sz w:val="20"/>
                <w:szCs w:val="20"/>
              </w:rPr>
            </w:pPr>
          </w:p>
        </w:tc>
      </w:tr>
    </w:tbl>
    <w:p w14:paraId="67042DBC" w14:textId="6FDCB4F3" w:rsidR="007E2AF5" w:rsidRDefault="007E2AF5" w:rsidP="0045629F">
      <w:pPr>
        <w:spacing w:line="276" w:lineRule="auto"/>
        <w:ind w:left="426"/>
        <w:rPr>
          <w:rFonts w:cs="Times New Roman"/>
          <w:szCs w:val="24"/>
        </w:rPr>
      </w:pPr>
      <w:r w:rsidRPr="00BC09C6">
        <w:rPr>
          <w:rFonts w:cs="Times New Roman"/>
          <w:szCs w:val="24"/>
        </w:rPr>
        <w:t>Sumber: Data output SPSS25, 2024</w:t>
      </w:r>
    </w:p>
    <w:p w14:paraId="4737DDD7" w14:textId="5D15D2AF" w:rsidR="007E2AF5" w:rsidRDefault="007E2AF5" w:rsidP="007E2AF5">
      <w:pPr>
        <w:autoSpaceDE w:val="0"/>
        <w:autoSpaceDN w:val="0"/>
        <w:adjustRightInd w:val="0"/>
        <w:spacing w:after="0" w:line="480" w:lineRule="auto"/>
        <w:ind w:left="426" w:firstLine="720"/>
        <w:rPr>
          <w:rFonts w:cs="Times New Roman"/>
          <w:szCs w:val="24"/>
        </w:rPr>
      </w:pPr>
      <w:r>
        <w:rPr>
          <w:rFonts w:cs="Times New Roman"/>
          <w:szCs w:val="24"/>
        </w:rPr>
        <w:lastRenderedPageBreak/>
        <w:t xml:space="preserve">Dari data diatas </w:t>
      </w:r>
      <w:r w:rsidRPr="007E2AF5">
        <w:rPr>
          <w:rFonts w:cs="Times New Roman"/>
          <w:i/>
          <w:szCs w:val="24"/>
        </w:rPr>
        <w:t>sustainability report</w:t>
      </w:r>
      <w:r>
        <w:rPr>
          <w:rFonts w:cs="Times New Roman"/>
          <w:i/>
          <w:szCs w:val="24"/>
        </w:rPr>
        <w:t xml:space="preserve"> </w:t>
      </w:r>
      <w:r>
        <w:rPr>
          <w:rFonts w:cs="Times New Roman"/>
          <w:szCs w:val="24"/>
        </w:rPr>
        <w:t xml:space="preserve">yang diukur menggunakan </w:t>
      </w:r>
      <w:r w:rsidRPr="007E2AF5">
        <w:rPr>
          <w:rFonts w:cs="Times New Roman"/>
          <w:i/>
          <w:szCs w:val="24"/>
        </w:rPr>
        <w:t>Sustainability report disclosure indeks</w:t>
      </w:r>
      <w:r>
        <w:rPr>
          <w:rFonts w:cs="Times New Roman"/>
          <w:szCs w:val="24"/>
        </w:rPr>
        <w:t xml:space="preserve"> (SRDI) menunjukan nilai max</w:t>
      </w:r>
      <w:r w:rsidRPr="00140F8B">
        <w:rPr>
          <w:rFonts w:cs="Times New Roman"/>
          <w:szCs w:val="24"/>
        </w:rPr>
        <w:t>imum (tertinggi) seluruh perusahaan yang menjadi sampel dalam penel</w:t>
      </w:r>
      <w:r w:rsidR="0045629F">
        <w:rPr>
          <w:rFonts w:cs="Times New Roman"/>
          <w:szCs w:val="24"/>
        </w:rPr>
        <w:t>itian ini adalah sebesar 0.57. Nilai minimum (terendah) -0.06</w:t>
      </w:r>
      <w:r w:rsidRPr="00140F8B">
        <w:rPr>
          <w:rFonts w:cs="Times New Roman"/>
          <w:szCs w:val="24"/>
        </w:rPr>
        <w:t>. Nilai mean (rata-rata) seb</w:t>
      </w:r>
      <w:r w:rsidR="0045629F">
        <w:rPr>
          <w:rFonts w:cs="Times New Roman"/>
          <w:szCs w:val="24"/>
        </w:rPr>
        <w:t>esar 0.2518</w:t>
      </w:r>
      <w:r w:rsidRPr="00140F8B">
        <w:rPr>
          <w:rFonts w:cs="Times New Roman"/>
          <w:szCs w:val="24"/>
        </w:rPr>
        <w:t>. Sedangkan stan</w:t>
      </w:r>
      <w:r w:rsidR="0045629F">
        <w:rPr>
          <w:rFonts w:cs="Times New Roman"/>
          <w:szCs w:val="24"/>
        </w:rPr>
        <w:t>dar deviasinya sebesar 0.13256</w:t>
      </w:r>
      <w:r>
        <w:rPr>
          <w:rFonts w:cs="Times New Roman"/>
          <w:szCs w:val="24"/>
        </w:rPr>
        <w:t>.</w:t>
      </w:r>
    </w:p>
    <w:p w14:paraId="29405A6B" w14:textId="77777777" w:rsidR="0045629F" w:rsidRDefault="0045629F" w:rsidP="007E2AF5">
      <w:pPr>
        <w:autoSpaceDE w:val="0"/>
        <w:autoSpaceDN w:val="0"/>
        <w:adjustRightInd w:val="0"/>
        <w:spacing w:after="0" w:line="480" w:lineRule="auto"/>
        <w:ind w:left="426" w:firstLine="720"/>
        <w:rPr>
          <w:rFonts w:cs="Times New Roman"/>
          <w:szCs w:val="24"/>
        </w:rPr>
      </w:pPr>
    </w:p>
    <w:p w14:paraId="32427BEA" w14:textId="2CCC9418" w:rsidR="00254A52" w:rsidRPr="00254A52" w:rsidRDefault="00254A52" w:rsidP="00C77BC9">
      <w:pPr>
        <w:pStyle w:val="Caption"/>
        <w:ind w:left="993"/>
        <w:jc w:val="center"/>
        <w:rPr>
          <w:color w:val="auto"/>
          <w:sz w:val="24"/>
          <w:szCs w:val="24"/>
        </w:rPr>
      </w:pPr>
      <w:bookmarkStart w:id="22" w:name="_Toc168999377"/>
      <w:r w:rsidRPr="00254A52">
        <w:rPr>
          <w:color w:val="auto"/>
          <w:sz w:val="24"/>
          <w:szCs w:val="24"/>
        </w:rPr>
        <w:t xml:space="preserve">Tabel.  </w:t>
      </w:r>
      <w:r w:rsidRPr="00254A52">
        <w:rPr>
          <w:color w:val="auto"/>
          <w:sz w:val="24"/>
          <w:szCs w:val="24"/>
        </w:rPr>
        <w:fldChar w:fldCharType="begin"/>
      </w:r>
      <w:r w:rsidRPr="00254A52">
        <w:rPr>
          <w:color w:val="auto"/>
          <w:sz w:val="24"/>
          <w:szCs w:val="24"/>
        </w:rPr>
        <w:instrText xml:space="preserve"> SEQ Tabel._ \* ARABIC </w:instrText>
      </w:r>
      <w:r w:rsidRPr="00254A52">
        <w:rPr>
          <w:color w:val="auto"/>
          <w:sz w:val="24"/>
          <w:szCs w:val="24"/>
        </w:rPr>
        <w:fldChar w:fldCharType="separate"/>
      </w:r>
      <w:r w:rsidR="0017483D">
        <w:rPr>
          <w:noProof/>
          <w:color w:val="auto"/>
          <w:sz w:val="24"/>
          <w:szCs w:val="24"/>
        </w:rPr>
        <w:t>13</w:t>
      </w:r>
      <w:r w:rsidRPr="00254A52">
        <w:rPr>
          <w:color w:val="auto"/>
          <w:sz w:val="24"/>
          <w:szCs w:val="24"/>
        </w:rPr>
        <w:fldChar w:fldCharType="end"/>
      </w:r>
      <w:r w:rsidRPr="00254A52">
        <w:rPr>
          <w:color w:val="auto"/>
          <w:sz w:val="24"/>
          <w:szCs w:val="24"/>
          <w:lang w:val="en-US"/>
        </w:rPr>
        <w:t xml:space="preserve"> Data sekunder Sustainability report 2019-2023</w:t>
      </w:r>
      <w:bookmarkEnd w:id="22"/>
    </w:p>
    <w:tbl>
      <w:tblPr>
        <w:tblStyle w:val="TableGrid"/>
        <w:tblpPr w:leftFromText="180" w:rightFromText="180" w:vertAnchor="text" w:horzAnchor="margin" w:tblpXSpec="right" w:tblpY="75"/>
        <w:tblW w:w="0" w:type="auto"/>
        <w:tblLook w:val="04A0" w:firstRow="1" w:lastRow="0" w:firstColumn="1" w:lastColumn="0" w:noHBand="0" w:noVBand="1"/>
      </w:tblPr>
      <w:tblGrid>
        <w:gridCol w:w="668"/>
        <w:gridCol w:w="1737"/>
        <w:gridCol w:w="859"/>
        <w:gridCol w:w="1072"/>
        <w:gridCol w:w="1072"/>
        <w:gridCol w:w="1072"/>
        <w:gridCol w:w="1072"/>
      </w:tblGrid>
      <w:tr w:rsidR="007E2AF5" w14:paraId="3F2FF79F" w14:textId="77777777" w:rsidTr="00CB1A7E">
        <w:trPr>
          <w:cantSplit/>
          <w:tblHeader/>
        </w:trPr>
        <w:tc>
          <w:tcPr>
            <w:tcW w:w="668" w:type="dxa"/>
            <w:vMerge w:val="restart"/>
            <w:vAlign w:val="center"/>
          </w:tcPr>
          <w:p w14:paraId="03CD5D5E" w14:textId="77777777" w:rsidR="007E2AF5" w:rsidRPr="00270B21" w:rsidRDefault="007E2AF5" w:rsidP="00667F03">
            <w:pPr>
              <w:autoSpaceDE w:val="0"/>
              <w:autoSpaceDN w:val="0"/>
              <w:adjustRightInd w:val="0"/>
              <w:spacing w:line="360" w:lineRule="auto"/>
              <w:jc w:val="center"/>
              <w:rPr>
                <w:rFonts w:cs="Times New Roman"/>
                <w:b/>
                <w:szCs w:val="24"/>
              </w:rPr>
            </w:pPr>
            <w:r w:rsidRPr="00270B21">
              <w:rPr>
                <w:rFonts w:cs="Times New Roman"/>
                <w:b/>
                <w:szCs w:val="24"/>
              </w:rPr>
              <w:t>No</w:t>
            </w:r>
          </w:p>
        </w:tc>
        <w:tc>
          <w:tcPr>
            <w:tcW w:w="1737" w:type="dxa"/>
            <w:vMerge w:val="restart"/>
            <w:vAlign w:val="center"/>
          </w:tcPr>
          <w:p w14:paraId="788394A5" w14:textId="77777777" w:rsidR="007E2AF5" w:rsidRPr="00270B21" w:rsidRDefault="007E2AF5" w:rsidP="00667F03">
            <w:pPr>
              <w:autoSpaceDE w:val="0"/>
              <w:autoSpaceDN w:val="0"/>
              <w:adjustRightInd w:val="0"/>
              <w:spacing w:line="360" w:lineRule="auto"/>
              <w:jc w:val="center"/>
              <w:rPr>
                <w:rFonts w:cs="Times New Roman"/>
                <w:b/>
                <w:szCs w:val="24"/>
              </w:rPr>
            </w:pPr>
            <w:r w:rsidRPr="00270B21">
              <w:rPr>
                <w:rFonts w:cs="Times New Roman"/>
                <w:b/>
                <w:szCs w:val="24"/>
              </w:rPr>
              <w:t>Kode Saham</w:t>
            </w:r>
          </w:p>
        </w:tc>
        <w:tc>
          <w:tcPr>
            <w:tcW w:w="5147" w:type="dxa"/>
            <w:gridSpan w:val="5"/>
          </w:tcPr>
          <w:p w14:paraId="6AEA724E" w14:textId="744D60AF" w:rsidR="007E2AF5" w:rsidRPr="00270B21" w:rsidRDefault="007E2AF5" w:rsidP="00667F03">
            <w:pPr>
              <w:autoSpaceDE w:val="0"/>
              <w:autoSpaceDN w:val="0"/>
              <w:adjustRightInd w:val="0"/>
              <w:spacing w:line="276" w:lineRule="auto"/>
              <w:jc w:val="center"/>
              <w:rPr>
                <w:rFonts w:cs="Times New Roman"/>
                <w:b/>
                <w:szCs w:val="24"/>
              </w:rPr>
            </w:pPr>
            <w:r>
              <w:rPr>
                <w:rFonts w:cs="Times New Roman"/>
                <w:b/>
                <w:szCs w:val="24"/>
              </w:rPr>
              <w:t>Sustainability report</w:t>
            </w:r>
          </w:p>
        </w:tc>
      </w:tr>
      <w:tr w:rsidR="007E2AF5" w14:paraId="2A37F05F" w14:textId="77777777" w:rsidTr="00CB1A7E">
        <w:trPr>
          <w:cantSplit/>
          <w:tblHeader/>
        </w:trPr>
        <w:tc>
          <w:tcPr>
            <w:tcW w:w="668" w:type="dxa"/>
            <w:vMerge/>
          </w:tcPr>
          <w:p w14:paraId="2E3B6E26" w14:textId="77777777" w:rsidR="007E2AF5" w:rsidRPr="00270B21" w:rsidRDefault="007E2AF5" w:rsidP="00667F03">
            <w:pPr>
              <w:autoSpaceDE w:val="0"/>
              <w:autoSpaceDN w:val="0"/>
              <w:adjustRightInd w:val="0"/>
              <w:spacing w:line="276" w:lineRule="auto"/>
              <w:jc w:val="center"/>
              <w:rPr>
                <w:rFonts w:cs="Times New Roman"/>
                <w:b/>
                <w:szCs w:val="24"/>
              </w:rPr>
            </w:pPr>
          </w:p>
        </w:tc>
        <w:tc>
          <w:tcPr>
            <w:tcW w:w="1737" w:type="dxa"/>
            <w:vMerge/>
          </w:tcPr>
          <w:p w14:paraId="38FD640C" w14:textId="77777777" w:rsidR="007E2AF5" w:rsidRPr="00270B21" w:rsidRDefault="007E2AF5" w:rsidP="00667F03">
            <w:pPr>
              <w:autoSpaceDE w:val="0"/>
              <w:autoSpaceDN w:val="0"/>
              <w:adjustRightInd w:val="0"/>
              <w:spacing w:line="276" w:lineRule="auto"/>
              <w:jc w:val="center"/>
              <w:rPr>
                <w:rFonts w:cs="Times New Roman"/>
                <w:b/>
                <w:szCs w:val="24"/>
              </w:rPr>
            </w:pPr>
          </w:p>
        </w:tc>
        <w:tc>
          <w:tcPr>
            <w:tcW w:w="859" w:type="dxa"/>
          </w:tcPr>
          <w:p w14:paraId="6BF3FBB2" w14:textId="77777777" w:rsidR="007E2AF5" w:rsidRPr="00270B21" w:rsidRDefault="007E2AF5" w:rsidP="00667F03">
            <w:pPr>
              <w:autoSpaceDE w:val="0"/>
              <w:autoSpaceDN w:val="0"/>
              <w:adjustRightInd w:val="0"/>
              <w:spacing w:line="276" w:lineRule="auto"/>
              <w:jc w:val="center"/>
              <w:rPr>
                <w:rFonts w:cs="Times New Roman"/>
                <w:b/>
                <w:szCs w:val="24"/>
              </w:rPr>
            </w:pPr>
            <w:r w:rsidRPr="00270B21">
              <w:rPr>
                <w:rFonts w:cs="Times New Roman"/>
                <w:b/>
                <w:szCs w:val="24"/>
              </w:rPr>
              <w:t>2019</w:t>
            </w:r>
          </w:p>
        </w:tc>
        <w:tc>
          <w:tcPr>
            <w:tcW w:w="1072" w:type="dxa"/>
          </w:tcPr>
          <w:p w14:paraId="0A0BC59E" w14:textId="77777777" w:rsidR="007E2AF5" w:rsidRPr="00270B21" w:rsidRDefault="007E2AF5" w:rsidP="00667F03">
            <w:pPr>
              <w:autoSpaceDE w:val="0"/>
              <w:autoSpaceDN w:val="0"/>
              <w:adjustRightInd w:val="0"/>
              <w:spacing w:line="276" w:lineRule="auto"/>
              <w:jc w:val="center"/>
              <w:rPr>
                <w:rFonts w:cs="Times New Roman"/>
                <w:b/>
                <w:szCs w:val="24"/>
              </w:rPr>
            </w:pPr>
            <w:r w:rsidRPr="00270B21">
              <w:rPr>
                <w:rFonts w:cs="Times New Roman"/>
                <w:b/>
                <w:szCs w:val="24"/>
              </w:rPr>
              <w:t>2020</w:t>
            </w:r>
          </w:p>
        </w:tc>
        <w:tc>
          <w:tcPr>
            <w:tcW w:w="1072" w:type="dxa"/>
          </w:tcPr>
          <w:p w14:paraId="00A8EBE2" w14:textId="77777777" w:rsidR="007E2AF5" w:rsidRPr="00270B21" w:rsidRDefault="007E2AF5" w:rsidP="00667F03">
            <w:pPr>
              <w:autoSpaceDE w:val="0"/>
              <w:autoSpaceDN w:val="0"/>
              <w:adjustRightInd w:val="0"/>
              <w:spacing w:line="276" w:lineRule="auto"/>
              <w:jc w:val="center"/>
              <w:rPr>
                <w:rFonts w:cs="Times New Roman"/>
                <w:b/>
                <w:szCs w:val="24"/>
              </w:rPr>
            </w:pPr>
            <w:r w:rsidRPr="00270B21">
              <w:rPr>
                <w:rFonts w:cs="Times New Roman"/>
                <w:b/>
                <w:szCs w:val="24"/>
              </w:rPr>
              <w:t>2021</w:t>
            </w:r>
          </w:p>
        </w:tc>
        <w:tc>
          <w:tcPr>
            <w:tcW w:w="1072" w:type="dxa"/>
          </w:tcPr>
          <w:p w14:paraId="6B6DFA64" w14:textId="77777777" w:rsidR="007E2AF5" w:rsidRPr="00270B21" w:rsidRDefault="007E2AF5" w:rsidP="00667F03">
            <w:pPr>
              <w:autoSpaceDE w:val="0"/>
              <w:autoSpaceDN w:val="0"/>
              <w:adjustRightInd w:val="0"/>
              <w:spacing w:line="276" w:lineRule="auto"/>
              <w:jc w:val="center"/>
              <w:rPr>
                <w:rFonts w:cs="Times New Roman"/>
                <w:b/>
                <w:szCs w:val="24"/>
              </w:rPr>
            </w:pPr>
            <w:r w:rsidRPr="00270B21">
              <w:rPr>
                <w:rFonts w:cs="Times New Roman"/>
                <w:b/>
                <w:szCs w:val="24"/>
              </w:rPr>
              <w:t>2022</w:t>
            </w:r>
          </w:p>
        </w:tc>
        <w:tc>
          <w:tcPr>
            <w:tcW w:w="1072" w:type="dxa"/>
          </w:tcPr>
          <w:p w14:paraId="752BBE7E" w14:textId="77777777" w:rsidR="007E2AF5" w:rsidRPr="00270B21" w:rsidRDefault="007E2AF5" w:rsidP="00667F03">
            <w:pPr>
              <w:autoSpaceDE w:val="0"/>
              <w:autoSpaceDN w:val="0"/>
              <w:adjustRightInd w:val="0"/>
              <w:spacing w:line="276" w:lineRule="auto"/>
              <w:jc w:val="center"/>
              <w:rPr>
                <w:rFonts w:cs="Times New Roman"/>
                <w:b/>
                <w:szCs w:val="24"/>
              </w:rPr>
            </w:pPr>
            <w:r w:rsidRPr="00270B21">
              <w:rPr>
                <w:rFonts w:cs="Times New Roman"/>
                <w:b/>
                <w:szCs w:val="24"/>
              </w:rPr>
              <w:t>2023</w:t>
            </w:r>
          </w:p>
        </w:tc>
      </w:tr>
      <w:tr w:rsidR="007E2AF5" w14:paraId="0D2DA64E" w14:textId="77777777" w:rsidTr="00667F03">
        <w:tc>
          <w:tcPr>
            <w:tcW w:w="668" w:type="dxa"/>
          </w:tcPr>
          <w:p w14:paraId="3F0D2515" w14:textId="77777777" w:rsidR="007E2AF5" w:rsidRPr="000F0B7F" w:rsidRDefault="007E2AF5" w:rsidP="00667F03">
            <w:pPr>
              <w:autoSpaceDE w:val="0"/>
              <w:autoSpaceDN w:val="0"/>
              <w:adjustRightInd w:val="0"/>
              <w:spacing w:line="276" w:lineRule="auto"/>
              <w:jc w:val="center"/>
              <w:rPr>
                <w:rFonts w:cs="Times New Roman"/>
                <w:szCs w:val="24"/>
              </w:rPr>
            </w:pPr>
            <w:r w:rsidRPr="000F0B7F">
              <w:rPr>
                <w:rFonts w:cs="Times New Roman"/>
                <w:szCs w:val="24"/>
              </w:rPr>
              <w:t>1.</w:t>
            </w:r>
          </w:p>
        </w:tc>
        <w:tc>
          <w:tcPr>
            <w:tcW w:w="1737" w:type="dxa"/>
          </w:tcPr>
          <w:p w14:paraId="765475C9" w14:textId="77777777" w:rsidR="007E2AF5" w:rsidRPr="000F0B7F" w:rsidRDefault="007E2AF5" w:rsidP="00667F03">
            <w:pPr>
              <w:autoSpaceDE w:val="0"/>
              <w:autoSpaceDN w:val="0"/>
              <w:adjustRightInd w:val="0"/>
              <w:spacing w:line="276" w:lineRule="auto"/>
              <w:jc w:val="center"/>
              <w:rPr>
                <w:rFonts w:cs="Times New Roman"/>
                <w:szCs w:val="24"/>
              </w:rPr>
            </w:pPr>
            <w:r w:rsidRPr="000F0B7F">
              <w:rPr>
                <w:rFonts w:cs="Times New Roman"/>
                <w:szCs w:val="24"/>
              </w:rPr>
              <w:t>BBCA</w:t>
            </w:r>
          </w:p>
        </w:tc>
        <w:tc>
          <w:tcPr>
            <w:tcW w:w="859" w:type="dxa"/>
          </w:tcPr>
          <w:p w14:paraId="21379416" w14:textId="70F4C21E"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0,10</w:t>
            </w:r>
          </w:p>
        </w:tc>
        <w:tc>
          <w:tcPr>
            <w:tcW w:w="1072" w:type="dxa"/>
          </w:tcPr>
          <w:p w14:paraId="6C38D167" w14:textId="6263FE84"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0,26</w:t>
            </w:r>
          </w:p>
        </w:tc>
        <w:tc>
          <w:tcPr>
            <w:tcW w:w="1072" w:type="dxa"/>
          </w:tcPr>
          <w:p w14:paraId="5AC64C36" w14:textId="6A8FE283"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0,27</w:t>
            </w:r>
          </w:p>
        </w:tc>
        <w:tc>
          <w:tcPr>
            <w:tcW w:w="1072" w:type="dxa"/>
          </w:tcPr>
          <w:p w14:paraId="04668DC3" w14:textId="4DF7C585"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0,24</w:t>
            </w:r>
          </w:p>
        </w:tc>
        <w:tc>
          <w:tcPr>
            <w:tcW w:w="1072" w:type="dxa"/>
          </w:tcPr>
          <w:p w14:paraId="6D5912A8" w14:textId="7543B232"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0,29</w:t>
            </w:r>
          </w:p>
        </w:tc>
      </w:tr>
      <w:tr w:rsidR="007E2AF5" w14:paraId="11EF4725" w14:textId="77777777" w:rsidTr="00667F03">
        <w:tc>
          <w:tcPr>
            <w:tcW w:w="668" w:type="dxa"/>
          </w:tcPr>
          <w:p w14:paraId="2B51A7C6" w14:textId="77777777" w:rsidR="007E2AF5" w:rsidRPr="000F0B7F" w:rsidRDefault="007E2AF5" w:rsidP="00667F03">
            <w:pPr>
              <w:autoSpaceDE w:val="0"/>
              <w:autoSpaceDN w:val="0"/>
              <w:adjustRightInd w:val="0"/>
              <w:spacing w:line="276" w:lineRule="auto"/>
              <w:jc w:val="center"/>
              <w:rPr>
                <w:rFonts w:cs="Times New Roman"/>
                <w:szCs w:val="24"/>
              </w:rPr>
            </w:pPr>
            <w:r w:rsidRPr="000F0B7F">
              <w:rPr>
                <w:rFonts w:cs="Times New Roman"/>
                <w:szCs w:val="24"/>
              </w:rPr>
              <w:t>2.</w:t>
            </w:r>
          </w:p>
        </w:tc>
        <w:tc>
          <w:tcPr>
            <w:tcW w:w="1737" w:type="dxa"/>
          </w:tcPr>
          <w:p w14:paraId="769E1B90" w14:textId="77777777" w:rsidR="007E2AF5" w:rsidRPr="000F0B7F" w:rsidRDefault="007E2AF5" w:rsidP="00667F03">
            <w:pPr>
              <w:autoSpaceDE w:val="0"/>
              <w:autoSpaceDN w:val="0"/>
              <w:adjustRightInd w:val="0"/>
              <w:spacing w:line="276" w:lineRule="auto"/>
              <w:jc w:val="center"/>
              <w:rPr>
                <w:rFonts w:cs="Times New Roman"/>
                <w:szCs w:val="24"/>
              </w:rPr>
            </w:pPr>
            <w:r w:rsidRPr="000F0B7F">
              <w:rPr>
                <w:rFonts w:cs="Times New Roman"/>
                <w:szCs w:val="24"/>
              </w:rPr>
              <w:t>BBNI</w:t>
            </w:r>
          </w:p>
        </w:tc>
        <w:tc>
          <w:tcPr>
            <w:tcW w:w="859" w:type="dxa"/>
          </w:tcPr>
          <w:p w14:paraId="2A944BD7" w14:textId="4D865AEE"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0,07</w:t>
            </w:r>
          </w:p>
        </w:tc>
        <w:tc>
          <w:tcPr>
            <w:tcW w:w="1072" w:type="dxa"/>
          </w:tcPr>
          <w:p w14:paraId="162E3992" w14:textId="1CCEBE71" w:rsidR="007E2AF5" w:rsidRPr="000F0B7F" w:rsidRDefault="00CB1A7E" w:rsidP="00667F03">
            <w:pPr>
              <w:autoSpaceDE w:val="0"/>
              <w:autoSpaceDN w:val="0"/>
              <w:adjustRightInd w:val="0"/>
              <w:spacing w:line="276" w:lineRule="auto"/>
              <w:jc w:val="center"/>
              <w:rPr>
                <w:rFonts w:cs="Times New Roman"/>
                <w:szCs w:val="24"/>
              </w:rPr>
            </w:pPr>
            <w:r>
              <w:rPr>
                <w:rFonts w:cs="Times New Roman"/>
                <w:szCs w:val="24"/>
              </w:rPr>
              <w:t>0,</w:t>
            </w:r>
            <w:r w:rsidR="00E65683">
              <w:rPr>
                <w:rFonts w:cs="Times New Roman"/>
                <w:szCs w:val="24"/>
              </w:rPr>
              <w:t>15</w:t>
            </w:r>
          </w:p>
        </w:tc>
        <w:tc>
          <w:tcPr>
            <w:tcW w:w="1072" w:type="dxa"/>
          </w:tcPr>
          <w:p w14:paraId="06634DF0" w14:textId="4ACB1A39"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0,22</w:t>
            </w:r>
          </w:p>
        </w:tc>
        <w:tc>
          <w:tcPr>
            <w:tcW w:w="1072" w:type="dxa"/>
          </w:tcPr>
          <w:p w14:paraId="2AB1B6FF" w14:textId="09D7EA70"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0,31</w:t>
            </w:r>
          </w:p>
        </w:tc>
        <w:tc>
          <w:tcPr>
            <w:tcW w:w="1072" w:type="dxa"/>
          </w:tcPr>
          <w:p w14:paraId="7EC6210F" w14:textId="6C3E7E3E"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0,64</w:t>
            </w:r>
          </w:p>
        </w:tc>
      </w:tr>
      <w:tr w:rsidR="007E2AF5" w14:paraId="7D992A24" w14:textId="77777777" w:rsidTr="00667F03">
        <w:tc>
          <w:tcPr>
            <w:tcW w:w="668" w:type="dxa"/>
          </w:tcPr>
          <w:p w14:paraId="23891250" w14:textId="77777777" w:rsidR="007E2AF5" w:rsidRPr="000F0B7F" w:rsidRDefault="007E2AF5" w:rsidP="00667F03">
            <w:pPr>
              <w:autoSpaceDE w:val="0"/>
              <w:autoSpaceDN w:val="0"/>
              <w:adjustRightInd w:val="0"/>
              <w:spacing w:line="276" w:lineRule="auto"/>
              <w:jc w:val="center"/>
              <w:rPr>
                <w:rFonts w:cs="Times New Roman"/>
                <w:szCs w:val="24"/>
              </w:rPr>
            </w:pPr>
            <w:r w:rsidRPr="000F0B7F">
              <w:rPr>
                <w:rFonts w:cs="Times New Roman"/>
                <w:szCs w:val="24"/>
              </w:rPr>
              <w:t>3.</w:t>
            </w:r>
          </w:p>
        </w:tc>
        <w:tc>
          <w:tcPr>
            <w:tcW w:w="1737" w:type="dxa"/>
          </w:tcPr>
          <w:p w14:paraId="5C903F8F" w14:textId="77777777" w:rsidR="007E2AF5" w:rsidRPr="000F0B7F" w:rsidRDefault="007E2AF5" w:rsidP="00667F03">
            <w:pPr>
              <w:autoSpaceDE w:val="0"/>
              <w:autoSpaceDN w:val="0"/>
              <w:adjustRightInd w:val="0"/>
              <w:spacing w:line="276" w:lineRule="auto"/>
              <w:jc w:val="center"/>
              <w:rPr>
                <w:rFonts w:cs="Times New Roman"/>
                <w:szCs w:val="24"/>
              </w:rPr>
            </w:pPr>
            <w:r w:rsidRPr="000F0B7F">
              <w:rPr>
                <w:rFonts w:cs="Times New Roman"/>
                <w:szCs w:val="24"/>
              </w:rPr>
              <w:t>BBRI</w:t>
            </w:r>
          </w:p>
        </w:tc>
        <w:tc>
          <w:tcPr>
            <w:tcW w:w="859" w:type="dxa"/>
          </w:tcPr>
          <w:p w14:paraId="24E32924" w14:textId="56A3C6A2"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0,19</w:t>
            </w:r>
          </w:p>
        </w:tc>
        <w:tc>
          <w:tcPr>
            <w:tcW w:w="1072" w:type="dxa"/>
          </w:tcPr>
          <w:p w14:paraId="39AE1BE7" w14:textId="73E7FCA5" w:rsidR="007E2AF5" w:rsidRPr="000F0B7F" w:rsidRDefault="00CB1A7E" w:rsidP="00667F03">
            <w:pPr>
              <w:autoSpaceDE w:val="0"/>
              <w:autoSpaceDN w:val="0"/>
              <w:adjustRightInd w:val="0"/>
              <w:spacing w:line="276" w:lineRule="auto"/>
              <w:jc w:val="center"/>
              <w:rPr>
                <w:rFonts w:cs="Times New Roman"/>
                <w:szCs w:val="24"/>
              </w:rPr>
            </w:pPr>
            <w:r>
              <w:rPr>
                <w:rFonts w:cs="Times New Roman"/>
                <w:szCs w:val="24"/>
              </w:rPr>
              <w:t>0,30</w:t>
            </w:r>
          </w:p>
        </w:tc>
        <w:tc>
          <w:tcPr>
            <w:tcW w:w="1072" w:type="dxa"/>
          </w:tcPr>
          <w:p w14:paraId="67712DE1" w14:textId="20E759D7"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0,35</w:t>
            </w:r>
          </w:p>
        </w:tc>
        <w:tc>
          <w:tcPr>
            <w:tcW w:w="1072" w:type="dxa"/>
          </w:tcPr>
          <w:p w14:paraId="7BF9FD15" w14:textId="32920B00"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0,37</w:t>
            </w:r>
          </w:p>
        </w:tc>
        <w:tc>
          <w:tcPr>
            <w:tcW w:w="1072" w:type="dxa"/>
          </w:tcPr>
          <w:p w14:paraId="406F017F" w14:textId="09F280E7"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0,37</w:t>
            </w:r>
          </w:p>
        </w:tc>
      </w:tr>
      <w:tr w:rsidR="007E2AF5" w14:paraId="254370A7" w14:textId="77777777" w:rsidTr="00667F03">
        <w:tc>
          <w:tcPr>
            <w:tcW w:w="668" w:type="dxa"/>
          </w:tcPr>
          <w:p w14:paraId="77F2B271" w14:textId="77777777" w:rsidR="007E2AF5" w:rsidRPr="000F0B7F" w:rsidRDefault="007E2AF5" w:rsidP="00667F03">
            <w:pPr>
              <w:autoSpaceDE w:val="0"/>
              <w:autoSpaceDN w:val="0"/>
              <w:adjustRightInd w:val="0"/>
              <w:spacing w:line="276" w:lineRule="auto"/>
              <w:jc w:val="center"/>
              <w:rPr>
                <w:rFonts w:cs="Times New Roman"/>
                <w:szCs w:val="24"/>
              </w:rPr>
            </w:pPr>
            <w:r w:rsidRPr="000F0B7F">
              <w:rPr>
                <w:rFonts w:cs="Times New Roman"/>
                <w:szCs w:val="24"/>
              </w:rPr>
              <w:t>4.</w:t>
            </w:r>
          </w:p>
        </w:tc>
        <w:tc>
          <w:tcPr>
            <w:tcW w:w="1737" w:type="dxa"/>
          </w:tcPr>
          <w:p w14:paraId="34B4938F" w14:textId="77777777" w:rsidR="007E2AF5" w:rsidRPr="000F0B7F" w:rsidRDefault="007E2AF5" w:rsidP="00667F03">
            <w:pPr>
              <w:autoSpaceDE w:val="0"/>
              <w:autoSpaceDN w:val="0"/>
              <w:adjustRightInd w:val="0"/>
              <w:spacing w:line="276" w:lineRule="auto"/>
              <w:jc w:val="center"/>
              <w:rPr>
                <w:rFonts w:cs="Times New Roman"/>
                <w:szCs w:val="24"/>
              </w:rPr>
            </w:pPr>
            <w:r w:rsidRPr="000F0B7F">
              <w:rPr>
                <w:rFonts w:cs="Times New Roman"/>
                <w:szCs w:val="24"/>
              </w:rPr>
              <w:t>BBTN</w:t>
            </w:r>
          </w:p>
        </w:tc>
        <w:tc>
          <w:tcPr>
            <w:tcW w:w="859" w:type="dxa"/>
          </w:tcPr>
          <w:p w14:paraId="0E8DAE31" w14:textId="2588F394"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0,32</w:t>
            </w:r>
          </w:p>
        </w:tc>
        <w:tc>
          <w:tcPr>
            <w:tcW w:w="1072" w:type="dxa"/>
          </w:tcPr>
          <w:p w14:paraId="6C604E16" w14:textId="0272DAD1"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0,32</w:t>
            </w:r>
          </w:p>
        </w:tc>
        <w:tc>
          <w:tcPr>
            <w:tcW w:w="1072" w:type="dxa"/>
          </w:tcPr>
          <w:p w14:paraId="45A09C5A" w14:textId="35B783E7"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0,46</w:t>
            </w:r>
          </w:p>
        </w:tc>
        <w:tc>
          <w:tcPr>
            <w:tcW w:w="1072" w:type="dxa"/>
          </w:tcPr>
          <w:p w14:paraId="3D9AF400" w14:textId="5740A9E2"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0,59</w:t>
            </w:r>
          </w:p>
        </w:tc>
        <w:tc>
          <w:tcPr>
            <w:tcW w:w="1072" w:type="dxa"/>
          </w:tcPr>
          <w:p w14:paraId="7C8F6C87" w14:textId="4B0F02E1"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0,63</w:t>
            </w:r>
          </w:p>
        </w:tc>
      </w:tr>
      <w:tr w:rsidR="007E2AF5" w14:paraId="4B1D99C2" w14:textId="77777777" w:rsidTr="00667F03">
        <w:tc>
          <w:tcPr>
            <w:tcW w:w="668" w:type="dxa"/>
          </w:tcPr>
          <w:p w14:paraId="27458904" w14:textId="77777777" w:rsidR="007E2AF5" w:rsidRPr="000F0B7F" w:rsidRDefault="007E2AF5" w:rsidP="00667F03">
            <w:pPr>
              <w:autoSpaceDE w:val="0"/>
              <w:autoSpaceDN w:val="0"/>
              <w:adjustRightInd w:val="0"/>
              <w:spacing w:line="276" w:lineRule="auto"/>
              <w:jc w:val="center"/>
              <w:rPr>
                <w:rFonts w:cs="Times New Roman"/>
                <w:szCs w:val="24"/>
              </w:rPr>
            </w:pPr>
            <w:r w:rsidRPr="000F0B7F">
              <w:rPr>
                <w:rFonts w:cs="Times New Roman"/>
                <w:szCs w:val="24"/>
              </w:rPr>
              <w:t>5.</w:t>
            </w:r>
          </w:p>
        </w:tc>
        <w:tc>
          <w:tcPr>
            <w:tcW w:w="1737" w:type="dxa"/>
          </w:tcPr>
          <w:p w14:paraId="31A629D5" w14:textId="77777777" w:rsidR="007E2AF5" w:rsidRPr="000F0B7F" w:rsidRDefault="007E2AF5" w:rsidP="00667F03">
            <w:pPr>
              <w:autoSpaceDE w:val="0"/>
              <w:autoSpaceDN w:val="0"/>
              <w:adjustRightInd w:val="0"/>
              <w:spacing w:line="276" w:lineRule="auto"/>
              <w:jc w:val="center"/>
              <w:rPr>
                <w:rFonts w:cs="Times New Roman"/>
                <w:szCs w:val="24"/>
              </w:rPr>
            </w:pPr>
            <w:r w:rsidRPr="000F0B7F">
              <w:rPr>
                <w:rFonts w:cs="Times New Roman"/>
                <w:szCs w:val="24"/>
              </w:rPr>
              <w:t>BMRI</w:t>
            </w:r>
          </w:p>
        </w:tc>
        <w:tc>
          <w:tcPr>
            <w:tcW w:w="859" w:type="dxa"/>
          </w:tcPr>
          <w:p w14:paraId="4E9F9FE1" w14:textId="72250D2E"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0,27</w:t>
            </w:r>
          </w:p>
        </w:tc>
        <w:tc>
          <w:tcPr>
            <w:tcW w:w="1072" w:type="dxa"/>
          </w:tcPr>
          <w:p w14:paraId="5CC549DC" w14:textId="0C588805"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0,26</w:t>
            </w:r>
          </w:p>
        </w:tc>
        <w:tc>
          <w:tcPr>
            <w:tcW w:w="1072" w:type="dxa"/>
          </w:tcPr>
          <w:p w14:paraId="17AF75EF" w14:textId="639E805D"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0,44</w:t>
            </w:r>
          </w:p>
        </w:tc>
        <w:tc>
          <w:tcPr>
            <w:tcW w:w="1072" w:type="dxa"/>
          </w:tcPr>
          <w:p w14:paraId="414C12B6" w14:textId="00B79DCC"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0,47</w:t>
            </w:r>
          </w:p>
        </w:tc>
        <w:tc>
          <w:tcPr>
            <w:tcW w:w="1072" w:type="dxa"/>
          </w:tcPr>
          <w:p w14:paraId="1E76B57F" w14:textId="691D94F4"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0,35</w:t>
            </w:r>
          </w:p>
        </w:tc>
      </w:tr>
      <w:tr w:rsidR="007E2AF5" w14:paraId="0D2CC52D" w14:textId="77777777" w:rsidTr="00667F03">
        <w:tc>
          <w:tcPr>
            <w:tcW w:w="668" w:type="dxa"/>
          </w:tcPr>
          <w:p w14:paraId="514CD05A" w14:textId="1941E981" w:rsidR="007E2AF5" w:rsidRPr="000F0B7F" w:rsidRDefault="0045629F" w:rsidP="00667F03">
            <w:pPr>
              <w:autoSpaceDE w:val="0"/>
              <w:autoSpaceDN w:val="0"/>
              <w:adjustRightInd w:val="0"/>
              <w:spacing w:line="276" w:lineRule="auto"/>
              <w:jc w:val="center"/>
              <w:rPr>
                <w:rFonts w:cs="Times New Roman"/>
                <w:szCs w:val="24"/>
              </w:rPr>
            </w:pPr>
            <w:r>
              <w:rPr>
                <w:rFonts w:cs="Times New Roman"/>
                <w:szCs w:val="24"/>
              </w:rPr>
              <w:t>6</w:t>
            </w:r>
            <w:r w:rsidR="007E2AF5" w:rsidRPr="000F0B7F">
              <w:rPr>
                <w:rFonts w:cs="Times New Roman"/>
                <w:szCs w:val="24"/>
              </w:rPr>
              <w:t>.</w:t>
            </w:r>
          </w:p>
        </w:tc>
        <w:tc>
          <w:tcPr>
            <w:tcW w:w="1737" w:type="dxa"/>
          </w:tcPr>
          <w:p w14:paraId="0AE1FAB2" w14:textId="77777777" w:rsidR="007E2AF5" w:rsidRPr="000F0B7F" w:rsidRDefault="007E2AF5" w:rsidP="00667F03">
            <w:pPr>
              <w:autoSpaceDE w:val="0"/>
              <w:autoSpaceDN w:val="0"/>
              <w:adjustRightInd w:val="0"/>
              <w:spacing w:line="276" w:lineRule="auto"/>
              <w:jc w:val="center"/>
              <w:rPr>
                <w:rFonts w:cs="Times New Roman"/>
                <w:szCs w:val="24"/>
              </w:rPr>
            </w:pPr>
            <w:r w:rsidRPr="000F0B7F">
              <w:rPr>
                <w:rFonts w:cs="Times New Roman"/>
                <w:szCs w:val="24"/>
              </w:rPr>
              <w:t>UNTR</w:t>
            </w:r>
          </w:p>
        </w:tc>
        <w:tc>
          <w:tcPr>
            <w:tcW w:w="859" w:type="dxa"/>
          </w:tcPr>
          <w:p w14:paraId="1A5B24A8" w14:textId="0C4A2638"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0,19</w:t>
            </w:r>
          </w:p>
        </w:tc>
        <w:tc>
          <w:tcPr>
            <w:tcW w:w="1072" w:type="dxa"/>
          </w:tcPr>
          <w:p w14:paraId="3599F808" w14:textId="1E58BCDD"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0,21</w:t>
            </w:r>
          </w:p>
        </w:tc>
        <w:tc>
          <w:tcPr>
            <w:tcW w:w="1072" w:type="dxa"/>
          </w:tcPr>
          <w:p w14:paraId="6ECD0AD1" w14:textId="35FB5E05"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0,25</w:t>
            </w:r>
          </w:p>
        </w:tc>
        <w:tc>
          <w:tcPr>
            <w:tcW w:w="1072" w:type="dxa"/>
          </w:tcPr>
          <w:p w14:paraId="4B24F1CE" w14:textId="3675BA06"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0,14</w:t>
            </w:r>
          </w:p>
        </w:tc>
        <w:tc>
          <w:tcPr>
            <w:tcW w:w="1072" w:type="dxa"/>
          </w:tcPr>
          <w:p w14:paraId="635D4BAB" w14:textId="384AF37F"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0,14</w:t>
            </w:r>
          </w:p>
        </w:tc>
      </w:tr>
      <w:tr w:rsidR="007E2AF5" w14:paraId="0DE6F82F" w14:textId="77777777" w:rsidTr="00667F03">
        <w:tc>
          <w:tcPr>
            <w:tcW w:w="668" w:type="dxa"/>
          </w:tcPr>
          <w:p w14:paraId="099511F6" w14:textId="0EFD381A" w:rsidR="007E2AF5" w:rsidRPr="000F0B7F" w:rsidRDefault="0045629F" w:rsidP="00667F03">
            <w:pPr>
              <w:autoSpaceDE w:val="0"/>
              <w:autoSpaceDN w:val="0"/>
              <w:adjustRightInd w:val="0"/>
              <w:spacing w:line="276" w:lineRule="auto"/>
              <w:jc w:val="center"/>
              <w:rPr>
                <w:rFonts w:cs="Times New Roman"/>
                <w:szCs w:val="24"/>
              </w:rPr>
            </w:pPr>
            <w:r>
              <w:rPr>
                <w:rFonts w:cs="Times New Roman"/>
                <w:szCs w:val="24"/>
              </w:rPr>
              <w:t>7</w:t>
            </w:r>
            <w:r w:rsidR="007E2AF5" w:rsidRPr="000F0B7F">
              <w:rPr>
                <w:rFonts w:cs="Times New Roman"/>
                <w:szCs w:val="24"/>
              </w:rPr>
              <w:t>.</w:t>
            </w:r>
          </w:p>
        </w:tc>
        <w:tc>
          <w:tcPr>
            <w:tcW w:w="1737" w:type="dxa"/>
          </w:tcPr>
          <w:p w14:paraId="36DED034" w14:textId="77777777" w:rsidR="007E2AF5" w:rsidRPr="000F0B7F" w:rsidRDefault="007E2AF5" w:rsidP="00667F03">
            <w:pPr>
              <w:autoSpaceDE w:val="0"/>
              <w:autoSpaceDN w:val="0"/>
              <w:adjustRightInd w:val="0"/>
              <w:spacing w:line="276" w:lineRule="auto"/>
              <w:jc w:val="center"/>
              <w:rPr>
                <w:rFonts w:cs="Times New Roman"/>
                <w:szCs w:val="24"/>
              </w:rPr>
            </w:pPr>
            <w:r w:rsidRPr="000F0B7F">
              <w:rPr>
                <w:rFonts w:cs="Times New Roman"/>
                <w:szCs w:val="24"/>
              </w:rPr>
              <w:t>UNVR</w:t>
            </w:r>
          </w:p>
        </w:tc>
        <w:tc>
          <w:tcPr>
            <w:tcW w:w="859" w:type="dxa"/>
          </w:tcPr>
          <w:p w14:paraId="1CE61975" w14:textId="70A259DD"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0,21</w:t>
            </w:r>
          </w:p>
        </w:tc>
        <w:tc>
          <w:tcPr>
            <w:tcW w:w="1072" w:type="dxa"/>
          </w:tcPr>
          <w:p w14:paraId="426B6AAE" w14:textId="3A2C9934"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0,29</w:t>
            </w:r>
          </w:p>
        </w:tc>
        <w:tc>
          <w:tcPr>
            <w:tcW w:w="1072" w:type="dxa"/>
          </w:tcPr>
          <w:p w14:paraId="2DE87280" w14:textId="27934757"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0,27</w:t>
            </w:r>
          </w:p>
        </w:tc>
        <w:tc>
          <w:tcPr>
            <w:tcW w:w="1072" w:type="dxa"/>
          </w:tcPr>
          <w:p w14:paraId="497D5172" w14:textId="22FC12DE"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0,41</w:t>
            </w:r>
          </w:p>
        </w:tc>
        <w:tc>
          <w:tcPr>
            <w:tcW w:w="1072" w:type="dxa"/>
          </w:tcPr>
          <w:p w14:paraId="67AA5E0D" w14:textId="015D702E"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0,58</w:t>
            </w:r>
          </w:p>
        </w:tc>
      </w:tr>
      <w:tr w:rsidR="007E2AF5" w14:paraId="5E836D96" w14:textId="77777777" w:rsidTr="00667F03">
        <w:tc>
          <w:tcPr>
            <w:tcW w:w="668" w:type="dxa"/>
          </w:tcPr>
          <w:p w14:paraId="70CBE648" w14:textId="13B68286" w:rsidR="007E2AF5" w:rsidRPr="000F0B7F" w:rsidRDefault="0045629F" w:rsidP="00667F03">
            <w:pPr>
              <w:autoSpaceDE w:val="0"/>
              <w:autoSpaceDN w:val="0"/>
              <w:adjustRightInd w:val="0"/>
              <w:spacing w:line="276" w:lineRule="auto"/>
              <w:jc w:val="center"/>
              <w:rPr>
                <w:rFonts w:cs="Times New Roman"/>
                <w:szCs w:val="24"/>
              </w:rPr>
            </w:pPr>
            <w:r>
              <w:rPr>
                <w:rFonts w:cs="Times New Roman"/>
                <w:szCs w:val="24"/>
              </w:rPr>
              <w:t>8</w:t>
            </w:r>
            <w:r w:rsidR="007E2AF5" w:rsidRPr="000F0B7F">
              <w:rPr>
                <w:rFonts w:cs="Times New Roman"/>
                <w:szCs w:val="24"/>
              </w:rPr>
              <w:t>.</w:t>
            </w:r>
          </w:p>
        </w:tc>
        <w:tc>
          <w:tcPr>
            <w:tcW w:w="1737" w:type="dxa"/>
          </w:tcPr>
          <w:p w14:paraId="594E55BC" w14:textId="77777777" w:rsidR="007E2AF5" w:rsidRPr="000F0B7F" w:rsidRDefault="007E2AF5" w:rsidP="00667F03">
            <w:pPr>
              <w:autoSpaceDE w:val="0"/>
              <w:autoSpaceDN w:val="0"/>
              <w:adjustRightInd w:val="0"/>
              <w:spacing w:line="276" w:lineRule="auto"/>
              <w:jc w:val="center"/>
              <w:rPr>
                <w:rFonts w:cs="Times New Roman"/>
                <w:szCs w:val="24"/>
              </w:rPr>
            </w:pPr>
            <w:r>
              <w:rPr>
                <w:rFonts w:cs="Times New Roman"/>
                <w:szCs w:val="24"/>
              </w:rPr>
              <w:t>WI</w:t>
            </w:r>
            <w:r w:rsidRPr="000F0B7F">
              <w:rPr>
                <w:rFonts w:cs="Times New Roman"/>
                <w:szCs w:val="24"/>
              </w:rPr>
              <w:t>KA</w:t>
            </w:r>
          </w:p>
        </w:tc>
        <w:tc>
          <w:tcPr>
            <w:tcW w:w="859" w:type="dxa"/>
          </w:tcPr>
          <w:p w14:paraId="2D3BF79F" w14:textId="2891A3C3"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0,25</w:t>
            </w:r>
          </w:p>
        </w:tc>
        <w:tc>
          <w:tcPr>
            <w:tcW w:w="1072" w:type="dxa"/>
          </w:tcPr>
          <w:p w14:paraId="70975EEF" w14:textId="3D1A596B"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0,25</w:t>
            </w:r>
          </w:p>
        </w:tc>
        <w:tc>
          <w:tcPr>
            <w:tcW w:w="1072" w:type="dxa"/>
          </w:tcPr>
          <w:p w14:paraId="7A21DE4C" w14:textId="3EEA38DF"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0,31</w:t>
            </w:r>
          </w:p>
        </w:tc>
        <w:tc>
          <w:tcPr>
            <w:tcW w:w="1072" w:type="dxa"/>
          </w:tcPr>
          <w:p w14:paraId="005A03F9" w14:textId="00E22792"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0,45</w:t>
            </w:r>
          </w:p>
        </w:tc>
        <w:tc>
          <w:tcPr>
            <w:tcW w:w="1072" w:type="dxa"/>
          </w:tcPr>
          <w:p w14:paraId="18570C66" w14:textId="1CCD285C" w:rsidR="007E2AF5" w:rsidRPr="000F0B7F" w:rsidRDefault="00E65683" w:rsidP="00667F03">
            <w:pPr>
              <w:autoSpaceDE w:val="0"/>
              <w:autoSpaceDN w:val="0"/>
              <w:adjustRightInd w:val="0"/>
              <w:spacing w:line="276" w:lineRule="auto"/>
              <w:jc w:val="center"/>
              <w:rPr>
                <w:rFonts w:cs="Times New Roman"/>
                <w:szCs w:val="24"/>
              </w:rPr>
            </w:pPr>
            <w:r>
              <w:rPr>
                <w:rFonts w:cs="Times New Roman"/>
                <w:szCs w:val="24"/>
              </w:rPr>
              <w:t>0,41</w:t>
            </w:r>
          </w:p>
        </w:tc>
      </w:tr>
      <w:tr w:rsidR="007E2AF5" w14:paraId="5C02C7CF" w14:textId="77777777" w:rsidTr="00667F03">
        <w:tc>
          <w:tcPr>
            <w:tcW w:w="2405" w:type="dxa"/>
            <w:gridSpan w:val="2"/>
          </w:tcPr>
          <w:p w14:paraId="730FF51A" w14:textId="77777777" w:rsidR="007E2AF5" w:rsidRPr="00270B21" w:rsidRDefault="007E2AF5" w:rsidP="00667F03">
            <w:pPr>
              <w:autoSpaceDE w:val="0"/>
              <w:autoSpaceDN w:val="0"/>
              <w:adjustRightInd w:val="0"/>
              <w:spacing w:line="276" w:lineRule="auto"/>
              <w:jc w:val="center"/>
              <w:rPr>
                <w:rFonts w:cs="Times New Roman"/>
                <w:szCs w:val="24"/>
              </w:rPr>
            </w:pPr>
            <w:r w:rsidRPr="00270B21">
              <w:rPr>
                <w:rFonts w:cs="Times New Roman"/>
                <w:szCs w:val="24"/>
              </w:rPr>
              <w:t>Nila</w:t>
            </w:r>
            <w:r>
              <w:rPr>
                <w:rFonts w:cs="Times New Roman"/>
                <w:szCs w:val="24"/>
              </w:rPr>
              <w:t>i T</w:t>
            </w:r>
            <w:r w:rsidRPr="00270B21">
              <w:rPr>
                <w:rFonts w:cs="Times New Roman"/>
                <w:szCs w:val="24"/>
              </w:rPr>
              <w:t>ertinggi</w:t>
            </w:r>
          </w:p>
        </w:tc>
        <w:tc>
          <w:tcPr>
            <w:tcW w:w="5147" w:type="dxa"/>
            <w:gridSpan w:val="5"/>
          </w:tcPr>
          <w:p w14:paraId="463AE227" w14:textId="25055FA8" w:rsidR="007E2AF5" w:rsidRPr="00270B21" w:rsidRDefault="0045629F" w:rsidP="00667F03">
            <w:pPr>
              <w:autoSpaceDE w:val="0"/>
              <w:autoSpaceDN w:val="0"/>
              <w:adjustRightInd w:val="0"/>
              <w:spacing w:line="276" w:lineRule="auto"/>
              <w:jc w:val="center"/>
              <w:rPr>
                <w:rFonts w:cs="Times New Roman"/>
                <w:szCs w:val="24"/>
              </w:rPr>
            </w:pPr>
            <w:r>
              <w:rPr>
                <w:rFonts w:cs="Times New Roman"/>
                <w:szCs w:val="24"/>
              </w:rPr>
              <w:t>0.57</w:t>
            </w:r>
          </w:p>
        </w:tc>
      </w:tr>
      <w:tr w:rsidR="007E2AF5" w14:paraId="56913C5C" w14:textId="77777777" w:rsidTr="00667F03">
        <w:tc>
          <w:tcPr>
            <w:tcW w:w="2405" w:type="dxa"/>
            <w:gridSpan w:val="2"/>
          </w:tcPr>
          <w:p w14:paraId="71B841A3" w14:textId="77777777" w:rsidR="007E2AF5" w:rsidRPr="00270B21" w:rsidRDefault="007E2AF5" w:rsidP="00667F03">
            <w:pPr>
              <w:autoSpaceDE w:val="0"/>
              <w:autoSpaceDN w:val="0"/>
              <w:adjustRightInd w:val="0"/>
              <w:spacing w:line="276" w:lineRule="auto"/>
              <w:jc w:val="center"/>
              <w:rPr>
                <w:rFonts w:cs="Times New Roman"/>
                <w:szCs w:val="24"/>
              </w:rPr>
            </w:pPr>
            <w:r w:rsidRPr="00270B21">
              <w:rPr>
                <w:rFonts w:cs="Times New Roman"/>
                <w:szCs w:val="24"/>
              </w:rPr>
              <w:t xml:space="preserve">Nilai </w:t>
            </w:r>
            <w:r>
              <w:rPr>
                <w:rFonts w:cs="Times New Roman"/>
                <w:szCs w:val="24"/>
              </w:rPr>
              <w:t>T</w:t>
            </w:r>
            <w:r w:rsidRPr="00270B21">
              <w:rPr>
                <w:rFonts w:cs="Times New Roman"/>
                <w:szCs w:val="24"/>
              </w:rPr>
              <w:t xml:space="preserve">erendah </w:t>
            </w:r>
          </w:p>
        </w:tc>
        <w:tc>
          <w:tcPr>
            <w:tcW w:w="5147" w:type="dxa"/>
            <w:gridSpan w:val="5"/>
          </w:tcPr>
          <w:p w14:paraId="44BB0A91" w14:textId="08E962BC" w:rsidR="007E2AF5" w:rsidRPr="00270B21" w:rsidRDefault="0045629F" w:rsidP="00667F03">
            <w:pPr>
              <w:autoSpaceDE w:val="0"/>
              <w:autoSpaceDN w:val="0"/>
              <w:adjustRightInd w:val="0"/>
              <w:spacing w:line="276" w:lineRule="auto"/>
              <w:jc w:val="center"/>
              <w:rPr>
                <w:rFonts w:cs="Times New Roman"/>
                <w:szCs w:val="24"/>
              </w:rPr>
            </w:pPr>
            <w:r>
              <w:rPr>
                <w:rFonts w:cs="Times New Roman"/>
                <w:szCs w:val="24"/>
              </w:rPr>
              <w:t>-0.06</w:t>
            </w:r>
          </w:p>
        </w:tc>
      </w:tr>
      <w:tr w:rsidR="007E2AF5" w14:paraId="19A6DBFF" w14:textId="77777777" w:rsidTr="00667F03">
        <w:tc>
          <w:tcPr>
            <w:tcW w:w="2405" w:type="dxa"/>
            <w:gridSpan w:val="2"/>
          </w:tcPr>
          <w:p w14:paraId="1CC56D8A" w14:textId="77777777" w:rsidR="007E2AF5" w:rsidRPr="00270B21" w:rsidRDefault="007E2AF5" w:rsidP="00667F03">
            <w:pPr>
              <w:autoSpaceDE w:val="0"/>
              <w:autoSpaceDN w:val="0"/>
              <w:adjustRightInd w:val="0"/>
              <w:spacing w:line="276" w:lineRule="auto"/>
              <w:jc w:val="center"/>
              <w:rPr>
                <w:rFonts w:cs="Times New Roman"/>
                <w:szCs w:val="24"/>
              </w:rPr>
            </w:pPr>
            <w:r w:rsidRPr="00270B21">
              <w:rPr>
                <w:rFonts w:cs="Times New Roman"/>
                <w:szCs w:val="24"/>
              </w:rPr>
              <w:t xml:space="preserve">Nilai </w:t>
            </w:r>
            <w:r>
              <w:rPr>
                <w:rFonts w:cs="Times New Roman"/>
                <w:szCs w:val="24"/>
              </w:rPr>
              <w:t>R</w:t>
            </w:r>
            <w:r w:rsidRPr="00270B21">
              <w:rPr>
                <w:rFonts w:cs="Times New Roman"/>
                <w:szCs w:val="24"/>
              </w:rPr>
              <w:t xml:space="preserve">ata-rata </w:t>
            </w:r>
          </w:p>
        </w:tc>
        <w:tc>
          <w:tcPr>
            <w:tcW w:w="5147" w:type="dxa"/>
            <w:gridSpan w:val="5"/>
          </w:tcPr>
          <w:p w14:paraId="5D0811FC" w14:textId="29B78946" w:rsidR="007E2AF5" w:rsidRPr="00270B21" w:rsidRDefault="0045629F" w:rsidP="00667F03">
            <w:pPr>
              <w:autoSpaceDE w:val="0"/>
              <w:autoSpaceDN w:val="0"/>
              <w:adjustRightInd w:val="0"/>
              <w:spacing w:line="276" w:lineRule="auto"/>
              <w:jc w:val="center"/>
              <w:rPr>
                <w:rFonts w:cs="Times New Roman"/>
                <w:szCs w:val="24"/>
              </w:rPr>
            </w:pPr>
            <w:r>
              <w:rPr>
                <w:rFonts w:cs="Times New Roman"/>
                <w:szCs w:val="24"/>
              </w:rPr>
              <w:t>0.2518</w:t>
            </w:r>
          </w:p>
        </w:tc>
      </w:tr>
    </w:tbl>
    <w:p w14:paraId="31528B3F" w14:textId="1E1244F3" w:rsidR="007E2AF5" w:rsidRDefault="007E2AF5" w:rsidP="007E2AF5">
      <w:pPr>
        <w:autoSpaceDE w:val="0"/>
        <w:autoSpaceDN w:val="0"/>
        <w:adjustRightInd w:val="0"/>
        <w:spacing w:after="0" w:line="480" w:lineRule="auto"/>
        <w:ind w:firstLine="720"/>
        <w:rPr>
          <w:rFonts w:cs="Times New Roman"/>
          <w:szCs w:val="24"/>
        </w:rPr>
      </w:pPr>
      <w:r w:rsidRPr="00270B21">
        <w:rPr>
          <w:rFonts w:cs="Times New Roman"/>
          <w:szCs w:val="24"/>
        </w:rPr>
        <w:t>Su</w:t>
      </w:r>
      <w:r>
        <w:rPr>
          <w:rFonts w:cs="Times New Roman"/>
          <w:szCs w:val="24"/>
        </w:rPr>
        <w:t>mber</w:t>
      </w:r>
      <w:r w:rsidRPr="00270B21">
        <w:rPr>
          <w:rFonts w:cs="Times New Roman"/>
          <w:szCs w:val="24"/>
        </w:rPr>
        <w:t>: Data sekunder yang diolah tahun 2024</w:t>
      </w:r>
    </w:p>
    <w:p w14:paraId="57E9F17F" w14:textId="20E18309" w:rsidR="008C20D2" w:rsidRDefault="003D13C5" w:rsidP="008C20D2">
      <w:pPr>
        <w:autoSpaceDE w:val="0"/>
        <w:autoSpaceDN w:val="0"/>
        <w:adjustRightInd w:val="0"/>
        <w:spacing w:after="0" w:line="480" w:lineRule="auto"/>
        <w:ind w:left="709" w:firstLine="425"/>
        <w:rPr>
          <w:rFonts w:cs="Times New Roman"/>
          <w:szCs w:val="24"/>
        </w:rPr>
      </w:pPr>
      <w:r w:rsidRPr="009D6F1C">
        <w:rPr>
          <w:rFonts w:cs="Times New Roman"/>
          <w:szCs w:val="24"/>
        </w:rPr>
        <w:t>Berdasarkan tab</w:t>
      </w:r>
      <w:r>
        <w:rPr>
          <w:rFonts w:cs="Times New Roman"/>
          <w:szCs w:val="24"/>
        </w:rPr>
        <w:t xml:space="preserve">el diatas, data variabel </w:t>
      </w:r>
      <w:r w:rsidRPr="00070BC7">
        <w:rPr>
          <w:i/>
        </w:rPr>
        <w:t>Sustainability report</w:t>
      </w:r>
      <w:r w:rsidRPr="009D6F1C">
        <w:rPr>
          <w:rFonts w:cs="Times New Roman"/>
          <w:szCs w:val="24"/>
        </w:rPr>
        <w:t xml:space="preserve"> pada tahun 2019-2023 bisa digambarkan dengan grafik sebagai berikut:</w:t>
      </w:r>
    </w:p>
    <w:p w14:paraId="066CC71E" w14:textId="1D5F3DF8" w:rsidR="007E3C24" w:rsidRDefault="007E3C24" w:rsidP="008C20D2">
      <w:pPr>
        <w:autoSpaceDE w:val="0"/>
        <w:autoSpaceDN w:val="0"/>
        <w:adjustRightInd w:val="0"/>
        <w:spacing w:after="0" w:line="480" w:lineRule="auto"/>
        <w:ind w:left="709" w:firstLine="425"/>
        <w:rPr>
          <w:rFonts w:cs="Times New Roman"/>
          <w:szCs w:val="24"/>
        </w:rPr>
      </w:pPr>
    </w:p>
    <w:p w14:paraId="69D91554" w14:textId="03D25A89" w:rsidR="007E3C24" w:rsidRDefault="007E3C24" w:rsidP="008C20D2">
      <w:pPr>
        <w:autoSpaceDE w:val="0"/>
        <w:autoSpaceDN w:val="0"/>
        <w:adjustRightInd w:val="0"/>
        <w:spacing w:after="0" w:line="480" w:lineRule="auto"/>
        <w:ind w:left="709" w:firstLine="425"/>
        <w:rPr>
          <w:rFonts w:cs="Times New Roman"/>
          <w:szCs w:val="24"/>
        </w:rPr>
      </w:pPr>
    </w:p>
    <w:p w14:paraId="37E7DF89" w14:textId="6C6B98EF" w:rsidR="007E3C24" w:rsidRDefault="007E3C24" w:rsidP="008C20D2">
      <w:pPr>
        <w:autoSpaceDE w:val="0"/>
        <w:autoSpaceDN w:val="0"/>
        <w:adjustRightInd w:val="0"/>
        <w:spacing w:after="0" w:line="480" w:lineRule="auto"/>
        <w:ind w:left="709" w:firstLine="425"/>
        <w:rPr>
          <w:rFonts w:cs="Times New Roman"/>
          <w:szCs w:val="24"/>
        </w:rPr>
      </w:pPr>
    </w:p>
    <w:p w14:paraId="76D6FEFC" w14:textId="77777777" w:rsidR="007E3C24" w:rsidRDefault="007E3C24" w:rsidP="008C20D2">
      <w:pPr>
        <w:autoSpaceDE w:val="0"/>
        <w:autoSpaceDN w:val="0"/>
        <w:adjustRightInd w:val="0"/>
        <w:spacing w:after="0" w:line="480" w:lineRule="auto"/>
        <w:ind w:left="709" w:firstLine="425"/>
        <w:rPr>
          <w:rFonts w:cs="Times New Roman"/>
          <w:szCs w:val="24"/>
        </w:rPr>
      </w:pPr>
    </w:p>
    <w:p w14:paraId="47596067" w14:textId="437FDB55" w:rsidR="003D13C5" w:rsidRPr="00C512DE" w:rsidRDefault="00C512DE" w:rsidP="00C512DE">
      <w:pPr>
        <w:pStyle w:val="Caption"/>
        <w:jc w:val="center"/>
        <w:rPr>
          <w:rFonts w:cs="Times New Roman"/>
          <w:b w:val="0"/>
          <w:color w:val="auto"/>
          <w:sz w:val="24"/>
          <w:szCs w:val="24"/>
        </w:rPr>
      </w:pPr>
      <w:bookmarkStart w:id="23" w:name="_Toc168371622"/>
      <w:r w:rsidRPr="00C512DE">
        <w:rPr>
          <w:color w:val="auto"/>
          <w:sz w:val="24"/>
          <w:szCs w:val="24"/>
        </w:rPr>
        <w:lastRenderedPageBreak/>
        <w:t xml:space="preserve">Gambar.  </w:t>
      </w:r>
      <w:r w:rsidRPr="00C512DE">
        <w:rPr>
          <w:color w:val="auto"/>
          <w:sz w:val="24"/>
          <w:szCs w:val="24"/>
        </w:rPr>
        <w:fldChar w:fldCharType="begin"/>
      </w:r>
      <w:r w:rsidRPr="00C512DE">
        <w:rPr>
          <w:color w:val="auto"/>
          <w:sz w:val="24"/>
          <w:szCs w:val="24"/>
        </w:rPr>
        <w:instrText xml:space="preserve"> SEQ Gambar._ \* ARABIC </w:instrText>
      </w:r>
      <w:r w:rsidRPr="00C512DE">
        <w:rPr>
          <w:color w:val="auto"/>
          <w:sz w:val="24"/>
          <w:szCs w:val="24"/>
        </w:rPr>
        <w:fldChar w:fldCharType="separate"/>
      </w:r>
      <w:r w:rsidR="0017483D">
        <w:rPr>
          <w:noProof/>
          <w:color w:val="auto"/>
          <w:sz w:val="24"/>
          <w:szCs w:val="24"/>
        </w:rPr>
        <w:t>7</w:t>
      </w:r>
      <w:r w:rsidRPr="00C512DE">
        <w:rPr>
          <w:color w:val="auto"/>
          <w:sz w:val="24"/>
          <w:szCs w:val="24"/>
        </w:rPr>
        <w:fldChar w:fldCharType="end"/>
      </w:r>
      <w:r w:rsidRPr="00C512DE">
        <w:rPr>
          <w:color w:val="auto"/>
          <w:sz w:val="24"/>
          <w:szCs w:val="24"/>
          <w:lang w:val="en-US"/>
        </w:rPr>
        <w:t xml:space="preserve"> Grafik Sustainability report tahun 2019-2023</w:t>
      </w:r>
      <w:bookmarkEnd w:id="23"/>
    </w:p>
    <w:p w14:paraId="7722182F" w14:textId="42EC6120" w:rsidR="0034189A" w:rsidRDefault="0045629F" w:rsidP="0034189A">
      <w:pPr>
        <w:autoSpaceDE w:val="0"/>
        <w:autoSpaceDN w:val="0"/>
        <w:adjustRightInd w:val="0"/>
        <w:spacing w:after="0" w:line="276" w:lineRule="auto"/>
        <w:ind w:firstLine="425"/>
        <w:jc w:val="center"/>
        <w:rPr>
          <w:rFonts w:cs="Times New Roman"/>
          <w:b/>
          <w:szCs w:val="24"/>
        </w:rPr>
      </w:pPr>
      <w:r>
        <w:rPr>
          <w:noProof/>
        </w:rPr>
        <w:drawing>
          <wp:inline distT="0" distB="0" distL="0" distR="0" wp14:anchorId="0156D8A7" wp14:editId="08AD745F">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1960CF" w14:textId="4315EEF8" w:rsidR="0034189A" w:rsidRDefault="0034189A" w:rsidP="00265E04">
      <w:pPr>
        <w:autoSpaceDE w:val="0"/>
        <w:autoSpaceDN w:val="0"/>
        <w:adjustRightInd w:val="0"/>
        <w:spacing w:after="0" w:line="480" w:lineRule="auto"/>
        <w:ind w:left="709"/>
        <w:rPr>
          <w:rFonts w:cs="Times New Roman"/>
          <w:szCs w:val="24"/>
        </w:rPr>
      </w:pPr>
      <w:r w:rsidRPr="00270B21">
        <w:rPr>
          <w:rFonts w:cs="Times New Roman"/>
          <w:szCs w:val="24"/>
        </w:rPr>
        <w:t>Su</w:t>
      </w:r>
      <w:r>
        <w:rPr>
          <w:rFonts w:cs="Times New Roman"/>
          <w:szCs w:val="24"/>
        </w:rPr>
        <w:t>mber</w:t>
      </w:r>
      <w:r w:rsidRPr="00270B21">
        <w:rPr>
          <w:rFonts w:cs="Times New Roman"/>
          <w:szCs w:val="24"/>
        </w:rPr>
        <w:t>: Data sekunder yang diolah tahun 2024</w:t>
      </w:r>
    </w:p>
    <w:p w14:paraId="3B7D6C85" w14:textId="7528A7D5" w:rsidR="0034189A" w:rsidRDefault="00265E04" w:rsidP="0045629F">
      <w:pPr>
        <w:autoSpaceDE w:val="0"/>
        <w:autoSpaceDN w:val="0"/>
        <w:adjustRightInd w:val="0"/>
        <w:spacing w:after="0" w:line="480" w:lineRule="auto"/>
        <w:ind w:left="426" w:firstLine="425"/>
        <w:rPr>
          <w:rFonts w:cs="Times New Roman"/>
          <w:szCs w:val="24"/>
        </w:rPr>
      </w:pPr>
      <w:r w:rsidRPr="00265E04">
        <w:rPr>
          <w:rFonts w:cs="Times New Roman"/>
          <w:szCs w:val="24"/>
        </w:rPr>
        <w:t xml:space="preserve">Berdasarkan grafik diatas, diketahui bahwa </w:t>
      </w:r>
      <w:r w:rsidRPr="00265E04">
        <w:rPr>
          <w:rFonts w:cs="Times New Roman"/>
          <w:i/>
          <w:szCs w:val="24"/>
        </w:rPr>
        <w:t>sustainability report</w:t>
      </w:r>
      <w:r w:rsidRPr="00265E04">
        <w:rPr>
          <w:rFonts w:cs="Times New Roman"/>
          <w:szCs w:val="24"/>
        </w:rPr>
        <w:t xml:space="preserve"> tertinggi pada tahun 2019 terdapat pada PT Bank Tab</w:t>
      </w:r>
      <w:r w:rsidR="008F17E3">
        <w:rPr>
          <w:rFonts w:cs="Times New Roman"/>
          <w:szCs w:val="24"/>
        </w:rPr>
        <w:t>ungan Negara (BBTN) sebesar 0,32</w:t>
      </w:r>
      <w:r w:rsidRPr="00265E04">
        <w:rPr>
          <w:rFonts w:cs="Times New Roman"/>
          <w:szCs w:val="24"/>
        </w:rPr>
        <w:t xml:space="preserve">% sedangkan </w:t>
      </w:r>
      <w:r w:rsidRPr="00265E04">
        <w:rPr>
          <w:rFonts w:cs="Times New Roman"/>
          <w:i/>
          <w:szCs w:val="24"/>
        </w:rPr>
        <w:t>sustainability report</w:t>
      </w:r>
      <w:r w:rsidRPr="00265E04">
        <w:rPr>
          <w:rFonts w:cs="Times New Roman"/>
          <w:szCs w:val="24"/>
        </w:rPr>
        <w:t xml:space="preserve"> terendah terdapat pada PT</w:t>
      </w:r>
      <w:r w:rsidR="00BF592E">
        <w:rPr>
          <w:rFonts w:cs="Times New Roman"/>
          <w:szCs w:val="24"/>
        </w:rPr>
        <w:t xml:space="preserve"> Bank Nega</w:t>
      </w:r>
      <w:r w:rsidR="00FB4915">
        <w:rPr>
          <w:rFonts w:cs="Times New Roman"/>
          <w:szCs w:val="24"/>
        </w:rPr>
        <w:t>ra Indonesia (BBNI) sebesar 0,07</w:t>
      </w:r>
      <w:r w:rsidR="008F17E3">
        <w:rPr>
          <w:rFonts w:cs="Times New Roman"/>
          <w:szCs w:val="24"/>
        </w:rPr>
        <w:t>%. Pada tahun 2020</w:t>
      </w:r>
      <w:r w:rsidRPr="00265E04">
        <w:rPr>
          <w:rFonts w:cs="Times New Roman"/>
          <w:szCs w:val="24"/>
        </w:rPr>
        <w:t xml:space="preserve"> </w:t>
      </w:r>
      <w:r w:rsidRPr="00265E04">
        <w:rPr>
          <w:rFonts w:cs="Times New Roman"/>
          <w:i/>
          <w:szCs w:val="24"/>
        </w:rPr>
        <w:t>sustainability report</w:t>
      </w:r>
      <w:r w:rsidRPr="00265E04">
        <w:rPr>
          <w:rFonts w:cs="Times New Roman"/>
          <w:szCs w:val="24"/>
        </w:rPr>
        <w:t xml:space="preserve"> tertinggi terdapat pada PT </w:t>
      </w:r>
      <w:r w:rsidR="00BF592E">
        <w:rPr>
          <w:rFonts w:cs="Times New Roman"/>
          <w:szCs w:val="24"/>
        </w:rPr>
        <w:t>Bank Tab</w:t>
      </w:r>
      <w:r w:rsidR="008F17E3">
        <w:rPr>
          <w:rFonts w:cs="Times New Roman"/>
          <w:szCs w:val="24"/>
        </w:rPr>
        <w:t xml:space="preserve">ungan </w:t>
      </w:r>
      <w:r w:rsidR="00FB4915">
        <w:rPr>
          <w:rFonts w:cs="Times New Roman"/>
          <w:szCs w:val="24"/>
        </w:rPr>
        <w:t>Negara (BBTN) sebesar 0,32</w:t>
      </w:r>
      <w:r>
        <w:rPr>
          <w:rFonts w:cs="Times New Roman"/>
          <w:szCs w:val="24"/>
        </w:rPr>
        <w:t xml:space="preserve">% sedangkan </w:t>
      </w:r>
      <w:r w:rsidRPr="00265E04">
        <w:rPr>
          <w:rFonts w:cs="Times New Roman"/>
          <w:i/>
          <w:szCs w:val="24"/>
        </w:rPr>
        <w:t>sustainability report</w:t>
      </w:r>
      <w:r w:rsidRPr="00265E04">
        <w:rPr>
          <w:rFonts w:cs="Times New Roman"/>
          <w:szCs w:val="24"/>
        </w:rPr>
        <w:t xml:space="preserve"> terendah terdapa</w:t>
      </w:r>
      <w:r w:rsidR="008F17E3">
        <w:rPr>
          <w:rFonts w:cs="Times New Roman"/>
          <w:szCs w:val="24"/>
        </w:rPr>
        <w:t>t pada PT Bank Negara Indonesia (BBNI</w:t>
      </w:r>
      <w:r w:rsidR="00FB4915">
        <w:rPr>
          <w:rFonts w:cs="Times New Roman"/>
          <w:szCs w:val="24"/>
        </w:rPr>
        <w:t>) sebesar 0,15</w:t>
      </w:r>
      <w:r w:rsidRPr="00265E04">
        <w:rPr>
          <w:rFonts w:cs="Times New Roman"/>
          <w:szCs w:val="24"/>
        </w:rPr>
        <w:t xml:space="preserve">%. Pada tahun 2021 </w:t>
      </w:r>
      <w:r w:rsidRPr="00265E04">
        <w:rPr>
          <w:rFonts w:cs="Times New Roman"/>
          <w:i/>
          <w:szCs w:val="24"/>
        </w:rPr>
        <w:t>sustainability report</w:t>
      </w:r>
      <w:r>
        <w:rPr>
          <w:rFonts w:cs="Times New Roman"/>
          <w:szCs w:val="24"/>
        </w:rPr>
        <w:t xml:space="preserve"> </w:t>
      </w:r>
      <w:r w:rsidRPr="00265E04">
        <w:rPr>
          <w:rFonts w:cs="Times New Roman"/>
          <w:szCs w:val="24"/>
        </w:rPr>
        <w:t>tertinggi terdapat pada PT Bank Tab</w:t>
      </w:r>
      <w:r w:rsidR="00FB4915">
        <w:rPr>
          <w:rFonts w:cs="Times New Roman"/>
          <w:szCs w:val="24"/>
        </w:rPr>
        <w:t>ungan Negara (BBTN) sebesar 0,46</w:t>
      </w:r>
      <w:r w:rsidRPr="00265E04">
        <w:rPr>
          <w:rFonts w:cs="Times New Roman"/>
          <w:szCs w:val="24"/>
        </w:rPr>
        <w:t xml:space="preserve">% sedangkan </w:t>
      </w:r>
      <w:r w:rsidRPr="00265E04">
        <w:rPr>
          <w:rFonts w:cs="Times New Roman"/>
          <w:i/>
          <w:szCs w:val="24"/>
        </w:rPr>
        <w:t>sustainability report</w:t>
      </w:r>
      <w:r w:rsidRPr="00265E04">
        <w:rPr>
          <w:rFonts w:cs="Times New Roman"/>
          <w:szCs w:val="24"/>
        </w:rPr>
        <w:t xml:space="preserve"> terendah terda</w:t>
      </w:r>
      <w:r w:rsidR="00BF592E">
        <w:rPr>
          <w:rFonts w:cs="Times New Roman"/>
          <w:szCs w:val="24"/>
        </w:rPr>
        <w:t xml:space="preserve">pat pada </w:t>
      </w:r>
      <w:r w:rsidR="00FB4915" w:rsidRPr="00265E04">
        <w:rPr>
          <w:rFonts w:cs="Times New Roman"/>
          <w:szCs w:val="24"/>
        </w:rPr>
        <w:t xml:space="preserve">PT </w:t>
      </w:r>
      <w:r w:rsidR="00FB4915">
        <w:rPr>
          <w:rFonts w:cs="Times New Roman"/>
          <w:szCs w:val="24"/>
        </w:rPr>
        <w:t>Bank Tabungan Negara (BBTN) sebesar 0,22</w:t>
      </w:r>
      <w:r w:rsidRPr="00265E04">
        <w:rPr>
          <w:rFonts w:cs="Times New Roman"/>
          <w:szCs w:val="24"/>
        </w:rPr>
        <w:t xml:space="preserve">%. Pada tahun 2022 </w:t>
      </w:r>
      <w:r w:rsidRPr="00265E04">
        <w:rPr>
          <w:rFonts w:cs="Times New Roman"/>
          <w:i/>
          <w:szCs w:val="24"/>
        </w:rPr>
        <w:t>sustainability report</w:t>
      </w:r>
      <w:r w:rsidRPr="00265E04">
        <w:rPr>
          <w:rFonts w:cs="Times New Roman"/>
          <w:szCs w:val="24"/>
        </w:rPr>
        <w:t xml:space="preserve"> tertinggi terdapat pada PT Bank Tab</w:t>
      </w:r>
      <w:r w:rsidR="00FB4915">
        <w:rPr>
          <w:rFonts w:cs="Times New Roman"/>
          <w:szCs w:val="24"/>
        </w:rPr>
        <w:t>ungan Negara (BBTN) sebesar 0,59</w:t>
      </w:r>
      <w:r w:rsidRPr="00265E04">
        <w:rPr>
          <w:rFonts w:cs="Times New Roman"/>
          <w:szCs w:val="24"/>
        </w:rPr>
        <w:t xml:space="preserve">% sedangkan </w:t>
      </w:r>
      <w:r w:rsidRPr="00265E04">
        <w:rPr>
          <w:rFonts w:cs="Times New Roman"/>
          <w:i/>
          <w:szCs w:val="24"/>
        </w:rPr>
        <w:t>sustainability report</w:t>
      </w:r>
      <w:r w:rsidRPr="00265E04">
        <w:rPr>
          <w:rFonts w:cs="Times New Roman"/>
          <w:szCs w:val="24"/>
        </w:rPr>
        <w:t xml:space="preserve"> terendah terdapat pada </w:t>
      </w:r>
      <w:r w:rsidR="00FB4915">
        <w:rPr>
          <w:rFonts w:cs="Times New Roman"/>
          <w:szCs w:val="24"/>
        </w:rPr>
        <w:t>PT Unilever Indonesia (UNVR</w:t>
      </w:r>
      <w:r w:rsidR="00FB4915" w:rsidRPr="004A2EC1">
        <w:rPr>
          <w:rFonts w:cs="Times New Roman"/>
          <w:szCs w:val="24"/>
        </w:rPr>
        <w:t xml:space="preserve">) </w:t>
      </w:r>
      <w:r w:rsidRPr="00265E04">
        <w:rPr>
          <w:rFonts w:cs="Times New Roman"/>
          <w:szCs w:val="24"/>
        </w:rPr>
        <w:t>sebe</w:t>
      </w:r>
      <w:r w:rsidR="00BF592E">
        <w:rPr>
          <w:rFonts w:cs="Times New Roman"/>
          <w:szCs w:val="24"/>
        </w:rPr>
        <w:t>sar 0,14</w:t>
      </w:r>
      <w:r>
        <w:rPr>
          <w:rFonts w:cs="Times New Roman"/>
          <w:szCs w:val="24"/>
        </w:rPr>
        <w:t xml:space="preserve">%. Dan pada tahun 2023 </w:t>
      </w:r>
      <w:r w:rsidRPr="00265E04">
        <w:rPr>
          <w:rFonts w:cs="Times New Roman"/>
          <w:i/>
          <w:szCs w:val="24"/>
        </w:rPr>
        <w:t>sustainability report</w:t>
      </w:r>
      <w:r w:rsidRPr="00265E04">
        <w:rPr>
          <w:rFonts w:cs="Times New Roman"/>
          <w:szCs w:val="24"/>
        </w:rPr>
        <w:t xml:space="preserve"> </w:t>
      </w:r>
      <w:r w:rsidRPr="00265E04">
        <w:rPr>
          <w:rFonts w:cs="Times New Roman"/>
          <w:szCs w:val="24"/>
        </w:rPr>
        <w:lastRenderedPageBreak/>
        <w:t>tertinggi terdapat pada PT Bank Nega</w:t>
      </w:r>
      <w:r w:rsidR="00FB4915">
        <w:rPr>
          <w:rFonts w:cs="Times New Roman"/>
          <w:szCs w:val="24"/>
        </w:rPr>
        <w:t>ra Indonesia (BBNI) sebesar 0,63</w:t>
      </w:r>
      <w:r w:rsidRPr="00265E04">
        <w:rPr>
          <w:rFonts w:cs="Times New Roman"/>
          <w:szCs w:val="24"/>
        </w:rPr>
        <w:t xml:space="preserve">% sedangkan </w:t>
      </w:r>
      <w:r w:rsidRPr="00265E04">
        <w:rPr>
          <w:rFonts w:cs="Times New Roman"/>
          <w:i/>
          <w:szCs w:val="24"/>
        </w:rPr>
        <w:t>sustainability report</w:t>
      </w:r>
      <w:r w:rsidRPr="00265E04">
        <w:rPr>
          <w:rFonts w:cs="Times New Roman"/>
          <w:szCs w:val="24"/>
        </w:rPr>
        <w:t xml:space="preserve"> terendah terdapat pada PT Uni</w:t>
      </w:r>
      <w:r w:rsidR="00FB4915">
        <w:rPr>
          <w:rFonts w:cs="Times New Roman"/>
          <w:szCs w:val="24"/>
        </w:rPr>
        <w:t>ted Tractors (UNTR) sebesar 0,14</w:t>
      </w:r>
      <w:r w:rsidRPr="00265E04">
        <w:rPr>
          <w:rFonts w:cs="Times New Roman"/>
          <w:szCs w:val="24"/>
        </w:rPr>
        <w:t>%.</w:t>
      </w:r>
    </w:p>
    <w:p w14:paraId="6422CE2C" w14:textId="2440FCAA" w:rsidR="00265E04" w:rsidRDefault="00265E04" w:rsidP="00265E04">
      <w:pPr>
        <w:pStyle w:val="ListParagraph"/>
        <w:numPr>
          <w:ilvl w:val="1"/>
          <w:numId w:val="34"/>
        </w:numPr>
        <w:autoSpaceDE w:val="0"/>
        <w:autoSpaceDN w:val="0"/>
        <w:adjustRightInd w:val="0"/>
        <w:spacing w:after="0" w:line="480" w:lineRule="auto"/>
        <w:ind w:left="1134"/>
        <w:rPr>
          <w:rFonts w:cs="Times New Roman"/>
          <w:szCs w:val="24"/>
        </w:rPr>
      </w:pPr>
      <w:r>
        <w:rPr>
          <w:rFonts w:cs="Times New Roman"/>
          <w:szCs w:val="24"/>
        </w:rPr>
        <w:t xml:space="preserve">Profitabilitas </w:t>
      </w:r>
    </w:p>
    <w:p w14:paraId="16F14E30" w14:textId="47C43418" w:rsidR="00B56A82" w:rsidRDefault="00F32352" w:rsidP="007E3C24">
      <w:pPr>
        <w:pStyle w:val="ListParagraph"/>
        <w:spacing w:line="480" w:lineRule="auto"/>
        <w:ind w:left="851" w:firstLine="666"/>
      </w:pPr>
      <w:r>
        <w:t xml:space="preserve">Hasil analisis statistik deskriptif untuk </w:t>
      </w:r>
      <w:r w:rsidRPr="00F32352">
        <w:t>Profitabilitas</w:t>
      </w:r>
      <w:r>
        <w:rPr>
          <w:i/>
        </w:rPr>
        <w:t xml:space="preserve"> </w:t>
      </w:r>
      <w:r>
        <w:t>disaj</w:t>
      </w:r>
      <w:r w:rsidR="00BF592E">
        <w:t xml:space="preserve">ikam dalam bentuk tabel berikut: </w:t>
      </w:r>
    </w:p>
    <w:p w14:paraId="00192198" w14:textId="07FC8629" w:rsidR="00BF592E" w:rsidRPr="00B56A82" w:rsidRDefault="00C77BC9" w:rsidP="00B56A82">
      <w:pPr>
        <w:pStyle w:val="Caption"/>
        <w:ind w:left="1134"/>
        <w:jc w:val="center"/>
        <w:rPr>
          <w:color w:val="auto"/>
          <w:sz w:val="24"/>
          <w:szCs w:val="24"/>
        </w:rPr>
      </w:pPr>
      <w:bookmarkStart w:id="24" w:name="_Toc168999378"/>
      <w:r w:rsidRPr="00C77BC9">
        <w:rPr>
          <w:color w:val="auto"/>
          <w:sz w:val="24"/>
          <w:szCs w:val="24"/>
        </w:rPr>
        <w:t xml:space="preserve">Tabel.  </w:t>
      </w:r>
      <w:r w:rsidRPr="00C77BC9">
        <w:rPr>
          <w:color w:val="auto"/>
          <w:sz w:val="24"/>
          <w:szCs w:val="24"/>
        </w:rPr>
        <w:fldChar w:fldCharType="begin"/>
      </w:r>
      <w:r w:rsidRPr="00C77BC9">
        <w:rPr>
          <w:color w:val="auto"/>
          <w:sz w:val="24"/>
          <w:szCs w:val="24"/>
        </w:rPr>
        <w:instrText xml:space="preserve"> SEQ Tabel._ \* ARABIC </w:instrText>
      </w:r>
      <w:r w:rsidRPr="00C77BC9">
        <w:rPr>
          <w:color w:val="auto"/>
          <w:sz w:val="24"/>
          <w:szCs w:val="24"/>
        </w:rPr>
        <w:fldChar w:fldCharType="separate"/>
      </w:r>
      <w:r w:rsidR="0017483D">
        <w:rPr>
          <w:noProof/>
          <w:color w:val="auto"/>
          <w:sz w:val="24"/>
          <w:szCs w:val="24"/>
        </w:rPr>
        <w:t>14</w:t>
      </w:r>
      <w:r w:rsidRPr="00C77BC9">
        <w:rPr>
          <w:color w:val="auto"/>
          <w:sz w:val="24"/>
          <w:szCs w:val="24"/>
        </w:rPr>
        <w:fldChar w:fldCharType="end"/>
      </w:r>
      <w:r w:rsidRPr="00C77BC9">
        <w:rPr>
          <w:color w:val="auto"/>
          <w:sz w:val="24"/>
          <w:szCs w:val="24"/>
          <w:lang w:val="en-US"/>
        </w:rPr>
        <w:t xml:space="preserve"> Hasil uji statistik deskriptif Profitabilitas</w:t>
      </w:r>
      <w:bookmarkEnd w:id="24"/>
    </w:p>
    <w:p w14:paraId="5B336113" w14:textId="77777777" w:rsidR="00BF592E" w:rsidRPr="00BF592E" w:rsidRDefault="00BF592E" w:rsidP="00BF592E">
      <w:pPr>
        <w:autoSpaceDE w:val="0"/>
        <w:autoSpaceDN w:val="0"/>
        <w:adjustRightInd w:val="0"/>
        <w:spacing w:after="0" w:line="240" w:lineRule="auto"/>
        <w:jc w:val="left"/>
        <w:rPr>
          <w:rFonts w:cs="Times New Roman"/>
          <w:szCs w:val="24"/>
        </w:rPr>
      </w:pPr>
    </w:p>
    <w:tbl>
      <w:tblPr>
        <w:tblW w:w="7394" w:type="dxa"/>
        <w:tblInd w:w="8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BF592E" w:rsidRPr="00BF592E" w14:paraId="2E70AFDC" w14:textId="77777777" w:rsidTr="00BF592E">
        <w:trPr>
          <w:cantSplit/>
        </w:trPr>
        <w:tc>
          <w:tcPr>
            <w:tcW w:w="7394" w:type="dxa"/>
            <w:gridSpan w:val="6"/>
            <w:tcBorders>
              <w:top w:val="nil"/>
              <w:left w:val="nil"/>
              <w:bottom w:val="nil"/>
              <w:right w:val="nil"/>
            </w:tcBorders>
            <w:shd w:val="clear" w:color="auto" w:fill="FFFFFF"/>
            <w:vAlign w:val="center"/>
          </w:tcPr>
          <w:p w14:paraId="5D1FF7C2" w14:textId="77777777" w:rsidR="00BF592E" w:rsidRPr="00B56A82" w:rsidRDefault="00BF592E" w:rsidP="00BF592E">
            <w:pPr>
              <w:autoSpaceDE w:val="0"/>
              <w:autoSpaceDN w:val="0"/>
              <w:adjustRightInd w:val="0"/>
              <w:spacing w:after="0" w:line="320" w:lineRule="atLeast"/>
              <w:ind w:left="60" w:right="60"/>
              <w:jc w:val="center"/>
              <w:rPr>
                <w:rFonts w:cs="Times New Roman"/>
                <w:color w:val="010205"/>
                <w:sz w:val="20"/>
                <w:szCs w:val="20"/>
              </w:rPr>
            </w:pPr>
            <w:r w:rsidRPr="00B56A82">
              <w:rPr>
                <w:rFonts w:cs="Times New Roman"/>
                <w:b/>
                <w:bCs/>
                <w:color w:val="010205"/>
                <w:sz w:val="20"/>
                <w:szCs w:val="20"/>
              </w:rPr>
              <w:t>Descriptive Statistics</w:t>
            </w:r>
          </w:p>
        </w:tc>
      </w:tr>
      <w:tr w:rsidR="00BF592E" w:rsidRPr="00BF592E" w14:paraId="702CD173" w14:textId="77777777" w:rsidTr="00BF592E">
        <w:trPr>
          <w:cantSplit/>
        </w:trPr>
        <w:tc>
          <w:tcPr>
            <w:tcW w:w="1706" w:type="dxa"/>
            <w:tcBorders>
              <w:top w:val="nil"/>
              <w:left w:val="nil"/>
              <w:bottom w:val="single" w:sz="8" w:space="0" w:color="152935"/>
              <w:right w:val="nil"/>
            </w:tcBorders>
            <w:shd w:val="clear" w:color="auto" w:fill="FFFFFF"/>
            <w:vAlign w:val="bottom"/>
          </w:tcPr>
          <w:p w14:paraId="3417515B" w14:textId="77777777" w:rsidR="00BF592E" w:rsidRPr="00B56A82" w:rsidRDefault="00BF592E" w:rsidP="00BF592E">
            <w:pPr>
              <w:autoSpaceDE w:val="0"/>
              <w:autoSpaceDN w:val="0"/>
              <w:adjustRightInd w:val="0"/>
              <w:spacing w:after="0" w:line="240" w:lineRule="auto"/>
              <w:jc w:val="left"/>
              <w:rPr>
                <w:rFonts w:cs="Times New Roman"/>
                <w:sz w:val="20"/>
                <w:szCs w:val="20"/>
              </w:rPr>
            </w:pPr>
          </w:p>
        </w:tc>
        <w:tc>
          <w:tcPr>
            <w:tcW w:w="1029" w:type="dxa"/>
            <w:tcBorders>
              <w:top w:val="nil"/>
              <w:left w:val="nil"/>
              <w:bottom w:val="single" w:sz="8" w:space="0" w:color="152935"/>
              <w:right w:val="single" w:sz="8" w:space="0" w:color="E0E0E0"/>
            </w:tcBorders>
            <w:shd w:val="clear" w:color="auto" w:fill="FFFFFF"/>
            <w:vAlign w:val="bottom"/>
          </w:tcPr>
          <w:p w14:paraId="7D98E001" w14:textId="77777777" w:rsidR="00BF592E" w:rsidRPr="00B56A82" w:rsidRDefault="00BF592E" w:rsidP="00BF592E">
            <w:pPr>
              <w:autoSpaceDE w:val="0"/>
              <w:autoSpaceDN w:val="0"/>
              <w:adjustRightInd w:val="0"/>
              <w:spacing w:after="0" w:line="320" w:lineRule="atLeast"/>
              <w:ind w:left="60" w:right="60"/>
              <w:jc w:val="center"/>
              <w:rPr>
                <w:rFonts w:cs="Times New Roman"/>
                <w:color w:val="264A60"/>
                <w:sz w:val="20"/>
                <w:szCs w:val="20"/>
              </w:rPr>
            </w:pPr>
            <w:r w:rsidRPr="00B56A82">
              <w:rPr>
                <w:rFonts w:cs="Times New Roman"/>
                <w:color w:val="264A60"/>
                <w:sz w:val="20"/>
                <w:szCs w:val="20"/>
              </w:rPr>
              <w:t>N</w:t>
            </w:r>
          </w:p>
        </w:tc>
        <w:tc>
          <w:tcPr>
            <w:tcW w:w="1077" w:type="dxa"/>
            <w:tcBorders>
              <w:top w:val="nil"/>
              <w:left w:val="single" w:sz="8" w:space="0" w:color="E0E0E0"/>
              <w:bottom w:val="single" w:sz="8" w:space="0" w:color="152935"/>
              <w:right w:val="single" w:sz="8" w:space="0" w:color="E0E0E0"/>
            </w:tcBorders>
            <w:shd w:val="clear" w:color="auto" w:fill="FFFFFF"/>
            <w:vAlign w:val="bottom"/>
          </w:tcPr>
          <w:p w14:paraId="6CD67F4C" w14:textId="77777777" w:rsidR="00BF592E" w:rsidRPr="00B56A82" w:rsidRDefault="00BF592E" w:rsidP="00BF592E">
            <w:pPr>
              <w:autoSpaceDE w:val="0"/>
              <w:autoSpaceDN w:val="0"/>
              <w:adjustRightInd w:val="0"/>
              <w:spacing w:after="0" w:line="320" w:lineRule="atLeast"/>
              <w:ind w:left="60" w:right="60"/>
              <w:jc w:val="center"/>
              <w:rPr>
                <w:rFonts w:cs="Times New Roman"/>
                <w:color w:val="264A60"/>
                <w:sz w:val="20"/>
                <w:szCs w:val="20"/>
              </w:rPr>
            </w:pPr>
            <w:r w:rsidRPr="00B56A82">
              <w:rPr>
                <w:rFonts w:cs="Times New Roman"/>
                <w:color w:val="264A60"/>
                <w:sz w:val="20"/>
                <w:szCs w:val="20"/>
              </w:rPr>
              <w:t>Minimum</w:t>
            </w:r>
          </w:p>
        </w:tc>
        <w:tc>
          <w:tcPr>
            <w:tcW w:w="1107" w:type="dxa"/>
            <w:tcBorders>
              <w:top w:val="nil"/>
              <w:left w:val="single" w:sz="8" w:space="0" w:color="E0E0E0"/>
              <w:bottom w:val="single" w:sz="8" w:space="0" w:color="152935"/>
              <w:right w:val="single" w:sz="8" w:space="0" w:color="E0E0E0"/>
            </w:tcBorders>
            <w:shd w:val="clear" w:color="auto" w:fill="FFFFFF"/>
            <w:vAlign w:val="bottom"/>
          </w:tcPr>
          <w:p w14:paraId="7BDE670A" w14:textId="77777777" w:rsidR="00BF592E" w:rsidRPr="00B56A82" w:rsidRDefault="00BF592E" w:rsidP="00BF592E">
            <w:pPr>
              <w:autoSpaceDE w:val="0"/>
              <w:autoSpaceDN w:val="0"/>
              <w:adjustRightInd w:val="0"/>
              <w:spacing w:after="0" w:line="320" w:lineRule="atLeast"/>
              <w:ind w:left="60" w:right="60"/>
              <w:jc w:val="center"/>
              <w:rPr>
                <w:rFonts w:cs="Times New Roman"/>
                <w:color w:val="264A60"/>
                <w:sz w:val="20"/>
                <w:szCs w:val="20"/>
              </w:rPr>
            </w:pPr>
            <w:r w:rsidRPr="00B56A82">
              <w:rPr>
                <w:rFonts w:cs="Times New Roman"/>
                <w:color w:val="264A60"/>
                <w:sz w:val="20"/>
                <w:szCs w:val="20"/>
              </w:rPr>
              <w:t>Maximum</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1E23E225" w14:textId="77777777" w:rsidR="00BF592E" w:rsidRPr="00B56A82" w:rsidRDefault="00BF592E" w:rsidP="00BF592E">
            <w:pPr>
              <w:autoSpaceDE w:val="0"/>
              <w:autoSpaceDN w:val="0"/>
              <w:adjustRightInd w:val="0"/>
              <w:spacing w:after="0" w:line="320" w:lineRule="atLeast"/>
              <w:ind w:left="60" w:right="60"/>
              <w:jc w:val="center"/>
              <w:rPr>
                <w:rFonts w:cs="Times New Roman"/>
                <w:color w:val="264A60"/>
                <w:sz w:val="20"/>
                <w:szCs w:val="20"/>
              </w:rPr>
            </w:pPr>
            <w:r w:rsidRPr="00B56A82">
              <w:rPr>
                <w:rFonts w:cs="Times New Roman"/>
                <w:color w:val="264A60"/>
                <w:sz w:val="20"/>
                <w:szCs w:val="20"/>
              </w:rPr>
              <w:t>Mean</w:t>
            </w:r>
          </w:p>
        </w:tc>
        <w:tc>
          <w:tcPr>
            <w:tcW w:w="1445" w:type="dxa"/>
            <w:tcBorders>
              <w:top w:val="nil"/>
              <w:left w:val="single" w:sz="8" w:space="0" w:color="E0E0E0"/>
              <w:bottom w:val="single" w:sz="8" w:space="0" w:color="152935"/>
              <w:right w:val="nil"/>
            </w:tcBorders>
            <w:shd w:val="clear" w:color="auto" w:fill="FFFFFF"/>
            <w:vAlign w:val="bottom"/>
          </w:tcPr>
          <w:p w14:paraId="61A7747D" w14:textId="77777777" w:rsidR="00BF592E" w:rsidRPr="00B56A82" w:rsidRDefault="00BF592E" w:rsidP="00BF592E">
            <w:pPr>
              <w:autoSpaceDE w:val="0"/>
              <w:autoSpaceDN w:val="0"/>
              <w:adjustRightInd w:val="0"/>
              <w:spacing w:after="0" w:line="320" w:lineRule="atLeast"/>
              <w:ind w:left="60" w:right="60"/>
              <w:jc w:val="center"/>
              <w:rPr>
                <w:rFonts w:cs="Times New Roman"/>
                <w:color w:val="264A60"/>
                <w:sz w:val="20"/>
                <w:szCs w:val="20"/>
              </w:rPr>
            </w:pPr>
            <w:r w:rsidRPr="00B56A82">
              <w:rPr>
                <w:rFonts w:cs="Times New Roman"/>
                <w:color w:val="264A60"/>
                <w:sz w:val="20"/>
                <w:szCs w:val="20"/>
              </w:rPr>
              <w:t>Std. Deviation</w:t>
            </w:r>
          </w:p>
        </w:tc>
      </w:tr>
      <w:tr w:rsidR="00BF592E" w:rsidRPr="00BF592E" w14:paraId="32B3CD3E" w14:textId="77777777" w:rsidTr="00BF592E">
        <w:trPr>
          <w:cantSplit/>
        </w:trPr>
        <w:tc>
          <w:tcPr>
            <w:tcW w:w="1706" w:type="dxa"/>
            <w:tcBorders>
              <w:top w:val="single" w:sz="8" w:space="0" w:color="152935"/>
              <w:left w:val="nil"/>
              <w:bottom w:val="single" w:sz="8" w:space="0" w:color="AEAEAE"/>
              <w:right w:val="nil"/>
            </w:tcBorders>
            <w:shd w:val="clear" w:color="auto" w:fill="E0E0E0"/>
          </w:tcPr>
          <w:p w14:paraId="026C1427" w14:textId="77777777" w:rsidR="00BF592E" w:rsidRPr="00B56A82" w:rsidRDefault="00BF592E" w:rsidP="00BF592E">
            <w:pPr>
              <w:autoSpaceDE w:val="0"/>
              <w:autoSpaceDN w:val="0"/>
              <w:adjustRightInd w:val="0"/>
              <w:spacing w:after="0" w:line="320" w:lineRule="atLeast"/>
              <w:ind w:left="60" w:right="60"/>
              <w:jc w:val="left"/>
              <w:rPr>
                <w:rFonts w:cs="Times New Roman"/>
                <w:color w:val="264A60"/>
                <w:sz w:val="20"/>
                <w:szCs w:val="20"/>
              </w:rPr>
            </w:pPr>
            <w:r w:rsidRPr="00B56A82">
              <w:rPr>
                <w:rFonts w:cs="Times New Roman"/>
                <w:color w:val="264A60"/>
                <w:sz w:val="20"/>
                <w:szCs w:val="20"/>
              </w:rPr>
              <w:t>Profitabilitas</w:t>
            </w:r>
          </w:p>
        </w:tc>
        <w:tc>
          <w:tcPr>
            <w:tcW w:w="1029" w:type="dxa"/>
            <w:tcBorders>
              <w:top w:val="single" w:sz="8" w:space="0" w:color="152935"/>
              <w:left w:val="nil"/>
              <w:bottom w:val="single" w:sz="8" w:space="0" w:color="AEAEAE"/>
              <w:right w:val="single" w:sz="8" w:space="0" w:color="E0E0E0"/>
            </w:tcBorders>
            <w:shd w:val="clear" w:color="auto" w:fill="FFFFFF"/>
          </w:tcPr>
          <w:p w14:paraId="074DDAE3" w14:textId="77777777" w:rsidR="00BF592E" w:rsidRPr="00B56A82" w:rsidRDefault="00BF592E" w:rsidP="00BF592E">
            <w:pPr>
              <w:autoSpaceDE w:val="0"/>
              <w:autoSpaceDN w:val="0"/>
              <w:adjustRightInd w:val="0"/>
              <w:spacing w:after="0" w:line="320" w:lineRule="atLeast"/>
              <w:ind w:left="60" w:right="60"/>
              <w:jc w:val="right"/>
              <w:rPr>
                <w:rFonts w:cs="Times New Roman"/>
                <w:color w:val="010205"/>
                <w:sz w:val="20"/>
                <w:szCs w:val="20"/>
              </w:rPr>
            </w:pPr>
            <w:r w:rsidRPr="00B56A82">
              <w:rPr>
                <w:rFonts w:cs="Times New Roman"/>
                <w:color w:val="010205"/>
                <w:sz w:val="20"/>
                <w:szCs w:val="20"/>
              </w:rPr>
              <w:t>60</w:t>
            </w:r>
          </w:p>
        </w:tc>
        <w:tc>
          <w:tcPr>
            <w:tcW w:w="1077" w:type="dxa"/>
            <w:tcBorders>
              <w:top w:val="single" w:sz="8" w:space="0" w:color="152935"/>
              <w:left w:val="single" w:sz="8" w:space="0" w:color="E0E0E0"/>
              <w:bottom w:val="single" w:sz="8" w:space="0" w:color="AEAEAE"/>
              <w:right w:val="single" w:sz="8" w:space="0" w:color="E0E0E0"/>
            </w:tcBorders>
            <w:shd w:val="clear" w:color="auto" w:fill="FFFFFF"/>
          </w:tcPr>
          <w:p w14:paraId="50D2EB37" w14:textId="77777777" w:rsidR="00BF592E" w:rsidRPr="00B56A82" w:rsidRDefault="00BF592E" w:rsidP="00BF592E">
            <w:pPr>
              <w:autoSpaceDE w:val="0"/>
              <w:autoSpaceDN w:val="0"/>
              <w:adjustRightInd w:val="0"/>
              <w:spacing w:after="0" w:line="320" w:lineRule="atLeast"/>
              <w:ind w:left="60" w:right="60"/>
              <w:jc w:val="right"/>
              <w:rPr>
                <w:rFonts w:cs="Times New Roman"/>
                <w:color w:val="010205"/>
                <w:sz w:val="20"/>
                <w:szCs w:val="20"/>
              </w:rPr>
            </w:pPr>
            <w:r w:rsidRPr="00B56A82">
              <w:rPr>
                <w:rFonts w:cs="Times New Roman"/>
                <w:color w:val="010205"/>
                <w:sz w:val="20"/>
                <w:szCs w:val="20"/>
              </w:rPr>
              <w:t>-.08</w:t>
            </w:r>
          </w:p>
        </w:tc>
        <w:tc>
          <w:tcPr>
            <w:tcW w:w="1107" w:type="dxa"/>
            <w:tcBorders>
              <w:top w:val="single" w:sz="8" w:space="0" w:color="152935"/>
              <w:left w:val="single" w:sz="8" w:space="0" w:color="E0E0E0"/>
              <w:bottom w:val="single" w:sz="8" w:space="0" w:color="AEAEAE"/>
              <w:right w:val="single" w:sz="8" w:space="0" w:color="E0E0E0"/>
            </w:tcBorders>
            <w:shd w:val="clear" w:color="auto" w:fill="FFFFFF"/>
          </w:tcPr>
          <w:p w14:paraId="46968905" w14:textId="77777777" w:rsidR="00BF592E" w:rsidRPr="00B56A82" w:rsidRDefault="00BF592E" w:rsidP="00BF592E">
            <w:pPr>
              <w:autoSpaceDE w:val="0"/>
              <w:autoSpaceDN w:val="0"/>
              <w:adjustRightInd w:val="0"/>
              <w:spacing w:after="0" w:line="320" w:lineRule="atLeast"/>
              <w:ind w:left="60" w:right="60"/>
              <w:jc w:val="right"/>
              <w:rPr>
                <w:rFonts w:cs="Times New Roman"/>
                <w:color w:val="010205"/>
                <w:sz w:val="20"/>
                <w:szCs w:val="20"/>
              </w:rPr>
            </w:pPr>
            <w:r w:rsidRPr="00B56A82">
              <w:rPr>
                <w:rFonts w:cs="Times New Roman"/>
                <w:color w:val="010205"/>
                <w:sz w:val="20"/>
                <w:szCs w:val="20"/>
              </w:rPr>
              <w:t>.34</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18134C87" w14:textId="77777777" w:rsidR="00BF592E" w:rsidRPr="00B56A82" w:rsidRDefault="00BF592E" w:rsidP="00BF592E">
            <w:pPr>
              <w:autoSpaceDE w:val="0"/>
              <w:autoSpaceDN w:val="0"/>
              <w:adjustRightInd w:val="0"/>
              <w:spacing w:after="0" w:line="320" w:lineRule="atLeast"/>
              <w:ind w:left="60" w:right="60"/>
              <w:jc w:val="right"/>
              <w:rPr>
                <w:rFonts w:cs="Times New Roman"/>
                <w:color w:val="010205"/>
                <w:sz w:val="20"/>
                <w:szCs w:val="20"/>
              </w:rPr>
            </w:pPr>
            <w:r w:rsidRPr="00B56A82">
              <w:rPr>
                <w:rFonts w:cs="Times New Roman"/>
                <w:color w:val="010205"/>
                <w:sz w:val="20"/>
                <w:szCs w:val="20"/>
              </w:rPr>
              <w:t>.0553</w:t>
            </w:r>
          </w:p>
        </w:tc>
        <w:tc>
          <w:tcPr>
            <w:tcW w:w="1445" w:type="dxa"/>
            <w:tcBorders>
              <w:top w:val="single" w:sz="8" w:space="0" w:color="152935"/>
              <w:left w:val="single" w:sz="8" w:space="0" w:color="E0E0E0"/>
              <w:bottom w:val="single" w:sz="8" w:space="0" w:color="AEAEAE"/>
              <w:right w:val="nil"/>
            </w:tcBorders>
            <w:shd w:val="clear" w:color="auto" w:fill="FFFFFF"/>
          </w:tcPr>
          <w:p w14:paraId="376B8400" w14:textId="77777777" w:rsidR="00BF592E" w:rsidRPr="00B56A82" w:rsidRDefault="00BF592E" w:rsidP="00BF592E">
            <w:pPr>
              <w:autoSpaceDE w:val="0"/>
              <w:autoSpaceDN w:val="0"/>
              <w:adjustRightInd w:val="0"/>
              <w:spacing w:after="0" w:line="320" w:lineRule="atLeast"/>
              <w:ind w:left="60" w:right="60"/>
              <w:jc w:val="right"/>
              <w:rPr>
                <w:rFonts w:cs="Times New Roman"/>
                <w:color w:val="010205"/>
                <w:sz w:val="20"/>
                <w:szCs w:val="20"/>
              </w:rPr>
            </w:pPr>
            <w:r w:rsidRPr="00B56A82">
              <w:rPr>
                <w:rFonts w:cs="Times New Roman"/>
                <w:color w:val="010205"/>
                <w:sz w:val="20"/>
                <w:szCs w:val="20"/>
              </w:rPr>
              <w:t>.08921</w:t>
            </w:r>
          </w:p>
        </w:tc>
      </w:tr>
      <w:tr w:rsidR="00BF592E" w:rsidRPr="00BF592E" w14:paraId="6F814B6B" w14:textId="77777777" w:rsidTr="00BF592E">
        <w:trPr>
          <w:cantSplit/>
        </w:trPr>
        <w:tc>
          <w:tcPr>
            <w:tcW w:w="1706" w:type="dxa"/>
            <w:tcBorders>
              <w:top w:val="single" w:sz="8" w:space="0" w:color="AEAEAE"/>
              <w:left w:val="nil"/>
              <w:bottom w:val="single" w:sz="8" w:space="0" w:color="152935"/>
              <w:right w:val="nil"/>
            </w:tcBorders>
            <w:shd w:val="clear" w:color="auto" w:fill="E0E0E0"/>
          </w:tcPr>
          <w:p w14:paraId="36D583D0" w14:textId="77777777" w:rsidR="00BF592E" w:rsidRPr="00B56A82" w:rsidRDefault="00BF592E" w:rsidP="00BF592E">
            <w:pPr>
              <w:autoSpaceDE w:val="0"/>
              <w:autoSpaceDN w:val="0"/>
              <w:adjustRightInd w:val="0"/>
              <w:spacing w:after="0" w:line="320" w:lineRule="atLeast"/>
              <w:ind w:left="60" w:right="60"/>
              <w:jc w:val="left"/>
              <w:rPr>
                <w:rFonts w:cs="Times New Roman"/>
                <w:color w:val="264A60"/>
                <w:sz w:val="20"/>
                <w:szCs w:val="20"/>
              </w:rPr>
            </w:pPr>
            <w:r w:rsidRPr="00B56A82">
              <w:rPr>
                <w:rFonts w:cs="Times New Roman"/>
                <w:color w:val="264A60"/>
                <w:sz w:val="20"/>
                <w:szCs w:val="20"/>
              </w:rPr>
              <w:t>Valid N (listwise)</w:t>
            </w:r>
          </w:p>
        </w:tc>
        <w:tc>
          <w:tcPr>
            <w:tcW w:w="1029" w:type="dxa"/>
            <w:tcBorders>
              <w:top w:val="single" w:sz="8" w:space="0" w:color="AEAEAE"/>
              <w:left w:val="nil"/>
              <w:bottom w:val="single" w:sz="8" w:space="0" w:color="152935"/>
              <w:right w:val="single" w:sz="8" w:space="0" w:color="E0E0E0"/>
            </w:tcBorders>
            <w:shd w:val="clear" w:color="auto" w:fill="FFFFFF"/>
          </w:tcPr>
          <w:p w14:paraId="382E968F" w14:textId="77777777" w:rsidR="00BF592E" w:rsidRPr="00B56A82" w:rsidRDefault="00BF592E" w:rsidP="00BF592E">
            <w:pPr>
              <w:autoSpaceDE w:val="0"/>
              <w:autoSpaceDN w:val="0"/>
              <w:adjustRightInd w:val="0"/>
              <w:spacing w:after="0" w:line="320" w:lineRule="atLeast"/>
              <w:ind w:left="60" w:right="60"/>
              <w:jc w:val="right"/>
              <w:rPr>
                <w:rFonts w:cs="Times New Roman"/>
                <w:color w:val="010205"/>
                <w:sz w:val="20"/>
                <w:szCs w:val="20"/>
              </w:rPr>
            </w:pPr>
            <w:r w:rsidRPr="00B56A82">
              <w:rPr>
                <w:rFonts w:cs="Times New Roman"/>
                <w:color w:val="010205"/>
                <w:sz w:val="20"/>
                <w:szCs w:val="20"/>
              </w:rPr>
              <w:t>60</w:t>
            </w:r>
          </w:p>
        </w:tc>
        <w:tc>
          <w:tcPr>
            <w:tcW w:w="107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E52B72D" w14:textId="77777777" w:rsidR="00BF592E" w:rsidRPr="00B56A82" w:rsidRDefault="00BF592E" w:rsidP="00BF592E">
            <w:pPr>
              <w:autoSpaceDE w:val="0"/>
              <w:autoSpaceDN w:val="0"/>
              <w:adjustRightInd w:val="0"/>
              <w:spacing w:after="0" w:line="240" w:lineRule="auto"/>
              <w:jc w:val="left"/>
              <w:rPr>
                <w:rFonts w:cs="Times New Roman"/>
                <w:sz w:val="20"/>
                <w:szCs w:val="20"/>
              </w:rPr>
            </w:pPr>
          </w:p>
        </w:tc>
        <w:tc>
          <w:tcPr>
            <w:tcW w:w="110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64A2145" w14:textId="77777777" w:rsidR="00BF592E" w:rsidRPr="00B56A82" w:rsidRDefault="00BF592E" w:rsidP="00BF592E">
            <w:pPr>
              <w:autoSpaceDE w:val="0"/>
              <w:autoSpaceDN w:val="0"/>
              <w:adjustRightInd w:val="0"/>
              <w:spacing w:after="0" w:line="240" w:lineRule="auto"/>
              <w:jc w:val="left"/>
              <w:rPr>
                <w:rFonts w:cs="Times New Roman"/>
                <w:sz w:val="20"/>
                <w:szCs w:val="20"/>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4EB51E0" w14:textId="77777777" w:rsidR="00BF592E" w:rsidRPr="00B56A82" w:rsidRDefault="00BF592E" w:rsidP="00BF592E">
            <w:pPr>
              <w:autoSpaceDE w:val="0"/>
              <w:autoSpaceDN w:val="0"/>
              <w:adjustRightInd w:val="0"/>
              <w:spacing w:after="0" w:line="240" w:lineRule="auto"/>
              <w:jc w:val="left"/>
              <w:rPr>
                <w:rFonts w:cs="Times New Roman"/>
                <w:sz w:val="20"/>
                <w:szCs w:val="20"/>
              </w:rPr>
            </w:pPr>
          </w:p>
        </w:tc>
        <w:tc>
          <w:tcPr>
            <w:tcW w:w="1445" w:type="dxa"/>
            <w:tcBorders>
              <w:top w:val="single" w:sz="8" w:space="0" w:color="AEAEAE"/>
              <w:left w:val="single" w:sz="8" w:space="0" w:color="E0E0E0"/>
              <w:bottom w:val="single" w:sz="8" w:space="0" w:color="152935"/>
              <w:right w:val="nil"/>
            </w:tcBorders>
            <w:shd w:val="clear" w:color="auto" w:fill="FFFFFF"/>
            <w:vAlign w:val="center"/>
          </w:tcPr>
          <w:p w14:paraId="22B0B0F4" w14:textId="77777777" w:rsidR="00BF592E" w:rsidRPr="00B56A82" w:rsidRDefault="00BF592E" w:rsidP="00BF592E">
            <w:pPr>
              <w:autoSpaceDE w:val="0"/>
              <w:autoSpaceDN w:val="0"/>
              <w:adjustRightInd w:val="0"/>
              <w:spacing w:after="0" w:line="240" w:lineRule="auto"/>
              <w:jc w:val="left"/>
              <w:rPr>
                <w:rFonts w:cs="Times New Roman"/>
                <w:sz w:val="20"/>
                <w:szCs w:val="20"/>
              </w:rPr>
            </w:pPr>
          </w:p>
        </w:tc>
      </w:tr>
    </w:tbl>
    <w:p w14:paraId="523448A9" w14:textId="225FDC50" w:rsidR="0095208E" w:rsidRDefault="00F32352" w:rsidP="00BF592E">
      <w:pPr>
        <w:spacing w:line="276" w:lineRule="auto"/>
        <w:ind w:left="851"/>
        <w:rPr>
          <w:rFonts w:cs="Times New Roman"/>
          <w:szCs w:val="24"/>
        </w:rPr>
      </w:pPr>
      <w:r w:rsidRPr="00BC09C6">
        <w:rPr>
          <w:rFonts w:cs="Times New Roman"/>
          <w:szCs w:val="24"/>
        </w:rPr>
        <w:t>Sumber: Data output SPSS25, 2024</w:t>
      </w:r>
    </w:p>
    <w:p w14:paraId="1C8213E1" w14:textId="11B8E7BD" w:rsidR="00F32352" w:rsidRDefault="00F32352" w:rsidP="00F32352">
      <w:pPr>
        <w:autoSpaceDE w:val="0"/>
        <w:autoSpaceDN w:val="0"/>
        <w:adjustRightInd w:val="0"/>
        <w:spacing w:after="0" w:line="480" w:lineRule="auto"/>
        <w:ind w:left="851" w:firstLine="720"/>
        <w:rPr>
          <w:rFonts w:cs="Times New Roman"/>
          <w:szCs w:val="24"/>
        </w:rPr>
      </w:pPr>
      <w:r>
        <w:rPr>
          <w:rFonts w:cs="Times New Roman"/>
          <w:szCs w:val="24"/>
        </w:rPr>
        <w:t xml:space="preserve">Dari data diatas </w:t>
      </w:r>
      <w:r w:rsidRPr="00F32352">
        <w:rPr>
          <w:rFonts w:cs="Times New Roman"/>
          <w:szCs w:val="24"/>
        </w:rPr>
        <w:t xml:space="preserve">Profitabilitas </w:t>
      </w:r>
      <w:r>
        <w:rPr>
          <w:rFonts w:cs="Times New Roman"/>
          <w:szCs w:val="24"/>
        </w:rPr>
        <w:t xml:space="preserve">yang diukur menggunakan </w:t>
      </w:r>
      <w:r>
        <w:rPr>
          <w:rFonts w:cs="Times New Roman"/>
          <w:i/>
          <w:szCs w:val="24"/>
        </w:rPr>
        <w:t>Return On Asset</w:t>
      </w:r>
      <w:r>
        <w:rPr>
          <w:rFonts w:cs="Times New Roman"/>
          <w:szCs w:val="24"/>
        </w:rPr>
        <w:t xml:space="preserve"> (ROA) menunjukan nilai max</w:t>
      </w:r>
      <w:r w:rsidRPr="00140F8B">
        <w:rPr>
          <w:rFonts w:cs="Times New Roman"/>
          <w:szCs w:val="24"/>
        </w:rPr>
        <w:t>imum (tertinggi) seluruh perusahaan yang menjadi sampel dalam penel</w:t>
      </w:r>
      <w:r>
        <w:rPr>
          <w:rFonts w:cs="Times New Roman"/>
          <w:szCs w:val="24"/>
        </w:rPr>
        <w:t xml:space="preserve">itian ini adalah sebesar </w:t>
      </w:r>
      <w:r w:rsidR="00BF592E">
        <w:rPr>
          <w:rFonts w:cs="Times New Roman"/>
          <w:szCs w:val="24"/>
        </w:rPr>
        <w:t>0.34. Nilai minimum (terendah) 0.08</w:t>
      </w:r>
      <w:r w:rsidRPr="00140F8B">
        <w:rPr>
          <w:rFonts w:cs="Times New Roman"/>
          <w:szCs w:val="24"/>
        </w:rPr>
        <w:t>. Nilai mean (rata-rata) seb</w:t>
      </w:r>
      <w:r w:rsidR="00BF592E">
        <w:rPr>
          <w:rFonts w:cs="Times New Roman"/>
          <w:szCs w:val="24"/>
        </w:rPr>
        <w:t>esar 0.0553</w:t>
      </w:r>
      <w:r w:rsidRPr="00140F8B">
        <w:rPr>
          <w:rFonts w:cs="Times New Roman"/>
          <w:szCs w:val="24"/>
        </w:rPr>
        <w:t>. Sedangkan stan</w:t>
      </w:r>
      <w:r w:rsidR="00BF592E">
        <w:rPr>
          <w:rFonts w:cs="Times New Roman"/>
          <w:szCs w:val="24"/>
        </w:rPr>
        <w:t>dar deviasinya sebesar 0.08921</w:t>
      </w:r>
      <w:r>
        <w:rPr>
          <w:rFonts w:cs="Times New Roman"/>
          <w:szCs w:val="24"/>
        </w:rPr>
        <w:t>.</w:t>
      </w:r>
    </w:p>
    <w:p w14:paraId="5481EAD4" w14:textId="57841D75" w:rsidR="00C77BC9" w:rsidRPr="00C77BC9" w:rsidRDefault="00C77BC9" w:rsidP="00C77BC9">
      <w:pPr>
        <w:pStyle w:val="Caption"/>
        <w:ind w:left="851"/>
        <w:jc w:val="center"/>
        <w:rPr>
          <w:color w:val="auto"/>
          <w:sz w:val="28"/>
          <w:szCs w:val="28"/>
        </w:rPr>
      </w:pPr>
      <w:bookmarkStart w:id="25" w:name="_Toc168999379"/>
      <w:r w:rsidRPr="00C77BC9">
        <w:rPr>
          <w:color w:val="auto"/>
          <w:sz w:val="28"/>
          <w:szCs w:val="28"/>
        </w:rPr>
        <w:t xml:space="preserve">Tabel.  </w:t>
      </w:r>
      <w:r w:rsidRPr="00C77BC9">
        <w:rPr>
          <w:color w:val="auto"/>
          <w:sz w:val="28"/>
          <w:szCs w:val="28"/>
        </w:rPr>
        <w:fldChar w:fldCharType="begin"/>
      </w:r>
      <w:r w:rsidRPr="00C77BC9">
        <w:rPr>
          <w:color w:val="auto"/>
          <w:sz w:val="28"/>
          <w:szCs w:val="28"/>
        </w:rPr>
        <w:instrText xml:space="preserve"> SEQ Tabel._ \* ARABIC </w:instrText>
      </w:r>
      <w:r w:rsidRPr="00C77BC9">
        <w:rPr>
          <w:color w:val="auto"/>
          <w:sz w:val="28"/>
          <w:szCs w:val="28"/>
        </w:rPr>
        <w:fldChar w:fldCharType="separate"/>
      </w:r>
      <w:r w:rsidR="0017483D">
        <w:rPr>
          <w:noProof/>
          <w:color w:val="auto"/>
          <w:sz w:val="28"/>
          <w:szCs w:val="28"/>
        </w:rPr>
        <w:t>15</w:t>
      </w:r>
      <w:r w:rsidRPr="00C77BC9">
        <w:rPr>
          <w:color w:val="auto"/>
          <w:sz w:val="28"/>
          <w:szCs w:val="28"/>
        </w:rPr>
        <w:fldChar w:fldCharType="end"/>
      </w:r>
      <w:r w:rsidRPr="00C77BC9">
        <w:rPr>
          <w:color w:val="auto"/>
          <w:sz w:val="28"/>
          <w:szCs w:val="28"/>
          <w:lang w:val="en-US"/>
        </w:rPr>
        <w:t xml:space="preserve"> Data sekunder Profitabilitas 2019-2023</w:t>
      </w:r>
      <w:bookmarkEnd w:id="25"/>
    </w:p>
    <w:tbl>
      <w:tblPr>
        <w:tblStyle w:val="TableGrid"/>
        <w:tblpPr w:leftFromText="180" w:rightFromText="180" w:vertAnchor="text" w:horzAnchor="margin" w:tblpXSpec="right" w:tblpY="11"/>
        <w:tblW w:w="0" w:type="auto"/>
        <w:tblLook w:val="04A0" w:firstRow="1" w:lastRow="0" w:firstColumn="1" w:lastColumn="0" w:noHBand="0" w:noVBand="1"/>
      </w:tblPr>
      <w:tblGrid>
        <w:gridCol w:w="668"/>
        <w:gridCol w:w="1737"/>
        <w:gridCol w:w="859"/>
        <w:gridCol w:w="1072"/>
        <w:gridCol w:w="1072"/>
        <w:gridCol w:w="1072"/>
        <w:gridCol w:w="1072"/>
      </w:tblGrid>
      <w:tr w:rsidR="00963E55" w14:paraId="598499D7" w14:textId="77777777" w:rsidTr="00963E55">
        <w:tc>
          <w:tcPr>
            <w:tcW w:w="668" w:type="dxa"/>
            <w:vMerge w:val="restart"/>
            <w:vAlign w:val="center"/>
          </w:tcPr>
          <w:p w14:paraId="429E8950" w14:textId="77777777" w:rsidR="00963E55" w:rsidRPr="00270B21" w:rsidRDefault="00963E55" w:rsidP="00963E55">
            <w:pPr>
              <w:autoSpaceDE w:val="0"/>
              <w:autoSpaceDN w:val="0"/>
              <w:adjustRightInd w:val="0"/>
              <w:spacing w:line="360" w:lineRule="auto"/>
              <w:jc w:val="center"/>
              <w:rPr>
                <w:rFonts w:cs="Times New Roman"/>
                <w:b/>
                <w:szCs w:val="24"/>
              </w:rPr>
            </w:pPr>
            <w:r w:rsidRPr="00270B21">
              <w:rPr>
                <w:rFonts w:cs="Times New Roman"/>
                <w:b/>
                <w:szCs w:val="24"/>
              </w:rPr>
              <w:t>No</w:t>
            </w:r>
          </w:p>
        </w:tc>
        <w:tc>
          <w:tcPr>
            <w:tcW w:w="1737" w:type="dxa"/>
            <w:vMerge w:val="restart"/>
            <w:vAlign w:val="center"/>
          </w:tcPr>
          <w:p w14:paraId="57069D8D" w14:textId="77777777" w:rsidR="00963E55" w:rsidRPr="00270B21" w:rsidRDefault="00963E55" w:rsidP="00963E55">
            <w:pPr>
              <w:autoSpaceDE w:val="0"/>
              <w:autoSpaceDN w:val="0"/>
              <w:adjustRightInd w:val="0"/>
              <w:spacing w:line="360" w:lineRule="auto"/>
              <w:jc w:val="center"/>
              <w:rPr>
                <w:rFonts w:cs="Times New Roman"/>
                <w:b/>
                <w:szCs w:val="24"/>
              </w:rPr>
            </w:pPr>
            <w:r w:rsidRPr="00270B21">
              <w:rPr>
                <w:rFonts w:cs="Times New Roman"/>
                <w:b/>
                <w:szCs w:val="24"/>
              </w:rPr>
              <w:t>Kode Saham</w:t>
            </w:r>
          </w:p>
        </w:tc>
        <w:tc>
          <w:tcPr>
            <w:tcW w:w="5147" w:type="dxa"/>
            <w:gridSpan w:val="5"/>
          </w:tcPr>
          <w:p w14:paraId="33D6FBBF" w14:textId="6FC2D32E" w:rsidR="00963E55" w:rsidRPr="00270B21" w:rsidRDefault="00963E55" w:rsidP="00963E55">
            <w:pPr>
              <w:autoSpaceDE w:val="0"/>
              <w:autoSpaceDN w:val="0"/>
              <w:adjustRightInd w:val="0"/>
              <w:spacing w:line="276" w:lineRule="auto"/>
              <w:jc w:val="center"/>
              <w:rPr>
                <w:rFonts w:cs="Times New Roman"/>
                <w:b/>
                <w:szCs w:val="24"/>
              </w:rPr>
            </w:pPr>
            <w:r>
              <w:rPr>
                <w:rFonts w:cs="Times New Roman"/>
                <w:b/>
                <w:szCs w:val="24"/>
              </w:rPr>
              <w:t>Profitabilitas</w:t>
            </w:r>
          </w:p>
        </w:tc>
      </w:tr>
      <w:tr w:rsidR="00963E55" w14:paraId="64EA0796" w14:textId="77777777" w:rsidTr="00963E55">
        <w:tc>
          <w:tcPr>
            <w:tcW w:w="668" w:type="dxa"/>
            <w:vMerge/>
          </w:tcPr>
          <w:p w14:paraId="4F0EA392" w14:textId="77777777" w:rsidR="00963E55" w:rsidRPr="00270B21" w:rsidRDefault="00963E55" w:rsidP="00963E55">
            <w:pPr>
              <w:autoSpaceDE w:val="0"/>
              <w:autoSpaceDN w:val="0"/>
              <w:adjustRightInd w:val="0"/>
              <w:spacing w:line="276" w:lineRule="auto"/>
              <w:jc w:val="center"/>
              <w:rPr>
                <w:rFonts w:cs="Times New Roman"/>
                <w:b/>
                <w:szCs w:val="24"/>
              </w:rPr>
            </w:pPr>
          </w:p>
        </w:tc>
        <w:tc>
          <w:tcPr>
            <w:tcW w:w="1737" w:type="dxa"/>
            <w:vMerge/>
          </w:tcPr>
          <w:p w14:paraId="7FA60967" w14:textId="77777777" w:rsidR="00963E55" w:rsidRPr="00270B21" w:rsidRDefault="00963E55" w:rsidP="00963E55">
            <w:pPr>
              <w:autoSpaceDE w:val="0"/>
              <w:autoSpaceDN w:val="0"/>
              <w:adjustRightInd w:val="0"/>
              <w:spacing w:line="276" w:lineRule="auto"/>
              <w:jc w:val="center"/>
              <w:rPr>
                <w:rFonts w:cs="Times New Roman"/>
                <w:b/>
                <w:szCs w:val="24"/>
              </w:rPr>
            </w:pPr>
          </w:p>
        </w:tc>
        <w:tc>
          <w:tcPr>
            <w:tcW w:w="859" w:type="dxa"/>
          </w:tcPr>
          <w:p w14:paraId="1FC3ADCE" w14:textId="77777777" w:rsidR="00963E55" w:rsidRPr="00270B21" w:rsidRDefault="00963E55" w:rsidP="00963E55">
            <w:pPr>
              <w:autoSpaceDE w:val="0"/>
              <w:autoSpaceDN w:val="0"/>
              <w:adjustRightInd w:val="0"/>
              <w:spacing w:line="276" w:lineRule="auto"/>
              <w:jc w:val="center"/>
              <w:rPr>
                <w:rFonts w:cs="Times New Roman"/>
                <w:b/>
                <w:szCs w:val="24"/>
              </w:rPr>
            </w:pPr>
            <w:r w:rsidRPr="00270B21">
              <w:rPr>
                <w:rFonts w:cs="Times New Roman"/>
                <w:b/>
                <w:szCs w:val="24"/>
              </w:rPr>
              <w:t>2019</w:t>
            </w:r>
          </w:p>
        </w:tc>
        <w:tc>
          <w:tcPr>
            <w:tcW w:w="1072" w:type="dxa"/>
          </w:tcPr>
          <w:p w14:paraId="30EF7534" w14:textId="77777777" w:rsidR="00963E55" w:rsidRPr="00270B21" w:rsidRDefault="00963E55" w:rsidP="00963E55">
            <w:pPr>
              <w:autoSpaceDE w:val="0"/>
              <w:autoSpaceDN w:val="0"/>
              <w:adjustRightInd w:val="0"/>
              <w:spacing w:line="276" w:lineRule="auto"/>
              <w:jc w:val="center"/>
              <w:rPr>
                <w:rFonts w:cs="Times New Roman"/>
                <w:b/>
                <w:szCs w:val="24"/>
              </w:rPr>
            </w:pPr>
            <w:r w:rsidRPr="00270B21">
              <w:rPr>
                <w:rFonts w:cs="Times New Roman"/>
                <w:b/>
                <w:szCs w:val="24"/>
              </w:rPr>
              <w:t>2020</w:t>
            </w:r>
          </w:p>
        </w:tc>
        <w:tc>
          <w:tcPr>
            <w:tcW w:w="1072" w:type="dxa"/>
          </w:tcPr>
          <w:p w14:paraId="6D701CA9" w14:textId="77777777" w:rsidR="00963E55" w:rsidRPr="00270B21" w:rsidRDefault="00963E55" w:rsidP="00963E55">
            <w:pPr>
              <w:autoSpaceDE w:val="0"/>
              <w:autoSpaceDN w:val="0"/>
              <w:adjustRightInd w:val="0"/>
              <w:spacing w:line="276" w:lineRule="auto"/>
              <w:jc w:val="center"/>
              <w:rPr>
                <w:rFonts w:cs="Times New Roman"/>
                <w:b/>
                <w:szCs w:val="24"/>
              </w:rPr>
            </w:pPr>
            <w:r w:rsidRPr="00270B21">
              <w:rPr>
                <w:rFonts w:cs="Times New Roman"/>
                <w:b/>
                <w:szCs w:val="24"/>
              </w:rPr>
              <w:t>2021</w:t>
            </w:r>
          </w:p>
        </w:tc>
        <w:tc>
          <w:tcPr>
            <w:tcW w:w="1072" w:type="dxa"/>
          </w:tcPr>
          <w:p w14:paraId="01087842" w14:textId="77777777" w:rsidR="00963E55" w:rsidRPr="00270B21" w:rsidRDefault="00963E55" w:rsidP="00963E55">
            <w:pPr>
              <w:autoSpaceDE w:val="0"/>
              <w:autoSpaceDN w:val="0"/>
              <w:adjustRightInd w:val="0"/>
              <w:spacing w:line="276" w:lineRule="auto"/>
              <w:jc w:val="center"/>
              <w:rPr>
                <w:rFonts w:cs="Times New Roman"/>
                <w:b/>
                <w:szCs w:val="24"/>
              </w:rPr>
            </w:pPr>
            <w:r w:rsidRPr="00270B21">
              <w:rPr>
                <w:rFonts w:cs="Times New Roman"/>
                <w:b/>
                <w:szCs w:val="24"/>
              </w:rPr>
              <w:t>2022</w:t>
            </w:r>
          </w:p>
        </w:tc>
        <w:tc>
          <w:tcPr>
            <w:tcW w:w="1072" w:type="dxa"/>
          </w:tcPr>
          <w:p w14:paraId="3CFA2F01" w14:textId="77777777" w:rsidR="00963E55" w:rsidRPr="00270B21" w:rsidRDefault="00963E55" w:rsidP="00963E55">
            <w:pPr>
              <w:autoSpaceDE w:val="0"/>
              <w:autoSpaceDN w:val="0"/>
              <w:adjustRightInd w:val="0"/>
              <w:spacing w:line="276" w:lineRule="auto"/>
              <w:jc w:val="center"/>
              <w:rPr>
                <w:rFonts w:cs="Times New Roman"/>
                <w:b/>
                <w:szCs w:val="24"/>
              </w:rPr>
            </w:pPr>
            <w:r w:rsidRPr="00270B21">
              <w:rPr>
                <w:rFonts w:cs="Times New Roman"/>
                <w:b/>
                <w:szCs w:val="24"/>
              </w:rPr>
              <w:t>2023</w:t>
            </w:r>
          </w:p>
        </w:tc>
      </w:tr>
      <w:tr w:rsidR="00963E55" w14:paraId="77697D85" w14:textId="77777777" w:rsidTr="00963E55">
        <w:tc>
          <w:tcPr>
            <w:tcW w:w="668" w:type="dxa"/>
          </w:tcPr>
          <w:p w14:paraId="01320313" w14:textId="77777777" w:rsidR="00963E55" w:rsidRPr="000F0B7F" w:rsidRDefault="00963E55" w:rsidP="00963E55">
            <w:pPr>
              <w:autoSpaceDE w:val="0"/>
              <w:autoSpaceDN w:val="0"/>
              <w:adjustRightInd w:val="0"/>
              <w:spacing w:line="276" w:lineRule="auto"/>
              <w:jc w:val="center"/>
              <w:rPr>
                <w:rFonts w:cs="Times New Roman"/>
                <w:szCs w:val="24"/>
              </w:rPr>
            </w:pPr>
            <w:r w:rsidRPr="000F0B7F">
              <w:rPr>
                <w:rFonts w:cs="Times New Roman"/>
                <w:szCs w:val="24"/>
              </w:rPr>
              <w:t>1.</w:t>
            </w:r>
          </w:p>
        </w:tc>
        <w:tc>
          <w:tcPr>
            <w:tcW w:w="1737" w:type="dxa"/>
          </w:tcPr>
          <w:p w14:paraId="76ACB3DC" w14:textId="77777777" w:rsidR="00963E55" w:rsidRPr="000F0B7F" w:rsidRDefault="00963E55" w:rsidP="00963E55">
            <w:pPr>
              <w:autoSpaceDE w:val="0"/>
              <w:autoSpaceDN w:val="0"/>
              <w:adjustRightInd w:val="0"/>
              <w:spacing w:line="276" w:lineRule="auto"/>
              <w:jc w:val="center"/>
              <w:rPr>
                <w:rFonts w:cs="Times New Roman"/>
                <w:szCs w:val="24"/>
              </w:rPr>
            </w:pPr>
            <w:r w:rsidRPr="000F0B7F">
              <w:rPr>
                <w:rFonts w:cs="Times New Roman"/>
                <w:szCs w:val="24"/>
              </w:rPr>
              <w:t>BBCA</w:t>
            </w:r>
          </w:p>
        </w:tc>
        <w:tc>
          <w:tcPr>
            <w:tcW w:w="859" w:type="dxa"/>
          </w:tcPr>
          <w:p w14:paraId="5A7CF575" w14:textId="4CB17F01" w:rsidR="00963E55" w:rsidRPr="000F0B7F" w:rsidRDefault="00963E55" w:rsidP="00963E55">
            <w:pPr>
              <w:autoSpaceDE w:val="0"/>
              <w:autoSpaceDN w:val="0"/>
              <w:adjustRightInd w:val="0"/>
              <w:spacing w:line="276" w:lineRule="auto"/>
              <w:jc w:val="center"/>
              <w:rPr>
                <w:rFonts w:cs="Times New Roman"/>
                <w:szCs w:val="24"/>
              </w:rPr>
            </w:pPr>
            <w:r>
              <w:rPr>
                <w:rFonts w:cs="Times New Roman"/>
                <w:szCs w:val="24"/>
              </w:rPr>
              <w:t>0,03</w:t>
            </w:r>
          </w:p>
        </w:tc>
        <w:tc>
          <w:tcPr>
            <w:tcW w:w="1072" w:type="dxa"/>
          </w:tcPr>
          <w:p w14:paraId="06E17C86" w14:textId="01D67FB6" w:rsidR="00963E55" w:rsidRPr="000F0B7F" w:rsidRDefault="00A808E2" w:rsidP="00963E55">
            <w:pPr>
              <w:autoSpaceDE w:val="0"/>
              <w:autoSpaceDN w:val="0"/>
              <w:adjustRightInd w:val="0"/>
              <w:spacing w:line="276" w:lineRule="auto"/>
              <w:jc w:val="center"/>
              <w:rPr>
                <w:rFonts w:cs="Times New Roman"/>
                <w:szCs w:val="24"/>
              </w:rPr>
            </w:pPr>
            <w:r>
              <w:rPr>
                <w:rFonts w:cs="Times New Roman"/>
                <w:szCs w:val="24"/>
              </w:rPr>
              <w:t>0,03</w:t>
            </w:r>
          </w:p>
        </w:tc>
        <w:tc>
          <w:tcPr>
            <w:tcW w:w="1072" w:type="dxa"/>
          </w:tcPr>
          <w:p w14:paraId="1372CD31" w14:textId="33EA6552" w:rsidR="00963E55" w:rsidRPr="000F0B7F" w:rsidRDefault="00A808E2" w:rsidP="00963E55">
            <w:pPr>
              <w:autoSpaceDE w:val="0"/>
              <w:autoSpaceDN w:val="0"/>
              <w:adjustRightInd w:val="0"/>
              <w:spacing w:line="276" w:lineRule="auto"/>
              <w:jc w:val="center"/>
              <w:rPr>
                <w:rFonts w:cs="Times New Roman"/>
                <w:szCs w:val="24"/>
              </w:rPr>
            </w:pPr>
            <w:r>
              <w:rPr>
                <w:rFonts w:cs="Times New Roman"/>
                <w:szCs w:val="24"/>
              </w:rPr>
              <w:t>0,03</w:t>
            </w:r>
          </w:p>
        </w:tc>
        <w:tc>
          <w:tcPr>
            <w:tcW w:w="1072" w:type="dxa"/>
          </w:tcPr>
          <w:p w14:paraId="3636803B" w14:textId="2B2266CD" w:rsidR="00963E55" w:rsidRPr="000F0B7F" w:rsidRDefault="00963E55" w:rsidP="00963E55">
            <w:pPr>
              <w:autoSpaceDE w:val="0"/>
              <w:autoSpaceDN w:val="0"/>
              <w:adjustRightInd w:val="0"/>
              <w:spacing w:line="276" w:lineRule="auto"/>
              <w:jc w:val="center"/>
              <w:rPr>
                <w:rFonts w:cs="Times New Roman"/>
                <w:szCs w:val="24"/>
              </w:rPr>
            </w:pPr>
            <w:r>
              <w:rPr>
                <w:rFonts w:cs="Times New Roman"/>
                <w:szCs w:val="24"/>
              </w:rPr>
              <w:t>0,03</w:t>
            </w:r>
          </w:p>
        </w:tc>
        <w:tc>
          <w:tcPr>
            <w:tcW w:w="1072" w:type="dxa"/>
          </w:tcPr>
          <w:p w14:paraId="63E23072" w14:textId="232708A2" w:rsidR="00963E55" w:rsidRPr="000F0B7F" w:rsidRDefault="00963E55" w:rsidP="00963E55">
            <w:pPr>
              <w:autoSpaceDE w:val="0"/>
              <w:autoSpaceDN w:val="0"/>
              <w:adjustRightInd w:val="0"/>
              <w:spacing w:line="276" w:lineRule="auto"/>
              <w:jc w:val="center"/>
              <w:rPr>
                <w:rFonts w:cs="Times New Roman"/>
                <w:szCs w:val="24"/>
              </w:rPr>
            </w:pPr>
            <w:r>
              <w:rPr>
                <w:rFonts w:cs="Times New Roman"/>
                <w:szCs w:val="24"/>
              </w:rPr>
              <w:t>0,03</w:t>
            </w:r>
          </w:p>
        </w:tc>
      </w:tr>
      <w:tr w:rsidR="00963E55" w14:paraId="550BAAEF" w14:textId="77777777" w:rsidTr="00963E55">
        <w:tc>
          <w:tcPr>
            <w:tcW w:w="668" w:type="dxa"/>
          </w:tcPr>
          <w:p w14:paraId="25015E0A" w14:textId="77777777" w:rsidR="00963E55" w:rsidRPr="000F0B7F" w:rsidRDefault="00963E55" w:rsidP="00963E55">
            <w:pPr>
              <w:autoSpaceDE w:val="0"/>
              <w:autoSpaceDN w:val="0"/>
              <w:adjustRightInd w:val="0"/>
              <w:spacing w:line="276" w:lineRule="auto"/>
              <w:jc w:val="center"/>
              <w:rPr>
                <w:rFonts w:cs="Times New Roman"/>
                <w:szCs w:val="24"/>
              </w:rPr>
            </w:pPr>
            <w:r w:rsidRPr="000F0B7F">
              <w:rPr>
                <w:rFonts w:cs="Times New Roman"/>
                <w:szCs w:val="24"/>
              </w:rPr>
              <w:t>2.</w:t>
            </w:r>
          </w:p>
        </w:tc>
        <w:tc>
          <w:tcPr>
            <w:tcW w:w="1737" w:type="dxa"/>
          </w:tcPr>
          <w:p w14:paraId="40816FE3" w14:textId="77777777" w:rsidR="00963E55" w:rsidRPr="000F0B7F" w:rsidRDefault="00963E55" w:rsidP="00963E55">
            <w:pPr>
              <w:autoSpaceDE w:val="0"/>
              <w:autoSpaceDN w:val="0"/>
              <w:adjustRightInd w:val="0"/>
              <w:spacing w:line="276" w:lineRule="auto"/>
              <w:jc w:val="center"/>
              <w:rPr>
                <w:rFonts w:cs="Times New Roman"/>
                <w:szCs w:val="24"/>
              </w:rPr>
            </w:pPr>
            <w:r w:rsidRPr="000F0B7F">
              <w:rPr>
                <w:rFonts w:cs="Times New Roman"/>
                <w:szCs w:val="24"/>
              </w:rPr>
              <w:t>BBNI</w:t>
            </w:r>
          </w:p>
        </w:tc>
        <w:tc>
          <w:tcPr>
            <w:tcW w:w="859" w:type="dxa"/>
          </w:tcPr>
          <w:p w14:paraId="40AE3187" w14:textId="4325D499" w:rsidR="00963E55" w:rsidRPr="000F0B7F" w:rsidRDefault="00A808E2" w:rsidP="00963E55">
            <w:pPr>
              <w:autoSpaceDE w:val="0"/>
              <w:autoSpaceDN w:val="0"/>
              <w:adjustRightInd w:val="0"/>
              <w:spacing w:line="276" w:lineRule="auto"/>
              <w:jc w:val="center"/>
              <w:rPr>
                <w:rFonts w:cs="Times New Roman"/>
                <w:szCs w:val="24"/>
              </w:rPr>
            </w:pPr>
            <w:r>
              <w:rPr>
                <w:rFonts w:cs="Times New Roman"/>
                <w:szCs w:val="24"/>
              </w:rPr>
              <w:t>0,02</w:t>
            </w:r>
          </w:p>
        </w:tc>
        <w:tc>
          <w:tcPr>
            <w:tcW w:w="1072" w:type="dxa"/>
          </w:tcPr>
          <w:p w14:paraId="75AEEE9E" w14:textId="62E34894" w:rsidR="00963E55" w:rsidRPr="000F0B7F" w:rsidRDefault="00963E55" w:rsidP="00963E55">
            <w:pPr>
              <w:autoSpaceDE w:val="0"/>
              <w:autoSpaceDN w:val="0"/>
              <w:adjustRightInd w:val="0"/>
              <w:spacing w:line="276" w:lineRule="auto"/>
              <w:jc w:val="center"/>
              <w:rPr>
                <w:rFonts w:cs="Times New Roman"/>
                <w:szCs w:val="24"/>
              </w:rPr>
            </w:pPr>
            <w:r>
              <w:rPr>
                <w:rFonts w:cs="Times New Roman"/>
                <w:szCs w:val="24"/>
              </w:rPr>
              <w:t>0,00</w:t>
            </w:r>
          </w:p>
        </w:tc>
        <w:tc>
          <w:tcPr>
            <w:tcW w:w="1072" w:type="dxa"/>
          </w:tcPr>
          <w:p w14:paraId="530516CA" w14:textId="19FB7411" w:rsidR="00963E55" w:rsidRPr="000F0B7F" w:rsidRDefault="00963E55" w:rsidP="00963E55">
            <w:pPr>
              <w:autoSpaceDE w:val="0"/>
              <w:autoSpaceDN w:val="0"/>
              <w:adjustRightInd w:val="0"/>
              <w:spacing w:line="276" w:lineRule="auto"/>
              <w:jc w:val="center"/>
              <w:rPr>
                <w:rFonts w:cs="Times New Roman"/>
                <w:szCs w:val="24"/>
              </w:rPr>
            </w:pPr>
            <w:r>
              <w:rPr>
                <w:rFonts w:cs="Times New Roman"/>
                <w:szCs w:val="24"/>
              </w:rPr>
              <w:t>0,01</w:t>
            </w:r>
          </w:p>
        </w:tc>
        <w:tc>
          <w:tcPr>
            <w:tcW w:w="1072" w:type="dxa"/>
          </w:tcPr>
          <w:p w14:paraId="054812BC" w14:textId="7A712A19" w:rsidR="00963E55" w:rsidRPr="000F0B7F" w:rsidRDefault="00E65683" w:rsidP="00963E55">
            <w:pPr>
              <w:autoSpaceDE w:val="0"/>
              <w:autoSpaceDN w:val="0"/>
              <w:adjustRightInd w:val="0"/>
              <w:spacing w:line="276" w:lineRule="auto"/>
              <w:jc w:val="center"/>
              <w:rPr>
                <w:rFonts w:cs="Times New Roman"/>
                <w:szCs w:val="24"/>
              </w:rPr>
            </w:pPr>
            <w:r>
              <w:rPr>
                <w:rFonts w:cs="Times New Roman"/>
                <w:szCs w:val="24"/>
              </w:rPr>
              <w:t>0,02</w:t>
            </w:r>
          </w:p>
        </w:tc>
        <w:tc>
          <w:tcPr>
            <w:tcW w:w="1072" w:type="dxa"/>
          </w:tcPr>
          <w:p w14:paraId="3903777C" w14:textId="6AAB4100" w:rsidR="00963E55" w:rsidRPr="000F0B7F" w:rsidRDefault="00E65683" w:rsidP="00963E55">
            <w:pPr>
              <w:autoSpaceDE w:val="0"/>
              <w:autoSpaceDN w:val="0"/>
              <w:adjustRightInd w:val="0"/>
              <w:spacing w:line="276" w:lineRule="auto"/>
              <w:jc w:val="center"/>
              <w:rPr>
                <w:rFonts w:cs="Times New Roman"/>
                <w:szCs w:val="24"/>
              </w:rPr>
            </w:pPr>
            <w:r>
              <w:rPr>
                <w:rFonts w:cs="Times New Roman"/>
                <w:szCs w:val="24"/>
              </w:rPr>
              <w:t>0,02</w:t>
            </w:r>
          </w:p>
        </w:tc>
      </w:tr>
      <w:tr w:rsidR="00963E55" w14:paraId="3445B44C" w14:textId="77777777" w:rsidTr="00963E55">
        <w:tc>
          <w:tcPr>
            <w:tcW w:w="668" w:type="dxa"/>
          </w:tcPr>
          <w:p w14:paraId="3BA97954" w14:textId="77777777" w:rsidR="00963E55" w:rsidRPr="000F0B7F" w:rsidRDefault="00963E55" w:rsidP="00963E55">
            <w:pPr>
              <w:autoSpaceDE w:val="0"/>
              <w:autoSpaceDN w:val="0"/>
              <w:adjustRightInd w:val="0"/>
              <w:spacing w:line="276" w:lineRule="auto"/>
              <w:jc w:val="center"/>
              <w:rPr>
                <w:rFonts w:cs="Times New Roman"/>
                <w:szCs w:val="24"/>
              </w:rPr>
            </w:pPr>
            <w:r w:rsidRPr="000F0B7F">
              <w:rPr>
                <w:rFonts w:cs="Times New Roman"/>
                <w:szCs w:val="24"/>
              </w:rPr>
              <w:t>3.</w:t>
            </w:r>
          </w:p>
        </w:tc>
        <w:tc>
          <w:tcPr>
            <w:tcW w:w="1737" w:type="dxa"/>
          </w:tcPr>
          <w:p w14:paraId="6FA05192" w14:textId="77777777" w:rsidR="00963E55" w:rsidRPr="000F0B7F" w:rsidRDefault="00963E55" w:rsidP="00963E55">
            <w:pPr>
              <w:autoSpaceDE w:val="0"/>
              <w:autoSpaceDN w:val="0"/>
              <w:adjustRightInd w:val="0"/>
              <w:spacing w:line="276" w:lineRule="auto"/>
              <w:jc w:val="center"/>
              <w:rPr>
                <w:rFonts w:cs="Times New Roman"/>
                <w:szCs w:val="24"/>
              </w:rPr>
            </w:pPr>
            <w:r w:rsidRPr="000F0B7F">
              <w:rPr>
                <w:rFonts w:cs="Times New Roman"/>
                <w:szCs w:val="24"/>
              </w:rPr>
              <w:t>BBRI</w:t>
            </w:r>
          </w:p>
        </w:tc>
        <w:tc>
          <w:tcPr>
            <w:tcW w:w="859" w:type="dxa"/>
          </w:tcPr>
          <w:p w14:paraId="746647DF" w14:textId="5BBC3C98" w:rsidR="00963E55" w:rsidRPr="000F0B7F" w:rsidRDefault="00963E55" w:rsidP="00963E55">
            <w:pPr>
              <w:autoSpaceDE w:val="0"/>
              <w:autoSpaceDN w:val="0"/>
              <w:adjustRightInd w:val="0"/>
              <w:spacing w:line="276" w:lineRule="auto"/>
              <w:jc w:val="center"/>
              <w:rPr>
                <w:rFonts w:cs="Times New Roman"/>
                <w:szCs w:val="24"/>
              </w:rPr>
            </w:pPr>
            <w:r>
              <w:rPr>
                <w:rFonts w:cs="Times New Roman"/>
                <w:szCs w:val="24"/>
              </w:rPr>
              <w:t>0,02</w:t>
            </w:r>
          </w:p>
        </w:tc>
        <w:tc>
          <w:tcPr>
            <w:tcW w:w="1072" w:type="dxa"/>
          </w:tcPr>
          <w:p w14:paraId="12E01D57" w14:textId="7BB6C972" w:rsidR="00963E55" w:rsidRPr="000F0B7F" w:rsidRDefault="00963E55" w:rsidP="00963E55">
            <w:pPr>
              <w:autoSpaceDE w:val="0"/>
              <w:autoSpaceDN w:val="0"/>
              <w:adjustRightInd w:val="0"/>
              <w:spacing w:line="276" w:lineRule="auto"/>
              <w:jc w:val="center"/>
              <w:rPr>
                <w:rFonts w:cs="Times New Roman"/>
                <w:szCs w:val="24"/>
              </w:rPr>
            </w:pPr>
            <w:r>
              <w:rPr>
                <w:rFonts w:cs="Times New Roman"/>
                <w:szCs w:val="24"/>
              </w:rPr>
              <w:t>0,01</w:t>
            </w:r>
          </w:p>
        </w:tc>
        <w:tc>
          <w:tcPr>
            <w:tcW w:w="1072" w:type="dxa"/>
          </w:tcPr>
          <w:p w14:paraId="3AD258AA" w14:textId="778DC964" w:rsidR="00963E55" w:rsidRPr="000F0B7F" w:rsidRDefault="00A808E2" w:rsidP="00963E55">
            <w:pPr>
              <w:autoSpaceDE w:val="0"/>
              <w:autoSpaceDN w:val="0"/>
              <w:adjustRightInd w:val="0"/>
              <w:spacing w:line="276" w:lineRule="auto"/>
              <w:jc w:val="center"/>
              <w:rPr>
                <w:rFonts w:cs="Times New Roman"/>
                <w:szCs w:val="24"/>
              </w:rPr>
            </w:pPr>
            <w:r>
              <w:rPr>
                <w:rFonts w:cs="Times New Roman"/>
                <w:szCs w:val="24"/>
              </w:rPr>
              <w:t>0,02</w:t>
            </w:r>
          </w:p>
        </w:tc>
        <w:tc>
          <w:tcPr>
            <w:tcW w:w="1072" w:type="dxa"/>
          </w:tcPr>
          <w:p w14:paraId="32A0453B" w14:textId="575860C6" w:rsidR="00963E55" w:rsidRPr="000F0B7F" w:rsidRDefault="00E65683" w:rsidP="00963E55">
            <w:pPr>
              <w:autoSpaceDE w:val="0"/>
              <w:autoSpaceDN w:val="0"/>
              <w:adjustRightInd w:val="0"/>
              <w:spacing w:line="276" w:lineRule="auto"/>
              <w:jc w:val="center"/>
              <w:rPr>
                <w:rFonts w:cs="Times New Roman"/>
                <w:szCs w:val="24"/>
              </w:rPr>
            </w:pPr>
            <w:r>
              <w:rPr>
                <w:rFonts w:cs="Times New Roman"/>
                <w:szCs w:val="24"/>
              </w:rPr>
              <w:t>0,03</w:t>
            </w:r>
          </w:p>
        </w:tc>
        <w:tc>
          <w:tcPr>
            <w:tcW w:w="1072" w:type="dxa"/>
          </w:tcPr>
          <w:p w14:paraId="498CA93F" w14:textId="4BF03EFA" w:rsidR="00963E55" w:rsidRPr="000F0B7F" w:rsidRDefault="00802781" w:rsidP="00963E55">
            <w:pPr>
              <w:autoSpaceDE w:val="0"/>
              <w:autoSpaceDN w:val="0"/>
              <w:adjustRightInd w:val="0"/>
              <w:spacing w:line="276" w:lineRule="auto"/>
              <w:jc w:val="center"/>
              <w:rPr>
                <w:rFonts w:cs="Times New Roman"/>
                <w:szCs w:val="24"/>
              </w:rPr>
            </w:pPr>
            <w:r>
              <w:rPr>
                <w:rFonts w:cs="Times New Roman"/>
                <w:szCs w:val="24"/>
              </w:rPr>
              <w:t>0,</w:t>
            </w:r>
            <w:r w:rsidR="00667F03">
              <w:rPr>
                <w:rFonts w:cs="Times New Roman"/>
                <w:szCs w:val="24"/>
              </w:rPr>
              <w:t>0</w:t>
            </w:r>
            <w:r w:rsidR="00E65683">
              <w:rPr>
                <w:rFonts w:cs="Times New Roman"/>
                <w:szCs w:val="24"/>
              </w:rPr>
              <w:t>3</w:t>
            </w:r>
          </w:p>
        </w:tc>
      </w:tr>
      <w:tr w:rsidR="00963E55" w14:paraId="16BC7FE2" w14:textId="77777777" w:rsidTr="00963E55">
        <w:tc>
          <w:tcPr>
            <w:tcW w:w="668" w:type="dxa"/>
          </w:tcPr>
          <w:p w14:paraId="71229C5A" w14:textId="77777777" w:rsidR="00963E55" w:rsidRPr="000F0B7F" w:rsidRDefault="00963E55" w:rsidP="00963E55">
            <w:pPr>
              <w:autoSpaceDE w:val="0"/>
              <w:autoSpaceDN w:val="0"/>
              <w:adjustRightInd w:val="0"/>
              <w:spacing w:line="276" w:lineRule="auto"/>
              <w:jc w:val="center"/>
              <w:rPr>
                <w:rFonts w:cs="Times New Roman"/>
                <w:szCs w:val="24"/>
              </w:rPr>
            </w:pPr>
            <w:r w:rsidRPr="000F0B7F">
              <w:rPr>
                <w:rFonts w:cs="Times New Roman"/>
                <w:szCs w:val="24"/>
              </w:rPr>
              <w:t>4.</w:t>
            </w:r>
          </w:p>
        </w:tc>
        <w:tc>
          <w:tcPr>
            <w:tcW w:w="1737" w:type="dxa"/>
          </w:tcPr>
          <w:p w14:paraId="57D5133E" w14:textId="77777777" w:rsidR="00963E55" w:rsidRPr="000F0B7F" w:rsidRDefault="00963E55" w:rsidP="00963E55">
            <w:pPr>
              <w:autoSpaceDE w:val="0"/>
              <w:autoSpaceDN w:val="0"/>
              <w:adjustRightInd w:val="0"/>
              <w:spacing w:line="276" w:lineRule="auto"/>
              <w:jc w:val="center"/>
              <w:rPr>
                <w:rFonts w:cs="Times New Roman"/>
                <w:szCs w:val="24"/>
              </w:rPr>
            </w:pPr>
            <w:r w:rsidRPr="000F0B7F">
              <w:rPr>
                <w:rFonts w:cs="Times New Roman"/>
                <w:szCs w:val="24"/>
              </w:rPr>
              <w:t>BBTN</w:t>
            </w:r>
          </w:p>
        </w:tc>
        <w:tc>
          <w:tcPr>
            <w:tcW w:w="859" w:type="dxa"/>
          </w:tcPr>
          <w:p w14:paraId="245016C1" w14:textId="337026E9" w:rsidR="00963E55" w:rsidRPr="000F0B7F" w:rsidRDefault="00A808E2" w:rsidP="00963E55">
            <w:pPr>
              <w:autoSpaceDE w:val="0"/>
              <w:autoSpaceDN w:val="0"/>
              <w:adjustRightInd w:val="0"/>
              <w:spacing w:line="276" w:lineRule="auto"/>
              <w:jc w:val="center"/>
              <w:rPr>
                <w:rFonts w:cs="Times New Roman"/>
                <w:szCs w:val="24"/>
              </w:rPr>
            </w:pPr>
            <w:r>
              <w:rPr>
                <w:rFonts w:cs="Times New Roman"/>
                <w:szCs w:val="24"/>
              </w:rPr>
              <w:t>0,00</w:t>
            </w:r>
          </w:p>
        </w:tc>
        <w:tc>
          <w:tcPr>
            <w:tcW w:w="1072" w:type="dxa"/>
          </w:tcPr>
          <w:p w14:paraId="2F85ACCD" w14:textId="3770D613" w:rsidR="00963E55" w:rsidRPr="000F0B7F" w:rsidRDefault="00A808E2" w:rsidP="00963E55">
            <w:pPr>
              <w:autoSpaceDE w:val="0"/>
              <w:autoSpaceDN w:val="0"/>
              <w:adjustRightInd w:val="0"/>
              <w:spacing w:line="276" w:lineRule="auto"/>
              <w:jc w:val="center"/>
              <w:rPr>
                <w:rFonts w:cs="Times New Roman"/>
                <w:szCs w:val="24"/>
              </w:rPr>
            </w:pPr>
            <w:r>
              <w:rPr>
                <w:rFonts w:cs="Times New Roman"/>
                <w:szCs w:val="24"/>
              </w:rPr>
              <w:t>0,00</w:t>
            </w:r>
          </w:p>
        </w:tc>
        <w:tc>
          <w:tcPr>
            <w:tcW w:w="1072" w:type="dxa"/>
          </w:tcPr>
          <w:p w14:paraId="36430146" w14:textId="0282C599" w:rsidR="00963E55" w:rsidRPr="000F0B7F" w:rsidRDefault="00A808E2" w:rsidP="00963E55">
            <w:pPr>
              <w:autoSpaceDE w:val="0"/>
              <w:autoSpaceDN w:val="0"/>
              <w:adjustRightInd w:val="0"/>
              <w:spacing w:line="276" w:lineRule="auto"/>
              <w:jc w:val="center"/>
              <w:rPr>
                <w:rFonts w:cs="Times New Roman"/>
                <w:szCs w:val="24"/>
              </w:rPr>
            </w:pPr>
            <w:r>
              <w:rPr>
                <w:rFonts w:cs="Times New Roman"/>
                <w:szCs w:val="24"/>
              </w:rPr>
              <w:t>0,01</w:t>
            </w:r>
          </w:p>
        </w:tc>
        <w:tc>
          <w:tcPr>
            <w:tcW w:w="1072" w:type="dxa"/>
          </w:tcPr>
          <w:p w14:paraId="4394BB3D" w14:textId="03B1407B" w:rsidR="00963E55" w:rsidRPr="000F0B7F" w:rsidRDefault="00E65683" w:rsidP="00963E55">
            <w:pPr>
              <w:autoSpaceDE w:val="0"/>
              <w:autoSpaceDN w:val="0"/>
              <w:adjustRightInd w:val="0"/>
              <w:spacing w:line="276" w:lineRule="auto"/>
              <w:jc w:val="center"/>
              <w:rPr>
                <w:rFonts w:cs="Times New Roman"/>
                <w:szCs w:val="24"/>
              </w:rPr>
            </w:pPr>
            <w:r>
              <w:rPr>
                <w:rFonts w:cs="Times New Roman"/>
                <w:szCs w:val="24"/>
              </w:rPr>
              <w:t>0,01</w:t>
            </w:r>
          </w:p>
        </w:tc>
        <w:tc>
          <w:tcPr>
            <w:tcW w:w="1072" w:type="dxa"/>
          </w:tcPr>
          <w:p w14:paraId="3BDFE0B6" w14:textId="4D31F5D0" w:rsidR="00963E55" w:rsidRPr="000F0B7F" w:rsidRDefault="00E65683" w:rsidP="00963E55">
            <w:pPr>
              <w:autoSpaceDE w:val="0"/>
              <w:autoSpaceDN w:val="0"/>
              <w:adjustRightInd w:val="0"/>
              <w:spacing w:line="276" w:lineRule="auto"/>
              <w:jc w:val="center"/>
              <w:rPr>
                <w:rFonts w:cs="Times New Roman"/>
                <w:szCs w:val="24"/>
              </w:rPr>
            </w:pPr>
            <w:r>
              <w:rPr>
                <w:rFonts w:cs="Times New Roman"/>
                <w:szCs w:val="24"/>
              </w:rPr>
              <w:t>0,01</w:t>
            </w:r>
          </w:p>
        </w:tc>
      </w:tr>
      <w:tr w:rsidR="00963E55" w14:paraId="4A3D1A01" w14:textId="77777777" w:rsidTr="00963E55">
        <w:tc>
          <w:tcPr>
            <w:tcW w:w="668" w:type="dxa"/>
          </w:tcPr>
          <w:p w14:paraId="5882CBCE" w14:textId="77777777" w:rsidR="00963E55" w:rsidRPr="000F0B7F" w:rsidRDefault="00963E55" w:rsidP="00963E55">
            <w:pPr>
              <w:autoSpaceDE w:val="0"/>
              <w:autoSpaceDN w:val="0"/>
              <w:adjustRightInd w:val="0"/>
              <w:spacing w:line="276" w:lineRule="auto"/>
              <w:jc w:val="center"/>
              <w:rPr>
                <w:rFonts w:cs="Times New Roman"/>
                <w:szCs w:val="24"/>
              </w:rPr>
            </w:pPr>
            <w:r w:rsidRPr="000F0B7F">
              <w:rPr>
                <w:rFonts w:cs="Times New Roman"/>
                <w:szCs w:val="24"/>
              </w:rPr>
              <w:t>5.</w:t>
            </w:r>
          </w:p>
        </w:tc>
        <w:tc>
          <w:tcPr>
            <w:tcW w:w="1737" w:type="dxa"/>
          </w:tcPr>
          <w:p w14:paraId="2CD17B59" w14:textId="77777777" w:rsidR="00963E55" w:rsidRPr="000F0B7F" w:rsidRDefault="00963E55" w:rsidP="00963E55">
            <w:pPr>
              <w:autoSpaceDE w:val="0"/>
              <w:autoSpaceDN w:val="0"/>
              <w:adjustRightInd w:val="0"/>
              <w:spacing w:line="276" w:lineRule="auto"/>
              <w:jc w:val="center"/>
              <w:rPr>
                <w:rFonts w:cs="Times New Roman"/>
                <w:szCs w:val="24"/>
              </w:rPr>
            </w:pPr>
            <w:r w:rsidRPr="000F0B7F">
              <w:rPr>
                <w:rFonts w:cs="Times New Roman"/>
                <w:szCs w:val="24"/>
              </w:rPr>
              <w:t>BMRI</w:t>
            </w:r>
          </w:p>
        </w:tc>
        <w:tc>
          <w:tcPr>
            <w:tcW w:w="859" w:type="dxa"/>
          </w:tcPr>
          <w:p w14:paraId="7B75D32E" w14:textId="13F0706F" w:rsidR="00963E55" w:rsidRPr="000F0B7F" w:rsidRDefault="00963E55" w:rsidP="00963E55">
            <w:pPr>
              <w:autoSpaceDE w:val="0"/>
              <w:autoSpaceDN w:val="0"/>
              <w:adjustRightInd w:val="0"/>
              <w:spacing w:line="276" w:lineRule="auto"/>
              <w:jc w:val="center"/>
              <w:rPr>
                <w:rFonts w:cs="Times New Roman"/>
                <w:szCs w:val="24"/>
              </w:rPr>
            </w:pPr>
            <w:r>
              <w:rPr>
                <w:rFonts w:cs="Times New Roman"/>
                <w:szCs w:val="24"/>
              </w:rPr>
              <w:t>0,02</w:t>
            </w:r>
          </w:p>
        </w:tc>
        <w:tc>
          <w:tcPr>
            <w:tcW w:w="1072" w:type="dxa"/>
          </w:tcPr>
          <w:p w14:paraId="72338158" w14:textId="78626E62" w:rsidR="00963E55" w:rsidRPr="000F0B7F" w:rsidRDefault="00A808E2" w:rsidP="00963E55">
            <w:pPr>
              <w:autoSpaceDE w:val="0"/>
              <w:autoSpaceDN w:val="0"/>
              <w:adjustRightInd w:val="0"/>
              <w:spacing w:line="276" w:lineRule="auto"/>
              <w:jc w:val="center"/>
              <w:rPr>
                <w:rFonts w:cs="Times New Roman"/>
                <w:szCs w:val="24"/>
              </w:rPr>
            </w:pPr>
            <w:r>
              <w:rPr>
                <w:rFonts w:cs="Times New Roman"/>
                <w:szCs w:val="24"/>
              </w:rPr>
              <w:t>0,01</w:t>
            </w:r>
          </w:p>
        </w:tc>
        <w:tc>
          <w:tcPr>
            <w:tcW w:w="1072" w:type="dxa"/>
          </w:tcPr>
          <w:p w14:paraId="3CF61411" w14:textId="2AA812E6" w:rsidR="00963E55" w:rsidRPr="000F0B7F" w:rsidRDefault="00A808E2" w:rsidP="00963E55">
            <w:pPr>
              <w:autoSpaceDE w:val="0"/>
              <w:autoSpaceDN w:val="0"/>
              <w:adjustRightInd w:val="0"/>
              <w:spacing w:line="276" w:lineRule="auto"/>
              <w:jc w:val="center"/>
              <w:rPr>
                <w:rFonts w:cs="Times New Roman"/>
                <w:szCs w:val="24"/>
              </w:rPr>
            </w:pPr>
            <w:r>
              <w:rPr>
                <w:rFonts w:cs="Times New Roman"/>
                <w:szCs w:val="24"/>
              </w:rPr>
              <w:t>0,02</w:t>
            </w:r>
          </w:p>
        </w:tc>
        <w:tc>
          <w:tcPr>
            <w:tcW w:w="1072" w:type="dxa"/>
          </w:tcPr>
          <w:p w14:paraId="476C96D5" w14:textId="144FDE3B" w:rsidR="00963E55" w:rsidRPr="000F0B7F" w:rsidRDefault="00963E55" w:rsidP="00963E55">
            <w:pPr>
              <w:autoSpaceDE w:val="0"/>
              <w:autoSpaceDN w:val="0"/>
              <w:adjustRightInd w:val="0"/>
              <w:spacing w:line="276" w:lineRule="auto"/>
              <w:jc w:val="center"/>
              <w:rPr>
                <w:rFonts w:cs="Times New Roman"/>
                <w:szCs w:val="24"/>
              </w:rPr>
            </w:pPr>
            <w:r>
              <w:rPr>
                <w:rFonts w:cs="Times New Roman"/>
                <w:szCs w:val="24"/>
              </w:rPr>
              <w:t>0,02</w:t>
            </w:r>
          </w:p>
        </w:tc>
        <w:tc>
          <w:tcPr>
            <w:tcW w:w="1072" w:type="dxa"/>
          </w:tcPr>
          <w:p w14:paraId="2BE34E3C" w14:textId="0DB3BD5B" w:rsidR="00963E55" w:rsidRPr="000F0B7F" w:rsidRDefault="00E65683" w:rsidP="00963E55">
            <w:pPr>
              <w:autoSpaceDE w:val="0"/>
              <w:autoSpaceDN w:val="0"/>
              <w:adjustRightInd w:val="0"/>
              <w:spacing w:line="276" w:lineRule="auto"/>
              <w:jc w:val="center"/>
              <w:rPr>
                <w:rFonts w:cs="Times New Roman"/>
                <w:szCs w:val="24"/>
              </w:rPr>
            </w:pPr>
            <w:r>
              <w:rPr>
                <w:rFonts w:cs="Times New Roman"/>
                <w:szCs w:val="24"/>
              </w:rPr>
              <w:t>0,03</w:t>
            </w:r>
          </w:p>
        </w:tc>
      </w:tr>
      <w:tr w:rsidR="00963E55" w14:paraId="6667F749" w14:textId="77777777" w:rsidTr="00963E55">
        <w:tc>
          <w:tcPr>
            <w:tcW w:w="668" w:type="dxa"/>
          </w:tcPr>
          <w:p w14:paraId="751CD1A0" w14:textId="3A14A12F" w:rsidR="00963E55" w:rsidRPr="000F0B7F" w:rsidRDefault="00A808E2" w:rsidP="00963E55">
            <w:pPr>
              <w:autoSpaceDE w:val="0"/>
              <w:autoSpaceDN w:val="0"/>
              <w:adjustRightInd w:val="0"/>
              <w:spacing w:line="276" w:lineRule="auto"/>
              <w:jc w:val="center"/>
              <w:rPr>
                <w:rFonts w:cs="Times New Roman"/>
                <w:szCs w:val="24"/>
              </w:rPr>
            </w:pPr>
            <w:r>
              <w:rPr>
                <w:rFonts w:cs="Times New Roman"/>
                <w:szCs w:val="24"/>
              </w:rPr>
              <w:lastRenderedPageBreak/>
              <w:t>6</w:t>
            </w:r>
            <w:r w:rsidR="00963E55" w:rsidRPr="000F0B7F">
              <w:rPr>
                <w:rFonts w:cs="Times New Roman"/>
                <w:szCs w:val="24"/>
              </w:rPr>
              <w:t>.</w:t>
            </w:r>
          </w:p>
        </w:tc>
        <w:tc>
          <w:tcPr>
            <w:tcW w:w="1737" w:type="dxa"/>
          </w:tcPr>
          <w:p w14:paraId="6DA2CBAD" w14:textId="77777777" w:rsidR="00963E55" w:rsidRPr="000F0B7F" w:rsidRDefault="00963E55" w:rsidP="00963E55">
            <w:pPr>
              <w:autoSpaceDE w:val="0"/>
              <w:autoSpaceDN w:val="0"/>
              <w:adjustRightInd w:val="0"/>
              <w:spacing w:line="276" w:lineRule="auto"/>
              <w:jc w:val="center"/>
              <w:rPr>
                <w:rFonts w:cs="Times New Roman"/>
                <w:szCs w:val="24"/>
              </w:rPr>
            </w:pPr>
            <w:r w:rsidRPr="000F0B7F">
              <w:rPr>
                <w:rFonts w:cs="Times New Roman"/>
                <w:szCs w:val="24"/>
              </w:rPr>
              <w:t>UNTR</w:t>
            </w:r>
          </w:p>
        </w:tc>
        <w:tc>
          <w:tcPr>
            <w:tcW w:w="859" w:type="dxa"/>
          </w:tcPr>
          <w:p w14:paraId="196CA310" w14:textId="4AC92E17" w:rsidR="00963E55" w:rsidRPr="000F0B7F" w:rsidRDefault="00963E55" w:rsidP="00963E55">
            <w:pPr>
              <w:autoSpaceDE w:val="0"/>
              <w:autoSpaceDN w:val="0"/>
              <w:adjustRightInd w:val="0"/>
              <w:spacing w:line="276" w:lineRule="auto"/>
              <w:jc w:val="center"/>
              <w:rPr>
                <w:rFonts w:cs="Times New Roman"/>
                <w:szCs w:val="24"/>
              </w:rPr>
            </w:pPr>
            <w:r>
              <w:rPr>
                <w:rFonts w:cs="Times New Roman"/>
                <w:szCs w:val="24"/>
              </w:rPr>
              <w:t>0,10</w:t>
            </w:r>
          </w:p>
        </w:tc>
        <w:tc>
          <w:tcPr>
            <w:tcW w:w="1072" w:type="dxa"/>
          </w:tcPr>
          <w:p w14:paraId="77B84FFC" w14:textId="3C4FA030" w:rsidR="00963E55" w:rsidRPr="000F0B7F" w:rsidRDefault="00A808E2" w:rsidP="00963E55">
            <w:pPr>
              <w:autoSpaceDE w:val="0"/>
              <w:autoSpaceDN w:val="0"/>
              <w:adjustRightInd w:val="0"/>
              <w:spacing w:line="276" w:lineRule="auto"/>
              <w:jc w:val="center"/>
              <w:rPr>
                <w:rFonts w:cs="Times New Roman"/>
                <w:szCs w:val="24"/>
              </w:rPr>
            </w:pPr>
            <w:r>
              <w:rPr>
                <w:rFonts w:cs="Times New Roman"/>
                <w:szCs w:val="24"/>
              </w:rPr>
              <w:t>0,06</w:t>
            </w:r>
          </w:p>
        </w:tc>
        <w:tc>
          <w:tcPr>
            <w:tcW w:w="1072" w:type="dxa"/>
          </w:tcPr>
          <w:p w14:paraId="74E17912" w14:textId="0CF6A4E4" w:rsidR="00963E55" w:rsidRPr="000F0B7F" w:rsidRDefault="00963E55" w:rsidP="00963E55">
            <w:pPr>
              <w:autoSpaceDE w:val="0"/>
              <w:autoSpaceDN w:val="0"/>
              <w:adjustRightInd w:val="0"/>
              <w:spacing w:line="276" w:lineRule="auto"/>
              <w:jc w:val="center"/>
              <w:rPr>
                <w:rFonts w:cs="Times New Roman"/>
                <w:szCs w:val="24"/>
              </w:rPr>
            </w:pPr>
            <w:r>
              <w:rPr>
                <w:rFonts w:cs="Times New Roman"/>
                <w:szCs w:val="24"/>
              </w:rPr>
              <w:t>0,09</w:t>
            </w:r>
          </w:p>
        </w:tc>
        <w:tc>
          <w:tcPr>
            <w:tcW w:w="1072" w:type="dxa"/>
          </w:tcPr>
          <w:p w14:paraId="08EE9191" w14:textId="57A7DA48" w:rsidR="00963E55" w:rsidRPr="000F0B7F" w:rsidRDefault="00963E55" w:rsidP="00963E55">
            <w:pPr>
              <w:autoSpaceDE w:val="0"/>
              <w:autoSpaceDN w:val="0"/>
              <w:adjustRightInd w:val="0"/>
              <w:spacing w:line="276" w:lineRule="auto"/>
              <w:jc w:val="center"/>
              <w:rPr>
                <w:rFonts w:cs="Times New Roman"/>
                <w:szCs w:val="24"/>
              </w:rPr>
            </w:pPr>
            <w:r>
              <w:rPr>
                <w:rFonts w:cs="Times New Roman"/>
                <w:szCs w:val="24"/>
              </w:rPr>
              <w:t>0,16</w:t>
            </w:r>
          </w:p>
        </w:tc>
        <w:tc>
          <w:tcPr>
            <w:tcW w:w="1072" w:type="dxa"/>
          </w:tcPr>
          <w:p w14:paraId="43531C0D" w14:textId="662F056D" w:rsidR="00963E55" w:rsidRPr="000F0B7F" w:rsidRDefault="00963E55" w:rsidP="00963E55">
            <w:pPr>
              <w:autoSpaceDE w:val="0"/>
              <w:autoSpaceDN w:val="0"/>
              <w:adjustRightInd w:val="0"/>
              <w:spacing w:line="276" w:lineRule="auto"/>
              <w:jc w:val="center"/>
              <w:rPr>
                <w:rFonts w:cs="Times New Roman"/>
                <w:szCs w:val="24"/>
              </w:rPr>
            </w:pPr>
            <w:r>
              <w:rPr>
                <w:rFonts w:cs="Times New Roman"/>
                <w:szCs w:val="24"/>
              </w:rPr>
              <w:t>0,14</w:t>
            </w:r>
          </w:p>
        </w:tc>
      </w:tr>
      <w:tr w:rsidR="00963E55" w14:paraId="433FE5E3" w14:textId="77777777" w:rsidTr="00963E55">
        <w:tc>
          <w:tcPr>
            <w:tcW w:w="668" w:type="dxa"/>
          </w:tcPr>
          <w:p w14:paraId="3D86A02F" w14:textId="3CC2B97B" w:rsidR="00963E55" w:rsidRPr="000F0B7F" w:rsidRDefault="00A808E2" w:rsidP="00963E55">
            <w:pPr>
              <w:autoSpaceDE w:val="0"/>
              <w:autoSpaceDN w:val="0"/>
              <w:adjustRightInd w:val="0"/>
              <w:spacing w:line="276" w:lineRule="auto"/>
              <w:jc w:val="center"/>
              <w:rPr>
                <w:rFonts w:cs="Times New Roman"/>
                <w:szCs w:val="24"/>
              </w:rPr>
            </w:pPr>
            <w:r>
              <w:rPr>
                <w:rFonts w:cs="Times New Roman"/>
                <w:szCs w:val="24"/>
              </w:rPr>
              <w:t>7</w:t>
            </w:r>
            <w:r w:rsidR="00963E55" w:rsidRPr="000F0B7F">
              <w:rPr>
                <w:rFonts w:cs="Times New Roman"/>
                <w:szCs w:val="24"/>
              </w:rPr>
              <w:t>.</w:t>
            </w:r>
          </w:p>
        </w:tc>
        <w:tc>
          <w:tcPr>
            <w:tcW w:w="1737" w:type="dxa"/>
          </w:tcPr>
          <w:p w14:paraId="70BBFDCB" w14:textId="77777777" w:rsidR="00963E55" w:rsidRPr="000F0B7F" w:rsidRDefault="00963E55" w:rsidP="00963E55">
            <w:pPr>
              <w:autoSpaceDE w:val="0"/>
              <w:autoSpaceDN w:val="0"/>
              <w:adjustRightInd w:val="0"/>
              <w:spacing w:line="276" w:lineRule="auto"/>
              <w:jc w:val="center"/>
              <w:rPr>
                <w:rFonts w:cs="Times New Roman"/>
                <w:szCs w:val="24"/>
              </w:rPr>
            </w:pPr>
            <w:r w:rsidRPr="000F0B7F">
              <w:rPr>
                <w:rFonts w:cs="Times New Roman"/>
                <w:szCs w:val="24"/>
              </w:rPr>
              <w:t>UNVR</w:t>
            </w:r>
          </w:p>
        </w:tc>
        <w:tc>
          <w:tcPr>
            <w:tcW w:w="859" w:type="dxa"/>
          </w:tcPr>
          <w:p w14:paraId="770442F6" w14:textId="56CAC2DF" w:rsidR="00963E55" w:rsidRPr="000F0B7F" w:rsidRDefault="00A808E2" w:rsidP="00963E55">
            <w:pPr>
              <w:autoSpaceDE w:val="0"/>
              <w:autoSpaceDN w:val="0"/>
              <w:adjustRightInd w:val="0"/>
              <w:spacing w:line="276" w:lineRule="auto"/>
              <w:jc w:val="center"/>
              <w:rPr>
                <w:rFonts w:cs="Times New Roman"/>
                <w:szCs w:val="24"/>
              </w:rPr>
            </w:pPr>
            <w:r>
              <w:rPr>
                <w:rFonts w:cs="Times New Roman"/>
                <w:szCs w:val="24"/>
              </w:rPr>
              <w:t>0,36</w:t>
            </w:r>
          </w:p>
        </w:tc>
        <w:tc>
          <w:tcPr>
            <w:tcW w:w="1072" w:type="dxa"/>
          </w:tcPr>
          <w:p w14:paraId="7989DF0F" w14:textId="0FCF6E40" w:rsidR="00963E55" w:rsidRPr="000F0B7F" w:rsidRDefault="00A808E2" w:rsidP="00963E55">
            <w:pPr>
              <w:autoSpaceDE w:val="0"/>
              <w:autoSpaceDN w:val="0"/>
              <w:adjustRightInd w:val="0"/>
              <w:spacing w:line="276" w:lineRule="auto"/>
              <w:jc w:val="center"/>
              <w:rPr>
                <w:rFonts w:cs="Times New Roman"/>
                <w:szCs w:val="24"/>
              </w:rPr>
            </w:pPr>
            <w:r>
              <w:rPr>
                <w:rFonts w:cs="Times New Roman"/>
                <w:szCs w:val="24"/>
              </w:rPr>
              <w:t>0,35</w:t>
            </w:r>
          </w:p>
        </w:tc>
        <w:tc>
          <w:tcPr>
            <w:tcW w:w="1072" w:type="dxa"/>
          </w:tcPr>
          <w:p w14:paraId="393F40DB" w14:textId="1A2DB4B8" w:rsidR="00963E55" w:rsidRPr="000F0B7F" w:rsidRDefault="00963E55" w:rsidP="00963E55">
            <w:pPr>
              <w:autoSpaceDE w:val="0"/>
              <w:autoSpaceDN w:val="0"/>
              <w:adjustRightInd w:val="0"/>
              <w:spacing w:line="276" w:lineRule="auto"/>
              <w:jc w:val="center"/>
              <w:rPr>
                <w:rFonts w:cs="Times New Roman"/>
                <w:szCs w:val="24"/>
              </w:rPr>
            </w:pPr>
            <w:r>
              <w:rPr>
                <w:rFonts w:cs="Times New Roman"/>
                <w:szCs w:val="24"/>
              </w:rPr>
              <w:t>0,30</w:t>
            </w:r>
          </w:p>
        </w:tc>
        <w:tc>
          <w:tcPr>
            <w:tcW w:w="1072" w:type="dxa"/>
          </w:tcPr>
          <w:p w14:paraId="4AA7D585" w14:textId="04573C75" w:rsidR="00963E55" w:rsidRPr="000F0B7F" w:rsidRDefault="00963E55" w:rsidP="00963E55">
            <w:pPr>
              <w:autoSpaceDE w:val="0"/>
              <w:autoSpaceDN w:val="0"/>
              <w:adjustRightInd w:val="0"/>
              <w:spacing w:line="276" w:lineRule="auto"/>
              <w:jc w:val="center"/>
              <w:rPr>
                <w:rFonts w:cs="Times New Roman"/>
                <w:szCs w:val="24"/>
              </w:rPr>
            </w:pPr>
            <w:r>
              <w:rPr>
                <w:rFonts w:cs="Times New Roman"/>
                <w:szCs w:val="24"/>
              </w:rPr>
              <w:t>0,29</w:t>
            </w:r>
          </w:p>
        </w:tc>
        <w:tc>
          <w:tcPr>
            <w:tcW w:w="1072" w:type="dxa"/>
          </w:tcPr>
          <w:p w14:paraId="23B71F7E" w14:textId="679896BB" w:rsidR="00963E55" w:rsidRPr="000F0B7F" w:rsidRDefault="00E65683" w:rsidP="00963E55">
            <w:pPr>
              <w:autoSpaceDE w:val="0"/>
              <w:autoSpaceDN w:val="0"/>
              <w:adjustRightInd w:val="0"/>
              <w:spacing w:line="276" w:lineRule="auto"/>
              <w:jc w:val="center"/>
              <w:rPr>
                <w:rFonts w:cs="Times New Roman"/>
                <w:szCs w:val="24"/>
              </w:rPr>
            </w:pPr>
            <w:r>
              <w:rPr>
                <w:rFonts w:cs="Times New Roman"/>
                <w:szCs w:val="24"/>
              </w:rPr>
              <w:t>0,29</w:t>
            </w:r>
          </w:p>
        </w:tc>
      </w:tr>
      <w:tr w:rsidR="00963E55" w14:paraId="57F32407" w14:textId="77777777" w:rsidTr="00963E55">
        <w:tc>
          <w:tcPr>
            <w:tcW w:w="668" w:type="dxa"/>
          </w:tcPr>
          <w:p w14:paraId="05630963" w14:textId="10CF059F" w:rsidR="00963E55" w:rsidRPr="000F0B7F" w:rsidRDefault="00A808E2" w:rsidP="00963E55">
            <w:pPr>
              <w:autoSpaceDE w:val="0"/>
              <w:autoSpaceDN w:val="0"/>
              <w:adjustRightInd w:val="0"/>
              <w:spacing w:line="276" w:lineRule="auto"/>
              <w:jc w:val="center"/>
              <w:rPr>
                <w:rFonts w:cs="Times New Roman"/>
                <w:szCs w:val="24"/>
              </w:rPr>
            </w:pPr>
            <w:r>
              <w:rPr>
                <w:rFonts w:cs="Times New Roman"/>
                <w:szCs w:val="24"/>
              </w:rPr>
              <w:t>8</w:t>
            </w:r>
            <w:r w:rsidR="00963E55" w:rsidRPr="000F0B7F">
              <w:rPr>
                <w:rFonts w:cs="Times New Roman"/>
                <w:szCs w:val="24"/>
              </w:rPr>
              <w:t>.</w:t>
            </w:r>
          </w:p>
        </w:tc>
        <w:tc>
          <w:tcPr>
            <w:tcW w:w="1737" w:type="dxa"/>
          </w:tcPr>
          <w:p w14:paraId="436BDF3A" w14:textId="77777777" w:rsidR="00963E55" w:rsidRPr="000F0B7F" w:rsidRDefault="00963E55" w:rsidP="00963E55">
            <w:pPr>
              <w:autoSpaceDE w:val="0"/>
              <w:autoSpaceDN w:val="0"/>
              <w:adjustRightInd w:val="0"/>
              <w:spacing w:line="276" w:lineRule="auto"/>
              <w:jc w:val="center"/>
              <w:rPr>
                <w:rFonts w:cs="Times New Roman"/>
                <w:szCs w:val="24"/>
              </w:rPr>
            </w:pPr>
            <w:r>
              <w:rPr>
                <w:rFonts w:cs="Times New Roman"/>
                <w:szCs w:val="24"/>
              </w:rPr>
              <w:t>WI</w:t>
            </w:r>
            <w:r w:rsidRPr="000F0B7F">
              <w:rPr>
                <w:rFonts w:cs="Times New Roman"/>
                <w:szCs w:val="24"/>
              </w:rPr>
              <w:t>KA</w:t>
            </w:r>
          </w:p>
        </w:tc>
        <w:tc>
          <w:tcPr>
            <w:tcW w:w="859" w:type="dxa"/>
          </w:tcPr>
          <w:p w14:paraId="1C5F79C2" w14:textId="39A94697" w:rsidR="00963E55" w:rsidRPr="000F0B7F" w:rsidRDefault="00963E55" w:rsidP="00963E55">
            <w:pPr>
              <w:autoSpaceDE w:val="0"/>
              <w:autoSpaceDN w:val="0"/>
              <w:adjustRightInd w:val="0"/>
              <w:spacing w:line="276" w:lineRule="auto"/>
              <w:jc w:val="center"/>
              <w:rPr>
                <w:rFonts w:cs="Times New Roman"/>
                <w:szCs w:val="24"/>
              </w:rPr>
            </w:pPr>
            <w:r>
              <w:rPr>
                <w:rFonts w:cs="Times New Roman"/>
                <w:szCs w:val="24"/>
              </w:rPr>
              <w:t>0,04</w:t>
            </w:r>
          </w:p>
        </w:tc>
        <w:tc>
          <w:tcPr>
            <w:tcW w:w="1072" w:type="dxa"/>
          </w:tcPr>
          <w:p w14:paraId="15CEB81C" w14:textId="66D48266" w:rsidR="00963E55" w:rsidRPr="000F0B7F" w:rsidRDefault="00963E55" w:rsidP="00963E55">
            <w:pPr>
              <w:autoSpaceDE w:val="0"/>
              <w:autoSpaceDN w:val="0"/>
              <w:adjustRightInd w:val="0"/>
              <w:spacing w:line="276" w:lineRule="auto"/>
              <w:jc w:val="center"/>
              <w:rPr>
                <w:rFonts w:cs="Times New Roman"/>
                <w:szCs w:val="24"/>
              </w:rPr>
            </w:pPr>
            <w:r>
              <w:rPr>
                <w:rFonts w:cs="Times New Roman"/>
                <w:szCs w:val="24"/>
              </w:rPr>
              <w:t>0,00</w:t>
            </w:r>
          </w:p>
        </w:tc>
        <w:tc>
          <w:tcPr>
            <w:tcW w:w="1072" w:type="dxa"/>
          </w:tcPr>
          <w:p w14:paraId="3679B93A" w14:textId="64AEFD9A" w:rsidR="00963E55" w:rsidRPr="000F0B7F" w:rsidRDefault="00E65683" w:rsidP="00963E55">
            <w:pPr>
              <w:autoSpaceDE w:val="0"/>
              <w:autoSpaceDN w:val="0"/>
              <w:adjustRightInd w:val="0"/>
              <w:spacing w:line="276" w:lineRule="auto"/>
              <w:jc w:val="center"/>
              <w:rPr>
                <w:rFonts w:cs="Times New Roman"/>
                <w:szCs w:val="24"/>
              </w:rPr>
            </w:pPr>
            <w:r>
              <w:rPr>
                <w:rFonts w:cs="Times New Roman"/>
                <w:szCs w:val="24"/>
              </w:rPr>
              <w:t>0,00</w:t>
            </w:r>
          </w:p>
        </w:tc>
        <w:tc>
          <w:tcPr>
            <w:tcW w:w="1072" w:type="dxa"/>
          </w:tcPr>
          <w:p w14:paraId="76C3C29B" w14:textId="16CFAC92" w:rsidR="00963E55" w:rsidRPr="000F0B7F" w:rsidRDefault="00963E55" w:rsidP="00963E55">
            <w:pPr>
              <w:autoSpaceDE w:val="0"/>
              <w:autoSpaceDN w:val="0"/>
              <w:adjustRightInd w:val="0"/>
              <w:spacing w:line="276" w:lineRule="auto"/>
              <w:jc w:val="center"/>
              <w:rPr>
                <w:rFonts w:cs="Times New Roman"/>
                <w:szCs w:val="24"/>
              </w:rPr>
            </w:pPr>
            <w:r>
              <w:rPr>
                <w:rFonts w:cs="Times New Roman"/>
                <w:szCs w:val="24"/>
              </w:rPr>
              <w:t>0,00</w:t>
            </w:r>
          </w:p>
        </w:tc>
        <w:tc>
          <w:tcPr>
            <w:tcW w:w="1072" w:type="dxa"/>
          </w:tcPr>
          <w:p w14:paraId="4F0D9AA9" w14:textId="33D98418" w:rsidR="00963E55" w:rsidRPr="000F0B7F" w:rsidRDefault="00E65683" w:rsidP="00963E55">
            <w:pPr>
              <w:autoSpaceDE w:val="0"/>
              <w:autoSpaceDN w:val="0"/>
              <w:adjustRightInd w:val="0"/>
              <w:spacing w:line="276" w:lineRule="auto"/>
              <w:jc w:val="center"/>
              <w:rPr>
                <w:rFonts w:cs="Times New Roman"/>
                <w:szCs w:val="24"/>
              </w:rPr>
            </w:pPr>
            <w:r>
              <w:rPr>
                <w:rFonts w:cs="Times New Roman"/>
                <w:szCs w:val="24"/>
              </w:rPr>
              <w:t>0,12</w:t>
            </w:r>
          </w:p>
        </w:tc>
      </w:tr>
      <w:tr w:rsidR="00963E55" w14:paraId="5FDBC4BF" w14:textId="77777777" w:rsidTr="00963E55">
        <w:tc>
          <w:tcPr>
            <w:tcW w:w="2405" w:type="dxa"/>
            <w:gridSpan w:val="2"/>
          </w:tcPr>
          <w:p w14:paraId="25BA0A32" w14:textId="77777777" w:rsidR="00963E55" w:rsidRPr="00270B21" w:rsidRDefault="00963E55" w:rsidP="00963E55">
            <w:pPr>
              <w:autoSpaceDE w:val="0"/>
              <w:autoSpaceDN w:val="0"/>
              <w:adjustRightInd w:val="0"/>
              <w:spacing w:line="276" w:lineRule="auto"/>
              <w:jc w:val="center"/>
              <w:rPr>
                <w:rFonts w:cs="Times New Roman"/>
                <w:szCs w:val="24"/>
              </w:rPr>
            </w:pPr>
            <w:r w:rsidRPr="00270B21">
              <w:rPr>
                <w:rFonts w:cs="Times New Roman"/>
                <w:szCs w:val="24"/>
              </w:rPr>
              <w:t>Nila</w:t>
            </w:r>
            <w:r>
              <w:rPr>
                <w:rFonts w:cs="Times New Roman"/>
                <w:szCs w:val="24"/>
              </w:rPr>
              <w:t>i T</w:t>
            </w:r>
            <w:r w:rsidRPr="00270B21">
              <w:rPr>
                <w:rFonts w:cs="Times New Roman"/>
                <w:szCs w:val="24"/>
              </w:rPr>
              <w:t>ertinggi</w:t>
            </w:r>
          </w:p>
        </w:tc>
        <w:tc>
          <w:tcPr>
            <w:tcW w:w="5147" w:type="dxa"/>
            <w:gridSpan w:val="5"/>
          </w:tcPr>
          <w:p w14:paraId="6D25D7FC" w14:textId="2B6B54FB" w:rsidR="00963E55" w:rsidRPr="00270B21" w:rsidRDefault="00A808E2" w:rsidP="00963E55">
            <w:pPr>
              <w:autoSpaceDE w:val="0"/>
              <w:autoSpaceDN w:val="0"/>
              <w:adjustRightInd w:val="0"/>
              <w:spacing w:line="276" w:lineRule="auto"/>
              <w:jc w:val="center"/>
              <w:rPr>
                <w:rFonts w:cs="Times New Roman"/>
                <w:szCs w:val="24"/>
              </w:rPr>
            </w:pPr>
            <w:r>
              <w:rPr>
                <w:rFonts w:cs="Times New Roman"/>
                <w:szCs w:val="24"/>
              </w:rPr>
              <w:t>0.34</w:t>
            </w:r>
          </w:p>
        </w:tc>
      </w:tr>
      <w:tr w:rsidR="00963E55" w14:paraId="1B4DDEFE" w14:textId="77777777" w:rsidTr="00963E55">
        <w:tc>
          <w:tcPr>
            <w:tcW w:w="2405" w:type="dxa"/>
            <w:gridSpan w:val="2"/>
          </w:tcPr>
          <w:p w14:paraId="0D17CA4D" w14:textId="77777777" w:rsidR="00963E55" w:rsidRPr="00270B21" w:rsidRDefault="00963E55" w:rsidP="00963E55">
            <w:pPr>
              <w:autoSpaceDE w:val="0"/>
              <w:autoSpaceDN w:val="0"/>
              <w:adjustRightInd w:val="0"/>
              <w:spacing w:line="276" w:lineRule="auto"/>
              <w:jc w:val="center"/>
              <w:rPr>
                <w:rFonts w:cs="Times New Roman"/>
                <w:szCs w:val="24"/>
              </w:rPr>
            </w:pPr>
            <w:r w:rsidRPr="00270B21">
              <w:rPr>
                <w:rFonts w:cs="Times New Roman"/>
                <w:szCs w:val="24"/>
              </w:rPr>
              <w:t xml:space="preserve">Nilai </w:t>
            </w:r>
            <w:r>
              <w:rPr>
                <w:rFonts w:cs="Times New Roman"/>
                <w:szCs w:val="24"/>
              </w:rPr>
              <w:t>T</w:t>
            </w:r>
            <w:r w:rsidRPr="00270B21">
              <w:rPr>
                <w:rFonts w:cs="Times New Roman"/>
                <w:szCs w:val="24"/>
              </w:rPr>
              <w:t xml:space="preserve">erendah </w:t>
            </w:r>
          </w:p>
        </w:tc>
        <w:tc>
          <w:tcPr>
            <w:tcW w:w="5147" w:type="dxa"/>
            <w:gridSpan w:val="5"/>
          </w:tcPr>
          <w:p w14:paraId="64B8A990" w14:textId="2BE68FA7" w:rsidR="00963E55" w:rsidRPr="00270B21" w:rsidRDefault="00A808E2" w:rsidP="00963E55">
            <w:pPr>
              <w:autoSpaceDE w:val="0"/>
              <w:autoSpaceDN w:val="0"/>
              <w:adjustRightInd w:val="0"/>
              <w:spacing w:line="276" w:lineRule="auto"/>
              <w:jc w:val="center"/>
              <w:rPr>
                <w:rFonts w:cs="Times New Roman"/>
                <w:szCs w:val="24"/>
              </w:rPr>
            </w:pPr>
            <w:r>
              <w:rPr>
                <w:rFonts w:cs="Times New Roman"/>
                <w:szCs w:val="24"/>
              </w:rPr>
              <w:t>0.08</w:t>
            </w:r>
          </w:p>
        </w:tc>
      </w:tr>
      <w:tr w:rsidR="00963E55" w14:paraId="11E75367" w14:textId="77777777" w:rsidTr="00963E55">
        <w:tc>
          <w:tcPr>
            <w:tcW w:w="2405" w:type="dxa"/>
            <w:gridSpan w:val="2"/>
          </w:tcPr>
          <w:p w14:paraId="15707C69" w14:textId="77777777" w:rsidR="00963E55" w:rsidRPr="00270B21" w:rsidRDefault="00963E55" w:rsidP="00963E55">
            <w:pPr>
              <w:autoSpaceDE w:val="0"/>
              <w:autoSpaceDN w:val="0"/>
              <w:adjustRightInd w:val="0"/>
              <w:spacing w:line="276" w:lineRule="auto"/>
              <w:jc w:val="center"/>
              <w:rPr>
                <w:rFonts w:cs="Times New Roman"/>
                <w:szCs w:val="24"/>
              </w:rPr>
            </w:pPr>
            <w:r w:rsidRPr="00270B21">
              <w:rPr>
                <w:rFonts w:cs="Times New Roman"/>
                <w:szCs w:val="24"/>
              </w:rPr>
              <w:t xml:space="preserve">Nilai </w:t>
            </w:r>
            <w:r>
              <w:rPr>
                <w:rFonts w:cs="Times New Roman"/>
                <w:szCs w:val="24"/>
              </w:rPr>
              <w:t>R</w:t>
            </w:r>
            <w:r w:rsidRPr="00270B21">
              <w:rPr>
                <w:rFonts w:cs="Times New Roman"/>
                <w:szCs w:val="24"/>
              </w:rPr>
              <w:t xml:space="preserve">ata-rata </w:t>
            </w:r>
          </w:p>
        </w:tc>
        <w:tc>
          <w:tcPr>
            <w:tcW w:w="5147" w:type="dxa"/>
            <w:gridSpan w:val="5"/>
          </w:tcPr>
          <w:p w14:paraId="17617C39" w14:textId="3FCA0F84" w:rsidR="00963E55" w:rsidRPr="00270B21" w:rsidRDefault="00A808E2" w:rsidP="00963E55">
            <w:pPr>
              <w:autoSpaceDE w:val="0"/>
              <w:autoSpaceDN w:val="0"/>
              <w:adjustRightInd w:val="0"/>
              <w:spacing w:line="276" w:lineRule="auto"/>
              <w:jc w:val="center"/>
              <w:rPr>
                <w:rFonts w:cs="Times New Roman"/>
                <w:szCs w:val="24"/>
              </w:rPr>
            </w:pPr>
            <w:r>
              <w:rPr>
                <w:rFonts w:cs="Times New Roman"/>
                <w:szCs w:val="24"/>
              </w:rPr>
              <w:t>0.0553</w:t>
            </w:r>
          </w:p>
        </w:tc>
      </w:tr>
    </w:tbl>
    <w:p w14:paraId="72774ED6" w14:textId="0235AC6D" w:rsidR="00963E55" w:rsidRDefault="00963E55" w:rsidP="00963E55">
      <w:pPr>
        <w:autoSpaceDE w:val="0"/>
        <w:autoSpaceDN w:val="0"/>
        <w:adjustRightInd w:val="0"/>
        <w:spacing w:after="0" w:line="480" w:lineRule="auto"/>
        <w:ind w:firstLine="720"/>
        <w:rPr>
          <w:rFonts w:cs="Times New Roman"/>
          <w:szCs w:val="24"/>
        </w:rPr>
      </w:pPr>
      <w:r w:rsidRPr="00270B21">
        <w:rPr>
          <w:rFonts w:cs="Times New Roman"/>
          <w:szCs w:val="24"/>
        </w:rPr>
        <w:t>Su</w:t>
      </w:r>
      <w:r>
        <w:rPr>
          <w:rFonts w:cs="Times New Roman"/>
          <w:szCs w:val="24"/>
        </w:rPr>
        <w:t>mber</w:t>
      </w:r>
      <w:r w:rsidRPr="00270B21">
        <w:rPr>
          <w:rFonts w:cs="Times New Roman"/>
          <w:szCs w:val="24"/>
        </w:rPr>
        <w:t>: Data sekunder yang diolah tahun 2024</w:t>
      </w:r>
    </w:p>
    <w:p w14:paraId="0B6400F7" w14:textId="54FCB3B9" w:rsidR="0095208E" w:rsidRDefault="0095208E" w:rsidP="00B56A82">
      <w:pPr>
        <w:autoSpaceDE w:val="0"/>
        <w:autoSpaceDN w:val="0"/>
        <w:adjustRightInd w:val="0"/>
        <w:spacing w:after="0" w:line="480" w:lineRule="auto"/>
        <w:ind w:left="709" w:firstLine="425"/>
        <w:rPr>
          <w:rFonts w:cs="Times New Roman"/>
          <w:szCs w:val="24"/>
        </w:rPr>
      </w:pPr>
      <w:r w:rsidRPr="009D6F1C">
        <w:rPr>
          <w:rFonts w:cs="Times New Roman"/>
          <w:szCs w:val="24"/>
        </w:rPr>
        <w:t>Berdasarkan tab</w:t>
      </w:r>
      <w:r>
        <w:rPr>
          <w:rFonts w:cs="Times New Roman"/>
          <w:szCs w:val="24"/>
        </w:rPr>
        <w:t xml:space="preserve">el diatas, data variabel </w:t>
      </w:r>
      <w:r>
        <w:rPr>
          <w:i/>
        </w:rPr>
        <w:t>Profitabilitas</w:t>
      </w:r>
      <w:r w:rsidRPr="009D6F1C">
        <w:rPr>
          <w:rFonts w:cs="Times New Roman"/>
          <w:szCs w:val="24"/>
        </w:rPr>
        <w:t xml:space="preserve"> pada tahun 2019-2023 bisa digambarka</w:t>
      </w:r>
      <w:r w:rsidR="00B56A82">
        <w:rPr>
          <w:rFonts w:cs="Times New Roman"/>
          <w:szCs w:val="24"/>
        </w:rPr>
        <w:t>n dengan grafik sebagai berikut:</w:t>
      </w:r>
    </w:p>
    <w:p w14:paraId="0825EFBD" w14:textId="60F6A49D" w:rsidR="0095208E" w:rsidRPr="00C512DE" w:rsidRDefault="00C512DE" w:rsidP="00C512DE">
      <w:pPr>
        <w:pStyle w:val="Caption"/>
        <w:jc w:val="center"/>
        <w:rPr>
          <w:rFonts w:cs="Times New Roman"/>
          <w:b w:val="0"/>
          <w:color w:val="auto"/>
          <w:sz w:val="24"/>
          <w:szCs w:val="24"/>
        </w:rPr>
      </w:pPr>
      <w:bookmarkStart w:id="26" w:name="_Toc168371623"/>
      <w:r w:rsidRPr="00C512DE">
        <w:rPr>
          <w:color w:val="auto"/>
          <w:sz w:val="24"/>
          <w:szCs w:val="24"/>
        </w:rPr>
        <w:t xml:space="preserve">Gambar.  </w:t>
      </w:r>
      <w:r w:rsidRPr="00C512DE">
        <w:rPr>
          <w:color w:val="auto"/>
          <w:sz w:val="24"/>
          <w:szCs w:val="24"/>
        </w:rPr>
        <w:fldChar w:fldCharType="begin"/>
      </w:r>
      <w:r w:rsidRPr="00C512DE">
        <w:rPr>
          <w:color w:val="auto"/>
          <w:sz w:val="24"/>
          <w:szCs w:val="24"/>
        </w:rPr>
        <w:instrText xml:space="preserve"> SEQ Gambar._ \* ARABIC </w:instrText>
      </w:r>
      <w:r w:rsidRPr="00C512DE">
        <w:rPr>
          <w:color w:val="auto"/>
          <w:sz w:val="24"/>
          <w:szCs w:val="24"/>
        </w:rPr>
        <w:fldChar w:fldCharType="separate"/>
      </w:r>
      <w:r w:rsidR="0017483D">
        <w:rPr>
          <w:noProof/>
          <w:color w:val="auto"/>
          <w:sz w:val="24"/>
          <w:szCs w:val="24"/>
        </w:rPr>
        <w:t>8</w:t>
      </w:r>
      <w:r w:rsidRPr="00C512DE">
        <w:rPr>
          <w:color w:val="auto"/>
          <w:sz w:val="24"/>
          <w:szCs w:val="24"/>
        </w:rPr>
        <w:fldChar w:fldCharType="end"/>
      </w:r>
      <w:r w:rsidRPr="00C512DE">
        <w:rPr>
          <w:color w:val="auto"/>
          <w:sz w:val="24"/>
          <w:szCs w:val="24"/>
          <w:lang w:val="en-US"/>
        </w:rPr>
        <w:t xml:space="preserve"> Grafik Profitabilitas tahun 2019-2023</w:t>
      </w:r>
      <w:bookmarkEnd w:id="26"/>
    </w:p>
    <w:p w14:paraId="0488A741" w14:textId="74163514" w:rsidR="0095208E" w:rsidRDefault="00A808E2" w:rsidP="00664742">
      <w:pPr>
        <w:autoSpaceDE w:val="0"/>
        <w:autoSpaceDN w:val="0"/>
        <w:adjustRightInd w:val="0"/>
        <w:spacing w:after="0" w:line="276" w:lineRule="auto"/>
        <w:ind w:firstLine="425"/>
        <w:jc w:val="center"/>
        <w:rPr>
          <w:rFonts w:cs="Times New Roman"/>
          <w:b/>
          <w:szCs w:val="24"/>
        </w:rPr>
      </w:pPr>
      <w:r>
        <w:rPr>
          <w:noProof/>
        </w:rPr>
        <w:drawing>
          <wp:inline distT="0" distB="0" distL="0" distR="0" wp14:anchorId="12FF438B" wp14:editId="4EA0BCAD">
            <wp:extent cx="4572000" cy="27432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2B1F16" w14:textId="77777777" w:rsidR="00664742" w:rsidRDefault="00664742" w:rsidP="00664742">
      <w:pPr>
        <w:autoSpaceDE w:val="0"/>
        <w:autoSpaceDN w:val="0"/>
        <w:adjustRightInd w:val="0"/>
        <w:spacing w:after="0" w:line="480" w:lineRule="auto"/>
        <w:ind w:left="709"/>
        <w:rPr>
          <w:rFonts w:cs="Times New Roman"/>
          <w:szCs w:val="24"/>
        </w:rPr>
      </w:pPr>
      <w:r w:rsidRPr="00270B21">
        <w:rPr>
          <w:rFonts w:cs="Times New Roman"/>
          <w:szCs w:val="24"/>
        </w:rPr>
        <w:t>Su</w:t>
      </w:r>
      <w:r>
        <w:rPr>
          <w:rFonts w:cs="Times New Roman"/>
          <w:szCs w:val="24"/>
        </w:rPr>
        <w:t>mber</w:t>
      </w:r>
      <w:r w:rsidRPr="00270B21">
        <w:rPr>
          <w:rFonts w:cs="Times New Roman"/>
          <w:szCs w:val="24"/>
        </w:rPr>
        <w:t>: Data sekunder yang diolah tahun 2024</w:t>
      </w:r>
    </w:p>
    <w:p w14:paraId="20F3F02C" w14:textId="3C32BFAA" w:rsidR="00664742" w:rsidRDefault="00664742" w:rsidP="00664742">
      <w:pPr>
        <w:autoSpaceDE w:val="0"/>
        <w:autoSpaceDN w:val="0"/>
        <w:adjustRightInd w:val="0"/>
        <w:spacing w:after="0" w:line="480" w:lineRule="auto"/>
        <w:ind w:left="426" w:firstLine="425"/>
        <w:rPr>
          <w:rFonts w:cs="Times New Roman"/>
          <w:szCs w:val="24"/>
        </w:rPr>
      </w:pPr>
      <w:r w:rsidRPr="00664742">
        <w:rPr>
          <w:rFonts w:cs="Times New Roman"/>
          <w:szCs w:val="24"/>
        </w:rPr>
        <w:t>Berdasarkan grafik diatas, diketahui bahwa profitabilitas tertinggi pada tahun 2019 terdapat pada PT Unileve</w:t>
      </w:r>
      <w:r w:rsidR="00E65683">
        <w:rPr>
          <w:rFonts w:cs="Times New Roman"/>
          <w:szCs w:val="24"/>
        </w:rPr>
        <w:t>r Indonesia (UNVR) sebesar 0,36</w:t>
      </w:r>
      <w:r w:rsidRPr="00664742">
        <w:rPr>
          <w:rFonts w:cs="Times New Roman"/>
          <w:szCs w:val="24"/>
        </w:rPr>
        <w:t>% sedangkan profitabilitas terendah terdapat pada PT Bank Tabu</w:t>
      </w:r>
      <w:r w:rsidR="00E65683">
        <w:rPr>
          <w:rFonts w:cs="Times New Roman"/>
          <w:szCs w:val="24"/>
        </w:rPr>
        <w:t>ngan Negara (BBTN) sebesar 0,00</w:t>
      </w:r>
      <w:r w:rsidRPr="00664742">
        <w:rPr>
          <w:rFonts w:cs="Times New Roman"/>
          <w:szCs w:val="24"/>
        </w:rPr>
        <w:t>%. Pada tahun 2020  profitabilitas tertinggi terdapat pada PT Unileve</w:t>
      </w:r>
      <w:r w:rsidR="00E65683">
        <w:rPr>
          <w:rFonts w:cs="Times New Roman"/>
          <w:szCs w:val="24"/>
        </w:rPr>
        <w:t>r Indonesia (UNVR) sebesar 0,35</w:t>
      </w:r>
      <w:r w:rsidRPr="00664742">
        <w:rPr>
          <w:rFonts w:cs="Times New Roman"/>
          <w:szCs w:val="24"/>
        </w:rPr>
        <w:t>% sedangkan profitabilitas terendah terda</w:t>
      </w:r>
      <w:r w:rsidR="00E65683">
        <w:rPr>
          <w:rFonts w:cs="Times New Roman"/>
          <w:szCs w:val="24"/>
        </w:rPr>
        <w:t xml:space="preserve">pat pada </w:t>
      </w:r>
      <w:r w:rsidR="00E65683">
        <w:rPr>
          <w:rFonts w:cs="Times New Roman"/>
          <w:szCs w:val="24"/>
        </w:rPr>
        <w:lastRenderedPageBreak/>
        <w:t>PT Wijaya Karya (WIKA) sebesar 0,00</w:t>
      </w:r>
      <w:r w:rsidRPr="00664742">
        <w:rPr>
          <w:rFonts w:cs="Times New Roman"/>
          <w:szCs w:val="24"/>
        </w:rPr>
        <w:t>%. Pada tahun 2021 profitabilitas tertinggi terdapat pada PT Unileve</w:t>
      </w:r>
      <w:r w:rsidR="00E65683">
        <w:rPr>
          <w:rFonts w:cs="Times New Roman"/>
          <w:szCs w:val="24"/>
        </w:rPr>
        <w:t>r Indonesia (UNVR) sebesar 0,30</w:t>
      </w:r>
      <w:r w:rsidRPr="00664742">
        <w:rPr>
          <w:rFonts w:cs="Times New Roman"/>
          <w:szCs w:val="24"/>
        </w:rPr>
        <w:t>% sedangkan profitabilitas terendah terdapat pada PT Wijaya ka</w:t>
      </w:r>
      <w:r w:rsidR="00E65683">
        <w:rPr>
          <w:rFonts w:cs="Times New Roman"/>
          <w:szCs w:val="24"/>
        </w:rPr>
        <w:t>rya persero (WIKA) sebesar 0,00</w:t>
      </w:r>
      <w:r w:rsidRPr="00664742">
        <w:rPr>
          <w:rFonts w:cs="Times New Roman"/>
          <w:szCs w:val="24"/>
        </w:rPr>
        <w:t xml:space="preserve">%. Pada tahun 2022 profitabilitas tertinggi terdapat pada PT Unilever </w:t>
      </w:r>
      <w:r w:rsidR="00E65683">
        <w:rPr>
          <w:rFonts w:cs="Times New Roman"/>
          <w:szCs w:val="24"/>
        </w:rPr>
        <w:t>Indonesia (UNVR) sebesar 0,29</w:t>
      </w:r>
      <w:r w:rsidRPr="00664742">
        <w:rPr>
          <w:rFonts w:cs="Times New Roman"/>
          <w:szCs w:val="24"/>
        </w:rPr>
        <w:t>% sedangkan profitabilitas terendah terdapat pada PT Wijaya karya persero (WIKA) sebesar 0,00%. Dan pada tahun 2023 profitabilitas tertinggi terdapat pada PT Unilever</w:t>
      </w:r>
      <w:r w:rsidR="00E65683">
        <w:rPr>
          <w:rFonts w:cs="Times New Roman"/>
          <w:szCs w:val="24"/>
        </w:rPr>
        <w:t xml:space="preserve"> Indonesia  (UNVR) sebesar 0,29</w:t>
      </w:r>
      <w:r w:rsidRPr="00664742">
        <w:rPr>
          <w:rFonts w:cs="Times New Roman"/>
          <w:szCs w:val="24"/>
        </w:rPr>
        <w:t>% sedangkan profitabilitas terendah terdapat pada PT Bank</w:t>
      </w:r>
      <w:r w:rsidR="00E65683">
        <w:rPr>
          <w:rFonts w:cs="Times New Roman"/>
          <w:szCs w:val="24"/>
        </w:rPr>
        <w:t xml:space="preserve"> Tabungan</w:t>
      </w:r>
      <w:r w:rsidRPr="00664742">
        <w:rPr>
          <w:rFonts w:cs="Times New Roman"/>
          <w:szCs w:val="24"/>
        </w:rPr>
        <w:t xml:space="preserve"> Nega</w:t>
      </w:r>
      <w:r w:rsidR="00E65683">
        <w:rPr>
          <w:rFonts w:cs="Times New Roman"/>
          <w:szCs w:val="24"/>
        </w:rPr>
        <w:t>ra  (BBTN) sebesar 0,01</w:t>
      </w:r>
      <w:r w:rsidRPr="00664742">
        <w:rPr>
          <w:rFonts w:cs="Times New Roman"/>
          <w:szCs w:val="24"/>
        </w:rPr>
        <w:t>%.</w:t>
      </w:r>
    </w:p>
    <w:p w14:paraId="663DBD6D" w14:textId="0AED473B" w:rsidR="002F2D04" w:rsidRDefault="002F2D04" w:rsidP="00C512DE">
      <w:pPr>
        <w:pStyle w:val="Heading3"/>
        <w:numPr>
          <w:ilvl w:val="0"/>
          <w:numId w:val="9"/>
        </w:numPr>
        <w:spacing w:line="480" w:lineRule="auto"/>
      </w:pPr>
      <w:bookmarkStart w:id="27" w:name="_Toc170109888"/>
      <w:r>
        <w:t>Hasil Uji Asumsi Klasik</w:t>
      </w:r>
      <w:bookmarkEnd w:id="27"/>
    </w:p>
    <w:p w14:paraId="677DAA17" w14:textId="569E02C2" w:rsidR="00171F68" w:rsidRDefault="002F2D04" w:rsidP="00171F68">
      <w:pPr>
        <w:pStyle w:val="ListParagraph"/>
        <w:numPr>
          <w:ilvl w:val="1"/>
          <w:numId w:val="32"/>
        </w:numPr>
        <w:spacing w:line="480" w:lineRule="auto"/>
        <w:ind w:left="1134"/>
      </w:pPr>
      <w:r>
        <w:t xml:space="preserve">Uji Normalitas </w:t>
      </w:r>
    </w:p>
    <w:p w14:paraId="06DCA220" w14:textId="4A544C00" w:rsidR="000A7308" w:rsidRDefault="000A7308" w:rsidP="000A7308">
      <w:pPr>
        <w:pStyle w:val="ListParagraph"/>
        <w:spacing w:line="480" w:lineRule="auto"/>
        <w:ind w:left="1134" w:firstLine="306"/>
      </w:pPr>
      <w:r>
        <w:t>Uji normalitas bertujuan untuk</w:t>
      </w:r>
      <w:r w:rsidRPr="000A7308">
        <w:t xml:space="preserve"> </w:t>
      </w:r>
      <w:r>
        <w:t>mengetahui</w:t>
      </w:r>
      <w:r w:rsidRPr="000A7308">
        <w:t xml:space="preserve"> variabel bebas, variabel terikat, dan model regresi semuanya berdistribuni normal. Model regresi dikatakan baik jika memiliki distribusi normal atan mendekati, dan sebaliknya. Analisis graf merupakan salah satu teknik yang dapat digunakan untuk menentukan kenormalan</w:t>
      </w:r>
      <w:r>
        <w:t xml:space="preserve">. Uji normalitas juga </w:t>
      </w:r>
      <w:r w:rsidRPr="000A7308">
        <w:t xml:space="preserve">untuk menguji apakah nilai residual yang telah distandarisasi pada model regresi berdistribusi normal atau tidak. Nilai residual dikatakan berdistribusi normal jika nilai residual terstandarisası digambarkan dengan bentuk kurva akan membentuk gambar lonceng </w:t>
      </w:r>
      <w:r w:rsidRPr="000A7308">
        <w:rPr>
          <w:i/>
        </w:rPr>
        <w:t>(bell-shaped curve)</w:t>
      </w:r>
      <w:r w:rsidRPr="000A7308">
        <w:t xml:space="preserve"> yang kedua sisinya melebar sampai tidak terhingga</w:t>
      </w:r>
      <w:r>
        <w:t xml:space="preserve"> </w:t>
      </w:r>
      <w:r>
        <w:fldChar w:fldCharType="begin" w:fldLock="1"/>
      </w:r>
      <w:r w:rsidR="00207C13">
        <w:instrText>ADDIN CSL_CITATION {"citationItems":[{"id":"ITEM-1","itemData":{"ISBN":"978-979-29-2620-0","author":[{"dropping-particle":"","family":"Suliyanto","given":"","non-dropping-particle":"","parse-names":false,"suffix":""}],"id":"ITEM-1","issued":{"date-parts":[["2011"]]},"publisher":"ANDI","publisher-place":"Yogyakarta","title":"Ekonometrika Terapan - Teori dan Aplikasi dengan SPSS","type":"book"},"locator":"69","uris":["http://www.mendeley.com/documents/?uuid=e47a8f6d-c14e-4ef7-b342-4b581f677576"]}],"mendeley":{"formattedCitation":"(Suliyanto, 2011, p. 69)","manualFormatting":"(Suliyanto, 2011:69)","plainTextFormattedCitation":"(Suliyanto, 2011, p. 69)","previouslyFormattedCitation":"(Suliyanto, 2011, p. 69)"},"properties":{"noteIndex":0},"schema":"https://github.com/citation-style-language/schema/raw/master/csl-citation.json"}</w:instrText>
      </w:r>
      <w:r>
        <w:fldChar w:fldCharType="separate"/>
      </w:r>
      <w:r w:rsidRPr="000A7308">
        <w:rPr>
          <w:noProof/>
        </w:rPr>
        <w:t>(Suli</w:t>
      </w:r>
      <w:r>
        <w:rPr>
          <w:noProof/>
        </w:rPr>
        <w:t>yanto, 2011:</w:t>
      </w:r>
      <w:r w:rsidRPr="000A7308">
        <w:rPr>
          <w:noProof/>
        </w:rPr>
        <w:t>69)</w:t>
      </w:r>
      <w:r>
        <w:fldChar w:fldCharType="end"/>
      </w:r>
      <w:r>
        <w:t>.</w:t>
      </w:r>
    </w:p>
    <w:p w14:paraId="0EC77C60" w14:textId="47144DC1" w:rsidR="00CC2D34" w:rsidRDefault="00CC2D34" w:rsidP="00CC2D34">
      <w:pPr>
        <w:pStyle w:val="ListParagraph"/>
        <w:spacing w:line="480" w:lineRule="auto"/>
        <w:ind w:left="1134" w:firstLine="306"/>
      </w:pPr>
      <w:r>
        <w:lastRenderedPageBreak/>
        <w:t>R</w:t>
      </w:r>
      <w:r w:rsidRPr="00CC2D34">
        <w:t>egresi dianggap memenuhi kondisi normalitas jika data terletak di sekitar dan sepanjang garis diagonal. Namun pola tersebut tidak dianggap sebagai distribusi normal dan regresi tidak memenuhi syarat normalitas jika data menyimpang dari garis diagonal atau tidak mengikuti garis diagonal.</w:t>
      </w:r>
      <w:r>
        <w:t xml:space="preserve"> </w:t>
      </w:r>
      <w:r w:rsidRPr="00CC2D34">
        <w:t>Untuk mendeteksi apakah nilai residual terstandarisasi berdistribusi normal atau tidak, maka dapat digunakan metode anali</w:t>
      </w:r>
      <w:r>
        <w:t>sis grafik dan metode statistik.</w:t>
      </w:r>
    </w:p>
    <w:p w14:paraId="5E4C7355" w14:textId="2E5F6F3B" w:rsidR="004712A4" w:rsidRPr="00C512DE" w:rsidRDefault="00C512DE" w:rsidP="007E3C24">
      <w:pPr>
        <w:pStyle w:val="Caption"/>
        <w:ind w:left="1985"/>
        <w:rPr>
          <w:color w:val="auto"/>
          <w:sz w:val="24"/>
          <w:szCs w:val="24"/>
        </w:rPr>
      </w:pPr>
      <w:bookmarkStart w:id="28" w:name="_Toc168371624"/>
      <w:r w:rsidRPr="00C512DE">
        <w:rPr>
          <w:color w:val="auto"/>
          <w:sz w:val="24"/>
          <w:szCs w:val="24"/>
        </w:rPr>
        <w:t xml:space="preserve">Gambar.  </w:t>
      </w:r>
      <w:r w:rsidRPr="00C512DE">
        <w:rPr>
          <w:color w:val="auto"/>
          <w:sz w:val="24"/>
          <w:szCs w:val="24"/>
        </w:rPr>
        <w:fldChar w:fldCharType="begin"/>
      </w:r>
      <w:r w:rsidRPr="00C512DE">
        <w:rPr>
          <w:color w:val="auto"/>
          <w:sz w:val="24"/>
          <w:szCs w:val="24"/>
        </w:rPr>
        <w:instrText xml:space="preserve"> SEQ Gambar._ \* ARABIC </w:instrText>
      </w:r>
      <w:r w:rsidRPr="00C512DE">
        <w:rPr>
          <w:color w:val="auto"/>
          <w:sz w:val="24"/>
          <w:szCs w:val="24"/>
        </w:rPr>
        <w:fldChar w:fldCharType="separate"/>
      </w:r>
      <w:r w:rsidR="0017483D">
        <w:rPr>
          <w:noProof/>
          <w:color w:val="auto"/>
          <w:sz w:val="24"/>
          <w:szCs w:val="24"/>
        </w:rPr>
        <w:t>9</w:t>
      </w:r>
      <w:r w:rsidRPr="00C512DE">
        <w:rPr>
          <w:color w:val="auto"/>
          <w:sz w:val="24"/>
          <w:szCs w:val="24"/>
        </w:rPr>
        <w:fldChar w:fldCharType="end"/>
      </w:r>
      <w:r w:rsidRPr="00C512DE">
        <w:rPr>
          <w:color w:val="auto"/>
          <w:sz w:val="24"/>
          <w:szCs w:val="24"/>
          <w:lang w:val="en-US"/>
        </w:rPr>
        <w:t xml:space="preserve"> P-P Plot of Regresssion Normal</w:t>
      </w:r>
      <w:bookmarkEnd w:id="28"/>
    </w:p>
    <w:p w14:paraId="5EFC37DB" w14:textId="40631957" w:rsidR="00FB4915" w:rsidRDefault="00FB4915" w:rsidP="00C75996">
      <w:pPr>
        <w:autoSpaceDE w:val="0"/>
        <w:autoSpaceDN w:val="0"/>
        <w:adjustRightInd w:val="0"/>
        <w:spacing w:after="0" w:line="240" w:lineRule="auto"/>
        <w:ind w:left="-142"/>
        <w:jc w:val="left"/>
        <w:rPr>
          <w:rFonts w:cs="Times New Roman"/>
          <w:szCs w:val="24"/>
        </w:rPr>
      </w:pPr>
      <w:r>
        <w:rPr>
          <w:rFonts w:cs="Times New Roman"/>
          <w:noProof/>
          <w:szCs w:val="24"/>
        </w:rPr>
        <w:drawing>
          <wp:inline distT="0" distB="0" distL="0" distR="0" wp14:anchorId="1179550F" wp14:editId="5EB3A1E3">
            <wp:extent cx="5288280" cy="3114883"/>
            <wp:effectExtent l="0" t="0" r="762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2059" cy="3140670"/>
                    </a:xfrm>
                    <a:prstGeom prst="rect">
                      <a:avLst/>
                    </a:prstGeom>
                    <a:noFill/>
                    <a:ln>
                      <a:noFill/>
                    </a:ln>
                  </pic:spPr>
                </pic:pic>
              </a:graphicData>
            </a:graphic>
          </wp:inline>
        </w:drawing>
      </w:r>
    </w:p>
    <w:p w14:paraId="075FA3EF" w14:textId="06D00CF8" w:rsidR="00CC2D34" w:rsidRDefault="00CC2D34" w:rsidP="00C75996">
      <w:pPr>
        <w:spacing w:line="276" w:lineRule="auto"/>
        <w:ind w:left="2410"/>
      </w:pPr>
      <w:r>
        <w:t>Sumber: Output SPSS25</w:t>
      </w:r>
    </w:p>
    <w:p w14:paraId="7F5426A5" w14:textId="4EA980AF" w:rsidR="007E3C24" w:rsidRDefault="00CC2D34" w:rsidP="007E3C24">
      <w:pPr>
        <w:pStyle w:val="ListParagraph"/>
        <w:spacing w:line="480" w:lineRule="auto"/>
        <w:ind w:left="851" w:firstLine="283"/>
      </w:pPr>
      <w:r w:rsidRPr="00CC2D34">
        <w:t xml:space="preserve">Pada grafik normal </w:t>
      </w:r>
      <w:r w:rsidRPr="00207C13">
        <w:rPr>
          <w:i/>
        </w:rPr>
        <w:t>P-P Plot of Regresssion standardized residual</w:t>
      </w:r>
      <w:r w:rsidRPr="00CC2D34">
        <w:t xml:space="preserve"> menunjukan bahwa plot data kriteria normal, yaitu menyebar disekitar garis dan mengikuti garis diagonal. Oleh karena itu dapat disimpulkan bahwa modern regresi memenuhi asumsi normalitas.</w:t>
      </w:r>
    </w:p>
    <w:p w14:paraId="3E3863F6" w14:textId="056AE926" w:rsidR="00C77BC9" w:rsidRPr="00C77BC9" w:rsidRDefault="00C77BC9" w:rsidP="00C77BC9">
      <w:pPr>
        <w:pStyle w:val="Caption"/>
        <w:jc w:val="center"/>
        <w:rPr>
          <w:color w:val="auto"/>
          <w:sz w:val="24"/>
          <w:szCs w:val="24"/>
        </w:rPr>
      </w:pPr>
      <w:bookmarkStart w:id="29" w:name="_Toc168999380"/>
      <w:r w:rsidRPr="00C77BC9">
        <w:rPr>
          <w:color w:val="auto"/>
          <w:sz w:val="24"/>
          <w:szCs w:val="24"/>
        </w:rPr>
        <w:lastRenderedPageBreak/>
        <w:t xml:space="preserve">Tabel.  </w:t>
      </w:r>
      <w:r w:rsidRPr="00C77BC9">
        <w:rPr>
          <w:color w:val="auto"/>
          <w:sz w:val="24"/>
          <w:szCs w:val="24"/>
        </w:rPr>
        <w:fldChar w:fldCharType="begin"/>
      </w:r>
      <w:r w:rsidRPr="00C77BC9">
        <w:rPr>
          <w:color w:val="auto"/>
          <w:sz w:val="24"/>
          <w:szCs w:val="24"/>
        </w:rPr>
        <w:instrText xml:space="preserve"> SEQ Tabel._ \* ARABIC </w:instrText>
      </w:r>
      <w:r w:rsidRPr="00C77BC9">
        <w:rPr>
          <w:color w:val="auto"/>
          <w:sz w:val="24"/>
          <w:szCs w:val="24"/>
        </w:rPr>
        <w:fldChar w:fldCharType="separate"/>
      </w:r>
      <w:r w:rsidR="0017483D">
        <w:rPr>
          <w:noProof/>
          <w:color w:val="auto"/>
          <w:sz w:val="24"/>
          <w:szCs w:val="24"/>
        </w:rPr>
        <w:t>16</w:t>
      </w:r>
      <w:r w:rsidRPr="00C77BC9">
        <w:rPr>
          <w:color w:val="auto"/>
          <w:sz w:val="24"/>
          <w:szCs w:val="24"/>
        </w:rPr>
        <w:fldChar w:fldCharType="end"/>
      </w:r>
      <w:r w:rsidRPr="00C77BC9">
        <w:rPr>
          <w:color w:val="auto"/>
          <w:sz w:val="24"/>
          <w:szCs w:val="24"/>
          <w:lang w:val="en-US"/>
        </w:rPr>
        <w:t xml:space="preserve"> Hasil Uji Normalitas Kolmogorov Simrnov</w:t>
      </w:r>
      <w:bookmarkEnd w:id="29"/>
    </w:p>
    <w:tbl>
      <w:tblPr>
        <w:tblpPr w:leftFromText="180" w:rightFromText="180" w:vertAnchor="text" w:horzAnchor="margin" w:tblpXSpec="center" w:tblpY="156"/>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C75996" w:rsidRPr="00C75996" w14:paraId="0B7BBF7D" w14:textId="77777777" w:rsidTr="00C75996">
        <w:trPr>
          <w:cantSplit/>
        </w:trPr>
        <w:tc>
          <w:tcPr>
            <w:tcW w:w="5365" w:type="dxa"/>
            <w:gridSpan w:val="3"/>
            <w:tcBorders>
              <w:top w:val="nil"/>
              <w:left w:val="nil"/>
              <w:bottom w:val="nil"/>
              <w:right w:val="nil"/>
            </w:tcBorders>
            <w:shd w:val="clear" w:color="auto" w:fill="FFFFFF"/>
            <w:vAlign w:val="center"/>
          </w:tcPr>
          <w:p w14:paraId="7CA971B2" w14:textId="77777777" w:rsidR="00C75996" w:rsidRPr="00C75996" w:rsidRDefault="00C75996" w:rsidP="00C75996">
            <w:pPr>
              <w:autoSpaceDE w:val="0"/>
              <w:autoSpaceDN w:val="0"/>
              <w:adjustRightInd w:val="0"/>
              <w:spacing w:after="0" w:line="320" w:lineRule="atLeast"/>
              <w:ind w:left="60" w:right="60"/>
              <w:jc w:val="center"/>
              <w:rPr>
                <w:rFonts w:cs="Times New Roman"/>
                <w:color w:val="010205"/>
                <w:sz w:val="20"/>
                <w:szCs w:val="20"/>
              </w:rPr>
            </w:pPr>
            <w:r w:rsidRPr="00C75996">
              <w:rPr>
                <w:rFonts w:cs="Times New Roman"/>
                <w:b/>
                <w:bCs/>
                <w:color w:val="010205"/>
                <w:sz w:val="20"/>
                <w:szCs w:val="20"/>
              </w:rPr>
              <w:t>One-Sample Kolmogorov-Smirnov Test</w:t>
            </w:r>
          </w:p>
        </w:tc>
      </w:tr>
      <w:tr w:rsidR="00C75996" w:rsidRPr="00C75996" w14:paraId="26AF9FED" w14:textId="77777777" w:rsidTr="00C75996">
        <w:trPr>
          <w:cantSplit/>
        </w:trPr>
        <w:tc>
          <w:tcPr>
            <w:tcW w:w="3890" w:type="dxa"/>
            <w:gridSpan w:val="2"/>
            <w:tcBorders>
              <w:top w:val="nil"/>
              <w:left w:val="nil"/>
              <w:bottom w:val="single" w:sz="8" w:space="0" w:color="152935"/>
              <w:right w:val="nil"/>
            </w:tcBorders>
            <w:shd w:val="clear" w:color="auto" w:fill="FFFFFF"/>
            <w:vAlign w:val="bottom"/>
          </w:tcPr>
          <w:p w14:paraId="256DE1C6" w14:textId="77777777" w:rsidR="00C75996" w:rsidRPr="00C75996" w:rsidRDefault="00C75996" w:rsidP="00C75996">
            <w:pPr>
              <w:autoSpaceDE w:val="0"/>
              <w:autoSpaceDN w:val="0"/>
              <w:adjustRightInd w:val="0"/>
              <w:spacing w:after="0" w:line="240" w:lineRule="auto"/>
              <w:jc w:val="left"/>
              <w:rPr>
                <w:rFonts w:cs="Times New Roman"/>
                <w:sz w:val="20"/>
                <w:szCs w:val="20"/>
              </w:rPr>
            </w:pPr>
          </w:p>
        </w:tc>
        <w:tc>
          <w:tcPr>
            <w:tcW w:w="1475" w:type="dxa"/>
            <w:tcBorders>
              <w:top w:val="nil"/>
              <w:left w:val="nil"/>
              <w:bottom w:val="single" w:sz="8" w:space="0" w:color="152935"/>
              <w:right w:val="nil"/>
            </w:tcBorders>
            <w:shd w:val="clear" w:color="auto" w:fill="FFFFFF"/>
            <w:vAlign w:val="bottom"/>
          </w:tcPr>
          <w:p w14:paraId="037B27B9" w14:textId="77777777" w:rsidR="00C75996" w:rsidRPr="00C75996" w:rsidRDefault="00C75996" w:rsidP="00C75996">
            <w:pPr>
              <w:autoSpaceDE w:val="0"/>
              <w:autoSpaceDN w:val="0"/>
              <w:adjustRightInd w:val="0"/>
              <w:spacing w:after="0" w:line="320" w:lineRule="atLeast"/>
              <w:ind w:left="60" w:right="60"/>
              <w:jc w:val="center"/>
              <w:rPr>
                <w:rFonts w:cs="Times New Roman"/>
                <w:color w:val="264A60"/>
                <w:sz w:val="20"/>
                <w:szCs w:val="20"/>
              </w:rPr>
            </w:pPr>
            <w:r w:rsidRPr="00C75996">
              <w:rPr>
                <w:rFonts w:cs="Times New Roman"/>
                <w:color w:val="264A60"/>
                <w:sz w:val="20"/>
                <w:szCs w:val="20"/>
              </w:rPr>
              <w:t>Unstandardized Residual</w:t>
            </w:r>
          </w:p>
        </w:tc>
      </w:tr>
      <w:tr w:rsidR="00C75996" w:rsidRPr="00C75996" w14:paraId="6A236052" w14:textId="77777777" w:rsidTr="00C75996">
        <w:trPr>
          <w:cantSplit/>
        </w:trPr>
        <w:tc>
          <w:tcPr>
            <w:tcW w:w="3890" w:type="dxa"/>
            <w:gridSpan w:val="2"/>
            <w:tcBorders>
              <w:top w:val="single" w:sz="8" w:space="0" w:color="152935"/>
              <w:left w:val="nil"/>
              <w:bottom w:val="single" w:sz="8" w:space="0" w:color="AEAEAE"/>
              <w:right w:val="nil"/>
            </w:tcBorders>
            <w:shd w:val="clear" w:color="auto" w:fill="E0E0E0"/>
          </w:tcPr>
          <w:p w14:paraId="3A971805" w14:textId="77777777" w:rsidR="00C75996" w:rsidRPr="00C75996" w:rsidRDefault="00C75996" w:rsidP="00C75996">
            <w:pPr>
              <w:autoSpaceDE w:val="0"/>
              <w:autoSpaceDN w:val="0"/>
              <w:adjustRightInd w:val="0"/>
              <w:spacing w:after="0" w:line="320" w:lineRule="atLeast"/>
              <w:ind w:left="60" w:right="60"/>
              <w:jc w:val="left"/>
              <w:rPr>
                <w:rFonts w:cs="Times New Roman"/>
                <w:color w:val="264A60"/>
                <w:sz w:val="20"/>
                <w:szCs w:val="20"/>
              </w:rPr>
            </w:pPr>
            <w:r w:rsidRPr="00C75996">
              <w:rPr>
                <w:rFonts w:cs="Times New Roman"/>
                <w:color w:val="264A60"/>
                <w:sz w:val="20"/>
                <w:szCs w:val="20"/>
              </w:rPr>
              <w:t>N</w:t>
            </w:r>
          </w:p>
        </w:tc>
        <w:tc>
          <w:tcPr>
            <w:tcW w:w="1475" w:type="dxa"/>
            <w:tcBorders>
              <w:top w:val="single" w:sz="8" w:space="0" w:color="152935"/>
              <w:left w:val="nil"/>
              <w:bottom w:val="single" w:sz="8" w:space="0" w:color="AEAEAE"/>
              <w:right w:val="nil"/>
            </w:tcBorders>
            <w:shd w:val="clear" w:color="auto" w:fill="FFFFFF"/>
          </w:tcPr>
          <w:p w14:paraId="51815840"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60</w:t>
            </w:r>
          </w:p>
        </w:tc>
      </w:tr>
      <w:tr w:rsidR="00C75996" w:rsidRPr="00C75996" w14:paraId="5562ED4D" w14:textId="77777777" w:rsidTr="00C75996">
        <w:trPr>
          <w:cantSplit/>
        </w:trPr>
        <w:tc>
          <w:tcPr>
            <w:tcW w:w="2445" w:type="dxa"/>
            <w:vMerge w:val="restart"/>
            <w:tcBorders>
              <w:top w:val="single" w:sz="8" w:space="0" w:color="AEAEAE"/>
              <w:left w:val="nil"/>
              <w:bottom w:val="single" w:sz="8" w:space="0" w:color="AEAEAE"/>
              <w:right w:val="nil"/>
            </w:tcBorders>
            <w:shd w:val="clear" w:color="auto" w:fill="E0E0E0"/>
          </w:tcPr>
          <w:p w14:paraId="6A331828" w14:textId="77777777" w:rsidR="00C75996" w:rsidRPr="00C75996" w:rsidRDefault="00C75996" w:rsidP="00C75996">
            <w:pPr>
              <w:autoSpaceDE w:val="0"/>
              <w:autoSpaceDN w:val="0"/>
              <w:adjustRightInd w:val="0"/>
              <w:spacing w:after="0" w:line="320" w:lineRule="atLeast"/>
              <w:ind w:left="60" w:right="60"/>
              <w:jc w:val="left"/>
              <w:rPr>
                <w:rFonts w:cs="Times New Roman"/>
                <w:color w:val="264A60"/>
                <w:sz w:val="20"/>
                <w:szCs w:val="20"/>
              </w:rPr>
            </w:pPr>
            <w:r w:rsidRPr="00C75996">
              <w:rPr>
                <w:rFonts w:cs="Times New Roman"/>
                <w:color w:val="264A60"/>
                <w:sz w:val="20"/>
                <w:szCs w:val="20"/>
              </w:rPr>
              <w:t>Normal Parameters</w:t>
            </w:r>
            <w:r w:rsidRPr="00C75996">
              <w:rPr>
                <w:rFonts w:cs="Times New Roman"/>
                <w:color w:val="264A60"/>
                <w:sz w:val="20"/>
                <w:szCs w:val="20"/>
                <w:vertAlign w:val="superscript"/>
              </w:rPr>
              <w:t>a,b</w:t>
            </w:r>
          </w:p>
        </w:tc>
        <w:tc>
          <w:tcPr>
            <w:tcW w:w="1445" w:type="dxa"/>
            <w:tcBorders>
              <w:top w:val="single" w:sz="8" w:space="0" w:color="AEAEAE"/>
              <w:left w:val="nil"/>
              <w:bottom w:val="single" w:sz="8" w:space="0" w:color="AEAEAE"/>
              <w:right w:val="nil"/>
            </w:tcBorders>
            <w:shd w:val="clear" w:color="auto" w:fill="E0E0E0"/>
          </w:tcPr>
          <w:p w14:paraId="4532A5BA" w14:textId="77777777" w:rsidR="00C75996" w:rsidRPr="00C75996" w:rsidRDefault="00C75996" w:rsidP="00C75996">
            <w:pPr>
              <w:autoSpaceDE w:val="0"/>
              <w:autoSpaceDN w:val="0"/>
              <w:adjustRightInd w:val="0"/>
              <w:spacing w:after="0" w:line="320" w:lineRule="atLeast"/>
              <w:ind w:left="60" w:right="60"/>
              <w:jc w:val="left"/>
              <w:rPr>
                <w:rFonts w:cs="Times New Roman"/>
                <w:color w:val="264A60"/>
                <w:sz w:val="20"/>
                <w:szCs w:val="20"/>
              </w:rPr>
            </w:pPr>
            <w:r w:rsidRPr="00C75996">
              <w:rPr>
                <w:rFonts w:cs="Times New Roman"/>
                <w:color w:val="264A60"/>
                <w:sz w:val="20"/>
                <w:szCs w:val="20"/>
              </w:rPr>
              <w:t>Mean</w:t>
            </w:r>
          </w:p>
        </w:tc>
        <w:tc>
          <w:tcPr>
            <w:tcW w:w="1475" w:type="dxa"/>
            <w:tcBorders>
              <w:top w:val="single" w:sz="8" w:space="0" w:color="AEAEAE"/>
              <w:left w:val="nil"/>
              <w:bottom w:val="single" w:sz="8" w:space="0" w:color="AEAEAE"/>
              <w:right w:val="nil"/>
            </w:tcBorders>
            <w:shd w:val="clear" w:color="auto" w:fill="FFFFFF"/>
          </w:tcPr>
          <w:p w14:paraId="430C9953"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.0000000</w:t>
            </w:r>
          </w:p>
        </w:tc>
      </w:tr>
      <w:tr w:rsidR="00C75996" w:rsidRPr="00C75996" w14:paraId="3E853D9E" w14:textId="77777777" w:rsidTr="00C75996">
        <w:trPr>
          <w:cantSplit/>
        </w:trPr>
        <w:tc>
          <w:tcPr>
            <w:tcW w:w="2445" w:type="dxa"/>
            <w:vMerge/>
            <w:tcBorders>
              <w:top w:val="single" w:sz="8" w:space="0" w:color="AEAEAE"/>
              <w:left w:val="nil"/>
              <w:bottom w:val="single" w:sz="8" w:space="0" w:color="AEAEAE"/>
              <w:right w:val="nil"/>
            </w:tcBorders>
            <w:shd w:val="clear" w:color="auto" w:fill="E0E0E0"/>
          </w:tcPr>
          <w:p w14:paraId="4F368F3E" w14:textId="77777777" w:rsidR="00C75996" w:rsidRPr="00C75996" w:rsidRDefault="00C75996" w:rsidP="00C75996">
            <w:pPr>
              <w:autoSpaceDE w:val="0"/>
              <w:autoSpaceDN w:val="0"/>
              <w:adjustRightInd w:val="0"/>
              <w:spacing w:after="0" w:line="240" w:lineRule="auto"/>
              <w:jc w:val="left"/>
              <w:rPr>
                <w:rFonts w:cs="Times New Roman"/>
                <w:color w:val="010205"/>
                <w:sz w:val="20"/>
                <w:szCs w:val="20"/>
              </w:rPr>
            </w:pPr>
          </w:p>
        </w:tc>
        <w:tc>
          <w:tcPr>
            <w:tcW w:w="1445" w:type="dxa"/>
            <w:tcBorders>
              <w:top w:val="single" w:sz="8" w:space="0" w:color="AEAEAE"/>
              <w:left w:val="nil"/>
              <w:bottom w:val="single" w:sz="8" w:space="0" w:color="AEAEAE"/>
              <w:right w:val="nil"/>
            </w:tcBorders>
            <w:shd w:val="clear" w:color="auto" w:fill="E0E0E0"/>
          </w:tcPr>
          <w:p w14:paraId="7B22296B" w14:textId="77777777" w:rsidR="00C75996" w:rsidRPr="00C75996" w:rsidRDefault="00C75996" w:rsidP="00C75996">
            <w:pPr>
              <w:autoSpaceDE w:val="0"/>
              <w:autoSpaceDN w:val="0"/>
              <w:adjustRightInd w:val="0"/>
              <w:spacing w:after="0" w:line="320" w:lineRule="atLeast"/>
              <w:ind w:left="60" w:right="60"/>
              <w:jc w:val="left"/>
              <w:rPr>
                <w:rFonts w:cs="Times New Roman"/>
                <w:color w:val="264A60"/>
                <w:sz w:val="20"/>
                <w:szCs w:val="20"/>
              </w:rPr>
            </w:pPr>
            <w:r w:rsidRPr="00C75996">
              <w:rPr>
                <w:rFonts w:cs="Times New Roman"/>
                <w:color w:val="264A60"/>
                <w:sz w:val="20"/>
                <w:szCs w:val="20"/>
              </w:rPr>
              <w:t>Std. Deviation</w:t>
            </w:r>
          </w:p>
        </w:tc>
        <w:tc>
          <w:tcPr>
            <w:tcW w:w="1475" w:type="dxa"/>
            <w:tcBorders>
              <w:top w:val="single" w:sz="8" w:space="0" w:color="AEAEAE"/>
              <w:left w:val="nil"/>
              <w:bottom w:val="single" w:sz="8" w:space="0" w:color="AEAEAE"/>
              <w:right w:val="nil"/>
            </w:tcBorders>
            <w:shd w:val="clear" w:color="auto" w:fill="FFFFFF"/>
          </w:tcPr>
          <w:p w14:paraId="689BDD4A"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.12340012</w:t>
            </w:r>
          </w:p>
        </w:tc>
      </w:tr>
      <w:tr w:rsidR="00C75996" w:rsidRPr="00C75996" w14:paraId="099D9CED" w14:textId="77777777" w:rsidTr="00C75996">
        <w:trPr>
          <w:cantSplit/>
        </w:trPr>
        <w:tc>
          <w:tcPr>
            <w:tcW w:w="2445" w:type="dxa"/>
            <w:vMerge w:val="restart"/>
            <w:tcBorders>
              <w:top w:val="single" w:sz="8" w:space="0" w:color="AEAEAE"/>
              <w:left w:val="nil"/>
              <w:bottom w:val="single" w:sz="8" w:space="0" w:color="AEAEAE"/>
              <w:right w:val="nil"/>
            </w:tcBorders>
            <w:shd w:val="clear" w:color="auto" w:fill="E0E0E0"/>
          </w:tcPr>
          <w:p w14:paraId="1899B928" w14:textId="77777777" w:rsidR="00C75996" w:rsidRPr="00C75996" w:rsidRDefault="00C75996" w:rsidP="00C75996">
            <w:pPr>
              <w:autoSpaceDE w:val="0"/>
              <w:autoSpaceDN w:val="0"/>
              <w:adjustRightInd w:val="0"/>
              <w:spacing w:after="0" w:line="320" w:lineRule="atLeast"/>
              <w:ind w:left="60" w:right="60"/>
              <w:jc w:val="left"/>
              <w:rPr>
                <w:rFonts w:cs="Times New Roman"/>
                <w:color w:val="264A60"/>
                <w:sz w:val="20"/>
                <w:szCs w:val="20"/>
              </w:rPr>
            </w:pPr>
            <w:r w:rsidRPr="00C75996">
              <w:rPr>
                <w:rFonts w:cs="Times New Roman"/>
                <w:color w:val="264A60"/>
                <w:sz w:val="20"/>
                <w:szCs w:val="20"/>
              </w:rPr>
              <w:t>Most Extreme Differences</w:t>
            </w:r>
          </w:p>
        </w:tc>
        <w:tc>
          <w:tcPr>
            <w:tcW w:w="1445" w:type="dxa"/>
            <w:tcBorders>
              <w:top w:val="single" w:sz="8" w:space="0" w:color="AEAEAE"/>
              <w:left w:val="nil"/>
              <w:bottom w:val="single" w:sz="8" w:space="0" w:color="AEAEAE"/>
              <w:right w:val="nil"/>
            </w:tcBorders>
            <w:shd w:val="clear" w:color="auto" w:fill="E0E0E0"/>
          </w:tcPr>
          <w:p w14:paraId="5C60F671" w14:textId="77777777" w:rsidR="00C75996" w:rsidRPr="00C75996" w:rsidRDefault="00C75996" w:rsidP="00C75996">
            <w:pPr>
              <w:autoSpaceDE w:val="0"/>
              <w:autoSpaceDN w:val="0"/>
              <w:adjustRightInd w:val="0"/>
              <w:spacing w:after="0" w:line="320" w:lineRule="atLeast"/>
              <w:ind w:left="60" w:right="60"/>
              <w:jc w:val="left"/>
              <w:rPr>
                <w:rFonts w:cs="Times New Roman"/>
                <w:color w:val="264A60"/>
                <w:sz w:val="20"/>
                <w:szCs w:val="20"/>
              </w:rPr>
            </w:pPr>
            <w:r w:rsidRPr="00C75996">
              <w:rPr>
                <w:rFonts w:cs="Times New Roman"/>
                <w:color w:val="264A60"/>
                <w:sz w:val="20"/>
                <w:szCs w:val="20"/>
              </w:rPr>
              <w:t>Absolute</w:t>
            </w:r>
          </w:p>
        </w:tc>
        <w:tc>
          <w:tcPr>
            <w:tcW w:w="1475" w:type="dxa"/>
            <w:tcBorders>
              <w:top w:val="single" w:sz="8" w:space="0" w:color="AEAEAE"/>
              <w:left w:val="nil"/>
              <w:bottom w:val="single" w:sz="8" w:space="0" w:color="AEAEAE"/>
              <w:right w:val="nil"/>
            </w:tcBorders>
            <w:shd w:val="clear" w:color="auto" w:fill="FFFFFF"/>
          </w:tcPr>
          <w:p w14:paraId="0EDB2EC3"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.096</w:t>
            </w:r>
          </w:p>
        </w:tc>
      </w:tr>
      <w:tr w:rsidR="00C75996" w:rsidRPr="00C75996" w14:paraId="13BAB735" w14:textId="77777777" w:rsidTr="00C75996">
        <w:trPr>
          <w:cantSplit/>
        </w:trPr>
        <w:tc>
          <w:tcPr>
            <w:tcW w:w="2445" w:type="dxa"/>
            <w:vMerge/>
            <w:tcBorders>
              <w:top w:val="single" w:sz="8" w:space="0" w:color="AEAEAE"/>
              <w:left w:val="nil"/>
              <w:bottom w:val="single" w:sz="8" w:space="0" w:color="AEAEAE"/>
              <w:right w:val="nil"/>
            </w:tcBorders>
            <w:shd w:val="clear" w:color="auto" w:fill="E0E0E0"/>
          </w:tcPr>
          <w:p w14:paraId="7E99D868" w14:textId="77777777" w:rsidR="00C75996" w:rsidRPr="00C75996" w:rsidRDefault="00C75996" w:rsidP="00C75996">
            <w:pPr>
              <w:autoSpaceDE w:val="0"/>
              <w:autoSpaceDN w:val="0"/>
              <w:adjustRightInd w:val="0"/>
              <w:spacing w:after="0" w:line="240" w:lineRule="auto"/>
              <w:jc w:val="left"/>
              <w:rPr>
                <w:rFonts w:cs="Times New Roman"/>
                <w:color w:val="010205"/>
                <w:sz w:val="20"/>
                <w:szCs w:val="20"/>
              </w:rPr>
            </w:pPr>
          </w:p>
        </w:tc>
        <w:tc>
          <w:tcPr>
            <w:tcW w:w="1445" w:type="dxa"/>
            <w:tcBorders>
              <w:top w:val="single" w:sz="8" w:space="0" w:color="AEAEAE"/>
              <w:left w:val="nil"/>
              <w:bottom w:val="single" w:sz="8" w:space="0" w:color="AEAEAE"/>
              <w:right w:val="nil"/>
            </w:tcBorders>
            <w:shd w:val="clear" w:color="auto" w:fill="E0E0E0"/>
          </w:tcPr>
          <w:p w14:paraId="6F100357" w14:textId="77777777" w:rsidR="00C75996" w:rsidRPr="00C75996" w:rsidRDefault="00C75996" w:rsidP="00C75996">
            <w:pPr>
              <w:autoSpaceDE w:val="0"/>
              <w:autoSpaceDN w:val="0"/>
              <w:adjustRightInd w:val="0"/>
              <w:spacing w:after="0" w:line="320" w:lineRule="atLeast"/>
              <w:ind w:left="60" w:right="60"/>
              <w:jc w:val="left"/>
              <w:rPr>
                <w:rFonts w:cs="Times New Roman"/>
                <w:color w:val="264A60"/>
                <w:sz w:val="20"/>
                <w:szCs w:val="20"/>
              </w:rPr>
            </w:pPr>
            <w:r w:rsidRPr="00C75996">
              <w:rPr>
                <w:rFonts w:cs="Times New Roman"/>
                <w:color w:val="264A60"/>
                <w:sz w:val="20"/>
                <w:szCs w:val="20"/>
              </w:rPr>
              <w:t>Positive</w:t>
            </w:r>
          </w:p>
        </w:tc>
        <w:tc>
          <w:tcPr>
            <w:tcW w:w="1475" w:type="dxa"/>
            <w:tcBorders>
              <w:top w:val="single" w:sz="8" w:space="0" w:color="AEAEAE"/>
              <w:left w:val="nil"/>
              <w:bottom w:val="single" w:sz="8" w:space="0" w:color="AEAEAE"/>
              <w:right w:val="nil"/>
            </w:tcBorders>
            <w:shd w:val="clear" w:color="auto" w:fill="FFFFFF"/>
          </w:tcPr>
          <w:p w14:paraId="545D20A8"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.096</w:t>
            </w:r>
          </w:p>
        </w:tc>
      </w:tr>
      <w:tr w:rsidR="00C75996" w:rsidRPr="00C75996" w14:paraId="2D348A12" w14:textId="77777777" w:rsidTr="00C75996">
        <w:trPr>
          <w:cantSplit/>
        </w:trPr>
        <w:tc>
          <w:tcPr>
            <w:tcW w:w="2445" w:type="dxa"/>
            <w:vMerge/>
            <w:tcBorders>
              <w:top w:val="single" w:sz="8" w:space="0" w:color="AEAEAE"/>
              <w:left w:val="nil"/>
              <w:bottom w:val="single" w:sz="8" w:space="0" w:color="AEAEAE"/>
              <w:right w:val="nil"/>
            </w:tcBorders>
            <w:shd w:val="clear" w:color="auto" w:fill="E0E0E0"/>
          </w:tcPr>
          <w:p w14:paraId="7D132E7D" w14:textId="77777777" w:rsidR="00C75996" w:rsidRPr="00C75996" w:rsidRDefault="00C75996" w:rsidP="00C75996">
            <w:pPr>
              <w:autoSpaceDE w:val="0"/>
              <w:autoSpaceDN w:val="0"/>
              <w:adjustRightInd w:val="0"/>
              <w:spacing w:after="0" w:line="240" w:lineRule="auto"/>
              <w:jc w:val="left"/>
              <w:rPr>
                <w:rFonts w:cs="Times New Roman"/>
                <w:color w:val="010205"/>
                <w:sz w:val="20"/>
                <w:szCs w:val="20"/>
              </w:rPr>
            </w:pPr>
          </w:p>
        </w:tc>
        <w:tc>
          <w:tcPr>
            <w:tcW w:w="1445" w:type="dxa"/>
            <w:tcBorders>
              <w:top w:val="single" w:sz="8" w:space="0" w:color="AEAEAE"/>
              <w:left w:val="nil"/>
              <w:bottom w:val="single" w:sz="8" w:space="0" w:color="AEAEAE"/>
              <w:right w:val="nil"/>
            </w:tcBorders>
            <w:shd w:val="clear" w:color="auto" w:fill="E0E0E0"/>
          </w:tcPr>
          <w:p w14:paraId="63EB6120" w14:textId="77777777" w:rsidR="00C75996" w:rsidRPr="00C75996" w:rsidRDefault="00C75996" w:rsidP="00C75996">
            <w:pPr>
              <w:autoSpaceDE w:val="0"/>
              <w:autoSpaceDN w:val="0"/>
              <w:adjustRightInd w:val="0"/>
              <w:spacing w:after="0" w:line="320" w:lineRule="atLeast"/>
              <w:ind w:left="60" w:right="60"/>
              <w:jc w:val="left"/>
              <w:rPr>
                <w:rFonts w:cs="Times New Roman"/>
                <w:color w:val="264A60"/>
                <w:sz w:val="20"/>
                <w:szCs w:val="20"/>
              </w:rPr>
            </w:pPr>
            <w:r w:rsidRPr="00C75996">
              <w:rPr>
                <w:rFonts w:cs="Times New Roman"/>
                <w:color w:val="264A60"/>
                <w:sz w:val="20"/>
                <w:szCs w:val="20"/>
              </w:rPr>
              <w:t>Negative</w:t>
            </w:r>
          </w:p>
        </w:tc>
        <w:tc>
          <w:tcPr>
            <w:tcW w:w="1475" w:type="dxa"/>
            <w:tcBorders>
              <w:top w:val="single" w:sz="8" w:space="0" w:color="AEAEAE"/>
              <w:left w:val="nil"/>
              <w:bottom w:val="single" w:sz="8" w:space="0" w:color="AEAEAE"/>
              <w:right w:val="nil"/>
            </w:tcBorders>
            <w:shd w:val="clear" w:color="auto" w:fill="FFFFFF"/>
          </w:tcPr>
          <w:p w14:paraId="57FA023C"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-.062</w:t>
            </w:r>
          </w:p>
        </w:tc>
      </w:tr>
      <w:tr w:rsidR="00C75996" w:rsidRPr="00C75996" w14:paraId="2A38C74E" w14:textId="77777777" w:rsidTr="00C75996">
        <w:trPr>
          <w:cantSplit/>
        </w:trPr>
        <w:tc>
          <w:tcPr>
            <w:tcW w:w="3890" w:type="dxa"/>
            <w:gridSpan w:val="2"/>
            <w:tcBorders>
              <w:top w:val="single" w:sz="8" w:space="0" w:color="AEAEAE"/>
              <w:left w:val="nil"/>
              <w:bottom w:val="single" w:sz="8" w:space="0" w:color="AEAEAE"/>
              <w:right w:val="nil"/>
            </w:tcBorders>
            <w:shd w:val="clear" w:color="auto" w:fill="E0E0E0"/>
          </w:tcPr>
          <w:p w14:paraId="53A198F3" w14:textId="77777777" w:rsidR="00C75996" w:rsidRPr="00C75996" w:rsidRDefault="00C75996" w:rsidP="00C75996">
            <w:pPr>
              <w:autoSpaceDE w:val="0"/>
              <w:autoSpaceDN w:val="0"/>
              <w:adjustRightInd w:val="0"/>
              <w:spacing w:after="0" w:line="320" w:lineRule="atLeast"/>
              <w:ind w:left="60" w:right="60"/>
              <w:jc w:val="left"/>
              <w:rPr>
                <w:rFonts w:cs="Times New Roman"/>
                <w:color w:val="264A60"/>
                <w:sz w:val="20"/>
                <w:szCs w:val="20"/>
              </w:rPr>
            </w:pPr>
            <w:r w:rsidRPr="00C75996">
              <w:rPr>
                <w:rFonts w:cs="Times New Roman"/>
                <w:color w:val="264A60"/>
                <w:sz w:val="20"/>
                <w:szCs w:val="20"/>
              </w:rPr>
              <w:t>Test Statistic</w:t>
            </w:r>
          </w:p>
        </w:tc>
        <w:tc>
          <w:tcPr>
            <w:tcW w:w="1475" w:type="dxa"/>
            <w:tcBorders>
              <w:top w:val="single" w:sz="8" w:space="0" w:color="AEAEAE"/>
              <w:left w:val="nil"/>
              <w:bottom w:val="single" w:sz="8" w:space="0" w:color="AEAEAE"/>
              <w:right w:val="nil"/>
            </w:tcBorders>
            <w:shd w:val="clear" w:color="auto" w:fill="FFFFFF"/>
          </w:tcPr>
          <w:p w14:paraId="797575E5"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.096</w:t>
            </w:r>
          </w:p>
        </w:tc>
      </w:tr>
      <w:tr w:rsidR="00C75996" w:rsidRPr="00C75996" w14:paraId="390F4B74" w14:textId="77777777" w:rsidTr="00C75996">
        <w:trPr>
          <w:cantSplit/>
        </w:trPr>
        <w:tc>
          <w:tcPr>
            <w:tcW w:w="3890" w:type="dxa"/>
            <w:gridSpan w:val="2"/>
            <w:tcBorders>
              <w:top w:val="single" w:sz="8" w:space="0" w:color="AEAEAE"/>
              <w:left w:val="nil"/>
              <w:bottom w:val="single" w:sz="8" w:space="0" w:color="152935"/>
              <w:right w:val="nil"/>
            </w:tcBorders>
            <w:shd w:val="clear" w:color="auto" w:fill="E0E0E0"/>
          </w:tcPr>
          <w:p w14:paraId="5F42D194" w14:textId="77777777" w:rsidR="00C75996" w:rsidRPr="00C75996" w:rsidRDefault="00C75996" w:rsidP="00C75996">
            <w:pPr>
              <w:autoSpaceDE w:val="0"/>
              <w:autoSpaceDN w:val="0"/>
              <w:adjustRightInd w:val="0"/>
              <w:spacing w:after="0" w:line="320" w:lineRule="atLeast"/>
              <w:ind w:left="60" w:right="60"/>
              <w:jc w:val="left"/>
              <w:rPr>
                <w:rFonts w:cs="Times New Roman"/>
                <w:color w:val="264A60"/>
                <w:sz w:val="20"/>
                <w:szCs w:val="20"/>
              </w:rPr>
            </w:pPr>
            <w:r w:rsidRPr="00C75996">
              <w:rPr>
                <w:rFonts w:cs="Times New Roman"/>
                <w:color w:val="264A60"/>
                <w:sz w:val="20"/>
                <w:szCs w:val="20"/>
              </w:rPr>
              <w:t>Asymp. Sig. (2-tailed)</w:t>
            </w:r>
          </w:p>
        </w:tc>
        <w:tc>
          <w:tcPr>
            <w:tcW w:w="1475" w:type="dxa"/>
            <w:tcBorders>
              <w:top w:val="single" w:sz="8" w:space="0" w:color="AEAEAE"/>
              <w:left w:val="nil"/>
              <w:bottom w:val="single" w:sz="8" w:space="0" w:color="152935"/>
              <w:right w:val="nil"/>
            </w:tcBorders>
            <w:shd w:val="clear" w:color="auto" w:fill="FFFFFF"/>
          </w:tcPr>
          <w:p w14:paraId="216EF73B"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.200</w:t>
            </w:r>
            <w:r w:rsidRPr="00C75996">
              <w:rPr>
                <w:rFonts w:cs="Times New Roman"/>
                <w:color w:val="010205"/>
                <w:sz w:val="20"/>
                <w:szCs w:val="20"/>
                <w:vertAlign w:val="superscript"/>
              </w:rPr>
              <w:t>c,d</w:t>
            </w:r>
          </w:p>
        </w:tc>
      </w:tr>
      <w:tr w:rsidR="00C75996" w:rsidRPr="00C75996" w14:paraId="7FA111B9" w14:textId="77777777" w:rsidTr="00C75996">
        <w:trPr>
          <w:cantSplit/>
        </w:trPr>
        <w:tc>
          <w:tcPr>
            <w:tcW w:w="5365" w:type="dxa"/>
            <w:gridSpan w:val="3"/>
            <w:tcBorders>
              <w:top w:val="nil"/>
              <w:left w:val="nil"/>
              <w:bottom w:val="nil"/>
              <w:right w:val="nil"/>
            </w:tcBorders>
            <w:shd w:val="clear" w:color="auto" w:fill="FFFFFF"/>
          </w:tcPr>
          <w:p w14:paraId="1ACE83C0" w14:textId="77777777" w:rsidR="00C75996" w:rsidRPr="00C75996" w:rsidRDefault="00C75996" w:rsidP="00C75996">
            <w:pPr>
              <w:autoSpaceDE w:val="0"/>
              <w:autoSpaceDN w:val="0"/>
              <w:adjustRightInd w:val="0"/>
              <w:spacing w:after="0" w:line="320" w:lineRule="atLeast"/>
              <w:ind w:left="60" w:right="60"/>
              <w:jc w:val="left"/>
              <w:rPr>
                <w:rFonts w:cs="Times New Roman"/>
                <w:color w:val="010205"/>
                <w:sz w:val="20"/>
                <w:szCs w:val="20"/>
              </w:rPr>
            </w:pPr>
            <w:r w:rsidRPr="00C75996">
              <w:rPr>
                <w:rFonts w:cs="Times New Roman"/>
                <w:color w:val="010205"/>
                <w:sz w:val="20"/>
                <w:szCs w:val="20"/>
              </w:rPr>
              <w:t>a. Test distribution is Normal.</w:t>
            </w:r>
          </w:p>
        </w:tc>
      </w:tr>
      <w:tr w:rsidR="00C75996" w:rsidRPr="00C75996" w14:paraId="4F0B6260" w14:textId="77777777" w:rsidTr="00C75996">
        <w:trPr>
          <w:cantSplit/>
        </w:trPr>
        <w:tc>
          <w:tcPr>
            <w:tcW w:w="5365" w:type="dxa"/>
            <w:gridSpan w:val="3"/>
            <w:tcBorders>
              <w:top w:val="nil"/>
              <w:left w:val="nil"/>
              <w:bottom w:val="nil"/>
              <w:right w:val="nil"/>
            </w:tcBorders>
            <w:shd w:val="clear" w:color="auto" w:fill="FFFFFF"/>
          </w:tcPr>
          <w:p w14:paraId="6131D027" w14:textId="77777777" w:rsidR="00C75996" w:rsidRPr="00C75996" w:rsidRDefault="00C75996" w:rsidP="00C75996">
            <w:pPr>
              <w:autoSpaceDE w:val="0"/>
              <w:autoSpaceDN w:val="0"/>
              <w:adjustRightInd w:val="0"/>
              <w:spacing w:after="0" w:line="320" w:lineRule="atLeast"/>
              <w:ind w:left="60" w:right="60"/>
              <w:jc w:val="left"/>
              <w:rPr>
                <w:rFonts w:cs="Times New Roman"/>
                <w:color w:val="010205"/>
                <w:sz w:val="20"/>
                <w:szCs w:val="20"/>
              </w:rPr>
            </w:pPr>
            <w:r w:rsidRPr="00C75996">
              <w:rPr>
                <w:rFonts w:cs="Times New Roman"/>
                <w:color w:val="010205"/>
                <w:sz w:val="20"/>
                <w:szCs w:val="20"/>
              </w:rPr>
              <w:t>b. Calculated from data.</w:t>
            </w:r>
          </w:p>
        </w:tc>
      </w:tr>
      <w:tr w:rsidR="00C75996" w:rsidRPr="00C75996" w14:paraId="15B78B37" w14:textId="77777777" w:rsidTr="00C75996">
        <w:trPr>
          <w:cantSplit/>
        </w:trPr>
        <w:tc>
          <w:tcPr>
            <w:tcW w:w="5365" w:type="dxa"/>
            <w:gridSpan w:val="3"/>
            <w:tcBorders>
              <w:top w:val="nil"/>
              <w:left w:val="nil"/>
              <w:bottom w:val="nil"/>
              <w:right w:val="nil"/>
            </w:tcBorders>
            <w:shd w:val="clear" w:color="auto" w:fill="FFFFFF"/>
          </w:tcPr>
          <w:p w14:paraId="02C9E089" w14:textId="77777777" w:rsidR="00C75996" w:rsidRPr="00C75996" w:rsidRDefault="00C75996" w:rsidP="00C75996">
            <w:pPr>
              <w:autoSpaceDE w:val="0"/>
              <w:autoSpaceDN w:val="0"/>
              <w:adjustRightInd w:val="0"/>
              <w:spacing w:after="0" w:line="320" w:lineRule="atLeast"/>
              <w:ind w:left="60" w:right="60"/>
              <w:jc w:val="left"/>
              <w:rPr>
                <w:rFonts w:cs="Times New Roman"/>
                <w:color w:val="010205"/>
                <w:sz w:val="20"/>
                <w:szCs w:val="20"/>
              </w:rPr>
            </w:pPr>
            <w:r w:rsidRPr="00C75996">
              <w:rPr>
                <w:rFonts w:cs="Times New Roman"/>
                <w:color w:val="010205"/>
                <w:sz w:val="20"/>
                <w:szCs w:val="20"/>
              </w:rPr>
              <w:t>c. Lilliefors Significance Correction.</w:t>
            </w:r>
          </w:p>
        </w:tc>
      </w:tr>
      <w:tr w:rsidR="00C75996" w:rsidRPr="00C75996" w14:paraId="50BF86BD" w14:textId="77777777" w:rsidTr="00C75996">
        <w:trPr>
          <w:cantSplit/>
        </w:trPr>
        <w:tc>
          <w:tcPr>
            <w:tcW w:w="5365" w:type="dxa"/>
            <w:gridSpan w:val="3"/>
            <w:tcBorders>
              <w:top w:val="nil"/>
              <w:left w:val="nil"/>
              <w:bottom w:val="nil"/>
              <w:right w:val="nil"/>
            </w:tcBorders>
            <w:shd w:val="clear" w:color="auto" w:fill="FFFFFF"/>
          </w:tcPr>
          <w:p w14:paraId="3D646D3D" w14:textId="77777777" w:rsidR="00C75996" w:rsidRPr="00C75996" w:rsidRDefault="00C75996" w:rsidP="00C75996">
            <w:pPr>
              <w:autoSpaceDE w:val="0"/>
              <w:autoSpaceDN w:val="0"/>
              <w:adjustRightInd w:val="0"/>
              <w:spacing w:after="0" w:line="320" w:lineRule="atLeast"/>
              <w:ind w:left="60" w:right="60"/>
              <w:jc w:val="left"/>
              <w:rPr>
                <w:rFonts w:cs="Times New Roman"/>
                <w:color w:val="010205"/>
                <w:sz w:val="20"/>
                <w:szCs w:val="20"/>
              </w:rPr>
            </w:pPr>
            <w:r w:rsidRPr="00C75996">
              <w:rPr>
                <w:rFonts w:cs="Times New Roman"/>
                <w:color w:val="010205"/>
                <w:sz w:val="20"/>
                <w:szCs w:val="20"/>
              </w:rPr>
              <w:t>d. This is a lower bound of the true significance.</w:t>
            </w:r>
          </w:p>
        </w:tc>
      </w:tr>
    </w:tbl>
    <w:p w14:paraId="0E063344" w14:textId="77777777" w:rsidR="00C75996" w:rsidRPr="00C75996" w:rsidRDefault="00C75996" w:rsidP="00C75996">
      <w:pPr>
        <w:autoSpaceDE w:val="0"/>
        <w:autoSpaceDN w:val="0"/>
        <w:adjustRightInd w:val="0"/>
        <w:spacing w:after="0" w:line="240" w:lineRule="auto"/>
        <w:jc w:val="left"/>
        <w:rPr>
          <w:rFonts w:cs="Times New Roman"/>
          <w:szCs w:val="24"/>
        </w:rPr>
      </w:pPr>
    </w:p>
    <w:p w14:paraId="508A2666" w14:textId="77777777" w:rsidR="00C75996" w:rsidRPr="00C75996" w:rsidRDefault="00C75996" w:rsidP="00C75996">
      <w:pPr>
        <w:autoSpaceDE w:val="0"/>
        <w:autoSpaceDN w:val="0"/>
        <w:adjustRightInd w:val="0"/>
        <w:spacing w:after="0" w:line="400" w:lineRule="atLeast"/>
        <w:jc w:val="left"/>
        <w:rPr>
          <w:rFonts w:cs="Times New Roman"/>
          <w:szCs w:val="24"/>
        </w:rPr>
      </w:pPr>
    </w:p>
    <w:p w14:paraId="3D40B4E2" w14:textId="77777777" w:rsidR="00207C13" w:rsidRPr="00207C13" w:rsidRDefault="00207C13" w:rsidP="00207C13">
      <w:pPr>
        <w:autoSpaceDE w:val="0"/>
        <w:autoSpaceDN w:val="0"/>
        <w:adjustRightInd w:val="0"/>
        <w:spacing w:after="0" w:line="240" w:lineRule="auto"/>
        <w:jc w:val="left"/>
        <w:rPr>
          <w:rFonts w:cs="Times New Roman"/>
          <w:szCs w:val="24"/>
        </w:rPr>
      </w:pPr>
    </w:p>
    <w:p w14:paraId="0A13FC48" w14:textId="77777777" w:rsidR="00207C13" w:rsidRPr="00207C13" w:rsidRDefault="00207C13" w:rsidP="00207C13">
      <w:pPr>
        <w:autoSpaceDE w:val="0"/>
        <w:autoSpaceDN w:val="0"/>
        <w:adjustRightInd w:val="0"/>
        <w:spacing w:after="0" w:line="400" w:lineRule="atLeast"/>
        <w:jc w:val="left"/>
        <w:rPr>
          <w:rFonts w:cs="Times New Roman"/>
          <w:szCs w:val="24"/>
        </w:rPr>
      </w:pPr>
    </w:p>
    <w:p w14:paraId="44AC50EB" w14:textId="77777777" w:rsidR="00207C13" w:rsidRDefault="00207C13" w:rsidP="00207C13">
      <w:pPr>
        <w:pStyle w:val="ListParagraph"/>
        <w:spacing w:line="480" w:lineRule="auto"/>
        <w:ind w:left="0" w:firstLine="1146"/>
        <w:jc w:val="center"/>
      </w:pPr>
    </w:p>
    <w:p w14:paraId="6C29CE5C" w14:textId="6ED4CAFE" w:rsidR="00F32352" w:rsidRDefault="00F32352" w:rsidP="00207C13">
      <w:pPr>
        <w:pStyle w:val="ListParagraph"/>
        <w:autoSpaceDE w:val="0"/>
        <w:autoSpaceDN w:val="0"/>
        <w:adjustRightInd w:val="0"/>
        <w:spacing w:after="0" w:line="276" w:lineRule="auto"/>
        <w:ind w:left="1134"/>
        <w:rPr>
          <w:rFonts w:cs="Times New Roman"/>
          <w:szCs w:val="24"/>
        </w:rPr>
      </w:pPr>
    </w:p>
    <w:p w14:paraId="177571CD" w14:textId="77777777" w:rsidR="002E7D7C" w:rsidRDefault="00207C13" w:rsidP="00C75996">
      <w:pPr>
        <w:pStyle w:val="ListParagraph"/>
        <w:spacing w:line="480" w:lineRule="auto"/>
        <w:ind w:left="426" w:firstLine="840"/>
      </w:pPr>
      <w:r>
        <w:t>Sumber: Output SPSS25</w:t>
      </w:r>
    </w:p>
    <w:p w14:paraId="5789C995" w14:textId="3723CA7C" w:rsidR="00C75996" w:rsidRPr="00C512DE" w:rsidRDefault="00C75996" w:rsidP="007E3C24">
      <w:pPr>
        <w:pStyle w:val="NoSpacing"/>
        <w:spacing w:line="480" w:lineRule="auto"/>
        <w:ind w:left="851" w:firstLine="283"/>
      </w:pPr>
      <w:r>
        <w:t>Hasil pengujian pada 60</w:t>
      </w:r>
      <w:r w:rsidR="00FA05DD">
        <w:t xml:space="preserve"> unit analisis pada Tabel diatas menunjukkan bahwa </w:t>
      </w:r>
      <w:r w:rsidR="00FA05DD" w:rsidRPr="00FA05DD">
        <w:t xml:space="preserve">nilai </w:t>
      </w:r>
      <w:r w:rsidR="00FA05DD" w:rsidRPr="00FA05DD">
        <w:rPr>
          <w:i/>
        </w:rPr>
        <w:t>Asymp. Sig. (2-tailed)</w:t>
      </w:r>
      <w:r w:rsidR="00FA05DD" w:rsidRPr="00FA05DD">
        <w:t xml:space="preserve"> sebesar 0,200. Nilai signifikansi sebesar 0,200 menunjukkan bahwa nilai tersebut lebih dari nilai batas nilai </w:t>
      </w:r>
      <w:r w:rsidR="00FA05DD">
        <w:t xml:space="preserve">signifikansi yaitu 0,05 </w:t>
      </w:r>
      <w:r w:rsidR="00FA05DD" w:rsidRPr="00FA05DD">
        <w:t>yang berarti nilai residual dalam penelitian</w:t>
      </w:r>
      <w:r w:rsidR="00FA05DD">
        <w:t xml:space="preserve"> ini data tersebut </w:t>
      </w:r>
      <w:r w:rsidR="00FA05DD" w:rsidRPr="00FA05DD">
        <w:t>normal.</w:t>
      </w:r>
    </w:p>
    <w:p w14:paraId="55545E0A" w14:textId="68A434C0" w:rsidR="00400CCB" w:rsidRDefault="00400CCB" w:rsidP="00FA05DD">
      <w:pPr>
        <w:pStyle w:val="ListParagraph"/>
        <w:numPr>
          <w:ilvl w:val="1"/>
          <w:numId w:val="32"/>
        </w:numPr>
        <w:spacing w:line="480" w:lineRule="auto"/>
        <w:ind w:left="1134"/>
      </w:pPr>
      <w:r>
        <w:t>Uji Multikoloniearitas</w:t>
      </w:r>
    </w:p>
    <w:p w14:paraId="34CAB80A" w14:textId="4B3118B6" w:rsidR="00400CCB" w:rsidRDefault="00400CCB" w:rsidP="00400CCB">
      <w:pPr>
        <w:pStyle w:val="ListParagraph"/>
        <w:spacing w:line="480" w:lineRule="auto"/>
        <w:ind w:left="1134" w:firstLine="306"/>
      </w:pPr>
      <w:r w:rsidRPr="00400CCB">
        <w:t>Uji multikolonieritas bertujuan untuk menguji apakah model regresi ditemukan adanya korelasi antar variabel bebas (independen). Model regresi yang baik seharusnya tidak terjadi korelasi di antara variabel independen. Jika variabel independen saling berkorelasi, maka variabel-</w:t>
      </w:r>
      <w:r w:rsidRPr="00400CCB">
        <w:lastRenderedPageBreak/>
        <w:t>variabel ini tidak ortogonal. Variabel ortogonal adalah variabel independen yang nilai korelasi antar sesama variabel independen sama dengan nol. Nilai tolerance atau nilai variance inflation factory keduanya menunjukan adanya multikolineartitas (VIF).</w:t>
      </w:r>
    </w:p>
    <w:p w14:paraId="677AE30C" w14:textId="7A8E354B" w:rsidR="00C77BC9" w:rsidRPr="00C77BC9" w:rsidRDefault="00C77BC9" w:rsidP="00C77BC9">
      <w:pPr>
        <w:pStyle w:val="Caption"/>
        <w:jc w:val="center"/>
        <w:rPr>
          <w:color w:val="auto"/>
          <w:sz w:val="24"/>
          <w:szCs w:val="24"/>
        </w:rPr>
      </w:pPr>
      <w:bookmarkStart w:id="30" w:name="_Toc168999381"/>
      <w:r w:rsidRPr="00C77BC9">
        <w:rPr>
          <w:color w:val="auto"/>
          <w:sz w:val="24"/>
          <w:szCs w:val="24"/>
        </w:rPr>
        <w:t xml:space="preserve">Tabel.  </w:t>
      </w:r>
      <w:r w:rsidRPr="00C77BC9">
        <w:rPr>
          <w:color w:val="auto"/>
          <w:sz w:val="24"/>
          <w:szCs w:val="24"/>
        </w:rPr>
        <w:fldChar w:fldCharType="begin"/>
      </w:r>
      <w:r w:rsidRPr="00C77BC9">
        <w:rPr>
          <w:color w:val="auto"/>
          <w:sz w:val="24"/>
          <w:szCs w:val="24"/>
        </w:rPr>
        <w:instrText xml:space="preserve"> SEQ Tabel._ \* ARABIC </w:instrText>
      </w:r>
      <w:r w:rsidRPr="00C77BC9">
        <w:rPr>
          <w:color w:val="auto"/>
          <w:sz w:val="24"/>
          <w:szCs w:val="24"/>
        </w:rPr>
        <w:fldChar w:fldCharType="separate"/>
      </w:r>
      <w:r w:rsidR="0017483D">
        <w:rPr>
          <w:noProof/>
          <w:color w:val="auto"/>
          <w:sz w:val="24"/>
          <w:szCs w:val="24"/>
        </w:rPr>
        <w:t>17</w:t>
      </w:r>
      <w:r w:rsidRPr="00C77BC9">
        <w:rPr>
          <w:color w:val="auto"/>
          <w:sz w:val="24"/>
          <w:szCs w:val="24"/>
        </w:rPr>
        <w:fldChar w:fldCharType="end"/>
      </w:r>
      <w:r w:rsidRPr="00C77BC9">
        <w:rPr>
          <w:color w:val="auto"/>
          <w:sz w:val="24"/>
          <w:szCs w:val="24"/>
          <w:lang w:val="en-US"/>
        </w:rPr>
        <w:t xml:space="preserve"> Hasil Uji Multikolonieritas</w:t>
      </w:r>
      <w:bookmarkEnd w:id="30"/>
    </w:p>
    <w:tbl>
      <w:tblPr>
        <w:tblpPr w:leftFromText="180" w:rightFromText="180" w:vertAnchor="text" w:horzAnchor="margin" w:tblpY="125"/>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
        <w:gridCol w:w="1188"/>
        <w:gridCol w:w="992"/>
        <w:gridCol w:w="993"/>
        <w:gridCol w:w="1275"/>
        <w:gridCol w:w="993"/>
        <w:gridCol w:w="1275"/>
        <w:gridCol w:w="1134"/>
        <w:gridCol w:w="851"/>
      </w:tblGrid>
      <w:tr w:rsidR="00C75996" w:rsidRPr="00C75996" w14:paraId="2FDABEA1" w14:textId="77777777" w:rsidTr="00C75996">
        <w:trPr>
          <w:cantSplit/>
        </w:trPr>
        <w:tc>
          <w:tcPr>
            <w:tcW w:w="8789" w:type="dxa"/>
            <w:gridSpan w:val="9"/>
            <w:tcBorders>
              <w:top w:val="nil"/>
              <w:left w:val="nil"/>
              <w:bottom w:val="nil"/>
              <w:right w:val="nil"/>
            </w:tcBorders>
            <w:shd w:val="clear" w:color="auto" w:fill="FFFFFF"/>
            <w:vAlign w:val="center"/>
          </w:tcPr>
          <w:p w14:paraId="750A869A" w14:textId="77777777" w:rsidR="00C75996" w:rsidRPr="00C75996" w:rsidRDefault="00C75996" w:rsidP="00C75996">
            <w:pPr>
              <w:autoSpaceDE w:val="0"/>
              <w:autoSpaceDN w:val="0"/>
              <w:adjustRightInd w:val="0"/>
              <w:spacing w:after="0" w:line="320" w:lineRule="atLeast"/>
              <w:ind w:left="60" w:right="60"/>
              <w:jc w:val="center"/>
              <w:rPr>
                <w:rFonts w:ascii="Arial" w:hAnsi="Arial" w:cs="Arial"/>
                <w:color w:val="010205"/>
                <w:sz w:val="22"/>
              </w:rPr>
            </w:pPr>
            <w:r w:rsidRPr="00C75996">
              <w:rPr>
                <w:rFonts w:ascii="Arial" w:hAnsi="Arial" w:cs="Arial"/>
                <w:b/>
                <w:bCs/>
                <w:color w:val="010205"/>
                <w:sz w:val="22"/>
              </w:rPr>
              <w:t>Coefficients</w:t>
            </w:r>
            <w:r w:rsidRPr="00C75996">
              <w:rPr>
                <w:rFonts w:ascii="Arial" w:hAnsi="Arial" w:cs="Arial"/>
                <w:b/>
                <w:bCs/>
                <w:color w:val="010205"/>
                <w:sz w:val="22"/>
                <w:vertAlign w:val="superscript"/>
              </w:rPr>
              <w:t>a</w:t>
            </w:r>
          </w:p>
        </w:tc>
      </w:tr>
      <w:tr w:rsidR="00C75996" w:rsidRPr="00C75996" w14:paraId="372CC3E0" w14:textId="77777777" w:rsidTr="00C75996">
        <w:trPr>
          <w:cantSplit/>
        </w:trPr>
        <w:tc>
          <w:tcPr>
            <w:tcW w:w="1276" w:type="dxa"/>
            <w:gridSpan w:val="2"/>
            <w:vMerge w:val="restart"/>
            <w:tcBorders>
              <w:top w:val="nil"/>
              <w:left w:val="nil"/>
              <w:bottom w:val="nil"/>
              <w:right w:val="nil"/>
            </w:tcBorders>
            <w:shd w:val="clear" w:color="auto" w:fill="FFFFFF"/>
            <w:vAlign w:val="bottom"/>
          </w:tcPr>
          <w:p w14:paraId="75CFE38D" w14:textId="77777777" w:rsidR="00C75996" w:rsidRPr="00C75996" w:rsidRDefault="00C75996" w:rsidP="00C75996">
            <w:pPr>
              <w:autoSpaceDE w:val="0"/>
              <w:autoSpaceDN w:val="0"/>
              <w:adjustRightInd w:val="0"/>
              <w:spacing w:after="0" w:line="320" w:lineRule="atLeast"/>
              <w:ind w:left="60" w:right="60"/>
              <w:jc w:val="left"/>
              <w:rPr>
                <w:rFonts w:cs="Times New Roman"/>
                <w:color w:val="264A60"/>
                <w:sz w:val="20"/>
                <w:szCs w:val="20"/>
              </w:rPr>
            </w:pPr>
            <w:r w:rsidRPr="00C75996">
              <w:rPr>
                <w:rFonts w:cs="Times New Roman"/>
                <w:color w:val="264A60"/>
                <w:sz w:val="20"/>
                <w:szCs w:val="20"/>
              </w:rPr>
              <w:t>Model</w:t>
            </w:r>
          </w:p>
        </w:tc>
        <w:tc>
          <w:tcPr>
            <w:tcW w:w="1985" w:type="dxa"/>
            <w:gridSpan w:val="2"/>
            <w:tcBorders>
              <w:top w:val="nil"/>
              <w:left w:val="nil"/>
              <w:bottom w:val="nil"/>
              <w:right w:val="single" w:sz="8" w:space="0" w:color="E0E0E0"/>
            </w:tcBorders>
            <w:shd w:val="clear" w:color="auto" w:fill="FFFFFF"/>
            <w:vAlign w:val="bottom"/>
          </w:tcPr>
          <w:p w14:paraId="435999D9" w14:textId="77777777" w:rsidR="00C75996" w:rsidRPr="00C75996" w:rsidRDefault="00C75996" w:rsidP="00C75996">
            <w:pPr>
              <w:autoSpaceDE w:val="0"/>
              <w:autoSpaceDN w:val="0"/>
              <w:adjustRightInd w:val="0"/>
              <w:spacing w:after="0" w:line="320" w:lineRule="atLeast"/>
              <w:ind w:left="60" w:right="60"/>
              <w:jc w:val="center"/>
              <w:rPr>
                <w:rFonts w:cs="Times New Roman"/>
                <w:color w:val="264A60"/>
                <w:sz w:val="20"/>
                <w:szCs w:val="20"/>
              </w:rPr>
            </w:pPr>
            <w:r w:rsidRPr="00C75996">
              <w:rPr>
                <w:rFonts w:cs="Times New Roman"/>
                <w:color w:val="264A60"/>
                <w:sz w:val="20"/>
                <w:szCs w:val="20"/>
              </w:rPr>
              <w:t>Unstandardized Coefficients</w:t>
            </w:r>
          </w:p>
        </w:tc>
        <w:tc>
          <w:tcPr>
            <w:tcW w:w="1275" w:type="dxa"/>
            <w:tcBorders>
              <w:top w:val="nil"/>
              <w:left w:val="single" w:sz="8" w:space="0" w:color="E0E0E0"/>
              <w:bottom w:val="nil"/>
              <w:right w:val="single" w:sz="8" w:space="0" w:color="E0E0E0"/>
            </w:tcBorders>
            <w:shd w:val="clear" w:color="auto" w:fill="FFFFFF"/>
            <w:vAlign w:val="bottom"/>
          </w:tcPr>
          <w:p w14:paraId="5F6FFCF6" w14:textId="77777777" w:rsidR="00C75996" w:rsidRPr="00C75996" w:rsidRDefault="00C75996" w:rsidP="00C75996">
            <w:pPr>
              <w:autoSpaceDE w:val="0"/>
              <w:autoSpaceDN w:val="0"/>
              <w:adjustRightInd w:val="0"/>
              <w:spacing w:after="0" w:line="320" w:lineRule="atLeast"/>
              <w:ind w:left="60" w:right="60"/>
              <w:jc w:val="center"/>
              <w:rPr>
                <w:rFonts w:cs="Times New Roman"/>
                <w:color w:val="264A60"/>
                <w:sz w:val="20"/>
                <w:szCs w:val="20"/>
              </w:rPr>
            </w:pPr>
            <w:r w:rsidRPr="00C75996">
              <w:rPr>
                <w:rFonts w:cs="Times New Roman"/>
                <w:color w:val="264A60"/>
                <w:sz w:val="20"/>
                <w:szCs w:val="20"/>
              </w:rPr>
              <w:t>Standardized Coefficients</w:t>
            </w:r>
          </w:p>
        </w:tc>
        <w:tc>
          <w:tcPr>
            <w:tcW w:w="993" w:type="dxa"/>
            <w:vMerge w:val="restart"/>
            <w:tcBorders>
              <w:top w:val="nil"/>
              <w:left w:val="single" w:sz="8" w:space="0" w:color="E0E0E0"/>
              <w:bottom w:val="nil"/>
              <w:right w:val="single" w:sz="8" w:space="0" w:color="E0E0E0"/>
            </w:tcBorders>
            <w:shd w:val="clear" w:color="auto" w:fill="FFFFFF"/>
            <w:vAlign w:val="bottom"/>
          </w:tcPr>
          <w:p w14:paraId="66484F1E" w14:textId="77777777" w:rsidR="00C75996" w:rsidRPr="00C75996" w:rsidRDefault="00C75996" w:rsidP="00C75996">
            <w:pPr>
              <w:autoSpaceDE w:val="0"/>
              <w:autoSpaceDN w:val="0"/>
              <w:adjustRightInd w:val="0"/>
              <w:spacing w:after="0" w:line="320" w:lineRule="atLeast"/>
              <w:ind w:left="60" w:right="60"/>
              <w:jc w:val="center"/>
              <w:rPr>
                <w:rFonts w:cs="Times New Roman"/>
                <w:color w:val="264A60"/>
                <w:sz w:val="20"/>
                <w:szCs w:val="20"/>
              </w:rPr>
            </w:pPr>
            <w:r w:rsidRPr="00C75996">
              <w:rPr>
                <w:rFonts w:cs="Times New Roman"/>
                <w:color w:val="264A60"/>
                <w:sz w:val="20"/>
                <w:szCs w:val="20"/>
              </w:rPr>
              <w:t>t</w:t>
            </w:r>
          </w:p>
        </w:tc>
        <w:tc>
          <w:tcPr>
            <w:tcW w:w="1275" w:type="dxa"/>
            <w:vMerge w:val="restart"/>
            <w:tcBorders>
              <w:top w:val="nil"/>
              <w:left w:val="single" w:sz="8" w:space="0" w:color="E0E0E0"/>
              <w:bottom w:val="nil"/>
              <w:right w:val="single" w:sz="8" w:space="0" w:color="E0E0E0"/>
            </w:tcBorders>
            <w:shd w:val="clear" w:color="auto" w:fill="FFFFFF"/>
            <w:vAlign w:val="bottom"/>
          </w:tcPr>
          <w:p w14:paraId="7F10255C" w14:textId="77777777" w:rsidR="00C75996" w:rsidRPr="00C75996" w:rsidRDefault="00C75996" w:rsidP="00C75996">
            <w:pPr>
              <w:autoSpaceDE w:val="0"/>
              <w:autoSpaceDN w:val="0"/>
              <w:adjustRightInd w:val="0"/>
              <w:spacing w:after="0" w:line="320" w:lineRule="atLeast"/>
              <w:ind w:left="60" w:right="60"/>
              <w:jc w:val="center"/>
              <w:rPr>
                <w:rFonts w:cs="Times New Roman"/>
                <w:color w:val="264A60"/>
                <w:sz w:val="20"/>
                <w:szCs w:val="20"/>
              </w:rPr>
            </w:pPr>
            <w:r w:rsidRPr="00C75996">
              <w:rPr>
                <w:rFonts w:cs="Times New Roman"/>
                <w:color w:val="264A60"/>
                <w:sz w:val="20"/>
                <w:szCs w:val="20"/>
              </w:rPr>
              <w:t>Sig.</w:t>
            </w:r>
          </w:p>
        </w:tc>
        <w:tc>
          <w:tcPr>
            <w:tcW w:w="1985" w:type="dxa"/>
            <w:gridSpan w:val="2"/>
            <w:tcBorders>
              <w:top w:val="nil"/>
              <w:left w:val="single" w:sz="8" w:space="0" w:color="E0E0E0"/>
              <w:bottom w:val="nil"/>
              <w:right w:val="nil"/>
            </w:tcBorders>
            <w:shd w:val="clear" w:color="auto" w:fill="FFFFFF"/>
            <w:vAlign w:val="bottom"/>
          </w:tcPr>
          <w:p w14:paraId="2976371B" w14:textId="77777777" w:rsidR="00C75996" w:rsidRPr="00C75996" w:rsidRDefault="00C75996" w:rsidP="00C75996">
            <w:pPr>
              <w:autoSpaceDE w:val="0"/>
              <w:autoSpaceDN w:val="0"/>
              <w:adjustRightInd w:val="0"/>
              <w:spacing w:after="0" w:line="320" w:lineRule="atLeast"/>
              <w:ind w:left="60" w:right="60"/>
              <w:jc w:val="center"/>
              <w:rPr>
                <w:rFonts w:cs="Times New Roman"/>
                <w:color w:val="264A60"/>
                <w:sz w:val="20"/>
                <w:szCs w:val="20"/>
              </w:rPr>
            </w:pPr>
            <w:r w:rsidRPr="00C75996">
              <w:rPr>
                <w:rFonts w:cs="Times New Roman"/>
                <w:color w:val="264A60"/>
                <w:sz w:val="20"/>
                <w:szCs w:val="20"/>
              </w:rPr>
              <w:t>Collinearity Statistics</w:t>
            </w:r>
          </w:p>
        </w:tc>
      </w:tr>
      <w:tr w:rsidR="00C75996" w:rsidRPr="00C75996" w14:paraId="1AFAB68B" w14:textId="77777777" w:rsidTr="00C75996">
        <w:trPr>
          <w:cantSplit/>
        </w:trPr>
        <w:tc>
          <w:tcPr>
            <w:tcW w:w="1276" w:type="dxa"/>
            <w:gridSpan w:val="2"/>
            <w:vMerge/>
            <w:tcBorders>
              <w:top w:val="nil"/>
              <w:left w:val="nil"/>
              <w:bottom w:val="nil"/>
              <w:right w:val="nil"/>
            </w:tcBorders>
            <w:shd w:val="clear" w:color="auto" w:fill="FFFFFF"/>
            <w:vAlign w:val="bottom"/>
          </w:tcPr>
          <w:p w14:paraId="4B6343A3" w14:textId="77777777" w:rsidR="00C75996" w:rsidRPr="00C75996" w:rsidRDefault="00C75996" w:rsidP="00C75996">
            <w:pPr>
              <w:autoSpaceDE w:val="0"/>
              <w:autoSpaceDN w:val="0"/>
              <w:adjustRightInd w:val="0"/>
              <w:spacing w:after="0" w:line="240" w:lineRule="auto"/>
              <w:jc w:val="left"/>
              <w:rPr>
                <w:rFonts w:cs="Times New Roman"/>
                <w:color w:val="264A60"/>
                <w:sz w:val="20"/>
                <w:szCs w:val="20"/>
              </w:rPr>
            </w:pPr>
          </w:p>
        </w:tc>
        <w:tc>
          <w:tcPr>
            <w:tcW w:w="992" w:type="dxa"/>
            <w:tcBorders>
              <w:top w:val="nil"/>
              <w:left w:val="nil"/>
              <w:bottom w:val="single" w:sz="8" w:space="0" w:color="152935"/>
              <w:right w:val="single" w:sz="8" w:space="0" w:color="E0E0E0"/>
            </w:tcBorders>
            <w:shd w:val="clear" w:color="auto" w:fill="FFFFFF"/>
            <w:vAlign w:val="bottom"/>
          </w:tcPr>
          <w:p w14:paraId="3A26A732" w14:textId="77777777" w:rsidR="00C75996" w:rsidRPr="00C75996" w:rsidRDefault="00C75996" w:rsidP="00C75996">
            <w:pPr>
              <w:autoSpaceDE w:val="0"/>
              <w:autoSpaceDN w:val="0"/>
              <w:adjustRightInd w:val="0"/>
              <w:spacing w:after="0" w:line="320" w:lineRule="atLeast"/>
              <w:ind w:left="60" w:right="60"/>
              <w:jc w:val="center"/>
              <w:rPr>
                <w:rFonts w:cs="Times New Roman"/>
                <w:color w:val="264A60"/>
                <w:sz w:val="20"/>
                <w:szCs w:val="20"/>
              </w:rPr>
            </w:pPr>
            <w:r w:rsidRPr="00C75996">
              <w:rPr>
                <w:rFonts w:cs="Times New Roman"/>
                <w:color w:val="264A60"/>
                <w:sz w:val="20"/>
                <w:szCs w:val="20"/>
              </w:rPr>
              <w:t>B</w:t>
            </w:r>
          </w:p>
        </w:tc>
        <w:tc>
          <w:tcPr>
            <w:tcW w:w="993" w:type="dxa"/>
            <w:tcBorders>
              <w:top w:val="nil"/>
              <w:left w:val="single" w:sz="8" w:space="0" w:color="E0E0E0"/>
              <w:bottom w:val="single" w:sz="8" w:space="0" w:color="152935"/>
              <w:right w:val="single" w:sz="8" w:space="0" w:color="E0E0E0"/>
            </w:tcBorders>
            <w:shd w:val="clear" w:color="auto" w:fill="FFFFFF"/>
            <w:vAlign w:val="bottom"/>
          </w:tcPr>
          <w:p w14:paraId="77E900FA" w14:textId="77777777" w:rsidR="00C75996" w:rsidRPr="00C75996" w:rsidRDefault="00C75996" w:rsidP="00C75996">
            <w:pPr>
              <w:autoSpaceDE w:val="0"/>
              <w:autoSpaceDN w:val="0"/>
              <w:adjustRightInd w:val="0"/>
              <w:spacing w:after="0" w:line="320" w:lineRule="atLeast"/>
              <w:ind w:left="60" w:right="60"/>
              <w:jc w:val="center"/>
              <w:rPr>
                <w:rFonts w:cs="Times New Roman"/>
                <w:color w:val="264A60"/>
                <w:sz w:val="20"/>
                <w:szCs w:val="20"/>
              </w:rPr>
            </w:pPr>
            <w:r w:rsidRPr="00C75996">
              <w:rPr>
                <w:rFonts w:cs="Times New Roman"/>
                <w:color w:val="264A60"/>
                <w:sz w:val="20"/>
                <w:szCs w:val="20"/>
              </w:rPr>
              <w:t>Std. Error</w:t>
            </w:r>
          </w:p>
        </w:tc>
        <w:tc>
          <w:tcPr>
            <w:tcW w:w="1275" w:type="dxa"/>
            <w:tcBorders>
              <w:top w:val="nil"/>
              <w:left w:val="single" w:sz="8" w:space="0" w:color="E0E0E0"/>
              <w:bottom w:val="single" w:sz="8" w:space="0" w:color="152935"/>
              <w:right w:val="single" w:sz="8" w:space="0" w:color="E0E0E0"/>
            </w:tcBorders>
            <w:shd w:val="clear" w:color="auto" w:fill="FFFFFF"/>
            <w:vAlign w:val="bottom"/>
          </w:tcPr>
          <w:p w14:paraId="40D77287" w14:textId="77777777" w:rsidR="00C75996" w:rsidRPr="00C75996" w:rsidRDefault="00C75996" w:rsidP="00C75996">
            <w:pPr>
              <w:autoSpaceDE w:val="0"/>
              <w:autoSpaceDN w:val="0"/>
              <w:adjustRightInd w:val="0"/>
              <w:spacing w:after="0" w:line="320" w:lineRule="atLeast"/>
              <w:ind w:left="60" w:right="60"/>
              <w:jc w:val="center"/>
              <w:rPr>
                <w:rFonts w:cs="Times New Roman"/>
                <w:color w:val="264A60"/>
                <w:sz w:val="20"/>
                <w:szCs w:val="20"/>
              </w:rPr>
            </w:pPr>
            <w:r w:rsidRPr="00C75996">
              <w:rPr>
                <w:rFonts w:cs="Times New Roman"/>
                <w:color w:val="264A60"/>
                <w:sz w:val="20"/>
                <w:szCs w:val="20"/>
              </w:rPr>
              <w:t>Beta</w:t>
            </w:r>
          </w:p>
        </w:tc>
        <w:tc>
          <w:tcPr>
            <w:tcW w:w="993" w:type="dxa"/>
            <w:vMerge/>
            <w:tcBorders>
              <w:top w:val="nil"/>
              <w:left w:val="single" w:sz="8" w:space="0" w:color="E0E0E0"/>
              <w:bottom w:val="nil"/>
              <w:right w:val="single" w:sz="8" w:space="0" w:color="E0E0E0"/>
            </w:tcBorders>
            <w:shd w:val="clear" w:color="auto" w:fill="FFFFFF"/>
            <w:vAlign w:val="bottom"/>
          </w:tcPr>
          <w:p w14:paraId="24517AB0" w14:textId="77777777" w:rsidR="00C75996" w:rsidRPr="00C75996" w:rsidRDefault="00C75996" w:rsidP="00C75996">
            <w:pPr>
              <w:autoSpaceDE w:val="0"/>
              <w:autoSpaceDN w:val="0"/>
              <w:adjustRightInd w:val="0"/>
              <w:spacing w:after="0" w:line="240" w:lineRule="auto"/>
              <w:jc w:val="left"/>
              <w:rPr>
                <w:rFonts w:cs="Times New Roman"/>
                <w:color w:val="264A60"/>
                <w:sz w:val="20"/>
                <w:szCs w:val="20"/>
              </w:rPr>
            </w:pPr>
          </w:p>
        </w:tc>
        <w:tc>
          <w:tcPr>
            <w:tcW w:w="1275" w:type="dxa"/>
            <w:vMerge/>
            <w:tcBorders>
              <w:top w:val="nil"/>
              <w:left w:val="single" w:sz="8" w:space="0" w:color="E0E0E0"/>
              <w:bottom w:val="nil"/>
              <w:right w:val="single" w:sz="8" w:space="0" w:color="E0E0E0"/>
            </w:tcBorders>
            <w:shd w:val="clear" w:color="auto" w:fill="FFFFFF"/>
            <w:vAlign w:val="bottom"/>
          </w:tcPr>
          <w:p w14:paraId="64DC7D04" w14:textId="77777777" w:rsidR="00C75996" w:rsidRPr="00C75996" w:rsidRDefault="00C75996" w:rsidP="00C75996">
            <w:pPr>
              <w:autoSpaceDE w:val="0"/>
              <w:autoSpaceDN w:val="0"/>
              <w:adjustRightInd w:val="0"/>
              <w:spacing w:after="0" w:line="240" w:lineRule="auto"/>
              <w:jc w:val="left"/>
              <w:rPr>
                <w:rFonts w:cs="Times New Roman"/>
                <w:color w:val="264A60"/>
                <w:sz w:val="20"/>
                <w:szCs w:val="20"/>
              </w:rPr>
            </w:pP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79B4DC70" w14:textId="77777777" w:rsidR="00C75996" w:rsidRPr="00C75996" w:rsidRDefault="00C75996" w:rsidP="00C75996">
            <w:pPr>
              <w:autoSpaceDE w:val="0"/>
              <w:autoSpaceDN w:val="0"/>
              <w:adjustRightInd w:val="0"/>
              <w:spacing w:after="0" w:line="320" w:lineRule="atLeast"/>
              <w:ind w:left="60" w:right="60"/>
              <w:jc w:val="center"/>
              <w:rPr>
                <w:rFonts w:cs="Times New Roman"/>
                <w:color w:val="264A60"/>
                <w:sz w:val="20"/>
                <w:szCs w:val="20"/>
              </w:rPr>
            </w:pPr>
            <w:r w:rsidRPr="00C75996">
              <w:rPr>
                <w:rFonts w:cs="Times New Roman"/>
                <w:color w:val="264A60"/>
                <w:sz w:val="20"/>
                <w:szCs w:val="20"/>
              </w:rPr>
              <w:t>Tolerance</w:t>
            </w:r>
          </w:p>
        </w:tc>
        <w:tc>
          <w:tcPr>
            <w:tcW w:w="851" w:type="dxa"/>
            <w:tcBorders>
              <w:top w:val="nil"/>
              <w:left w:val="single" w:sz="8" w:space="0" w:color="E0E0E0"/>
              <w:bottom w:val="single" w:sz="8" w:space="0" w:color="152935"/>
              <w:right w:val="nil"/>
            </w:tcBorders>
            <w:shd w:val="clear" w:color="auto" w:fill="FFFFFF"/>
            <w:vAlign w:val="bottom"/>
          </w:tcPr>
          <w:p w14:paraId="2A79BAA9" w14:textId="77777777" w:rsidR="00C75996" w:rsidRPr="00C75996" w:rsidRDefault="00C75996" w:rsidP="00C75996">
            <w:pPr>
              <w:autoSpaceDE w:val="0"/>
              <w:autoSpaceDN w:val="0"/>
              <w:adjustRightInd w:val="0"/>
              <w:spacing w:after="0" w:line="320" w:lineRule="atLeast"/>
              <w:ind w:left="60" w:right="60"/>
              <w:jc w:val="center"/>
              <w:rPr>
                <w:rFonts w:cs="Times New Roman"/>
                <w:color w:val="264A60"/>
                <w:sz w:val="20"/>
                <w:szCs w:val="20"/>
              </w:rPr>
            </w:pPr>
            <w:r w:rsidRPr="00C75996">
              <w:rPr>
                <w:rFonts w:cs="Times New Roman"/>
                <w:color w:val="264A60"/>
                <w:sz w:val="20"/>
                <w:szCs w:val="20"/>
              </w:rPr>
              <w:t>VIF</w:t>
            </w:r>
          </w:p>
        </w:tc>
      </w:tr>
      <w:tr w:rsidR="00C75996" w:rsidRPr="00C75996" w14:paraId="1D5D59BC" w14:textId="77777777" w:rsidTr="00C75996">
        <w:trPr>
          <w:cantSplit/>
        </w:trPr>
        <w:tc>
          <w:tcPr>
            <w:tcW w:w="88" w:type="dxa"/>
            <w:vMerge w:val="restart"/>
            <w:tcBorders>
              <w:top w:val="single" w:sz="8" w:space="0" w:color="152935"/>
              <w:left w:val="nil"/>
              <w:bottom w:val="single" w:sz="8" w:space="0" w:color="152935"/>
              <w:right w:val="nil"/>
            </w:tcBorders>
            <w:shd w:val="clear" w:color="auto" w:fill="E0E0E0"/>
          </w:tcPr>
          <w:p w14:paraId="1F39C179" w14:textId="77777777" w:rsidR="00C75996" w:rsidRPr="00C75996" w:rsidRDefault="00C75996" w:rsidP="00C75996">
            <w:pPr>
              <w:autoSpaceDE w:val="0"/>
              <w:autoSpaceDN w:val="0"/>
              <w:adjustRightInd w:val="0"/>
              <w:spacing w:after="0" w:line="320" w:lineRule="atLeast"/>
              <w:ind w:left="60" w:right="60"/>
              <w:jc w:val="left"/>
              <w:rPr>
                <w:rFonts w:cs="Times New Roman"/>
                <w:color w:val="264A60"/>
                <w:sz w:val="20"/>
                <w:szCs w:val="20"/>
              </w:rPr>
            </w:pPr>
            <w:r w:rsidRPr="00C75996">
              <w:rPr>
                <w:rFonts w:cs="Times New Roman"/>
                <w:color w:val="264A60"/>
                <w:sz w:val="20"/>
                <w:szCs w:val="20"/>
              </w:rPr>
              <w:t>1</w:t>
            </w:r>
          </w:p>
        </w:tc>
        <w:tc>
          <w:tcPr>
            <w:tcW w:w="1188" w:type="dxa"/>
            <w:tcBorders>
              <w:top w:val="single" w:sz="8" w:space="0" w:color="152935"/>
              <w:left w:val="nil"/>
              <w:bottom w:val="single" w:sz="8" w:space="0" w:color="AEAEAE"/>
              <w:right w:val="nil"/>
            </w:tcBorders>
            <w:shd w:val="clear" w:color="auto" w:fill="E0E0E0"/>
          </w:tcPr>
          <w:p w14:paraId="05C003AC" w14:textId="77777777" w:rsidR="00C75996" w:rsidRPr="00C75996" w:rsidRDefault="00C75996" w:rsidP="00C75996">
            <w:pPr>
              <w:autoSpaceDE w:val="0"/>
              <w:autoSpaceDN w:val="0"/>
              <w:adjustRightInd w:val="0"/>
              <w:spacing w:after="0" w:line="320" w:lineRule="atLeast"/>
              <w:ind w:left="60" w:right="60"/>
              <w:jc w:val="left"/>
              <w:rPr>
                <w:rFonts w:cs="Times New Roman"/>
                <w:color w:val="264A60"/>
                <w:sz w:val="20"/>
                <w:szCs w:val="20"/>
              </w:rPr>
            </w:pPr>
            <w:r w:rsidRPr="00C75996">
              <w:rPr>
                <w:rFonts w:cs="Times New Roman"/>
                <w:color w:val="264A60"/>
                <w:sz w:val="20"/>
                <w:szCs w:val="20"/>
              </w:rPr>
              <w:t>(Constant)</w:t>
            </w:r>
          </w:p>
        </w:tc>
        <w:tc>
          <w:tcPr>
            <w:tcW w:w="992" w:type="dxa"/>
            <w:tcBorders>
              <w:top w:val="single" w:sz="8" w:space="0" w:color="152935"/>
              <w:left w:val="nil"/>
              <w:bottom w:val="single" w:sz="8" w:space="0" w:color="AEAEAE"/>
              <w:right w:val="single" w:sz="8" w:space="0" w:color="E0E0E0"/>
            </w:tcBorders>
            <w:shd w:val="clear" w:color="auto" w:fill="FFFFFF"/>
          </w:tcPr>
          <w:p w14:paraId="32598041"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.109</w:t>
            </w:r>
          </w:p>
        </w:tc>
        <w:tc>
          <w:tcPr>
            <w:tcW w:w="993" w:type="dxa"/>
            <w:tcBorders>
              <w:top w:val="single" w:sz="8" w:space="0" w:color="152935"/>
              <w:left w:val="single" w:sz="8" w:space="0" w:color="E0E0E0"/>
              <w:bottom w:val="single" w:sz="8" w:space="0" w:color="AEAEAE"/>
              <w:right w:val="single" w:sz="8" w:space="0" w:color="E0E0E0"/>
            </w:tcBorders>
            <w:shd w:val="clear" w:color="auto" w:fill="FFFFFF"/>
          </w:tcPr>
          <w:p w14:paraId="2E99FBE1"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.073</w:t>
            </w:r>
          </w:p>
        </w:tc>
        <w:tc>
          <w:tcPr>
            <w:tcW w:w="12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460BE67" w14:textId="77777777" w:rsidR="00C75996" w:rsidRPr="00C75996" w:rsidRDefault="00C75996" w:rsidP="00C75996">
            <w:pPr>
              <w:autoSpaceDE w:val="0"/>
              <w:autoSpaceDN w:val="0"/>
              <w:adjustRightInd w:val="0"/>
              <w:spacing w:after="0" w:line="240" w:lineRule="auto"/>
              <w:jc w:val="left"/>
              <w:rPr>
                <w:rFonts w:cs="Times New Roman"/>
                <w:sz w:val="20"/>
                <w:szCs w:val="20"/>
              </w:rPr>
            </w:pPr>
          </w:p>
        </w:tc>
        <w:tc>
          <w:tcPr>
            <w:tcW w:w="993" w:type="dxa"/>
            <w:tcBorders>
              <w:top w:val="single" w:sz="8" w:space="0" w:color="152935"/>
              <w:left w:val="single" w:sz="8" w:space="0" w:color="E0E0E0"/>
              <w:bottom w:val="single" w:sz="8" w:space="0" w:color="AEAEAE"/>
              <w:right w:val="single" w:sz="8" w:space="0" w:color="E0E0E0"/>
            </w:tcBorders>
            <w:shd w:val="clear" w:color="auto" w:fill="FFFFFF"/>
          </w:tcPr>
          <w:p w14:paraId="6E75632F"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1.492</w:t>
            </w:r>
          </w:p>
        </w:tc>
        <w:tc>
          <w:tcPr>
            <w:tcW w:w="1275" w:type="dxa"/>
            <w:tcBorders>
              <w:top w:val="single" w:sz="8" w:space="0" w:color="152935"/>
              <w:left w:val="single" w:sz="8" w:space="0" w:color="E0E0E0"/>
              <w:bottom w:val="single" w:sz="8" w:space="0" w:color="AEAEAE"/>
              <w:right w:val="single" w:sz="8" w:space="0" w:color="E0E0E0"/>
            </w:tcBorders>
            <w:shd w:val="clear" w:color="auto" w:fill="FFFFFF"/>
          </w:tcPr>
          <w:p w14:paraId="286B0640"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.142</w:t>
            </w:r>
          </w:p>
        </w:tc>
        <w:tc>
          <w:tcPr>
            <w:tcW w:w="113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CDB889D" w14:textId="77777777" w:rsidR="00C75996" w:rsidRPr="00C75996" w:rsidRDefault="00C75996" w:rsidP="00C75996">
            <w:pPr>
              <w:autoSpaceDE w:val="0"/>
              <w:autoSpaceDN w:val="0"/>
              <w:adjustRightInd w:val="0"/>
              <w:spacing w:after="0" w:line="240" w:lineRule="auto"/>
              <w:jc w:val="left"/>
              <w:rPr>
                <w:rFonts w:cs="Times New Roman"/>
                <w:sz w:val="20"/>
                <w:szCs w:val="20"/>
              </w:rPr>
            </w:pPr>
          </w:p>
        </w:tc>
        <w:tc>
          <w:tcPr>
            <w:tcW w:w="851" w:type="dxa"/>
            <w:tcBorders>
              <w:top w:val="single" w:sz="8" w:space="0" w:color="152935"/>
              <w:left w:val="single" w:sz="8" w:space="0" w:color="E0E0E0"/>
              <w:bottom w:val="single" w:sz="8" w:space="0" w:color="AEAEAE"/>
              <w:right w:val="nil"/>
            </w:tcBorders>
            <w:shd w:val="clear" w:color="auto" w:fill="FFFFFF"/>
            <w:vAlign w:val="center"/>
          </w:tcPr>
          <w:p w14:paraId="7D14ADD2" w14:textId="77777777" w:rsidR="00C75996" w:rsidRPr="00C75996" w:rsidRDefault="00C75996" w:rsidP="00C75996">
            <w:pPr>
              <w:autoSpaceDE w:val="0"/>
              <w:autoSpaceDN w:val="0"/>
              <w:adjustRightInd w:val="0"/>
              <w:spacing w:after="0" w:line="240" w:lineRule="auto"/>
              <w:jc w:val="left"/>
              <w:rPr>
                <w:rFonts w:cs="Times New Roman"/>
                <w:sz w:val="20"/>
                <w:szCs w:val="20"/>
              </w:rPr>
            </w:pPr>
          </w:p>
        </w:tc>
      </w:tr>
      <w:tr w:rsidR="00C75996" w:rsidRPr="00C75996" w14:paraId="68151CD2" w14:textId="77777777" w:rsidTr="00C75996">
        <w:trPr>
          <w:cantSplit/>
        </w:trPr>
        <w:tc>
          <w:tcPr>
            <w:tcW w:w="88" w:type="dxa"/>
            <w:vMerge/>
            <w:tcBorders>
              <w:top w:val="single" w:sz="8" w:space="0" w:color="152935"/>
              <w:left w:val="nil"/>
              <w:bottom w:val="single" w:sz="8" w:space="0" w:color="152935"/>
              <w:right w:val="nil"/>
            </w:tcBorders>
            <w:shd w:val="clear" w:color="auto" w:fill="E0E0E0"/>
          </w:tcPr>
          <w:p w14:paraId="2148524C" w14:textId="77777777" w:rsidR="00C75996" w:rsidRPr="00C75996" w:rsidRDefault="00C75996" w:rsidP="00C75996">
            <w:pPr>
              <w:autoSpaceDE w:val="0"/>
              <w:autoSpaceDN w:val="0"/>
              <w:adjustRightInd w:val="0"/>
              <w:spacing w:after="0" w:line="240" w:lineRule="auto"/>
              <w:jc w:val="left"/>
              <w:rPr>
                <w:rFonts w:cs="Times New Roman"/>
                <w:sz w:val="20"/>
                <w:szCs w:val="20"/>
              </w:rPr>
            </w:pPr>
          </w:p>
        </w:tc>
        <w:tc>
          <w:tcPr>
            <w:tcW w:w="1188" w:type="dxa"/>
            <w:tcBorders>
              <w:top w:val="single" w:sz="8" w:space="0" w:color="AEAEAE"/>
              <w:left w:val="nil"/>
              <w:bottom w:val="single" w:sz="8" w:space="0" w:color="AEAEAE"/>
              <w:right w:val="nil"/>
            </w:tcBorders>
            <w:shd w:val="clear" w:color="auto" w:fill="E0E0E0"/>
          </w:tcPr>
          <w:p w14:paraId="6E89EEA5" w14:textId="77777777" w:rsidR="00C75996" w:rsidRPr="00C75996" w:rsidRDefault="00C75996" w:rsidP="00C75996">
            <w:pPr>
              <w:autoSpaceDE w:val="0"/>
              <w:autoSpaceDN w:val="0"/>
              <w:adjustRightInd w:val="0"/>
              <w:spacing w:after="0" w:line="320" w:lineRule="atLeast"/>
              <w:ind w:left="60" w:right="60"/>
              <w:jc w:val="left"/>
              <w:rPr>
                <w:rFonts w:cs="Times New Roman"/>
                <w:color w:val="264A60"/>
                <w:sz w:val="20"/>
                <w:szCs w:val="20"/>
              </w:rPr>
            </w:pPr>
            <w:r w:rsidRPr="00C75996">
              <w:rPr>
                <w:rFonts w:cs="Times New Roman"/>
                <w:color w:val="264A60"/>
                <w:sz w:val="20"/>
                <w:szCs w:val="20"/>
              </w:rPr>
              <w:t>Leverage</w:t>
            </w:r>
          </w:p>
        </w:tc>
        <w:tc>
          <w:tcPr>
            <w:tcW w:w="992" w:type="dxa"/>
            <w:tcBorders>
              <w:top w:val="single" w:sz="8" w:space="0" w:color="AEAEAE"/>
              <w:left w:val="nil"/>
              <w:bottom w:val="single" w:sz="8" w:space="0" w:color="AEAEAE"/>
              <w:right w:val="single" w:sz="8" w:space="0" w:color="E0E0E0"/>
            </w:tcBorders>
            <w:shd w:val="clear" w:color="auto" w:fill="FFFFFF"/>
          </w:tcPr>
          <w:p w14:paraId="3C952342"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.012</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4076636F"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.005</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18D1659B"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.306</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34339B57"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2.214</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3ADB1CA4"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.031</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02E696B9"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.825</w:t>
            </w:r>
          </w:p>
        </w:tc>
        <w:tc>
          <w:tcPr>
            <w:tcW w:w="851" w:type="dxa"/>
            <w:tcBorders>
              <w:top w:val="single" w:sz="8" w:space="0" w:color="AEAEAE"/>
              <w:left w:val="single" w:sz="8" w:space="0" w:color="E0E0E0"/>
              <w:bottom w:val="single" w:sz="8" w:space="0" w:color="AEAEAE"/>
              <w:right w:val="nil"/>
            </w:tcBorders>
            <w:shd w:val="clear" w:color="auto" w:fill="FFFFFF"/>
          </w:tcPr>
          <w:p w14:paraId="6330F432"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1.213</w:t>
            </w:r>
          </w:p>
        </w:tc>
      </w:tr>
      <w:tr w:rsidR="00C75996" w:rsidRPr="00C75996" w14:paraId="6FDBB8C1" w14:textId="77777777" w:rsidTr="00C75996">
        <w:trPr>
          <w:cantSplit/>
        </w:trPr>
        <w:tc>
          <w:tcPr>
            <w:tcW w:w="88" w:type="dxa"/>
            <w:vMerge/>
            <w:tcBorders>
              <w:top w:val="single" w:sz="8" w:space="0" w:color="152935"/>
              <w:left w:val="nil"/>
              <w:bottom w:val="single" w:sz="8" w:space="0" w:color="152935"/>
              <w:right w:val="nil"/>
            </w:tcBorders>
            <w:shd w:val="clear" w:color="auto" w:fill="E0E0E0"/>
          </w:tcPr>
          <w:p w14:paraId="0CFFA266" w14:textId="77777777" w:rsidR="00C75996" w:rsidRPr="00C75996" w:rsidRDefault="00C75996" w:rsidP="00C75996">
            <w:pPr>
              <w:autoSpaceDE w:val="0"/>
              <w:autoSpaceDN w:val="0"/>
              <w:adjustRightInd w:val="0"/>
              <w:spacing w:after="0" w:line="240" w:lineRule="auto"/>
              <w:jc w:val="left"/>
              <w:rPr>
                <w:rFonts w:cs="Times New Roman"/>
                <w:color w:val="010205"/>
                <w:sz w:val="20"/>
                <w:szCs w:val="20"/>
              </w:rPr>
            </w:pPr>
          </w:p>
        </w:tc>
        <w:tc>
          <w:tcPr>
            <w:tcW w:w="1188" w:type="dxa"/>
            <w:tcBorders>
              <w:top w:val="single" w:sz="8" w:space="0" w:color="AEAEAE"/>
              <w:left w:val="nil"/>
              <w:bottom w:val="single" w:sz="8" w:space="0" w:color="AEAEAE"/>
              <w:right w:val="nil"/>
            </w:tcBorders>
            <w:shd w:val="clear" w:color="auto" w:fill="E0E0E0"/>
          </w:tcPr>
          <w:p w14:paraId="4605CB11" w14:textId="77777777" w:rsidR="00C75996" w:rsidRPr="00C75996" w:rsidRDefault="00C75996" w:rsidP="00C75996">
            <w:pPr>
              <w:autoSpaceDE w:val="0"/>
              <w:autoSpaceDN w:val="0"/>
              <w:adjustRightInd w:val="0"/>
              <w:spacing w:after="0" w:line="320" w:lineRule="atLeast"/>
              <w:ind w:left="60" w:right="60"/>
              <w:jc w:val="left"/>
              <w:rPr>
                <w:rFonts w:cs="Times New Roman"/>
                <w:color w:val="264A60"/>
                <w:sz w:val="20"/>
                <w:szCs w:val="20"/>
              </w:rPr>
            </w:pPr>
            <w:r w:rsidRPr="00C75996">
              <w:rPr>
                <w:rFonts w:cs="Times New Roman"/>
                <w:color w:val="264A60"/>
                <w:sz w:val="20"/>
                <w:szCs w:val="20"/>
              </w:rPr>
              <w:t>Likuiditas</w:t>
            </w:r>
          </w:p>
        </w:tc>
        <w:tc>
          <w:tcPr>
            <w:tcW w:w="992" w:type="dxa"/>
            <w:tcBorders>
              <w:top w:val="single" w:sz="8" w:space="0" w:color="AEAEAE"/>
              <w:left w:val="nil"/>
              <w:bottom w:val="single" w:sz="8" w:space="0" w:color="AEAEAE"/>
              <w:right w:val="single" w:sz="8" w:space="0" w:color="E0E0E0"/>
            </w:tcBorders>
            <w:shd w:val="clear" w:color="auto" w:fill="FFFFFF"/>
          </w:tcPr>
          <w:p w14:paraId="674C24DD" w14:textId="7F286EEF"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1.445</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6F2F1C62"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.000</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7D60BD3B"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.010</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0348745A"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.049</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0DA4542D"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.961</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743DEDA8"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.357</w:t>
            </w:r>
          </w:p>
        </w:tc>
        <w:tc>
          <w:tcPr>
            <w:tcW w:w="851" w:type="dxa"/>
            <w:tcBorders>
              <w:top w:val="single" w:sz="8" w:space="0" w:color="AEAEAE"/>
              <w:left w:val="single" w:sz="8" w:space="0" w:color="E0E0E0"/>
              <w:bottom w:val="single" w:sz="8" w:space="0" w:color="AEAEAE"/>
              <w:right w:val="nil"/>
            </w:tcBorders>
            <w:shd w:val="clear" w:color="auto" w:fill="FFFFFF"/>
          </w:tcPr>
          <w:p w14:paraId="06D3366D"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2.800</w:t>
            </w:r>
          </w:p>
        </w:tc>
      </w:tr>
      <w:tr w:rsidR="00C75996" w:rsidRPr="00C75996" w14:paraId="32ECC752" w14:textId="77777777" w:rsidTr="00C75996">
        <w:trPr>
          <w:cantSplit/>
        </w:trPr>
        <w:tc>
          <w:tcPr>
            <w:tcW w:w="88" w:type="dxa"/>
            <w:vMerge/>
            <w:tcBorders>
              <w:top w:val="single" w:sz="8" w:space="0" w:color="152935"/>
              <w:left w:val="nil"/>
              <w:bottom w:val="single" w:sz="8" w:space="0" w:color="152935"/>
              <w:right w:val="nil"/>
            </w:tcBorders>
            <w:shd w:val="clear" w:color="auto" w:fill="E0E0E0"/>
          </w:tcPr>
          <w:p w14:paraId="5B4BB70D" w14:textId="77777777" w:rsidR="00C75996" w:rsidRPr="00C75996" w:rsidRDefault="00C75996" w:rsidP="00C75996">
            <w:pPr>
              <w:autoSpaceDE w:val="0"/>
              <w:autoSpaceDN w:val="0"/>
              <w:adjustRightInd w:val="0"/>
              <w:spacing w:after="0" w:line="240" w:lineRule="auto"/>
              <w:jc w:val="left"/>
              <w:rPr>
                <w:rFonts w:cs="Times New Roman"/>
                <w:color w:val="010205"/>
                <w:sz w:val="20"/>
                <w:szCs w:val="20"/>
              </w:rPr>
            </w:pPr>
          </w:p>
        </w:tc>
        <w:tc>
          <w:tcPr>
            <w:tcW w:w="1188" w:type="dxa"/>
            <w:tcBorders>
              <w:top w:val="single" w:sz="8" w:space="0" w:color="AEAEAE"/>
              <w:left w:val="nil"/>
              <w:bottom w:val="single" w:sz="8" w:space="0" w:color="AEAEAE"/>
              <w:right w:val="nil"/>
            </w:tcBorders>
            <w:shd w:val="clear" w:color="auto" w:fill="E0E0E0"/>
          </w:tcPr>
          <w:p w14:paraId="02BA6024" w14:textId="77777777" w:rsidR="00C75996" w:rsidRPr="00C75996" w:rsidRDefault="00C75996" w:rsidP="00C75996">
            <w:pPr>
              <w:autoSpaceDE w:val="0"/>
              <w:autoSpaceDN w:val="0"/>
              <w:adjustRightInd w:val="0"/>
              <w:spacing w:after="0" w:line="320" w:lineRule="atLeast"/>
              <w:ind w:left="60" w:right="60"/>
              <w:jc w:val="left"/>
              <w:rPr>
                <w:rFonts w:cs="Times New Roman"/>
                <w:color w:val="264A60"/>
                <w:sz w:val="20"/>
                <w:szCs w:val="20"/>
              </w:rPr>
            </w:pPr>
            <w:r w:rsidRPr="00C75996">
              <w:rPr>
                <w:rFonts w:cs="Times New Roman"/>
                <w:color w:val="264A60"/>
                <w:sz w:val="20"/>
                <w:szCs w:val="20"/>
              </w:rPr>
              <w:t>Firm size</w:t>
            </w:r>
          </w:p>
        </w:tc>
        <w:tc>
          <w:tcPr>
            <w:tcW w:w="992" w:type="dxa"/>
            <w:tcBorders>
              <w:top w:val="single" w:sz="8" w:space="0" w:color="AEAEAE"/>
              <w:left w:val="nil"/>
              <w:bottom w:val="single" w:sz="8" w:space="0" w:color="AEAEAE"/>
              <w:right w:val="single" w:sz="8" w:space="0" w:color="E0E0E0"/>
            </w:tcBorders>
            <w:shd w:val="clear" w:color="auto" w:fill="FFFFFF"/>
          </w:tcPr>
          <w:p w14:paraId="43070691"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.006</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7F93B913"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.006</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612FFAEC"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.213</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08BA14AB"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1.039</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65B78AEF"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.304</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4D59D01C"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.375</w:t>
            </w:r>
          </w:p>
        </w:tc>
        <w:tc>
          <w:tcPr>
            <w:tcW w:w="851" w:type="dxa"/>
            <w:tcBorders>
              <w:top w:val="single" w:sz="8" w:space="0" w:color="AEAEAE"/>
              <w:left w:val="single" w:sz="8" w:space="0" w:color="E0E0E0"/>
              <w:bottom w:val="single" w:sz="8" w:space="0" w:color="AEAEAE"/>
              <w:right w:val="nil"/>
            </w:tcBorders>
            <w:shd w:val="clear" w:color="auto" w:fill="FFFFFF"/>
          </w:tcPr>
          <w:p w14:paraId="0991A17C"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2.664</w:t>
            </w:r>
          </w:p>
        </w:tc>
      </w:tr>
      <w:tr w:rsidR="00C75996" w:rsidRPr="00C75996" w14:paraId="2F31930A" w14:textId="77777777" w:rsidTr="00C75996">
        <w:trPr>
          <w:cantSplit/>
        </w:trPr>
        <w:tc>
          <w:tcPr>
            <w:tcW w:w="88" w:type="dxa"/>
            <w:vMerge/>
            <w:tcBorders>
              <w:top w:val="single" w:sz="8" w:space="0" w:color="152935"/>
              <w:left w:val="nil"/>
              <w:bottom w:val="single" w:sz="8" w:space="0" w:color="152935"/>
              <w:right w:val="nil"/>
            </w:tcBorders>
            <w:shd w:val="clear" w:color="auto" w:fill="E0E0E0"/>
          </w:tcPr>
          <w:p w14:paraId="40A7743F" w14:textId="77777777" w:rsidR="00C75996" w:rsidRPr="00C75996" w:rsidRDefault="00C75996" w:rsidP="00C75996">
            <w:pPr>
              <w:autoSpaceDE w:val="0"/>
              <w:autoSpaceDN w:val="0"/>
              <w:adjustRightInd w:val="0"/>
              <w:spacing w:after="0" w:line="240" w:lineRule="auto"/>
              <w:jc w:val="left"/>
              <w:rPr>
                <w:rFonts w:cs="Times New Roman"/>
                <w:color w:val="010205"/>
                <w:sz w:val="20"/>
                <w:szCs w:val="20"/>
              </w:rPr>
            </w:pPr>
          </w:p>
        </w:tc>
        <w:tc>
          <w:tcPr>
            <w:tcW w:w="1188" w:type="dxa"/>
            <w:tcBorders>
              <w:top w:val="single" w:sz="8" w:space="0" w:color="AEAEAE"/>
              <w:left w:val="nil"/>
              <w:bottom w:val="single" w:sz="8" w:space="0" w:color="152935"/>
              <w:right w:val="nil"/>
            </w:tcBorders>
            <w:shd w:val="clear" w:color="auto" w:fill="E0E0E0"/>
          </w:tcPr>
          <w:p w14:paraId="73237E75" w14:textId="77777777" w:rsidR="00C75996" w:rsidRPr="00C75996" w:rsidRDefault="00C75996" w:rsidP="00C75996">
            <w:pPr>
              <w:autoSpaceDE w:val="0"/>
              <w:autoSpaceDN w:val="0"/>
              <w:adjustRightInd w:val="0"/>
              <w:spacing w:after="0" w:line="320" w:lineRule="atLeast"/>
              <w:ind w:left="60" w:right="60"/>
              <w:jc w:val="left"/>
              <w:rPr>
                <w:rFonts w:cs="Times New Roman"/>
                <w:color w:val="264A60"/>
                <w:sz w:val="20"/>
                <w:szCs w:val="20"/>
              </w:rPr>
            </w:pPr>
            <w:r w:rsidRPr="00C75996">
              <w:rPr>
                <w:rFonts w:cs="Times New Roman"/>
                <w:color w:val="264A60"/>
                <w:sz w:val="20"/>
                <w:szCs w:val="20"/>
              </w:rPr>
              <w:t>Profitabilitas</w:t>
            </w:r>
          </w:p>
        </w:tc>
        <w:tc>
          <w:tcPr>
            <w:tcW w:w="992" w:type="dxa"/>
            <w:tcBorders>
              <w:top w:val="single" w:sz="8" w:space="0" w:color="AEAEAE"/>
              <w:left w:val="nil"/>
              <w:bottom w:val="single" w:sz="8" w:space="0" w:color="152935"/>
              <w:right w:val="single" w:sz="8" w:space="0" w:color="E0E0E0"/>
            </w:tcBorders>
            <w:shd w:val="clear" w:color="auto" w:fill="FFFFFF"/>
          </w:tcPr>
          <w:p w14:paraId="33B74C16"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.207</w:t>
            </w:r>
          </w:p>
        </w:tc>
        <w:tc>
          <w:tcPr>
            <w:tcW w:w="993" w:type="dxa"/>
            <w:tcBorders>
              <w:top w:val="single" w:sz="8" w:space="0" w:color="AEAEAE"/>
              <w:left w:val="single" w:sz="8" w:space="0" w:color="E0E0E0"/>
              <w:bottom w:val="single" w:sz="8" w:space="0" w:color="152935"/>
              <w:right w:val="single" w:sz="8" w:space="0" w:color="E0E0E0"/>
            </w:tcBorders>
            <w:shd w:val="clear" w:color="auto" w:fill="FFFFFF"/>
          </w:tcPr>
          <w:p w14:paraId="19EEABF4"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.194</w:t>
            </w:r>
          </w:p>
        </w:tc>
        <w:tc>
          <w:tcPr>
            <w:tcW w:w="1275" w:type="dxa"/>
            <w:tcBorders>
              <w:top w:val="single" w:sz="8" w:space="0" w:color="AEAEAE"/>
              <w:left w:val="single" w:sz="8" w:space="0" w:color="E0E0E0"/>
              <w:bottom w:val="single" w:sz="8" w:space="0" w:color="152935"/>
              <w:right w:val="single" w:sz="8" w:space="0" w:color="E0E0E0"/>
            </w:tcBorders>
            <w:shd w:val="clear" w:color="auto" w:fill="FFFFFF"/>
          </w:tcPr>
          <w:p w14:paraId="74477FD0"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.139</w:t>
            </w:r>
          </w:p>
        </w:tc>
        <w:tc>
          <w:tcPr>
            <w:tcW w:w="993" w:type="dxa"/>
            <w:tcBorders>
              <w:top w:val="single" w:sz="8" w:space="0" w:color="AEAEAE"/>
              <w:left w:val="single" w:sz="8" w:space="0" w:color="E0E0E0"/>
              <w:bottom w:val="single" w:sz="8" w:space="0" w:color="152935"/>
              <w:right w:val="single" w:sz="8" w:space="0" w:color="E0E0E0"/>
            </w:tcBorders>
            <w:shd w:val="clear" w:color="auto" w:fill="FFFFFF"/>
          </w:tcPr>
          <w:p w14:paraId="75FF3609"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1.067</w:t>
            </w:r>
          </w:p>
        </w:tc>
        <w:tc>
          <w:tcPr>
            <w:tcW w:w="1275" w:type="dxa"/>
            <w:tcBorders>
              <w:top w:val="single" w:sz="8" w:space="0" w:color="AEAEAE"/>
              <w:left w:val="single" w:sz="8" w:space="0" w:color="E0E0E0"/>
              <w:bottom w:val="single" w:sz="8" w:space="0" w:color="152935"/>
              <w:right w:val="single" w:sz="8" w:space="0" w:color="E0E0E0"/>
            </w:tcBorders>
            <w:shd w:val="clear" w:color="auto" w:fill="FFFFFF"/>
          </w:tcPr>
          <w:p w14:paraId="5AC8F1A0"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.291</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69EA78CA"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.925</w:t>
            </w:r>
          </w:p>
        </w:tc>
        <w:tc>
          <w:tcPr>
            <w:tcW w:w="851" w:type="dxa"/>
            <w:tcBorders>
              <w:top w:val="single" w:sz="8" w:space="0" w:color="AEAEAE"/>
              <w:left w:val="single" w:sz="8" w:space="0" w:color="E0E0E0"/>
              <w:bottom w:val="single" w:sz="8" w:space="0" w:color="152935"/>
              <w:right w:val="nil"/>
            </w:tcBorders>
            <w:shd w:val="clear" w:color="auto" w:fill="FFFFFF"/>
          </w:tcPr>
          <w:p w14:paraId="6328CC46" w14:textId="77777777" w:rsidR="00C75996" w:rsidRPr="00C75996" w:rsidRDefault="00C75996" w:rsidP="00C75996">
            <w:pPr>
              <w:autoSpaceDE w:val="0"/>
              <w:autoSpaceDN w:val="0"/>
              <w:adjustRightInd w:val="0"/>
              <w:spacing w:after="0" w:line="320" w:lineRule="atLeast"/>
              <w:ind w:left="60" w:right="60"/>
              <w:jc w:val="right"/>
              <w:rPr>
                <w:rFonts w:cs="Times New Roman"/>
                <w:color w:val="010205"/>
                <w:sz w:val="20"/>
                <w:szCs w:val="20"/>
              </w:rPr>
            </w:pPr>
            <w:r w:rsidRPr="00C75996">
              <w:rPr>
                <w:rFonts w:cs="Times New Roman"/>
                <w:color w:val="010205"/>
                <w:sz w:val="20"/>
                <w:szCs w:val="20"/>
              </w:rPr>
              <w:t>1.081</w:t>
            </w:r>
          </w:p>
        </w:tc>
      </w:tr>
      <w:tr w:rsidR="00C75996" w:rsidRPr="00C75996" w14:paraId="63DC60B0" w14:textId="77777777" w:rsidTr="00C75996">
        <w:trPr>
          <w:cantSplit/>
        </w:trPr>
        <w:tc>
          <w:tcPr>
            <w:tcW w:w="8789" w:type="dxa"/>
            <w:gridSpan w:val="9"/>
            <w:tcBorders>
              <w:top w:val="nil"/>
              <w:left w:val="nil"/>
              <w:bottom w:val="nil"/>
              <w:right w:val="nil"/>
            </w:tcBorders>
            <w:shd w:val="clear" w:color="auto" w:fill="FFFFFF"/>
          </w:tcPr>
          <w:p w14:paraId="1BE2B8E8" w14:textId="77777777" w:rsidR="00C75996" w:rsidRPr="00C75996" w:rsidRDefault="00C75996" w:rsidP="00C75996">
            <w:pPr>
              <w:autoSpaceDE w:val="0"/>
              <w:autoSpaceDN w:val="0"/>
              <w:adjustRightInd w:val="0"/>
              <w:spacing w:after="0" w:line="320" w:lineRule="atLeast"/>
              <w:ind w:left="60" w:right="60"/>
              <w:jc w:val="left"/>
              <w:rPr>
                <w:rFonts w:cs="Times New Roman"/>
                <w:color w:val="010205"/>
                <w:sz w:val="20"/>
                <w:szCs w:val="20"/>
              </w:rPr>
            </w:pPr>
            <w:r w:rsidRPr="00C75996">
              <w:rPr>
                <w:rFonts w:cs="Times New Roman"/>
                <w:color w:val="010205"/>
                <w:sz w:val="20"/>
                <w:szCs w:val="20"/>
              </w:rPr>
              <w:t>a. Dependent Variable: LaporanKeberlanjutan</w:t>
            </w:r>
          </w:p>
        </w:tc>
      </w:tr>
    </w:tbl>
    <w:p w14:paraId="0EABD4D4" w14:textId="22BEC5CC" w:rsidR="000C04D1" w:rsidRPr="00C512DE" w:rsidRDefault="000C04D1" w:rsidP="00C75996">
      <w:pPr>
        <w:keepNext/>
        <w:spacing w:line="480" w:lineRule="auto"/>
        <w:rPr>
          <w:rFonts w:cs="Times New Roman"/>
          <w:b/>
          <w:szCs w:val="24"/>
        </w:rPr>
      </w:pPr>
      <w:r>
        <w:t>Sumber: Output SPSS25</w:t>
      </w:r>
    </w:p>
    <w:p w14:paraId="5DA971AF" w14:textId="5A153282" w:rsidR="00FA05DD" w:rsidRPr="00FA05DD" w:rsidRDefault="00FA05DD" w:rsidP="00FA05DD">
      <w:pPr>
        <w:pStyle w:val="ListParagraph"/>
        <w:spacing w:line="480" w:lineRule="auto"/>
        <w:ind w:left="851" w:firstLine="306"/>
        <w:rPr>
          <w:rFonts w:cs="Times New Roman"/>
          <w:szCs w:val="24"/>
        </w:rPr>
      </w:pPr>
      <w:r w:rsidRPr="00FA05DD">
        <w:rPr>
          <w:rFonts w:cs="Times New Roman"/>
          <w:szCs w:val="24"/>
        </w:rPr>
        <w:t xml:space="preserve">Hasil perhitungan nilai </w:t>
      </w:r>
      <w:r w:rsidRPr="00FA05DD">
        <w:rPr>
          <w:rFonts w:cs="Times New Roman"/>
          <w:i/>
          <w:szCs w:val="24"/>
        </w:rPr>
        <w:t xml:space="preserve">tolerance </w:t>
      </w:r>
      <w:r>
        <w:rPr>
          <w:rFonts w:cs="Times New Roman"/>
          <w:szCs w:val="24"/>
        </w:rPr>
        <w:t xml:space="preserve">pada Tabel diatas </w:t>
      </w:r>
      <w:r w:rsidRPr="00FA05DD">
        <w:rPr>
          <w:rFonts w:cs="Times New Roman"/>
          <w:szCs w:val="24"/>
        </w:rPr>
        <w:t xml:space="preserve">menunjukkan bahwa tidak ada variabel independen yang memiliki nilai </w:t>
      </w:r>
      <w:r w:rsidRPr="00FA05DD">
        <w:rPr>
          <w:rFonts w:cs="Times New Roman"/>
          <w:i/>
          <w:szCs w:val="24"/>
        </w:rPr>
        <w:t xml:space="preserve">tolerance </w:t>
      </w:r>
      <w:r w:rsidRPr="00FA05DD">
        <w:rPr>
          <w:rFonts w:cs="Times New Roman"/>
          <w:szCs w:val="24"/>
        </w:rPr>
        <w:t>kurang dari 0,10 (10%), yang berarti bahwa tidak ada korelasi antar variabel independen. Hasil perhitungan VIF juga tidak ada variabel independen yang memiliki nilai VIF lebih dari 10, yang berarti tidak ada gejala multikolinearitas. Sehingga dapat disimpulkan bahwa tidak terjadi gejala multikolinearitas dalam model regresi yang digunakan.</w:t>
      </w:r>
      <w:r w:rsidR="002C2D5E">
        <w:rPr>
          <w:rFonts w:cs="Times New Roman"/>
          <w:szCs w:val="24"/>
        </w:rPr>
        <w:t xml:space="preserve"> </w:t>
      </w:r>
      <w:r w:rsidR="002C2D5E" w:rsidRPr="002C2D5E">
        <w:rPr>
          <w:rFonts w:cs="Times New Roman"/>
          <w:szCs w:val="24"/>
        </w:rPr>
        <w:t xml:space="preserve">Maka dari semua variabel nilai </w:t>
      </w:r>
      <w:r w:rsidR="002C2D5E" w:rsidRPr="002C2D5E">
        <w:rPr>
          <w:rFonts w:cs="Times New Roman"/>
          <w:i/>
          <w:szCs w:val="24"/>
        </w:rPr>
        <w:t xml:space="preserve">tolerance </w:t>
      </w:r>
      <w:r w:rsidR="002C2D5E" w:rsidRPr="002C2D5E">
        <w:rPr>
          <w:rFonts w:cs="Times New Roman"/>
          <w:szCs w:val="24"/>
        </w:rPr>
        <w:t xml:space="preserve">&gt; 0,10 pada </w:t>
      </w:r>
      <w:r w:rsidR="002C2D5E" w:rsidRPr="002C2D5E">
        <w:rPr>
          <w:rFonts w:cs="Times New Roman"/>
          <w:i/>
          <w:szCs w:val="24"/>
        </w:rPr>
        <w:t xml:space="preserve">Leverage </w:t>
      </w:r>
      <w:r w:rsidR="00C75996">
        <w:rPr>
          <w:rFonts w:cs="Times New Roman"/>
          <w:szCs w:val="24"/>
        </w:rPr>
        <w:t>0,825, Likuiditas 0,357</w:t>
      </w:r>
      <w:r w:rsidR="002C2D5E" w:rsidRPr="002C2D5E">
        <w:rPr>
          <w:rFonts w:cs="Times New Roman"/>
          <w:szCs w:val="24"/>
        </w:rPr>
        <w:t xml:space="preserve">, </w:t>
      </w:r>
      <w:r w:rsidR="002C2D5E" w:rsidRPr="002C2D5E">
        <w:rPr>
          <w:rFonts w:cs="Times New Roman"/>
          <w:i/>
          <w:szCs w:val="24"/>
        </w:rPr>
        <w:t>Firm size</w:t>
      </w:r>
      <w:r w:rsidR="00C75996">
        <w:rPr>
          <w:rFonts w:cs="Times New Roman"/>
          <w:szCs w:val="24"/>
        </w:rPr>
        <w:t xml:space="preserve"> 0,375, dan Profitabilitas 0,925</w:t>
      </w:r>
      <w:r w:rsidR="002C2D5E" w:rsidRPr="002C2D5E">
        <w:rPr>
          <w:rFonts w:cs="Times New Roman"/>
          <w:szCs w:val="24"/>
        </w:rPr>
        <w:t xml:space="preserve">. </w:t>
      </w:r>
      <w:r w:rsidR="002C2D5E" w:rsidRPr="002C2D5E">
        <w:rPr>
          <w:rFonts w:cs="Times New Roman"/>
          <w:szCs w:val="24"/>
        </w:rPr>
        <w:lastRenderedPageBreak/>
        <w:t xml:space="preserve">Dan nilai VIF &lt; 10 pada </w:t>
      </w:r>
      <w:r w:rsidR="002C2D5E" w:rsidRPr="002C2D5E">
        <w:rPr>
          <w:rFonts w:cs="Times New Roman"/>
          <w:i/>
          <w:szCs w:val="24"/>
        </w:rPr>
        <w:t>Leverage</w:t>
      </w:r>
      <w:r w:rsidR="00C75996">
        <w:rPr>
          <w:rFonts w:cs="Times New Roman"/>
          <w:szCs w:val="24"/>
        </w:rPr>
        <w:t xml:space="preserve"> 1,213, Likuditas 2,800</w:t>
      </w:r>
      <w:r w:rsidR="002C2D5E" w:rsidRPr="002C2D5E">
        <w:rPr>
          <w:rFonts w:cs="Times New Roman"/>
          <w:szCs w:val="24"/>
        </w:rPr>
        <w:t xml:space="preserve">, </w:t>
      </w:r>
      <w:r w:rsidR="002C2D5E" w:rsidRPr="002C2D5E">
        <w:rPr>
          <w:rFonts w:cs="Times New Roman"/>
          <w:i/>
          <w:szCs w:val="24"/>
        </w:rPr>
        <w:t>Firm size</w:t>
      </w:r>
      <w:r w:rsidR="003C5679">
        <w:rPr>
          <w:rFonts w:cs="Times New Roman"/>
          <w:szCs w:val="24"/>
        </w:rPr>
        <w:t xml:space="preserve"> 2,664, dan Profitabilitas 1,081</w:t>
      </w:r>
      <w:r w:rsidR="002C2D5E" w:rsidRPr="002C2D5E">
        <w:rPr>
          <w:rFonts w:cs="Times New Roman"/>
          <w:szCs w:val="24"/>
        </w:rPr>
        <w:t>.</w:t>
      </w:r>
    </w:p>
    <w:p w14:paraId="3DB4E1E3" w14:textId="7E7E1E6C" w:rsidR="002C2D5E" w:rsidRDefault="002C2D5E" w:rsidP="002C2D5E">
      <w:pPr>
        <w:pStyle w:val="ListParagraph"/>
        <w:numPr>
          <w:ilvl w:val="0"/>
          <w:numId w:val="32"/>
        </w:numPr>
        <w:spacing w:line="480" w:lineRule="auto"/>
        <w:ind w:left="1134"/>
      </w:pPr>
      <w:r>
        <w:t>Uji Heteroskedastisitas</w:t>
      </w:r>
    </w:p>
    <w:p w14:paraId="47621AFC" w14:textId="7F70E2C6" w:rsidR="00831A93" w:rsidRDefault="00831A93" w:rsidP="00831A93">
      <w:pPr>
        <w:pStyle w:val="ListParagraph"/>
        <w:spacing w:line="480" w:lineRule="auto"/>
        <w:ind w:left="1134" w:firstLine="306"/>
      </w:pPr>
      <w:r w:rsidRPr="00831A93">
        <w:t>Uji heterokedastisitas adalah salah satu model uji dalam uji asumsi klasik. Uji ini dilakukan untuk menguji apakah ada ketidaksamaan variance dari residual untuk semua pengamatan pada model regresi. Tujuan dilakukannya uji ini adalah untuk mengahui adanya penyimpangan dari syarat-syarat asumsi klasik pada model regresi, dimana syarat dalam model regresi adalah tidak adanya heterokedastisitas.</w:t>
      </w:r>
    </w:p>
    <w:p w14:paraId="43A4C63D" w14:textId="5166EA44" w:rsidR="00831A93" w:rsidRDefault="008B0D53" w:rsidP="007F7CBD">
      <w:pPr>
        <w:pStyle w:val="ListParagraph"/>
        <w:spacing w:line="480" w:lineRule="auto"/>
        <w:ind w:left="1134" w:firstLine="306"/>
      </w:pPr>
      <w:r w:rsidRPr="008B0D53">
        <w:t>Uji heteroskedastisitas dalam penelitian ini menggunakan uji glejser dengan tingkat signifikansi sebesar 5%. Jika variabel independen signifikansi secara statistik mempengaruhi nilai absolut residual, maka ada indikasi terjadi heteroskedastisitas. Jika probabilitas signifikansi di atas tingkat kepercayaan 0,05 maka bisa disimpulkan bahwa tidak terjadi heteroskedastisitas.</w:t>
      </w:r>
      <w:r w:rsidR="00831A93">
        <w:t xml:space="preserve"> </w:t>
      </w:r>
      <w:r w:rsidR="00831A93" w:rsidRPr="00831A93">
        <w:t>Selain uji glejser, dapat pula dilakukan dengan uji grafik scatterplot ya</w:t>
      </w:r>
      <w:r w:rsidR="007F7CBD">
        <w:t xml:space="preserve">ng dimana menurut </w:t>
      </w:r>
      <w:r w:rsidR="007F7CBD">
        <w:fldChar w:fldCharType="begin" w:fldLock="1"/>
      </w:r>
      <w:r w:rsidR="00604221">
        <w:instrText>ADDIN CSL_CITATION {"citationItems":[{"id":"ITEM-1","itemData":{"author":[{"dropping-particle":"","family":"Ghozali","given":"","non-dropping-particle":"","parse-names":false,"suffix":""}],"id":"ITEM-1","issued":{"date-parts":[["2018"]]},"publisher-place":"Semarang","title":"Aplikasi Analisis Miltivariate dengan program IBM SPSS 25","type":"book"},"locator":"137","uris":["http://www.mendeley.com/documents/?uuid=87f73ac4-d448-4b9f-8fff-25d8294a26aa"]}],"mendeley":{"formattedCitation":"(Ghozali, 2018, p. 137)","plainTextFormattedCitation":"(Ghozali, 2018, p. 137)","previouslyFormattedCitation":"(Ghozali, 2018, p. 137)"},"properties":{"noteIndex":0},"schema":"https://github.com/citation-style-language/schema/raw/master/csl-citation.json"}</w:instrText>
      </w:r>
      <w:r w:rsidR="007F7CBD">
        <w:fldChar w:fldCharType="separate"/>
      </w:r>
      <w:r w:rsidR="007F7CBD" w:rsidRPr="007F7CBD">
        <w:rPr>
          <w:noProof/>
        </w:rPr>
        <w:t>(Ghozali, 2018, p. 137)</w:t>
      </w:r>
      <w:r w:rsidR="007F7CBD">
        <w:fldChar w:fldCharType="end"/>
      </w:r>
      <w:r w:rsidR="007F7CBD">
        <w:t xml:space="preserve"> </w:t>
      </w:r>
      <w:r w:rsidR="00831A93" w:rsidRPr="00831A93">
        <w:t>jika sebaran titik yang ada pada grafik scatterplot tidak membentuk pola yang jelas maka t</w:t>
      </w:r>
      <w:r w:rsidR="007F7CBD">
        <w:t>idak terjadi heterokedastisitas.</w:t>
      </w:r>
    </w:p>
    <w:p w14:paraId="63C5FC5C" w14:textId="110A441C" w:rsidR="00EB575B" w:rsidRDefault="00EB575B" w:rsidP="00EB575B">
      <w:pPr>
        <w:spacing w:line="480" w:lineRule="auto"/>
      </w:pPr>
    </w:p>
    <w:p w14:paraId="51E38F4F" w14:textId="77777777" w:rsidR="00EB575B" w:rsidRDefault="00EB575B" w:rsidP="00EB575B">
      <w:pPr>
        <w:spacing w:line="480" w:lineRule="auto"/>
      </w:pPr>
    </w:p>
    <w:p w14:paraId="45B54B2C" w14:textId="77777777" w:rsidR="00C512DE" w:rsidRDefault="00C512DE" w:rsidP="007F7CBD">
      <w:pPr>
        <w:pStyle w:val="ListParagraph"/>
        <w:spacing w:line="480" w:lineRule="auto"/>
        <w:ind w:left="1134" w:firstLine="306"/>
      </w:pPr>
    </w:p>
    <w:p w14:paraId="411710A2" w14:textId="72CCD20C" w:rsidR="008B0D53" w:rsidRDefault="00C77BC9" w:rsidP="00C77BC9">
      <w:pPr>
        <w:pStyle w:val="Caption"/>
        <w:ind w:left="851"/>
        <w:jc w:val="center"/>
        <w:rPr>
          <w:color w:val="auto"/>
          <w:sz w:val="24"/>
          <w:szCs w:val="24"/>
          <w:lang w:val="en-US"/>
        </w:rPr>
      </w:pPr>
      <w:bookmarkStart w:id="31" w:name="_Toc168999382"/>
      <w:r w:rsidRPr="00C77BC9">
        <w:rPr>
          <w:color w:val="auto"/>
          <w:sz w:val="24"/>
          <w:szCs w:val="24"/>
        </w:rPr>
        <w:lastRenderedPageBreak/>
        <w:t xml:space="preserve">Tabel.  </w:t>
      </w:r>
      <w:r w:rsidRPr="00C77BC9">
        <w:rPr>
          <w:color w:val="auto"/>
          <w:sz w:val="24"/>
          <w:szCs w:val="24"/>
        </w:rPr>
        <w:fldChar w:fldCharType="begin"/>
      </w:r>
      <w:r w:rsidRPr="00C77BC9">
        <w:rPr>
          <w:color w:val="auto"/>
          <w:sz w:val="24"/>
          <w:szCs w:val="24"/>
        </w:rPr>
        <w:instrText xml:space="preserve"> SEQ Tabel._ \* ARABIC </w:instrText>
      </w:r>
      <w:r w:rsidRPr="00C77BC9">
        <w:rPr>
          <w:color w:val="auto"/>
          <w:sz w:val="24"/>
          <w:szCs w:val="24"/>
        </w:rPr>
        <w:fldChar w:fldCharType="separate"/>
      </w:r>
      <w:r w:rsidR="0017483D">
        <w:rPr>
          <w:noProof/>
          <w:color w:val="auto"/>
          <w:sz w:val="24"/>
          <w:szCs w:val="24"/>
        </w:rPr>
        <w:t>18</w:t>
      </w:r>
      <w:r w:rsidRPr="00C77BC9">
        <w:rPr>
          <w:color w:val="auto"/>
          <w:sz w:val="24"/>
          <w:szCs w:val="24"/>
        </w:rPr>
        <w:fldChar w:fldCharType="end"/>
      </w:r>
      <w:r w:rsidRPr="00C77BC9">
        <w:rPr>
          <w:color w:val="auto"/>
          <w:sz w:val="24"/>
          <w:szCs w:val="24"/>
          <w:lang w:val="en-US"/>
        </w:rPr>
        <w:t xml:space="preserve"> Hasil Uji Heteroskedastisitas</w:t>
      </w:r>
      <w:bookmarkEnd w:id="31"/>
    </w:p>
    <w:tbl>
      <w:tblPr>
        <w:tblpPr w:leftFromText="180" w:rightFromText="180" w:vertAnchor="text" w:horzAnchor="page" w:tblpX="3061" w:tblpY="44"/>
        <w:tblW w:w="8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338"/>
        <w:gridCol w:w="1338"/>
        <w:gridCol w:w="1338"/>
        <w:gridCol w:w="1476"/>
        <w:gridCol w:w="1029"/>
        <w:gridCol w:w="1029"/>
      </w:tblGrid>
      <w:tr w:rsidR="003C5679" w:rsidRPr="003C5679" w14:paraId="41F3B141" w14:textId="77777777" w:rsidTr="003C5679">
        <w:trPr>
          <w:cantSplit/>
        </w:trPr>
        <w:tc>
          <w:tcPr>
            <w:tcW w:w="8285" w:type="dxa"/>
            <w:gridSpan w:val="7"/>
            <w:tcBorders>
              <w:top w:val="nil"/>
              <w:left w:val="nil"/>
              <w:bottom w:val="nil"/>
              <w:right w:val="nil"/>
            </w:tcBorders>
            <w:shd w:val="clear" w:color="auto" w:fill="FFFFFF"/>
            <w:vAlign w:val="center"/>
          </w:tcPr>
          <w:p w14:paraId="6E8A1279" w14:textId="77777777" w:rsidR="003C5679" w:rsidRPr="003C5679" w:rsidRDefault="003C5679" w:rsidP="003C5679">
            <w:pPr>
              <w:autoSpaceDE w:val="0"/>
              <w:autoSpaceDN w:val="0"/>
              <w:adjustRightInd w:val="0"/>
              <w:spacing w:after="0" w:line="320" w:lineRule="atLeast"/>
              <w:ind w:left="60" w:right="60"/>
              <w:jc w:val="center"/>
              <w:rPr>
                <w:rFonts w:cs="Times New Roman"/>
                <w:color w:val="010205"/>
                <w:sz w:val="20"/>
                <w:szCs w:val="20"/>
              </w:rPr>
            </w:pPr>
            <w:r w:rsidRPr="003C5679">
              <w:rPr>
                <w:rFonts w:cs="Times New Roman"/>
                <w:b/>
                <w:bCs/>
                <w:color w:val="010205"/>
                <w:sz w:val="20"/>
                <w:szCs w:val="20"/>
              </w:rPr>
              <w:t>Coefficients</w:t>
            </w:r>
            <w:r w:rsidRPr="003C5679">
              <w:rPr>
                <w:rFonts w:cs="Times New Roman"/>
                <w:b/>
                <w:bCs/>
                <w:color w:val="010205"/>
                <w:sz w:val="20"/>
                <w:szCs w:val="20"/>
                <w:vertAlign w:val="superscript"/>
              </w:rPr>
              <w:t>a</w:t>
            </w:r>
          </w:p>
        </w:tc>
      </w:tr>
      <w:tr w:rsidR="003C5679" w:rsidRPr="003C5679" w14:paraId="2FB675A9" w14:textId="77777777" w:rsidTr="003C5679">
        <w:trPr>
          <w:cantSplit/>
        </w:trPr>
        <w:tc>
          <w:tcPr>
            <w:tcW w:w="2075" w:type="dxa"/>
            <w:gridSpan w:val="2"/>
            <w:vMerge w:val="restart"/>
            <w:tcBorders>
              <w:top w:val="nil"/>
              <w:left w:val="nil"/>
              <w:bottom w:val="nil"/>
              <w:right w:val="nil"/>
            </w:tcBorders>
            <w:shd w:val="clear" w:color="auto" w:fill="FFFFFF"/>
            <w:vAlign w:val="bottom"/>
          </w:tcPr>
          <w:p w14:paraId="3CE3E9D9" w14:textId="77777777" w:rsidR="003C5679" w:rsidRPr="003C5679" w:rsidRDefault="003C5679" w:rsidP="003C5679">
            <w:pPr>
              <w:autoSpaceDE w:val="0"/>
              <w:autoSpaceDN w:val="0"/>
              <w:adjustRightInd w:val="0"/>
              <w:spacing w:after="0" w:line="320" w:lineRule="atLeast"/>
              <w:ind w:left="60" w:right="60"/>
              <w:jc w:val="left"/>
              <w:rPr>
                <w:rFonts w:cs="Times New Roman"/>
                <w:color w:val="264A60"/>
                <w:sz w:val="20"/>
                <w:szCs w:val="20"/>
              </w:rPr>
            </w:pPr>
            <w:r w:rsidRPr="003C5679">
              <w:rPr>
                <w:rFonts w:cs="Times New Roman"/>
                <w:color w:val="264A60"/>
                <w:sz w:val="20"/>
                <w:szCs w:val="20"/>
              </w:rPr>
              <w:t>Model</w:t>
            </w:r>
          </w:p>
        </w:tc>
        <w:tc>
          <w:tcPr>
            <w:tcW w:w="2676" w:type="dxa"/>
            <w:gridSpan w:val="2"/>
            <w:tcBorders>
              <w:top w:val="nil"/>
              <w:left w:val="nil"/>
              <w:bottom w:val="nil"/>
              <w:right w:val="single" w:sz="8" w:space="0" w:color="E0E0E0"/>
            </w:tcBorders>
            <w:shd w:val="clear" w:color="auto" w:fill="FFFFFF"/>
            <w:vAlign w:val="bottom"/>
          </w:tcPr>
          <w:p w14:paraId="0E8EFE81" w14:textId="77777777" w:rsidR="003C5679" w:rsidRPr="003C5679" w:rsidRDefault="003C5679" w:rsidP="003C5679">
            <w:pPr>
              <w:autoSpaceDE w:val="0"/>
              <w:autoSpaceDN w:val="0"/>
              <w:adjustRightInd w:val="0"/>
              <w:spacing w:after="0" w:line="320" w:lineRule="atLeast"/>
              <w:ind w:left="60" w:right="60"/>
              <w:jc w:val="center"/>
              <w:rPr>
                <w:rFonts w:cs="Times New Roman"/>
                <w:color w:val="264A60"/>
                <w:sz w:val="20"/>
                <w:szCs w:val="20"/>
              </w:rPr>
            </w:pPr>
            <w:r w:rsidRPr="003C5679">
              <w:rPr>
                <w:rFonts w:cs="Times New Roman"/>
                <w:color w:val="264A60"/>
                <w:sz w:val="20"/>
                <w:szCs w:val="20"/>
              </w:rPr>
              <w:t>Unstandardized Coefficients</w:t>
            </w:r>
          </w:p>
        </w:tc>
        <w:tc>
          <w:tcPr>
            <w:tcW w:w="1476" w:type="dxa"/>
            <w:tcBorders>
              <w:top w:val="nil"/>
              <w:left w:val="single" w:sz="8" w:space="0" w:color="E0E0E0"/>
              <w:bottom w:val="nil"/>
              <w:right w:val="single" w:sz="8" w:space="0" w:color="E0E0E0"/>
            </w:tcBorders>
            <w:shd w:val="clear" w:color="auto" w:fill="FFFFFF"/>
            <w:vAlign w:val="bottom"/>
          </w:tcPr>
          <w:p w14:paraId="1EC65815" w14:textId="77777777" w:rsidR="003C5679" w:rsidRPr="003C5679" w:rsidRDefault="003C5679" w:rsidP="003C5679">
            <w:pPr>
              <w:autoSpaceDE w:val="0"/>
              <w:autoSpaceDN w:val="0"/>
              <w:adjustRightInd w:val="0"/>
              <w:spacing w:after="0" w:line="320" w:lineRule="atLeast"/>
              <w:ind w:left="60" w:right="60"/>
              <w:jc w:val="center"/>
              <w:rPr>
                <w:rFonts w:cs="Times New Roman"/>
                <w:color w:val="264A60"/>
                <w:sz w:val="20"/>
                <w:szCs w:val="20"/>
              </w:rPr>
            </w:pPr>
            <w:r w:rsidRPr="003C5679">
              <w:rPr>
                <w:rFonts w:cs="Times New Roman"/>
                <w:color w:val="264A60"/>
                <w:sz w:val="20"/>
                <w:szCs w:val="20"/>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14:paraId="3A2DE077" w14:textId="77777777" w:rsidR="003C5679" w:rsidRPr="003C5679" w:rsidRDefault="003C5679" w:rsidP="003C5679">
            <w:pPr>
              <w:autoSpaceDE w:val="0"/>
              <w:autoSpaceDN w:val="0"/>
              <w:adjustRightInd w:val="0"/>
              <w:spacing w:after="0" w:line="320" w:lineRule="atLeast"/>
              <w:ind w:left="60" w:right="60"/>
              <w:jc w:val="center"/>
              <w:rPr>
                <w:rFonts w:cs="Times New Roman"/>
                <w:color w:val="264A60"/>
                <w:sz w:val="20"/>
                <w:szCs w:val="20"/>
              </w:rPr>
            </w:pPr>
            <w:r w:rsidRPr="003C5679">
              <w:rPr>
                <w:rFonts w:cs="Times New Roman"/>
                <w:color w:val="264A60"/>
                <w:sz w:val="20"/>
                <w:szCs w:val="20"/>
              </w:rPr>
              <w:t>t</w:t>
            </w:r>
          </w:p>
        </w:tc>
        <w:tc>
          <w:tcPr>
            <w:tcW w:w="1029" w:type="dxa"/>
            <w:vMerge w:val="restart"/>
            <w:tcBorders>
              <w:top w:val="nil"/>
              <w:left w:val="single" w:sz="8" w:space="0" w:color="E0E0E0"/>
              <w:bottom w:val="nil"/>
              <w:right w:val="nil"/>
            </w:tcBorders>
            <w:shd w:val="clear" w:color="auto" w:fill="FFFFFF"/>
            <w:vAlign w:val="bottom"/>
          </w:tcPr>
          <w:p w14:paraId="0D090FF9" w14:textId="77777777" w:rsidR="003C5679" w:rsidRPr="003C5679" w:rsidRDefault="003C5679" w:rsidP="003C5679">
            <w:pPr>
              <w:autoSpaceDE w:val="0"/>
              <w:autoSpaceDN w:val="0"/>
              <w:adjustRightInd w:val="0"/>
              <w:spacing w:after="0" w:line="320" w:lineRule="atLeast"/>
              <w:ind w:left="60" w:right="60"/>
              <w:jc w:val="center"/>
              <w:rPr>
                <w:rFonts w:cs="Times New Roman"/>
                <w:color w:val="264A60"/>
                <w:sz w:val="20"/>
                <w:szCs w:val="20"/>
              </w:rPr>
            </w:pPr>
            <w:r w:rsidRPr="003C5679">
              <w:rPr>
                <w:rFonts w:cs="Times New Roman"/>
                <w:color w:val="264A60"/>
                <w:sz w:val="20"/>
                <w:szCs w:val="20"/>
              </w:rPr>
              <w:t>Sig.</w:t>
            </w:r>
          </w:p>
        </w:tc>
      </w:tr>
      <w:tr w:rsidR="003C5679" w:rsidRPr="003C5679" w14:paraId="55113451" w14:textId="77777777" w:rsidTr="003C5679">
        <w:trPr>
          <w:cantSplit/>
        </w:trPr>
        <w:tc>
          <w:tcPr>
            <w:tcW w:w="2075" w:type="dxa"/>
            <w:gridSpan w:val="2"/>
            <w:vMerge/>
            <w:tcBorders>
              <w:top w:val="nil"/>
              <w:left w:val="nil"/>
              <w:bottom w:val="nil"/>
              <w:right w:val="nil"/>
            </w:tcBorders>
            <w:shd w:val="clear" w:color="auto" w:fill="FFFFFF"/>
            <w:vAlign w:val="bottom"/>
          </w:tcPr>
          <w:p w14:paraId="05CCA2B3" w14:textId="77777777" w:rsidR="003C5679" w:rsidRPr="003C5679" w:rsidRDefault="003C5679" w:rsidP="003C5679">
            <w:pPr>
              <w:autoSpaceDE w:val="0"/>
              <w:autoSpaceDN w:val="0"/>
              <w:adjustRightInd w:val="0"/>
              <w:spacing w:after="0" w:line="240" w:lineRule="auto"/>
              <w:jc w:val="left"/>
              <w:rPr>
                <w:rFonts w:cs="Times New Roman"/>
                <w:color w:val="264A60"/>
                <w:sz w:val="20"/>
                <w:szCs w:val="20"/>
              </w:rPr>
            </w:pPr>
          </w:p>
        </w:tc>
        <w:tc>
          <w:tcPr>
            <w:tcW w:w="1338" w:type="dxa"/>
            <w:tcBorders>
              <w:top w:val="nil"/>
              <w:left w:val="nil"/>
              <w:bottom w:val="single" w:sz="8" w:space="0" w:color="152935"/>
              <w:right w:val="single" w:sz="8" w:space="0" w:color="E0E0E0"/>
            </w:tcBorders>
            <w:shd w:val="clear" w:color="auto" w:fill="FFFFFF"/>
            <w:vAlign w:val="bottom"/>
          </w:tcPr>
          <w:p w14:paraId="168A5963" w14:textId="77777777" w:rsidR="003C5679" w:rsidRPr="003C5679" w:rsidRDefault="003C5679" w:rsidP="003C5679">
            <w:pPr>
              <w:autoSpaceDE w:val="0"/>
              <w:autoSpaceDN w:val="0"/>
              <w:adjustRightInd w:val="0"/>
              <w:spacing w:after="0" w:line="320" w:lineRule="atLeast"/>
              <w:ind w:left="60" w:right="60"/>
              <w:jc w:val="center"/>
              <w:rPr>
                <w:rFonts w:cs="Times New Roman"/>
                <w:color w:val="264A60"/>
                <w:sz w:val="20"/>
                <w:szCs w:val="20"/>
              </w:rPr>
            </w:pPr>
            <w:r w:rsidRPr="003C5679">
              <w:rPr>
                <w:rFonts w:cs="Times New Roman"/>
                <w:color w:val="264A60"/>
                <w:sz w:val="20"/>
                <w:szCs w:val="20"/>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5493F2D2" w14:textId="77777777" w:rsidR="003C5679" w:rsidRPr="003C5679" w:rsidRDefault="003C5679" w:rsidP="003C5679">
            <w:pPr>
              <w:autoSpaceDE w:val="0"/>
              <w:autoSpaceDN w:val="0"/>
              <w:adjustRightInd w:val="0"/>
              <w:spacing w:after="0" w:line="320" w:lineRule="atLeast"/>
              <w:ind w:left="60" w:right="60"/>
              <w:jc w:val="center"/>
              <w:rPr>
                <w:rFonts w:cs="Times New Roman"/>
                <w:color w:val="264A60"/>
                <w:sz w:val="20"/>
                <w:szCs w:val="20"/>
              </w:rPr>
            </w:pPr>
            <w:r w:rsidRPr="003C5679">
              <w:rPr>
                <w:rFonts w:cs="Times New Roman"/>
                <w:color w:val="264A60"/>
                <w:sz w:val="20"/>
                <w:szCs w:val="20"/>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4AD7438C" w14:textId="77777777" w:rsidR="003C5679" w:rsidRPr="003C5679" w:rsidRDefault="003C5679" w:rsidP="003C5679">
            <w:pPr>
              <w:autoSpaceDE w:val="0"/>
              <w:autoSpaceDN w:val="0"/>
              <w:adjustRightInd w:val="0"/>
              <w:spacing w:after="0" w:line="320" w:lineRule="atLeast"/>
              <w:ind w:left="60" w:right="60"/>
              <w:jc w:val="center"/>
              <w:rPr>
                <w:rFonts w:cs="Times New Roman"/>
                <w:color w:val="264A60"/>
                <w:sz w:val="20"/>
                <w:szCs w:val="20"/>
              </w:rPr>
            </w:pPr>
            <w:r w:rsidRPr="003C5679">
              <w:rPr>
                <w:rFonts w:cs="Times New Roman"/>
                <w:color w:val="264A60"/>
                <w:sz w:val="20"/>
                <w:szCs w:val="20"/>
              </w:rPr>
              <w:t>Beta</w:t>
            </w:r>
          </w:p>
        </w:tc>
        <w:tc>
          <w:tcPr>
            <w:tcW w:w="1029" w:type="dxa"/>
            <w:vMerge/>
            <w:tcBorders>
              <w:top w:val="nil"/>
              <w:left w:val="single" w:sz="8" w:space="0" w:color="E0E0E0"/>
              <w:bottom w:val="nil"/>
              <w:right w:val="single" w:sz="8" w:space="0" w:color="E0E0E0"/>
            </w:tcBorders>
            <w:shd w:val="clear" w:color="auto" w:fill="FFFFFF"/>
            <w:vAlign w:val="bottom"/>
          </w:tcPr>
          <w:p w14:paraId="3F4722DB" w14:textId="77777777" w:rsidR="003C5679" w:rsidRPr="003C5679" w:rsidRDefault="003C5679" w:rsidP="003C5679">
            <w:pPr>
              <w:autoSpaceDE w:val="0"/>
              <w:autoSpaceDN w:val="0"/>
              <w:adjustRightInd w:val="0"/>
              <w:spacing w:after="0" w:line="240" w:lineRule="auto"/>
              <w:jc w:val="left"/>
              <w:rPr>
                <w:rFonts w:cs="Times New Roman"/>
                <w:color w:val="264A60"/>
                <w:sz w:val="20"/>
                <w:szCs w:val="20"/>
              </w:rPr>
            </w:pPr>
          </w:p>
        </w:tc>
        <w:tc>
          <w:tcPr>
            <w:tcW w:w="1029" w:type="dxa"/>
            <w:vMerge/>
            <w:tcBorders>
              <w:top w:val="nil"/>
              <w:left w:val="single" w:sz="8" w:space="0" w:color="E0E0E0"/>
              <w:bottom w:val="nil"/>
              <w:right w:val="nil"/>
            </w:tcBorders>
            <w:shd w:val="clear" w:color="auto" w:fill="FFFFFF"/>
            <w:vAlign w:val="bottom"/>
          </w:tcPr>
          <w:p w14:paraId="271112F6" w14:textId="77777777" w:rsidR="003C5679" w:rsidRPr="003C5679" w:rsidRDefault="003C5679" w:rsidP="003C5679">
            <w:pPr>
              <w:autoSpaceDE w:val="0"/>
              <w:autoSpaceDN w:val="0"/>
              <w:adjustRightInd w:val="0"/>
              <w:spacing w:after="0" w:line="240" w:lineRule="auto"/>
              <w:jc w:val="left"/>
              <w:rPr>
                <w:rFonts w:cs="Times New Roman"/>
                <w:color w:val="264A60"/>
                <w:sz w:val="20"/>
                <w:szCs w:val="20"/>
              </w:rPr>
            </w:pPr>
          </w:p>
        </w:tc>
      </w:tr>
      <w:tr w:rsidR="003C5679" w:rsidRPr="003C5679" w14:paraId="383E297A" w14:textId="77777777" w:rsidTr="003C5679">
        <w:trPr>
          <w:cantSplit/>
        </w:trPr>
        <w:tc>
          <w:tcPr>
            <w:tcW w:w="737" w:type="dxa"/>
            <w:vMerge w:val="restart"/>
            <w:tcBorders>
              <w:top w:val="single" w:sz="8" w:space="0" w:color="152935"/>
              <w:left w:val="nil"/>
              <w:bottom w:val="single" w:sz="8" w:space="0" w:color="152935"/>
              <w:right w:val="nil"/>
            </w:tcBorders>
            <w:shd w:val="clear" w:color="auto" w:fill="E0E0E0"/>
          </w:tcPr>
          <w:p w14:paraId="1010F62C" w14:textId="77777777" w:rsidR="003C5679" w:rsidRPr="003C5679" w:rsidRDefault="003C5679" w:rsidP="003C5679">
            <w:pPr>
              <w:autoSpaceDE w:val="0"/>
              <w:autoSpaceDN w:val="0"/>
              <w:adjustRightInd w:val="0"/>
              <w:spacing w:after="0" w:line="320" w:lineRule="atLeast"/>
              <w:ind w:left="60" w:right="60"/>
              <w:jc w:val="left"/>
              <w:rPr>
                <w:rFonts w:cs="Times New Roman"/>
                <w:color w:val="264A60"/>
                <w:sz w:val="20"/>
                <w:szCs w:val="20"/>
              </w:rPr>
            </w:pPr>
            <w:r w:rsidRPr="003C5679">
              <w:rPr>
                <w:rFonts w:cs="Times New Roman"/>
                <w:color w:val="264A60"/>
                <w:sz w:val="20"/>
                <w:szCs w:val="20"/>
              </w:rPr>
              <w:t>1</w:t>
            </w:r>
          </w:p>
        </w:tc>
        <w:tc>
          <w:tcPr>
            <w:tcW w:w="1338" w:type="dxa"/>
            <w:tcBorders>
              <w:top w:val="single" w:sz="8" w:space="0" w:color="152935"/>
              <w:left w:val="nil"/>
              <w:bottom w:val="single" w:sz="8" w:space="0" w:color="AEAEAE"/>
              <w:right w:val="nil"/>
            </w:tcBorders>
            <w:shd w:val="clear" w:color="auto" w:fill="E0E0E0"/>
          </w:tcPr>
          <w:p w14:paraId="75C0BB4A" w14:textId="77777777" w:rsidR="003C5679" w:rsidRPr="003C5679" w:rsidRDefault="003C5679" w:rsidP="003C5679">
            <w:pPr>
              <w:autoSpaceDE w:val="0"/>
              <w:autoSpaceDN w:val="0"/>
              <w:adjustRightInd w:val="0"/>
              <w:spacing w:after="0" w:line="320" w:lineRule="atLeast"/>
              <w:ind w:left="60" w:right="60"/>
              <w:jc w:val="left"/>
              <w:rPr>
                <w:rFonts w:cs="Times New Roman"/>
                <w:color w:val="264A60"/>
                <w:sz w:val="20"/>
                <w:szCs w:val="20"/>
              </w:rPr>
            </w:pPr>
            <w:r w:rsidRPr="003C5679">
              <w:rPr>
                <w:rFonts w:cs="Times New Roman"/>
                <w:color w:val="264A60"/>
                <w:sz w:val="20"/>
                <w:szCs w:val="20"/>
              </w:rPr>
              <w:t>(Constant)</w:t>
            </w:r>
          </w:p>
        </w:tc>
        <w:tc>
          <w:tcPr>
            <w:tcW w:w="1338" w:type="dxa"/>
            <w:tcBorders>
              <w:top w:val="single" w:sz="8" w:space="0" w:color="152935"/>
              <w:left w:val="nil"/>
              <w:bottom w:val="single" w:sz="8" w:space="0" w:color="AEAEAE"/>
              <w:right w:val="single" w:sz="8" w:space="0" w:color="E0E0E0"/>
            </w:tcBorders>
            <w:shd w:val="clear" w:color="auto" w:fill="FFFFFF"/>
          </w:tcPr>
          <w:p w14:paraId="7DDE06C2"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.152</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49B62A80"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.041</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C894B3C" w14:textId="77777777" w:rsidR="003C5679" w:rsidRPr="003C5679" w:rsidRDefault="003C5679" w:rsidP="003C5679">
            <w:pPr>
              <w:autoSpaceDE w:val="0"/>
              <w:autoSpaceDN w:val="0"/>
              <w:adjustRightInd w:val="0"/>
              <w:spacing w:after="0" w:line="240" w:lineRule="auto"/>
              <w:jc w:val="left"/>
              <w:rPr>
                <w:rFonts w:cs="Times New Roman"/>
                <w:sz w:val="20"/>
                <w:szCs w:val="20"/>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6A183BB9"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3.740</w:t>
            </w:r>
          </w:p>
        </w:tc>
        <w:tc>
          <w:tcPr>
            <w:tcW w:w="1029" w:type="dxa"/>
            <w:tcBorders>
              <w:top w:val="single" w:sz="8" w:space="0" w:color="152935"/>
              <w:left w:val="single" w:sz="8" w:space="0" w:color="E0E0E0"/>
              <w:bottom w:val="single" w:sz="8" w:space="0" w:color="AEAEAE"/>
              <w:right w:val="nil"/>
            </w:tcBorders>
            <w:shd w:val="clear" w:color="auto" w:fill="FFFFFF"/>
          </w:tcPr>
          <w:p w14:paraId="3EB81D05"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.000</w:t>
            </w:r>
          </w:p>
        </w:tc>
      </w:tr>
      <w:tr w:rsidR="003C5679" w:rsidRPr="003C5679" w14:paraId="47CA16B0" w14:textId="77777777" w:rsidTr="003C5679">
        <w:trPr>
          <w:cantSplit/>
        </w:trPr>
        <w:tc>
          <w:tcPr>
            <w:tcW w:w="737" w:type="dxa"/>
            <w:vMerge/>
            <w:tcBorders>
              <w:top w:val="single" w:sz="8" w:space="0" w:color="152935"/>
              <w:left w:val="nil"/>
              <w:bottom w:val="single" w:sz="8" w:space="0" w:color="152935"/>
              <w:right w:val="nil"/>
            </w:tcBorders>
            <w:shd w:val="clear" w:color="auto" w:fill="E0E0E0"/>
          </w:tcPr>
          <w:p w14:paraId="43C9ECEF" w14:textId="77777777" w:rsidR="003C5679" w:rsidRPr="003C5679" w:rsidRDefault="003C5679" w:rsidP="003C5679">
            <w:pPr>
              <w:autoSpaceDE w:val="0"/>
              <w:autoSpaceDN w:val="0"/>
              <w:adjustRightInd w:val="0"/>
              <w:spacing w:after="0" w:line="240" w:lineRule="auto"/>
              <w:jc w:val="left"/>
              <w:rPr>
                <w:rFonts w:cs="Times New Roman"/>
                <w:color w:val="010205"/>
                <w:sz w:val="20"/>
                <w:szCs w:val="20"/>
              </w:rPr>
            </w:pPr>
          </w:p>
        </w:tc>
        <w:tc>
          <w:tcPr>
            <w:tcW w:w="1338" w:type="dxa"/>
            <w:tcBorders>
              <w:top w:val="single" w:sz="8" w:space="0" w:color="AEAEAE"/>
              <w:left w:val="nil"/>
              <w:bottom w:val="single" w:sz="8" w:space="0" w:color="AEAEAE"/>
              <w:right w:val="nil"/>
            </w:tcBorders>
            <w:shd w:val="clear" w:color="auto" w:fill="E0E0E0"/>
          </w:tcPr>
          <w:p w14:paraId="34936ED5" w14:textId="77777777" w:rsidR="003C5679" w:rsidRPr="003C5679" w:rsidRDefault="003C5679" w:rsidP="003C5679">
            <w:pPr>
              <w:autoSpaceDE w:val="0"/>
              <w:autoSpaceDN w:val="0"/>
              <w:adjustRightInd w:val="0"/>
              <w:spacing w:after="0" w:line="320" w:lineRule="atLeast"/>
              <w:ind w:left="60" w:right="60"/>
              <w:jc w:val="left"/>
              <w:rPr>
                <w:rFonts w:cs="Times New Roman"/>
                <w:color w:val="264A60"/>
                <w:sz w:val="20"/>
                <w:szCs w:val="20"/>
              </w:rPr>
            </w:pPr>
            <w:r w:rsidRPr="003C5679">
              <w:rPr>
                <w:rFonts w:cs="Times New Roman"/>
                <w:color w:val="264A60"/>
                <w:sz w:val="20"/>
                <w:szCs w:val="20"/>
              </w:rPr>
              <w:t>Leverage</w:t>
            </w:r>
          </w:p>
        </w:tc>
        <w:tc>
          <w:tcPr>
            <w:tcW w:w="1338" w:type="dxa"/>
            <w:tcBorders>
              <w:top w:val="single" w:sz="8" w:space="0" w:color="AEAEAE"/>
              <w:left w:val="nil"/>
              <w:bottom w:val="single" w:sz="8" w:space="0" w:color="AEAEAE"/>
              <w:right w:val="single" w:sz="8" w:space="0" w:color="E0E0E0"/>
            </w:tcBorders>
            <w:shd w:val="clear" w:color="auto" w:fill="FFFFFF"/>
          </w:tcPr>
          <w:p w14:paraId="170FAB56"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.001</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4F2CC06F"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.003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02DF3307"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.029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7B538B5"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.198</w:t>
            </w:r>
          </w:p>
        </w:tc>
        <w:tc>
          <w:tcPr>
            <w:tcW w:w="1029" w:type="dxa"/>
            <w:tcBorders>
              <w:top w:val="single" w:sz="8" w:space="0" w:color="AEAEAE"/>
              <w:left w:val="single" w:sz="8" w:space="0" w:color="E0E0E0"/>
              <w:bottom w:val="single" w:sz="8" w:space="0" w:color="AEAEAE"/>
              <w:right w:val="nil"/>
            </w:tcBorders>
            <w:shd w:val="clear" w:color="auto" w:fill="FFFFFF"/>
          </w:tcPr>
          <w:p w14:paraId="0E4D5532"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.843</w:t>
            </w:r>
          </w:p>
        </w:tc>
      </w:tr>
      <w:tr w:rsidR="003C5679" w:rsidRPr="003C5679" w14:paraId="0E7756A7" w14:textId="77777777" w:rsidTr="003C5679">
        <w:trPr>
          <w:cantSplit/>
        </w:trPr>
        <w:tc>
          <w:tcPr>
            <w:tcW w:w="737" w:type="dxa"/>
            <w:vMerge/>
            <w:tcBorders>
              <w:top w:val="single" w:sz="8" w:space="0" w:color="152935"/>
              <w:left w:val="nil"/>
              <w:bottom w:val="single" w:sz="8" w:space="0" w:color="152935"/>
              <w:right w:val="nil"/>
            </w:tcBorders>
            <w:shd w:val="clear" w:color="auto" w:fill="E0E0E0"/>
          </w:tcPr>
          <w:p w14:paraId="2ED52845" w14:textId="77777777" w:rsidR="003C5679" w:rsidRPr="003C5679" w:rsidRDefault="003C5679" w:rsidP="003C5679">
            <w:pPr>
              <w:autoSpaceDE w:val="0"/>
              <w:autoSpaceDN w:val="0"/>
              <w:adjustRightInd w:val="0"/>
              <w:spacing w:after="0" w:line="240" w:lineRule="auto"/>
              <w:jc w:val="left"/>
              <w:rPr>
                <w:rFonts w:cs="Times New Roman"/>
                <w:color w:val="010205"/>
                <w:sz w:val="20"/>
                <w:szCs w:val="20"/>
              </w:rPr>
            </w:pPr>
          </w:p>
        </w:tc>
        <w:tc>
          <w:tcPr>
            <w:tcW w:w="1338" w:type="dxa"/>
            <w:tcBorders>
              <w:top w:val="single" w:sz="8" w:space="0" w:color="AEAEAE"/>
              <w:left w:val="nil"/>
              <w:bottom w:val="single" w:sz="8" w:space="0" w:color="AEAEAE"/>
              <w:right w:val="nil"/>
            </w:tcBorders>
            <w:shd w:val="clear" w:color="auto" w:fill="E0E0E0"/>
          </w:tcPr>
          <w:p w14:paraId="427699BC" w14:textId="77777777" w:rsidR="003C5679" w:rsidRPr="003C5679" w:rsidRDefault="003C5679" w:rsidP="003C5679">
            <w:pPr>
              <w:autoSpaceDE w:val="0"/>
              <w:autoSpaceDN w:val="0"/>
              <w:adjustRightInd w:val="0"/>
              <w:spacing w:after="0" w:line="320" w:lineRule="atLeast"/>
              <w:ind w:left="60" w:right="60"/>
              <w:jc w:val="left"/>
              <w:rPr>
                <w:rFonts w:cs="Times New Roman"/>
                <w:color w:val="264A60"/>
                <w:sz w:val="20"/>
                <w:szCs w:val="20"/>
              </w:rPr>
            </w:pPr>
            <w:r w:rsidRPr="003C5679">
              <w:rPr>
                <w:rFonts w:cs="Times New Roman"/>
                <w:color w:val="264A60"/>
                <w:sz w:val="20"/>
                <w:szCs w:val="20"/>
              </w:rPr>
              <w:t>Likuiditas</w:t>
            </w:r>
          </w:p>
        </w:tc>
        <w:tc>
          <w:tcPr>
            <w:tcW w:w="1338" w:type="dxa"/>
            <w:tcBorders>
              <w:top w:val="single" w:sz="8" w:space="0" w:color="AEAEAE"/>
              <w:left w:val="nil"/>
              <w:bottom w:val="single" w:sz="8" w:space="0" w:color="AEAEAE"/>
              <w:right w:val="single" w:sz="8" w:space="0" w:color="E0E0E0"/>
            </w:tcBorders>
            <w:shd w:val="clear" w:color="auto" w:fill="FFFFFF"/>
          </w:tcPr>
          <w:p w14:paraId="5AF4A3C0"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.000</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763AF083"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.000</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4E29C3C8"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.155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348A29A"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.709</w:t>
            </w:r>
          </w:p>
        </w:tc>
        <w:tc>
          <w:tcPr>
            <w:tcW w:w="1029" w:type="dxa"/>
            <w:tcBorders>
              <w:top w:val="single" w:sz="8" w:space="0" w:color="AEAEAE"/>
              <w:left w:val="single" w:sz="8" w:space="0" w:color="E0E0E0"/>
              <w:bottom w:val="single" w:sz="8" w:space="0" w:color="AEAEAE"/>
              <w:right w:val="nil"/>
            </w:tcBorders>
            <w:shd w:val="clear" w:color="auto" w:fill="FFFFFF"/>
          </w:tcPr>
          <w:p w14:paraId="0492CAB6"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.481</w:t>
            </w:r>
          </w:p>
        </w:tc>
      </w:tr>
      <w:tr w:rsidR="003C5679" w:rsidRPr="003C5679" w14:paraId="3448605D" w14:textId="77777777" w:rsidTr="003C5679">
        <w:trPr>
          <w:cantSplit/>
        </w:trPr>
        <w:tc>
          <w:tcPr>
            <w:tcW w:w="737" w:type="dxa"/>
            <w:vMerge/>
            <w:tcBorders>
              <w:top w:val="single" w:sz="8" w:space="0" w:color="152935"/>
              <w:left w:val="nil"/>
              <w:bottom w:val="single" w:sz="8" w:space="0" w:color="152935"/>
              <w:right w:val="nil"/>
            </w:tcBorders>
            <w:shd w:val="clear" w:color="auto" w:fill="E0E0E0"/>
          </w:tcPr>
          <w:p w14:paraId="1343F06E" w14:textId="77777777" w:rsidR="003C5679" w:rsidRPr="003C5679" w:rsidRDefault="003C5679" w:rsidP="003C5679">
            <w:pPr>
              <w:autoSpaceDE w:val="0"/>
              <w:autoSpaceDN w:val="0"/>
              <w:adjustRightInd w:val="0"/>
              <w:spacing w:after="0" w:line="240" w:lineRule="auto"/>
              <w:jc w:val="left"/>
              <w:rPr>
                <w:rFonts w:cs="Times New Roman"/>
                <w:color w:val="010205"/>
                <w:sz w:val="20"/>
                <w:szCs w:val="20"/>
              </w:rPr>
            </w:pPr>
          </w:p>
        </w:tc>
        <w:tc>
          <w:tcPr>
            <w:tcW w:w="1338" w:type="dxa"/>
            <w:tcBorders>
              <w:top w:val="single" w:sz="8" w:space="0" w:color="AEAEAE"/>
              <w:left w:val="nil"/>
              <w:bottom w:val="single" w:sz="8" w:space="0" w:color="AEAEAE"/>
              <w:right w:val="nil"/>
            </w:tcBorders>
            <w:shd w:val="clear" w:color="auto" w:fill="E0E0E0"/>
          </w:tcPr>
          <w:p w14:paraId="306B626F" w14:textId="77777777" w:rsidR="003C5679" w:rsidRPr="003C5679" w:rsidRDefault="003C5679" w:rsidP="003C5679">
            <w:pPr>
              <w:autoSpaceDE w:val="0"/>
              <w:autoSpaceDN w:val="0"/>
              <w:adjustRightInd w:val="0"/>
              <w:spacing w:after="0" w:line="320" w:lineRule="atLeast"/>
              <w:ind w:left="60" w:right="60"/>
              <w:jc w:val="left"/>
              <w:rPr>
                <w:rFonts w:cs="Times New Roman"/>
                <w:color w:val="264A60"/>
                <w:sz w:val="20"/>
                <w:szCs w:val="20"/>
              </w:rPr>
            </w:pPr>
            <w:r w:rsidRPr="003C5679">
              <w:rPr>
                <w:rFonts w:cs="Times New Roman"/>
                <w:color w:val="264A60"/>
                <w:sz w:val="20"/>
                <w:szCs w:val="20"/>
              </w:rPr>
              <w:t>Firm size</w:t>
            </w:r>
          </w:p>
        </w:tc>
        <w:tc>
          <w:tcPr>
            <w:tcW w:w="1338" w:type="dxa"/>
            <w:tcBorders>
              <w:top w:val="single" w:sz="8" w:space="0" w:color="AEAEAE"/>
              <w:left w:val="nil"/>
              <w:bottom w:val="single" w:sz="8" w:space="0" w:color="AEAEAE"/>
              <w:right w:val="single" w:sz="8" w:space="0" w:color="E0E0E0"/>
            </w:tcBorders>
            <w:shd w:val="clear" w:color="auto" w:fill="FFFFFF"/>
          </w:tcPr>
          <w:p w14:paraId="22AC1830"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-.005</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3F28B770"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.003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181220E7"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-.300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A84EFE6"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-1.408</w:t>
            </w:r>
          </w:p>
        </w:tc>
        <w:tc>
          <w:tcPr>
            <w:tcW w:w="1029" w:type="dxa"/>
            <w:tcBorders>
              <w:top w:val="single" w:sz="8" w:space="0" w:color="AEAEAE"/>
              <w:left w:val="single" w:sz="8" w:space="0" w:color="E0E0E0"/>
              <w:bottom w:val="single" w:sz="8" w:space="0" w:color="AEAEAE"/>
              <w:right w:val="nil"/>
            </w:tcBorders>
            <w:shd w:val="clear" w:color="auto" w:fill="FFFFFF"/>
          </w:tcPr>
          <w:p w14:paraId="28F403F4"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.165</w:t>
            </w:r>
          </w:p>
        </w:tc>
      </w:tr>
      <w:tr w:rsidR="003C5679" w:rsidRPr="003C5679" w14:paraId="5542384A" w14:textId="77777777" w:rsidTr="003C5679">
        <w:trPr>
          <w:cantSplit/>
        </w:trPr>
        <w:tc>
          <w:tcPr>
            <w:tcW w:w="737" w:type="dxa"/>
            <w:vMerge/>
            <w:tcBorders>
              <w:top w:val="single" w:sz="8" w:space="0" w:color="152935"/>
              <w:left w:val="nil"/>
              <w:bottom w:val="single" w:sz="8" w:space="0" w:color="152935"/>
              <w:right w:val="nil"/>
            </w:tcBorders>
            <w:shd w:val="clear" w:color="auto" w:fill="E0E0E0"/>
          </w:tcPr>
          <w:p w14:paraId="57A59684" w14:textId="77777777" w:rsidR="003C5679" w:rsidRPr="003C5679" w:rsidRDefault="003C5679" w:rsidP="003C5679">
            <w:pPr>
              <w:autoSpaceDE w:val="0"/>
              <w:autoSpaceDN w:val="0"/>
              <w:adjustRightInd w:val="0"/>
              <w:spacing w:after="0" w:line="240" w:lineRule="auto"/>
              <w:jc w:val="left"/>
              <w:rPr>
                <w:rFonts w:cs="Times New Roman"/>
                <w:color w:val="010205"/>
                <w:sz w:val="20"/>
                <w:szCs w:val="20"/>
              </w:rPr>
            </w:pPr>
          </w:p>
        </w:tc>
        <w:tc>
          <w:tcPr>
            <w:tcW w:w="1338" w:type="dxa"/>
            <w:tcBorders>
              <w:top w:val="single" w:sz="8" w:space="0" w:color="AEAEAE"/>
              <w:left w:val="nil"/>
              <w:bottom w:val="single" w:sz="8" w:space="0" w:color="152935"/>
              <w:right w:val="nil"/>
            </w:tcBorders>
            <w:shd w:val="clear" w:color="auto" w:fill="E0E0E0"/>
          </w:tcPr>
          <w:p w14:paraId="068C31C7" w14:textId="77777777" w:rsidR="003C5679" w:rsidRPr="003C5679" w:rsidRDefault="003C5679" w:rsidP="003C5679">
            <w:pPr>
              <w:autoSpaceDE w:val="0"/>
              <w:autoSpaceDN w:val="0"/>
              <w:adjustRightInd w:val="0"/>
              <w:spacing w:after="0" w:line="320" w:lineRule="atLeast"/>
              <w:ind w:left="60" w:right="60"/>
              <w:jc w:val="left"/>
              <w:rPr>
                <w:rFonts w:cs="Times New Roman"/>
                <w:color w:val="264A60"/>
                <w:sz w:val="20"/>
                <w:szCs w:val="20"/>
              </w:rPr>
            </w:pPr>
            <w:r w:rsidRPr="003C5679">
              <w:rPr>
                <w:rFonts w:cs="Times New Roman"/>
                <w:color w:val="264A60"/>
                <w:sz w:val="20"/>
                <w:szCs w:val="20"/>
              </w:rPr>
              <w:t>Profitabilitas</w:t>
            </w:r>
          </w:p>
        </w:tc>
        <w:tc>
          <w:tcPr>
            <w:tcW w:w="1338" w:type="dxa"/>
            <w:tcBorders>
              <w:top w:val="single" w:sz="8" w:space="0" w:color="AEAEAE"/>
              <w:left w:val="nil"/>
              <w:bottom w:val="single" w:sz="8" w:space="0" w:color="152935"/>
              <w:right w:val="single" w:sz="8" w:space="0" w:color="E0E0E0"/>
            </w:tcBorders>
            <w:shd w:val="clear" w:color="auto" w:fill="FFFFFF"/>
          </w:tcPr>
          <w:p w14:paraId="4B5E6161"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.090</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14:paraId="7ECAA804"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.108</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14:paraId="3F9CA33B"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.113</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772ED8FC"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.835</w:t>
            </w:r>
          </w:p>
        </w:tc>
        <w:tc>
          <w:tcPr>
            <w:tcW w:w="1029" w:type="dxa"/>
            <w:tcBorders>
              <w:top w:val="single" w:sz="8" w:space="0" w:color="AEAEAE"/>
              <w:left w:val="single" w:sz="8" w:space="0" w:color="E0E0E0"/>
              <w:bottom w:val="single" w:sz="8" w:space="0" w:color="152935"/>
              <w:right w:val="nil"/>
            </w:tcBorders>
            <w:shd w:val="clear" w:color="auto" w:fill="FFFFFF"/>
          </w:tcPr>
          <w:p w14:paraId="5B47317C"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.407</w:t>
            </w:r>
          </w:p>
        </w:tc>
      </w:tr>
      <w:tr w:rsidR="003C5679" w:rsidRPr="003C5679" w14:paraId="1D354E5B" w14:textId="77777777" w:rsidTr="003C5679">
        <w:trPr>
          <w:cantSplit/>
        </w:trPr>
        <w:tc>
          <w:tcPr>
            <w:tcW w:w="8285" w:type="dxa"/>
            <w:gridSpan w:val="7"/>
            <w:tcBorders>
              <w:top w:val="nil"/>
              <w:left w:val="nil"/>
              <w:bottom w:val="nil"/>
              <w:right w:val="nil"/>
            </w:tcBorders>
            <w:shd w:val="clear" w:color="auto" w:fill="FFFFFF"/>
          </w:tcPr>
          <w:p w14:paraId="68764B58" w14:textId="77777777" w:rsidR="003C5679" w:rsidRPr="003C5679" w:rsidRDefault="003C5679" w:rsidP="003C5679">
            <w:pPr>
              <w:autoSpaceDE w:val="0"/>
              <w:autoSpaceDN w:val="0"/>
              <w:adjustRightInd w:val="0"/>
              <w:spacing w:after="0" w:line="320" w:lineRule="atLeast"/>
              <w:ind w:left="60" w:right="60"/>
              <w:jc w:val="left"/>
              <w:rPr>
                <w:rFonts w:cs="Times New Roman"/>
                <w:color w:val="010205"/>
                <w:sz w:val="20"/>
                <w:szCs w:val="20"/>
              </w:rPr>
            </w:pPr>
            <w:r w:rsidRPr="006D54B8">
              <w:rPr>
                <w:rFonts w:cs="Times New Roman"/>
                <w:color w:val="010205"/>
                <w:sz w:val="20"/>
                <w:szCs w:val="20"/>
              </w:rPr>
              <w:t>a. Dependent Variable: ABS_RES</w:t>
            </w:r>
          </w:p>
        </w:tc>
      </w:tr>
    </w:tbl>
    <w:p w14:paraId="6BFC2D8C" w14:textId="77777777" w:rsidR="003C5679" w:rsidRPr="003C5679" w:rsidRDefault="003C5679" w:rsidP="003C5679">
      <w:pPr>
        <w:autoSpaceDE w:val="0"/>
        <w:autoSpaceDN w:val="0"/>
        <w:adjustRightInd w:val="0"/>
        <w:spacing w:after="0" w:line="240" w:lineRule="auto"/>
        <w:jc w:val="left"/>
        <w:rPr>
          <w:rFonts w:cs="Times New Roman"/>
          <w:sz w:val="20"/>
          <w:szCs w:val="20"/>
        </w:rPr>
      </w:pPr>
    </w:p>
    <w:p w14:paraId="7170F182" w14:textId="19FC51BA" w:rsidR="00831A93" w:rsidRPr="006D54B8" w:rsidRDefault="00831A93" w:rsidP="003C5679">
      <w:pPr>
        <w:spacing w:line="480" w:lineRule="auto"/>
        <w:ind w:left="851"/>
        <w:rPr>
          <w:rFonts w:cs="Times New Roman"/>
          <w:szCs w:val="24"/>
        </w:rPr>
      </w:pPr>
      <w:r w:rsidRPr="006D54B8">
        <w:rPr>
          <w:rFonts w:cs="Times New Roman"/>
          <w:szCs w:val="24"/>
        </w:rPr>
        <w:t>Sumber: Output SPSS25</w:t>
      </w:r>
    </w:p>
    <w:p w14:paraId="0876889B" w14:textId="3AAFCBE2" w:rsidR="007F7CBD" w:rsidRDefault="007F7CBD" w:rsidP="00B04B57">
      <w:pPr>
        <w:pStyle w:val="ListParagraph"/>
        <w:spacing w:line="480" w:lineRule="auto"/>
        <w:ind w:left="851" w:firstLine="283"/>
      </w:pPr>
      <w:r>
        <w:t xml:space="preserve">Tabel diatas </w:t>
      </w:r>
      <w:r w:rsidRPr="007F7CBD">
        <w:t>menjelaskan bahwa nilai signifikansi variabel</w:t>
      </w:r>
      <w:r>
        <w:t xml:space="preserve"> leverage, Likuiditas, Firm size</w:t>
      </w:r>
      <w:r w:rsidR="00B04B57">
        <w:t xml:space="preserve">, </w:t>
      </w:r>
      <w:r w:rsidRPr="007F7CBD">
        <w:t>dan profitabilitas tidak signifikan terhadap nilai absolut residual (Abs_Res) atau berad</w:t>
      </w:r>
      <w:r w:rsidR="00B04B57">
        <w:t>a di atas nilai signifikansi 0,05</w:t>
      </w:r>
      <w:r w:rsidRPr="007F7CBD">
        <w:t>.</w:t>
      </w:r>
      <w:r w:rsidR="00B04B57">
        <w:t xml:space="preserve"> </w:t>
      </w:r>
      <w:r w:rsidR="00B04B57" w:rsidRPr="00B04B57">
        <w:t>Maka diketahui nilai si</w:t>
      </w:r>
      <w:r w:rsidR="003C5679">
        <w:t>gnifikan variabel leverage 0,843</w:t>
      </w:r>
      <w:r w:rsidR="00B04B57" w:rsidRPr="00B04B57">
        <w:t>, Likuiditas 0</w:t>
      </w:r>
      <w:r w:rsidR="003C5679">
        <w:t>,481, Firm size 0,165, dan Profitabilitas 0,407</w:t>
      </w:r>
      <w:r w:rsidR="00B04B57" w:rsidRPr="00B04B57">
        <w:t>.</w:t>
      </w:r>
      <w:r w:rsidR="00B04B57">
        <w:t xml:space="preserve"> Sehingga bisa </w:t>
      </w:r>
      <w:r w:rsidR="00B04B57" w:rsidRPr="007F7CBD">
        <w:t>disimpulkan bahwa dalam model regresi penelitian ini tidak terjadi gejala heteroskedastisitas</w:t>
      </w:r>
      <w:r w:rsidR="00B04B57">
        <w:t xml:space="preserve">. </w:t>
      </w:r>
    </w:p>
    <w:p w14:paraId="7D173C1B" w14:textId="198C1764" w:rsidR="00B04B57" w:rsidRDefault="00B04B57" w:rsidP="00B04B57">
      <w:pPr>
        <w:pStyle w:val="ListParagraph"/>
        <w:numPr>
          <w:ilvl w:val="0"/>
          <w:numId w:val="32"/>
        </w:numPr>
        <w:spacing w:line="480" w:lineRule="auto"/>
        <w:ind w:left="1134"/>
      </w:pPr>
      <w:r>
        <w:t xml:space="preserve">Uji Autokorelasi </w:t>
      </w:r>
    </w:p>
    <w:p w14:paraId="678D81E5" w14:textId="07322168" w:rsidR="00C512DE" w:rsidRDefault="00670A71" w:rsidP="003C5679">
      <w:pPr>
        <w:pStyle w:val="ListParagraph"/>
        <w:spacing w:line="480" w:lineRule="auto"/>
        <w:ind w:left="1134" w:firstLine="306"/>
      </w:pPr>
      <w:r>
        <w:t>U</w:t>
      </w:r>
      <w:r w:rsidR="00604221" w:rsidRPr="00604221">
        <w:t xml:space="preserve">ji autokorelasi bertujuan untuk menguji apakah dalam regresi linear ada korelasi antara kesalahan penganggu pada periode t dengan kesalahan penganggu pada periode t-1 </w:t>
      </w:r>
      <w:r w:rsidR="00604221">
        <w:t xml:space="preserve">(sebelumnya) </w:t>
      </w:r>
      <w:r w:rsidR="00604221">
        <w:fldChar w:fldCharType="begin" w:fldLock="1"/>
      </w:r>
      <w:r w:rsidR="00FB397E">
        <w:instrText>ADDIN CSL_CITATION {"citationItems":[{"id":"ITEM-1","itemData":{"author":[{"dropping-particle":"","family":"Ghozali","given":"","non-dropping-particle":"","parse-names":false,"suffix":""}],"id":"ITEM-1","issued":{"date-parts":[["2018"]]},"publisher-place":"Semarang","title":"Aplikasi Analisis Miltivariate dengan program IBM SPSS 25","type":"book"},"locator":"111","uris":["http://www.mendeley.com/documents/?uuid=87f73ac4-d448-4b9f-8fff-25d8294a26aa"]}],"mendeley":{"formattedCitation":"(Ghozali, 2018, p. 111)","plainTextFormattedCitation":"(Ghozali, 2018, p. 111)","previouslyFormattedCitation":"(Ghozali, 2018, p. 111)"},"properties":{"noteIndex":0},"schema":"https://github.com/citation-style-language/schema/raw/master/csl-citation.json"}</w:instrText>
      </w:r>
      <w:r w:rsidR="00604221">
        <w:fldChar w:fldCharType="separate"/>
      </w:r>
      <w:r w:rsidR="00604221" w:rsidRPr="00604221">
        <w:rPr>
          <w:noProof/>
        </w:rPr>
        <w:t>(Ghozali, 2018, p. 111)</w:t>
      </w:r>
      <w:r w:rsidR="00604221">
        <w:fldChar w:fldCharType="end"/>
      </w:r>
      <w:r w:rsidR="00604221" w:rsidRPr="00604221">
        <w:t>. Uji autokorelasi dalam penelitian ini menggunakan cara uji Durbin-Watson (DW test).</w:t>
      </w:r>
      <w:r w:rsidR="00604221">
        <w:t xml:space="preserve"> </w:t>
      </w:r>
      <w:r w:rsidR="00604221" w:rsidRPr="00604221">
        <w:t>Uji ini menghasilkan nilai DW hitung (d) dan nilai DW Tabel (dL dan dU</w:t>
      </w:r>
      <w:r w:rsidR="00604221">
        <w:t>).</w:t>
      </w:r>
    </w:p>
    <w:p w14:paraId="72A95E12" w14:textId="6DC24B9B" w:rsidR="00604221" w:rsidRPr="00C77BC9" w:rsidRDefault="00C77BC9" w:rsidP="00C77BC9">
      <w:pPr>
        <w:pStyle w:val="Caption"/>
        <w:jc w:val="center"/>
        <w:rPr>
          <w:rFonts w:cs="Times New Roman"/>
          <w:b w:val="0"/>
          <w:color w:val="auto"/>
          <w:sz w:val="24"/>
          <w:szCs w:val="24"/>
        </w:rPr>
      </w:pPr>
      <w:bookmarkStart w:id="32" w:name="_Toc168999383"/>
      <w:r w:rsidRPr="00C77BC9">
        <w:rPr>
          <w:color w:val="auto"/>
          <w:sz w:val="24"/>
          <w:szCs w:val="24"/>
        </w:rPr>
        <w:lastRenderedPageBreak/>
        <w:t xml:space="preserve">Tabel.  </w:t>
      </w:r>
      <w:r w:rsidRPr="00C77BC9">
        <w:rPr>
          <w:color w:val="auto"/>
          <w:sz w:val="24"/>
          <w:szCs w:val="24"/>
        </w:rPr>
        <w:fldChar w:fldCharType="begin"/>
      </w:r>
      <w:r w:rsidRPr="00C77BC9">
        <w:rPr>
          <w:color w:val="auto"/>
          <w:sz w:val="24"/>
          <w:szCs w:val="24"/>
        </w:rPr>
        <w:instrText xml:space="preserve"> SEQ Tabel._ \* ARABIC </w:instrText>
      </w:r>
      <w:r w:rsidRPr="00C77BC9">
        <w:rPr>
          <w:color w:val="auto"/>
          <w:sz w:val="24"/>
          <w:szCs w:val="24"/>
        </w:rPr>
        <w:fldChar w:fldCharType="separate"/>
      </w:r>
      <w:r w:rsidR="0017483D">
        <w:rPr>
          <w:noProof/>
          <w:color w:val="auto"/>
          <w:sz w:val="24"/>
          <w:szCs w:val="24"/>
        </w:rPr>
        <w:t>19</w:t>
      </w:r>
      <w:r w:rsidRPr="00C77BC9">
        <w:rPr>
          <w:color w:val="auto"/>
          <w:sz w:val="24"/>
          <w:szCs w:val="24"/>
        </w:rPr>
        <w:fldChar w:fldCharType="end"/>
      </w:r>
      <w:r w:rsidRPr="00C77BC9">
        <w:rPr>
          <w:color w:val="auto"/>
          <w:sz w:val="24"/>
          <w:szCs w:val="24"/>
          <w:lang w:val="en-US"/>
        </w:rPr>
        <w:t xml:space="preserve"> Hasil Uji Autokorelasi</w:t>
      </w:r>
      <w:bookmarkEnd w:id="32"/>
    </w:p>
    <w:tbl>
      <w:tblPr>
        <w:tblpPr w:leftFromText="180" w:rightFromText="180" w:vertAnchor="text" w:horzAnchor="margin" w:tblpXSpec="right" w:tblpY="194"/>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3C5679" w:rsidRPr="003C5679" w14:paraId="499B12EB" w14:textId="77777777" w:rsidTr="003C5679">
        <w:trPr>
          <w:cantSplit/>
        </w:trPr>
        <w:tc>
          <w:tcPr>
            <w:tcW w:w="7348" w:type="dxa"/>
            <w:gridSpan w:val="6"/>
            <w:tcBorders>
              <w:top w:val="nil"/>
              <w:left w:val="nil"/>
              <w:bottom w:val="nil"/>
              <w:right w:val="nil"/>
            </w:tcBorders>
            <w:shd w:val="clear" w:color="auto" w:fill="FFFFFF"/>
            <w:vAlign w:val="center"/>
          </w:tcPr>
          <w:p w14:paraId="65174ABD" w14:textId="77777777" w:rsidR="003C5679" w:rsidRPr="003C5679" w:rsidRDefault="003C5679" w:rsidP="003C5679">
            <w:pPr>
              <w:autoSpaceDE w:val="0"/>
              <w:autoSpaceDN w:val="0"/>
              <w:adjustRightInd w:val="0"/>
              <w:spacing w:after="0" w:line="320" w:lineRule="atLeast"/>
              <w:ind w:left="60" w:right="60"/>
              <w:jc w:val="center"/>
              <w:rPr>
                <w:rFonts w:cs="Times New Roman"/>
                <w:color w:val="010205"/>
                <w:sz w:val="22"/>
              </w:rPr>
            </w:pPr>
            <w:r w:rsidRPr="003C5679">
              <w:rPr>
                <w:rFonts w:cs="Times New Roman"/>
                <w:b/>
                <w:bCs/>
                <w:color w:val="010205"/>
                <w:sz w:val="22"/>
              </w:rPr>
              <w:t>Model Summary</w:t>
            </w:r>
            <w:r w:rsidRPr="003C5679">
              <w:rPr>
                <w:rFonts w:cs="Times New Roman"/>
                <w:b/>
                <w:bCs/>
                <w:color w:val="010205"/>
                <w:sz w:val="22"/>
                <w:vertAlign w:val="superscript"/>
              </w:rPr>
              <w:t>b</w:t>
            </w:r>
          </w:p>
        </w:tc>
      </w:tr>
      <w:tr w:rsidR="003C5679" w:rsidRPr="003C5679" w14:paraId="49BEB85E" w14:textId="77777777" w:rsidTr="003C5679">
        <w:trPr>
          <w:cantSplit/>
        </w:trPr>
        <w:tc>
          <w:tcPr>
            <w:tcW w:w="798" w:type="dxa"/>
            <w:tcBorders>
              <w:top w:val="nil"/>
              <w:left w:val="nil"/>
              <w:bottom w:val="single" w:sz="8" w:space="0" w:color="152935"/>
              <w:right w:val="nil"/>
            </w:tcBorders>
            <w:shd w:val="clear" w:color="auto" w:fill="FFFFFF"/>
            <w:vAlign w:val="bottom"/>
          </w:tcPr>
          <w:p w14:paraId="5D31AE8A" w14:textId="77777777" w:rsidR="003C5679" w:rsidRPr="003C5679" w:rsidRDefault="003C5679" w:rsidP="003C5679">
            <w:pPr>
              <w:autoSpaceDE w:val="0"/>
              <w:autoSpaceDN w:val="0"/>
              <w:adjustRightInd w:val="0"/>
              <w:spacing w:after="0" w:line="320" w:lineRule="atLeast"/>
              <w:ind w:left="60" w:right="60"/>
              <w:jc w:val="left"/>
              <w:rPr>
                <w:rFonts w:cs="Times New Roman"/>
                <w:color w:val="264A60"/>
                <w:sz w:val="20"/>
                <w:szCs w:val="20"/>
              </w:rPr>
            </w:pPr>
            <w:r w:rsidRPr="003C5679">
              <w:rPr>
                <w:rFonts w:cs="Times New Roman"/>
                <w:color w:val="264A60"/>
                <w:sz w:val="20"/>
                <w:szCs w:val="20"/>
              </w:rPr>
              <w:t>Model</w:t>
            </w:r>
          </w:p>
        </w:tc>
        <w:tc>
          <w:tcPr>
            <w:tcW w:w="1030" w:type="dxa"/>
            <w:tcBorders>
              <w:top w:val="nil"/>
              <w:left w:val="nil"/>
              <w:bottom w:val="single" w:sz="8" w:space="0" w:color="152935"/>
              <w:right w:val="single" w:sz="8" w:space="0" w:color="E0E0E0"/>
            </w:tcBorders>
            <w:shd w:val="clear" w:color="auto" w:fill="FFFFFF"/>
            <w:vAlign w:val="bottom"/>
          </w:tcPr>
          <w:p w14:paraId="5601D6EC" w14:textId="77777777" w:rsidR="003C5679" w:rsidRPr="003C5679" w:rsidRDefault="003C5679" w:rsidP="003C5679">
            <w:pPr>
              <w:autoSpaceDE w:val="0"/>
              <w:autoSpaceDN w:val="0"/>
              <w:adjustRightInd w:val="0"/>
              <w:spacing w:after="0" w:line="320" w:lineRule="atLeast"/>
              <w:ind w:left="60" w:right="60"/>
              <w:jc w:val="center"/>
              <w:rPr>
                <w:rFonts w:cs="Times New Roman"/>
                <w:color w:val="264A60"/>
                <w:sz w:val="20"/>
                <w:szCs w:val="20"/>
              </w:rPr>
            </w:pPr>
            <w:r w:rsidRPr="003C5679">
              <w:rPr>
                <w:rFonts w:cs="Times New Roman"/>
                <w:color w:val="264A60"/>
                <w:sz w:val="20"/>
                <w:szCs w:val="20"/>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1F9F0011" w14:textId="77777777" w:rsidR="003C5679" w:rsidRPr="003C5679" w:rsidRDefault="003C5679" w:rsidP="003C5679">
            <w:pPr>
              <w:autoSpaceDE w:val="0"/>
              <w:autoSpaceDN w:val="0"/>
              <w:adjustRightInd w:val="0"/>
              <w:spacing w:after="0" w:line="320" w:lineRule="atLeast"/>
              <w:ind w:left="60" w:right="60"/>
              <w:jc w:val="center"/>
              <w:rPr>
                <w:rFonts w:cs="Times New Roman"/>
                <w:color w:val="264A60"/>
                <w:sz w:val="20"/>
                <w:szCs w:val="20"/>
              </w:rPr>
            </w:pPr>
            <w:r w:rsidRPr="003C5679">
              <w:rPr>
                <w:rFonts w:cs="Times New Roman"/>
                <w:color w:val="264A60"/>
                <w:sz w:val="20"/>
                <w:szCs w:val="20"/>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31D247F8" w14:textId="77777777" w:rsidR="003C5679" w:rsidRPr="003C5679" w:rsidRDefault="003C5679" w:rsidP="003C5679">
            <w:pPr>
              <w:autoSpaceDE w:val="0"/>
              <w:autoSpaceDN w:val="0"/>
              <w:adjustRightInd w:val="0"/>
              <w:spacing w:after="0" w:line="320" w:lineRule="atLeast"/>
              <w:ind w:left="60" w:right="60"/>
              <w:jc w:val="center"/>
              <w:rPr>
                <w:rFonts w:cs="Times New Roman"/>
                <w:color w:val="264A60"/>
                <w:sz w:val="20"/>
                <w:szCs w:val="20"/>
              </w:rPr>
            </w:pPr>
            <w:r w:rsidRPr="003C5679">
              <w:rPr>
                <w:rFonts w:cs="Times New Roman"/>
                <w:color w:val="264A60"/>
                <w:sz w:val="20"/>
                <w:szCs w:val="20"/>
              </w:rPr>
              <w:t>Adjusted 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6B1FCCFB" w14:textId="77777777" w:rsidR="003C5679" w:rsidRPr="003C5679" w:rsidRDefault="003C5679" w:rsidP="003C5679">
            <w:pPr>
              <w:autoSpaceDE w:val="0"/>
              <w:autoSpaceDN w:val="0"/>
              <w:adjustRightInd w:val="0"/>
              <w:spacing w:after="0" w:line="320" w:lineRule="atLeast"/>
              <w:ind w:left="60" w:right="60"/>
              <w:jc w:val="center"/>
              <w:rPr>
                <w:rFonts w:cs="Times New Roman"/>
                <w:color w:val="264A60"/>
                <w:sz w:val="20"/>
                <w:szCs w:val="20"/>
              </w:rPr>
            </w:pPr>
            <w:r w:rsidRPr="003C5679">
              <w:rPr>
                <w:rFonts w:cs="Times New Roman"/>
                <w:color w:val="264A60"/>
                <w:sz w:val="20"/>
                <w:szCs w:val="20"/>
              </w:rPr>
              <w:t>Std. Error of the Estimate</w:t>
            </w:r>
          </w:p>
        </w:tc>
        <w:tc>
          <w:tcPr>
            <w:tcW w:w="1476" w:type="dxa"/>
            <w:tcBorders>
              <w:top w:val="nil"/>
              <w:left w:val="single" w:sz="8" w:space="0" w:color="E0E0E0"/>
              <w:bottom w:val="single" w:sz="8" w:space="0" w:color="152935"/>
              <w:right w:val="nil"/>
            </w:tcBorders>
            <w:shd w:val="clear" w:color="auto" w:fill="FFFFFF"/>
            <w:vAlign w:val="bottom"/>
          </w:tcPr>
          <w:p w14:paraId="3E07BBDC" w14:textId="77777777" w:rsidR="003C5679" w:rsidRPr="003C5679" w:rsidRDefault="003C5679" w:rsidP="003C5679">
            <w:pPr>
              <w:autoSpaceDE w:val="0"/>
              <w:autoSpaceDN w:val="0"/>
              <w:adjustRightInd w:val="0"/>
              <w:spacing w:after="0" w:line="320" w:lineRule="atLeast"/>
              <w:ind w:left="60" w:right="60"/>
              <w:jc w:val="center"/>
              <w:rPr>
                <w:rFonts w:cs="Times New Roman"/>
                <w:color w:val="264A60"/>
                <w:sz w:val="20"/>
                <w:szCs w:val="20"/>
              </w:rPr>
            </w:pPr>
            <w:r w:rsidRPr="003C5679">
              <w:rPr>
                <w:rFonts w:cs="Times New Roman"/>
                <w:color w:val="264A60"/>
                <w:sz w:val="20"/>
                <w:szCs w:val="20"/>
              </w:rPr>
              <w:t>Durbin-Watson</w:t>
            </w:r>
          </w:p>
        </w:tc>
      </w:tr>
      <w:tr w:rsidR="003C5679" w:rsidRPr="003C5679" w14:paraId="09BC42C2" w14:textId="77777777" w:rsidTr="003C5679">
        <w:trPr>
          <w:cantSplit/>
        </w:trPr>
        <w:tc>
          <w:tcPr>
            <w:tcW w:w="798" w:type="dxa"/>
            <w:tcBorders>
              <w:top w:val="single" w:sz="8" w:space="0" w:color="152935"/>
              <w:left w:val="nil"/>
              <w:bottom w:val="single" w:sz="8" w:space="0" w:color="152935"/>
              <w:right w:val="nil"/>
            </w:tcBorders>
            <w:shd w:val="clear" w:color="auto" w:fill="E0E0E0"/>
          </w:tcPr>
          <w:p w14:paraId="34B3D8FF" w14:textId="77777777" w:rsidR="003C5679" w:rsidRPr="003C5679" w:rsidRDefault="003C5679" w:rsidP="003C5679">
            <w:pPr>
              <w:autoSpaceDE w:val="0"/>
              <w:autoSpaceDN w:val="0"/>
              <w:adjustRightInd w:val="0"/>
              <w:spacing w:after="0" w:line="320" w:lineRule="atLeast"/>
              <w:ind w:left="60" w:right="60"/>
              <w:jc w:val="left"/>
              <w:rPr>
                <w:rFonts w:cs="Times New Roman"/>
                <w:color w:val="264A60"/>
                <w:sz w:val="20"/>
                <w:szCs w:val="20"/>
              </w:rPr>
            </w:pPr>
            <w:r w:rsidRPr="003C5679">
              <w:rPr>
                <w:rFonts w:cs="Times New Roman"/>
                <w:color w:val="264A60"/>
                <w:sz w:val="20"/>
                <w:szCs w:val="20"/>
              </w:rPr>
              <w:t>1</w:t>
            </w:r>
          </w:p>
        </w:tc>
        <w:tc>
          <w:tcPr>
            <w:tcW w:w="1030" w:type="dxa"/>
            <w:tcBorders>
              <w:top w:val="single" w:sz="8" w:space="0" w:color="152935"/>
              <w:left w:val="nil"/>
              <w:bottom w:val="single" w:sz="8" w:space="0" w:color="152935"/>
              <w:right w:val="single" w:sz="8" w:space="0" w:color="E0E0E0"/>
            </w:tcBorders>
            <w:shd w:val="clear" w:color="auto" w:fill="FFFFFF"/>
          </w:tcPr>
          <w:p w14:paraId="72988939"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.365</w:t>
            </w:r>
            <w:r w:rsidRPr="003C5679">
              <w:rPr>
                <w:rFonts w:cs="Times New Roman"/>
                <w:color w:val="010205"/>
                <w:sz w:val="20"/>
                <w:szCs w:val="20"/>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60D540B2"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.133</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701FE991"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.070</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13505804"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.12781</w:t>
            </w:r>
          </w:p>
        </w:tc>
        <w:tc>
          <w:tcPr>
            <w:tcW w:w="1476" w:type="dxa"/>
            <w:tcBorders>
              <w:top w:val="single" w:sz="8" w:space="0" w:color="152935"/>
              <w:left w:val="single" w:sz="8" w:space="0" w:color="E0E0E0"/>
              <w:bottom w:val="single" w:sz="8" w:space="0" w:color="152935"/>
              <w:right w:val="nil"/>
            </w:tcBorders>
            <w:shd w:val="clear" w:color="auto" w:fill="FFFFFF"/>
          </w:tcPr>
          <w:p w14:paraId="0C4D3A25" w14:textId="77777777" w:rsidR="003C5679" w:rsidRPr="003C5679" w:rsidRDefault="003C5679" w:rsidP="003C5679">
            <w:pPr>
              <w:autoSpaceDE w:val="0"/>
              <w:autoSpaceDN w:val="0"/>
              <w:adjustRightInd w:val="0"/>
              <w:spacing w:after="0" w:line="320" w:lineRule="atLeast"/>
              <w:ind w:left="60" w:right="60"/>
              <w:jc w:val="right"/>
              <w:rPr>
                <w:rFonts w:cs="Times New Roman"/>
                <w:color w:val="010205"/>
                <w:sz w:val="20"/>
                <w:szCs w:val="20"/>
              </w:rPr>
            </w:pPr>
            <w:r w:rsidRPr="003C5679">
              <w:rPr>
                <w:rFonts w:cs="Times New Roman"/>
                <w:color w:val="010205"/>
                <w:sz w:val="20"/>
                <w:szCs w:val="20"/>
              </w:rPr>
              <w:t>2.146</w:t>
            </w:r>
          </w:p>
        </w:tc>
      </w:tr>
      <w:tr w:rsidR="003C5679" w:rsidRPr="003C5679" w14:paraId="0EC6670E" w14:textId="77777777" w:rsidTr="003C5679">
        <w:trPr>
          <w:cantSplit/>
        </w:trPr>
        <w:tc>
          <w:tcPr>
            <w:tcW w:w="7348" w:type="dxa"/>
            <w:gridSpan w:val="6"/>
            <w:tcBorders>
              <w:top w:val="nil"/>
              <w:left w:val="nil"/>
              <w:bottom w:val="nil"/>
              <w:right w:val="nil"/>
            </w:tcBorders>
            <w:shd w:val="clear" w:color="auto" w:fill="FFFFFF"/>
          </w:tcPr>
          <w:p w14:paraId="1659D17D" w14:textId="77777777" w:rsidR="003C5679" w:rsidRPr="003C5679" w:rsidRDefault="003C5679" w:rsidP="003C5679">
            <w:pPr>
              <w:autoSpaceDE w:val="0"/>
              <w:autoSpaceDN w:val="0"/>
              <w:adjustRightInd w:val="0"/>
              <w:spacing w:after="0" w:line="320" w:lineRule="atLeast"/>
              <w:ind w:left="60" w:right="60"/>
              <w:jc w:val="left"/>
              <w:rPr>
                <w:rFonts w:cs="Times New Roman"/>
                <w:color w:val="010205"/>
                <w:sz w:val="20"/>
                <w:szCs w:val="20"/>
              </w:rPr>
            </w:pPr>
            <w:r w:rsidRPr="003C5679">
              <w:rPr>
                <w:rFonts w:cs="Times New Roman"/>
                <w:color w:val="010205"/>
                <w:sz w:val="20"/>
                <w:szCs w:val="20"/>
              </w:rPr>
              <w:t>a. Predictors: (Constant), Profitabilitas , Likuiditas , Leverage , Firm size</w:t>
            </w:r>
          </w:p>
        </w:tc>
      </w:tr>
      <w:tr w:rsidR="003C5679" w:rsidRPr="003C5679" w14:paraId="0DC1EAD1" w14:textId="77777777" w:rsidTr="003C5679">
        <w:trPr>
          <w:cantSplit/>
        </w:trPr>
        <w:tc>
          <w:tcPr>
            <w:tcW w:w="7348" w:type="dxa"/>
            <w:gridSpan w:val="6"/>
            <w:tcBorders>
              <w:top w:val="nil"/>
              <w:left w:val="nil"/>
              <w:bottom w:val="nil"/>
              <w:right w:val="nil"/>
            </w:tcBorders>
            <w:shd w:val="clear" w:color="auto" w:fill="FFFFFF"/>
          </w:tcPr>
          <w:p w14:paraId="6C6C31DD" w14:textId="77777777" w:rsidR="003C5679" w:rsidRPr="003C5679" w:rsidRDefault="003C5679" w:rsidP="003C5679">
            <w:pPr>
              <w:autoSpaceDE w:val="0"/>
              <w:autoSpaceDN w:val="0"/>
              <w:adjustRightInd w:val="0"/>
              <w:spacing w:after="0" w:line="320" w:lineRule="atLeast"/>
              <w:ind w:left="60" w:right="60"/>
              <w:jc w:val="left"/>
              <w:rPr>
                <w:rFonts w:cs="Times New Roman"/>
                <w:color w:val="010205"/>
                <w:sz w:val="20"/>
                <w:szCs w:val="20"/>
              </w:rPr>
            </w:pPr>
            <w:r w:rsidRPr="003C5679">
              <w:rPr>
                <w:rFonts w:cs="Times New Roman"/>
                <w:color w:val="010205"/>
                <w:sz w:val="20"/>
                <w:szCs w:val="20"/>
              </w:rPr>
              <w:t>b. Dependent Variable: LaporanKeberlanjutan</w:t>
            </w:r>
          </w:p>
        </w:tc>
      </w:tr>
    </w:tbl>
    <w:p w14:paraId="7E24704E" w14:textId="77777777" w:rsidR="003C5679" w:rsidRPr="003C5679" w:rsidRDefault="003C5679" w:rsidP="003C5679">
      <w:pPr>
        <w:autoSpaceDE w:val="0"/>
        <w:autoSpaceDN w:val="0"/>
        <w:adjustRightInd w:val="0"/>
        <w:spacing w:after="0" w:line="240" w:lineRule="auto"/>
        <w:jc w:val="left"/>
        <w:rPr>
          <w:rFonts w:cs="Times New Roman"/>
          <w:szCs w:val="24"/>
        </w:rPr>
      </w:pPr>
    </w:p>
    <w:p w14:paraId="592EED52" w14:textId="77777777" w:rsidR="003C5679" w:rsidRPr="003C5679" w:rsidRDefault="003C5679" w:rsidP="003C5679">
      <w:pPr>
        <w:autoSpaceDE w:val="0"/>
        <w:autoSpaceDN w:val="0"/>
        <w:adjustRightInd w:val="0"/>
        <w:spacing w:after="0" w:line="400" w:lineRule="atLeast"/>
        <w:jc w:val="left"/>
        <w:rPr>
          <w:rFonts w:cs="Times New Roman"/>
          <w:szCs w:val="24"/>
        </w:rPr>
      </w:pPr>
    </w:p>
    <w:p w14:paraId="7094830E" w14:textId="77777777" w:rsidR="00881920" w:rsidRDefault="00881920" w:rsidP="007E60D4">
      <w:pPr>
        <w:pStyle w:val="ListParagraph"/>
        <w:spacing w:line="480" w:lineRule="auto"/>
        <w:ind w:left="426"/>
      </w:pPr>
    </w:p>
    <w:p w14:paraId="5ADF35E6" w14:textId="77777777" w:rsidR="00881920" w:rsidRDefault="00881920" w:rsidP="007E60D4">
      <w:pPr>
        <w:pStyle w:val="ListParagraph"/>
        <w:spacing w:line="480" w:lineRule="auto"/>
        <w:ind w:left="426"/>
      </w:pPr>
    </w:p>
    <w:p w14:paraId="5406FB02" w14:textId="67586055" w:rsidR="00881920" w:rsidRDefault="003C5679" w:rsidP="003C5679">
      <w:pPr>
        <w:spacing w:line="480" w:lineRule="auto"/>
        <w:ind w:left="993"/>
      </w:pPr>
      <w:r>
        <w:t>Sumber: Output SPSS25</w:t>
      </w:r>
    </w:p>
    <w:p w14:paraId="02737FCB" w14:textId="5052C619" w:rsidR="007E60D4" w:rsidRDefault="00D3091A" w:rsidP="00670A71">
      <w:pPr>
        <w:pStyle w:val="ListParagraph"/>
        <w:spacing w:line="480" w:lineRule="auto"/>
        <w:ind w:left="709" w:firstLine="436"/>
      </w:pPr>
      <w:r w:rsidRPr="00D3091A">
        <w:t xml:space="preserve">Tabel diatas menunjukkan nilai Durbin-Watson sebesar 1,766. Nilai ini selanjutnya dibandingkan dengan nilai tabel Durbin-Watson dengan tingkat </w:t>
      </w:r>
      <w:r w:rsidR="003C5679">
        <w:t>signifikansi 5% jumlah sampel 60</w:t>
      </w:r>
      <w:r w:rsidRPr="00D3091A">
        <w:t xml:space="preserve"> (n) dan jumlah variabel independen 4 (k). Dari tabel Durbin- Wa</w:t>
      </w:r>
      <w:r w:rsidR="006D54B8">
        <w:t>tson didapatkan nilai dL = 1,</w:t>
      </w:r>
      <w:r w:rsidR="003C5679">
        <w:t>4443 dan nilai dU = 1,7274</w:t>
      </w:r>
      <w:r w:rsidRPr="00D3091A">
        <w:t>. N</w:t>
      </w:r>
      <w:r w:rsidR="003C5679">
        <w:t>ilai Durbin-Watson sebesar 2,146</w:t>
      </w:r>
      <w:r w:rsidRPr="00D3091A">
        <w:t xml:space="preserve"> lebih </w:t>
      </w:r>
      <w:r w:rsidR="006D54B8">
        <w:t>besar dari batas atas (dU) 1,</w:t>
      </w:r>
      <w:r w:rsidR="003C5679">
        <w:t>7274</w:t>
      </w:r>
      <w:r w:rsidR="006D54B8">
        <w:t xml:space="preserve"> dan kurang dari 4 - 1,7274 </w:t>
      </w:r>
      <w:r w:rsidRPr="00D3091A">
        <w:t>(4- dU), maka dapat disimpulkan bahwa tidak terdapat autoko</w:t>
      </w:r>
      <w:r w:rsidR="00EB575B">
        <w:t>relasi dalam model regresi.</w:t>
      </w:r>
    </w:p>
    <w:p w14:paraId="7E5CB175" w14:textId="0D337DDA" w:rsidR="00F9306A" w:rsidRPr="00F9306A" w:rsidRDefault="00F9306A" w:rsidP="00C512DE">
      <w:pPr>
        <w:pStyle w:val="Heading3"/>
        <w:numPr>
          <w:ilvl w:val="0"/>
          <w:numId w:val="9"/>
        </w:numPr>
        <w:spacing w:line="480" w:lineRule="auto"/>
      </w:pPr>
      <w:bookmarkStart w:id="33" w:name="_Toc170109889"/>
      <w:r>
        <w:t>Analisis regresi linier berganda</w:t>
      </w:r>
      <w:bookmarkEnd w:id="33"/>
    </w:p>
    <w:p w14:paraId="25064F84" w14:textId="53C0128E" w:rsidR="005D263C" w:rsidRDefault="00F9306A" w:rsidP="000813B3">
      <w:pPr>
        <w:spacing w:line="480" w:lineRule="auto"/>
        <w:ind w:left="720" w:firstLine="720"/>
      </w:pPr>
      <w:r w:rsidRPr="00F9306A">
        <w:t>Regresi linier berganda bertujuan untuk melihat apakah ada pengaruh hubungan antara variabel independen dan variabel dependen dengan menggunakan analisis regresi linier berganda. Metode untuk menguji hipotesis penelitian regresi lini</w:t>
      </w:r>
      <w:r w:rsidR="00C512DE">
        <w:t>er berganda adalah dengan rumus</w:t>
      </w:r>
      <w:r w:rsidRPr="00F9306A">
        <w:t>:</w:t>
      </w:r>
    </w:p>
    <w:p w14:paraId="25803F19" w14:textId="063745D3" w:rsidR="00F9306A" w:rsidRDefault="0032084A" w:rsidP="00F9306A">
      <w:pPr>
        <w:pStyle w:val="ListParagraph"/>
        <w:spacing w:line="480" w:lineRule="auto"/>
        <w:ind w:left="851"/>
        <w:rPr>
          <w:rFonts w:cs="Times New Roman"/>
          <w:szCs w:val="24"/>
        </w:rPr>
      </w:pPr>
      <w:r>
        <w:rPr>
          <w:rFonts w:cs="Times New Roman"/>
          <w:szCs w:val="24"/>
        </w:rPr>
        <w:t>Ŷ</w:t>
      </w:r>
      <w:r w:rsidR="005D263C">
        <w:rPr>
          <w:rFonts w:cs="Times New Roman"/>
          <w:szCs w:val="24"/>
        </w:rPr>
        <w:t xml:space="preserve"> </w:t>
      </w:r>
      <w:r w:rsidR="00F9306A">
        <w:rPr>
          <w:rFonts w:cs="Times New Roman"/>
          <w:szCs w:val="24"/>
        </w:rPr>
        <w:t xml:space="preserve">= α + </w:t>
      </w:r>
      <w:r w:rsidR="00F9306A" w:rsidRPr="00D87448">
        <w:rPr>
          <w:rFonts w:cs="Times New Roman"/>
          <w:szCs w:val="24"/>
        </w:rPr>
        <w:t>β1</w:t>
      </w:r>
      <w:r w:rsidR="00D87448">
        <w:rPr>
          <w:rFonts w:cs="Times New Roman"/>
          <w:szCs w:val="24"/>
        </w:rPr>
        <w:t>X</w:t>
      </w:r>
      <w:r w:rsidR="00D87448">
        <w:rPr>
          <w:rFonts w:cs="Times New Roman"/>
          <w:szCs w:val="24"/>
          <w:vertAlign w:val="subscript"/>
        </w:rPr>
        <w:t>1</w:t>
      </w:r>
      <w:r w:rsidR="00F9306A">
        <w:rPr>
          <w:rFonts w:cs="Times New Roman"/>
          <w:szCs w:val="24"/>
          <w:vertAlign w:val="subscript"/>
        </w:rPr>
        <w:t xml:space="preserve"> </w:t>
      </w:r>
      <w:r w:rsidR="00F9306A">
        <w:rPr>
          <w:rFonts w:cs="Times New Roman"/>
          <w:szCs w:val="24"/>
        </w:rPr>
        <w:t>+ β</w:t>
      </w:r>
      <w:r w:rsidR="00F9306A">
        <w:rPr>
          <w:rFonts w:cs="Times New Roman"/>
          <w:szCs w:val="24"/>
          <w:vertAlign w:val="subscript"/>
        </w:rPr>
        <w:t>2</w:t>
      </w:r>
      <w:r w:rsidR="00F9306A">
        <w:rPr>
          <w:rFonts w:cs="Times New Roman"/>
          <w:szCs w:val="24"/>
        </w:rPr>
        <w:t>X</w:t>
      </w:r>
      <w:r w:rsidR="00F9306A">
        <w:rPr>
          <w:rFonts w:cs="Times New Roman"/>
          <w:szCs w:val="24"/>
          <w:vertAlign w:val="subscript"/>
        </w:rPr>
        <w:t>2</w:t>
      </w:r>
      <w:r w:rsidR="00D87448">
        <w:rPr>
          <w:rFonts w:cs="Times New Roman"/>
          <w:szCs w:val="24"/>
        </w:rPr>
        <w:t xml:space="preserve"> </w:t>
      </w:r>
      <w:r w:rsidR="00F9306A">
        <w:rPr>
          <w:rFonts w:cs="Times New Roman"/>
          <w:szCs w:val="24"/>
        </w:rPr>
        <w:t>+ β</w:t>
      </w:r>
      <w:r w:rsidR="00F9306A">
        <w:rPr>
          <w:rFonts w:cs="Times New Roman"/>
          <w:szCs w:val="24"/>
          <w:vertAlign w:val="subscript"/>
        </w:rPr>
        <w:t>3</w:t>
      </w:r>
      <w:r w:rsidR="00F9306A">
        <w:rPr>
          <w:rFonts w:cs="Times New Roman"/>
          <w:szCs w:val="24"/>
        </w:rPr>
        <w:t>X</w:t>
      </w:r>
      <w:r w:rsidR="00F9306A">
        <w:rPr>
          <w:rFonts w:cs="Times New Roman"/>
          <w:szCs w:val="24"/>
          <w:vertAlign w:val="subscript"/>
        </w:rPr>
        <w:t>3</w:t>
      </w:r>
      <w:r w:rsidR="00B56A82">
        <w:rPr>
          <w:rFonts w:cs="Times New Roman"/>
          <w:szCs w:val="24"/>
        </w:rPr>
        <w:t xml:space="preserve"> </w:t>
      </w:r>
    </w:p>
    <w:p w14:paraId="34804FC6" w14:textId="41E9965C" w:rsidR="0032084A" w:rsidRPr="00832046" w:rsidRDefault="00832046" w:rsidP="00832046">
      <w:pPr>
        <w:pStyle w:val="ListParagraph"/>
        <w:spacing w:line="480" w:lineRule="auto"/>
        <w:ind w:left="851" w:firstLine="589"/>
        <w:rPr>
          <w:rFonts w:cs="Times New Roman"/>
          <w:szCs w:val="24"/>
        </w:rPr>
      </w:pPr>
      <w:r>
        <w:rPr>
          <w:rFonts w:cs="Times New Roman"/>
          <w:szCs w:val="24"/>
        </w:rPr>
        <w:t xml:space="preserve">Apabila persamaan tersebut disesuaikan dengan variabel penelitian, maka dapat ditulis dengan: </w:t>
      </w:r>
    </w:p>
    <w:p w14:paraId="1F5E03BD" w14:textId="1C645DB7" w:rsidR="000813B3" w:rsidRPr="00832046" w:rsidRDefault="005D0426" w:rsidP="000813B3">
      <w:pPr>
        <w:pStyle w:val="ListParagraph"/>
        <w:spacing w:line="480" w:lineRule="auto"/>
        <w:ind w:left="851"/>
        <w:rPr>
          <w:rFonts w:cs="Times New Roman"/>
          <w:szCs w:val="24"/>
        </w:rPr>
      </w:pPr>
      <w:r>
        <w:rPr>
          <w:rFonts w:cs="Times New Roman"/>
          <w:szCs w:val="24"/>
        </w:rPr>
        <w:lastRenderedPageBreak/>
        <w:t>SR</w:t>
      </w:r>
      <w:r w:rsidR="00B56A82">
        <w:rPr>
          <w:rFonts w:cs="Times New Roman"/>
          <w:szCs w:val="24"/>
        </w:rPr>
        <w:t xml:space="preserve"> = 0,136 + 0,011</w:t>
      </w:r>
      <w:r w:rsidR="000813B3">
        <w:rPr>
          <w:rFonts w:cs="Times New Roman"/>
          <w:szCs w:val="24"/>
          <w:vertAlign w:val="subscript"/>
        </w:rPr>
        <w:t xml:space="preserve"> </w:t>
      </w:r>
      <w:r w:rsidR="00B56A82">
        <w:rPr>
          <w:rFonts w:cs="Times New Roman"/>
          <w:i/>
          <w:szCs w:val="24"/>
        </w:rPr>
        <w:t>Lev</w:t>
      </w:r>
      <w:r w:rsidR="000813B3" w:rsidRPr="00832046">
        <w:rPr>
          <w:rFonts w:cs="Times New Roman"/>
          <w:i/>
          <w:szCs w:val="24"/>
          <w:vertAlign w:val="subscript"/>
        </w:rPr>
        <w:t xml:space="preserve"> </w:t>
      </w:r>
      <w:r w:rsidR="00B56A82">
        <w:rPr>
          <w:rFonts w:cs="Times New Roman"/>
          <w:szCs w:val="24"/>
        </w:rPr>
        <w:t>+ 4.511 Likuid + 0,005</w:t>
      </w:r>
      <w:r w:rsidR="000813B3" w:rsidRPr="00832046">
        <w:rPr>
          <w:rFonts w:cs="Times New Roman"/>
          <w:i/>
          <w:szCs w:val="24"/>
        </w:rPr>
        <w:t xml:space="preserve"> Size</w:t>
      </w:r>
      <w:r w:rsidR="000813B3">
        <w:rPr>
          <w:rFonts w:cs="Times New Roman"/>
          <w:szCs w:val="24"/>
          <w:vertAlign w:val="subscript"/>
        </w:rPr>
        <w:t xml:space="preserve"> </w:t>
      </w:r>
    </w:p>
    <w:p w14:paraId="54F1FF01" w14:textId="18D6A8CB" w:rsidR="005D263C" w:rsidRPr="00C77BC9" w:rsidRDefault="00C77BC9" w:rsidP="005075E2">
      <w:pPr>
        <w:pStyle w:val="Caption"/>
        <w:ind w:left="284"/>
        <w:jc w:val="center"/>
        <w:rPr>
          <w:rFonts w:cs="Times New Roman"/>
          <w:color w:val="auto"/>
          <w:sz w:val="24"/>
          <w:szCs w:val="24"/>
        </w:rPr>
      </w:pPr>
      <w:bookmarkStart w:id="34" w:name="_Toc168999384"/>
      <w:r w:rsidRPr="00C77BC9">
        <w:rPr>
          <w:color w:val="auto"/>
          <w:sz w:val="24"/>
          <w:szCs w:val="24"/>
        </w:rPr>
        <w:t xml:space="preserve">Tabel.  </w:t>
      </w:r>
      <w:r w:rsidRPr="00C77BC9">
        <w:rPr>
          <w:color w:val="auto"/>
          <w:sz w:val="24"/>
          <w:szCs w:val="24"/>
        </w:rPr>
        <w:fldChar w:fldCharType="begin"/>
      </w:r>
      <w:r w:rsidRPr="00C77BC9">
        <w:rPr>
          <w:color w:val="auto"/>
          <w:sz w:val="24"/>
          <w:szCs w:val="24"/>
        </w:rPr>
        <w:instrText xml:space="preserve"> SEQ Tabel._ \* ARABIC </w:instrText>
      </w:r>
      <w:r w:rsidRPr="00C77BC9">
        <w:rPr>
          <w:color w:val="auto"/>
          <w:sz w:val="24"/>
          <w:szCs w:val="24"/>
        </w:rPr>
        <w:fldChar w:fldCharType="separate"/>
      </w:r>
      <w:r w:rsidR="0017483D">
        <w:rPr>
          <w:noProof/>
          <w:color w:val="auto"/>
          <w:sz w:val="24"/>
          <w:szCs w:val="24"/>
        </w:rPr>
        <w:t>20</w:t>
      </w:r>
      <w:r w:rsidRPr="00C77BC9">
        <w:rPr>
          <w:color w:val="auto"/>
          <w:sz w:val="24"/>
          <w:szCs w:val="24"/>
        </w:rPr>
        <w:fldChar w:fldCharType="end"/>
      </w:r>
      <w:r w:rsidRPr="00C77BC9">
        <w:rPr>
          <w:color w:val="auto"/>
          <w:sz w:val="24"/>
          <w:szCs w:val="24"/>
          <w:lang w:val="en-US"/>
        </w:rPr>
        <w:t xml:space="preserve"> Analisis Regresi Linier Berganda</w:t>
      </w:r>
      <w:bookmarkEnd w:id="34"/>
    </w:p>
    <w:tbl>
      <w:tblPr>
        <w:tblpPr w:leftFromText="180" w:rightFromText="180" w:vertAnchor="text" w:horzAnchor="page" w:tblpX="3151" w:tblpY="32"/>
        <w:tblW w:w="6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
        <w:gridCol w:w="1184"/>
        <w:gridCol w:w="1058"/>
        <w:gridCol w:w="1134"/>
        <w:gridCol w:w="1276"/>
        <w:gridCol w:w="992"/>
        <w:gridCol w:w="992"/>
      </w:tblGrid>
      <w:tr w:rsidR="006D54B8" w:rsidRPr="006D54B8" w14:paraId="2D89093F" w14:textId="77777777" w:rsidTr="006D54B8">
        <w:trPr>
          <w:cantSplit/>
        </w:trPr>
        <w:tc>
          <w:tcPr>
            <w:tcW w:w="6946" w:type="dxa"/>
            <w:gridSpan w:val="7"/>
            <w:tcBorders>
              <w:top w:val="nil"/>
              <w:left w:val="nil"/>
              <w:bottom w:val="nil"/>
              <w:right w:val="nil"/>
            </w:tcBorders>
            <w:shd w:val="clear" w:color="auto" w:fill="FFFFFF"/>
            <w:vAlign w:val="center"/>
          </w:tcPr>
          <w:p w14:paraId="2391DAF1" w14:textId="77777777" w:rsidR="006D54B8" w:rsidRPr="006D54B8" w:rsidRDefault="006D54B8" w:rsidP="006D54B8">
            <w:pPr>
              <w:autoSpaceDE w:val="0"/>
              <w:autoSpaceDN w:val="0"/>
              <w:adjustRightInd w:val="0"/>
              <w:spacing w:after="0" w:line="320" w:lineRule="atLeast"/>
              <w:ind w:left="60" w:right="60"/>
              <w:jc w:val="center"/>
              <w:rPr>
                <w:rFonts w:cs="Times New Roman"/>
                <w:color w:val="010205"/>
                <w:sz w:val="22"/>
              </w:rPr>
            </w:pPr>
            <w:r w:rsidRPr="006D54B8">
              <w:rPr>
                <w:rFonts w:cs="Times New Roman"/>
                <w:b/>
                <w:bCs/>
                <w:color w:val="010205"/>
                <w:sz w:val="22"/>
              </w:rPr>
              <w:t>Coefficients</w:t>
            </w:r>
            <w:r w:rsidRPr="006D54B8">
              <w:rPr>
                <w:rFonts w:cs="Times New Roman"/>
                <w:b/>
                <w:bCs/>
                <w:color w:val="010205"/>
                <w:sz w:val="22"/>
                <w:vertAlign w:val="superscript"/>
              </w:rPr>
              <w:t>a</w:t>
            </w:r>
          </w:p>
        </w:tc>
      </w:tr>
      <w:tr w:rsidR="006D54B8" w:rsidRPr="006D54B8" w14:paraId="7F0750BF" w14:textId="77777777" w:rsidTr="006D54B8">
        <w:trPr>
          <w:cantSplit/>
        </w:trPr>
        <w:tc>
          <w:tcPr>
            <w:tcW w:w="1494" w:type="dxa"/>
            <w:gridSpan w:val="2"/>
            <w:vMerge w:val="restart"/>
            <w:tcBorders>
              <w:top w:val="nil"/>
              <w:left w:val="nil"/>
              <w:bottom w:val="nil"/>
              <w:right w:val="nil"/>
            </w:tcBorders>
            <w:shd w:val="clear" w:color="auto" w:fill="FFFFFF"/>
            <w:vAlign w:val="bottom"/>
          </w:tcPr>
          <w:p w14:paraId="7D348A7A" w14:textId="77777777" w:rsidR="006D54B8" w:rsidRPr="006D54B8" w:rsidRDefault="006D54B8" w:rsidP="006D54B8">
            <w:pPr>
              <w:autoSpaceDE w:val="0"/>
              <w:autoSpaceDN w:val="0"/>
              <w:adjustRightInd w:val="0"/>
              <w:spacing w:after="0" w:line="320" w:lineRule="atLeast"/>
              <w:ind w:left="60" w:right="60"/>
              <w:jc w:val="left"/>
              <w:rPr>
                <w:rFonts w:cs="Times New Roman"/>
                <w:color w:val="264A60"/>
                <w:sz w:val="20"/>
                <w:szCs w:val="20"/>
              </w:rPr>
            </w:pPr>
            <w:r w:rsidRPr="006D54B8">
              <w:rPr>
                <w:rFonts w:cs="Times New Roman"/>
                <w:color w:val="264A60"/>
                <w:sz w:val="20"/>
                <w:szCs w:val="20"/>
              </w:rPr>
              <w:t>Model</w:t>
            </w:r>
          </w:p>
        </w:tc>
        <w:tc>
          <w:tcPr>
            <w:tcW w:w="2192" w:type="dxa"/>
            <w:gridSpan w:val="2"/>
            <w:tcBorders>
              <w:top w:val="nil"/>
              <w:left w:val="nil"/>
              <w:bottom w:val="nil"/>
              <w:right w:val="single" w:sz="8" w:space="0" w:color="E0E0E0"/>
            </w:tcBorders>
            <w:shd w:val="clear" w:color="auto" w:fill="FFFFFF"/>
            <w:vAlign w:val="bottom"/>
          </w:tcPr>
          <w:p w14:paraId="63B16D4B" w14:textId="77777777" w:rsidR="006D54B8" w:rsidRPr="006D54B8" w:rsidRDefault="006D54B8" w:rsidP="006D54B8">
            <w:pPr>
              <w:autoSpaceDE w:val="0"/>
              <w:autoSpaceDN w:val="0"/>
              <w:adjustRightInd w:val="0"/>
              <w:spacing w:after="0" w:line="320" w:lineRule="atLeast"/>
              <w:ind w:left="60" w:right="60"/>
              <w:jc w:val="center"/>
              <w:rPr>
                <w:rFonts w:cs="Times New Roman"/>
                <w:color w:val="264A60"/>
                <w:sz w:val="20"/>
                <w:szCs w:val="20"/>
              </w:rPr>
            </w:pPr>
            <w:r w:rsidRPr="006D54B8">
              <w:rPr>
                <w:rFonts w:cs="Times New Roman"/>
                <w:color w:val="264A60"/>
                <w:sz w:val="20"/>
                <w:szCs w:val="20"/>
              </w:rPr>
              <w:t>Unstandardized Coefficients</w:t>
            </w:r>
          </w:p>
        </w:tc>
        <w:tc>
          <w:tcPr>
            <w:tcW w:w="1276" w:type="dxa"/>
            <w:tcBorders>
              <w:top w:val="nil"/>
              <w:left w:val="single" w:sz="8" w:space="0" w:color="E0E0E0"/>
              <w:bottom w:val="nil"/>
              <w:right w:val="single" w:sz="8" w:space="0" w:color="E0E0E0"/>
            </w:tcBorders>
            <w:shd w:val="clear" w:color="auto" w:fill="FFFFFF"/>
            <w:vAlign w:val="bottom"/>
          </w:tcPr>
          <w:p w14:paraId="28BAC391" w14:textId="77777777" w:rsidR="006D54B8" w:rsidRPr="006D54B8" w:rsidRDefault="006D54B8" w:rsidP="006D54B8">
            <w:pPr>
              <w:autoSpaceDE w:val="0"/>
              <w:autoSpaceDN w:val="0"/>
              <w:adjustRightInd w:val="0"/>
              <w:spacing w:after="0" w:line="320" w:lineRule="atLeast"/>
              <w:ind w:left="60" w:right="60"/>
              <w:jc w:val="center"/>
              <w:rPr>
                <w:rFonts w:cs="Times New Roman"/>
                <w:color w:val="264A60"/>
                <w:sz w:val="20"/>
                <w:szCs w:val="20"/>
              </w:rPr>
            </w:pPr>
            <w:r w:rsidRPr="006D54B8">
              <w:rPr>
                <w:rFonts w:cs="Times New Roman"/>
                <w:color w:val="264A60"/>
                <w:sz w:val="20"/>
                <w:szCs w:val="20"/>
              </w:rPr>
              <w:t>Standardized Coefficients</w:t>
            </w:r>
          </w:p>
        </w:tc>
        <w:tc>
          <w:tcPr>
            <w:tcW w:w="992" w:type="dxa"/>
            <w:vMerge w:val="restart"/>
            <w:tcBorders>
              <w:top w:val="nil"/>
              <w:left w:val="single" w:sz="8" w:space="0" w:color="E0E0E0"/>
              <w:bottom w:val="nil"/>
              <w:right w:val="single" w:sz="8" w:space="0" w:color="E0E0E0"/>
            </w:tcBorders>
            <w:shd w:val="clear" w:color="auto" w:fill="FFFFFF"/>
            <w:vAlign w:val="bottom"/>
          </w:tcPr>
          <w:p w14:paraId="1FED6C0B" w14:textId="77777777" w:rsidR="006D54B8" w:rsidRPr="006D54B8" w:rsidRDefault="006D54B8" w:rsidP="006D54B8">
            <w:pPr>
              <w:autoSpaceDE w:val="0"/>
              <w:autoSpaceDN w:val="0"/>
              <w:adjustRightInd w:val="0"/>
              <w:spacing w:after="0" w:line="320" w:lineRule="atLeast"/>
              <w:ind w:left="60" w:right="60"/>
              <w:jc w:val="center"/>
              <w:rPr>
                <w:rFonts w:cs="Times New Roman"/>
                <w:color w:val="264A60"/>
                <w:sz w:val="20"/>
                <w:szCs w:val="20"/>
              </w:rPr>
            </w:pPr>
            <w:r w:rsidRPr="006D54B8">
              <w:rPr>
                <w:rFonts w:cs="Times New Roman"/>
                <w:color w:val="264A60"/>
                <w:sz w:val="20"/>
                <w:szCs w:val="20"/>
              </w:rPr>
              <w:t>t</w:t>
            </w:r>
          </w:p>
        </w:tc>
        <w:tc>
          <w:tcPr>
            <w:tcW w:w="992" w:type="dxa"/>
            <w:vMerge w:val="restart"/>
            <w:tcBorders>
              <w:top w:val="nil"/>
              <w:left w:val="single" w:sz="8" w:space="0" w:color="E0E0E0"/>
              <w:bottom w:val="nil"/>
              <w:right w:val="nil"/>
            </w:tcBorders>
            <w:shd w:val="clear" w:color="auto" w:fill="FFFFFF"/>
            <w:vAlign w:val="bottom"/>
          </w:tcPr>
          <w:p w14:paraId="725697B8" w14:textId="77777777" w:rsidR="006D54B8" w:rsidRPr="006D54B8" w:rsidRDefault="006D54B8" w:rsidP="006D54B8">
            <w:pPr>
              <w:autoSpaceDE w:val="0"/>
              <w:autoSpaceDN w:val="0"/>
              <w:adjustRightInd w:val="0"/>
              <w:spacing w:after="0" w:line="320" w:lineRule="atLeast"/>
              <w:ind w:left="60" w:right="60"/>
              <w:jc w:val="center"/>
              <w:rPr>
                <w:rFonts w:cs="Times New Roman"/>
                <w:color w:val="264A60"/>
                <w:sz w:val="20"/>
                <w:szCs w:val="20"/>
              </w:rPr>
            </w:pPr>
            <w:r w:rsidRPr="006D54B8">
              <w:rPr>
                <w:rFonts w:cs="Times New Roman"/>
                <w:color w:val="264A60"/>
                <w:sz w:val="20"/>
                <w:szCs w:val="20"/>
              </w:rPr>
              <w:t>Sig.</w:t>
            </w:r>
          </w:p>
        </w:tc>
      </w:tr>
      <w:tr w:rsidR="006D54B8" w:rsidRPr="006D54B8" w14:paraId="2C8FAEC5" w14:textId="77777777" w:rsidTr="006D54B8">
        <w:trPr>
          <w:cantSplit/>
        </w:trPr>
        <w:tc>
          <w:tcPr>
            <w:tcW w:w="1494" w:type="dxa"/>
            <w:gridSpan w:val="2"/>
            <w:vMerge/>
            <w:tcBorders>
              <w:top w:val="nil"/>
              <w:left w:val="nil"/>
              <w:bottom w:val="nil"/>
              <w:right w:val="nil"/>
            </w:tcBorders>
            <w:shd w:val="clear" w:color="auto" w:fill="FFFFFF"/>
            <w:vAlign w:val="bottom"/>
          </w:tcPr>
          <w:p w14:paraId="56B1A699" w14:textId="77777777" w:rsidR="006D54B8" w:rsidRPr="006D54B8" w:rsidRDefault="006D54B8" w:rsidP="006D54B8">
            <w:pPr>
              <w:autoSpaceDE w:val="0"/>
              <w:autoSpaceDN w:val="0"/>
              <w:adjustRightInd w:val="0"/>
              <w:spacing w:after="0" w:line="240" w:lineRule="auto"/>
              <w:jc w:val="left"/>
              <w:rPr>
                <w:rFonts w:cs="Times New Roman"/>
                <w:color w:val="264A60"/>
                <w:sz w:val="20"/>
                <w:szCs w:val="20"/>
              </w:rPr>
            </w:pPr>
          </w:p>
        </w:tc>
        <w:tc>
          <w:tcPr>
            <w:tcW w:w="1058" w:type="dxa"/>
            <w:tcBorders>
              <w:top w:val="nil"/>
              <w:left w:val="nil"/>
              <w:bottom w:val="single" w:sz="8" w:space="0" w:color="152935"/>
              <w:right w:val="single" w:sz="8" w:space="0" w:color="E0E0E0"/>
            </w:tcBorders>
            <w:shd w:val="clear" w:color="auto" w:fill="FFFFFF"/>
            <w:vAlign w:val="bottom"/>
          </w:tcPr>
          <w:p w14:paraId="7851151E" w14:textId="77777777" w:rsidR="006D54B8" w:rsidRPr="006D54B8" w:rsidRDefault="006D54B8" w:rsidP="006D54B8">
            <w:pPr>
              <w:autoSpaceDE w:val="0"/>
              <w:autoSpaceDN w:val="0"/>
              <w:adjustRightInd w:val="0"/>
              <w:spacing w:after="0" w:line="320" w:lineRule="atLeast"/>
              <w:ind w:left="60" w:right="60"/>
              <w:jc w:val="center"/>
              <w:rPr>
                <w:rFonts w:cs="Times New Roman"/>
                <w:color w:val="264A60"/>
                <w:sz w:val="20"/>
                <w:szCs w:val="20"/>
              </w:rPr>
            </w:pPr>
            <w:r w:rsidRPr="006D54B8">
              <w:rPr>
                <w:rFonts w:cs="Times New Roman"/>
                <w:color w:val="264A60"/>
                <w:sz w:val="20"/>
                <w:szCs w:val="20"/>
              </w:rPr>
              <w:t>B</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59A4226C" w14:textId="77777777" w:rsidR="006D54B8" w:rsidRPr="006D54B8" w:rsidRDefault="006D54B8" w:rsidP="006D54B8">
            <w:pPr>
              <w:autoSpaceDE w:val="0"/>
              <w:autoSpaceDN w:val="0"/>
              <w:adjustRightInd w:val="0"/>
              <w:spacing w:after="0" w:line="320" w:lineRule="atLeast"/>
              <w:ind w:left="60" w:right="60"/>
              <w:jc w:val="center"/>
              <w:rPr>
                <w:rFonts w:cs="Times New Roman"/>
                <w:color w:val="264A60"/>
                <w:sz w:val="20"/>
                <w:szCs w:val="20"/>
              </w:rPr>
            </w:pPr>
            <w:r w:rsidRPr="006D54B8">
              <w:rPr>
                <w:rFonts w:cs="Times New Roman"/>
                <w:color w:val="264A60"/>
                <w:sz w:val="20"/>
                <w:szCs w:val="20"/>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08C97343" w14:textId="77777777" w:rsidR="006D54B8" w:rsidRPr="006D54B8" w:rsidRDefault="006D54B8" w:rsidP="006D54B8">
            <w:pPr>
              <w:autoSpaceDE w:val="0"/>
              <w:autoSpaceDN w:val="0"/>
              <w:adjustRightInd w:val="0"/>
              <w:spacing w:after="0" w:line="320" w:lineRule="atLeast"/>
              <w:ind w:left="60" w:right="60"/>
              <w:jc w:val="center"/>
              <w:rPr>
                <w:rFonts w:cs="Times New Roman"/>
                <w:color w:val="264A60"/>
                <w:sz w:val="20"/>
                <w:szCs w:val="20"/>
              </w:rPr>
            </w:pPr>
            <w:r w:rsidRPr="006D54B8">
              <w:rPr>
                <w:rFonts w:cs="Times New Roman"/>
                <w:color w:val="264A60"/>
                <w:sz w:val="20"/>
                <w:szCs w:val="20"/>
              </w:rPr>
              <w:t>Beta</w:t>
            </w:r>
          </w:p>
        </w:tc>
        <w:tc>
          <w:tcPr>
            <w:tcW w:w="992" w:type="dxa"/>
            <w:vMerge/>
            <w:tcBorders>
              <w:top w:val="nil"/>
              <w:left w:val="single" w:sz="8" w:space="0" w:color="E0E0E0"/>
              <w:bottom w:val="nil"/>
              <w:right w:val="single" w:sz="8" w:space="0" w:color="E0E0E0"/>
            </w:tcBorders>
            <w:shd w:val="clear" w:color="auto" w:fill="FFFFFF"/>
            <w:vAlign w:val="bottom"/>
          </w:tcPr>
          <w:p w14:paraId="335785A4" w14:textId="77777777" w:rsidR="006D54B8" w:rsidRPr="006D54B8" w:rsidRDefault="006D54B8" w:rsidP="006D54B8">
            <w:pPr>
              <w:autoSpaceDE w:val="0"/>
              <w:autoSpaceDN w:val="0"/>
              <w:adjustRightInd w:val="0"/>
              <w:spacing w:after="0" w:line="240" w:lineRule="auto"/>
              <w:jc w:val="left"/>
              <w:rPr>
                <w:rFonts w:cs="Times New Roman"/>
                <w:color w:val="264A60"/>
                <w:sz w:val="20"/>
                <w:szCs w:val="20"/>
              </w:rPr>
            </w:pPr>
          </w:p>
        </w:tc>
        <w:tc>
          <w:tcPr>
            <w:tcW w:w="992" w:type="dxa"/>
            <w:vMerge/>
            <w:tcBorders>
              <w:top w:val="nil"/>
              <w:left w:val="single" w:sz="8" w:space="0" w:color="E0E0E0"/>
              <w:bottom w:val="nil"/>
              <w:right w:val="nil"/>
            </w:tcBorders>
            <w:shd w:val="clear" w:color="auto" w:fill="FFFFFF"/>
            <w:vAlign w:val="bottom"/>
          </w:tcPr>
          <w:p w14:paraId="3FAEB62D" w14:textId="77777777" w:rsidR="006D54B8" w:rsidRPr="006D54B8" w:rsidRDefault="006D54B8" w:rsidP="006D54B8">
            <w:pPr>
              <w:autoSpaceDE w:val="0"/>
              <w:autoSpaceDN w:val="0"/>
              <w:adjustRightInd w:val="0"/>
              <w:spacing w:after="0" w:line="240" w:lineRule="auto"/>
              <w:jc w:val="left"/>
              <w:rPr>
                <w:rFonts w:cs="Times New Roman"/>
                <w:color w:val="264A60"/>
                <w:sz w:val="20"/>
                <w:szCs w:val="20"/>
              </w:rPr>
            </w:pPr>
          </w:p>
        </w:tc>
      </w:tr>
      <w:tr w:rsidR="006D54B8" w:rsidRPr="006D54B8" w14:paraId="70E7FAA0" w14:textId="77777777" w:rsidTr="006D54B8">
        <w:trPr>
          <w:cantSplit/>
        </w:trPr>
        <w:tc>
          <w:tcPr>
            <w:tcW w:w="310" w:type="dxa"/>
            <w:vMerge w:val="restart"/>
            <w:tcBorders>
              <w:top w:val="single" w:sz="8" w:space="0" w:color="152935"/>
              <w:left w:val="nil"/>
              <w:bottom w:val="single" w:sz="8" w:space="0" w:color="152935"/>
              <w:right w:val="nil"/>
            </w:tcBorders>
            <w:shd w:val="clear" w:color="auto" w:fill="E0E0E0"/>
          </w:tcPr>
          <w:p w14:paraId="1F308DEA" w14:textId="77777777" w:rsidR="006D54B8" w:rsidRPr="006D54B8" w:rsidRDefault="006D54B8" w:rsidP="006D54B8">
            <w:pPr>
              <w:autoSpaceDE w:val="0"/>
              <w:autoSpaceDN w:val="0"/>
              <w:adjustRightInd w:val="0"/>
              <w:spacing w:after="0" w:line="320" w:lineRule="atLeast"/>
              <w:ind w:left="60" w:right="60"/>
              <w:jc w:val="left"/>
              <w:rPr>
                <w:rFonts w:ascii="Arial" w:hAnsi="Arial" w:cs="Arial"/>
                <w:color w:val="264A60"/>
                <w:sz w:val="18"/>
                <w:szCs w:val="18"/>
              </w:rPr>
            </w:pPr>
            <w:r w:rsidRPr="006D54B8">
              <w:rPr>
                <w:rFonts w:ascii="Arial" w:hAnsi="Arial" w:cs="Arial"/>
                <w:color w:val="264A60"/>
                <w:sz w:val="18"/>
                <w:szCs w:val="18"/>
              </w:rPr>
              <w:t>1</w:t>
            </w:r>
          </w:p>
        </w:tc>
        <w:tc>
          <w:tcPr>
            <w:tcW w:w="1184" w:type="dxa"/>
            <w:tcBorders>
              <w:top w:val="single" w:sz="8" w:space="0" w:color="152935"/>
              <w:left w:val="nil"/>
              <w:bottom w:val="single" w:sz="8" w:space="0" w:color="AEAEAE"/>
              <w:right w:val="nil"/>
            </w:tcBorders>
            <w:shd w:val="clear" w:color="auto" w:fill="E0E0E0"/>
          </w:tcPr>
          <w:p w14:paraId="24C11563" w14:textId="77777777" w:rsidR="006D54B8" w:rsidRPr="006D54B8" w:rsidRDefault="006D54B8" w:rsidP="006D54B8">
            <w:pPr>
              <w:autoSpaceDE w:val="0"/>
              <w:autoSpaceDN w:val="0"/>
              <w:adjustRightInd w:val="0"/>
              <w:spacing w:after="0" w:line="320" w:lineRule="atLeast"/>
              <w:ind w:left="60" w:right="60"/>
              <w:jc w:val="left"/>
              <w:rPr>
                <w:rFonts w:cs="Times New Roman"/>
                <w:color w:val="264A60"/>
                <w:sz w:val="20"/>
                <w:szCs w:val="20"/>
              </w:rPr>
            </w:pPr>
            <w:r w:rsidRPr="006D54B8">
              <w:rPr>
                <w:rFonts w:cs="Times New Roman"/>
                <w:color w:val="264A60"/>
                <w:sz w:val="20"/>
                <w:szCs w:val="20"/>
              </w:rPr>
              <w:t>(Constant)</w:t>
            </w:r>
          </w:p>
        </w:tc>
        <w:tc>
          <w:tcPr>
            <w:tcW w:w="1058" w:type="dxa"/>
            <w:tcBorders>
              <w:top w:val="single" w:sz="8" w:space="0" w:color="152935"/>
              <w:left w:val="nil"/>
              <w:bottom w:val="single" w:sz="8" w:space="0" w:color="AEAEAE"/>
              <w:right w:val="single" w:sz="8" w:space="0" w:color="E0E0E0"/>
            </w:tcBorders>
            <w:shd w:val="clear" w:color="auto" w:fill="FFFFFF"/>
          </w:tcPr>
          <w:p w14:paraId="1E5E4677" w14:textId="77777777" w:rsidR="006D54B8" w:rsidRPr="006D54B8" w:rsidRDefault="006D54B8" w:rsidP="006D54B8">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.136</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21C2125B" w14:textId="77777777" w:rsidR="006D54B8" w:rsidRPr="006D54B8" w:rsidRDefault="006D54B8" w:rsidP="006D54B8">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.069</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D46FFB5" w14:textId="77777777" w:rsidR="006D54B8" w:rsidRPr="006D54B8" w:rsidRDefault="006D54B8" w:rsidP="006D54B8">
            <w:pPr>
              <w:autoSpaceDE w:val="0"/>
              <w:autoSpaceDN w:val="0"/>
              <w:adjustRightInd w:val="0"/>
              <w:spacing w:after="0" w:line="240" w:lineRule="auto"/>
              <w:jc w:val="left"/>
              <w:rPr>
                <w:rFonts w:cs="Times New Roman"/>
                <w:sz w:val="20"/>
                <w:szCs w:val="20"/>
              </w:rPr>
            </w:pP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17CC83A5" w14:textId="77777777" w:rsidR="006D54B8" w:rsidRPr="006D54B8" w:rsidRDefault="006D54B8" w:rsidP="006D54B8">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1.980</w:t>
            </w:r>
          </w:p>
        </w:tc>
        <w:tc>
          <w:tcPr>
            <w:tcW w:w="992" w:type="dxa"/>
            <w:tcBorders>
              <w:top w:val="single" w:sz="8" w:space="0" w:color="152935"/>
              <w:left w:val="single" w:sz="8" w:space="0" w:color="E0E0E0"/>
              <w:bottom w:val="single" w:sz="8" w:space="0" w:color="AEAEAE"/>
              <w:right w:val="nil"/>
            </w:tcBorders>
            <w:shd w:val="clear" w:color="auto" w:fill="FFFFFF"/>
          </w:tcPr>
          <w:p w14:paraId="1BE30FF5" w14:textId="77777777" w:rsidR="006D54B8" w:rsidRPr="006D54B8" w:rsidRDefault="006D54B8" w:rsidP="006D54B8">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.053</w:t>
            </w:r>
          </w:p>
        </w:tc>
      </w:tr>
      <w:tr w:rsidR="006D54B8" w:rsidRPr="006D54B8" w14:paraId="286AA147" w14:textId="77777777" w:rsidTr="006D54B8">
        <w:trPr>
          <w:cantSplit/>
        </w:trPr>
        <w:tc>
          <w:tcPr>
            <w:tcW w:w="310" w:type="dxa"/>
            <w:vMerge/>
            <w:tcBorders>
              <w:top w:val="single" w:sz="8" w:space="0" w:color="152935"/>
              <w:left w:val="nil"/>
              <w:bottom w:val="single" w:sz="8" w:space="0" w:color="152935"/>
              <w:right w:val="nil"/>
            </w:tcBorders>
            <w:shd w:val="clear" w:color="auto" w:fill="E0E0E0"/>
          </w:tcPr>
          <w:p w14:paraId="0E86B70D" w14:textId="77777777" w:rsidR="006D54B8" w:rsidRPr="006D54B8" w:rsidRDefault="006D54B8" w:rsidP="006D54B8">
            <w:pPr>
              <w:autoSpaceDE w:val="0"/>
              <w:autoSpaceDN w:val="0"/>
              <w:adjustRightInd w:val="0"/>
              <w:spacing w:after="0" w:line="240" w:lineRule="auto"/>
              <w:jc w:val="left"/>
              <w:rPr>
                <w:rFonts w:ascii="Arial" w:hAnsi="Arial" w:cs="Arial"/>
                <w:color w:val="010205"/>
                <w:sz w:val="18"/>
                <w:szCs w:val="18"/>
              </w:rPr>
            </w:pPr>
          </w:p>
        </w:tc>
        <w:tc>
          <w:tcPr>
            <w:tcW w:w="1184" w:type="dxa"/>
            <w:tcBorders>
              <w:top w:val="single" w:sz="8" w:space="0" w:color="AEAEAE"/>
              <w:left w:val="nil"/>
              <w:bottom w:val="single" w:sz="8" w:space="0" w:color="AEAEAE"/>
              <w:right w:val="nil"/>
            </w:tcBorders>
            <w:shd w:val="clear" w:color="auto" w:fill="E0E0E0"/>
          </w:tcPr>
          <w:p w14:paraId="612928FD" w14:textId="77777777" w:rsidR="006D54B8" w:rsidRPr="006D54B8" w:rsidRDefault="006D54B8" w:rsidP="006D54B8">
            <w:pPr>
              <w:autoSpaceDE w:val="0"/>
              <w:autoSpaceDN w:val="0"/>
              <w:adjustRightInd w:val="0"/>
              <w:spacing w:after="0" w:line="320" w:lineRule="atLeast"/>
              <w:ind w:left="60" w:right="60"/>
              <w:jc w:val="left"/>
              <w:rPr>
                <w:rFonts w:cs="Times New Roman"/>
                <w:color w:val="264A60"/>
                <w:sz w:val="20"/>
                <w:szCs w:val="20"/>
              </w:rPr>
            </w:pPr>
            <w:r w:rsidRPr="006D54B8">
              <w:rPr>
                <w:rFonts w:cs="Times New Roman"/>
                <w:color w:val="264A60"/>
                <w:sz w:val="20"/>
                <w:szCs w:val="20"/>
              </w:rPr>
              <w:t>Leverage</w:t>
            </w:r>
          </w:p>
        </w:tc>
        <w:tc>
          <w:tcPr>
            <w:tcW w:w="1058" w:type="dxa"/>
            <w:tcBorders>
              <w:top w:val="single" w:sz="8" w:space="0" w:color="AEAEAE"/>
              <w:left w:val="nil"/>
              <w:bottom w:val="single" w:sz="8" w:space="0" w:color="AEAEAE"/>
              <w:right w:val="single" w:sz="8" w:space="0" w:color="E0E0E0"/>
            </w:tcBorders>
            <w:shd w:val="clear" w:color="auto" w:fill="FFFFFF"/>
          </w:tcPr>
          <w:p w14:paraId="031665C1" w14:textId="77777777" w:rsidR="006D54B8" w:rsidRPr="006D54B8" w:rsidRDefault="006D54B8" w:rsidP="006D54B8">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.011</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0D4A498D" w14:textId="77777777" w:rsidR="006D54B8" w:rsidRPr="006D54B8" w:rsidRDefault="006D54B8" w:rsidP="006D54B8">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.005</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75F44EAF" w14:textId="77777777" w:rsidR="006D54B8" w:rsidRPr="006D54B8" w:rsidRDefault="006D54B8" w:rsidP="006D54B8">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.281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387B83B4" w14:textId="77777777" w:rsidR="006D54B8" w:rsidRPr="006D54B8" w:rsidRDefault="006D54B8" w:rsidP="006D54B8">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2.062</w:t>
            </w:r>
          </w:p>
        </w:tc>
        <w:tc>
          <w:tcPr>
            <w:tcW w:w="992" w:type="dxa"/>
            <w:tcBorders>
              <w:top w:val="single" w:sz="8" w:space="0" w:color="AEAEAE"/>
              <w:left w:val="single" w:sz="8" w:space="0" w:color="E0E0E0"/>
              <w:bottom w:val="single" w:sz="8" w:space="0" w:color="AEAEAE"/>
              <w:right w:val="nil"/>
            </w:tcBorders>
            <w:shd w:val="clear" w:color="auto" w:fill="FFFFFF"/>
          </w:tcPr>
          <w:p w14:paraId="75786FEC" w14:textId="77777777" w:rsidR="006D54B8" w:rsidRPr="006D54B8" w:rsidRDefault="006D54B8" w:rsidP="006D54B8">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.044</w:t>
            </w:r>
          </w:p>
        </w:tc>
      </w:tr>
      <w:tr w:rsidR="006D54B8" w:rsidRPr="006D54B8" w14:paraId="18AA77B7" w14:textId="77777777" w:rsidTr="006D54B8">
        <w:trPr>
          <w:cantSplit/>
        </w:trPr>
        <w:tc>
          <w:tcPr>
            <w:tcW w:w="310" w:type="dxa"/>
            <w:vMerge/>
            <w:tcBorders>
              <w:top w:val="single" w:sz="8" w:space="0" w:color="152935"/>
              <w:left w:val="nil"/>
              <w:bottom w:val="single" w:sz="8" w:space="0" w:color="152935"/>
              <w:right w:val="nil"/>
            </w:tcBorders>
            <w:shd w:val="clear" w:color="auto" w:fill="E0E0E0"/>
          </w:tcPr>
          <w:p w14:paraId="1DB9F40A" w14:textId="77777777" w:rsidR="006D54B8" w:rsidRPr="006D54B8" w:rsidRDefault="006D54B8" w:rsidP="006D54B8">
            <w:pPr>
              <w:autoSpaceDE w:val="0"/>
              <w:autoSpaceDN w:val="0"/>
              <w:adjustRightInd w:val="0"/>
              <w:spacing w:after="0" w:line="240" w:lineRule="auto"/>
              <w:jc w:val="left"/>
              <w:rPr>
                <w:rFonts w:ascii="Arial" w:hAnsi="Arial" w:cs="Arial"/>
                <w:color w:val="010205"/>
                <w:sz w:val="18"/>
                <w:szCs w:val="18"/>
              </w:rPr>
            </w:pPr>
          </w:p>
        </w:tc>
        <w:tc>
          <w:tcPr>
            <w:tcW w:w="1184" w:type="dxa"/>
            <w:tcBorders>
              <w:top w:val="single" w:sz="8" w:space="0" w:color="AEAEAE"/>
              <w:left w:val="nil"/>
              <w:bottom w:val="single" w:sz="8" w:space="0" w:color="AEAEAE"/>
              <w:right w:val="nil"/>
            </w:tcBorders>
            <w:shd w:val="clear" w:color="auto" w:fill="E0E0E0"/>
          </w:tcPr>
          <w:p w14:paraId="01D3F5E8" w14:textId="77777777" w:rsidR="006D54B8" w:rsidRPr="006D54B8" w:rsidRDefault="006D54B8" w:rsidP="006D54B8">
            <w:pPr>
              <w:autoSpaceDE w:val="0"/>
              <w:autoSpaceDN w:val="0"/>
              <w:adjustRightInd w:val="0"/>
              <w:spacing w:after="0" w:line="320" w:lineRule="atLeast"/>
              <w:ind w:left="60" w:right="60"/>
              <w:jc w:val="left"/>
              <w:rPr>
                <w:rFonts w:cs="Times New Roman"/>
                <w:color w:val="264A60"/>
                <w:sz w:val="20"/>
                <w:szCs w:val="20"/>
              </w:rPr>
            </w:pPr>
            <w:r w:rsidRPr="006D54B8">
              <w:rPr>
                <w:rFonts w:cs="Times New Roman"/>
                <w:color w:val="264A60"/>
                <w:sz w:val="20"/>
                <w:szCs w:val="20"/>
              </w:rPr>
              <w:t>Likuiditas</w:t>
            </w:r>
          </w:p>
        </w:tc>
        <w:tc>
          <w:tcPr>
            <w:tcW w:w="1058" w:type="dxa"/>
            <w:tcBorders>
              <w:top w:val="single" w:sz="8" w:space="0" w:color="AEAEAE"/>
              <w:left w:val="nil"/>
              <w:bottom w:val="single" w:sz="8" w:space="0" w:color="AEAEAE"/>
              <w:right w:val="single" w:sz="8" w:space="0" w:color="E0E0E0"/>
            </w:tcBorders>
            <w:shd w:val="clear" w:color="auto" w:fill="FFFFFF"/>
          </w:tcPr>
          <w:p w14:paraId="3B8D89B1" w14:textId="5C0C63E5" w:rsidR="006D54B8" w:rsidRPr="006D54B8" w:rsidRDefault="006D54B8" w:rsidP="006D54B8">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4.511</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3FE81EEC" w14:textId="77777777" w:rsidR="006D54B8" w:rsidRPr="006D54B8" w:rsidRDefault="006D54B8" w:rsidP="006D54B8">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.000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46F7297D" w14:textId="77777777" w:rsidR="006D54B8" w:rsidRPr="006D54B8" w:rsidRDefault="006D54B8" w:rsidP="006D54B8">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.032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12FF6D84" w14:textId="77777777" w:rsidR="006D54B8" w:rsidRPr="006D54B8" w:rsidRDefault="006D54B8" w:rsidP="006D54B8">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.154</w:t>
            </w:r>
          </w:p>
        </w:tc>
        <w:tc>
          <w:tcPr>
            <w:tcW w:w="992" w:type="dxa"/>
            <w:tcBorders>
              <w:top w:val="single" w:sz="8" w:space="0" w:color="AEAEAE"/>
              <w:left w:val="single" w:sz="8" w:space="0" w:color="E0E0E0"/>
              <w:bottom w:val="single" w:sz="8" w:space="0" w:color="AEAEAE"/>
              <w:right w:val="nil"/>
            </w:tcBorders>
            <w:shd w:val="clear" w:color="auto" w:fill="FFFFFF"/>
          </w:tcPr>
          <w:p w14:paraId="6C1910E8" w14:textId="77777777" w:rsidR="006D54B8" w:rsidRPr="006D54B8" w:rsidRDefault="006D54B8" w:rsidP="006D54B8">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.878</w:t>
            </w:r>
          </w:p>
        </w:tc>
      </w:tr>
      <w:tr w:rsidR="006D54B8" w:rsidRPr="006D54B8" w14:paraId="480E9856" w14:textId="77777777" w:rsidTr="006D54B8">
        <w:trPr>
          <w:cantSplit/>
        </w:trPr>
        <w:tc>
          <w:tcPr>
            <w:tcW w:w="310" w:type="dxa"/>
            <w:vMerge/>
            <w:tcBorders>
              <w:top w:val="single" w:sz="8" w:space="0" w:color="152935"/>
              <w:left w:val="nil"/>
              <w:bottom w:val="single" w:sz="8" w:space="0" w:color="152935"/>
              <w:right w:val="nil"/>
            </w:tcBorders>
            <w:shd w:val="clear" w:color="auto" w:fill="E0E0E0"/>
          </w:tcPr>
          <w:p w14:paraId="5EBF5C74" w14:textId="77777777" w:rsidR="006D54B8" w:rsidRPr="006D54B8" w:rsidRDefault="006D54B8" w:rsidP="006D54B8">
            <w:pPr>
              <w:autoSpaceDE w:val="0"/>
              <w:autoSpaceDN w:val="0"/>
              <w:adjustRightInd w:val="0"/>
              <w:spacing w:after="0" w:line="240" w:lineRule="auto"/>
              <w:jc w:val="left"/>
              <w:rPr>
                <w:rFonts w:ascii="Arial" w:hAnsi="Arial" w:cs="Arial"/>
                <w:color w:val="010205"/>
                <w:sz w:val="18"/>
                <w:szCs w:val="18"/>
              </w:rPr>
            </w:pPr>
          </w:p>
        </w:tc>
        <w:tc>
          <w:tcPr>
            <w:tcW w:w="1184" w:type="dxa"/>
            <w:tcBorders>
              <w:top w:val="single" w:sz="8" w:space="0" w:color="AEAEAE"/>
              <w:left w:val="nil"/>
              <w:bottom w:val="single" w:sz="8" w:space="0" w:color="152935"/>
              <w:right w:val="nil"/>
            </w:tcBorders>
            <w:shd w:val="clear" w:color="auto" w:fill="E0E0E0"/>
          </w:tcPr>
          <w:p w14:paraId="6E4AB816" w14:textId="77777777" w:rsidR="006D54B8" w:rsidRPr="006D54B8" w:rsidRDefault="006D54B8" w:rsidP="006D54B8">
            <w:pPr>
              <w:autoSpaceDE w:val="0"/>
              <w:autoSpaceDN w:val="0"/>
              <w:adjustRightInd w:val="0"/>
              <w:spacing w:after="0" w:line="320" w:lineRule="atLeast"/>
              <w:ind w:left="60" w:right="60"/>
              <w:jc w:val="left"/>
              <w:rPr>
                <w:rFonts w:cs="Times New Roman"/>
                <w:color w:val="264A60"/>
                <w:sz w:val="20"/>
                <w:szCs w:val="20"/>
              </w:rPr>
            </w:pPr>
            <w:r w:rsidRPr="006D54B8">
              <w:rPr>
                <w:rFonts w:cs="Times New Roman"/>
                <w:color w:val="264A60"/>
                <w:sz w:val="20"/>
                <w:szCs w:val="20"/>
              </w:rPr>
              <w:t>Firm size</w:t>
            </w:r>
          </w:p>
        </w:tc>
        <w:tc>
          <w:tcPr>
            <w:tcW w:w="1058" w:type="dxa"/>
            <w:tcBorders>
              <w:top w:val="single" w:sz="8" w:space="0" w:color="AEAEAE"/>
              <w:left w:val="nil"/>
              <w:bottom w:val="single" w:sz="8" w:space="0" w:color="152935"/>
              <w:right w:val="single" w:sz="8" w:space="0" w:color="E0E0E0"/>
            </w:tcBorders>
            <w:shd w:val="clear" w:color="auto" w:fill="FFFFFF"/>
          </w:tcPr>
          <w:p w14:paraId="43851E0D" w14:textId="77777777" w:rsidR="006D54B8" w:rsidRPr="006D54B8" w:rsidRDefault="006D54B8" w:rsidP="006D54B8">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.005</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64DEAE83" w14:textId="77777777" w:rsidR="006D54B8" w:rsidRPr="006D54B8" w:rsidRDefault="006D54B8" w:rsidP="006D54B8">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.006</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14:paraId="4DD9D6F8" w14:textId="77777777" w:rsidR="006D54B8" w:rsidRPr="006D54B8" w:rsidRDefault="006D54B8" w:rsidP="006D54B8">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.177</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3918B9D7" w14:textId="77777777" w:rsidR="006D54B8" w:rsidRPr="006D54B8" w:rsidRDefault="006D54B8" w:rsidP="006D54B8">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.875</w:t>
            </w:r>
          </w:p>
        </w:tc>
        <w:tc>
          <w:tcPr>
            <w:tcW w:w="992" w:type="dxa"/>
            <w:tcBorders>
              <w:top w:val="single" w:sz="8" w:space="0" w:color="AEAEAE"/>
              <w:left w:val="single" w:sz="8" w:space="0" w:color="E0E0E0"/>
              <w:bottom w:val="single" w:sz="8" w:space="0" w:color="152935"/>
              <w:right w:val="nil"/>
            </w:tcBorders>
            <w:shd w:val="clear" w:color="auto" w:fill="FFFFFF"/>
          </w:tcPr>
          <w:p w14:paraId="049E4D78" w14:textId="77777777" w:rsidR="006D54B8" w:rsidRPr="006D54B8" w:rsidRDefault="006D54B8" w:rsidP="006D54B8">
            <w:pPr>
              <w:autoSpaceDE w:val="0"/>
              <w:autoSpaceDN w:val="0"/>
              <w:adjustRightInd w:val="0"/>
              <w:spacing w:after="0" w:line="320" w:lineRule="atLeast"/>
              <w:ind w:left="60" w:right="60"/>
              <w:jc w:val="right"/>
              <w:rPr>
                <w:rFonts w:cs="Times New Roman"/>
                <w:color w:val="010205"/>
                <w:sz w:val="20"/>
                <w:szCs w:val="20"/>
              </w:rPr>
            </w:pPr>
            <w:r w:rsidRPr="006D54B8">
              <w:rPr>
                <w:rFonts w:cs="Times New Roman"/>
                <w:color w:val="010205"/>
                <w:sz w:val="20"/>
                <w:szCs w:val="20"/>
              </w:rPr>
              <w:t>.385</w:t>
            </w:r>
          </w:p>
        </w:tc>
      </w:tr>
      <w:tr w:rsidR="006D54B8" w:rsidRPr="006D54B8" w14:paraId="0516EFF9" w14:textId="77777777" w:rsidTr="006D54B8">
        <w:trPr>
          <w:cantSplit/>
        </w:trPr>
        <w:tc>
          <w:tcPr>
            <w:tcW w:w="6946" w:type="dxa"/>
            <w:gridSpan w:val="7"/>
            <w:tcBorders>
              <w:top w:val="nil"/>
              <w:left w:val="nil"/>
              <w:bottom w:val="nil"/>
              <w:right w:val="nil"/>
            </w:tcBorders>
            <w:shd w:val="clear" w:color="auto" w:fill="FFFFFF"/>
          </w:tcPr>
          <w:p w14:paraId="72F6E75E" w14:textId="77777777" w:rsidR="006D54B8" w:rsidRPr="006D54B8" w:rsidRDefault="006D54B8" w:rsidP="006D54B8">
            <w:pPr>
              <w:autoSpaceDE w:val="0"/>
              <w:autoSpaceDN w:val="0"/>
              <w:adjustRightInd w:val="0"/>
              <w:spacing w:after="0" w:line="320" w:lineRule="atLeast"/>
              <w:ind w:left="60" w:right="60"/>
              <w:jc w:val="left"/>
              <w:rPr>
                <w:rFonts w:ascii="Arial" w:hAnsi="Arial" w:cs="Arial"/>
                <w:color w:val="010205"/>
                <w:sz w:val="18"/>
                <w:szCs w:val="18"/>
              </w:rPr>
            </w:pPr>
            <w:r w:rsidRPr="006D54B8">
              <w:rPr>
                <w:rFonts w:ascii="Arial" w:hAnsi="Arial" w:cs="Arial"/>
                <w:color w:val="010205"/>
                <w:sz w:val="18"/>
                <w:szCs w:val="18"/>
              </w:rPr>
              <w:t>a. Dependent Variable: LaporanKeberlanjutan</w:t>
            </w:r>
          </w:p>
        </w:tc>
      </w:tr>
    </w:tbl>
    <w:p w14:paraId="1585572B" w14:textId="77777777" w:rsidR="006D54B8" w:rsidRPr="006D54B8" w:rsidRDefault="006D54B8" w:rsidP="006D54B8">
      <w:pPr>
        <w:autoSpaceDE w:val="0"/>
        <w:autoSpaceDN w:val="0"/>
        <w:adjustRightInd w:val="0"/>
        <w:spacing w:after="0" w:line="240" w:lineRule="auto"/>
        <w:jc w:val="left"/>
        <w:rPr>
          <w:rFonts w:cs="Times New Roman"/>
          <w:szCs w:val="24"/>
        </w:rPr>
      </w:pPr>
    </w:p>
    <w:p w14:paraId="4F38B903" w14:textId="77777777" w:rsidR="006D54B8" w:rsidRPr="006D54B8" w:rsidRDefault="006D54B8" w:rsidP="006D54B8">
      <w:pPr>
        <w:autoSpaceDE w:val="0"/>
        <w:autoSpaceDN w:val="0"/>
        <w:adjustRightInd w:val="0"/>
        <w:spacing w:after="0" w:line="400" w:lineRule="atLeast"/>
        <w:jc w:val="left"/>
        <w:rPr>
          <w:rFonts w:cs="Times New Roman"/>
          <w:szCs w:val="24"/>
        </w:rPr>
      </w:pPr>
    </w:p>
    <w:p w14:paraId="5A22254A" w14:textId="77777777" w:rsidR="005D263C" w:rsidRPr="005D263C" w:rsidRDefault="005D263C" w:rsidP="005D263C">
      <w:pPr>
        <w:autoSpaceDE w:val="0"/>
        <w:autoSpaceDN w:val="0"/>
        <w:adjustRightInd w:val="0"/>
        <w:spacing w:after="0" w:line="400" w:lineRule="atLeast"/>
        <w:jc w:val="left"/>
        <w:rPr>
          <w:rFonts w:cs="Times New Roman"/>
          <w:szCs w:val="24"/>
        </w:rPr>
      </w:pPr>
    </w:p>
    <w:p w14:paraId="39F5F287" w14:textId="77777777" w:rsidR="005D263C" w:rsidRDefault="005D263C" w:rsidP="005D263C">
      <w:pPr>
        <w:pStyle w:val="ListParagraph"/>
        <w:spacing w:line="480" w:lineRule="auto"/>
        <w:ind w:left="0" w:firstLine="306"/>
        <w:jc w:val="center"/>
        <w:rPr>
          <w:rFonts w:cs="Times New Roman"/>
          <w:b/>
          <w:szCs w:val="24"/>
        </w:rPr>
      </w:pPr>
    </w:p>
    <w:p w14:paraId="01C6B3D9" w14:textId="41D3C3B4" w:rsidR="00621164" w:rsidRDefault="00621164" w:rsidP="006D54B8">
      <w:pPr>
        <w:pStyle w:val="ListParagraph"/>
        <w:spacing w:line="480" w:lineRule="auto"/>
        <w:ind w:left="851"/>
      </w:pPr>
      <w:r>
        <w:t>Sumber: Output SPSS25</w:t>
      </w:r>
    </w:p>
    <w:p w14:paraId="09733C85" w14:textId="0809BF26" w:rsidR="00621164" w:rsidRDefault="00621164" w:rsidP="00621164">
      <w:pPr>
        <w:pStyle w:val="ListParagraph"/>
        <w:spacing w:line="480" w:lineRule="auto"/>
        <w:ind w:left="709"/>
      </w:pPr>
      <w:r>
        <w:t xml:space="preserve">Dari model regresi diatas dapat diartikan bahwa : </w:t>
      </w:r>
    </w:p>
    <w:p w14:paraId="42C93B76" w14:textId="3D3F0210" w:rsidR="00621164" w:rsidRDefault="00621164" w:rsidP="00621164">
      <w:pPr>
        <w:pStyle w:val="ListParagraph"/>
        <w:numPr>
          <w:ilvl w:val="1"/>
          <w:numId w:val="33"/>
        </w:numPr>
        <w:spacing w:line="480" w:lineRule="auto"/>
      </w:pPr>
      <w:r w:rsidRPr="00621164">
        <w:t>Nilai konstanta</w:t>
      </w:r>
      <w:r w:rsidR="008E14AF">
        <w:t xml:space="preserve"> </w:t>
      </w:r>
      <w:r w:rsidR="006D54B8">
        <w:t>persamaan regresi sebesar 0,136</w:t>
      </w:r>
      <w:r w:rsidRPr="00621164">
        <w:t>. Hal ini menyatakan bahwa apabila varia</w:t>
      </w:r>
      <w:r w:rsidR="008E14AF">
        <w:t xml:space="preserve">bel </w:t>
      </w:r>
      <w:r w:rsidRPr="008E14AF">
        <w:rPr>
          <w:i/>
        </w:rPr>
        <w:t>leverage,</w:t>
      </w:r>
      <w:r w:rsidR="008E14AF">
        <w:t xml:space="preserve"> Likuiditas, </w:t>
      </w:r>
      <w:r w:rsidR="008E14AF" w:rsidRPr="008E14AF">
        <w:rPr>
          <w:i/>
        </w:rPr>
        <w:t>Firm size,</w:t>
      </w:r>
      <w:r w:rsidR="008E14AF">
        <w:t xml:space="preserve"> dan Profitabilitas</w:t>
      </w:r>
      <w:r w:rsidRPr="00621164">
        <w:t xml:space="preserve"> </w:t>
      </w:r>
      <w:r w:rsidR="007925C0">
        <w:t xml:space="preserve">tidak ada perubahan atau sama dengan nol, maka nilai </w:t>
      </w:r>
      <w:r w:rsidR="007925C0" w:rsidRPr="007925C0">
        <w:rPr>
          <w:i/>
        </w:rPr>
        <w:t>sustainability report</w:t>
      </w:r>
      <w:r w:rsidR="007925C0">
        <w:t xml:space="preserve"> </w:t>
      </w:r>
      <w:r w:rsidRPr="00621164">
        <w:t xml:space="preserve">sebesar </w:t>
      </w:r>
      <w:r w:rsidR="006D54B8">
        <w:t>13</w:t>
      </w:r>
      <w:r w:rsidR="00EB575B">
        <w:t>,</w:t>
      </w:r>
      <w:r w:rsidR="006D54B8">
        <w:t>6</w:t>
      </w:r>
      <w:r w:rsidRPr="00621164">
        <w:t>%.</w:t>
      </w:r>
    </w:p>
    <w:p w14:paraId="27EA20CC" w14:textId="4434DC5E" w:rsidR="008E14AF" w:rsidRDefault="008E14AF" w:rsidP="008E14AF">
      <w:pPr>
        <w:pStyle w:val="ListParagraph"/>
        <w:numPr>
          <w:ilvl w:val="1"/>
          <w:numId w:val="33"/>
        </w:numPr>
        <w:spacing w:line="480" w:lineRule="auto"/>
      </w:pPr>
      <w:r w:rsidRPr="008E14AF">
        <w:t>Perhitungan persamaan regresi diatas menunjukkan nilai ko</w:t>
      </w:r>
      <w:r>
        <w:t xml:space="preserve">efisien variabel </w:t>
      </w:r>
      <w:r w:rsidRPr="008E14AF">
        <w:rPr>
          <w:i/>
        </w:rPr>
        <w:t>leverage</w:t>
      </w:r>
      <w:r>
        <w:t xml:space="preserve"> sebesar </w:t>
      </w:r>
      <w:r w:rsidR="006D54B8">
        <w:t>0,011</w:t>
      </w:r>
      <w:r w:rsidRPr="008E14AF">
        <w:t xml:space="preserve"> yang </w:t>
      </w:r>
      <w:r w:rsidR="007925C0">
        <w:t xml:space="preserve">artinya jika </w:t>
      </w:r>
      <w:r w:rsidRPr="007925C0">
        <w:rPr>
          <w:i/>
        </w:rPr>
        <w:t>leverage</w:t>
      </w:r>
      <w:r>
        <w:t xml:space="preserve"> terhadap </w:t>
      </w:r>
      <w:r w:rsidRPr="008E14AF">
        <w:rPr>
          <w:i/>
        </w:rPr>
        <w:t>sustainability report</w:t>
      </w:r>
      <w:r>
        <w:t xml:space="preserve"> </w:t>
      </w:r>
      <w:r w:rsidRPr="008E14AF">
        <w:t>me</w:t>
      </w:r>
      <w:r w:rsidR="007925C0">
        <w:t xml:space="preserve">ngalami kenaikan 1% maka nilai </w:t>
      </w:r>
      <w:r w:rsidR="007925C0" w:rsidRPr="008E14AF">
        <w:rPr>
          <w:i/>
        </w:rPr>
        <w:t>sustainability report</w:t>
      </w:r>
      <w:r w:rsidR="007925C0">
        <w:t xml:space="preserve"> naik </w:t>
      </w:r>
      <w:r w:rsidR="00EB575B">
        <w:t xml:space="preserve">sebesar </w:t>
      </w:r>
      <w:r w:rsidR="006D54B8">
        <w:t>1</w:t>
      </w:r>
      <w:r w:rsidR="00EB575B">
        <w:t>,</w:t>
      </w:r>
      <w:r w:rsidR="006D54B8">
        <w:t>1</w:t>
      </w:r>
      <w:r w:rsidRPr="008E14AF">
        <w:t>% dengan catatan variabel independent lainnya memiliki nilai nol (tetap).</w:t>
      </w:r>
    </w:p>
    <w:p w14:paraId="738A3342" w14:textId="7F052C70" w:rsidR="007925C0" w:rsidRDefault="007925C0" w:rsidP="007925C0">
      <w:pPr>
        <w:pStyle w:val="ListParagraph"/>
        <w:numPr>
          <w:ilvl w:val="1"/>
          <w:numId w:val="33"/>
        </w:numPr>
        <w:spacing w:line="480" w:lineRule="auto"/>
      </w:pPr>
      <w:r w:rsidRPr="008E14AF">
        <w:t>Perhitungan persamaan regresi diatas menunjukkan nilai ko</w:t>
      </w:r>
      <w:r>
        <w:t>efisien v</w:t>
      </w:r>
      <w:r w:rsidR="006D54B8">
        <w:t>ariabel likuiditas sebesar 4,511</w:t>
      </w:r>
      <w:r>
        <w:t xml:space="preserve"> </w:t>
      </w:r>
      <w:r w:rsidRPr="008E14AF">
        <w:t xml:space="preserve">yang </w:t>
      </w:r>
      <w:r>
        <w:t xml:space="preserve">artinya jika </w:t>
      </w:r>
      <w:r w:rsidRPr="007925C0">
        <w:t>likuiditas</w:t>
      </w:r>
      <w:r>
        <w:rPr>
          <w:i/>
        </w:rPr>
        <w:t xml:space="preserve"> </w:t>
      </w:r>
      <w:r>
        <w:t xml:space="preserve">terhadap </w:t>
      </w:r>
      <w:r w:rsidRPr="008E14AF">
        <w:rPr>
          <w:i/>
        </w:rPr>
        <w:t>sustainability report</w:t>
      </w:r>
      <w:r>
        <w:t xml:space="preserve"> </w:t>
      </w:r>
      <w:r w:rsidRPr="008E14AF">
        <w:t>me</w:t>
      </w:r>
      <w:r>
        <w:t xml:space="preserve">ngalami kenaikan 1% maka nilai </w:t>
      </w:r>
      <w:r w:rsidRPr="008E14AF">
        <w:rPr>
          <w:i/>
        </w:rPr>
        <w:t xml:space="preserve">sustainability </w:t>
      </w:r>
      <w:r w:rsidRPr="008E14AF">
        <w:rPr>
          <w:i/>
        </w:rPr>
        <w:lastRenderedPageBreak/>
        <w:t>report</w:t>
      </w:r>
      <w:r w:rsidR="00EB575B">
        <w:t xml:space="preserve"> naik sebesar 4</w:t>
      </w:r>
      <w:r w:rsidR="006D54B8">
        <w:t>51</w:t>
      </w:r>
      <w:r w:rsidR="00EB575B">
        <w:t>,</w:t>
      </w:r>
      <w:r w:rsidR="006D54B8">
        <w:t>1</w:t>
      </w:r>
      <w:r w:rsidRPr="008E14AF">
        <w:t>% dengan catatan variabel independent lainnya memiliki nilai nol (tetap).</w:t>
      </w:r>
    </w:p>
    <w:p w14:paraId="12AE28EE" w14:textId="33F246A6" w:rsidR="00273CF5" w:rsidRDefault="00273CF5" w:rsidP="00273CF5">
      <w:pPr>
        <w:pStyle w:val="ListParagraph"/>
        <w:numPr>
          <w:ilvl w:val="1"/>
          <w:numId w:val="33"/>
        </w:numPr>
        <w:spacing w:line="480" w:lineRule="auto"/>
      </w:pPr>
      <w:r w:rsidRPr="008E14AF">
        <w:t>Perhitungan persamaan regresi diatas menunjukkan nilai ko</w:t>
      </w:r>
      <w:r>
        <w:t>efisien variabel</w:t>
      </w:r>
      <w:r>
        <w:rPr>
          <w:i/>
        </w:rPr>
        <w:t xml:space="preserve"> firm size</w:t>
      </w:r>
      <w:r w:rsidR="006D54B8">
        <w:t xml:space="preserve"> sebesar 0,005</w:t>
      </w:r>
      <w:r w:rsidRPr="008E14AF">
        <w:t xml:space="preserve"> yang </w:t>
      </w:r>
      <w:r>
        <w:t xml:space="preserve">artinya jika </w:t>
      </w:r>
      <w:r>
        <w:rPr>
          <w:i/>
        </w:rPr>
        <w:t>firm size</w:t>
      </w:r>
      <w:r>
        <w:t xml:space="preserve"> terhadap </w:t>
      </w:r>
      <w:r w:rsidRPr="008E14AF">
        <w:rPr>
          <w:i/>
        </w:rPr>
        <w:t>sustainability report</w:t>
      </w:r>
      <w:r>
        <w:t xml:space="preserve"> </w:t>
      </w:r>
      <w:r w:rsidRPr="008E14AF">
        <w:t>me</w:t>
      </w:r>
      <w:r>
        <w:t xml:space="preserve">ngalami kenaikan 1% maka nilai </w:t>
      </w:r>
      <w:r w:rsidRPr="008E14AF">
        <w:rPr>
          <w:i/>
        </w:rPr>
        <w:t>sustainability report</w:t>
      </w:r>
      <w:r w:rsidR="006D54B8">
        <w:t xml:space="preserve"> naik</w:t>
      </w:r>
      <w:r w:rsidR="00EB575B">
        <w:t xml:space="preserve"> sebesar </w:t>
      </w:r>
      <w:r w:rsidR="006D54B8">
        <w:t>0</w:t>
      </w:r>
      <w:r w:rsidR="00EB575B">
        <w:t>,</w:t>
      </w:r>
      <w:r w:rsidR="006D54B8">
        <w:t>5</w:t>
      </w:r>
      <w:r w:rsidRPr="008E14AF">
        <w:t>% dengan catatan variabel independent lainnya memiliki nilai nol (tetap).</w:t>
      </w:r>
    </w:p>
    <w:p w14:paraId="2FE232BF" w14:textId="5A089F74" w:rsidR="00B33871" w:rsidRDefault="00B33871" w:rsidP="00B33871">
      <w:pPr>
        <w:pStyle w:val="Caption"/>
        <w:jc w:val="center"/>
        <w:rPr>
          <w:color w:val="000000" w:themeColor="text1"/>
          <w:sz w:val="24"/>
          <w:szCs w:val="24"/>
          <w:lang w:val="en-US"/>
        </w:rPr>
      </w:pPr>
      <w:bookmarkStart w:id="35" w:name="_Toc168999385"/>
      <w:r w:rsidRPr="00B33871">
        <w:rPr>
          <w:color w:val="000000" w:themeColor="text1"/>
          <w:sz w:val="24"/>
          <w:szCs w:val="24"/>
        </w:rPr>
        <w:t xml:space="preserve">Tabel.  </w:t>
      </w:r>
      <w:r w:rsidRPr="00B33871">
        <w:rPr>
          <w:color w:val="000000" w:themeColor="text1"/>
          <w:sz w:val="24"/>
          <w:szCs w:val="24"/>
        </w:rPr>
        <w:fldChar w:fldCharType="begin"/>
      </w:r>
      <w:r w:rsidRPr="00B33871">
        <w:rPr>
          <w:color w:val="000000" w:themeColor="text1"/>
          <w:sz w:val="24"/>
          <w:szCs w:val="24"/>
        </w:rPr>
        <w:instrText xml:space="preserve"> SEQ Tabel._ \* ARABIC </w:instrText>
      </w:r>
      <w:r w:rsidRPr="00B33871">
        <w:rPr>
          <w:color w:val="000000" w:themeColor="text1"/>
          <w:sz w:val="24"/>
          <w:szCs w:val="24"/>
        </w:rPr>
        <w:fldChar w:fldCharType="separate"/>
      </w:r>
      <w:r w:rsidR="0017483D">
        <w:rPr>
          <w:noProof/>
          <w:color w:val="000000" w:themeColor="text1"/>
          <w:sz w:val="24"/>
          <w:szCs w:val="24"/>
        </w:rPr>
        <w:t>21</w:t>
      </w:r>
      <w:r w:rsidRPr="00B33871">
        <w:rPr>
          <w:color w:val="000000" w:themeColor="text1"/>
          <w:sz w:val="24"/>
          <w:szCs w:val="24"/>
        </w:rPr>
        <w:fldChar w:fldCharType="end"/>
      </w:r>
      <w:r w:rsidRPr="00B33871">
        <w:rPr>
          <w:color w:val="000000" w:themeColor="text1"/>
          <w:sz w:val="24"/>
          <w:szCs w:val="24"/>
          <w:lang w:val="en-US"/>
        </w:rPr>
        <w:t xml:space="preserve"> Kriteria Penentuan Variabel Moderating</w:t>
      </w:r>
      <w:bookmarkEnd w:id="35"/>
    </w:p>
    <w:tbl>
      <w:tblPr>
        <w:tblStyle w:val="TableGrid"/>
        <w:tblW w:w="0" w:type="auto"/>
        <w:tblInd w:w="988" w:type="dxa"/>
        <w:tblLook w:val="04A0" w:firstRow="1" w:lastRow="0" w:firstColumn="1" w:lastColumn="0" w:noHBand="0" w:noVBand="1"/>
      </w:tblPr>
      <w:tblGrid>
        <w:gridCol w:w="708"/>
        <w:gridCol w:w="3811"/>
        <w:gridCol w:w="2754"/>
      </w:tblGrid>
      <w:tr w:rsidR="00B33871" w14:paraId="0A75E079" w14:textId="77777777" w:rsidTr="00B33871">
        <w:tc>
          <w:tcPr>
            <w:tcW w:w="708" w:type="dxa"/>
          </w:tcPr>
          <w:p w14:paraId="0D64C7BE" w14:textId="762E7AD6" w:rsidR="00B33871" w:rsidRDefault="00B33871" w:rsidP="00B33871">
            <w:pPr>
              <w:jc w:val="center"/>
            </w:pPr>
            <w:r>
              <w:t>No.</w:t>
            </w:r>
          </w:p>
        </w:tc>
        <w:tc>
          <w:tcPr>
            <w:tcW w:w="3811" w:type="dxa"/>
          </w:tcPr>
          <w:p w14:paraId="6E4F87FB" w14:textId="702B59AD" w:rsidR="00B33871" w:rsidRDefault="00B33871" w:rsidP="00B33871">
            <w:pPr>
              <w:jc w:val="center"/>
            </w:pPr>
            <w:r>
              <w:t>Tipe moderasi</w:t>
            </w:r>
          </w:p>
        </w:tc>
        <w:tc>
          <w:tcPr>
            <w:tcW w:w="2754" w:type="dxa"/>
          </w:tcPr>
          <w:p w14:paraId="7C209EB8" w14:textId="4A1C3E74" w:rsidR="00B33871" w:rsidRDefault="00B33871" w:rsidP="00B33871">
            <w:pPr>
              <w:jc w:val="center"/>
            </w:pPr>
            <w:r>
              <w:t>Koefisien</w:t>
            </w:r>
          </w:p>
        </w:tc>
      </w:tr>
      <w:tr w:rsidR="00B33871" w14:paraId="6E90D4AA" w14:textId="77777777" w:rsidTr="00B33871">
        <w:tc>
          <w:tcPr>
            <w:tcW w:w="708" w:type="dxa"/>
          </w:tcPr>
          <w:p w14:paraId="67313D86" w14:textId="0488A5EE" w:rsidR="00B33871" w:rsidRDefault="00B33871" w:rsidP="00916BDB">
            <w:pPr>
              <w:pStyle w:val="ListParagraph"/>
              <w:numPr>
                <w:ilvl w:val="0"/>
                <w:numId w:val="42"/>
              </w:numPr>
              <w:spacing w:line="360" w:lineRule="auto"/>
              <w:jc w:val="center"/>
            </w:pPr>
          </w:p>
        </w:tc>
        <w:tc>
          <w:tcPr>
            <w:tcW w:w="3811" w:type="dxa"/>
          </w:tcPr>
          <w:p w14:paraId="67122707" w14:textId="1A074391" w:rsidR="00B33871" w:rsidRDefault="00B33871" w:rsidP="00947FF8">
            <w:pPr>
              <w:spacing w:line="360" w:lineRule="auto"/>
              <w:jc w:val="left"/>
            </w:pPr>
            <w:r>
              <w:t xml:space="preserve">Pure Moderasi </w:t>
            </w:r>
          </w:p>
        </w:tc>
        <w:tc>
          <w:tcPr>
            <w:tcW w:w="2754" w:type="dxa"/>
          </w:tcPr>
          <w:p w14:paraId="491CD758" w14:textId="66017642" w:rsidR="00B33871" w:rsidRPr="00947FF8" w:rsidRDefault="00947FF8" w:rsidP="00947FF8">
            <w:pPr>
              <w:spacing w:line="360" w:lineRule="auto"/>
              <w:rPr>
                <w:rFonts w:cs="Times New Roman"/>
              </w:rPr>
            </w:pPr>
            <w:r>
              <w:rPr>
                <w:rFonts w:cs="Times New Roman"/>
              </w:rPr>
              <w:t>b</w:t>
            </w:r>
            <w:r w:rsidR="00B33871" w:rsidRPr="00947FF8">
              <w:rPr>
                <w:rFonts w:cs="Times New Roman"/>
              </w:rPr>
              <w:t xml:space="preserve">2 </w:t>
            </w:r>
            <w:r w:rsidRPr="00947FF8">
              <w:rPr>
                <w:rFonts w:cs="Times New Roman"/>
              </w:rPr>
              <w:t xml:space="preserve">Tidak Signifikan </w:t>
            </w:r>
          </w:p>
          <w:p w14:paraId="3E702038" w14:textId="17A60E39" w:rsidR="00947FF8" w:rsidRPr="00947FF8" w:rsidRDefault="00947FF8" w:rsidP="00947FF8">
            <w:pPr>
              <w:spacing w:line="360" w:lineRule="auto"/>
            </w:pPr>
            <w:r>
              <w:rPr>
                <w:rFonts w:cs="Times New Roman"/>
              </w:rPr>
              <w:t>b</w:t>
            </w:r>
            <w:r w:rsidRPr="00947FF8">
              <w:rPr>
                <w:rFonts w:cs="Times New Roman"/>
              </w:rPr>
              <w:t xml:space="preserve">3 Signifikan </w:t>
            </w:r>
          </w:p>
        </w:tc>
      </w:tr>
      <w:tr w:rsidR="00B33871" w14:paraId="17DA2E1A" w14:textId="77777777" w:rsidTr="00B33871">
        <w:tc>
          <w:tcPr>
            <w:tcW w:w="708" w:type="dxa"/>
          </w:tcPr>
          <w:p w14:paraId="453B732C" w14:textId="71BB4F39" w:rsidR="00B33871" w:rsidRDefault="00B33871" w:rsidP="00916BDB">
            <w:pPr>
              <w:pStyle w:val="ListParagraph"/>
              <w:numPr>
                <w:ilvl w:val="0"/>
                <w:numId w:val="42"/>
              </w:numPr>
              <w:spacing w:line="360" w:lineRule="auto"/>
              <w:jc w:val="center"/>
            </w:pPr>
          </w:p>
        </w:tc>
        <w:tc>
          <w:tcPr>
            <w:tcW w:w="3811" w:type="dxa"/>
          </w:tcPr>
          <w:p w14:paraId="14BE2ABD" w14:textId="2C0A9B87" w:rsidR="00B33871" w:rsidRDefault="00947FF8" w:rsidP="00947FF8">
            <w:pPr>
              <w:spacing w:line="360" w:lineRule="auto"/>
              <w:jc w:val="left"/>
            </w:pPr>
            <w:r>
              <w:t xml:space="preserve">Quasi Moderasi </w:t>
            </w:r>
          </w:p>
        </w:tc>
        <w:tc>
          <w:tcPr>
            <w:tcW w:w="2754" w:type="dxa"/>
          </w:tcPr>
          <w:p w14:paraId="48C05C69" w14:textId="1D704824" w:rsidR="00B33871" w:rsidRPr="00947FF8" w:rsidRDefault="00947FF8" w:rsidP="00947FF8">
            <w:pPr>
              <w:spacing w:line="360" w:lineRule="auto"/>
            </w:pPr>
            <w:r>
              <w:t>b</w:t>
            </w:r>
            <w:r w:rsidRPr="00947FF8">
              <w:t xml:space="preserve">2 Signifikan </w:t>
            </w:r>
          </w:p>
          <w:p w14:paraId="5E7A60A3" w14:textId="0AB9F950" w:rsidR="00947FF8" w:rsidRPr="00947FF8" w:rsidRDefault="00947FF8" w:rsidP="00947FF8">
            <w:pPr>
              <w:spacing w:line="360" w:lineRule="auto"/>
            </w:pPr>
            <w:r>
              <w:t>b</w:t>
            </w:r>
            <w:r w:rsidRPr="00947FF8">
              <w:t xml:space="preserve">3 Signifikan </w:t>
            </w:r>
          </w:p>
        </w:tc>
      </w:tr>
      <w:tr w:rsidR="00B33871" w14:paraId="06F3E7D1" w14:textId="77777777" w:rsidTr="00B33871">
        <w:tc>
          <w:tcPr>
            <w:tcW w:w="708" w:type="dxa"/>
          </w:tcPr>
          <w:p w14:paraId="2827499A" w14:textId="6C5BFCA5" w:rsidR="00B33871" w:rsidRDefault="00B33871" w:rsidP="00916BDB">
            <w:pPr>
              <w:pStyle w:val="ListParagraph"/>
              <w:numPr>
                <w:ilvl w:val="0"/>
                <w:numId w:val="42"/>
              </w:numPr>
              <w:spacing w:line="360" w:lineRule="auto"/>
              <w:jc w:val="center"/>
            </w:pPr>
          </w:p>
        </w:tc>
        <w:tc>
          <w:tcPr>
            <w:tcW w:w="3811" w:type="dxa"/>
          </w:tcPr>
          <w:p w14:paraId="063F6E98" w14:textId="4D5824C2" w:rsidR="00B33871" w:rsidRDefault="00947FF8" w:rsidP="00947FF8">
            <w:pPr>
              <w:spacing w:line="360" w:lineRule="auto"/>
              <w:jc w:val="left"/>
            </w:pPr>
            <w:r>
              <w:t>Homologiser Moderasi ( Bukan Moderasi)</w:t>
            </w:r>
          </w:p>
        </w:tc>
        <w:tc>
          <w:tcPr>
            <w:tcW w:w="2754" w:type="dxa"/>
          </w:tcPr>
          <w:p w14:paraId="45C23E46" w14:textId="6BC10594" w:rsidR="00B33871" w:rsidRPr="00947FF8" w:rsidRDefault="00947FF8" w:rsidP="00947FF8">
            <w:pPr>
              <w:spacing w:line="360" w:lineRule="auto"/>
            </w:pPr>
            <w:r>
              <w:t>b</w:t>
            </w:r>
            <w:r w:rsidRPr="00947FF8">
              <w:t xml:space="preserve">2 Tidak Signifikan </w:t>
            </w:r>
          </w:p>
          <w:p w14:paraId="4A8261EF" w14:textId="3CD18A9E" w:rsidR="00947FF8" w:rsidRPr="00947FF8" w:rsidRDefault="00947FF8" w:rsidP="00947FF8">
            <w:pPr>
              <w:spacing w:line="360" w:lineRule="auto"/>
            </w:pPr>
            <w:r>
              <w:t>b</w:t>
            </w:r>
            <w:r w:rsidRPr="00947FF8">
              <w:t xml:space="preserve">3 Tidak Signifikan </w:t>
            </w:r>
          </w:p>
        </w:tc>
      </w:tr>
      <w:tr w:rsidR="00B33871" w14:paraId="372B853A" w14:textId="77777777" w:rsidTr="00B33871">
        <w:tc>
          <w:tcPr>
            <w:tcW w:w="708" w:type="dxa"/>
          </w:tcPr>
          <w:p w14:paraId="5610F62C" w14:textId="49F0A881" w:rsidR="00B33871" w:rsidRDefault="00B33871" w:rsidP="00916BDB">
            <w:pPr>
              <w:pStyle w:val="ListParagraph"/>
              <w:numPr>
                <w:ilvl w:val="0"/>
                <w:numId w:val="42"/>
              </w:numPr>
              <w:spacing w:line="360" w:lineRule="auto"/>
              <w:jc w:val="center"/>
            </w:pPr>
          </w:p>
        </w:tc>
        <w:tc>
          <w:tcPr>
            <w:tcW w:w="3811" w:type="dxa"/>
          </w:tcPr>
          <w:p w14:paraId="63C0C721" w14:textId="0AE83740" w:rsidR="00B33871" w:rsidRDefault="00947FF8" w:rsidP="00947FF8">
            <w:pPr>
              <w:spacing w:line="360" w:lineRule="auto"/>
              <w:jc w:val="left"/>
            </w:pPr>
            <w:r>
              <w:t xml:space="preserve">Prediktor </w:t>
            </w:r>
          </w:p>
        </w:tc>
        <w:tc>
          <w:tcPr>
            <w:tcW w:w="2754" w:type="dxa"/>
          </w:tcPr>
          <w:p w14:paraId="17A008E6" w14:textId="26DBCFDE" w:rsidR="00B33871" w:rsidRPr="00947FF8" w:rsidRDefault="00947FF8" w:rsidP="00947FF8">
            <w:pPr>
              <w:spacing w:line="360" w:lineRule="auto"/>
            </w:pPr>
            <w:r>
              <w:t>b</w:t>
            </w:r>
            <w:r w:rsidRPr="00947FF8">
              <w:t xml:space="preserve">2 signifikan </w:t>
            </w:r>
          </w:p>
          <w:p w14:paraId="75A43253" w14:textId="3F298DA5" w:rsidR="00947FF8" w:rsidRPr="00947FF8" w:rsidRDefault="00947FF8" w:rsidP="00947FF8">
            <w:pPr>
              <w:spacing w:line="360" w:lineRule="auto"/>
            </w:pPr>
            <w:r>
              <w:t>b</w:t>
            </w:r>
            <w:r w:rsidRPr="00947FF8">
              <w:t xml:space="preserve">3 Tidak Signifikan </w:t>
            </w:r>
          </w:p>
        </w:tc>
      </w:tr>
    </w:tbl>
    <w:p w14:paraId="0114D81A" w14:textId="685E7D34" w:rsidR="00947FF8" w:rsidRDefault="00947FF8" w:rsidP="00947FF8">
      <w:pPr>
        <w:ind w:left="993"/>
      </w:pPr>
      <w:r>
        <w:t xml:space="preserve"> Keterangan: </w:t>
      </w:r>
    </w:p>
    <w:p w14:paraId="7742D9D3" w14:textId="71817C4E" w:rsidR="00947FF8" w:rsidRDefault="00947FF8" w:rsidP="00947FF8">
      <w:pPr>
        <w:ind w:left="993"/>
      </w:pPr>
      <w:r>
        <w:t xml:space="preserve">b2: Variabel Profitabilitas </w:t>
      </w:r>
    </w:p>
    <w:p w14:paraId="1ED4D076" w14:textId="0D89EE0E" w:rsidR="00947FF8" w:rsidRPr="00B33871" w:rsidRDefault="00947FF8" w:rsidP="00947FF8">
      <w:pPr>
        <w:ind w:left="993"/>
      </w:pPr>
      <w:r>
        <w:t>b3: Variabel interaksi antara masing – masing variabel bebas (</w:t>
      </w:r>
      <w:r w:rsidRPr="00947FF8">
        <w:rPr>
          <w:i/>
        </w:rPr>
        <w:t>leverage</w:t>
      </w:r>
      <w:r>
        <w:t xml:space="preserve">, likuiditas, dan </w:t>
      </w:r>
      <w:r w:rsidRPr="00947FF8">
        <w:rPr>
          <w:i/>
        </w:rPr>
        <w:t>firm size</w:t>
      </w:r>
      <w:r>
        <w:t>) dengan variabel penelitian.</w:t>
      </w:r>
    </w:p>
    <w:p w14:paraId="1A8EE6EC" w14:textId="5CBC921C" w:rsidR="008E14AF" w:rsidRDefault="008E14AF" w:rsidP="00C512DE">
      <w:pPr>
        <w:pStyle w:val="Heading3"/>
        <w:numPr>
          <w:ilvl w:val="0"/>
          <w:numId w:val="9"/>
        </w:numPr>
        <w:spacing w:line="480" w:lineRule="auto"/>
      </w:pPr>
      <w:bookmarkStart w:id="36" w:name="_Toc170109890"/>
      <w:r>
        <w:t>Analisis Regresi Moderasi</w:t>
      </w:r>
      <w:bookmarkEnd w:id="36"/>
      <w:r>
        <w:t xml:space="preserve"> </w:t>
      </w:r>
    </w:p>
    <w:p w14:paraId="1C0852E1" w14:textId="27861D3B" w:rsidR="00273CF5" w:rsidRDefault="008E14AF" w:rsidP="00EB33DD">
      <w:pPr>
        <w:spacing w:line="480" w:lineRule="auto"/>
        <w:ind w:left="720" w:firstLine="720"/>
      </w:pPr>
      <w:r w:rsidRPr="008E14AF">
        <w:t xml:space="preserve">Analisis regresi merupakan analisis yang digunakan untuk memprediksi pengaruh dan arah hubungan antara variabel independen terhadap variabel dependen baik secara parsial maupun simultan. Analsis regresi yang digunakan </w:t>
      </w:r>
      <w:r w:rsidRPr="008E14AF">
        <w:lastRenderedPageBreak/>
        <w:t xml:space="preserve">dalam penelitian ini adalah </w:t>
      </w:r>
      <w:r w:rsidRPr="000C30EA">
        <w:rPr>
          <w:i/>
        </w:rPr>
        <w:t>Moderated Regression Analysis</w:t>
      </w:r>
      <w:r w:rsidRPr="008E14AF">
        <w:t xml:space="preserve"> (MRA). Analisis MRA yang digunakan yaitu uji interaksi terhadap pengaruh</w:t>
      </w:r>
      <w:r w:rsidR="000C30EA">
        <w:t xml:space="preserve"> leverage, likuiditas, dan </w:t>
      </w:r>
      <w:r w:rsidR="000C30EA" w:rsidRPr="000C30EA">
        <w:rPr>
          <w:i/>
        </w:rPr>
        <w:t>firm size</w:t>
      </w:r>
      <w:r w:rsidR="000C30EA">
        <w:t xml:space="preserve"> t</w:t>
      </w:r>
      <w:r w:rsidRPr="008E14AF">
        <w:t xml:space="preserve">erhadap pengungkapan </w:t>
      </w:r>
      <w:r w:rsidRPr="000C30EA">
        <w:rPr>
          <w:i/>
        </w:rPr>
        <w:t>sustainability report</w:t>
      </w:r>
      <w:r w:rsidRPr="008E14AF">
        <w:t xml:space="preserve"> yang dimoderasi oleh profitabilitas.</w:t>
      </w:r>
      <w:r w:rsidR="00273CF5">
        <w:t xml:space="preserve"> Model ini juga menunjukkan apakah variabel moderating dapat memperkuat atau memperlemah pengaruh antara variabel independen terhadap variabel dependen. Variabel moderating dikatakan mampu memoderasi jika dapat memperkuat atau memper</w:t>
      </w:r>
      <w:r w:rsidR="00EB33DD">
        <w:t>lemah pengaruh antar keduanya.</w:t>
      </w:r>
    </w:p>
    <w:p w14:paraId="4043F628" w14:textId="01FD53A6" w:rsidR="00EB33DD" w:rsidRPr="00EB33DD" w:rsidRDefault="00C77BC9" w:rsidP="00EB33DD">
      <w:pPr>
        <w:pStyle w:val="Caption"/>
        <w:ind w:left="851"/>
        <w:jc w:val="center"/>
        <w:rPr>
          <w:color w:val="auto"/>
          <w:sz w:val="24"/>
          <w:szCs w:val="24"/>
          <w:lang w:val="en-US"/>
        </w:rPr>
      </w:pPr>
      <w:bookmarkStart w:id="37" w:name="_Toc168999386"/>
      <w:r w:rsidRPr="00C77BC9">
        <w:rPr>
          <w:color w:val="auto"/>
          <w:sz w:val="24"/>
          <w:szCs w:val="24"/>
        </w:rPr>
        <w:t xml:space="preserve">Tabel.  </w:t>
      </w:r>
      <w:r w:rsidRPr="00C77BC9">
        <w:rPr>
          <w:color w:val="auto"/>
          <w:sz w:val="24"/>
          <w:szCs w:val="24"/>
        </w:rPr>
        <w:fldChar w:fldCharType="begin"/>
      </w:r>
      <w:r w:rsidRPr="00C77BC9">
        <w:rPr>
          <w:color w:val="auto"/>
          <w:sz w:val="24"/>
          <w:szCs w:val="24"/>
        </w:rPr>
        <w:instrText xml:space="preserve"> SEQ Tabel._ \* ARABIC </w:instrText>
      </w:r>
      <w:r w:rsidRPr="00C77BC9">
        <w:rPr>
          <w:color w:val="auto"/>
          <w:sz w:val="24"/>
          <w:szCs w:val="24"/>
        </w:rPr>
        <w:fldChar w:fldCharType="separate"/>
      </w:r>
      <w:r w:rsidR="0017483D">
        <w:rPr>
          <w:noProof/>
          <w:color w:val="auto"/>
          <w:sz w:val="24"/>
          <w:szCs w:val="24"/>
        </w:rPr>
        <w:t>22</w:t>
      </w:r>
      <w:r w:rsidRPr="00C77BC9">
        <w:rPr>
          <w:color w:val="auto"/>
          <w:sz w:val="24"/>
          <w:szCs w:val="24"/>
        </w:rPr>
        <w:fldChar w:fldCharType="end"/>
      </w:r>
      <w:r w:rsidRPr="00C77BC9">
        <w:rPr>
          <w:color w:val="auto"/>
          <w:sz w:val="24"/>
          <w:szCs w:val="24"/>
          <w:lang w:val="en-US"/>
        </w:rPr>
        <w:t xml:space="preserve"> Analisis Regresi Moderasi (Uji interaksi/MRA)</w:t>
      </w:r>
      <w:bookmarkEnd w:id="37"/>
    </w:p>
    <w:tbl>
      <w:tblPr>
        <w:tblW w:w="7655" w:type="dxa"/>
        <w:tblInd w:w="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
        <w:gridCol w:w="2199"/>
        <w:gridCol w:w="892"/>
        <w:gridCol w:w="992"/>
        <w:gridCol w:w="1276"/>
        <w:gridCol w:w="992"/>
        <w:gridCol w:w="1134"/>
      </w:tblGrid>
      <w:tr w:rsidR="00EB33DD" w:rsidRPr="00EB33DD" w14:paraId="67B03B2F" w14:textId="77777777" w:rsidTr="00EB33DD">
        <w:trPr>
          <w:cantSplit/>
        </w:trPr>
        <w:tc>
          <w:tcPr>
            <w:tcW w:w="7655" w:type="dxa"/>
            <w:gridSpan w:val="7"/>
            <w:tcBorders>
              <w:top w:val="nil"/>
              <w:left w:val="nil"/>
              <w:bottom w:val="nil"/>
              <w:right w:val="nil"/>
            </w:tcBorders>
            <w:shd w:val="clear" w:color="auto" w:fill="FFFFFF"/>
            <w:vAlign w:val="center"/>
          </w:tcPr>
          <w:p w14:paraId="0A472DAF" w14:textId="77777777" w:rsidR="00EB33DD" w:rsidRPr="00EB33DD" w:rsidRDefault="00EB33DD" w:rsidP="00EB33DD">
            <w:pPr>
              <w:autoSpaceDE w:val="0"/>
              <w:autoSpaceDN w:val="0"/>
              <w:adjustRightInd w:val="0"/>
              <w:spacing w:after="0" w:line="320" w:lineRule="atLeast"/>
              <w:ind w:right="60"/>
              <w:jc w:val="center"/>
              <w:rPr>
                <w:rFonts w:cs="Times New Roman"/>
                <w:color w:val="010205"/>
                <w:sz w:val="20"/>
                <w:szCs w:val="20"/>
              </w:rPr>
            </w:pPr>
            <w:r w:rsidRPr="00EB33DD">
              <w:rPr>
                <w:rFonts w:cs="Times New Roman"/>
                <w:b/>
                <w:bCs/>
                <w:color w:val="010205"/>
                <w:sz w:val="20"/>
                <w:szCs w:val="20"/>
              </w:rPr>
              <w:t>Coefficients</w:t>
            </w:r>
            <w:r w:rsidRPr="00EB33DD">
              <w:rPr>
                <w:rFonts w:cs="Times New Roman"/>
                <w:b/>
                <w:bCs/>
                <w:color w:val="010205"/>
                <w:sz w:val="20"/>
                <w:szCs w:val="20"/>
                <w:vertAlign w:val="superscript"/>
              </w:rPr>
              <w:t>a</w:t>
            </w:r>
          </w:p>
        </w:tc>
      </w:tr>
      <w:tr w:rsidR="00EB33DD" w:rsidRPr="00EB33DD" w14:paraId="7D3B0328" w14:textId="77777777" w:rsidTr="00EB33DD">
        <w:trPr>
          <w:cantSplit/>
        </w:trPr>
        <w:tc>
          <w:tcPr>
            <w:tcW w:w="2369" w:type="dxa"/>
            <w:gridSpan w:val="2"/>
            <w:vMerge w:val="restart"/>
            <w:tcBorders>
              <w:top w:val="nil"/>
              <w:left w:val="nil"/>
              <w:bottom w:val="nil"/>
              <w:right w:val="nil"/>
            </w:tcBorders>
            <w:shd w:val="clear" w:color="auto" w:fill="FFFFFF"/>
            <w:vAlign w:val="bottom"/>
          </w:tcPr>
          <w:p w14:paraId="6EDB6525" w14:textId="77777777" w:rsidR="00EB33DD" w:rsidRPr="00EB33DD" w:rsidRDefault="00EB33DD" w:rsidP="00EB33DD">
            <w:pPr>
              <w:autoSpaceDE w:val="0"/>
              <w:autoSpaceDN w:val="0"/>
              <w:adjustRightInd w:val="0"/>
              <w:spacing w:after="0" w:line="320" w:lineRule="atLeast"/>
              <w:ind w:left="60" w:right="60"/>
              <w:jc w:val="left"/>
              <w:rPr>
                <w:rFonts w:cs="Times New Roman"/>
                <w:color w:val="264A60"/>
                <w:sz w:val="20"/>
                <w:szCs w:val="20"/>
              </w:rPr>
            </w:pPr>
            <w:r w:rsidRPr="00EB33DD">
              <w:rPr>
                <w:rFonts w:cs="Times New Roman"/>
                <w:color w:val="264A60"/>
                <w:sz w:val="20"/>
                <w:szCs w:val="20"/>
              </w:rPr>
              <w:t>Model</w:t>
            </w:r>
          </w:p>
        </w:tc>
        <w:tc>
          <w:tcPr>
            <w:tcW w:w="1884" w:type="dxa"/>
            <w:gridSpan w:val="2"/>
            <w:tcBorders>
              <w:top w:val="nil"/>
              <w:left w:val="nil"/>
              <w:bottom w:val="nil"/>
              <w:right w:val="single" w:sz="8" w:space="0" w:color="E0E0E0"/>
            </w:tcBorders>
            <w:shd w:val="clear" w:color="auto" w:fill="FFFFFF"/>
            <w:vAlign w:val="bottom"/>
          </w:tcPr>
          <w:p w14:paraId="71C42BEF" w14:textId="77777777" w:rsidR="00EB33DD" w:rsidRPr="00EB33DD" w:rsidRDefault="00EB33DD" w:rsidP="00EB33DD">
            <w:pPr>
              <w:autoSpaceDE w:val="0"/>
              <w:autoSpaceDN w:val="0"/>
              <w:adjustRightInd w:val="0"/>
              <w:spacing w:after="0" w:line="320" w:lineRule="atLeast"/>
              <w:ind w:left="60" w:right="60"/>
              <w:jc w:val="center"/>
              <w:rPr>
                <w:rFonts w:cs="Times New Roman"/>
                <w:color w:val="264A60"/>
                <w:sz w:val="20"/>
                <w:szCs w:val="20"/>
              </w:rPr>
            </w:pPr>
            <w:r w:rsidRPr="00EB33DD">
              <w:rPr>
                <w:rFonts w:cs="Times New Roman"/>
                <w:color w:val="264A60"/>
                <w:sz w:val="20"/>
                <w:szCs w:val="20"/>
              </w:rPr>
              <w:t>Unstandardized Coefficients</w:t>
            </w:r>
          </w:p>
        </w:tc>
        <w:tc>
          <w:tcPr>
            <w:tcW w:w="1276" w:type="dxa"/>
            <w:tcBorders>
              <w:top w:val="nil"/>
              <w:left w:val="single" w:sz="8" w:space="0" w:color="E0E0E0"/>
              <w:bottom w:val="nil"/>
              <w:right w:val="single" w:sz="8" w:space="0" w:color="E0E0E0"/>
            </w:tcBorders>
            <w:shd w:val="clear" w:color="auto" w:fill="FFFFFF"/>
            <w:vAlign w:val="bottom"/>
          </w:tcPr>
          <w:p w14:paraId="0DD65475" w14:textId="77777777" w:rsidR="00EB33DD" w:rsidRPr="00EB33DD" w:rsidRDefault="00EB33DD" w:rsidP="00EB33DD">
            <w:pPr>
              <w:autoSpaceDE w:val="0"/>
              <w:autoSpaceDN w:val="0"/>
              <w:adjustRightInd w:val="0"/>
              <w:spacing w:after="0" w:line="320" w:lineRule="atLeast"/>
              <w:ind w:left="60" w:right="60"/>
              <w:jc w:val="center"/>
              <w:rPr>
                <w:rFonts w:cs="Times New Roman"/>
                <w:color w:val="264A60"/>
                <w:sz w:val="20"/>
                <w:szCs w:val="20"/>
              </w:rPr>
            </w:pPr>
            <w:r w:rsidRPr="00EB33DD">
              <w:rPr>
                <w:rFonts w:cs="Times New Roman"/>
                <w:color w:val="264A60"/>
                <w:sz w:val="20"/>
                <w:szCs w:val="20"/>
              </w:rPr>
              <w:t>Standardized Coefficients</w:t>
            </w:r>
          </w:p>
        </w:tc>
        <w:tc>
          <w:tcPr>
            <w:tcW w:w="992" w:type="dxa"/>
            <w:vMerge w:val="restart"/>
            <w:tcBorders>
              <w:top w:val="nil"/>
              <w:left w:val="single" w:sz="8" w:space="0" w:color="E0E0E0"/>
              <w:bottom w:val="nil"/>
              <w:right w:val="single" w:sz="8" w:space="0" w:color="E0E0E0"/>
            </w:tcBorders>
            <w:shd w:val="clear" w:color="auto" w:fill="FFFFFF"/>
            <w:vAlign w:val="bottom"/>
          </w:tcPr>
          <w:p w14:paraId="7272BDE1" w14:textId="77777777" w:rsidR="00EB33DD" w:rsidRPr="00EB33DD" w:rsidRDefault="00EB33DD" w:rsidP="00EB33DD">
            <w:pPr>
              <w:autoSpaceDE w:val="0"/>
              <w:autoSpaceDN w:val="0"/>
              <w:adjustRightInd w:val="0"/>
              <w:spacing w:after="0" w:line="320" w:lineRule="atLeast"/>
              <w:ind w:left="60" w:right="60"/>
              <w:jc w:val="center"/>
              <w:rPr>
                <w:rFonts w:cs="Times New Roman"/>
                <w:color w:val="264A60"/>
                <w:sz w:val="20"/>
                <w:szCs w:val="20"/>
              </w:rPr>
            </w:pPr>
            <w:r w:rsidRPr="00EB33DD">
              <w:rPr>
                <w:rFonts w:cs="Times New Roman"/>
                <w:color w:val="264A60"/>
                <w:sz w:val="20"/>
                <w:szCs w:val="20"/>
              </w:rPr>
              <w:t>t</w:t>
            </w:r>
          </w:p>
        </w:tc>
        <w:tc>
          <w:tcPr>
            <w:tcW w:w="1134" w:type="dxa"/>
            <w:vMerge w:val="restart"/>
            <w:tcBorders>
              <w:top w:val="nil"/>
              <w:left w:val="single" w:sz="8" w:space="0" w:color="E0E0E0"/>
              <w:bottom w:val="nil"/>
              <w:right w:val="nil"/>
            </w:tcBorders>
            <w:shd w:val="clear" w:color="auto" w:fill="FFFFFF"/>
            <w:vAlign w:val="bottom"/>
          </w:tcPr>
          <w:p w14:paraId="36EB557A" w14:textId="77777777" w:rsidR="00EB33DD" w:rsidRPr="00EB33DD" w:rsidRDefault="00EB33DD" w:rsidP="00EB33DD">
            <w:pPr>
              <w:autoSpaceDE w:val="0"/>
              <w:autoSpaceDN w:val="0"/>
              <w:adjustRightInd w:val="0"/>
              <w:spacing w:after="0" w:line="320" w:lineRule="atLeast"/>
              <w:ind w:left="60" w:right="60"/>
              <w:jc w:val="center"/>
              <w:rPr>
                <w:rFonts w:cs="Times New Roman"/>
                <w:color w:val="264A60"/>
                <w:sz w:val="20"/>
                <w:szCs w:val="20"/>
              </w:rPr>
            </w:pPr>
            <w:r w:rsidRPr="00EB33DD">
              <w:rPr>
                <w:rFonts w:cs="Times New Roman"/>
                <w:color w:val="264A60"/>
                <w:sz w:val="20"/>
                <w:szCs w:val="20"/>
              </w:rPr>
              <w:t>Sig.</w:t>
            </w:r>
          </w:p>
        </w:tc>
      </w:tr>
      <w:tr w:rsidR="00EB33DD" w:rsidRPr="00EB33DD" w14:paraId="0C0D9C96" w14:textId="77777777" w:rsidTr="00EB33DD">
        <w:trPr>
          <w:cantSplit/>
        </w:trPr>
        <w:tc>
          <w:tcPr>
            <w:tcW w:w="2369" w:type="dxa"/>
            <w:gridSpan w:val="2"/>
            <w:vMerge/>
            <w:tcBorders>
              <w:top w:val="nil"/>
              <w:left w:val="nil"/>
              <w:bottom w:val="nil"/>
              <w:right w:val="nil"/>
            </w:tcBorders>
            <w:shd w:val="clear" w:color="auto" w:fill="FFFFFF"/>
            <w:vAlign w:val="bottom"/>
          </w:tcPr>
          <w:p w14:paraId="5BF50D91" w14:textId="77777777" w:rsidR="00EB33DD" w:rsidRPr="00EB33DD" w:rsidRDefault="00EB33DD" w:rsidP="00EB33DD">
            <w:pPr>
              <w:autoSpaceDE w:val="0"/>
              <w:autoSpaceDN w:val="0"/>
              <w:adjustRightInd w:val="0"/>
              <w:spacing w:after="0" w:line="240" w:lineRule="auto"/>
              <w:jc w:val="left"/>
              <w:rPr>
                <w:rFonts w:cs="Times New Roman"/>
                <w:color w:val="264A60"/>
                <w:sz w:val="20"/>
                <w:szCs w:val="20"/>
              </w:rPr>
            </w:pPr>
          </w:p>
        </w:tc>
        <w:tc>
          <w:tcPr>
            <w:tcW w:w="892" w:type="dxa"/>
            <w:tcBorders>
              <w:top w:val="nil"/>
              <w:left w:val="nil"/>
              <w:bottom w:val="single" w:sz="8" w:space="0" w:color="152935"/>
              <w:right w:val="single" w:sz="8" w:space="0" w:color="E0E0E0"/>
            </w:tcBorders>
            <w:shd w:val="clear" w:color="auto" w:fill="FFFFFF"/>
            <w:vAlign w:val="bottom"/>
          </w:tcPr>
          <w:p w14:paraId="63164D37" w14:textId="77777777" w:rsidR="00EB33DD" w:rsidRPr="00EB33DD" w:rsidRDefault="00EB33DD" w:rsidP="00EB33DD">
            <w:pPr>
              <w:autoSpaceDE w:val="0"/>
              <w:autoSpaceDN w:val="0"/>
              <w:adjustRightInd w:val="0"/>
              <w:spacing w:after="0" w:line="320" w:lineRule="atLeast"/>
              <w:ind w:left="60" w:right="60"/>
              <w:jc w:val="center"/>
              <w:rPr>
                <w:rFonts w:cs="Times New Roman"/>
                <w:color w:val="264A60"/>
                <w:sz w:val="20"/>
                <w:szCs w:val="20"/>
              </w:rPr>
            </w:pPr>
            <w:r w:rsidRPr="00EB33DD">
              <w:rPr>
                <w:rFonts w:cs="Times New Roman"/>
                <w:color w:val="264A60"/>
                <w:sz w:val="20"/>
                <w:szCs w:val="20"/>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699D1324" w14:textId="77777777" w:rsidR="00EB33DD" w:rsidRPr="00EB33DD" w:rsidRDefault="00EB33DD" w:rsidP="00EB33DD">
            <w:pPr>
              <w:autoSpaceDE w:val="0"/>
              <w:autoSpaceDN w:val="0"/>
              <w:adjustRightInd w:val="0"/>
              <w:spacing w:after="0" w:line="320" w:lineRule="atLeast"/>
              <w:ind w:left="60" w:right="60"/>
              <w:jc w:val="center"/>
              <w:rPr>
                <w:rFonts w:cs="Times New Roman"/>
                <w:color w:val="264A60"/>
                <w:sz w:val="20"/>
                <w:szCs w:val="20"/>
              </w:rPr>
            </w:pPr>
            <w:r w:rsidRPr="00EB33DD">
              <w:rPr>
                <w:rFonts w:cs="Times New Roman"/>
                <w:color w:val="264A60"/>
                <w:sz w:val="20"/>
                <w:szCs w:val="20"/>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49F435F4" w14:textId="77777777" w:rsidR="00EB33DD" w:rsidRPr="00EB33DD" w:rsidRDefault="00EB33DD" w:rsidP="00EB33DD">
            <w:pPr>
              <w:autoSpaceDE w:val="0"/>
              <w:autoSpaceDN w:val="0"/>
              <w:adjustRightInd w:val="0"/>
              <w:spacing w:after="0" w:line="320" w:lineRule="atLeast"/>
              <w:ind w:left="60" w:right="60"/>
              <w:jc w:val="center"/>
              <w:rPr>
                <w:rFonts w:cs="Times New Roman"/>
                <w:color w:val="264A60"/>
                <w:sz w:val="20"/>
                <w:szCs w:val="20"/>
              </w:rPr>
            </w:pPr>
            <w:r w:rsidRPr="00EB33DD">
              <w:rPr>
                <w:rFonts w:cs="Times New Roman"/>
                <w:color w:val="264A60"/>
                <w:sz w:val="20"/>
                <w:szCs w:val="20"/>
              </w:rPr>
              <w:t>Beta</w:t>
            </w:r>
          </w:p>
        </w:tc>
        <w:tc>
          <w:tcPr>
            <w:tcW w:w="992" w:type="dxa"/>
            <w:vMerge/>
            <w:tcBorders>
              <w:top w:val="nil"/>
              <w:left w:val="single" w:sz="8" w:space="0" w:color="E0E0E0"/>
              <w:bottom w:val="nil"/>
              <w:right w:val="single" w:sz="8" w:space="0" w:color="E0E0E0"/>
            </w:tcBorders>
            <w:shd w:val="clear" w:color="auto" w:fill="FFFFFF"/>
            <w:vAlign w:val="bottom"/>
          </w:tcPr>
          <w:p w14:paraId="38C69E5E" w14:textId="77777777" w:rsidR="00EB33DD" w:rsidRPr="00EB33DD" w:rsidRDefault="00EB33DD" w:rsidP="00EB33DD">
            <w:pPr>
              <w:autoSpaceDE w:val="0"/>
              <w:autoSpaceDN w:val="0"/>
              <w:adjustRightInd w:val="0"/>
              <w:spacing w:after="0" w:line="240" w:lineRule="auto"/>
              <w:jc w:val="left"/>
              <w:rPr>
                <w:rFonts w:cs="Times New Roman"/>
                <w:color w:val="264A60"/>
                <w:sz w:val="20"/>
                <w:szCs w:val="20"/>
              </w:rPr>
            </w:pPr>
          </w:p>
        </w:tc>
        <w:tc>
          <w:tcPr>
            <w:tcW w:w="1134" w:type="dxa"/>
            <w:vMerge/>
            <w:tcBorders>
              <w:top w:val="nil"/>
              <w:left w:val="single" w:sz="8" w:space="0" w:color="E0E0E0"/>
              <w:bottom w:val="nil"/>
              <w:right w:val="nil"/>
            </w:tcBorders>
            <w:shd w:val="clear" w:color="auto" w:fill="FFFFFF"/>
            <w:vAlign w:val="bottom"/>
          </w:tcPr>
          <w:p w14:paraId="36B655FD" w14:textId="77777777" w:rsidR="00EB33DD" w:rsidRPr="00EB33DD" w:rsidRDefault="00EB33DD" w:rsidP="00EB33DD">
            <w:pPr>
              <w:autoSpaceDE w:val="0"/>
              <w:autoSpaceDN w:val="0"/>
              <w:adjustRightInd w:val="0"/>
              <w:spacing w:after="0" w:line="240" w:lineRule="auto"/>
              <w:jc w:val="left"/>
              <w:rPr>
                <w:rFonts w:cs="Times New Roman"/>
                <w:color w:val="264A60"/>
                <w:sz w:val="20"/>
                <w:szCs w:val="20"/>
              </w:rPr>
            </w:pPr>
          </w:p>
        </w:tc>
      </w:tr>
      <w:tr w:rsidR="00EB33DD" w:rsidRPr="00EB33DD" w14:paraId="26461C4A" w14:textId="77777777" w:rsidTr="00EB33DD">
        <w:trPr>
          <w:cantSplit/>
        </w:trPr>
        <w:tc>
          <w:tcPr>
            <w:tcW w:w="170" w:type="dxa"/>
            <w:vMerge w:val="restart"/>
            <w:tcBorders>
              <w:top w:val="single" w:sz="8" w:space="0" w:color="152935"/>
              <w:left w:val="nil"/>
              <w:bottom w:val="single" w:sz="8" w:space="0" w:color="152935"/>
              <w:right w:val="nil"/>
            </w:tcBorders>
            <w:shd w:val="clear" w:color="auto" w:fill="E0E0E0"/>
          </w:tcPr>
          <w:p w14:paraId="013CD986" w14:textId="77777777" w:rsidR="00EB33DD" w:rsidRPr="00EB33DD" w:rsidRDefault="00EB33DD" w:rsidP="00EB33DD">
            <w:pPr>
              <w:autoSpaceDE w:val="0"/>
              <w:autoSpaceDN w:val="0"/>
              <w:adjustRightInd w:val="0"/>
              <w:spacing w:after="0" w:line="320" w:lineRule="atLeast"/>
              <w:ind w:left="60" w:right="60"/>
              <w:jc w:val="left"/>
              <w:rPr>
                <w:rFonts w:cs="Times New Roman"/>
                <w:color w:val="264A60"/>
                <w:sz w:val="20"/>
                <w:szCs w:val="20"/>
              </w:rPr>
            </w:pPr>
            <w:r w:rsidRPr="00EB33DD">
              <w:rPr>
                <w:rFonts w:cs="Times New Roman"/>
                <w:color w:val="264A60"/>
                <w:sz w:val="20"/>
                <w:szCs w:val="20"/>
              </w:rPr>
              <w:t>1</w:t>
            </w:r>
          </w:p>
        </w:tc>
        <w:tc>
          <w:tcPr>
            <w:tcW w:w="2199" w:type="dxa"/>
            <w:tcBorders>
              <w:top w:val="single" w:sz="8" w:space="0" w:color="152935"/>
              <w:left w:val="nil"/>
              <w:bottom w:val="single" w:sz="8" w:space="0" w:color="AEAEAE"/>
              <w:right w:val="nil"/>
            </w:tcBorders>
            <w:shd w:val="clear" w:color="auto" w:fill="E0E0E0"/>
          </w:tcPr>
          <w:p w14:paraId="1671918B" w14:textId="77777777" w:rsidR="00EB33DD" w:rsidRPr="00EB33DD" w:rsidRDefault="00EB33DD" w:rsidP="00EB33DD">
            <w:pPr>
              <w:autoSpaceDE w:val="0"/>
              <w:autoSpaceDN w:val="0"/>
              <w:adjustRightInd w:val="0"/>
              <w:spacing w:after="0" w:line="320" w:lineRule="atLeast"/>
              <w:ind w:left="60" w:right="60"/>
              <w:jc w:val="left"/>
              <w:rPr>
                <w:rFonts w:cs="Times New Roman"/>
                <w:color w:val="264A60"/>
                <w:sz w:val="20"/>
                <w:szCs w:val="20"/>
              </w:rPr>
            </w:pPr>
            <w:r w:rsidRPr="00EB33DD">
              <w:rPr>
                <w:rFonts w:cs="Times New Roman"/>
                <w:color w:val="264A60"/>
                <w:sz w:val="20"/>
                <w:szCs w:val="20"/>
              </w:rPr>
              <w:t>(Constant)</w:t>
            </w:r>
          </w:p>
        </w:tc>
        <w:tc>
          <w:tcPr>
            <w:tcW w:w="892" w:type="dxa"/>
            <w:tcBorders>
              <w:top w:val="single" w:sz="8" w:space="0" w:color="152935"/>
              <w:left w:val="nil"/>
              <w:bottom w:val="single" w:sz="8" w:space="0" w:color="AEAEAE"/>
              <w:right w:val="single" w:sz="8" w:space="0" w:color="E0E0E0"/>
            </w:tcBorders>
            <w:shd w:val="clear" w:color="auto" w:fill="FFFFFF"/>
          </w:tcPr>
          <w:p w14:paraId="1DE94D41"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.117</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1A4567BB"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.085</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3A93A19" w14:textId="77777777" w:rsidR="00EB33DD" w:rsidRPr="00EB33DD" w:rsidRDefault="00EB33DD" w:rsidP="00EB33DD">
            <w:pPr>
              <w:autoSpaceDE w:val="0"/>
              <w:autoSpaceDN w:val="0"/>
              <w:adjustRightInd w:val="0"/>
              <w:spacing w:after="0" w:line="240" w:lineRule="auto"/>
              <w:jc w:val="left"/>
              <w:rPr>
                <w:rFonts w:cs="Times New Roman"/>
                <w:sz w:val="20"/>
                <w:szCs w:val="20"/>
              </w:rPr>
            </w:pP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3E26CC61"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1.384</w:t>
            </w:r>
          </w:p>
        </w:tc>
        <w:tc>
          <w:tcPr>
            <w:tcW w:w="1134" w:type="dxa"/>
            <w:tcBorders>
              <w:top w:val="single" w:sz="8" w:space="0" w:color="152935"/>
              <w:left w:val="single" w:sz="8" w:space="0" w:color="E0E0E0"/>
              <w:bottom w:val="single" w:sz="8" w:space="0" w:color="AEAEAE"/>
              <w:right w:val="nil"/>
            </w:tcBorders>
            <w:shd w:val="clear" w:color="auto" w:fill="FFFFFF"/>
          </w:tcPr>
          <w:p w14:paraId="717B67B2"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.172</w:t>
            </w:r>
          </w:p>
        </w:tc>
      </w:tr>
      <w:tr w:rsidR="00EB33DD" w:rsidRPr="00EB33DD" w14:paraId="05F966F7" w14:textId="77777777" w:rsidTr="00EB33DD">
        <w:trPr>
          <w:cantSplit/>
        </w:trPr>
        <w:tc>
          <w:tcPr>
            <w:tcW w:w="170" w:type="dxa"/>
            <w:vMerge/>
            <w:tcBorders>
              <w:top w:val="single" w:sz="8" w:space="0" w:color="152935"/>
              <w:left w:val="nil"/>
              <w:bottom w:val="single" w:sz="8" w:space="0" w:color="152935"/>
              <w:right w:val="nil"/>
            </w:tcBorders>
            <w:shd w:val="clear" w:color="auto" w:fill="E0E0E0"/>
          </w:tcPr>
          <w:p w14:paraId="6AB809D6" w14:textId="77777777" w:rsidR="00EB33DD" w:rsidRPr="00EB33DD" w:rsidRDefault="00EB33DD" w:rsidP="00EB33DD">
            <w:pPr>
              <w:autoSpaceDE w:val="0"/>
              <w:autoSpaceDN w:val="0"/>
              <w:adjustRightInd w:val="0"/>
              <w:spacing w:after="0" w:line="240" w:lineRule="auto"/>
              <w:jc w:val="left"/>
              <w:rPr>
                <w:rFonts w:cs="Times New Roman"/>
                <w:color w:val="010205"/>
                <w:sz w:val="20"/>
                <w:szCs w:val="20"/>
              </w:rPr>
            </w:pPr>
          </w:p>
        </w:tc>
        <w:tc>
          <w:tcPr>
            <w:tcW w:w="2199" w:type="dxa"/>
            <w:tcBorders>
              <w:top w:val="single" w:sz="8" w:space="0" w:color="AEAEAE"/>
              <w:left w:val="nil"/>
              <w:bottom w:val="single" w:sz="8" w:space="0" w:color="AEAEAE"/>
              <w:right w:val="nil"/>
            </w:tcBorders>
            <w:shd w:val="clear" w:color="auto" w:fill="E0E0E0"/>
          </w:tcPr>
          <w:p w14:paraId="315E5778" w14:textId="77777777" w:rsidR="00EB33DD" w:rsidRPr="00EB33DD" w:rsidRDefault="00EB33DD" w:rsidP="00EB33DD">
            <w:pPr>
              <w:autoSpaceDE w:val="0"/>
              <w:autoSpaceDN w:val="0"/>
              <w:adjustRightInd w:val="0"/>
              <w:spacing w:after="0" w:line="320" w:lineRule="atLeast"/>
              <w:ind w:left="60" w:right="60"/>
              <w:jc w:val="left"/>
              <w:rPr>
                <w:rFonts w:cs="Times New Roman"/>
                <w:color w:val="264A60"/>
                <w:sz w:val="20"/>
                <w:szCs w:val="20"/>
              </w:rPr>
            </w:pPr>
            <w:r w:rsidRPr="00EB33DD">
              <w:rPr>
                <w:rFonts w:cs="Times New Roman"/>
                <w:color w:val="264A60"/>
                <w:sz w:val="20"/>
                <w:szCs w:val="20"/>
              </w:rPr>
              <w:t>Leverage</w:t>
            </w:r>
          </w:p>
        </w:tc>
        <w:tc>
          <w:tcPr>
            <w:tcW w:w="892" w:type="dxa"/>
            <w:tcBorders>
              <w:top w:val="single" w:sz="8" w:space="0" w:color="AEAEAE"/>
              <w:left w:val="nil"/>
              <w:bottom w:val="single" w:sz="8" w:space="0" w:color="AEAEAE"/>
              <w:right w:val="single" w:sz="8" w:space="0" w:color="E0E0E0"/>
            </w:tcBorders>
            <w:shd w:val="clear" w:color="auto" w:fill="FFFFFF"/>
          </w:tcPr>
          <w:p w14:paraId="0B4E72AF"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.011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5B92601D"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.006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197E2FC0"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.277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18FA8BDB"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1.828</w:t>
            </w:r>
          </w:p>
        </w:tc>
        <w:tc>
          <w:tcPr>
            <w:tcW w:w="1134" w:type="dxa"/>
            <w:tcBorders>
              <w:top w:val="single" w:sz="8" w:space="0" w:color="AEAEAE"/>
              <w:left w:val="single" w:sz="8" w:space="0" w:color="E0E0E0"/>
              <w:bottom w:val="single" w:sz="8" w:space="0" w:color="AEAEAE"/>
              <w:right w:val="nil"/>
            </w:tcBorders>
            <w:shd w:val="clear" w:color="auto" w:fill="FFFFFF"/>
          </w:tcPr>
          <w:p w14:paraId="5ED3FF63"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.073</w:t>
            </w:r>
          </w:p>
        </w:tc>
      </w:tr>
      <w:tr w:rsidR="00EB33DD" w:rsidRPr="00EB33DD" w14:paraId="62F11F98" w14:textId="77777777" w:rsidTr="00EB33DD">
        <w:trPr>
          <w:cantSplit/>
        </w:trPr>
        <w:tc>
          <w:tcPr>
            <w:tcW w:w="170" w:type="dxa"/>
            <w:vMerge/>
            <w:tcBorders>
              <w:top w:val="single" w:sz="8" w:space="0" w:color="152935"/>
              <w:left w:val="nil"/>
              <w:bottom w:val="single" w:sz="8" w:space="0" w:color="152935"/>
              <w:right w:val="nil"/>
            </w:tcBorders>
            <w:shd w:val="clear" w:color="auto" w:fill="E0E0E0"/>
          </w:tcPr>
          <w:p w14:paraId="4BEFB7B8" w14:textId="77777777" w:rsidR="00EB33DD" w:rsidRPr="00EB33DD" w:rsidRDefault="00EB33DD" w:rsidP="00EB33DD">
            <w:pPr>
              <w:autoSpaceDE w:val="0"/>
              <w:autoSpaceDN w:val="0"/>
              <w:adjustRightInd w:val="0"/>
              <w:spacing w:after="0" w:line="240" w:lineRule="auto"/>
              <w:jc w:val="left"/>
              <w:rPr>
                <w:rFonts w:cs="Times New Roman"/>
                <w:color w:val="010205"/>
                <w:sz w:val="20"/>
                <w:szCs w:val="20"/>
              </w:rPr>
            </w:pPr>
          </w:p>
        </w:tc>
        <w:tc>
          <w:tcPr>
            <w:tcW w:w="2199" w:type="dxa"/>
            <w:tcBorders>
              <w:top w:val="single" w:sz="8" w:space="0" w:color="AEAEAE"/>
              <w:left w:val="nil"/>
              <w:bottom w:val="single" w:sz="8" w:space="0" w:color="AEAEAE"/>
              <w:right w:val="nil"/>
            </w:tcBorders>
            <w:shd w:val="clear" w:color="auto" w:fill="E0E0E0"/>
          </w:tcPr>
          <w:p w14:paraId="4667EB34" w14:textId="77777777" w:rsidR="00EB33DD" w:rsidRPr="00EB33DD" w:rsidRDefault="00EB33DD" w:rsidP="00EB33DD">
            <w:pPr>
              <w:autoSpaceDE w:val="0"/>
              <w:autoSpaceDN w:val="0"/>
              <w:adjustRightInd w:val="0"/>
              <w:spacing w:after="0" w:line="320" w:lineRule="atLeast"/>
              <w:ind w:left="60" w:right="60"/>
              <w:jc w:val="left"/>
              <w:rPr>
                <w:rFonts w:cs="Times New Roman"/>
                <w:color w:val="264A60"/>
                <w:sz w:val="20"/>
                <w:szCs w:val="20"/>
              </w:rPr>
            </w:pPr>
            <w:r w:rsidRPr="00EB33DD">
              <w:rPr>
                <w:rFonts w:cs="Times New Roman"/>
                <w:color w:val="264A60"/>
                <w:sz w:val="20"/>
                <w:szCs w:val="20"/>
              </w:rPr>
              <w:t>Likuiditas</w:t>
            </w:r>
          </w:p>
        </w:tc>
        <w:tc>
          <w:tcPr>
            <w:tcW w:w="892" w:type="dxa"/>
            <w:tcBorders>
              <w:top w:val="single" w:sz="8" w:space="0" w:color="AEAEAE"/>
              <w:left w:val="nil"/>
              <w:bottom w:val="single" w:sz="8" w:space="0" w:color="AEAEAE"/>
              <w:right w:val="single" w:sz="8" w:space="0" w:color="E0E0E0"/>
            </w:tcBorders>
            <w:shd w:val="clear" w:color="auto" w:fill="FFFFFF"/>
          </w:tcPr>
          <w:p w14:paraId="1BB7102C"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.000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58F41923"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.001</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2775338D"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.231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564767E9"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.465</w:t>
            </w:r>
          </w:p>
        </w:tc>
        <w:tc>
          <w:tcPr>
            <w:tcW w:w="1134" w:type="dxa"/>
            <w:tcBorders>
              <w:top w:val="single" w:sz="8" w:space="0" w:color="AEAEAE"/>
              <w:left w:val="single" w:sz="8" w:space="0" w:color="E0E0E0"/>
              <w:bottom w:val="single" w:sz="8" w:space="0" w:color="AEAEAE"/>
              <w:right w:val="nil"/>
            </w:tcBorders>
            <w:shd w:val="clear" w:color="auto" w:fill="FFFFFF"/>
          </w:tcPr>
          <w:p w14:paraId="0C6A3E9F"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.644</w:t>
            </w:r>
          </w:p>
        </w:tc>
      </w:tr>
      <w:tr w:rsidR="00EB33DD" w:rsidRPr="00EB33DD" w14:paraId="58EC7C54" w14:textId="77777777" w:rsidTr="00EB33DD">
        <w:trPr>
          <w:cantSplit/>
        </w:trPr>
        <w:tc>
          <w:tcPr>
            <w:tcW w:w="170" w:type="dxa"/>
            <w:vMerge/>
            <w:tcBorders>
              <w:top w:val="single" w:sz="8" w:space="0" w:color="152935"/>
              <w:left w:val="nil"/>
              <w:bottom w:val="single" w:sz="8" w:space="0" w:color="152935"/>
              <w:right w:val="nil"/>
            </w:tcBorders>
            <w:shd w:val="clear" w:color="auto" w:fill="E0E0E0"/>
          </w:tcPr>
          <w:p w14:paraId="5755EF25" w14:textId="77777777" w:rsidR="00EB33DD" w:rsidRPr="00EB33DD" w:rsidRDefault="00EB33DD" w:rsidP="00EB33DD">
            <w:pPr>
              <w:autoSpaceDE w:val="0"/>
              <w:autoSpaceDN w:val="0"/>
              <w:adjustRightInd w:val="0"/>
              <w:spacing w:after="0" w:line="240" w:lineRule="auto"/>
              <w:jc w:val="left"/>
              <w:rPr>
                <w:rFonts w:cs="Times New Roman"/>
                <w:color w:val="010205"/>
                <w:sz w:val="20"/>
                <w:szCs w:val="20"/>
              </w:rPr>
            </w:pPr>
          </w:p>
        </w:tc>
        <w:tc>
          <w:tcPr>
            <w:tcW w:w="2199" w:type="dxa"/>
            <w:tcBorders>
              <w:top w:val="single" w:sz="8" w:space="0" w:color="AEAEAE"/>
              <w:left w:val="nil"/>
              <w:bottom w:val="single" w:sz="8" w:space="0" w:color="AEAEAE"/>
              <w:right w:val="nil"/>
            </w:tcBorders>
            <w:shd w:val="clear" w:color="auto" w:fill="E0E0E0"/>
          </w:tcPr>
          <w:p w14:paraId="16C451FC" w14:textId="77777777" w:rsidR="00EB33DD" w:rsidRPr="00EB33DD" w:rsidRDefault="00EB33DD" w:rsidP="00EB33DD">
            <w:pPr>
              <w:autoSpaceDE w:val="0"/>
              <w:autoSpaceDN w:val="0"/>
              <w:adjustRightInd w:val="0"/>
              <w:spacing w:after="0" w:line="320" w:lineRule="atLeast"/>
              <w:ind w:left="60" w:right="60"/>
              <w:jc w:val="left"/>
              <w:rPr>
                <w:rFonts w:cs="Times New Roman"/>
                <w:color w:val="264A60"/>
                <w:sz w:val="20"/>
                <w:szCs w:val="20"/>
              </w:rPr>
            </w:pPr>
            <w:r w:rsidRPr="00EB33DD">
              <w:rPr>
                <w:rFonts w:cs="Times New Roman"/>
                <w:color w:val="264A60"/>
                <w:sz w:val="20"/>
                <w:szCs w:val="20"/>
              </w:rPr>
              <w:t>Firm size</w:t>
            </w:r>
          </w:p>
        </w:tc>
        <w:tc>
          <w:tcPr>
            <w:tcW w:w="892" w:type="dxa"/>
            <w:tcBorders>
              <w:top w:val="single" w:sz="8" w:space="0" w:color="AEAEAE"/>
              <w:left w:val="nil"/>
              <w:bottom w:val="single" w:sz="8" w:space="0" w:color="AEAEAE"/>
              <w:right w:val="single" w:sz="8" w:space="0" w:color="E0E0E0"/>
            </w:tcBorders>
            <w:shd w:val="clear" w:color="auto" w:fill="FFFFFF"/>
          </w:tcPr>
          <w:p w14:paraId="0489E779"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.004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3981C5E7"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.007</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42920A8E"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.145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77ABC90B"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.637</w:t>
            </w:r>
          </w:p>
        </w:tc>
        <w:tc>
          <w:tcPr>
            <w:tcW w:w="1134" w:type="dxa"/>
            <w:tcBorders>
              <w:top w:val="single" w:sz="8" w:space="0" w:color="AEAEAE"/>
              <w:left w:val="single" w:sz="8" w:space="0" w:color="E0E0E0"/>
              <w:bottom w:val="single" w:sz="8" w:space="0" w:color="AEAEAE"/>
              <w:right w:val="nil"/>
            </w:tcBorders>
            <w:shd w:val="clear" w:color="auto" w:fill="FFFFFF"/>
          </w:tcPr>
          <w:p w14:paraId="144C9493"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.527</w:t>
            </w:r>
          </w:p>
        </w:tc>
      </w:tr>
      <w:tr w:rsidR="00EB33DD" w:rsidRPr="00EB33DD" w14:paraId="04B6E2CE" w14:textId="77777777" w:rsidTr="00EB33DD">
        <w:trPr>
          <w:cantSplit/>
        </w:trPr>
        <w:tc>
          <w:tcPr>
            <w:tcW w:w="170" w:type="dxa"/>
            <w:vMerge/>
            <w:tcBorders>
              <w:top w:val="single" w:sz="8" w:space="0" w:color="152935"/>
              <w:left w:val="nil"/>
              <w:bottom w:val="single" w:sz="8" w:space="0" w:color="152935"/>
              <w:right w:val="nil"/>
            </w:tcBorders>
            <w:shd w:val="clear" w:color="auto" w:fill="E0E0E0"/>
          </w:tcPr>
          <w:p w14:paraId="036A93D0" w14:textId="77777777" w:rsidR="00EB33DD" w:rsidRPr="00EB33DD" w:rsidRDefault="00EB33DD" w:rsidP="00EB33DD">
            <w:pPr>
              <w:autoSpaceDE w:val="0"/>
              <w:autoSpaceDN w:val="0"/>
              <w:adjustRightInd w:val="0"/>
              <w:spacing w:after="0" w:line="240" w:lineRule="auto"/>
              <w:jc w:val="left"/>
              <w:rPr>
                <w:rFonts w:cs="Times New Roman"/>
                <w:color w:val="010205"/>
                <w:sz w:val="20"/>
                <w:szCs w:val="20"/>
              </w:rPr>
            </w:pPr>
          </w:p>
        </w:tc>
        <w:tc>
          <w:tcPr>
            <w:tcW w:w="2199" w:type="dxa"/>
            <w:tcBorders>
              <w:top w:val="single" w:sz="8" w:space="0" w:color="AEAEAE"/>
              <w:left w:val="nil"/>
              <w:bottom w:val="single" w:sz="8" w:space="0" w:color="AEAEAE"/>
              <w:right w:val="nil"/>
            </w:tcBorders>
            <w:shd w:val="clear" w:color="auto" w:fill="E0E0E0"/>
          </w:tcPr>
          <w:p w14:paraId="2AB53841" w14:textId="77777777" w:rsidR="00EB33DD" w:rsidRPr="00EB33DD" w:rsidRDefault="00EB33DD" w:rsidP="00EB33DD">
            <w:pPr>
              <w:autoSpaceDE w:val="0"/>
              <w:autoSpaceDN w:val="0"/>
              <w:adjustRightInd w:val="0"/>
              <w:spacing w:after="0" w:line="320" w:lineRule="atLeast"/>
              <w:ind w:left="60" w:right="60"/>
              <w:jc w:val="left"/>
              <w:rPr>
                <w:rFonts w:cs="Times New Roman"/>
                <w:color w:val="264A60"/>
                <w:sz w:val="20"/>
                <w:szCs w:val="20"/>
              </w:rPr>
            </w:pPr>
            <w:r w:rsidRPr="00EB33DD">
              <w:rPr>
                <w:rFonts w:cs="Times New Roman"/>
                <w:color w:val="264A60"/>
                <w:sz w:val="20"/>
                <w:szCs w:val="20"/>
              </w:rPr>
              <w:t>Profitabilitas</w:t>
            </w:r>
          </w:p>
        </w:tc>
        <w:tc>
          <w:tcPr>
            <w:tcW w:w="892" w:type="dxa"/>
            <w:tcBorders>
              <w:top w:val="single" w:sz="8" w:space="0" w:color="AEAEAE"/>
              <w:left w:val="nil"/>
              <w:bottom w:val="single" w:sz="8" w:space="0" w:color="AEAEAE"/>
              <w:right w:val="single" w:sz="8" w:space="0" w:color="E0E0E0"/>
            </w:tcBorders>
            <w:shd w:val="clear" w:color="auto" w:fill="FFFFFF"/>
          </w:tcPr>
          <w:p w14:paraId="053BD71B"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.321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63B7D0D7"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1.245</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1DD3C47D"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.216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6025B6F7"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.258</w:t>
            </w:r>
          </w:p>
        </w:tc>
        <w:tc>
          <w:tcPr>
            <w:tcW w:w="1134" w:type="dxa"/>
            <w:tcBorders>
              <w:top w:val="single" w:sz="8" w:space="0" w:color="AEAEAE"/>
              <w:left w:val="single" w:sz="8" w:space="0" w:color="E0E0E0"/>
              <w:bottom w:val="single" w:sz="8" w:space="0" w:color="AEAEAE"/>
              <w:right w:val="nil"/>
            </w:tcBorders>
            <w:shd w:val="clear" w:color="auto" w:fill="FFFFFF"/>
          </w:tcPr>
          <w:p w14:paraId="21E90D7B"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.798</w:t>
            </w:r>
          </w:p>
        </w:tc>
      </w:tr>
      <w:tr w:rsidR="00EB33DD" w:rsidRPr="00EB33DD" w14:paraId="55593FAE" w14:textId="77777777" w:rsidTr="00EB33DD">
        <w:trPr>
          <w:cantSplit/>
        </w:trPr>
        <w:tc>
          <w:tcPr>
            <w:tcW w:w="170" w:type="dxa"/>
            <w:vMerge/>
            <w:tcBorders>
              <w:top w:val="single" w:sz="8" w:space="0" w:color="152935"/>
              <w:left w:val="nil"/>
              <w:bottom w:val="single" w:sz="8" w:space="0" w:color="152935"/>
              <w:right w:val="nil"/>
            </w:tcBorders>
            <w:shd w:val="clear" w:color="auto" w:fill="E0E0E0"/>
          </w:tcPr>
          <w:p w14:paraId="7727B85F" w14:textId="77777777" w:rsidR="00EB33DD" w:rsidRPr="00EB33DD" w:rsidRDefault="00EB33DD" w:rsidP="00EB33DD">
            <w:pPr>
              <w:autoSpaceDE w:val="0"/>
              <w:autoSpaceDN w:val="0"/>
              <w:adjustRightInd w:val="0"/>
              <w:spacing w:after="0" w:line="240" w:lineRule="auto"/>
              <w:jc w:val="left"/>
              <w:rPr>
                <w:rFonts w:cs="Times New Roman"/>
                <w:color w:val="010205"/>
                <w:sz w:val="20"/>
                <w:szCs w:val="20"/>
              </w:rPr>
            </w:pPr>
          </w:p>
        </w:tc>
        <w:tc>
          <w:tcPr>
            <w:tcW w:w="2199" w:type="dxa"/>
            <w:tcBorders>
              <w:top w:val="single" w:sz="8" w:space="0" w:color="AEAEAE"/>
              <w:left w:val="nil"/>
              <w:bottom w:val="single" w:sz="8" w:space="0" w:color="AEAEAE"/>
              <w:right w:val="nil"/>
            </w:tcBorders>
            <w:shd w:val="clear" w:color="auto" w:fill="E0E0E0"/>
          </w:tcPr>
          <w:p w14:paraId="49D915EA" w14:textId="77777777" w:rsidR="00EB33DD" w:rsidRPr="00EB33DD" w:rsidRDefault="00EB33DD" w:rsidP="00EB33DD">
            <w:pPr>
              <w:autoSpaceDE w:val="0"/>
              <w:autoSpaceDN w:val="0"/>
              <w:adjustRightInd w:val="0"/>
              <w:spacing w:after="0" w:line="320" w:lineRule="atLeast"/>
              <w:ind w:left="60" w:right="60"/>
              <w:jc w:val="left"/>
              <w:rPr>
                <w:rFonts w:cs="Times New Roman"/>
                <w:color w:val="264A60"/>
                <w:sz w:val="20"/>
                <w:szCs w:val="20"/>
              </w:rPr>
            </w:pPr>
            <w:r w:rsidRPr="00EB33DD">
              <w:rPr>
                <w:rFonts w:cs="Times New Roman"/>
                <w:color w:val="264A60"/>
                <w:sz w:val="20"/>
                <w:szCs w:val="20"/>
              </w:rPr>
              <w:t>Leverage*Profitabilitas</w:t>
            </w:r>
          </w:p>
        </w:tc>
        <w:tc>
          <w:tcPr>
            <w:tcW w:w="892" w:type="dxa"/>
            <w:tcBorders>
              <w:top w:val="single" w:sz="8" w:space="0" w:color="AEAEAE"/>
              <w:left w:val="nil"/>
              <w:bottom w:val="single" w:sz="8" w:space="0" w:color="AEAEAE"/>
              <w:right w:val="single" w:sz="8" w:space="0" w:color="E0E0E0"/>
            </w:tcBorders>
            <w:shd w:val="clear" w:color="auto" w:fill="FFFFFF"/>
          </w:tcPr>
          <w:p w14:paraId="282A8029"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.140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018369AF"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.241</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297A0850"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.281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499D9F35"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.580</w:t>
            </w:r>
          </w:p>
        </w:tc>
        <w:tc>
          <w:tcPr>
            <w:tcW w:w="1134" w:type="dxa"/>
            <w:tcBorders>
              <w:top w:val="single" w:sz="8" w:space="0" w:color="AEAEAE"/>
              <w:left w:val="single" w:sz="8" w:space="0" w:color="E0E0E0"/>
              <w:bottom w:val="single" w:sz="8" w:space="0" w:color="AEAEAE"/>
              <w:right w:val="nil"/>
            </w:tcBorders>
            <w:shd w:val="clear" w:color="auto" w:fill="FFFFFF"/>
          </w:tcPr>
          <w:p w14:paraId="3EF197CC"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.564</w:t>
            </w:r>
          </w:p>
        </w:tc>
      </w:tr>
      <w:tr w:rsidR="00EB33DD" w:rsidRPr="00EB33DD" w14:paraId="4B5558DC" w14:textId="77777777" w:rsidTr="00EB33DD">
        <w:trPr>
          <w:cantSplit/>
        </w:trPr>
        <w:tc>
          <w:tcPr>
            <w:tcW w:w="170" w:type="dxa"/>
            <w:vMerge/>
            <w:tcBorders>
              <w:top w:val="single" w:sz="8" w:space="0" w:color="152935"/>
              <w:left w:val="nil"/>
              <w:bottom w:val="single" w:sz="8" w:space="0" w:color="152935"/>
              <w:right w:val="nil"/>
            </w:tcBorders>
            <w:shd w:val="clear" w:color="auto" w:fill="E0E0E0"/>
          </w:tcPr>
          <w:p w14:paraId="5BECD67E" w14:textId="77777777" w:rsidR="00EB33DD" w:rsidRPr="00EB33DD" w:rsidRDefault="00EB33DD" w:rsidP="00EB33DD">
            <w:pPr>
              <w:autoSpaceDE w:val="0"/>
              <w:autoSpaceDN w:val="0"/>
              <w:adjustRightInd w:val="0"/>
              <w:spacing w:after="0" w:line="240" w:lineRule="auto"/>
              <w:jc w:val="left"/>
              <w:rPr>
                <w:rFonts w:cs="Times New Roman"/>
                <w:color w:val="010205"/>
                <w:sz w:val="20"/>
                <w:szCs w:val="20"/>
              </w:rPr>
            </w:pPr>
          </w:p>
        </w:tc>
        <w:tc>
          <w:tcPr>
            <w:tcW w:w="2199" w:type="dxa"/>
            <w:tcBorders>
              <w:top w:val="single" w:sz="8" w:space="0" w:color="AEAEAE"/>
              <w:left w:val="nil"/>
              <w:bottom w:val="single" w:sz="8" w:space="0" w:color="AEAEAE"/>
              <w:right w:val="nil"/>
            </w:tcBorders>
            <w:shd w:val="clear" w:color="auto" w:fill="E0E0E0"/>
          </w:tcPr>
          <w:p w14:paraId="27ED8946" w14:textId="77777777" w:rsidR="00EB33DD" w:rsidRPr="00EB33DD" w:rsidRDefault="00EB33DD" w:rsidP="00EB33DD">
            <w:pPr>
              <w:autoSpaceDE w:val="0"/>
              <w:autoSpaceDN w:val="0"/>
              <w:adjustRightInd w:val="0"/>
              <w:spacing w:after="0" w:line="320" w:lineRule="atLeast"/>
              <w:ind w:left="60" w:right="60"/>
              <w:jc w:val="left"/>
              <w:rPr>
                <w:rFonts w:cs="Times New Roman"/>
                <w:color w:val="264A60"/>
                <w:sz w:val="20"/>
                <w:szCs w:val="20"/>
              </w:rPr>
            </w:pPr>
            <w:r w:rsidRPr="00EB33DD">
              <w:rPr>
                <w:rFonts w:cs="Times New Roman"/>
                <w:color w:val="264A60"/>
                <w:sz w:val="20"/>
                <w:szCs w:val="20"/>
              </w:rPr>
              <w:t>Likuiditas*Profitabiltas</w:t>
            </w:r>
          </w:p>
        </w:tc>
        <w:tc>
          <w:tcPr>
            <w:tcW w:w="892" w:type="dxa"/>
            <w:tcBorders>
              <w:top w:val="single" w:sz="8" w:space="0" w:color="AEAEAE"/>
              <w:left w:val="nil"/>
              <w:bottom w:val="single" w:sz="8" w:space="0" w:color="AEAEAE"/>
              <w:right w:val="single" w:sz="8" w:space="0" w:color="E0E0E0"/>
            </w:tcBorders>
            <w:shd w:val="clear" w:color="auto" w:fill="FFFFFF"/>
          </w:tcPr>
          <w:p w14:paraId="5EB812AD"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.000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56B1654A"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.010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6E87BE0B"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.028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689296FE"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.031</w:t>
            </w:r>
          </w:p>
        </w:tc>
        <w:tc>
          <w:tcPr>
            <w:tcW w:w="1134" w:type="dxa"/>
            <w:tcBorders>
              <w:top w:val="single" w:sz="8" w:space="0" w:color="AEAEAE"/>
              <w:left w:val="single" w:sz="8" w:space="0" w:color="E0E0E0"/>
              <w:bottom w:val="single" w:sz="8" w:space="0" w:color="AEAEAE"/>
              <w:right w:val="nil"/>
            </w:tcBorders>
            <w:shd w:val="clear" w:color="auto" w:fill="FFFFFF"/>
          </w:tcPr>
          <w:p w14:paraId="5AB776CC"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.975</w:t>
            </w:r>
          </w:p>
        </w:tc>
      </w:tr>
      <w:tr w:rsidR="00EB33DD" w:rsidRPr="00EB33DD" w14:paraId="57C4F004" w14:textId="77777777" w:rsidTr="00EB33DD">
        <w:trPr>
          <w:cantSplit/>
        </w:trPr>
        <w:tc>
          <w:tcPr>
            <w:tcW w:w="170" w:type="dxa"/>
            <w:vMerge/>
            <w:tcBorders>
              <w:top w:val="single" w:sz="8" w:space="0" w:color="152935"/>
              <w:left w:val="nil"/>
              <w:bottom w:val="single" w:sz="8" w:space="0" w:color="152935"/>
              <w:right w:val="nil"/>
            </w:tcBorders>
            <w:shd w:val="clear" w:color="auto" w:fill="E0E0E0"/>
          </w:tcPr>
          <w:p w14:paraId="243EC737" w14:textId="77777777" w:rsidR="00EB33DD" w:rsidRPr="00EB33DD" w:rsidRDefault="00EB33DD" w:rsidP="00EB33DD">
            <w:pPr>
              <w:autoSpaceDE w:val="0"/>
              <w:autoSpaceDN w:val="0"/>
              <w:adjustRightInd w:val="0"/>
              <w:spacing w:after="0" w:line="240" w:lineRule="auto"/>
              <w:jc w:val="left"/>
              <w:rPr>
                <w:rFonts w:cs="Times New Roman"/>
                <w:color w:val="010205"/>
                <w:sz w:val="20"/>
                <w:szCs w:val="20"/>
              </w:rPr>
            </w:pPr>
          </w:p>
        </w:tc>
        <w:tc>
          <w:tcPr>
            <w:tcW w:w="2199" w:type="dxa"/>
            <w:tcBorders>
              <w:top w:val="single" w:sz="8" w:space="0" w:color="AEAEAE"/>
              <w:left w:val="nil"/>
              <w:bottom w:val="single" w:sz="8" w:space="0" w:color="152935"/>
              <w:right w:val="nil"/>
            </w:tcBorders>
            <w:shd w:val="clear" w:color="auto" w:fill="E0E0E0"/>
          </w:tcPr>
          <w:p w14:paraId="176D53E9" w14:textId="77777777" w:rsidR="00EB33DD" w:rsidRPr="00EB33DD" w:rsidRDefault="00EB33DD" w:rsidP="00EB33DD">
            <w:pPr>
              <w:autoSpaceDE w:val="0"/>
              <w:autoSpaceDN w:val="0"/>
              <w:adjustRightInd w:val="0"/>
              <w:spacing w:after="0" w:line="320" w:lineRule="atLeast"/>
              <w:ind w:left="60" w:right="60"/>
              <w:jc w:val="left"/>
              <w:rPr>
                <w:rFonts w:cs="Times New Roman"/>
                <w:color w:val="264A60"/>
                <w:sz w:val="20"/>
                <w:szCs w:val="20"/>
              </w:rPr>
            </w:pPr>
            <w:r w:rsidRPr="00EB33DD">
              <w:rPr>
                <w:rFonts w:cs="Times New Roman"/>
                <w:color w:val="264A60"/>
                <w:sz w:val="20"/>
                <w:szCs w:val="20"/>
              </w:rPr>
              <w:t>FirmSize*Profitabilitas</w:t>
            </w:r>
          </w:p>
        </w:tc>
        <w:tc>
          <w:tcPr>
            <w:tcW w:w="892" w:type="dxa"/>
            <w:tcBorders>
              <w:top w:val="single" w:sz="8" w:space="0" w:color="AEAEAE"/>
              <w:left w:val="nil"/>
              <w:bottom w:val="single" w:sz="8" w:space="0" w:color="152935"/>
              <w:right w:val="single" w:sz="8" w:space="0" w:color="E0E0E0"/>
            </w:tcBorders>
            <w:shd w:val="clear" w:color="auto" w:fill="FFFFFF"/>
          </w:tcPr>
          <w:p w14:paraId="5838DDB2"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-.037</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189DDD84"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.132</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14:paraId="7B47E159"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-.363</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0F9D0FB7"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-.277</w:t>
            </w:r>
          </w:p>
        </w:tc>
        <w:tc>
          <w:tcPr>
            <w:tcW w:w="1134" w:type="dxa"/>
            <w:tcBorders>
              <w:top w:val="single" w:sz="8" w:space="0" w:color="AEAEAE"/>
              <w:left w:val="single" w:sz="8" w:space="0" w:color="E0E0E0"/>
              <w:bottom w:val="single" w:sz="8" w:space="0" w:color="152935"/>
              <w:right w:val="nil"/>
            </w:tcBorders>
            <w:shd w:val="clear" w:color="auto" w:fill="FFFFFF"/>
          </w:tcPr>
          <w:p w14:paraId="1770A70A" w14:textId="77777777" w:rsidR="00EB33DD" w:rsidRPr="00EB33DD" w:rsidRDefault="00EB33DD" w:rsidP="00EB33DD">
            <w:pPr>
              <w:autoSpaceDE w:val="0"/>
              <w:autoSpaceDN w:val="0"/>
              <w:adjustRightInd w:val="0"/>
              <w:spacing w:after="0" w:line="320" w:lineRule="atLeast"/>
              <w:ind w:left="60" w:right="60"/>
              <w:jc w:val="right"/>
              <w:rPr>
                <w:rFonts w:cs="Times New Roman"/>
                <w:color w:val="010205"/>
                <w:sz w:val="20"/>
                <w:szCs w:val="20"/>
              </w:rPr>
            </w:pPr>
            <w:r w:rsidRPr="00EB33DD">
              <w:rPr>
                <w:rFonts w:cs="Times New Roman"/>
                <w:color w:val="010205"/>
                <w:sz w:val="20"/>
                <w:szCs w:val="20"/>
              </w:rPr>
              <w:t>.783</w:t>
            </w:r>
          </w:p>
        </w:tc>
      </w:tr>
      <w:tr w:rsidR="00EB33DD" w:rsidRPr="00EB33DD" w14:paraId="4E0278BA" w14:textId="77777777" w:rsidTr="00EB33DD">
        <w:trPr>
          <w:cantSplit/>
        </w:trPr>
        <w:tc>
          <w:tcPr>
            <w:tcW w:w="7655" w:type="dxa"/>
            <w:gridSpan w:val="7"/>
            <w:tcBorders>
              <w:top w:val="nil"/>
              <w:left w:val="nil"/>
              <w:bottom w:val="nil"/>
              <w:right w:val="nil"/>
            </w:tcBorders>
            <w:shd w:val="clear" w:color="auto" w:fill="FFFFFF"/>
          </w:tcPr>
          <w:p w14:paraId="3938AAF0" w14:textId="77777777" w:rsidR="00EB33DD" w:rsidRPr="00EB33DD" w:rsidRDefault="00EB33DD" w:rsidP="00EB33DD">
            <w:pPr>
              <w:autoSpaceDE w:val="0"/>
              <w:autoSpaceDN w:val="0"/>
              <w:adjustRightInd w:val="0"/>
              <w:spacing w:after="0" w:line="320" w:lineRule="atLeast"/>
              <w:ind w:left="60" w:right="60"/>
              <w:jc w:val="left"/>
              <w:rPr>
                <w:rFonts w:cs="Times New Roman"/>
                <w:color w:val="010205"/>
                <w:sz w:val="20"/>
                <w:szCs w:val="20"/>
              </w:rPr>
            </w:pPr>
            <w:r w:rsidRPr="00EB33DD">
              <w:rPr>
                <w:rFonts w:cs="Times New Roman"/>
                <w:color w:val="010205"/>
                <w:sz w:val="20"/>
                <w:szCs w:val="20"/>
              </w:rPr>
              <w:t>a. Dependent Variable: LaporanKeberlanjutan</w:t>
            </w:r>
          </w:p>
        </w:tc>
      </w:tr>
    </w:tbl>
    <w:p w14:paraId="1EB329C6" w14:textId="63ECD88E" w:rsidR="00BA7477" w:rsidRDefault="00BA7477" w:rsidP="00EB33DD">
      <w:pPr>
        <w:spacing w:line="480" w:lineRule="auto"/>
        <w:ind w:left="567"/>
      </w:pPr>
      <w:r>
        <w:t>Sumber: Output SPSS25</w:t>
      </w:r>
    </w:p>
    <w:p w14:paraId="221683D2" w14:textId="60F7C922" w:rsidR="00BA7477" w:rsidRDefault="00BA7477" w:rsidP="00BA7477">
      <w:pPr>
        <w:pStyle w:val="ListParagraph"/>
        <w:spacing w:line="480" w:lineRule="auto"/>
        <w:ind w:firstLine="414"/>
      </w:pPr>
      <w:r>
        <w:t>Hasil uji interaksi pada t</w:t>
      </w:r>
      <w:r w:rsidRPr="00BA7477">
        <w:t>abel diatas bisa diliha</w:t>
      </w:r>
      <w:r w:rsidR="00B56A82">
        <w:t xml:space="preserve">t nilai konstanta sebesar 0,124 </w:t>
      </w:r>
      <w:r w:rsidRPr="00BA7477">
        <w:t xml:space="preserve">dan nilai regresi masing-masing variabel berada di kolom B. Koefisien regresi variabel </w:t>
      </w:r>
      <w:r w:rsidRPr="00BA7477">
        <w:rPr>
          <w:i/>
        </w:rPr>
        <w:t>leverage,</w:t>
      </w:r>
      <w:r w:rsidRPr="00BA7477">
        <w:t xml:space="preserve"> likuiditas, </w:t>
      </w:r>
      <w:r w:rsidRPr="00BA7477">
        <w:rPr>
          <w:i/>
        </w:rPr>
        <w:t>firm size,</w:t>
      </w:r>
      <w:r w:rsidRPr="00BA7477">
        <w:t xml:space="preserve"> interaksi antara </w:t>
      </w:r>
      <w:r w:rsidRPr="00BA7477">
        <w:rPr>
          <w:i/>
        </w:rPr>
        <w:t>leverage</w:t>
      </w:r>
      <w:r w:rsidRPr="00BA7477">
        <w:t xml:space="preserve"> dengan </w:t>
      </w:r>
      <w:r w:rsidRPr="00BA7477">
        <w:lastRenderedPageBreak/>
        <w:t xml:space="preserve">profitabilitas, interaksi antara likuiditas dengan profitabilitas, interaksi antara </w:t>
      </w:r>
      <w:r w:rsidRPr="00BA7477">
        <w:rPr>
          <w:i/>
        </w:rPr>
        <w:t>firm size</w:t>
      </w:r>
      <w:r w:rsidRPr="00BA7477">
        <w:t xml:space="preserve"> dengan profitabilitas m</w:t>
      </w:r>
      <w:r w:rsidR="00B56A82">
        <w:t>asing-masing sebesar 0,10, 0,000, 0,004, 0,135</w:t>
      </w:r>
      <w:r w:rsidRPr="00BA7477">
        <w:t xml:space="preserve">, </w:t>
      </w:r>
      <w:r w:rsidR="00B56A82">
        <w:t xml:space="preserve">-0,001, -0,009, </w:t>
      </w:r>
      <w:r w:rsidRPr="00BA7477">
        <w:t>Sehingga dapat diperoleh persamaan model regresi sebagai berikut:</w:t>
      </w:r>
    </w:p>
    <w:p w14:paraId="575E1FFC" w14:textId="02ADD17F" w:rsidR="00D87448" w:rsidRDefault="005D0426" w:rsidP="00D87448">
      <w:pPr>
        <w:pStyle w:val="ListParagraph"/>
        <w:spacing w:line="480" w:lineRule="auto"/>
        <w:ind w:left="1418" w:hanging="567"/>
        <w:rPr>
          <w:rFonts w:cs="Times New Roman"/>
          <w:szCs w:val="24"/>
        </w:rPr>
      </w:pPr>
      <w:r>
        <w:rPr>
          <w:rFonts w:cs="Times New Roman"/>
          <w:szCs w:val="24"/>
        </w:rPr>
        <w:t>Ŷ</w:t>
      </w:r>
      <w:r w:rsidR="00A77651">
        <w:rPr>
          <w:rFonts w:cs="Times New Roman"/>
          <w:szCs w:val="24"/>
        </w:rPr>
        <w:t xml:space="preserve"> </w:t>
      </w:r>
      <w:r w:rsidR="00D87448">
        <w:rPr>
          <w:rFonts w:cs="Times New Roman"/>
          <w:szCs w:val="24"/>
        </w:rPr>
        <w:t>= α + β</w:t>
      </w:r>
      <w:r w:rsidR="00D87448">
        <w:rPr>
          <w:rFonts w:cs="Times New Roman"/>
          <w:szCs w:val="24"/>
          <w:vertAlign w:val="subscript"/>
        </w:rPr>
        <w:t>1</w:t>
      </w:r>
      <w:r w:rsidR="00D87448">
        <w:rPr>
          <w:rFonts w:cs="Times New Roman"/>
          <w:szCs w:val="24"/>
        </w:rPr>
        <w:t>X</w:t>
      </w:r>
      <w:r w:rsidR="00D87448">
        <w:rPr>
          <w:rFonts w:cs="Times New Roman"/>
          <w:szCs w:val="24"/>
          <w:vertAlign w:val="subscript"/>
        </w:rPr>
        <w:t xml:space="preserve">1 </w:t>
      </w:r>
      <w:r w:rsidR="00D87448">
        <w:rPr>
          <w:rFonts w:cs="Times New Roman"/>
          <w:szCs w:val="24"/>
        </w:rPr>
        <w:t>+ β</w:t>
      </w:r>
      <w:r w:rsidR="00D87448">
        <w:rPr>
          <w:rFonts w:cs="Times New Roman"/>
          <w:szCs w:val="24"/>
          <w:vertAlign w:val="subscript"/>
        </w:rPr>
        <w:t>2</w:t>
      </w:r>
      <w:r w:rsidR="00D87448">
        <w:rPr>
          <w:rFonts w:cs="Times New Roman"/>
          <w:szCs w:val="24"/>
        </w:rPr>
        <w:t>X</w:t>
      </w:r>
      <w:r w:rsidR="00D87448">
        <w:rPr>
          <w:rFonts w:cs="Times New Roman"/>
          <w:szCs w:val="24"/>
          <w:vertAlign w:val="subscript"/>
        </w:rPr>
        <w:t>2</w:t>
      </w:r>
      <w:r w:rsidR="00D87448">
        <w:rPr>
          <w:rFonts w:cs="Times New Roman"/>
          <w:szCs w:val="24"/>
        </w:rPr>
        <w:t xml:space="preserve"> + β</w:t>
      </w:r>
      <w:r w:rsidR="00D87448">
        <w:rPr>
          <w:rFonts w:cs="Times New Roman"/>
          <w:szCs w:val="24"/>
          <w:vertAlign w:val="subscript"/>
        </w:rPr>
        <w:t>3</w:t>
      </w:r>
      <w:r w:rsidR="00D87448">
        <w:rPr>
          <w:rFonts w:cs="Times New Roman"/>
          <w:szCs w:val="24"/>
        </w:rPr>
        <w:t>X</w:t>
      </w:r>
      <w:r w:rsidR="00D87448">
        <w:rPr>
          <w:rFonts w:cs="Times New Roman"/>
          <w:szCs w:val="24"/>
          <w:vertAlign w:val="subscript"/>
        </w:rPr>
        <w:t>3</w:t>
      </w:r>
      <w:r w:rsidR="00D87448">
        <w:rPr>
          <w:rFonts w:cs="Times New Roman"/>
          <w:szCs w:val="24"/>
        </w:rPr>
        <w:t xml:space="preserve"> + β</w:t>
      </w:r>
      <w:r w:rsidR="00D87448">
        <w:rPr>
          <w:rFonts w:cs="Times New Roman"/>
          <w:szCs w:val="24"/>
          <w:vertAlign w:val="subscript"/>
        </w:rPr>
        <w:t>4</w:t>
      </w:r>
      <w:r w:rsidR="00D87448">
        <w:rPr>
          <w:rFonts w:cs="Times New Roman"/>
          <w:szCs w:val="24"/>
        </w:rPr>
        <w:t>(X</w:t>
      </w:r>
      <w:r w:rsidR="00D87448">
        <w:rPr>
          <w:rFonts w:cs="Times New Roman"/>
          <w:szCs w:val="24"/>
          <w:vertAlign w:val="subscript"/>
        </w:rPr>
        <w:t>1</w:t>
      </w:r>
      <w:r w:rsidR="00D87448">
        <w:rPr>
          <w:rFonts w:cs="Times New Roman"/>
          <w:szCs w:val="24"/>
        </w:rPr>
        <w:t>*Z) + β</w:t>
      </w:r>
      <w:r w:rsidR="00D87448">
        <w:rPr>
          <w:rFonts w:cs="Times New Roman"/>
          <w:szCs w:val="24"/>
          <w:vertAlign w:val="subscript"/>
        </w:rPr>
        <w:t>5</w:t>
      </w:r>
      <w:r w:rsidR="00D87448">
        <w:rPr>
          <w:rFonts w:cs="Times New Roman"/>
          <w:szCs w:val="24"/>
        </w:rPr>
        <w:t>(X</w:t>
      </w:r>
      <w:r w:rsidR="00D87448">
        <w:rPr>
          <w:rFonts w:cs="Times New Roman"/>
          <w:szCs w:val="24"/>
          <w:vertAlign w:val="subscript"/>
        </w:rPr>
        <w:t>2</w:t>
      </w:r>
      <w:r w:rsidR="00D87448">
        <w:rPr>
          <w:rFonts w:cs="Times New Roman"/>
          <w:szCs w:val="24"/>
        </w:rPr>
        <w:t>*Z) + β</w:t>
      </w:r>
      <w:r w:rsidR="00D87448">
        <w:rPr>
          <w:rFonts w:cs="Times New Roman"/>
          <w:szCs w:val="24"/>
          <w:vertAlign w:val="subscript"/>
        </w:rPr>
        <w:t>6</w:t>
      </w:r>
      <w:r w:rsidR="00D87448">
        <w:rPr>
          <w:rFonts w:cs="Times New Roman"/>
          <w:szCs w:val="24"/>
        </w:rPr>
        <w:t>(X</w:t>
      </w:r>
      <w:r w:rsidR="00D87448">
        <w:rPr>
          <w:rFonts w:cs="Times New Roman"/>
          <w:szCs w:val="24"/>
          <w:vertAlign w:val="subscript"/>
        </w:rPr>
        <w:t>3</w:t>
      </w:r>
      <w:r w:rsidR="00B56A82">
        <w:rPr>
          <w:rFonts w:cs="Times New Roman"/>
          <w:szCs w:val="24"/>
        </w:rPr>
        <w:t xml:space="preserve">*Z) </w:t>
      </w:r>
    </w:p>
    <w:p w14:paraId="35848037" w14:textId="5A2819C4" w:rsidR="00273CF5" w:rsidRPr="00EB33DD" w:rsidRDefault="00273CF5" w:rsidP="00EB33DD">
      <w:pPr>
        <w:pStyle w:val="ListParagraph"/>
        <w:spacing w:line="480" w:lineRule="auto"/>
        <w:ind w:left="851" w:firstLine="589"/>
        <w:rPr>
          <w:rFonts w:cs="Times New Roman"/>
          <w:szCs w:val="24"/>
        </w:rPr>
      </w:pPr>
      <w:r>
        <w:rPr>
          <w:rFonts w:cs="Times New Roman"/>
          <w:szCs w:val="24"/>
        </w:rPr>
        <w:t xml:space="preserve">Apabila persamaan tersebut disesuaikan dengan variabel penelitian, maka dapat ditulis dengan: </w:t>
      </w:r>
    </w:p>
    <w:p w14:paraId="6AC9C4BB" w14:textId="1519D387" w:rsidR="0018771A" w:rsidRPr="00273CF5" w:rsidRDefault="00A77651" w:rsidP="001B00CB">
      <w:pPr>
        <w:pStyle w:val="NoSpacing"/>
        <w:spacing w:line="480" w:lineRule="auto"/>
        <w:ind w:left="1418" w:hanging="567"/>
      </w:pPr>
      <w:r>
        <w:rPr>
          <w:rFonts w:cs="Times New Roman"/>
          <w:szCs w:val="24"/>
        </w:rPr>
        <w:t>SR</w:t>
      </w:r>
      <w:r w:rsidR="001B00CB">
        <w:rPr>
          <w:rFonts w:cs="Times New Roman"/>
          <w:szCs w:val="24"/>
        </w:rPr>
        <w:t xml:space="preserve"> = 0,117</w:t>
      </w:r>
      <w:r w:rsidR="00D87448">
        <w:rPr>
          <w:rFonts w:cs="Times New Roman"/>
          <w:szCs w:val="24"/>
        </w:rPr>
        <w:t xml:space="preserve"> + 0,</w:t>
      </w:r>
      <w:r w:rsidR="0018771A">
        <w:rPr>
          <w:rFonts w:cs="Times New Roman"/>
          <w:szCs w:val="24"/>
        </w:rPr>
        <w:t>0</w:t>
      </w:r>
      <w:r w:rsidR="001B00CB">
        <w:rPr>
          <w:rFonts w:cs="Times New Roman"/>
          <w:szCs w:val="24"/>
        </w:rPr>
        <w:t>11</w:t>
      </w:r>
      <w:r w:rsidR="00273CF5">
        <w:rPr>
          <w:rFonts w:cs="Times New Roman"/>
          <w:szCs w:val="24"/>
        </w:rPr>
        <w:t xml:space="preserve"> </w:t>
      </w:r>
      <w:r w:rsidR="00B56A82">
        <w:rPr>
          <w:rFonts w:cs="Times New Roman"/>
          <w:i/>
          <w:szCs w:val="24"/>
        </w:rPr>
        <w:t>Lev</w:t>
      </w:r>
      <w:r w:rsidR="00D87448">
        <w:rPr>
          <w:rFonts w:cs="Times New Roman"/>
          <w:szCs w:val="24"/>
          <w:vertAlign w:val="subscript"/>
        </w:rPr>
        <w:t xml:space="preserve"> </w:t>
      </w:r>
      <w:r w:rsidR="000D2780">
        <w:rPr>
          <w:rFonts w:cs="Times New Roman"/>
          <w:szCs w:val="24"/>
        </w:rPr>
        <w:t>+ 0,000</w:t>
      </w:r>
      <w:r w:rsidR="00B56A82">
        <w:rPr>
          <w:rFonts w:cs="Times New Roman"/>
          <w:szCs w:val="24"/>
        </w:rPr>
        <w:t xml:space="preserve"> Likuid</w:t>
      </w:r>
      <w:r w:rsidR="000D2780">
        <w:rPr>
          <w:rFonts w:cs="Times New Roman"/>
          <w:szCs w:val="24"/>
        </w:rPr>
        <w:t xml:space="preserve"> – 0,004</w:t>
      </w:r>
      <w:r w:rsidR="00B56A82">
        <w:rPr>
          <w:rFonts w:cs="Times New Roman"/>
          <w:szCs w:val="24"/>
        </w:rPr>
        <w:t xml:space="preserve"> </w:t>
      </w:r>
      <w:r w:rsidR="00273CF5" w:rsidRPr="00273CF5">
        <w:rPr>
          <w:rFonts w:cs="Times New Roman"/>
          <w:i/>
          <w:szCs w:val="24"/>
        </w:rPr>
        <w:t>Size</w:t>
      </w:r>
      <w:r w:rsidR="00273CF5">
        <w:rPr>
          <w:rFonts w:cs="Times New Roman"/>
          <w:szCs w:val="24"/>
        </w:rPr>
        <w:t xml:space="preserve"> + </w:t>
      </w:r>
      <w:r w:rsidR="001B00CB">
        <w:t>0,140</w:t>
      </w:r>
      <w:r w:rsidR="000D2780">
        <w:t xml:space="preserve"> </w:t>
      </w:r>
      <w:r w:rsidR="00B56A82">
        <w:rPr>
          <w:i/>
        </w:rPr>
        <w:t>Lev</w:t>
      </w:r>
      <w:r w:rsidR="00273CF5" w:rsidRPr="00273CF5">
        <w:rPr>
          <w:i/>
        </w:rPr>
        <w:t>e</w:t>
      </w:r>
      <w:r w:rsidR="00B56A82">
        <w:t>*Profit</w:t>
      </w:r>
      <w:r w:rsidR="001B00CB">
        <w:t xml:space="preserve"> + 0,000</w:t>
      </w:r>
      <w:r w:rsidR="00B56A82">
        <w:t xml:space="preserve"> Likuid*Profit</w:t>
      </w:r>
      <w:r w:rsidR="001B00CB">
        <w:t xml:space="preserve"> - 0,037</w:t>
      </w:r>
      <w:r w:rsidR="000D2780">
        <w:t xml:space="preserve"> </w:t>
      </w:r>
      <w:r w:rsidR="00273CF5" w:rsidRPr="00273CF5">
        <w:rPr>
          <w:i/>
        </w:rPr>
        <w:t>Size</w:t>
      </w:r>
      <w:r w:rsidR="00B56A82">
        <w:t>*Profit</w:t>
      </w:r>
    </w:p>
    <w:p w14:paraId="4D0B33F8" w14:textId="34FD335F" w:rsidR="0018771A" w:rsidRDefault="0018771A" w:rsidP="00D87448">
      <w:pPr>
        <w:pStyle w:val="ListParagraph"/>
        <w:spacing w:line="480" w:lineRule="auto"/>
        <w:ind w:left="1418" w:hanging="567"/>
        <w:rPr>
          <w:rFonts w:cs="Times New Roman"/>
          <w:szCs w:val="24"/>
        </w:rPr>
      </w:pPr>
      <w:r w:rsidRPr="0018771A">
        <w:rPr>
          <w:rFonts w:cs="Times New Roman"/>
          <w:szCs w:val="24"/>
        </w:rPr>
        <w:t>Persamaan regresi di atas dapat dijelaskan sebagai berikut:</w:t>
      </w:r>
    </w:p>
    <w:p w14:paraId="3D4F735F" w14:textId="417E248A" w:rsidR="002975D5" w:rsidRPr="002975D5" w:rsidRDefault="00EB575B" w:rsidP="002975D5">
      <w:pPr>
        <w:pStyle w:val="ListParagraph"/>
        <w:numPr>
          <w:ilvl w:val="4"/>
          <w:numId w:val="33"/>
        </w:numPr>
        <w:spacing w:line="480" w:lineRule="auto"/>
        <w:ind w:left="1560"/>
        <w:rPr>
          <w:rFonts w:cs="Times New Roman"/>
          <w:szCs w:val="24"/>
        </w:rPr>
      </w:pPr>
      <w:r>
        <w:t xml:space="preserve">Nilai </w:t>
      </w:r>
      <w:r>
        <w:rPr>
          <w:rFonts w:cs="Times New Roman"/>
        </w:rPr>
        <w:t>α</w:t>
      </w:r>
      <w:r>
        <w:t xml:space="preserve"> (k</w:t>
      </w:r>
      <w:r w:rsidR="0018771A" w:rsidRPr="0018771A">
        <w:t>onstanta</w:t>
      </w:r>
      <w:r>
        <w:t>)</w:t>
      </w:r>
      <w:r w:rsidR="0018771A" w:rsidRPr="0018771A">
        <w:t xml:space="preserve"> m</w:t>
      </w:r>
      <w:r w:rsidR="005A3E98">
        <w:t>enunjukkan nilai sebesar 0,117</w:t>
      </w:r>
      <w:r>
        <w:t xml:space="preserve"> bermakna apabila variabel independen (</w:t>
      </w:r>
      <w:r w:rsidR="0018771A" w:rsidRPr="0018771A">
        <w:rPr>
          <w:i/>
        </w:rPr>
        <w:t>leverage,</w:t>
      </w:r>
      <w:r w:rsidR="0018771A" w:rsidRPr="0018771A">
        <w:t xml:space="preserve"> likuiditas, </w:t>
      </w:r>
      <w:r w:rsidR="0018771A" w:rsidRPr="0018771A">
        <w:rPr>
          <w:i/>
        </w:rPr>
        <w:t>Firm size</w:t>
      </w:r>
      <w:r>
        <w:rPr>
          <w:i/>
        </w:rPr>
        <w:t xml:space="preserve">, </w:t>
      </w:r>
      <w:r w:rsidRPr="00EB575B">
        <w:t>dan Profitabilitas</w:t>
      </w:r>
      <w:r>
        <w:rPr>
          <w:i/>
        </w:rPr>
        <w:t>)</w:t>
      </w:r>
      <w:r w:rsidR="0018771A" w:rsidRPr="0018771A">
        <w:t xml:space="preserve"> </w:t>
      </w:r>
      <w:r>
        <w:t>bernilai tetap atau konstan, maka variabel dependen (</w:t>
      </w:r>
      <w:r w:rsidRPr="00EB575B">
        <w:rPr>
          <w:i/>
        </w:rPr>
        <w:t>Sustainability report</w:t>
      </w:r>
      <w:r>
        <w:t xml:space="preserve">) </w:t>
      </w:r>
      <w:r w:rsidR="00816A9A">
        <w:t xml:space="preserve">adalah </w:t>
      </w:r>
      <w:r w:rsidR="005A3E98">
        <w:t>sebesar 0,117</w:t>
      </w:r>
      <w:r w:rsidR="002975D5">
        <w:t xml:space="preserve">. </w:t>
      </w:r>
    </w:p>
    <w:p w14:paraId="289809EC" w14:textId="5A9F1CB8" w:rsidR="00690A63" w:rsidRPr="002975D5" w:rsidRDefault="00690A63" w:rsidP="002975D5">
      <w:pPr>
        <w:pStyle w:val="ListParagraph"/>
        <w:numPr>
          <w:ilvl w:val="4"/>
          <w:numId w:val="33"/>
        </w:numPr>
        <w:spacing w:line="480" w:lineRule="auto"/>
        <w:ind w:left="1560"/>
        <w:rPr>
          <w:rFonts w:cs="Times New Roman"/>
          <w:i/>
          <w:szCs w:val="24"/>
        </w:rPr>
      </w:pPr>
      <w:r>
        <w:t xml:space="preserve">Koefisien regresi </w:t>
      </w:r>
      <w:r w:rsidRPr="002975D5">
        <w:rPr>
          <w:i/>
        </w:rPr>
        <w:t>leverage</w:t>
      </w:r>
      <w:r>
        <w:t xml:space="preserve"> </w:t>
      </w:r>
      <w:r w:rsidR="005A3E98">
        <w:t>menunjukkan nilai sebesar 0,011</w:t>
      </w:r>
      <w:r w:rsidR="000D2780">
        <w:t xml:space="preserve"> </w:t>
      </w:r>
      <w:r>
        <w:t xml:space="preserve">dan bertanda positif artinya apabila </w:t>
      </w:r>
      <w:r w:rsidRPr="002975D5">
        <w:rPr>
          <w:i/>
        </w:rPr>
        <w:t xml:space="preserve">leverage </w:t>
      </w:r>
      <w:r w:rsidR="00DA76B3">
        <w:t>naik</w:t>
      </w:r>
      <w:r w:rsidR="008E6DBB">
        <w:t xml:space="preserve"> sebesar 1 persen, </w:t>
      </w:r>
      <w:r>
        <w:t xml:space="preserve"> maka</w:t>
      </w:r>
      <w:r w:rsidR="008E6DBB">
        <w:t xml:space="preserve"> </w:t>
      </w:r>
      <w:r w:rsidR="008E6DBB" w:rsidRPr="002975D5">
        <w:rPr>
          <w:i/>
        </w:rPr>
        <w:t>sustainability report</w:t>
      </w:r>
      <w:r w:rsidR="008E6DBB">
        <w:rPr>
          <w:i/>
        </w:rPr>
        <w:t xml:space="preserve"> </w:t>
      </w:r>
      <w:r w:rsidR="008E6DBB" w:rsidRPr="008E6DBB">
        <w:t>men</w:t>
      </w:r>
      <w:r w:rsidR="00DA76B3">
        <w:t xml:space="preserve">galami peningkatan sebesar </w:t>
      </w:r>
      <w:r w:rsidR="008E6DBB" w:rsidRPr="008E6DBB">
        <w:t>1</w:t>
      </w:r>
      <w:r w:rsidR="00DA76B3">
        <w:t>,</w:t>
      </w:r>
      <w:r w:rsidR="005A3E98">
        <w:t>1</w:t>
      </w:r>
      <w:r w:rsidR="008E6DBB" w:rsidRPr="008E6DBB">
        <w:t>%</w:t>
      </w:r>
      <w:r w:rsidR="008E6DBB">
        <w:rPr>
          <w:i/>
        </w:rPr>
        <w:t xml:space="preserve"> </w:t>
      </w:r>
    </w:p>
    <w:p w14:paraId="67837028" w14:textId="496ECED2" w:rsidR="005A3E98" w:rsidRPr="002975D5" w:rsidRDefault="002975D5" w:rsidP="005A3E98">
      <w:pPr>
        <w:pStyle w:val="ListParagraph"/>
        <w:numPr>
          <w:ilvl w:val="4"/>
          <w:numId w:val="33"/>
        </w:numPr>
        <w:spacing w:line="480" w:lineRule="auto"/>
        <w:ind w:left="1560"/>
        <w:rPr>
          <w:rFonts w:cs="Times New Roman"/>
          <w:i/>
          <w:szCs w:val="24"/>
        </w:rPr>
      </w:pPr>
      <w:r>
        <w:t>Koefisien regresi likuiditas</w:t>
      </w:r>
      <w:r w:rsidR="000D2780">
        <w:t xml:space="preserve"> </w:t>
      </w:r>
      <w:r w:rsidR="005A3E98">
        <w:t>menunjukkan nilai sebesar 0,000 dan bertanda positif artinya apabila likuiditas</w:t>
      </w:r>
      <w:r w:rsidR="005A3E98" w:rsidRPr="002975D5">
        <w:rPr>
          <w:i/>
        </w:rPr>
        <w:t xml:space="preserve"> </w:t>
      </w:r>
      <w:r w:rsidR="005A3E98">
        <w:t xml:space="preserve">naik sebesar 1 persen maka </w:t>
      </w:r>
      <w:r w:rsidR="005A3E98" w:rsidRPr="002975D5">
        <w:rPr>
          <w:i/>
        </w:rPr>
        <w:t>sustainability report</w:t>
      </w:r>
      <w:r w:rsidR="005A3E98">
        <w:rPr>
          <w:i/>
        </w:rPr>
        <w:t xml:space="preserve"> </w:t>
      </w:r>
      <w:r w:rsidR="005A3E98">
        <w:t>mengalami peningkatan sebesar 0,0%.</w:t>
      </w:r>
    </w:p>
    <w:p w14:paraId="19387350" w14:textId="322599A0" w:rsidR="008E6DBB" w:rsidRPr="005A3E98" w:rsidRDefault="008E6DBB" w:rsidP="000F6E8C">
      <w:pPr>
        <w:pStyle w:val="ListParagraph"/>
        <w:numPr>
          <w:ilvl w:val="4"/>
          <w:numId w:val="33"/>
        </w:numPr>
        <w:spacing w:line="480" w:lineRule="auto"/>
        <w:ind w:left="1560"/>
        <w:rPr>
          <w:rFonts w:cs="Times New Roman"/>
          <w:i/>
          <w:szCs w:val="24"/>
        </w:rPr>
      </w:pPr>
      <w:r>
        <w:lastRenderedPageBreak/>
        <w:t xml:space="preserve">Koefisien regresi </w:t>
      </w:r>
      <w:r w:rsidR="00DA76B3" w:rsidRPr="005A3E98">
        <w:rPr>
          <w:i/>
        </w:rPr>
        <w:t>Firm Size</w:t>
      </w:r>
      <w:r>
        <w:t xml:space="preserve"> </w:t>
      </w:r>
      <w:r w:rsidR="00DA76B3">
        <w:t>menunjukkan nilai sebesar 0,004</w:t>
      </w:r>
      <w:r>
        <w:t xml:space="preserve"> dan bertanda positif artinya apabila </w:t>
      </w:r>
      <w:r w:rsidR="00DA76B3" w:rsidRPr="005A3E98">
        <w:rPr>
          <w:i/>
        </w:rPr>
        <w:t>Firm Size</w:t>
      </w:r>
      <w:r w:rsidRPr="005A3E98">
        <w:rPr>
          <w:i/>
        </w:rPr>
        <w:t xml:space="preserve"> </w:t>
      </w:r>
      <w:r w:rsidR="00DA76B3">
        <w:t>naik</w:t>
      </w:r>
      <w:r>
        <w:t xml:space="preserve"> sebesar 1 persen,  maka </w:t>
      </w:r>
      <w:r w:rsidRPr="005A3E98">
        <w:rPr>
          <w:i/>
        </w:rPr>
        <w:t xml:space="preserve">sustainability report </w:t>
      </w:r>
      <w:r w:rsidRPr="008E6DBB">
        <w:t>men</w:t>
      </w:r>
      <w:r w:rsidR="00DA76B3">
        <w:t>galami peningkatan sebesar 0,4</w:t>
      </w:r>
      <w:r w:rsidRPr="008E6DBB">
        <w:t>%</w:t>
      </w:r>
      <w:r w:rsidRPr="005A3E98">
        <w:rPr>
          <w:i/>
        </w:rPr>
        <w:t xml:space="preserve"> </w:t>
      </w:r>
    </w:p>
    <w:p w14:paraId="4C31EB71" w14:textId="3EA3BD09" w:rsidR="002975D5" w:rsidRPr="002975D5" w:rsidRDefault="002975D5" w:rsidP="0018771A">
      <w:pPr>
        <w:pStyle w:val="ListParagraph"/>
        <w:numPr>
          <w:ilvl w:val="4"/>
          <w:numId w:val="33"/>
        </w:numPr>
        <w:spacing w:line="480" w:lineRule="auto"/>
        <w:ind w:left="1560"/>
        <w:rPr>
          <w:rFonts w:cs="Times New Roman"/>
          <w:i/>
          <w:szCs w:val="24"/>
        </w:rPr>
      </w:pPr>
      <w:r>
        <w:t xml:space="preserve">Koefisien regresi interaksi </w:t>
      </w:r>
      <w:r w:rsidRPr="002975D5">
        <w:rPr>
          <w:i/>
        </w:rPr>
        <w:t>leverage</w:t>
      </w:r>
      <w:r>
        <w:t xml:space="preserve"> dengan profitabilitas menunjukkan nilai sebesar</w:t>
      </w:r>
      <w:r w:rsidR="005A3E98">
        <w:t xml:space="preserve"> 0,140</w:t>
      </w:r>
      <w:r>
        <w:t xml:space="preserve"> dan bertanda positif artinya apabila interaksi antara </w:t>
      </w:r>
      <w:r w:rsidRPr="002975D5">
        <w:rPr>
          <w:i/>
        </w:rPr>
        <w:t xml:space="preserve">leverage </w:t>
      </w:r>
      <w:r>
        <w:t>de</w:t>
      </w:r>
      <w:r w:rsidR="00DA76B3">
        <w:t>ngan profitabilitas naik sebesar 1 persen</w:t>
      </w:r>
      <w:r>
        <w:t xml:space="preserve"> maka</w:t>
      </w:r>
      <w:r w:rsidR="00DA76B3">
        <w:t xml:space="preserve"> </w:t>
      </w:r>
      <w:r w:rsidR="00DA76B3" w:rsidRPr="002975D5">
        <w:rPr>
          <w:i/>
        </w:rPr>
        <w:t>sustainability report</w:t>
      </w:r>
      <w:r w:rsidR="00DA76B3">
        <w:rPr>
          <w:i/>
        </w:rPr>
        <w:t xml:space="preserve"> </w:t>
      </w:r>
      <w:r w:rsidR="00DA76B3">
        <w:t>mengalami peningkatan sebesar</w:t>
      </w:r>
      <w:r w:rsidR="005A3E98">
        <w:t xml:space="preserve"> 14,0</w:t>
      </w:r>
      <w:r w:rsidR="00DA76B3">
        <w:t>%.</w:t>
      </w:r>
    </w:p>
    <w:p w14:paraId="0D860677" w14:textId="153B9FDB" w:rsidR="00DA76B3" w:rsidRPr="002975D5" w:rsidRDefault="00DA76B3" w:rsidP="00DA76B3">
      <w:pPr>
        <w:pStyle w:val="ListParagraph"/>
        <w:numPr>
          <w:ilvl w:val="4"/>
          <w:numId w:val="33"/>
        </w:numPr>
        <w:spacing w:line="480" w:lineRule="auto"/>
        <w:ind w:left="1560"/>
        <w:rPr>
          <w:rFonts w:cs="Times New Roman"/>
          <w:i/>
          <w:szCs w:val="24"/>
        </w:rPr>
      </w:pPr>
      <w:r>
        <w:t xml:space="preserve">Koefisien regresi interaksi </w:t>
      </w:r>
      <w:r w:rsidRPr="00DA76B3">
        <w:t>likuiditas</w:t>
      </w:r>
      <w:r>
        <w:t xml:space="preserve"> dengan profitabilitas menunjukkan ni</w:t>
      </w:r>
      <w:r w:rsidR="005A3E98">
        <w:t>lai sebesar 0,000</w:t>
      </w:r>
      <w:r>
        <w:t xml:space="preserve"> dan bertanda positif artinya apabila interaksi antara likuiditas</w:t>
      </w:r>
      <w:r w:rsidRPr="002975D5">
        <w:rPr>
          <w:i/>
        </w:rPr>
        <w:t xml:space="preserve"> </w:t>
      </w:r>
      <w:r>
        <w:t xml:space="preserve">dengan profitabilitas naik sebesar 1 persen maka </w:t>
      </w:r>
      <w:r w:rsidRPr="002975D5">
        <w:rPr>
          <w:i/>
        </w:rPr>
        <w:t>sustainability report</w:t>
      </w:r>
      <w:r>
        <w:rPr>
          <w:i/>
        </w:rPr>
        <w:t xml:space="preserve"> </w:t>
      </w:r>
      <w:r>
        <w:t>m</w:t>
      </w:r>
      <w:r w:rsidR="005A3E98">
        <w:t>engalami peningkatan sebesar 0,0</w:t>
      </w:r>
      <w:r>
        <w:t>%.</w:t>
      </w:r>
    </w:p>
    <w:p w14:paraId="039221AA" w14:textId="6088588F" w:rsidR="00DA76B3" w:rsidRPr="002975D5" w:rsidRDefault="00DA76B3" w:rsidP="00DA76B3">
      <w:pPr>
        <w:pStyle w:val="ListParagraph"/>
        <w:numPr>
          <w:ilvl w:val="4"/>
          <w:numId w:val="33"/>
        </w:numPr>
        <w:spacing w:line="480" w:lineRule="auto"/>
        <w:ind w:left="1560"/>
        <w:rPr>
          <w:rFonts w:cs="Times New Roman"/>
          <w:i/>
          <w:szCs w:val="24"/>
        </w:rPr>
      </w:pPr>
      <w:r>
        <w:t xml:space="preserve">Koefisien regresi interaksi </w:t>
      </w:r>
      <w:r>
        <w:rPr>
          <w:i/>
        </w:rPr>
        <w:t>Firm Size</w:t>
      </w:r>
      <w:r>
        <w:t xml:space="preserve"> dengan profitabilitas menunjukkan nilai sebesar </w:t>
      </w:r>
      <w:r w:rsidR="005A3E98">
        <w:t>-0,037</w:t>
      </w:r>
      <w:r>
        <w:t xml:space="preserve"> dan bertanda positif artinya apabila interaksi antara </w:t>
      </w:r>
      <w:r>
        <w:rPr>
          <w:i/>
        </w:rPr>
        <w:t>Firm Size</w:t>
      </w:r>
      <w:r w:rsidRPr="002975D5">
        <w:rPr>
          <w:i/>
        </w:rPr>
        <w:t xml:space="preserve"> </w:t>
      </w:r>
      <w:r>
        <w:t xml:space="preserve">dengan profitabilitas naik sebesar 1 persen maka </w:t>
      </w:r>
      <w:r w:rsidRPr="002975D5">
        <w:rPr>
          <w:i/>
        </w:rPr>
        <w:t>sustainability report</w:t>
      </w:r>
      <w:r>
        <w:rPr>
          <w:i/>
        </w:rPr>
        <w:t xml:space="preserve"> </w:t>
      </w:r>
      <w:r>
        <w:t>m</w:t>
      </w:r>
      <w:r w:rsidR="00816A9A">
        <w:t xml:space="preserve">engalami penurunan </w:t>
      </w:r>
      <w:r w:rsidR="005A3E98">
        <w:t>sebesar 3,7</w:t>
      </w:r>
      <w:r>
        <w:t>%.</w:t>
      </w:r>
    </w:p>
    <w:p w14:paraId="681FEC36" w14:textId="697DAD44" w:rsidR="002975D5" w:rsidRDefault="002975D5" w:rsidP="00C512DE">
      <w:pPr>
        <w:pStyle w:val="Heading3"/>
        <w:numPr>
          <w:ilvl w:val="0"/>
          <w:numId w:val="9"/>
        </w:numPr>
        <w:spacing w:line="480" w:lineRule="auto"/>
      </w:pPr>
      <w:bookmarkStart w:id="38" w:name="_Toc170109891"/>
      <w:r>
        <w:t>Uji Hipotesis</w:t>
      </w:r>
      <w:bookmarkEnd w:id="38"/>
    </w:p>
    <w:p w14:paraId="156CFA40" w14:textId="4B25E76A" w:rsidR="006C541B" w:rsidRDefault="006C541B" w:rsidP="006C541B">
      <w:pPr>
        <w:pStyle w:val="ListParagraph"/>
        <w:numPr>
          <w:ilvl w:val="7"/>
          <w:numId w:val="33"/>
        </w:numPr>
        <w:spacing w:line="480" w:lineRule="auto"/>
        <w:ind w:left="1134"/>
        <w:rPr>
          <w:b/>
        </w:rPr>
      </w:pPr>
      <w:r w:rsidRPr="006C541B">
        <w:rPr>
          <w:b/>
        </w:rPr>
        <w:t xml:space="preserve">Uji Parsial ( Uji statistik t) </w:t>
      </w:r>
    </w:p>
    <w:p w14:paraId="54B751AD" w14:textId="512130F3" w:rsidR="00F578FC" w:rsidRDefault="00C96E24" w:rsidP="00F578FC">
      <w:pPr>
        <w:pStyle w:val="ListParagraph"/>
        <w:spacing w:line="480" w:lineRule="auto"/>
        <w:ind w:left="1134" w:firstLine="284"/>
      </w:pPr>
      <w:r w:rsidRPr="00C96E24">
        <w:t xml:space="preserve">Uji statistik t digunakan untuk mengetahui seberapa jauh pengaruh tiap variabel independen secara individu dalam menerangkan variabel dependen. Uji statistik t dilakukan dengan membandingkan nilai signifikansi variabel independen dengan tingkat signifikansi 5% atau 0,05. </w:t>
      </w:r>
      <w:r w:rsidRPr="00C96E24">
        <w:lastRenderedPageBreak/>
        <w:t>Apabila probabilitas signifikansi variabel independen lebih kecil dari 0,05 maka hipotesis diterima secara parsial.</w:t>
      </w:r>
      <w:r w:rsidR="00E00A8B">
        <w:t xml:space="preserve"> maka hipotesis diterima secara parsial. Hasil uji statistik t dapat dilihat pada tab</w:t>
      </w:r>
      <w:r w:rsidR="00F578FC">
        <w:t>el 20</w:t>
      </w:r>
      <w:r w:rsidR="00E00A8B">
        <w:t>.</w:t>
      </w:r>
    </w:p>
    <w:p w14:paraId="1F264B46" w14:textId="77777777" w:rsidR="00E00A8B" w:rsidRDefault="00E00A8B" w:rsidP="00E00A8B">
      <w:pPr>
        <w:pStyle w:val="ListParagraph"/>
        <w:numPr>
          <w:ilvl w:val="4"/>
          <w:numId w:val="5"/>
        </w:numPr>
        <w:spacing w:line="480" w:lineRule="auto"/>
        <w:ind w:left="993"/>
      </w:pPr>
      <w:r>
        <w:t xml:space="preserve">Hasil Uji Hipotesis 1 (H1) </w:t>
      </w:r>
    </w:p>
    <w:p w14:paraId="5F2EEEC0" w14:textId="6BBF682A" w:rsidR="00F4326C" w:rsidRDefault="003E47AB" w:rsidP="00F4326C">
      <w:pPr>
        <w:pStyle w:val="ListParagraph"/>
        <w:spacing w:line="480" w:lineRule="auto"/>
        <w:ind w:left="993" w:firstLine="447"/>
      </w:pPr>
      <w:r>
        <w:t>Berdas</w:t>
      </w:r>
      <w:r w:rsidR="0009201F">
        <w:t xml:space="preserve">arkan tabel </w:t>
      </w:r>
      <w:r w:rsidR="0009201F" w:rsidRPr="0009201F">
        <w:t>Coefficientsa</w:t>
      </w:r>
      <w:r w:rsidR="0009201F">
        <w:rPr>
          <w:vertAlign w:val="superscript"/>
        </w:rPr>
        <w:t xml:space="preserve">a </w:t>
      </w:r>
      <w:r w:rsidR="0009201F">
        <w:t>dari perhitungan h</w:t>
      </w:r>
      <w:r w:rsidR="00E00A8B" w:rsidRPr="0009201F">
        <w:t>asil</w:t>
      </w:r>
      <w:r w:rsidR="00E00A8B">
        <w:t xml:space="preserve"> uji statistik t antara variabel </w:t>
      </w:r>
      <w:r w:rsidR="00E00A8B" w:rsidRPr="006361F6">
        <w:rPr>
          <w:i/>
        </w:rPr>
        <w:t>leverage</w:t>
      </w:r>
      <w:r w:rsidR="00E00A8B">
        <w:t xml:space="preserve"> terhadap variabel </w:t>
      </w:r>
      <w:r w:rsidR="00E00A8B" w:rsidRPr="00220079">
        <w:rPr>
          <w:i/>
        </w:rPr>
        <w:t>sustainability report</w:t>
      </w:r>
      <w:r w:rsidR="00E00A8B">
        <w:t xml:space="preserve"> diperoleh nilai </w:t>
      </w:r>
      <w:r>
        <w:t>t sebesar 2,062</w:t>
      </w:r>
      <w:r w:rsidR="00FA5CA1">
        <w:t xml:space="preserve"> dan signifikansi sebesar 0,044</w:t>
      </w:r>
      <w:r w:rsidR="00E00A8B">
        <w:t>. Ni</w:t>
      </w:r>
      <w:r w:rsidR="00FA5CA1">
        <w:t xml:space="preserve">lai signifikansi tersebut lebih kecil </w:t>
      </w:r>
      <w:r w:rsidR="00F4326C">
        <w:t>dibandingkan dengan 0</w:t>
      </w:r>
      <w:r w:rsidR="00A271C4">
        <w:t>,05</w:t>
      </w:r>
      <w:r w:rsidR="00E00A8B">
        <w:t xml:space="preserve"> sehingga men</w:t>
      </w:r>
      <w:r w:rsidR="00F4326C">
        <w:t xml:space="preserve">unjukkan </w:t>
      </w:r>
      <w:r w:rsidR="00F4326C" w:rsidRPr="006361F6">
        <w:rPr>
          <w:i/>
        </w:rPr>
        <w:t>leverage</w:t>
      </w:r>
      <w:r w:rsidR="00E00A8B">
        <w:t xml:space="preserve"> </w:t>
      </w:r>
      <w:r w:rsidR="00FA5CA1">
        <w:t>ber</w:t>
      </w:r>
      <w:r w:rsidR="00E00A8B">
        <w:t xml:space="preserve">pengaruh signifikan terhadap pengungkapan </w:t>
      </w:r>
      <w:r w:rsidR="00E00A8B" w:rsidRPr="006361F6">
        <w:rPr>
          <w:i/>
        </w:rPr>
        <w:t>sustaina</w:t>
      </w:r>
      <w:r w:rsidR="006361F6" w:rsidRPr="006361F6">
        <w:rPr>
          <w:i/>
        </w:rPr>
        <w:t>bility report</w:t>
      </w:r>
      <w:r w:rsidR="006361F6">
        <w:t>. Hipotesis pertama</w:t>
      </w:r>
      <w:r w:rsidR="00E00A8B">
        <w:t xml:space="preserve"> pada penelitian ini yang menyatakan </w:t>
      </w:r>
      <w:r w:rsidR="00816A9A">
        <w:t xml:space="preserve">bahwa </w:t>
      </w:r>
      <w:r w:rsidR="006361F6" w:rsidRPr="006361F6">
        <w:rPr>
          <w:i/>
        </w:rPr>
        <w:t>leverage</w:t>
      </w:r>
      <w:r w:rsidR="00816A9A">
        <w:rPr>
          <w:i/>
        </w:rPr>
        <w:t xml:space="preserve"> </w:t>
      </w:r>
      <w:r w:rsidR="00816A9A" w:rsidRPr="00816A9A">
        <w:t>secara parsial</w:t>
      </w:r>
      <w:r w:rsidR="00FA5CA1">
        <w:t xml:space="preserve"> berpengaruh </w:t>
      </w:r>
      <w:r w:rsidR="00E00A8B">
        <w:t xml:space="preserve">terhadap pengungkapan </w:t>
      </w:r>
      <w:r w:rsidR="00E00A8B" w:rsidRPr="006361F6">
        <w:rPr>
          <w:i/>
        </w:rPr>
        <w:t>sustainability report</w:t>
      </w:r>
      <w:r w:rsidR="00E00A8B">
        <w:t>.</w:t>
      </w:r>
    </w:p>
    <w:p w14:paraId="7A580260" w14:textId="36041C4F" w:rsidR="00F4326C" w:rsidRDefault="00F4326C" w:rsidP="00F4326C">
      <w:pPr>
        <w:pStyle w:val="ListParagraph"/>
        <w:numPr>
          <w:ilvl w:val="4"/>
          <w:numId w:val="5"/>
        </w:numPr>
        <w:spacing w:line="480" w:lineRule="auto"/>
        <w:ind w:left="993"/>
      </w:pPr>
      <w:r>
        <w:t xml:space="preserve">Hasil Uji Hipotesis 2 (H2) </w:t>
      </w:r>
    </w:p>
    <w:p w14:paraId="1D601DD4" w14:textId="278C035D" w:rsidR="00F4326C" w:rsidRDefault="003E47AB" w:rsidP="00D13256">
      <w:pPr>
        <w:pStyle w:val="ListParagraph"/>
        <w:spacing w:line="480" w:lineRule="auto"/>
        <w:ind w:left="1134" w:firstLine="447"/>
      </w:pPr>
      <w:r>
        <w:t xml:space="preserve">Berdasarkan tabel </w:t>
      </w:r>
      <w:r w:rsidRPr="0009201F">
        <w:t>Coefficientsa</w:t>
      </w:r>
      <w:r>
        <w:rPr>
          <w:vertAlign w:val="superscript"/>
        </w:rPr>
        <w:t xml:space="preserve">a </w:t>
      </w:r>
      <w:r>
        <w:t>dari perhitungan h</w:t>
      </w:r>
      <w:r w:rsidR="00F4326C">
        <w:t xml:space="preserve">asil uji statistik t antara variabel </w:t>
      </w:r>
      <w:r w:rsidR="00F4326C" w:rsidRPr="006361F6">
        <w:t>Likuiditas</w:t>
      </w:r>
      <w:r w:rsidR="00F4326C">
        <w:t xml:space="preserve"> terhadap variabel </w:t>
      </w:r>
      <w:r w:rsidR="00F4326C" w:rsidRPr="00220079">
        <w:rPr>
          <w:i/>
        </w:rPr>
        <w:t>sustainability report</w:t>
      </w:r>
      <w:r w:rsidR="00F4326C">
        <w:t xml:space="preserve"> diperoleh nilai</w:t>
      </w:r>
      <w:r>
        <w:t xml:space="preserve"> t sebesar 0,154</w:t>
      </w:r>
      <w:r w:rsidR="00FA5CA1">
        <w:t xml:space="preserve"> dan signifikansi sebesar 0,878</w:t>
      </w:r>
      <w:r w:rsidR="00F4326C">
        <w:t xml:space="preserve">. Nilai signifikansi tersebut lebih besar dibandingkan dengan 0,05 sehingga menunjukkan likuiditas tidak memiliki pengaruh signifikan terhadap pengungkapan </w:t>
      </w:r>
      <w:r w:rsidR="00F4326C" w:rsidRPr="006361F6">
        <w:rPr>
          <w:i/>
        </w:rPr>
        <w:t>sustaina</w:t>
      </w:r>
      <w:r w:rsidR="006361F6" w:rsidRPr="006361F6">
        <w:rPr>
          <w:i/>
        </w:rPr>
        <w:t>bility report</w:t>
      </w:r>
      <w:r w:rsidR="006361F6">
        <w:t>. Hipotesis kedua</w:t>
      </w:r>
      <w:r w:rsidR="00F4326C">
        <w:t xml:space="preserve"> pada penelitian ini y</w:t>
      </w:r>
      <w:r w:rsidR="006361F6">
        <w:t xml:space="preserve">ang menyatakan </w:t>
      </w:r>
      <w:r w:rsidR="00816A9A">
        <w:t xml:space="preserve">bahwa </w:t>
      </w:r>
      <w:r w:rsidR="006361F6">
        <w:t>likuiditas</w:t>
      </w:r>
      <w:r w:rsidR="00816A9A">
        <w:t xml:space="preserve"> </w:t>
      </w:r>
      <w:r w:rsidR="00816A9A" w:rsidRPr="00816A9A">
        <w:t>secara parsial</w:t>
      </w:r>
      <w:r w:rsidR="00F4326C">
        <w:t xml:space="preserve"> </w:t>
      </w:r>
      <w:r w:rsidR="00816A9A">
        <w:t xml:space="preserve">tidak </w:t>
      </w:r>
      <w:r w:rsidR="00F4326C">
        <w:t xml:space="preserve">berpengaruh terhadap pengungkapan </w:t>
      </w:r>
      <w:r w:rsidR="00F4326C" w:rsidRPr="006361F6">
        <w:rPr>
          <w:i/>
        </w:rPr>
        <w:t>sustainability report</w:t>
      </w:r>
      <w:r w:rsidR="00F4326C">
        <w:t>.</w:t>
      </w:r>
    </w:p>
    <w:p w14:paraId="4169DF0D" w14:textId="77777777" w:rsidR="00816A9A" w:rsidRDefault="00816A9A" w:rsidP="00D13256">
      <w:pPr>
        <w:pStyle w:val="ListParagraph"/>
        <w:spacing w:line="480" w:lineRule="auto"/>
        <w:ind w:left="1134" w:firstLine="447"/>
      </w:pPr>
    </w:p>
    <w:p w14:paraId="3AF5C28D" w14:textId="0D4DD99D" w:rsidR="00816A9A" w:rsidRDefault="00F4326C" w:rsidP="00816A9A">
      <w:pPr>
        <w:pStyle w:val="ListParagraph"/>
        <w:numPr>
          <w:ilvl w:val="4"/>
          <w:numId w:val="5"/>
        </w:numPr>
        <w:spacing w:line="480" w:lineRule="auto"/>
        <w:ind w:left="993"/>
      </w:pPr>
      <w:r>
        <w:lastRenderedPageBreak/>
        <w:t xml:space="preserve">Hasil Uji Hipotesis 3 (H3) </w:t>
      </w:r>
    </w:p>
    <w:p w14:paraId="2EC50FBF" w14:textId="35FA1917" w:rsidR="00F4326C" w:rsidRDefault="003E47AB" w:rsidP="00220079">
      <w:pPr>
        <w:pStyle w:val="ListParagraph"/>
        <w:spacing w:line="480" w:lineRule="auto"/>
        <w:ind w:left="1134" w:firstLine="306"/>
      </w:pPr>
      <w:r>
        <w:t xml:space="preserve">Berdasarkan tabel </w:t>
      </w:r>
      <w:r w:rsidRPr="0009201F">
        <w:t>Coefficientsa</w:t>
      </w:r>
      <w:r>
        <w:rPr>
          <w:vertAlign w:val="superscript"/>
        </w:rPr>
        <w:t xml:space="preserve">a </w:t>
      </w:r>
      <w:r>
        <w:t>dari perhitungan h</w:t>
      </w:r>
      <w:r w:rsidR="00F4326C">
        <w:t xml:space="preserve">asil uji statistik t antara variabel </w:t>
      </w:r>
      <w:r w:rsidR="00F4326C" w:rsidRPr="006361F6">
        <w:rPr>
          <w:i/>
        </w:rPr>
        <w:t>Firm Size</w:t>
      </w:r>
      <w:r w:rsidR="00F4326C">
        <w:t xml:space="preserve"> terhadap variabel </w:t>
      </w:r>
      <w:r w:rsidR="00F4326C" w:rsidRPr="00220079">
        <w:rPr>
          <w:i/>
        </w:rPr>
        <w:t>sustainability report</w:t>
      </w:r>
      <w:r w:rsidR="00F4326C">
        <w:t xml:space="preserve"> diperoleh nilai </w:t>
      </w:r>
      <w:r>
        <w:t>koefisien regresi sebesar 0,875</w:t>
      </w:r>
      <w:r w:rsidR="00FA5CA1">
        <w:t xml:space="preserve"> dan signifikansi sebesar 0,385</w:t>
      </w:r>
      <w:r w:rsidR="00F4326C">
        <w:t xml:space="preserve">. Nilai signifikansi tersebut lebih besar dibandingkan dengan 0,05 sehingga menunjukkan </w:t>
      </w:r>
      <w:r w:rsidR="00F4326C" w:rsidRPr="006361F6">
        <w:rPr>
          <w:i/>
        </w:rPr>
        <w:t>Firm size</w:t>
      </w:r>
      <w:r w:rsidR="00F4326C">
        <w:t xml:space="preserve"> tidak memiliki pengaruh signifikan terhadap pengungkapan </w:t>
      </w:r>
      <w:r w:rsidR="00F4326C" w:rsidRPr="006361F6">
        <w:rPr>
          <w:i/>
        </w:rPr>
        <w:t>sustainab</w:t>
      </w:r>
      <w:r w:rsidR="006361F6" w:rsidRPr="006361F6">
        <w:rPr>
          <w:i/>
        </w:rPr>
        <w:t>ility report</w:t>
      </w:r>
      <w:r w:rsidR="006361F6">
        <w:t xml:space="preserve">. Hipotesis ketiga </w:t>
      </w:r>
      <w:r w:rsidR="00F4326C">
        <w:t xml:space="preserve">pada penelitian ini yang menyatakan </w:t>
      </w:r>
      <w:r w:rsidR="00816A9A">
        <w:t xml:space="preserve">bahwa </w:t>
      </w:r>
      <w:r w:rsidR="006361F6" w:rsidRPr="006361F6">
        <w:rPr>
          <w:i/>
        </w:rPr>
        <w:t>firm size</w:t>
      </w:r>
      <w:r w:rsidR="00816A9A">
        <w:rPr>
          <w:i/>
        </w:rPr>
        <w:t xml:space="preserve"> </w:t>
      </w:r>
      <w:r w:rsidR="00816A9A" w:rsidRPr="00816A9A">
        <w:t>secara parsial</w:t>
      </w:r>
      <w:r w:rsidR="00816A9A">
        <w:rPr>
          <w:i/>
        </w:rPr>
        <w:t xml:space="preserve"> </w:t>
      </w:r>
      <w:r w:rsidR="00816A9A" w:rsidRPr="00816A9A">
        <w:t>tidak</w:t>
      </w:r>
      <w:r w:rsidR="00F4326C" w:rsidRPr="00816A9A">
        <w:t xml:space="preserve"> </w:t>
      </w:r>
      <w:r w:rsidR="00F4326C">
        <w:t xml:space="preserve">berpengaruh terhadap pengungkapan </w:t>
      </w:r>
      <w:r w:rsidR="00F4326C" w:rsidRPr="006361F6">
        <w:rPr>
          <w:i/>
        </w:rPr>
        <w:t>sustainability report</w:t>
      </w:r>
      <w:r w:rsidR="00816A9A">
        <w:t xml:space="preserve">. </w:t>
      </w:r>
    </w:p>
    <w:p w14:paraId="442DD746" w14:textId="56F69B00" w:rsidR="006361F6" w:rsidRPr="006361F6" w:rsidRDefault="006361F6" w:rsidP="006361F6">
      <w:pPr>
        <w:pStyle w:val="ListParagraph"/>
        <w:numPr>
          <w:ilvl w:val="7"/>
          <w:numId w:val="33"/>
        </w:numPr>
        <w:spacing w:line="480" w:lineRule="auto"/>
        <w:ind w:left="1134"/>
        <w:rPr>
          <w:b/>
        </w:rPr>
      </w:pPr>
      <w:r w:rsidRPr="006361F6">
        <w:rPr>
          <w:b/>
        </w:rPr>
        <w:t xml:space="preserve">Uji Pengaruh Moderasi </w:t>
      </w:r>
    </w:p>
    <w:p w14:paraId="2597845B" w14:textId="5DB2DE99" w:rsidR="00D13256" w:rsidRDefault="00220079" w:rsidP="003E47AB">
      <w:pPr>
        <w:pStyle w:val="ListParagraph"/>
        <w:spacing w:line="480" w:lineRule="auto"/>
        <w:ind w:left="1134" w:firstLine="306"/>
      </w:pPr>
      <w:r w:rsidRPr="00220079">
        <w:t>Uji pengaruh moderasi dalam penelitian ini menggunakan MRA yang dilakukan dengan membuat interaksi antara variabel independen dengan variabel moderasi. Analisis ini dilakukan untuk mengetahui apakah variabel moderasi dapat memperkuat atau memperlemah pengaruh antara variabel independen terhadap</w:t>
      </w:r>
      <w:r>
        <w:t xml:space="preserve"> v</w:t>
      </w:r>
      <w:r w:rsidRPr="00220079">
        <w:t>ariabel dependen. Variabel moderasi dikatakan dapat memoderası apabila terjadı interaksi yang signifikan antara variabel independen terhadap variabel dependen Hasıl uji pengaruh moderası dapat dilihat pada Tabei</w:t>
      </w:r>
      <w:r w:rsidR="00947FF8">
        <w:t xml:space="preserve"> 22</w:t>
      </w:r>
      <w:r>
        <w:t xml:space="preserve">. </w:t>
      </w:r>
    </w:p>
    <w:p w14:paraId="62666920" w14:textId="5AECD400" w:rsidR="00220079" w:rsidRDefault="00220079" w:rsidP="00916BDB">
      <w:pPr>
        <w:pStyle w:val="ListParagraph"/>
        <w:numPr>
          <w:ilvl w:val="0"/>
          <w:numId w:val="36"/>
        </w:numPr>
        <w:spacing w:line="480" w:lineRule="auto"/>
        <w:ind w:left="1276"/>
      </w:pPr>
      <w:r>
        <w:t>Hasil Uji Hipotesis 4 (H4)</w:t>
      </w:r>
    </w:p>
    <w:p w14:paraId="1B95C16C" w14:textId="049EB08D" w:rsidR="00740F14" w:rsidRDefault="00856378" w:rsidP="00740F14">
      <w:pPr>
        <w:pStyle w:val="ListParagraph"/>
        <w:spacing w:line="480" w:lineRule="auto"/>
        <w:ind w:left="1276" w:firstLine="164"/>
      </w:pPr>
      <w:r>
        <w:t>Hasil uji Interaksi</w:t>
      </w:r>
      <w:r w:rsidRPr="00856378">
        <w:t xml:space="preserve"> pada tabel 22 menunjukkan profitabilitas bukan merupakan variabel moderasi karena diperoleh tingkat signifikansi </w:t>
      </w:r>
      <w:r>
        <w:rPr>
          <w:rFonts w:cs="Times New Roman"/>
        </w:rPr>
        <w:t>β</w:t>
      </w:r>
      <w:r w:rsidRPr="00856378">
        <w:t xml:space="preserve">2 sebesar 0,798 &gt; 0,05 dan </w:t>
      </w:r>
      <w:r>
        <w:rPr>
          <w:rFonts w:cs="Times New Roman"/>
        </w:rPr>
        <w:t>β</w:t>
      </w:r>
      <w:r w:rsidR="00D13256">
        <w:t>3 sebesar 0,</w:t>
      </w:r>
      <w:r w:rsidRPr="00856378">
        <w:t xml:space="preserve">564 &gt; 0,05, dengan hasil tersebut </w:t>
      </w:r>
      <w:r w:rsidRPr="00856378">
        <w:lastRenderedPageBreak/>
        <w:t xml:space="preserve">dapat disimpulkan bahwa profitabilitas belum mampu memoderasi </w:t>
      </w:r>
      <w:r w:rsidR="00740F14">
        <w:rPr>
          <w:i/>
        </w:rPr>
        <w:t>levera</w:t>
      </w:r>
      <w:r w:rsidRPr="00856378">
        <w:rPr>
          <w:i/>
        </w:rPr>
        <w:t>ge</w:t>
      </w:r>
      <w:r w:rsidRPr="00856378">
        <w:t xml:space="preserve"> terhadap </w:t>
      </w:r>
      <w:r w:rsidRPr="00856378">
        <w:rPr>
          <w:i/>
        </w:rPr>
        <w:t>Sustainability report</w:t>
      </w:r>
      <w:r w:rsidRPr="00856378">
        <w:t>. Profitabili</w:t>
      </w:r>
      <w:r w:rsidR="00740F14">
        <w:t xml:space="preserve">tas merupakan variabel </w:t>
      </w:r>
      <w:r w:rsidRPr="00856378">
        <w:t xml:space="preserve">homologiser moderasi (bukan moderasi) karena </w:t>
      </w:r>
      <w:r>
        <w:rPr>
          <w:rFonts w:cs="Times New Roman"/>
        </w:rPr>
        <w:t>β</w:t>
      </w:r>
      <w:r w:rsidRPr="00856378">
        <w:t xml:space="preserve">2 tidak signifikan dan </w:t>
      </w:r>
      <w:r>
        <w:rPr>
          <w:rFonts w:cs="Times New Roman"/>
        </w:rPr>
        <w:t>β</w:t>
      </w:r>
      <w:r w:rsidRPr="00856378">
        <w:t>3 tidak signifikan. Profitabilitas sebagai variabel Homologiser moderasi merupakan variabel yang</w:t>
      </w:r>
      <w:r>
        <w:t xml:space="preserve"> potensial menjadi variabel </w:t>
      </w:r>
      <w:r w:rsidRPr="00856378">
        <w:t>moderasi</w:t>
      </w:r>
      <w:r>
        <w:t xml:space="preserve"> yang mempengaruhi kekuatan</w:t>
      </w:r>
      <w:r w:rsidRPr="00856378">
        <w:t xml:space="preserve"> hubungan antara variabel prediktor dan variabel tergantung</w:t>
      </w:r>
      <w:r>
        <w:t>, dimana variabel moderasi</w:t>
      </w:r>
      <w:r w:rsidRPr="00856378">
        <w:t xml:space="preserve"> tidak berinteraksi dengan variabel pe</w:t>
      </w:r>
      <w:r w:rsidR="00816A9A">
        <w:t>r</w:t>
      </w:r>
      <w:r w:rsidRPr="00856378">
        <w:t>diktor dan tidak mempunyai hubungan yang signifi</w:t>
      </w:r>
      <w:r>
        <w:t xml:space="preserve">kan dengan variabel tergantung. </w:t>
      </w:r>
      <w:r w:rsidRPr="00856378">
        <w:t>Profitabilitas sebagai</w:t>
      </w:r>
      <w:r>
        <w:t xml:space="preserve"> variabel Homologiser Moderasi </w:t>
      </w:r>
      <w:r w:rsidRPr="00856378">
        <w:t>berarti pro</w:t>
      </w:r>
      <w:r w:rsidR="00D13256">
        <w:t>fitabilitas</w:t>
      </w:r>
      <w:r>
        <w:t xml:space="preserve"> belum mampu memoderasi</w:t>
      </w:r>
      <w:r w:rsidRPr="00856378">
        <w:t xml:space="preserve"> hubungan antara </w:t>
      </w:r>
      <w:r w:rsidR="00740F14">
        <w:rPr>
          <w:i/>
        </w:rPr>
        <w:t>levera</w:t>
      </w:r>
      <w:r w:rsidRPr="00856378">
        <w:rPr>
          <w:i/>
        </w:rPr>
        <w:t>ge</w:t>
      </w:r>
      <w:r w:rsidRPr="00856378">
        <w:t xml:space="preserve"> terhadap </w:t>
      </w:r>
      <w:r w:rsidRPr="00856378">
        <w:rPr>
          <w:i/>
        </w:rPr>
        <w:t>Sustainability report</w:t>
      </w:r>
      <w:r w:rsidRPr="00856378">
        <w:t>.</w:t>
      </w:r>
    </w:p>
    <w:p w14:paraId="674C7AC0" w14:textId="17ED3476" w:rsidR="00740F14" w:rsidRDefault="00740F14" w:rsidP="00740F14">
      <w:pPr>
        <w:pStyle w:val="ListParagraph"/>
        <w:spacing w:line="480" w:lineRule="auto"/>
        <w:ind w:left="1276" w:firstLine="164"/>
      </w:pPr>
      <w:r>
        <w:t xml:space="preserve">Hasil uji interaksi </w:t>
      </w:r>
      <w:r w:rsidRPr="00740F14">
        <w:t xml:space="preserve">pada tabel 22 menunjukkan nilai koefisien regresi interaksi antara profitabilitas dengan </w:t>
      </w:r>
      <w:r w:rsidRPr="00740F14">
        <w:rPr>
          <w:i/>
        </w:rPr>
        <w:t xml:space="preserve">leverage </w:t>
      </w:r>
      <w:r w:rsidR="00D13256">
        <w:t>diperoleh sebesar 0,</w:t>
      </w:r>
      <w:r w:rsidRPr="00740F14">
        <w:t xml:space="preserve">140 dapat diartikan bahwa dengan adanya interaksi antara profitabilitas dan </w:t>
      </w:r>
      <w:r w:rsidRPr="00740F14">
        <w:rPr>
          <w:i/>
        </w:rPr>
        <w:t>Leverage</w:t>
      </w:r>
      <w:r w:rsidRPr="00740F14">
        <w:t xml:space="preserve"> dapat menurunkan </w:t>
      </w:r>
      <w:r w:rsidRPr="00740F14">
        <w:rPr>
          <w:i/>
        </w:rPr>
        <w:t>sustainability report</w:t>
      </w:r>
      <w:r>
        <w:t xml:space="preserve"> </w:t>
      </w:r>
      <w:r w:rsidR="00D13256">
        <w:t>sebesar 0,</w:t>
      </w:r>
      <w:r w:rsidRPr="00740F14">
        <w:t>14</w:t>
      </w:r>
      <w:r w:rsidR="00D13256">
        <w:t>0 dengan tingkat signifikansi 0,</w:t>
      </w:r>
      <w:r w:rsidRPr="00740F14">
        <w:t xml:space="preserve">564 yang lebih besar dari 0,05. Jadi, hipotesis ke empat (H4) dalam penelitian ini yaitu profitabilitas tidak mampu memoderasi pengaruh </w:t>
      </w:r>
      <w:r w:rsidRPr="00740F14">
        <w:rPr>
          <w:i/>
        </w:rPr>
        <w:t>leverage</w:t>
      </w:r>
      <w:r w:rsidRPr="00740F14">
        <w:t xml:space="preserve"> terhadap </w:t>
      </w:r>
      <w:r w:rsidRPr="00740F14">
        <w:rPr>
          <w:i/>
        </w:rPr>
        <w:t>Sustainability report</w:t>
      </w:r>
      <w:r w:rsidRPr="00740F14">
        <w:t xml:space="preserve"> tidak terbukti atau ditolak.</w:t>
      </w:r>
    </w:p>
    <w:p w14:paraId="40C0D764" w14:textId="1ED7D478" w:rsidR="00220079" w:rsidRDefault="00220079" w:rsidP="00916BDB">
      <w:pPr>
        <w:pStyle w:val="ListParagraph"/>
        <w:numPr>
          <w:ilvl w:val="0"/>
          <w:numId w:val="36"/>
        </w:numPr>
        <w:spacing w:line="480" w:lineRule="auto"/>
        <w:ind w:left="1418"/>
      </w:pPr>
      <w:r>
        <w:t>Hasil Uji Hipotesis 5 (H5)</w:t>
      </w:r>
    </w:p>
    <w:p w14:paraId="46286F7F" w14:textId="273A0767" w:rsidR="00D13256" w:rsidRDefault="00D13256" w:rsidP="00D13256">
      <w:pPr>
        <w:pStyle w:val="ListParagraph"/>
        <w:spacing w:line="480" w:lineRule="auto"/>
        <w:ind w:left="1276" w:firstLine="164"/>
      </w:pPr>
      <w:r>
        <w:t>Hasil uji Interaksi</w:t>
      </w:r>
      <w:r w:rsidRPr="00856378">
        <w:t xml:space="preserve"> pada tabel 22 menunjukkan profitabilitas bukan merupakan variabel moderasi karena diperoleh tingkat signifikansi </w:t>
      </w:r>
      <w:r>
        <w:rPr>
          <w:rFonts w:cs="Times New Roman"/>
        </w:rPr>
        <w:t>β</w:t>
      </w:r>
      <w:r w:rsidRPr="00856378">
        <w:t xml:space="preserve">2 </w:t>
      </w:r>
      <w:r w:rsidRPr="00856378">
        <w:lastRenderedPageBreak/>
        <w:t xml:space="preserve">sebesar 0,798 &gt; 0,05 dan </w:t>
      </w:r>
      <w:r>
        <w:rPr>
          <w:rFonts w:cs="Times New Roman"/>
        </w:rPr>
        <w:t>β</w:t>
      </w:r>
      <w:r>
        <w:t>3 sebesar 0,975</w:t>
      </w:r>
      <w:r w:rsidRPr="00856378">
        <w:t xml:space="preserve"> &gt; 0,05, dengan hasil tersebut dapat disimpulkan bahwa profitabilitas belum mampu memoderasi </w:t>
      </w:r>
      <w:r w:rsidRPr="00D13256">
        <w:t>Likuiditas</w:t>
      </w:r>
      <w:r>
        <w:rPr>
          <w:i/>
        </w:rPr>
        <w:t xml:space="preserve"> </w:t>
      </w:r>
      <w:r w:rsidRPr="00856378">
        <w:t xml:space="preserve">terhadap </w:t>
      </w:r>
      <w:r w:rsidRPr="00856378">
        <w:rPr>
          <w:i/>
        </w:rPr>
        <w:t>Sustainability report</w:t>
      </w:r>
      <w:r w:rsidRPr="00856378">
        <w:t>. Profitabili</w:t>
      </w:r>
      <w:r>
        <w:t xml:space="preserve">tas merupakan variabel </w:t>
      </w:r>
      <w:r w:rsidRPr="00856378">
        <w:t xml:space="preserve">homologiser moderasi (bukan moderasi) karena </w:t>
      </w:r>
      <w:r>
        <w:rPr>
          <w:rFonts w:cs="Times New Roman"/>
        </w:rPr>
        <w:t>β</w:t>
      </w:r>
      <w:r w:rsidRPr="00856378">
        <w:t xml:space="preserve">2 tidak signifikan dan </w:t>
      </w:r>
      <w:r>
        <w:rPr>
          <w:rFonts w:cs="Times New Roman"/>
        </w:rPr>
        <w:t>β</w:t>
      </w:r>
      <w:r w:rsidRPr="00856378">
        <w:t>3 tidak signifikan. Profitabilitas sebagai variabel Homologiser moderasi merupakan variabel yang</w:t>
      </w:r>
      <w:r>
        <w:t xml:space="preserve"> potensial menjadi variabel </w:t>
      </w:r>
      <w:r w:rsidRPr="00856378">
        <w:t>moderasi</w:t>
      </w:r>
      <w:r>
        <w:t xml:space="preserve"> yang mempengaruhi kekuatan</w:t>
      </w:r>
      <w:r w:rsidRPr="00856378">
        <w:t xml:space="preserve"> hubungan antara variabel prediktor dan variabel tergantung</w:t>
      </w:r>
      <w:r>
        <w:t>, dimana variabel moderasi</w:t>
      </w:r>
      <w:r w:rsidRPr="00856378">
        <w:t xml:space="preserve"> tidak berinteraksi dengan variabel pediktor dan tidak mempunyai hubungan yang signifi</w:t>
      </w:r>
      <w:r>
        <w:t xml:space="preserve">kan dengan variabel tergantung. </w:t>
      </w:r>
      <w:r w:rsidRPr="00856378">
        <w:t>Profitabilitas sebagai</w:t>
      </w:r>
      <w:r>
        <w:t xml:space="preserve"> variabel Homologiser Moderasi </w:t>
      </w:r>
      <w:r w:rsidRPr="00856378">
        <w:t>berarti pro</w:t>
      </w:r>
      <w:r>
        <w:t>fitabilitas belum mampu memoderasi hubungan antara likuiditas</w:t>
      </w:r>
      <w:r w:rsidRPr="00856378">
        <w:t xml:space="preserve"> terhadap </w:t>
      </w:r>
      <w:r w:rsidRPr="00856378">
        <w:rPr>
          <w:i/>
        </w:rPr>
        <w:t>Sustainability report</w:t>
      </w:r>
      <w:r w:rsidRPr="00856378">
        <w:t>.</w:t>
      </w:r>
    </w:p>
    <w:p w14:paraId="184A33EE" w14:textId="193292AA" w:rsidR="00D13256" w:rsidRDefault="00D13256" w:rsidP="00D13256">
      <w:pPr>
        <w:pStyle w:val="ListParagraph"/>
        <w:spacing w:line="480" w:lineRule="auto"/>
        <w:ind w:left="1276" w:firstLine="164"/>
      </w:pPr>
      <w:r>
        <w:t xml:space="preserve">Hasil uji interaksi </w:t>
      </w:r>
      <w:r w:rsidRPr="00740F14">
        <w:t xml:space="preserve">pada tabel 22 menunjukkan nilai koefisien regresi interaksi antara profitabilitas dengan </w:t>
      </w:r>
      <w:r>
        <w:t xml:space="preserve">Likuiditas diperoleh sebesar 0,000 </w:t>
      </w:r>
      <w:r w:rsidRPr="00740F14">
        <w:t xml:space="preserve">dapat diartikan bahwa dengan adanya interaksi antara profitabilitas dan </w:t>
      </w:r>
      <w:r>
        <w:t xml:space="preserve">likuiditas </w:t>
      </w:r>
      <w:r w:rsidRPr="00740F14">
        <w:t xml:space="preserve">dapat menurunkan </w:t>
      </w:r>
      <w:r w:rsidRPr="00740F14">
        <w:rPr>
          <w:i/>
        </w:rPr>
        <w:t>sustainability report</w:t>
      </w:r>
      <w:r>
        <w:t xml:space="preserve"> sebesar 0,000</w:t>
      </w:r>
      <w:r w:rsidRPr="00740F14">
        <w:t xml:space="preserve"> dengan </w:t>
      </w:r>
      <w:r>
        <w:t>tingkat signifikansi 0,975</w:t>
      </w:r>
      <w:r w:rsidRPr="00740F14">
        <w:t xml:space="preserve"> yang lebih besar dari 0</w:t>
      </w:r>
      <w:r>
        <w:t>,05. Jadi, hipotesis ke lima (H5</w:t>
      </w:r>
      <w:r w:rsidRPr="00740F14">
        <w:t xml:space="preserve">) dalam penelitian ini yaitu profitabilitas tidak mampu memoderasi pengaruh </w:t>
      </w:r>
      <w:r>
        <w:t>likuiditas</w:t>
      </w:r>
      <w:r w:rsidRPr="00740F14">
        <w:t xml:space="preserve"> terhadap </w:t>
      </w:r>
      <w:r w:rsidRPr="00740F14">
        <w:rPr>
          <w:i/>
        </w:rPr>
        <w:t>Sustainability report</w:t>
      </w:r>
      <w:r w:rsidRPr="00740F14">
        <w:t xml:space="preserve"> tidak terbukti atau ditolak.</w:t>
      </w:r>
    </w:p>
    <w:p w14:paraId="4431488B" w14:textId="2A9C6D50" w:rsidR="003E47AB" w:rsidRDefault="003E47AB" w:rsidP="00D13256">
      <w:pPr>
        <w:pStyle w:val="ListParagraph"/>
        <w:spacing w:line="480" w:lineRule="auto"/>
        <w:ind w:left="1276" w:firstLine="164"/>
      </w:pPr>
    </w:p>
    <w:p w14:paraId="4E1A5620" w14:textId="77777777" w:rsidR="003E47AB" w:rsidRDefault="003E47AB" w:rsidP="00D13256">
      <w:pPr>
        <w:pStyle w:val="ListParagraph"/>
        <w:spacing w:line="480" w:lineRule="auto"/>
        <w:ind w:left="1276" w:firstLine="164"/>
      </w:pPr>
    </w:p>
    <w:p w14:paraId="27718BFA" w14:textId="53B72D96" w:rsidR="00220079" w:rsidRDefault="00220079" w:rsidP="00916BDB">
      <w:pPr>
        <w:pStyle w:val="ListParagraph"/>
        <w:numPr>
          <w:ilvl w:val="0"/>
          <w:numId w:val="36"/>
        </w:numPr>
        <w:spacing w:line="480" w:lineRule="auto"/>
        <w:ind w:left="1276"/>
      </w:pPr>
      <w:r>
        <w:t>Hasil Uji Hipotesis 6 (H6)</w:t>
      </w:r>
    </w:p>
    <w:p w14:paraId="5A88EAAE" w14:textId="05520783" w:rsidR="00D13256" w:rsidRDefault="00D13256" w:rsidP="00D13256">
      <w:pPr>
        <w:pStyle w:val="ListParagraph"/>
        <w:spacing w:line="480" w:lineRule="auto"/>
        <w:ind w:left="1276" w:firstLine="164"/>
      </w:pPr>
      <w:r>
        <w:t>Hasil uji Interaksi</w:t>
      </w:r>
      <w:r w:rsidRPr="00856378">
        <w:t xml:space="preserve"> pada tabel 22 menunjukkan profitabilitas bukan merupakan variabel moderasi karena diperoleh tingkat signifikansi </w:t>
      </w:r>
      <w:r>
        <w:rPr>
          <w:rFonts w:cs="Times New Roman"/>
        </w:rPr>
        <w:t>β</w:t>
      </w:r>
      <w:r w:rsidRPr="00856378">
        <w:t xml:space="preserve">2 sebesar 0,798 &gt; 0,05 dan </w:t>
      </w:r>
      <w:r>
        <w:rPr>
          <w:rFonts w:cs="Times New Roman"/>
        </w:rPr>
        <w:t>β</w:t>
      </w:r>
      <w:r>
        <w:t>3 sebesar 0.783</w:t>
      </w:r>
      <w:r w:rsidRPr="00856378">
        <w:t xml:space="preserve"> &gt; 0,05, dengan hasil tersebut dapat disimpulkan bahwa profitabilitas belum mampu memoderasi </w:t>
      </w:r>
      <w:r>
        <w:rPr>
          <w:i/>
        </w:rPr>
        <w:t>firm size</w:t>
      </w:r>
      <w:r w:rsidRPr="00856378">
        <w:t xml:space="preserve"> terhadap </w:t>
      </w:r>
      <w:r w:rsidRPr="00856378">
        <w:rPr>
          <w:i/>
        </w:rPr>
        <w:t>Sustainability report</w:t>
      </w:r>
      <w:r w:rsidRPr="00856378">
        <w:t>. Profitabili</w:t>
      </w:r>
      <w:r>
        <w:t xml:space="preserve">tas merupakan variabel </w:t>
      </w:r>
      <w:r w:rsidRPr="00856378">
        <w:t xml:space="preserve">homologiser moderasi (bukan moderasi) karena </w:t>
      </w:r>
      <w:r>
        <w:rPr>
          <w:rFonts w:cs="Times New Roman"/>
        </w:rPr>
        <w:t>β</w:t>
      </w:r>
      <w:r w:rsidRPr="00856378">
        <w:t xml:space="preserve">2 tidak signifikan dan </w:t>
      </w:r>
      <w:r>
        <w:rPr>
          <w:rFonts w:cs="Times New Roman"/>
        </w:rPr>
        <w:t>β</w:t>
      </w:r>
      <w:r w:rsidRPr="00856378">
        <w:t>3 tidak signifikan. Profitabilitas sebagai variabel Homologiser moderasi merupakan variabel yang</w:t>
      </w:r>
      <w:r>
        <w:t xml:space="preserve"> potensial menjadi variabel </w:t>
      </w:r>
      <w:r w:rsidRPr="00856378">
        <w:t>moderasi</w:t>
      </w:r>
      <w:r>
        <w:t xml:space="preserve"> yang mempengaruhi kekuatan</w:t>
      </w:r>
      <w:r w:rsidRPr="00856378">
        <w:t xml:space="preserve"> hubungan antara variabel prediktor dan variabel tergantung</w:t>
      </w:r>
      <w:r>
        <w:t>, dimana variabel moderasi</w:t>
      </w:r>
      <w:r w:rsidRPr="00856378">
        <w:t xml:space="preserve"> tidak berinteraksi dengan variabel pediktor dan tidak mempunyai hubungan yang signifi</w:t>
      </w:r>
      <w:r>
        <w:t xml:space="preserve">kan dengan variabel tergantung. </w:t>
      </w:r>
      <w:r w:rsidRPr="00856378">
        <w:t>Profitabilitas sebagai</w:t>
      </w:r>
      <w:r>
        <w:t xml:space="preserve"> variabel Homologiser Moderasi </w:t>
      </w:r>
      <w:r w:rsidRPr="00856378">
        <w:t>berarti pro</w:t>
      </w:r>
      <w:r>
        <w:t>fitabilitas belum mampu memoderasi</w:t>
      </w:r>
      <w:r w:rsidRPr="00856378">
        <w:t xml:space="preserve"> hubungan antara </w:t>
      </w:r>
      <w:r>
        <w:rPr>
          <w:i/>
        </w:rPr>
        <w:t xml:space="preserve">firm size </w:t>
      </w:r>
      <w:r w:rsidRPr="00856378">
        <w:t xml:space="preserve">terhadap </w:t>
      </w:r>
      <w:r w:rsidRPr="00856378">
        <w:rPr>
          <w:i/>
        </w:rPr>
        <w:t>Sustainability report</w:t>
      </w:r>
      <w:r w:rsidRPr="00856378">
        <w:t>.</w:t>
      </w:r>
    </w:p>
    <w:p w14:paraId="5D084921" w14:textId="122F1391" w:rsidR="00887A5D" w:rsidRDefault="00D13256" w:rsidP="00D13256">
      <w:pPr>
        <w:pStyle w:val="ListParagraph"/>
        <w:spacing w:line="480" w:lineRule="auto"/>
        <w:ind w:left="1276" w:firstLine="164"/>
      </w:pPr>
      <w:r>
        <w:t xml:space="preserve">Hasil uji interaksi </w:t>
      </w:r>
      <w:r w:rsidRPr="00740F14">
        <w:t xml:space="preserve">pada tabel 22 menunjukkan nilai koefisien regresi interaksi antara profitabilitas dengan </w:t>
      </w:r>
      <w:r>
        <w:rPr>
          <w:i/>
        </w:rPr>
        <w:t xml:space="preserve">firm size </w:t>
      </w:r>
      <w:r>
        <w:t>diperoleh sebesar -0,037</w:t>
      </w:r>
      <w:r w:rsidRPr="00740F14">
        <w:t xml:space="preserve"> dapat diartikan bahwa dengan adanya interaksi antara profitabilitas dan </w:t>
      </w:r>
      <w:r w:rsidRPr="00740F14">
        <w:rPr>
          <w:i/>
        </w:rPr>
        <w:t>Leverage</w:t>
      </w:r>
      <w:r w:rsidRPr="00740F14">
        <w:t xml:space="preserve"> dapat menurunkan </w:t>
      </w:r>
      <w:r w:rsidRPr="00740F14">
        <w:rPr>
          <w:i/>
        </w:rPr>
        <w:t>sustainability report</w:t>
      </w:r>
      <w:r>
        <w:t xml:space="preserve"> sebesar -0,037 </w:t>
      </w:r>
      <w:r w:rsidRPr="00740F14">
        <w:t>d</w:t>
      </w:r>
      <w:r>
        <w:t>engan tingkat signifikansi 0,783</w:t>
      </w:r>
      <w:r w:rsidRPr="00740F14">
        <w:t xml:space="preserve"> yang lebih besar dari 0</w:t>
      </w:r>
      <w:r>
        <w:t>,05. Jadi, hipotesis ke enam (H6</w:t>
      </w:r>
      <w:r w:rsidRPr="00740F14">
        <w:t xml:space="preserve">) dalam penelitian ini yaitu profitabilitas tidak mampu </w:t>
      </w:r>
      <w:r w:rsidRPr="00740F14">
        <w:lastRenderedPageBreak/>
        <w:t xml:space="preserve">memoderasi pengaruh </w:t>
      </w:r>
      <w:r>
        <w:rPr>
          <w:i/>
        </w:rPr>
        <w:t>firm size</w:t>
      </w:r>
      <w:r w:rsidRPr="00740F14">
        <w:t xml:space="preserve"> terhadap </w:t>
      </w:r>
      <w:r w:rsidRPr="00740F14">
        <w:rPr>
          <w:i/>
        </w:rPr>
        <w:t>Sustainability report</w:t>
      </w:r>
      <w:r w:rsidRPr="00740F14">
        <w:t xml:space="preserve"> tidak terbukti atau ditolak.</w:t>
      </w:r>
    </w:p>
    <w:p w14:paraId="4BD586C6" w14:textId="5FE85DAA" w:rsidR="00220079" w:rsidRDefault="00887A5D" w:rsidP="00887A5D">
      <w:pPr>
        <w:pStyle w:val="ListParagraph"/>
        <w:numPr>
          <w:ilvl w:val="7"/>
          <w:numId w:val="33"/>
        </w:numPr>
        <w:spacing w:line="480" w:lineRule="auto"/>
        <w:ind w:left="1134"/>
        <w:rPr>
          <w:b/>
        </w:rPr>
      </w:pPr>
      <w:r w:rsidRPr="00887A5D">
        <w:rPr>
          <w:b/>
        </w:rPr>
        <w:t xml:space="preserve">Koefisien Determinasi </w:t>
      </w:r>
      <w:r>
        <w:rPr>
          <w:b/>
        </w:rPr>
        <w:t>(R</w:t>
      </w:r>
      <w:r>
        <w:rPr>
          <w:b/>
          <w:vertAlign w:val="superscript"/>
        </w:rPr>
        <w:t>2</w:t>
      </w:r>
      <w:r>
        <w:rPr>
          <w:b/>
        </w:rPr>
        <w:t>)</w:t>
      </w:r>
    </w:p>
    <w:p w14:paraId="49AD8A80" w14:textId="01FF2D75" w:rsidR="00FB397E" w:rsidRDefault="00887A5D" w:rsidP="00816A9A">
      <w:pPr>
        <w:pStyle w:val="ListParagraph"/>
        <w:spacing w:line="480" w:lineRule="auto"/>
        <w:ind w:left="1134" w:firstLine="306"/>
      </w:pPr>
      <w:r w:rsidRPr="00887A5D">
        <w:t>Koefisien determinasi (R</w:t>
      </w:r>
      <w:r w:rsidR="00C36165">
        <w:rPr>
          <w:vertAlign w:val="superscript"/>
        </w:rPr>
        <w:t>2</w:t>
      </w:r>
      <w:r w:rsidRPr="00887A5D">
        <w:t xml:space="preserve">) pada intinya mengukur seberapa jauh kemampuan model dalam menerangkan variasi variabel dependen. Nilai koefisien determinasi adalah antara nol dan satu. Nilai R³ yang kecil berarti kemampuan variabel-variabel independen dalam menjelaskan variasi variabel dependen amat terbatas. Nilai yang mendekati satu berarti variabel-variabel independen memberikan hampir semua informasi yang dibutuhkan untuk memprediksi variası variabel dependen. Secara umum koefisien determinasi untuk data silang </w:t>
      </w:r>
      <w:r w:rsidRPr="00FB397E">
        <w:rPr>
          <w:i/>
        </w:rPr>
        <w:t>(crossection)</w:t>
      </w:r>
      <w:r w:rsidRPr="00887A5D">
        <w:t xml:space="preserve"> relatif rendah karena adanya variasi yang besar antara masing-masing pengamatan, sedangkan untuk data runtun waktu </w:t>
      </w:r>
      <w:r w:rsidRPr="00FB397E">
        <w:rPr>
          <w:i/>
        </w:rPr>
        <w:t>(time series)</w:t>
      </w:r>
      <w:r w:rsidRPr="00887A5D">
        <w:t xml:space="preserve"> biasanya mempunyai nilai ko</w:t>
      </w:r>
      <w:r w:rsidR="00FB397E">
        <w:t xml:space="preserve">efisien determinasi yang tinggi </w:t>
      </w:r>
      <w:r w:rsidR="00FB397E">
        <w:fldChar w:fldCharType="begin" w:fldLock="1"/>
      </w:r>
      <w:r w:rsidR="007402A6">
        <w:instrText>ADDIN CSL_CITATION {"citationItems":[{"id":"ITEM-1","itemData":{"author":[{"dropping-particle":"","family":"Ghozali","given":"","non-dropping-particle":"","parse-names":false,"suffix":""}],"id":"ITEM-1","issued":{"date-parts":[["2018"]]},"publisher-place":"Semarang","title":"Aplikasi Analisis Miltivariate dengan program IBM SPSS 25","type":"book"},"locator":"97","uris":["http://www.mendeley.com/documents/?uuid=87f73ac4-d448-4b9f-8fff-25d8294a26aa"]}],"mendeley":{"formattedCitation":"(Ghozali, 2018, p. 97)","plainTextFormattedCitation":"(Ghozali, 2018, p. 97)","previouslyFormattedCitation":"(Ghozali, 2018, p. 97)"},"properties":{"noteIndex":0},"schema":"https://github.com/citation-style-language/schema/raw/master/csl-citation.json"}</w:instrText>
      </w:r>
      <w:r w:rsidR="00FB397E">
        <w:fldChar w:fldCharType="separate"/>
      </w:r>
      <w:r w:rsidR="00FB397E" w:rsidRPr="00FB397E">
        <w:rPr>
          <w:noProof/>
        </w:rPr>
        <w:t>(Ghozali, 2018, p. 97)</w:t>
      </w:r>
      <w:r w:rsidR="00FB397E">
        <w:fldChar w:fldCharType="end"/>
      </w:r>
      <w:r w:rsidR="00FB397E">
        <w:t>.</w:t>
      </w:r>
    </w:p>
    <w:p w14:paraId="133E67FC" w14:textId="668407A0" w:rsidR="00FB397E" w:rsidRDefault="00C77BC9" w:rsidP="004321DD">
      <w:pPr>
        <w:pStyle w:val="Caption"/>
        <w:spacing w:line="276" w:lineRule="auto"/>
        <w:jc w:val="center"/>
        <w:rPr>
          <w:color w:val="auto"/>
          <w:sz w:val="24"/>
          <w:szCs w:val="24"/>
          <w:lang w:val="en-US"/>
        </w:rPr>
      </w:pPr>
      <w:bookmarkStart w:id="39" w:name="_Toc168999387"/>
      <w:r w:rsidRPr="00C77BC9">
        <w:rPr>
          <w:color w:val="auto"/>
          <w:sz w:val="24"/>
          <w:szCs w:val="24"/>
        </w:rPr>
        <w:t xml:space="preserve">Tabel.  </w:t>
      </w:r>
      <w:r w:rsidRPr="00C77BC9">
        <w:rPr>
          <w:color w:val="auto"/>
          <w:sz w:val="24"/>
          <w:szCs w:val="24"/>
        </w:rPr>
        <w:fldChar w:fldCharType="begin"/>
      </w:r>
      <w:r w:rsidRPr="00C77BC9">
        <w:rPr>
          <w:color w:val="auto"/>
          <w:sz w:val="24"/>
          <w:szCs w:val="24"/>
        </w:rPr>
        <w:instrText xml:space="preserve"> SEQ Tabel._ \* ARABIC </w:instrText>
      </w:r>
      <w:r w:rsidRPr="00C77BC9">
        <w:rPr>
          <w:color w:val="auto"/>
          <w:sz w:val="24"/>
          <w:szCs w:val="24"/>
        </w:rPr>
        <w:fldChar w:fldCharType="separate"/>
      </w:r>
      <w:r w:rsidR="0017483D">
        <w:rPr>
          <w:noProof/>
          <w:color w:val="auto"/>
          <w:sz w:val="24"/>
          <w:szCs w:val="24"/>
        </w:rPr>
        <w:t>23</w:t>
      </w:r>
      <w:r w:rsidRPr="00C77BC9">
        <w:rPr>
          <w:color w:val="auto"/>
          <w:sz w:val="24"/>
          <w:szCs w:val="24"/>
        </w:rPr>
        <w:fldChar w:fldCharType="end"/>
      </w:r>
      <w:r w:rsidRPr="00C77BC9">
        <w:rPr>
          <w:color w:val="auto"/>
          <w:sz w:val="24"/>
          <w:szCs w:val="24"/>
          <w:lang w:val="en-US"/>
        </w:rPr>
        <w:t xml:space="preserve"> Koefisien Determinasi (R2)</w:t>
      </w:r>
      <w:bookmarkEnd w:id="39"/>
    </w:p>
    <w:tbl>
      <w:tblPr>
        <w:tblpPr w:leftFromText="180" w:rightFromText="180" w:vertAnchor="text" w:horzAnchor="page" w:tblpX="3601" w:tblpY="188"/>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4D7B63" w:rsidRPr="004D7B63" w14:paraId="29D92EAC" w14:textId="77777777" w:rsidTr="004D7B63">
        <w:trPr>
          <w:cantSplit/>
        </w:trPr>
        <w:tc>
          <w:tcPr>
            <w:tcW w:w="5872" w:type="dxa"/>
            <w:gridSpan w:val="5"/>
            <w:tcBorders>
              <w:top w:val="nil"/>
              <w:left w:val="nil"/>
              <w:bottom w:val="nil"/>
              <w:right w:val="nil"/>
            </w:tcBorders>
            <w:shd w:val="clear" w:color="auto" w:fill="FFFFFF"/>
            <w:vAlign w:val="center"/>
          </w:tcPr>
          <w:p w14:paraId="761F4CFB" w14:textId="77777777" w:rsidR="004D7B63" w:rsidRPr="004D7B63" w:rsidRDefault="004D7B63" w:rsidP="004D7B63">
            <w:pPr>
              <w:autoSpaceDE w:val="0"/>
              <w:autoSpaceDN w:val="0"/>
              <w:adjustRightInd w:val="0"/>
              <w:spacing w:after="0" w:line="320" w:lineRule="atLeast"/>
              <w:ind w:left="60" w:right="60"/>
              <w:jc w:val="center"/>
              <w:rPr>
                <w:rFonts w:ascii="Arial" w:hAnsi="Arial" w:cs="Arial"/>
                <w:color w:val="010205"/>
                <w:sz w:val="22"/>
              </w:rPr>
            </w:pPr>
            <w:r w:rsidRPr="004D7B63">
              <w:rPr>
                <w:rFonts w:ascii="Arial" w:hAnsi="Arial" w:cs="Arial"/>
                <w:b/>
                <w:bCs/>
                <w:color w:val="010205"/>
                <w:sz w:val="22"/>
              </w:rPr>
              <w:t>Model Summary</w:t>
            </w:r>
          </w:p>
        </w:tc>
      </w:tr>
      <w:tr w:rsidR="004D7B63" w:rsidRPr="004D7B63" w14:paraId="3481BCD4" w14:textId="77777777" w:rsidTr="004D7B63">
        <w:trPr>
          <w:cantSplit/>
        </w:trPr>
        <w:tc>
          <w:tcPr>
            <w:tcW w:w="798" w:type="dxa"/>
            <w:tcBorders>
              <w:top w:val="nil"/>
              <w:left w:val="nil"/>
              <w:bottom w:val="single" w:sz="8" w:space="0" w:color="152935"/>
              <w:right w:val="nil"/>
            </w:tcBorders>
            <w:shd w:val="clear" w:color="auto" w:fill="FFFFFF"/>
            <w:vAlign w:val="bottom"/>
          </w:tcPr>
          <w:p w14:paraId="0BE04F22" w14:textId="77777777" w:rsidR="004D7B63" w:rsidRPr="004D7B63" w:rsidRDefault="004D7B63" w:rsidP="004D7B63">
            <w:pPr>
              <w:autoSpaceDE w:val="0"/>
              <w:autoSpaceDN w:val="0"/>
              <w:adjustRightInd w:val="0"/>
              <w:spacing w:after="0" w:line="320" w:lineRule="atLeast"/>
              <w:ind w:left="60" w:right="60"/>
              <w:jc w:val="left"/>
              <w:rPr>
                <w:rFonts w:ascii="Arial" w:hAnsi="Arial" w:cs="Arial"/>
                <w:color w:val="264A60"/>
                <w:sz w:val="18"/>
                <w:szCs w:val="18"/>
              </w:rPr>
            </w:pPr>
            <w:r w:rsidRPr="004D7B63">
              <w:rPr>
                <w:rFonts w:ascii="Arial" w:hAnsi="Arial" w:cs="Arial"/>
                <w:color w:val="264A60"/>
                <w:sz w:val="18"/>
                <w:szCs w:val="18"/>
              </w:rPr>
              <w:t>Model</w:t>
            </w:r>
          </w:p>
        </w:tc>
        <w:tc>
          <w:tcPr>
            <w:tcW w:w="1030" w:type="dxa"/>
            <w:tcBorders>
              <w:top w:val="nil"/>
              <w:left w:val="nil"/>
              <w:bottom w:val="single" w:sz="8" w:space="0" w:color="152935"/>
              <w:right w:val="single" w:sz="8" w:space="0" w:color="E0E0E0"/>
            </w:tcBorders>
            <w:shd w:val="clear" w:color="auto" w:fill="FFFFFF"/>
            <w:vAlign w:val="bottom"/>
          </w:tcPr>
          <w:p w14:paraId="37488C3E" w14:textId="77777777" w:rsidR="004D7B63" w:rsidRPr="004D7B63" w:rsidRDefault="004D7B63" w:rsidP="004D7B63">
            <w:pPr>
              <w:autoSpaceDE w:val="0"/>
              <w:autoSpaceDN w:val="0"/>
              <w:adjustRightInd w:val="0"/>
              <w:spacing w:after="0" w:line="320" w:lineRule="atLeast"/>
              <w:ind w:left="60" w:right="60"/>
              <w:jc w:val="center"/>
              <w:rPr>
                <w:rFonts w:ascii="Arial" w:hAnsi="Arial" w:cs="Arial"/>
                <w:color w:val="264A60"/>
                <w:sz w:val="18"/>
                <w:szCs w:val="18"/>
              </w:rPr>
            </w:pPr>
            <w:r w:rsidRPr="004D7B63">
              <w:rPr>
                <w:rFonts w:ascii="Arial" w:hAnsi="Arial" w:cs="Arial"/>
                <w:color w:val="264A60"/>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7538E589" w14:textId="77777777" w:rsidR="004D7B63" w:rsidRPr="004D7B63" w:rsidRDefault="004D7B63" w:rsidP="004D7B63">
            <w:pPr>
              <w:autoSpaceDE w:val="0"/>
              <w:autoSpaceDN w:val="0"/>
              <w:adjustRightInd w:val="0"/>
              <w:spacing w:after="0" w:line="320" w:lineRule="atLeast"/>
              <w:ind w:left="60" w:right="60"/>
              <w:jc w:val="center"/>
              <w:rPr>
                <w:rFonts w:ascii="Arial" w:hAnsi="Arial" w:cs="Arial"/>
                <w:color w:val="264A60"/>
                <w:sz w:val="18"/>
                <w:szCs w:val="18"/>
              </w:rPr>
            </w:pPr>
            <w:r w:rsidRPr="004D7B63">
              <w:rPr>
                <w:rFonts w:ascii="Arial" w:hAnsi="Arial" w:cs="Arial"/>
                <w:color w:val="264A60"/>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22CAAFC2" w14:textId="77777777" w:rsidR="004D7B63" w:rsidRPr="004D7B63" w:rsidRDefault="004D7B63" w:rsidP="004D7B63">
            <w:pPr>
              <w:autoSpaceDE w:val="0"/>
              <w:autoSpaceDN w:val="0"/>
              <w:adjustRightInd w:val="0"/>
              <w:spacing w:after="0" w:line="320" w:lineRule="atLeast"/>
              <w:ind w:left="60" w:right="60"/>
              <w:jc w:val="center"/>
              <w:rPr>
                <w:rFonts w:ascii="Arial" w:hAnsi="Arial" w:cs="Arial"/>
                <w:color w:val="264A60"/>
                <w:sz w:val="18"/>
                <w:szCs w:val="18"/>
              </w:rPr>
            </w:pPr>
            <w:r w:rsidRPr="004D7B63">
              <w:rPr>
                <w:rFonts w:ascii="Arial" w:hAnsi="Arial" w:cs="Arial"/>
                <w:color w:val="264A60"/>
                <w:sz w:val="18"/>
                <w:szCs w:val="18"/>
              </w:rPr>
              <w:t>Adjusted R Square</w:t>
            </w:r>
          </w:p>
        </w:tc>
        <w:tc>
          <w:tcPr>
            <w:tcW w:w="1476" w:type="dxa"/>
            <w:tcBorders>
              <w:top w:val="nil"/>
              <w:left w:val="single" w:sz="8" w:space="0" w:color="E0E0E0"/>
              <w:bottom w:val="single" w:sz="8" w:space="0" w:color="152935"/>
              <w:right w:val="nil"/>
            </w:tcBorders>
            <w:shd w:val="clear" w:color="auto" w:fill="FFFFFF"/>
            <w:vAlign w:val="bottom"/>
          </w:tcPr>
          <w:p w14:paraId="54C56A09" w14:textId="77777777" w:rsidR="004D7B63" w:rsidRPr="004D7B63" w:rsidRDefault="004D7B63" w:rsidP="004D7B63">
            <w:pPr>
              <w:autoSpaceDE w:val="0"/>
              <w:autoSpaceDN w:val="0"/>
              <w:adjustRightInd w:val="0"/>
              <w:spacing w:after="0" w:line="320" w:lineRule="atLeast"/>
              <w:ind w:left="60" w:right="60"/>
              <w:jc w:val="center"/>
              <w:rPr>
                <w:rFonts w:ascii="Arial" w:hAnsi="Arial" w:cs="Arial"/>
                <w:color w:val="264A60"/>
                <w:sz w:val="18"/>
                <w:szCs w:val="18"/>
              </w:rPr>
            </w:pPr>
            <w:r w:rsidRPr="004D7B63">
              <w:rPr>
                <w:rFonts w:ascii="Arial" w:hAnsi="Arial" w:cs="Arial"/>
                <w:color w:val="264A60"/>
                <w:sz w:val="18"/>
                <w:szCs w:val="18"/>
              </w:rPr>
              <w:t>Std. Error of the Estimate</w:t>
            </w:r>
          </w:p>
        </w:tc>
      </w:tr>
      <w:tr w:rsidR="004D7B63" w:rsidRPr="004D7B63" w14:paraId="1C89C7E4" w14:textId="77777777" w:rsidTr="004D7B63">
        <w:trPr>
          <w:cantSplit/>
        </w:trPr>
        <w:tc>
          <w:tcPr>
            <w:tcW w:w="798" w:type="dxa"/>
            <w:tcBorders>
              <w:top w:val="single" w:sz="8" w:space="0" w:color="152935"/>
              <w:left w:val="nil"/>
              <w:bottom w:val="single" w:sz="8" w:space="0" w:color="152935"/>
              <w:right w:val="nil"/>
            </w:tcBorders>
            <w:shd w:val="clear" w:color="auto" w:fill="E0E0E0"/>
          </w:tcPr>
          <w:p w14:paraId="7035D785" w14:textId="77777777" w:rsidR="004D7B63" w:rsidRPr="004D7B63" w:rsidRDefault="004D7B63" w:rsidP="004D7B63">
            <w:pPr>
              <w:autoSpaceDE w:val="0"/>
              <w:autoSpaceDN w:val="0"/>
              <w:adjustRightInd w:val="0"/>
              <w:spacing w:after="0" w:line="320" w:lineRule="atLeast"/>
              <w:ind w:left="60" w:right="60"/>
              <w:jc w:val="left"/>
              <w:rPr>
                <w:rFonts w:ascii="Arial" w:hAnsi="Arial" w:cs="Arial"/>
                <w:color w:val="264A60"/>
                <w:sz w:val="18"/>
                <w:szCs w:val="18"/>
              </w:rPr>
            </w:pPr>
            <w:r w:rsidRPr="004D7B63">
              <w:rPr>
                <w:rFonts w:ascii="Arial" w:hAnsi="Arial" w:cs="Arial"/>
                <w:color w:val="264A60"/>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14:paraId="5C9A0698" w14:textId="77777777" w:rsidR="004D7B63" w:rsidRPr="004D7B63" w:rsidRDefault="004D7B63" w:rsidP="004D7B63">
            <w:pPr>
              <w:autoSpaceDE w:val="0"/>
              <w:autoSpaceDN w:val="0"/>
              <w:adjustRightInd w:val="0"/>
              <w:spacing w:after="0" w:line="320" w:lineRule="atLeast"/>
              <w:ind w:left="60" w:right="60"/>
              <w:jc w:val="right"/>
              <w:rPr>
                <w:rFonts w:ascii="Arial" w:hAnsi="Arial" w:cs="Arial"/>
                <w:color w:val="010205"/>
                <w:sz w:val="18"/>
                <w:szCs w:val="18"/>
              </w:rPr>
            </w:pPr>
            <w:r w:rsidRPr="004D7B63">
              <w:rPr>
                <w:rFonts w:ascii="Arial" w:hAnsi="Arial" w:cs="Arial"/>
                <w:color w:val="010205"/>
                <w:sz w:val="18"/>
                <w:szCs w:val="18"/>
              </w:rPr>
              <w:t>.624</w:t>
            </w:r>
            <w:r w:rsidRPr="004D7B63">
              <w:rPr>
                <w:rFonts w:ascii="Arial" w:hAnsi="Arial" w:cs="Arial"/>
                <w:color w:val="010205"/>
                <w:sz w:val="18"/>
                <w:szCs w:val="18"/>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1BFBEA09" w14:textId="77777777" w:rsidR="004D7B63" w:rsidRPr="004D7B63" w:rsidRDefault="004D7B63" w:rsidP="004D7B63">
            <w:pPr>
              <w:autoSpaceDE w:val="0"/>
              <w:autoSpaceDN w:val="0"/>
              <w:adjustRightInd w:val="0"/>
              <w:spacing w:after="0" w:line="320" w:lineRule="atLeast"/>
              <w:ind w:left="60" w:right="60"/>
              <w:jc w:val="right"/>
              <w:rPr>
                <w:rFonts w:ascii="Arial" w:hAnsi="Arial" w:cs="Arial"/>
                <w:color w:val="010205"/>
                <w:sz w:val="18"/>
                <w:szCs w:val="18"/>
              </w:rPr>
            </w:pPr>
            <w:r w:rsidRPr="004D7B63">
              <w:rPr>
                <w:rFonts w:ascii="Arial" w:hAnsi="Arial" w:cs="Arial"/>
                <w:color w:val="010205"/>
                <w:sz w:val="18"/>
                <w:szCs w:val="18"/>
              </w:rPr>
              <w:t>.389</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2A4E1591" w14:textId="77777777" w:rsidR="004D7B63" w:rsidRPr="004D7B63" w:rsidRDefault="004D7B63" w:rsidP="004D7B63">
            <w:pPr>
              <w:autoSpaceDE w:val="0"/>
              <w:autoSpaceDN w:val="0"/>
              <w:adjustRightInd w:val="0"/>
              <w:spacing w:after="0" w:line="320" w:lineRule="atLeast"/>
              <w:ind w:left="60" w:right="60"/>
              <w:jc w:val="right"/>
              <w:rPr>
                <w:rFonts w:ascii="Arial" w:hAnsi="Arial" w:cs="Arial"/>
                <w:color w:val="010205"/>
                <w:sz w:val="18"/>
                <w:szCs w:val="18"/>
              </w:rPr>
            </w:pPr>
            <w:r w:rsidRPr="004D7B63">
              <w:rPr>
                <w:rFonts w:ascii="Arial" w:hAnsi="Arial" w:cs="Arial"/>
                <w:color w:val="010205"/>
                <w:sz w:val="18"/>
                <w:szCs w:val="18"/>
              </w:rPr>
              <w:t>.320</w:t>
            </w:r>
          </w:p>
        </w:tc>
        <w:tc>
          <w:tcPr>
            <w:tcW w:w="1476" w:type="dxa"/>
            <w:tcBorders>
              <w:top w:val="single" w:sz="8" w:space="0" w:color="152935"/>
              <w:left w:val="single" w:sz="8" w:space="0" w:color="E0E0E0"/>
              <w:bottom w:val="single" w:sz="8" w:space="0" w:color="152935"/>
              <w:right w:val="nil"/>
            </w:tcBorders>
            <w:shd w:val="clear" w:color="auto" w:fill="FFFFFF"/>
          </w:tcPr>
          <w:p w14:paraId="109E1B4B" w14:textId="77777777" w:rsidR="004D7B63" w:rsidRPr="004D7B63" w:rsidRDefault="004D7B63" w:rsidP="004D7B63">
            <w:pPr>
              <w:autoSpaceDE w:val="0"/>
              <w:autoSpaceDN w:val="0"/>
              <w:adjustRightInd w:val="0"/>
              <w:spacing w:after="0" w:line="320" w:lineRule="atLeast"/>
              <w:ind w:left="60" w:right="60"/>
              <w:jc w:val="right"/>
              <w:rPr>
                <w:rFonts w:ascii="Arial" w:hAnsi="Arial" w:cs="Arial"/>
                <w:color w:val="010205"/>
                <w:sz w:val="18"/>
                <w:szCs w:val="18"/>
              </w:rPr>
            </w:pPr>
            <w:r w:rsidRPr="004D7B63">
              <w:rPr>
                <w:rFonts w:ascii="Arial" w:hAnsi="Arial" w:cs="Arial"/>
                <w:color w:val="010205"/>
                <w:sz w:val="18"/>
                <w:szCs w:val="18"/>
              </w:rPr>
              <w:t>.06841</w:t>
            </w:r>
          </w:p>
        </w:tc>
      </w:tr>
      <w:tr w:rsidR="004D7B63" w:rsidRPr="004D7B63" w14:paraId="0C89C037" w14:textId="77777777" w:rsidTr="004D7B63">
        <w:trPr>
          <w:cantSplit/>
        </w:trPr>
        <w:tc>
          <w:tcPr>
            <w:tcW w:w="5872" w:type="dxa"/>
            <w:gridSpan w:val="5"/>
            <w:tcBorders>
              <w:top w:val="nil"/>
              <w:left w:val="nil"/>
              <w:bottom w:val="nil"/>
              <w:right w:val="nil"/>
            </w:tcBorders>
            <w:shd w:val="clear" w:color="auto" w:fill="FFFFFF"/>
          </w:tcPr>
          <w:p w14:paraId="6CC63FC8" w14:textId="77777777" w:rsidR="004D7B63" w:rsidRPr="004D7B63" w:rsidRDefault="004D7B63" w:rsidP="004D7B63">
            <w:pPr>
              <w:autoSpaceDE w:val="0"/>
              <w:autoSpaceDN w:val="0"/>
              <w:adjustRightInd w:val="0"/>
              <w:spacing w:after="0" w:line="320" w:lineRule="atLeast"/>
              <w:ind w:left="60" w:right="60"/>
              <w:jc w:val="left"/>
              <w:rPr>
                <w:rFonts w:ascii="Arial" w:hAnsi="Arial" w:cs="Arial"/>
                <w:color w:val="010205"/>
                <w:sz w:val="18"/>
                <w:szCs w:val="18"/>
              </w:rPr>
            </w:pPr>
            <w:r w:rsidRPr="004D7B63">
              <w:rPr>
                <w:rFonts w:ascii="Arial" w:hAnsi="Arial" w:cs="Arial"/>
                <w:color w:val="010205"/>
                <w:sz w:val="18"/>
                <w:szCs w:val="18"/>
              </w:rPr>
              <w:t>a. Predictors: (Constant), FirmSize_Profitabilitas , FirmSize, Leverage , Likuiditas , Leverage_Profitabilitas, Likuiditas_Profitabilitas</w:t>
            </w:r>
          </w:p>
        </w:tc>
      </w:tr>
    </w:tbl>
    <w:p w14:paraId="25DE3E82" w14:textId="77777777" w:rsidR="004321DD" w:rsidRPr="004321DD" w:rsidRDefault="004321DD" w:rsidP="004321DD">
      <w:pPr>
        <w:autoSpaceDE w:val="0"/>
        <w:autoSpaceDN w:val="0"/>
        <w:adjustRightInd w:val="0"/>
        <w:spacing w:after="0" w:line="276" w:lineRule="auto"/>
        <w:jc w:val="left"/>
        <w:rPr>
          <w:rFonts w:cs="Times New Roman"/>
          <w:szCs w:val="24"/>
        </w:rPr>
      </w:pPr>
    </w:p>
    <w:p w14:paraId="5A69446D" w14:textId="77777777" w:rsidR="004D7B63" w:rsidRPr="004D7B63" w:rsidRDefault="004D7B63" w:rsidP="004D7B63">
      <w:pPr>
        <w:autoSpaceDE w:val="0"/>
        <w:autoSpaceDN w:val="0"/>
        <w:adjustRightInd w:val="0"/>
        <w:spacing w:after="0" w:line="240" w:lineRule="auto"/>
        <w:jc w:val="left"/>
        <w:rPr>
          <w:rFonts w:cs="Times New Roman"/>
          <w:szCs w:val="24"/>
        </w:rPr>
      </w:pPr>
    </w:p>
    <w:p w14:paraId="7ED21003" w14:textId="77777777" w:rsidR="004D7B63" w:rsidRPr="004D7B63" w:rsidRDefault="004D7B63" w:rsidP="004D7B63">
      <w:pPr>
        <w:autoSpaceDE w:val="0"/>
        <w:autoSpaceDN w:val="0"/>
        <w:adjustRightInd w:val="0"/>
        <w:spacing w:after="0" w:line="400" w:lineRule="atLeast"/>
        <w:jc w:val="left"/>
        <w:rPr>
          <w:rFonts w:cs="Times New Roman"/>
          <w:szCs w:val="24"/>
        </w:rPr>
      </w:pPr>
    </w:p>
    <w:p w14:paraId="0B17CACA" w14:textId="77777777" w:rsidR="004321DD" w:rsidRPr="004321DD" w:rsidRDefault="004321DD" w:rsidP="004321DD">
      <w:pPr>
        <w:autoSpaceDE w:val="0"/>
        <w:autoSpaceDN w:val="0"/>
        <w:adjustRightInd w:val="0"/>
        <w:spacing w:after="0" w:line="276" w:lineRule="auto"/>
        <w:jc w:val="left"/>
        <w:rPr>
          <w:rFonts w:cs="Times New Roman"/>
          <w:szCs w:val="24"/>
        </w:rPr>
      </w:pPr>
    </w:p>
    <w:p w14:paraId="6C8DBF28" w14:textId="77777777" w:rsidR="004321DD" w:rsidRDefault="004321DD" w:rsidP="004321DD">
      <w:pPr>
        <w:spacing w:line="276" w:lineRule="auto"/>
      </w:pPr>
    </w:p>
    <w:p w14:paraId="29E65988" w14:textId="77777777" w:rsidR="004321DD" w:rsidRDefault="004321DD" w:rsidP="004321DD">
      <w:pPr>
        <w:spacing w:line="276" w:lineRule="auto"/>
      </w:pPr>
    </w:p>
    <w:p w14:paraId="05ED6015" w14:textId="6149DC8A" w:rsidR="00F9306A" w:rsidRDefault="004321DD" w:rsidP="005C406A">
      <w:pPr>
        <w:spacing w:line="276" w:lineRule="auto"/>
        <w:ind w:left="1418"/>
      </w:pPr>
      <w:r>
        <w:t>Sumber:</w:t>
      </w:r>
      <w:r w:rsidR="00FB397E">
        <w:t>Output SPSS25</w:t>
      </w:r>
    </w:p>
    <w:p w14:paraId="2D7D764B" w14:textId="287F4384" w:rsidR="000620E3" w:rsidRDefault="003D5394" w:rsidP="000620E3">
      <w:pPr>
        <w:spacing w:line="480" w:lineRule="auto"/>
        <w:ind w:left="720" w:firstLine="414"/>
      </w:pPr>
      <w:r w:rsidRPr="003D5394">
        <w:lastRenderedPageBreak/>
        <w:t xml:space="preserve">Tabel 22 menunjukkan bahwa nilai koefisien determinasi </w:t>
      </w:r>
      <w:r w:rsidRPr="000620E3">
        <w:rPr>
          <w:i/>
        </w:rPr>
        <w:t>(Adjusted R²)</w:t>
      </w:r>
      <w:r w:rsidR="004D7B63">
        <w:t xml:space="preserve"> sebesar 0,320 </w:t>
      </w:r>
      <w:r w:rsidRPr="003D5394">
        <w:t>. Hal ini d</w:t>
      </w:r>
      <w:r w:rsidR="004321DD">
        <w:t>apat diartikan bahwa seb</w:t>
      </w:r>
      <w:r w:rsidR="004D7B63">
        <w:t>esar 32</w:t>
      </w:r>
      <w:r w:rsidRPr="003D5394">
        <w:t xml:space="preserve">% variabel independen dapat menjelaskan variasi variabel dependen. Artinya variabel </w:t>
      </w:r>
      <w:r w:rsidRPr="000620E3">
        <w:rPr>
          <w:i/>
        </w:rPr>
        <w:t>leverage,</w:t>
      </w:r>
      <w:r w:rsidRPr="003D5394">
        <w:t xml:space="preserve"> likuiditas, </w:t>
      </w:r>
      <w:r w:rsidRPr="000620E3">
        <w:rPr>
          <w:i/>
        </w:rPr>
        <w:t>firm size</w:t>
      </w:r>
      <w:r w:rsidRPr="003D5394">
        <w:t xml:space="preserve"> dan profitabilitas sebagai variabel moderating dapat menjelaskan </w:t>
      </w:r>
      <w:r w:rsidRPr="000620E3">
        <w:rPr>
          <w:i/>
        </w:rPr>
        <w:t>sustainability report</w:t>
      </w:r>
      <w:r w:rsidR="004D7B63">
        <w:t xml:space="preserve"> sebesar 32% sedangkan 68</w:t>
      </w:r>
      <w:r w:rsidRPr="003D5394">
        <w:t>% dijelaskan oleh variabel lain yang tidak diuji dalam penelitian ini.</w:t>
      </w:r>
    </w:p>
    <w:p w14:paraId="076067FD" w14:textId="6794FCAD" w:rsidR="000620E3" w:rsidRDefault="000620E3" w:rsidP="000620E3">
      <w:pPr>
        <w:pStyle w:val="Heading2"/>
        <w:numPr>
          <w:ilvl w:val="0"/>
          <w:numId w:val="29"/>
        </w:numPr>
        <w:spacing w:line="480" w:lineRule="auto"/>
      </w:pPr>
      <w:bookmarkStart w:id="40" w:name="_Toc170109892"/>
      <w:r>
        <w:t>PEMBAHASAN</w:t>
      </w:r>
      <w:bookmarkEnd w:id="40"/>
      <w:r>
        <w:t xml:space="preserve"> </w:t>
      </w:r>
    </w:p>
    <w:p w14:paraId="59AE6D5C" w14:textId="731D8AAA" w:rsidR="00A2473E" w:rsidRPr="00D8091E" w:rsidRDefault="00C36165" w:rsidP="00916BDB">
      <w:pPr>
        <w:pStyle w:val="ListParagraph"/>
        <w:numPr>
          <w:ilvl w:val="0"/>
          <w:numId w:val="37"/>
        </w:numPr>
        <w:spacing w:line="480" w:lineRule="auto"/>
        <w:ind w:left="1134"/>
        <w:rPr>
          <w:i/>
        </w:rPr>
      </w:pPr>
      <w:r>
        <w:t xml:space="preserve">Pengaruh </w:t>
      </w:r>
      <w:r w:rsidRPr="00D8091E">
        <w:rPr>
          <w:i/>
        </w:rPr>
        <w:t>leverage</w:t>
      </w:r>
      <w:r>
        <w:t xml:space="preserve"> terhadap pengungkapan </w:t>
      </w:r>
      <w:r w:rsidRPr="00D8091E">
        <w:rPr>
          <w:i/>
        </w:rPr>
        <w:t xml:space="preserve">sustainability report </w:t>
      </w:r>
    </w:p>
    <w:p w14:paraId="477ABF02" w14:textId="145C6E04" w:rsidR="00E848CD" w:rsidRDefault="004F750D" w:rsidP="00E848CD">
      <w:pPr>
        <w:pStyle w:val="ListParagraph"/>
        <w:spacing w:line="480" w:lineRule="auto"/>
        <w:ind w:left="1134"/>
        <w:rPr>
          <w:i/>
        </w:rPr>
      </w:pPr>
      <w:r>
        <w:t xml:space="preserve"> </w:t>
      </w:r>
      <w:r w:rsidR="00E848CD">
        <w:tab/>
        <w:t xml:space="preserve">Hipotesis pertama (H1) yang diajukan dalam penelitian ini adalah </w:t>
      </w:r>
      <w:r w:rsidR="00E848CD" w:rsidRPr="00E848CD">
        <w:rPr>
          <w:i/>
        </w:rPr>
        <w:t xml:space="preserve">leverage </w:t>
      </w:r>
      <w:r w:rsidR="00E848CD">
        <w:t xml:space="preserve">berpengaruh terhadap </w:t>
      </w:r>
      <w:r w:rsidR="00E848CD" w:rsidRPr="00E848CD">
        <w:rPr>
          <w:i/>
        </w:rPr>
        <w:t>sustainability report</w:t>
      </w:r>
      <w:r w:rsidR="00E848CD">
        <w:rPr>
          <w:i/>
        </w:rPr>
        <w:t>.</w:t>
      </w:r>
    </w:p>
    <w:p w14:paraId="38F551FD" w14:textId="29A19306" w:rsidR="002C18D5" w:rsidRDefault="002C18D5" w:rsidP="008F3AD6">
      <w:pPr>
        <w:pStyle w:val="ListParagraph"/>
        <w:spacing w:line="480" w:lineRule="auto"/>
        <w:ind w:left="1134" w:firstLine="284"/>
      </w:pPr>
      <w:r w:rsidRPr="00172F3D">
        <w:rPr>
          <w:i/>
        </w:rPr>
        <w:t xml:space="preserve">Leverage </w:t>
      </w:r>
      <w:r>
        <w:t xml:space="preserve">merupakan </w:t>
      </w:r>
      <w:r w:rsidR="008F3AD6" w:rsidRPr="008F3AD6">
        <w:t xml:space="preserve">rasio yang menggambarkan sejauh mana kekayaan suatu perusahaan berasal dari utang. Artinya berapa banyak utang yang dimiliki perusahaan jika dibandingkan dengan asetnya. </w:t>
      </w:r>
      <w:r w:rsidR="008F3AD6" w:rsidRPr="00172F3D">
        <w:rPr>
          <w:i/>
        </w:rPr>
        <w:t xml:space="preserve">Leverage </w:t>
      </w:r>
      <w:r w:rsidR="008F3AD6" w:rsidRPr="008F3AD6">
        <w:t xml:space="preserve">dilihat </w:t>
      </w:r>
      <w:r w:rsidR="008F3AD6">
        <w:t xml:space="preserve">pada </w:t>
      </w:r>
      <w:r w:rsidR="008F3AD6" w:rsidRPr="008F3AD6">
        <w:t>kemampuan perusahaan dalam membayar seluruh kewajibannya, baik jangka pendek maupun jangka panjang, jika perusahaan tersebut dilikuidasi</w:t>
      </w:r>
      <w:r w:rsidR="008F3AD6">
        <w:t xml:space="preserve"> </w:t>
      </w:r>
      <w:r w:rsidR="008F3AD6">
        <w:fldChar w:fldCharType="begin" w:fldLock="1"/>
      </w:r>
      <w:r w:rsidR="0094754C">
        <w:instrText>ADDIN CSL_CITATION {"citationItems":[{"id":"ITEM-1","itemData":{"ISBN":"978-602-425-945-7","author":[{"dropping-particle":"","family":"Kasmir","given":"","non-dropping-particle":"","parse-names":false,"suffix":""}],"id":"ITEM-1","issued":{"date-parts":[["2019"]]},"publisher":"raja grafindo persada","publisher-place":"Depok","title":"Analisis laporan keuangan","type":"book"},"locator":"153","uris":["http://www.mendeley.com/documents/?uuid=7cb1e952-aa3e-4dea-9b17-d7bc26179cf0"]}],"mendeley":{"formattedCitation":"(Kasmir, 2019, p. 153)","plainTextFormattedCitation":"(Kasmir, 2019, p. 153)","previouslyFormattedCitation":"(Kasmir, 2019, p. 153)"},"properties":{"noteIndex":0},"schema":"https://github.com/citation-style-language/schema/raw/master/csl-citation.json"}</w:instrText>
      </w:r>
      <w:r w:rsidR="008F3AD6">
        <w:fldChar w:fldCharType="separate"/>
      </w:r>
      <w:r w:rsidR="008F3AD6" w:rsidRPr="008F3AD6">
        <w:rPr>
          <w:noProof/>
        </w:rPr>
        <w:t>(Kasmir, 2019, p. 153)</w:t>
      </w:r>
      <w:r w:rsidR="008F3AD6">
        <w:fldChar w:fldCharType="end"/>
      </w:r>
      <w:r w:rsidR="008F3AD6">
        <w:t>.</w:t>
      </w:r>
      <w:r w:rsidR="00971F5F">
        <w:t xml:space="preserve"> </w:t>
      </w:r>
      <w:r w:rsidR="00971F5F" w:rsidRPr="00172F3D">
        <w:rPr>
          <w:i/>
        </w:rPr>
        <w:t>Leverage</w:t>
      </w:r>
      <w:r w:rsidR="00971F5F" w:rsidRPr="00971F5F">
        <w:t xml:space="preserve"> menghasilkan infomasi sejumlah kewajiban yang digunakan perusahaan dalam melunasi kewajiban jangka pendek dan jangka panjangnya dan berapa hutang yang digunakan untuk membiayai perusahaan.</w:t>
      </w:r>
    </w:p>
    <w:p w14:paraId="34D83505" w14:textId="0EA457AE" w:rsidR="00971F5F" w:rsidRPr="002C18D5" w:rsidRDefault="00971F5F" w:rsidP="00971F5F">
      <w:pPr>
        <w:pStyle w:val="ListParagraph"/>
        <w:spacing w:line="480" w:lineRule="auto"/>
        <w:ind w:left="1134" w:firstLine="306"/>
      </w:pPr>
      <w:r>
        <w:t xml:space="preserve">Teori yang mendukung pengaruh </w:t>
      </w:r>
      <w:r w:rsidRPr="005075E2">
        <w:rPr>
          <w:i/>
        </w:rPr>
        <w:t xml:space="preserve">leverage </w:t>
      </w:r>
      <w:r>
        <w:t xml:space="preserve">terhadap </w:t>
      </w:r>
      <w:r w:rsidRPr="00172F3D">
        <w:rPr>
          <w:i/>
        </w:rPr>
        <w:t>sustainability report</w:t>
      </w:r>
      <w:r>
        <w:t xml:space="preserve"> adalah teori </w:t>
      </w:r>
      <w:r w:rsidRPr="005075E2">
        <w:rPr>
          <w:i/>
        </w:rPr>
        <w:t>stakeholder</w:t>
      </w:r>
      <w:r>
        <w:t xml:space="preserve">. Teori ini menjelaskan hubungan </w:t>
      </w:r>
      <w:r>
        <w:lastRenderedPageBreak/>
        <w:t xml:space="preserve">perusahaan dengan </w:t>
      </w:r>
      <w:r w:rsidRPr="00816A9A">
        <w:rPr>
          <w:i/>
        </w:rPr>
        <w:t xml:space="preserve">stakeholder </w:t>
      </w:r>
      <w:r>
        <w:t xml:space="preserve">melalui </w:t>
      </w:r>
      <w:r w:rsidRPr="00816A9A">
        <w:rPr>
          <w:i/>
        </w:rPr>
        <w:t>sustainability report</w:t>
      </w:r>
      <w:r>
        <w:t xml:space="preserve">. Berdasarkan teori ini kelangsungan hidup perusahaan dipengaruhi oleh </w:t>
      </w:r>
      <w:r w:rsidRPr="00816A9A">
        <w:rPr>
          <w:i/>
        </w:rPr>
        <w:t xml:space="preserve">stakeholder </w:t>
      </w:r>
      <w:r>
        <w:t xml:space="preserve">sehingga perusahaan diharapkan dapat memenuhi harapan </w:t>
      </w:r>
      <w:r w:rsidRPr="00816A9A">
        <w:rPr>
          <w:i/>
        </w:rPr>
        <w:t xml:space="preserve">stakeholder </w:t>
      </w:r>
      <w:r>
        <w:t>terkait keberlanjutan lingkungan dan sosial,</w:t>
      </w:r>
      <w:r w:rsidRPr="00842A4A">
        <w:t xml:space="preserve"> </w:t>
      </w:r>
      <w:r>
        <w:t xml:space="preserve">menunjukkan bahwa </w:t>
      </w:r>
      <w:r w:rsidRPr="00842A4A">
        <w:rPr>
          <w:i/>
        </w:rPr>
        <w:t xml:space="preserve">leverage </w:t>
      </w:r>
      <w:r>
        <w:t xml:space="preserve">berpengaruh positif pada pengungkapan </w:t>
      </w:r>
      <w:r w:rsidRPr="00842A4A">
        <w:rPr>
          <w:i/>
        </w:rPr>
        <w:t>sustainability report</w:t>
      </w:r>
      <w:r>
        <w:t xml:space="preserve"> karena semakin tinggi </w:t>
      </w:r>
      <w:r w:rsidRPr="00842A4A">
        <w:rPr>
          <w:i/>
        </w:rPr>
        <w:t>leverage</w:t>
      </w:r>
      <w:r>
        <w:t xml:space="preserve"> menyebabkan pengungkapan </w:t>
      </w:r>
      <w:r w:rsidRPr="00172F3D">
        <w:rPr>
          <w:i/>
        </w:rPr>
        <w:t>sustainability report</w:t>
      </w:r>
      <w:r>
        <w:t xml:space="preserve"> semakin tinggi karena </w:t>
      </w:r>
      <w:r w:rsidRPr="00842A4A">
        <w:rPr>
          <w:i/>
        </w:rPr>
        <w:t>leverage</w:t>
      </w:r>
      <w:r>
        <w:t xml:space="preserve"> yang tinggi menandakan perusahaan memiliki ketergantungan terhadap utang yang membuat perusahaan meningkatkan pengungkapan </w:t>
      </w:r>
      <w:r w:rsidRPr="00842A4A">
        <w:rPr>
          <w:i/>
        </w:rPr>
        <w:t>sustainability report</w:t>
      </w:r>
      <w:r>
        <w:t xml:space="preserve"> untuk menutupi kekurangannya sehingga citra perusahaan lebih baik</w:t>
      </w:r>
      <w:r w:rsidR="0094754C">
        <w:t xml:space="preserve"> </w:t>
      </w:r>
      <w:r w:rsidR="0094754C">
        <w:fldChar w:fldCharType="begin" w:fldLock="1"/>
      </w:r>
      <w:r w:rsidR="00B62F74">
        <w:instrText>ADDIN CSL_CITATION {"citationItems":[{"id":"ITEM-1","itemData":{"DOI":"10.25170/balance.v19i1.3223","ISSN":"1693-9441","abstract":"This study aims to analyze the effect of profitability, leverage, and company size on the disclosure of sustainability reports in energy and materials sector companies listed on the Indonesia Stock Exchange in the period 2016 to 2020. The analytical method used in this study is the descriptive analysis method and multiple linear regression analysis, where the data is processed using the Statistical Package for the Social Sciences version 25 program. The results of this study indicate that profitability has no effect on the disclosure of sustainability reports, while leverage and firm size have a positive effect and direction on the disclosure of the sustainability report.","author":[{"dropping-particle":"","family":"Gunawan","given":"Veren","non-dropping-particle":"","parse-names":false,"suffix":""},{"dropping-particle":"","family":"Sjarief","given":"Julianti","non-dropping-particle":"","parse-names":false,"suffix":""}],"container-title":"BALANCE: Jurnal Akuntansi, Auditing dan Keuangan","id":"ITEM-1","issue":"1","issued":{"date-parts":[["2022"]]},"page":"22-41","title":"Analisis Pengaruh Profitabilitas, Leverage, Dan Ukuran Perusahaan Terhadap Pengungkapan Sustainability Report.","type":"article-journal","volume":"19"},"uris":["http://www.mendeley.com/documents/?uuid=2c5d678a-2946-491a-81d1-e37ff2b0debd"]}],"mendeley":{"formattedCitation":"(Gunawan &amp; Sjarief, 2022)","plainTextFormattedCitation":"(Gunawan &amp; Sjarief, 2022)","previouslyFormattedCitation":"(Gunawan &amp; Sjarief, 2022)"},"properties":{"noteIndex":0},"schema":"https://github.com/citation-style-language/schema/raw/master/csl-citation.json"}</w:instrText>
      </w:r>
      <w:r w:rsidR="0094754C">
        <w:fldChar w:fldCharType="separate"/>
      </w:r>
      <w:r w:rsidR="0094754C" w:rsidRPr="0094754C">
        <w:rPr>
          <w:noProof/>
        </w:rPr>
        <w:t>(Gunawan &amp; Sjarief, 2022)</w:t>
      </w:r>
      <w:r w:rsidR="0094754C">
        <w:fldChar w:fldCharType="end"/>
      </w:r>
      <w:r w:rsidR="008078D9">
        <w:t xml:space="preserve"> </w:t>
      </w:r>
      <w:r>
        <w:t>.</w:t>
      </w:r>
    </w:p>
    <w:p w14:paraId="4D3B063F" w14:textId="52CBE6B5" w:rsidR="000620E3" w:rsidRDefault="00E848CD" w:rsidP="006C2DFC">
      <w:pPr>
        <w:pStyle w:val="ListParagraph"/>
        <w:spacing w:line="480" w:lineRule="auto"/>
        <w:ind w:left="1134" w:firstLine="306"/>
      </w:pPr>
      <w:r>
        <w:t>Hasil dari pengujian regresi diperol</w:t>
      </w:r>
      <w:r w:rsidR="005075E2">
        <w:t>eh nilai koefisien sebesar 0,011</w:t>
      </w:r>
      <w:r>
        <w:t xml:space="preserve"> d</w:t>
      </w:r>
      <w:r w:rsidR="005075E2">
        <w:t>engan tingkat signifikansi 0.044 &lt;</w:t>
      </w:r>
      <w:r>
        <w:t xml:space="preserve"> 0.05, membuktikan bahwa </w:t>
      </w:r>
      <w:r w:rsidRPr="001410FB">
        <w:rPr>
          <w:i/>
        </w:rPr>
        <w:t xml:space="preserve">leverange </w:t>
      </w:r>
      <w:r>
        <w:t>berpengar</w:t>
      </w:r>
      <w:r w:rsidR="005075E2">
        <w:t>uh dengan kata lain (H1) diterima</w:t>
      </w:r>
      <w:r>
        <w:t xml:space="preserve">. Artinya tingginya </w:t>
      </w:r>
      <w:r w:rsidRPr="00E848CD">
        <w:rPr>
          <w:i/>
        </w:rPr>
        <w:t xml:space="preserve">leverage </w:t>
      </w:r>
      <w:r>
        <w:t>merupakan faktor pemicu terjadi</w:t>
      </w:r>
      <w:r w:rsidR="001404BA">
        <w:t xml:space="preserve">nya </w:t>
      </w:r>
      <w:r>
        <w:t xml:space="preserve">pengungkapan </w:t>
      </w:r>
      <w:r w:rsidRPr="005075E2">
        <w:rPr>
          <w:i/>
        </w:rPr>
        <w:t>sustainability report</w:t>
      </w:r>
      <w:r>
        <w:t xml:space="preserve"> pada perusahaan</w:t>
      </w:r>
      <w:r w:rsidR="006C2DFC">
        <w:t xml:space="preserve"> yang ada</w:t>
      </w:r>
      <w:r>
        <w:t xml:space="preserve"> indeks SRI-Kehati</w:t>
      </w:r>
      <w:r w:rsidR="006C2DFC">
        <w:t xml:space="preserve"> periode 2019-2023</w:t>
      </w:r>
      <w:r>
        <w:t>.</w:t>
      </w:r>
      <w:r w:rsidR="001404BA">
        <w:t xml:space="preserve"> Dengan demikian hipotesis pertama yang menyatakan bahwa </w:t>
      </w:r>
      <w:r w:rsidR="001404BA" w:rsidRPr="001404BA">
        <w:rPr>
          <w:i/>
        </w:rPr>
        <w:t>leverage</w:t>
      </w:r>
      <w:r w:rsidR="001404BA">
        <w:t xml:space="preserve"> berpengaruh terhadap pengungkapan </w:t>
      </w:r>
      <w:r w:rsidR="001404BA" w:rsidRPr="001404BA">
        <w:rPr>
          <w:i/>
        </w:rPr>
        <w:t>sustainability report</w:t>
      </w:r>
      <w:r w:rsidR="005075E2">
        <w:t xml:space="preserve"> </w:t>
      </w:r>
      <w:r w:rsidR="001404BA">
        <w:t xml:space="preserve">dapat diterima. </w:t>
      </w:r>
    </w:p>
    <w:p w14:paraId="06AC4C47" w14:textId="6FF2FF85" w:rsidR="00842A4A" w:rsidRDefault="005162C1" w:rsidP="00773D70">
      <w:pPr>
        <w:pStyle w:val="ListParagraph"/>
        <w:spacing w:line="480" w:lineRule="auto"/>
        <w:ind w:left="1134" w:firstLine="306"/>
      </w:pPr>
      <w:r w:rsidRPr="007402A6">
        <w:t>Hasil penelit</w:t>
      </w:r>
      <w:r>
        <w:t xml:space="preserve">ian sejalan dengan </w:t>
      </w:r>
      <w:r w:rsidRPr="007402A6">
        <w:t xml:space="preserve"> </w:t>
      </w:r>
      <w:r w:rsidR="00842A4A">
        <w:fldChar w:fldCharType="begin" w:fldLock="1"/>
      </w:r>
      <w:r w:rsidR="00842A4A">
        <w:instrText>ADDIN CSL_CITATION {"citationItems":[{"id":"ITEM-1","itemData":{"DOI":"10.25170/balance.v19i1.3223","ISSN":"1693-9441","abstract":"This study aims to analyze the effect of profitability, leverage, and company size on the disclosure of sustainability reports in energy and materials sector companies listed on the Indonesia Stock Exchange in the period 2016 to 2020. The analytical method used in this study is the descriptive analysis method and multiple linear regression analysis, where the data is processed using the Statistical Package for the Social Sciences version 25 program. The results of this study indicate that profitability has no effect on the disclosure of sustainability reports, while leverage and firm size have a positive effect and direction on the disclosure of the sustainability report.","author":[{"dropping-particle":"","family":"Gunawan","given":"Veren","non-dropping-particle":"","parse-names":false,"suffix":""},{"dropping-particle":"","family":"Sjarief","given":"Julianti","non-dropping-particle":"","parse-names":false,"suffix":""}],"container-title":"BALANCE: Jurnal Akuntansi, Auditing dan Keuangan","id":"ITEM-1","issue":"1","issued":{"date-parts":[["2022"]]},"page":"22-41","title":"Analisis Pengaruh Profitabilitas, Leverage, Dan Ukuran Perusahaan Terhadap Pengungkapan Sustainability Report.","type":"article-journal","volume":"19"},"uris":["http://www.mendeley.com/documents/?uuid=2c5d678a-2946-491a-81d1-e37ff2b0debd"]}],"mendeley":{"formattedCitation":"(Gunawan &amp; Sjarief, 2022)","manualFormatting":"Gunawan dan Sjarief, (2022)","plainTextFormattedCitation":"(Gunawan &amp; Sjarief, 2022)","previouslyFormattedCitation":"(Gunawan &amp; Sjarief, 2022)"},"properties":{"noteIndex":0},"schema":"https://github.com/citation-style-language/schema/raw/master/csl-citation.json"}</w:instrText>
      </w:r>
      <w:r w:rsidR="00842A4A">
        <w:fldChar w:fldCharType="separate"/>
      </w:r>
      <w:r w:rsidR="00842A4A">
        <w:rPr>
          <w:noProof/>
        </w:rPr>
        <w:t xml:space="preserve">Gunawan dan </w:t>
      </w:r>
      <w:r w:rsidR="00842A4A" w:rsidRPr="005E2249">
        <w:rPr>
          <w:noProof/>
        </w:rPr>
        <w:t xml:space="preserve">Sjarief, </w:t>
      </w:r>
      <w:r w:rsidR="00842A4A">
        <w:rPr>
          <w:noProof/>
        </w:rPr>
        <w:t>(</w:t>
      </w:r>
      <w:r w:rsidR="00842A4A" w:rsidRPr="005E2249">
        <w:rPr>
          <w:noProof/>
        </w:rPr>
        <w:t>2022)</w:t>
      </w:r>
      <w:r w:rsidR="00842A4A">
        <w:fldChar w:fldCharType="end"/>
      </w:r>
      <w:r w:rsidR="00842A4A">
        <w:t xml:space="preserve"> </w:t>
      </w:r>
      <w:r w:rsidR="00773D70">
        <w:t xml:space="preserve">serta </w:t>
      </w:r>
      <w:r w:rsidR="00773D70">
        <w:fldChar w:fldCharType="begin" w:fldLock="1"/>
      </w:r>
      <w:r w:rsidR="00575F86">
        <w:instrText>ADDIN CSL_CITATION {"citationItems":[{"id":"ITEM-1","itemData":{"DOI":"10.26460/ja.v7i2.1013","ISSN":"2540-9646","abstract":"INFO ARTIKEL This study examines the factors which influences disclosure of corporate social responsibility in sustainability report on mining companies that listed in Indonesia Stock Exchange. disclosure of corporate social responsibility in sustainability report on mining companies is important issue because mining companies that are closely related to the use of natural resources directly start to engage in a balance between the purpose of obtaining profits and environmental preservation. The sample was all mining companies that disclosure of corporate social responsibility in sustainability report for three years from 2015 until 2017 periods. The factors are profitability, liquidity, leverage, audit committee, board of directors. This study uses purposive sampling to select the sample. This research analyzed using multiple linear regression. Going concern opinion is significantly influenced by profitability, liquidity, audit committee, and board of directors. In the other hand, leverage don't give effect to disclosure of corporate social responsibility in sustainability report on mining companies.","author":[{"dropping-particle":"","family":"Putri","given":"Anandita Zulia","non-dropping-particle":"","parse-names":false,"suffix":""},{"dropping-particle":"","family":"Pramudiati","given":"Ningrum","non-dropping-particle":"","parse-names":false,"suffix":""}],"container-title":"Jurnal Akuntansi","id":"ITEM-1","issue":"2","issued":{"date-parts":[["2019"]]},"page":"188-198","title":"Determinan Pengungkapan Tanggung Jawab Sosialperusahaan Dalam Sustainability Report","type":"article-journal","volume":"7"},"uris":["http://www.mendeley.com/documents/?uuid=190afda0-6b2a-4051-9cf7-b3862231a4b0"]}],"mendeley":{"formattedCitation":"(Putri &amp; Pramudiati, 2019)","manualFormatting":"Putri dan Pramudiati, (2019)","plainTextFormattedCitation":"(Putri &amp; Pramudiati, 2019)","previouslyFormattedCitation":"(Putri &amp; Pramudiati, 2019)"},"properties":{"noteIndex":0},"schema":"https://github.com/citation-style-language/schema/raw/master/csl-citation.json"}</w:instrText>
      </w:r>
      <w:r w:rsidR="00773D70">
        <w:fldChar w:fldCharType="separate"/>
      </w:r>
      <w:r w:rsidR="00773D70">
        <w:rPr>
          <w:noProof/>
        </w:rPr>
        <w:t>Putri dan Pramudiati, (</w:t>
      </w:r>
      <w:r w:rsidR="00773D70" w:rsidRPr="00773D70">
        <w:rPr>
          <w:noProof/>
        </w:rPr>
        <w:t>2019)</w:t>
      </w:r>
      <w:r w:rsidR="00773D70">
        <w:fldChar w:fldCharType="end"/>
      </w:r>
      <w:r w:rsidR="00773D70">
        <w:t xml:space="preserve"> </w:t>
      </w:r>
      <w:r w:rsidR="00842A4A">
        <w:t xml:space="preserve">yang menyebutkan bahwa </w:t>
      </w:r>
      <w:r w:rsidR="00842A4A" w:rsidRPr="005E2249">
        <w:rPr>
          <w:i/>
        </w:rPr>
        <w:t>leverage</w:t>
      </w:r>
      <w:r w:rsidR="00842A4A">
        <w:t xml:space="preserve"> berpengaruh positif terhadap pengungkapan </w:t>
      </w:r>
      <w:r w:rsidR="00842A4A" w:rsidRPr="005E2249">
        <w:rPr>
          <w:i/>
        </w:rPr>
        <w:t>sustainability report</w:t>
      </w:r>
      <w:r w:rsidR="00842A4A">
        <w:t xml:space="preserve">. Hal tersebut dikarenakan perusahaan dengan </w:t>
      </w:r>
      <w:r w:rsidR="00842A4A" w:rsidRPr="005E2249">
        <w:rPr>
          <w:i/>
        </w:rPr>
        <w:t>leverage</w:t>
      </w:r>
      <w:r w:rsidR="00842A4A">
        <w:t xml:space="preserve"> tinggi berupaya untuk </w:t>
      </w:r>
      <w:r w:rsidR="00842A4A">
        <w:lastRenderedPageBreak/>
        <w:t xml:space="preserve">mendapatkan legitimasi dari </w:t>
      </w:r>
      <w:r w:rsidR="00842A4A" w:rsidRPr="005E2249">
        <w:rPr>
          <w:i/>
        </w:rPr>
        <w:t xml:space="preserve">stakeholders </w:t>
      </w:r>
      <w:r w:rsidR="00842A4A">
        <w:t xml:space="preserve">melalui </w:t>
      </w:r>
      <w:r w:rsidR="00842A4A" w:rsidRPr="00773D70">
        <w:rPr>
          <w:i/>
        </w:rPr>
        <w:t>sustainability report.</w:t>
      </w:r>
      <w:r w:rsidR="00842A4A">
        <w:t xml:space="preserve"> Perhatian </w:t>
      </w:r>
      <w:r w:rsidR="00842A4A" w:rsidRPr="005E2249">
        <w:rPr>
          <w:i/>
        </w:rPr>
        <w:t>stakeholders</w:t>
      </w:r>
      <w:r w:rsidR="00842A4A">
        <w:t xml:space="preserve"> terhadap rasio utang perusahaan dapat dialihkan melalui </w:t>
      </w:r>
      <w:r w:rsidR="00842A4A" w:rsidRPr="005E2249">
        <w:rPr>
          <w:i/>
        </w:rPr>
        <w:t>sustainability report.</w:t>
      </w:r>
      <w:r w:rsidR="00842A4A">
        <w:t xml:space="preserve"> Pengungkapan </w:t>
      </w:r>
      <w:r w:rsidR="00842A4A" w:rsidRPr="005E2249">
        <w:rPr>
          <w:i/>
        </w:rPr>
        <w:t>sustainability report</w:t>
      </w:r>
      <w:r w:rsidR="00842A4A">
        <w:t xml:space="preserve"> dapat menjaga kepercayaan dan dukungan dari para kreditur</w:t>
      </w:r>
    </w:p>
    <w:p w14:paraId="5ED0D6E5" w14:textId="2EC3B8B3" w:rsidR="007402A6" w:rsidRDefault="007402A6" w:rsidP="00916BDB">
      <w:pPr>
        <w:pStyle w:val="ListParagraph"/>
        <w:numPr>
          <w:ilvl w:val="0"/>
          <w:numId w:val="37"/>
        </w:numPr>
        <w:spacing w:line="480" w:lineRule="auto"/>
        <w:rPr>
          <w:i/>
        </w:rPr>
      </w:pPr>
      <w:r>
        <w:t xml:space="preserve">Pengaruh </w:t>
      </w:r>
      <w:r w:rsidRPr="007402A6">
        <w:t>Likuiditas</w:t>
      </w:r>
      <w:r>
        <w:rPr>
          <w:i/>
        </w:rPr>
        <w:t xml:space="preserve"> </w:t>
      </w:r>
      <w:r>
        <w:t xml:space="preserve">terhadap pengungkapan </w:t>
      </w:r>
      <w:r w:rsidRPr="007402A6">
        <w:rPr>
          <w:i/>
        </w:rPr>
        <w:t>sustainability report</w:t>
      </w:r>
    </w:p>
    <w:p w14:paraId="4AD0196C" w14:textId="7756EEA2" w:rsidR="007402A6" w:rsidRDefault="007402A6" w:rsidP="007402A6">
      <w:pPr>
        <w:pStyle w:val="ListParagraph"/>
        <w:spacing w:line="480" w:lineRule="auto"/>
        <w:ind w:left="1134"/>
        <w:rPr>
          <w:i/>
        </w:rPr>
      </w:pPr>
      <w:r w:rsidRPr="007402A6">
        <w:rPr>
          <w:i/>
        </w:rPr>
        <w:t xml:space="preserve"> </w:t>
      </w:r>
      <w:r>
        <w:rPr>
          <w:i/>
        </w:rPr>
        <w:tab/>
      </w:r>
      <w:r>
        <w:t xml:space="preserve">Hipotesis kedua (H2) yang diajukan dalam penelitian ini adalah likuiditas berpengaruh terhadap </w:t>
      </w:r>
      <w:r w:rsidRPr="00E848CD">
        <w:rPr>
          <w:i/>
        </w:rPr>
        <w:t>sustainability report</w:t>
      </w:r>
      <w:r>
        <w:rPr>
          <w:i/>
        </w:rPr>
        <w:t>.</w:t>
      </w:r>
    </w:p>
    <w:p w14:paraId="5D0DC299" w14:textId="60124227" w:rsidR="00B62F74" w:rsidRDefault="00B62F74" w:rsidP="00B62F74">
      <w:pPr>
        <w:pStyle w:val="ListParagraph"/>
        <w:spacing w:line="480" w:lineRule="auto"/>
        <w:ind w:left="1134" w:firstLine="284"/>
      </w:pPr>
      <w:r w:rsidRPr="00B62F74">
        <w:t>Likuiditas merupakan rasio yang mengukur kemampuan perusahaan dalam memenuhi kewajiban jangka pendeknya kepada kreditur jangka pendek. Kreditur jangka pendek lebih tertarik pada aliran kas perusahaan dana manajemen modal kerja dibandingkan dengan besarnya profit yang diperoleh perusahaan.</w:t>
      </w:r>
      <w:r>
        <w:t xml:space="preserve"> </w:t>
      </w:r>
      <w:r w:rsidRPr="00B62F74">
        <w:t>Perusahaan dengan tingkat likuiditas yang tinggi, menunjukkan bahwa perusahaan tersebut mempunyai kinerja ekonomi yang kuat</w:t>
      </w:r>
      <w:r>
        <w:t xml:space="preserve"> </w:t>
      </w:r>
      <w:r>
        <w:fldChar w:fldCharType="begin" w:fldLock="1"/>
      </w:r>
      <w:r w:rsidR="00434185">
        <w:instrText>ADDIN CSL_CITATION {"citationItems":[{"id":"ITEM-1","itemData":{"abstract":"This research is meant to obtain empirical evidences about some factors which influence the level of Sustainability Report disclosure. In this research the financial performance is proxy by the Sustainability Report (SR). The research samples have been selected by using purposive sampling method. The data is the documentary data and the source of data has been obtained from the official website i.e. www.idx.co.id, the internal web of the company and the STIESIA Surabaya Invesment Galery of Indonesia Stock Exchange. The data analysis technique has been done by using multiple linear regressions. By using the Goodness of Fit test, it can be stated that profitability, liquidity, leverage, firm size, corporate activity, audit committee, and board of directors are used to explain the variable of Sustainability Report (SR). Moreover, the result of the t test shows that Audit comittee has positive influence to the level of Sustainability Report disclosure and Leverage has negative influence to the level of Sustainability Report disclosure whereas profitability, liquidity, firm size, corporate activity, and board of director do not have any influence to the level of Sustainability Report disclosure.Keywords: Profitability, liquidity, leverage, firm size, corporate activity, audit committee, board of directors, sustainability Report","author":[{"dropping-particle":"","family":"Natalia","given":"Orien","non-dropping-particle":"","parse-names":false,"suffix":""},{"dropping-particle":"","family":"Wahidahwati","given":"","non-dropping-particle":"","parse-names":false,"suffix":""}],"container-title":"Jurnal Ilmu dan Riset Akuntansi","id":"ITEM-1","issue":"11","issued":{"date-parts":[["2016"]]},"page":"1-23","title":"Faktor-Faktor yang Mempengaruhi Tingkat Pengungkapan Sustainability Report","type":"article-journal","volume":"5"},"uris":["http://www.mendeley.com/documents/?uuid=c0838c4c-4821-4312-9069-75b48eae8c37"]}],"mendeley":{"formattedCitation":"(Natalia &amp; Wahidahwati, 2016)","plainTextFormattedCitation":"(Natalia &amp; Wahidahwati, 2016)","previouslyFormattedCitation":"(Natalia &amp; Wahidahwati, 2016)"},"properties":{"noteIndex":0},"schema":"https://github.com/citation-style-language/schema/raw/master/csl-citation.json"}</w:instrText>
      </w:r>
      <w:r>
        <w:fldChar w:fldCharType="separate"/>
      </w:r>
      <w:r w:rsidRPr="00B62F74">
        <w:rPr>
          <w:noProof/>
        </w:rPr>
        <w:t>(Natalia &amp; Wahidahwati, 2016)</w:t>
      </w:r>
      <w:r>
        <w:fldChar w:fldCharType="end"/>
      </w:r>
      <w:r w:rsidR="00EB5806">
        <w:t>.</w:t>
      </w:r>
    </w:p>
    <w:p w14:paraId="3780B526" w14:textId="2B4B2679" w:rsidR="00EB5806" w:rsidRPr="00B62F74" w:rsidRDefault="00EB5806" w:rsidP="00EB5806">
      <w:pPr>
        <w:pStyle w:val="NoSpacing"/>
        <w:spacing w:line="480" w:lineRule="auto"/>
        <w:ind w:left="1134" w:firstLine="284"/>
      </w:pPr>
      <w:r>
        <w:t xml:space="preserve">Hasil penelitian ini bertolak belakang dengan teori </w:t>
      </w:r>
      <w:r w:rsidRPr="002301B5">
        <w:rPr>
          <w:i/>
        </w:rPr>
        <w:t xml:space="preserve">stakeholder </w:t>
      </w:r>
      <w:r>
        <w:t xml:space="preserve">yang menyatakan semakin tinggi tingkat likuiditas maka semakin banyak pengungkapan informasi tentang tanggung jawab sosial dan lingkungan perusahaan. Hasil penelitian ini mengungkapkan bahwa likuiditas berpengaruh tidak berpengaruh terhadap pengungkapan </w:t>
      </w:r>
      <w:r w:rsidRPr="002301B5">
        <w:rPr>
          <w:i/>
        </w:rPr>
        <w:t>sustainability report</w:t>
      </w:r>
      <w:r>
        <w:t xml:space="preserve">. Artinya </w:t>
      </w:r>
      <w:r w:rsidRPr="00434185">
        <w:t>perusahaan c</w:t>
      </w:r>
      <w:r>
        <w:t>enderung hanya mengungkapan inform</w:t>
      </w:r>
      <w:r w:rsidRPr="00434185">
        <w:t>asi yang di</w:t>
      </w:r>
      <w:r>
        <w:t>butuhkan jika memiliki likuiditas</w:t>
      </w:r>
      <w:r w:rsidRPr="00434185">
        <w:t xml:space="preserve"> yang tinggi. Hal ini terjadi </w:t>
      </w:r>
      <w:r w:rsidRPr="00EB5806">
        <w:t xml:space="preserve">karena </w:t>
      </w:r>
      <w:r w:rsidRPr="00EB5806">
        <w:lastRenderedPageBreak/>
        <w:t>likuiditas yang dimiliki perusahaan dapat mencerminkan</w:t>
      </w:r>
      <w:r>
        <w:t xml:space="preserve"> </w:t>
      </w:r>
      <w:r w:rsidRPr="00434185">
        <w:t>kecukupan modal kerja</w:t>
      </w:r>
      <w:r>
        <w:t xml:space="preserve">, perusahaan dengan likuiditas yang tinggi tidak mampu untuk menungkapkan informasi yang lebih lengkap terkait dengan aktivitas lingkungan maupun sosial dalam bentuk </w:t>
      </w:r>
      <w:r w:rsidRPr="002301B5">
        <w:rPr>
          <w:i/>
        </w:rPr>
        <w:t>sustainability report</w:t>
      </w:r>
      <w:r>
        <w:rPr>
          <w:i/>
        </w:rPr>
        <w:t xml:space="preserve"> </w:t>
      </w:r>
      <w:r>
        <w:rPr>
          <w:i/>
        </w:rPr>
        <w:fldChar w:fldCharType="begin" w:fldLock="1"/>
      </w:r>
      <w:r w:rsidR="004109F4">
        <w:rPr>
          <w:i/>
        </w:rPr>
        <w:instrText>ADDIN CSL_CITATION {"citationItems":[{"id":"ITEM-1","itemData":{"author":[{"dropping-particle":"","family":"Winda","given":"Dhini","non-dropping-particle":"","parse-names":false,"suffix":""}],"id":"ITEM-1","issue":"2","issued":{"date-parts":[["2020"]]},"page":"197-215","title":"Jurusan Akuntansi, Fakultas Ekonomi, U","type":"article-journal","volume":"18"},"uris":["http://www.mendeley.com/documents/?uuid=f8970fb0-562e-45f4-b1fc-a18ea9be3cd1"]}],"mendeley":{"formattedCitation":"(Winda, 2020)","plainTextFormattedCitation":"(Winda, 2020)","previouslyFormattedCitation":"(Winda, 2020)"},"properties":{"noteIndex":0},"schema":"https://github.com/citation-style-language/schema/raw/master/csl-citation.json"}</w:instrText>
      </w:r>
      <w:r>
        <w:rPr>
          <w:i/>
        </w:rPr>
        <w:fldChar w:fldCharType="separate"/>
      </w:r>
      <w:r w:rsidRPr="00434185">
        <w:rPr>
          <w:noProof/>
        </w:rPr>
        <w:t>(Winda, 2020)</w:t>
      </w:r>
      <w:r>
        <w:rPr>
          <w:i/>
        </w:rPr>
        <w:fldChar w:fldCharType="end"/>
      </w:r>
      <w:r>
        <w:rPr>
          <w:i/>
        </w:rPr>
        <w:t>.</w:t>
      </w:r>
    </w:p>
    <w:p w14:paraId="2C6C31EE" w14:textId="74239CE6" w:rsidR="007402A6" w:rsidRDefault="007402A6" w:rsidP="007402A6">
      <w:pPr>
        <w:pStyle w:val="ListParagraph"/>
        <w:spacing w:line="480" w:lineRule="auto"/>
        <w:ind w:left="1134" w:firstLine="306"/>
      </w:pPr>
      <w:r>
        <w:t>Hasil dari pengujian regresi diperoleh</w:t>
      </w:r>
      <w:r w:rsidR="002301B5">
        <w:t xml:space="preserve"> nilai koefisie</w:t>
      </w:r>
      <w:r w:rsidR="00773D70">
        <w:t xml:space="preserve">n sebesar 4,511 </w:t>
      </w:r>
      <w:r>
        <w:t>d</w:t>
      </w:r>
      <w:r w:rsidR="00773D70">
        <w:t>engan tingkat signifikansi 0.878</w:t>
      </w:r>
      <w:r>
        <w:t xml:space="preserve"> &gt; 0</w:t>
      </w:r>
      <w:r w:rsidR="002301B5">
        <w:t>.05, membuktikan bahwa likuiditas</w:t>
      </w:r>
      <w:r>
        <w:t xml:space="preserve"> tidak berpengaruh dengan kata lain (H2) ditolak. </w:t>
      </w:r>
      <w:r w:rsidR="002301B5" w:rsidRPr="002301B5">
        <w:t xml:space="preserve">Artinya perusahaan dengan </w:t>
      </w:r>
      <w:r w:rsidR="002301B5" w:rsidRPr="002301B5">
        <w:rPr>
          <w:i/>
        </w:rPr>
        <w:t>current ratio</w:t>
      </w:r>
      <w:r w:rsidR="002301B5" w:rsidRPr="002301B5">
        <w:t xml:space="preserve"> yang rendah belum tentu dikategorikan sebagai perusahaan yang bisa mengungkapan </w:t>
      </w:r>
      <w:r w:rsidR="002301B5" w:rsidRPr="002301B5">
        <w:rPr>
          <w:i/>
        </w:rPr>
        <w:t>sustainability report</w:t>
      </w:r>
      <w:r w:rsidR="002301B5" w:rsidRPr="002301B5">
        <w:t xml:space="preserve"> dan perusahaan dengan </w:t>
      </w:r>
      <w:r w:rsidR="002301B5" w:rsidRPr="002301B5">
        <w:rPr>
          <w:i/>
        </w:rPr>
        <w:t>currenr ratio</w:t>
      </w:r>
      <w:r w:rsidR="002301B5">
        <w:t xml:space="preserve"> yang tinggi </w:t>
      </w:r>
      <w:r w:rsidR="002301B5" w:rsidRPr="002301B5">
        <w:t>belum tentu juga dikategorikan sebagai perusahaan yang mampu men</w:t>
      </w:r>
      <w:r w:rsidR="002301B5">
        <w:t xml:space="preserve">gungkapan </w:t>
      </w:r>
      <w:r w:rsidR="002301B5" w:rsidRPr="00773D70">
        <w:rPr>
          <w:i/>
        </w:rPr>
        <w:t>sustainability report</w:t>
      </w:r>
      <w:r w:rsidR="002301B5">
        <w:t xml:space="preserve"> pada perusahaan yang ada pada </w:t>
      </w:r>
      <w:r>
        <w:t xml:space="preserve">indeks SRI-Kehati periode 2019-2023. Dengan </w:t>
      </w:r>
      <w:r w:rsidR="002301B5">
        <w:t>demikian hipotesis kedua</w:t>
      </w:r>
      <w:r>
        <w:t xml:space="preserve"> yang menyatakan bahwa </w:t>
      </w:r>
      <w:r w:rsidR="002301B5">
        <w:t xml:space="preserve">Likuiditas </w:t>
      </w:r>
      <w:r>
        <w:t xml:space="preserve">berpengaruh terhadap pengungkapan </w:t>
      </w:r>
      <w:r w:rsidRPr="001404BA">
        <w:rPr>
          <w:i/>
        </w:rPr>
        <w:t>sustainability report</w:t>
      </w:r>
      <w:r>
        <w:t xml:space="preserve"> tidak dapat diterima. </w:t>
      </w:r>
    </w:p>
    <w:p w14:paraId="296F555E" w14:textId="14B9D81D" w:rsidR="005E2249" w:rsidRPr="00DF1DFA" w:rsidRDefault="005E2249" w:rsidP="00DF1DFA">
      <w:pPr>
        <w:pStyle w:val="ListParagraph"/>
        <w:spacing w:line="480" w:lineRule="auto"/>
        <w:ind w:left="1134" w:firstLine="306"/>
        <w:rPr>
          <w:i/>
        </w:rPr>
      </w:pPr>
      <w:r>
        <w:t xml:space="preserve">Hasil penelitian ini sejalan dengan </w:t>
      </w:r>
      <w:r>
        <w:fldChar w:fldCharType="begin" w:fldLock="1"/>
      </w:r>
      <w:r w:rsidR="006F6230">
        <w:instrText>ADDIN CSL_CITATION {"citationItems":[{"id":"ITEM-1","itemData":{"author":[{"dropping-particle":"","family":"Tobing","given":"Rotua Aprilya","non-dropping-particle":"","parse-names":false,"suffix":""}],"id":"ITEM-1","issue":"1","issued":{"date-parts":[["2019"]]},"page":"102-123","title":"Pengaruh Kinerja Keuangan , Ukuran Perusahaan , dan Good Corporate Governance Terhadap Pengungkapan Sustainability Report pada Perusahaan Manufaktur yang Terdaftar dalam Bursa Efek Indonesia","type":"article-journal","volume":"3"},"uris":["http://www.mendeley.com/documents/?uuid=8ce6f571-47e7-409c-88a6-f3b653de38fa"]}],"mendeley":{"formattedCitation":"(Tobing, 2019)","manualFormatting":"Tobing, (2019)","plainTextFormattedCitation":"(Tobing, 2019)","previouslyFormattedCitation":"(Tobing, 2019)"},"properties":{"noteIndex":0},"schema":"https://github.com/citation-style-language/schema/raw/master/csl-citation.json"}</w:instrText>
      </w:r>
      <w:r>
        <w:fldChar w:fldCharType="separate"/>
      </w:r>
      <w:r w:rsidRPr="005E2249">
        <w:rPr>
          <w:noProof/>
        </w:rPr>
        <w:t xml:space="preserve">Tobing, </w:t>
      </w:r>
      <w:r>
        <w:rPr>
          <w:noProof/>
        </w:rPr>
        <w:t>(</w:t>
      </w:r>
      <w:r w:rsidRPr="005E2249">
        <w:rPr>
          <w:noProof/>
        </w:rPr>
        <w:t>2019)</w:t>
      </w:r>
      <w:r>
        <w:fldChar w:fldCharType="end"/>
      </w:r>
      <w:r>
        <w:t xml:space="preserve"> dan </w:t>
      </w:r>
      <w:r w:rsidR="006F6230">
        <w:fldChar w:fldCharType="begin" w:fldLock="1"/>
      </w:r>
      <w:r w:rsidR="00574FAC">
        <w:instrText>ADDIN CSL_CITATION {"citationItems":[{"id":"ITEM-1","itemData":{"DOI":"10.37641/jiakes.v9i3.1209","author":[{"dropping-particle":"","family":"Hermawan","given":"Toni","non-dropping-particle":"","parse-names":false,"suffix":""}],"id":"ITEM-1","issue":"3","issued":{"date-parts":[["2021"]]},"page":"597-604","title":"Pengaruh Likuiditas , Leverage , dan Profitabilitas Terhadap Pengungkapan Sustainability Report","type":"article-journal","volume":"9"},"uris":["http://www.mendeley.com/documents/?uuid=69f910e9-31c9-4f4b-bc1c-ec58cb1c04eb"]}],"mendeley":{"formattedCitation":"(Hermawan, 2021)","manualFormatting":"Hermawan, (2021)","plainTextFormattedCitation":"(Hermawan, 2021)","previouslyFormattedCitation":"(Hermawan, 2021)"},"properties":{"noteIndex":0},"schema":"https://github.com/citation-style-language/schema/raw/master/csl-citation.json"}</w:instrText>
      </w:r>
      <w:r w:rsidR="006F6230">
        <w:fldChar w:fldCharType="separate"/>
      </w:r>
      <w:r w:rsidR="006F6230" w:rsidRPr="006F6230">
        <w:rPr>
          <w:noProof/>
        </w:rPr>
        <w:t xml:space="preserve">Hermawan, </w:t>
      </w:r>
      <w:r w:rsidR="006F6230">
        <w:rPr>
          <w:noProof/>
        </w:rPr>
        <w:t>(</w:t>
      </w:r>
      <w:r w:rsidR="006F6230" w:rsidRPr="006F6230">
        <w:rPr>
          <w:noProof/>
        </w:rPr>
        <w:t>2021)</w:t>
      </w:r>
      <w:r w:rsidR="006F6230">
        <w:fldChar w:fldCharType="end"/>
      </w:r>
      <w:r w:rsidR="006F6230">
        <w:t xml:space="preserve"> </w:t>
      </w:r>
      <w:r>
        <w:t xml:space="preserve">yang mengindikasi bahwa perusahaan yang memiliki tingkat likuiditas tinggi akan lebih rendah dalam melakukan pengungkapan </w:t>
      </w:r>
      <w:r w:rsidRPr="005E2249">
        <w:rPr>
          <w:i/>
        </w:rPr>
        <w:t>sustainability report</w:t>
      </w:r>
      <w:r>
        <w:t xml:space="preserve"> dan sebaliknya jika perusahaan memiliki tingkat likuiditas rendah maka kemungkinan perusahaan akan melakukan pengungkapan </w:t>
      </w:r>
      <w:r w:rsidRPr="005E2249">
        <w:rPr>
          <w:i/>
        </w:rPr>
        <w:t>sustainability report</w:t>
      </w:r>
      <w:r>
        <w:t xml:space="preserve"> lebih banyak. </w:t>
      </w:r>
      <w:r w:rsidR="00DF1DFA">
        <w:t xml:space="preserve">Perusahaan dengan tingkat likuiditas tinggi menyebabkan perusahaan cenderung lebih rendah </w:t>
      </w:r>
      <w:r w:rsidR="00DF1DFA">
        <w:lastRenderedPageBreak/>
        <w:t xml:space="preserve">dalam pengungkapan informasi sosial dan lingkungan. Hal ini disebabkan karena perusahaan lebih memfokuskan pada pengelolaan likuiditas perusahaan daripada pengungkapan </w:t>
      </w:r>
      <w:r w:rsidR="00DF1DFA" w:rsidRPr="005E2249">
        <w:rPr>
          <w:i/>
        </w:rPr>
        <w:t>sustainability report.</w:t>
      </w:r>
    </w:p>
    <w:p w14:paraId="488B0AD8" w14:textId="5492E98B" w:rsidR="001410FB" w:rsidRPr="001410FB" w:rsidRDefault="001410FB" w:rsidP="00916BDB">
      <w:pPr>
        <w:pStyle w:val="ListParagraph"/>
        <w:numPr>
          <w:ilvl w:val="0"/>
          <w:numId w:val="37"/>
        </w:numPr>
        <w:spacing w:line="480" w:lineRule="auto"/>
      </w:pPr>
      <w:r>
        <w:t xml:space="preserve">Pengaruh </w:t>
      </w:r>
      <w:r w:rsidRPr="001410FB">
        <w:rPr>
          <w:i/>
        </w:rPr>
        <w:t>firm size</w:t>
      </w:r>
      <w:r>
        <w:t xml:space="preserve"> terhadap pengungkapan </w:t>
      </w:r>
      <w:r w:rsidRPr="001410FB">
        <w:rPr>
          <w:i/>
        </w:rPr>
        <w:t>sustainability report</w:t>
      </w:r>
    </w:p>
    <w:p w14:paraId="1A303DD2" w14:textId="77777777" w:rsidR="004109F4" w:rsidRDefault="001410FB" w:rsidP="004109F4">
      <w:pPr>
        <w:pStyle w:val="ListParagraph"/>
        <w:spacing w:line="480" w:lineRule="auto"/>
        <w:ind w:left="1134" w:firstLine="306"/>
        <w:rPr>
          <w:i/>
        </w:rPr>
      </w:pPr>
      <w:r>
        <w:t xml:space="preserve">Hipotesis ketiga (H3) yang diajukan dalam penelitian ini adalah </w:t>
      </w:r>
      <w:r>
        <w:rPr>
          <w:i/>
        </w:rPr>
        <w:t>firm size</w:t>
      </w:r>
      <w:r w:rsidRPr="00E848CD">
        <w:rPr>
          <w:i/>
        </w:rPr>
        <w:t xml:space="preserve"> </w:t>
      </w:r>
      <w:r>
        <w:t xml:space="preserve">berpengaruh terhadap </w:t>
      </w:r>
      <w:r w:rsidRPr="00E848CD">
        <w:rPr>
          <w:i/>
        </w:rPr>
        <w:t>sustainability report</w:t>
      </w:r>
      <w:r>
        <w:rPr>
          <w:i/>
        </w:rPr>
        <w:t>.</w:t>
      </w:r>
    </w:p>
    <w:p w14:paraId="1D9844CA" w14:textId="14C2900D" w:rsidR="001061B7" w:rsidRDefault="004109F4" w:rsidP="004109F4">
      <w:pPr>
        <w:pStyle w:val="ListParagraph"/>
        <w:spacing w:line="480" w:lineRule="auto"/>
        <w:ind w:left="1134" w:firstLine="306"/>
      </w:pPr>
      <w:r w:rsidRPr="008A7E3D">
        <w:rPr>
          <w:i/>
        </w:rPr>
        <w:t>Firm size</w:t>
      </w:r>
      <w:r>
        <w:t xml:space="preserve"> merupakan</w:t>
      </w:r>
      <w:r w:rsidR="001061B7" w:rsidRPr="004109F4">
        <w:t xml:space="preserve"> suatu skala yang dapat mengklasifikasikan suatu badan usaha ke dalam dua kelompok yaitu perusahaan berskala besar dan perusahaan berskala kecil. Semakin besar perusahaan, maka semakin tinggi pula tingkat kepercayaan yang diberikan investor atau </w:t>
      </w:r>
      <w:r w:rsidR="001061B7" w:rsidRPr="004109F4">
        <w:rPr>
          <w:i/>
        </w:rPr>
        <w:t>stakeholder</w:t>
      </w:r>
      <w:r w:rsidR="001061B7" w:rsidRPr="004109F4">
        <w:t xml:space="preserve"> kepada perusahaan tersebut dalam berinvestasi menyatakan bahwa semakin besar perusahaan, maka semakin besar pula tanggung jawab yang dimiliki </w:t>
      </w:r>
      <w:r>
        <w:t xml:space="preserve">perusahaan, </w:t>
      </w:r>
      <w:r w:rsidRPr="004109F4">
        <w:t>termasuk komitmen perusaa</w:t>
      </w:r>
      <w:r>
        <w:t xml:space="preserve">n terhadap pemangku kepentingan </w:t>
      </w:r>
      <w:r>
        <w:fldChar w:fldCharType="begin" w:fldLock="1"/>
      </w:r>
      <w:r w:rsidR="0051711D">
        <w:instrText>ADDIN CSL_CITATION {"citationItems":[{"id":"ITEM-1","itemData":{"author":[{"dropping-particle":"","family":"Yohana","given":"Sherly","non-dropping-particle":"","parse-names":false,"suffix":""},{"dropping-particle":"","family":"Suhendah","given":"Rousilita","non-dropping-particle":"","parse-names":false,"suffix":""}],"id":"ITEM-1","issue":"03","issued":{"date-parts":[["2023"]]},"page":"525-545","title":"The Effect Of Profitability , Leverage , And Firm Size On Sustainability Report Disclosure","type":"article-journal","volume":"27"},"uris":["http://www.mendeley.com/documents/?uuid=43ca5266-65fe-4c90-8c83-39ccb41d006f"]}],"mendeley":{"formattedCitation":"(Yohana &amp; Suhendah, 2023)","plainTextFormattedCitation":"(Yohana &amp; Suhendah, 2023)","previouslyFormattedCitation":"(Yohana &amp; Suhendah, 2023)"},"properties":{"noteIndex":0},"schema":"https://github.com/citation-style-language/schema/raw/master/csl-citation.json"}</w:instrText>
      </w:r>
      <w:r>
        <w:fldChar w:fldCharType="separate"/>
      </w:r>
      <w:r w:rsidRPr="004109F4">
        <w:rPr>
          <w:noProof/>
        </w:rPr>
        <w:t>(Yohana &amp; Suhendah, 2023)</w:t>
      </w:r>
      <w:r>
        <w:fldChar w:fldCharType="end"/>
      </w:r>
      <w:r>
        <w:t>.</w:t>
      </w:r>
    </w:p>
    <w:p w14:paraId="1560CBD7" w14:textId="49B8D52A" w:rsidR="00BE3DC8" w:rsidRPr="00BE3DC8" w:rsidRDefault="00BE3DC8" w:rsidP="00BE3DC8">
      <w:pPr>
        <w:pStyle w:val="ListParagraph"/>
        <w:spacing w:line="480" w:lineRule="auto"/>
        <w:ind w:left="1134" w:firstLine="306"/>
      </w:pPr>
      <w:r w:rsidRPr="0051711D">
        <w:t xml:space="preserve">Hasil penelitian ini tidak sejalan dengan teori sinyal yang mengatakan bahwa ukuran perusahaan semakin besar semakin menarik investor untuk berinvestasi keperusahaan besar karena dianggep menguntungkan. </w:t>
      </w:r>
      <w:r>
        <w:t xml:space="preserve">Perusahaan dengan jumlah aset yang tinggi bukan berarti semakin banyak pula kontribusi yang perusahaan lakukan pada kegiatan sosial dan lingkungan tetapi perlu diperhatikan pula sektor operasi perusahaan. Semakin besar perusahaan semakin tinggi pula tingkat pengungkapan </w:t>
      </w:r>
      <w:r w:rsidRPr="008A7E3D">
        <w:rPr>
          <w:i/>
        </w:rPr>
        <w:t>sustainability report</w:t>
      </w:r>
      <w:r>
        <w:t xml:space="preserve"> dalam perusahaan tersebut. Karena   perusahaan   kecil   </w:t>
      </w:r>
      <w:r>
        <w:lastRenderedPageBreak/>
        <w:t xml:space="preserve">pun dapat mengungkapkan laporan keberlanjutan dengan baik apabil memang dianggap perlu. Alasan  lainnya  yaitu  bahwa  perusahaan  besar,  memiliki  dorongan  menahan  informasi untuk  menghindari  tekanan  biaya  politik  dalam  hukum  dan  kenaikan  pajak,  serta </w:t>
      </w:r>
      <w:r w:rsidRPr="0051711D">
        <w:t>tekanan untuk mel</w:t>
      </w:r>
      <w:r>
        <w:t xml:space="preserve">aksanakan tanggung jawab sosial </w:t>
      </w:r>
      <w:r>
        <w:fldChar w:fldCharType="begin" w:fldLock="1"/>
      </w:r>
      <w:r>
        <w:instrText>ADDIN CSL_CITATION {"citationItems":[{"id":"ITEM-1","itemData":{"DOI":"10.37151/jsma.v11i1.13","ISSN":"2085-8426","abstract":"Sustainability Report adalah laporan sukarela untuk menyajikan laporan tanggung jawab perusahaan pada aspek sosial, ekonomi dan lingkungan. Sustainability Report dinilai penting untuk keberhasilan jangka panjang, keberlangsungan hidup dan pertumbuhan organisasi. Penelitian ini bertujuan untuk menguji pengaruh good corporate governance dan ukuran perusahaan terhadap pengungkapan sustainability report. Good corporate governance sebagai variabel independen memiliki tiga dimensi variabel yaitu komite audit, komisaris independen dan kepemilikan institusional. Penelitian dilakukan pada perusahaan yang terdaftar di Bursa Efek Indonesia pada periode 3 tahun yaitu 2014-2016. Teknik pengambilan sampel yang digunakan adalah purposive sampling. Sampel penelitian ini adalah 26 perusahaan. Metode analisis data yang digunakan adalah regresi linier berganda. Hasil penelitian menunjukan bahwa: komite audit, komisaris independen, kepemilikan institusional dan ukuran perusahaan berpengaruh tidak signifikan terhadap pengungkapan sustainability report.","author":[{"dropping-particle":"","family":"Dewi","given":"Intan","non-dropping-particle":"","parse-names":false,"suffix":""},{"dropping-particle":"","family":"Pitriasari","given":"Pipit","non-dropping-particle":"","parse-names":false,"suffix":""}],"container-title":"JSMA (Jurnal Sains Manajemen dan Akuntansi)","id":"ITEM-1","issue":"1","issued":{"date-parts":[["2019"]]},"page":"33-53","title":"Pengaruh Good Corporate Governance Dan Ukuran Perusahaan Terhadap Pengungkapan Sustainability Report","type":"article-journal","volume":"11"},"uris":["http://www.mendeley.com/documents/?uuid=5f138e4e-93ea-4d77-9aaa-2b8f18033581"]}],"mendeley":{"formattedCitation":"(Dewi &amp; Pitriasari, 2019)","plainTextFormattedCitation":"(Dewi &amp; Pitriasari, 2019)","previouslyFormattedCitation":"(Dewi &amp; Pitriasari, 2019)"},"properties":{"noteIndex":0},"schema":"https://github.com/citation-style-language/schema/raw/master/csl-citation.json"}</w:instrText>
      </w:r>
      <w:r>
        <w:fldChar w:fldCharType="separate"/>
      </w:r>
      <w:r w:rsidRPr="0051711D">
        <w:rPr>
          <w:noProof/>
        </w:rPr>
        <w:t>(Dewi &amp; Pitriasari, 2019)</w:t>
      </w:r>
      <w:r>
        <w:fldChar w:fldCharType="end"/>
      </w:r>
      <w:r>
        <w:t>.</w:t>
      </w:r>
    </w:p>
    <w:p w14:paraId="304FCD66" w14:textId="6F9DE140" w:rsidR="001410FB" w:rsidRDefault="001410FB" w:rsidP="001410FB">
      <w:pPr>
        <w:pStyle w:val="ListParagraph"/>
        <w:spacing w:line="480" w:lineRule="auto"/>
        <w:ind w:left="1134" w:firstLine="306"/>
      </w:pPr>
      <w:r>
        <w:t>Hasil dari pengujian regresi diperole</w:t>
      </w:r>
      <w:r w:rsidR="00575F86">
        <w:t>h nilai koefisien sebesar 0,005</w:t>
      </w:r>
      <w:r>
        <w:t xml:space="preserve"> d</w:t>
      </w:r>
      <w:r w:rsidR="00575F86">
        <w:t>engan tingkat signifikansi 0.358</w:t>
      </w:r>
      <w:r>
        <w:t xml:space="preserve"> &gt; 0.05, membuktikan bahwa </w:t>
      </w:r>
      <w:r w:rsidRPr="001410FB">
        <w:rPr>
          <w:i/>
        </w:rPr>
        <w:t>firm size</w:t>
      </w:r>
      <w:r>
        <w:t xml:space="preserve"> tidak berpengaruh dengan kata lain (H3) ditolak.</w:t>
      </w:r>
      <w:r w:rsidRPr="001410FB">
        <w:t xml:space="preserve"> </w:t>
      </w:r>
      <w:r>
        <w:t xml:space="preserve">Hasil ini menunjukkan bahwa semakin besar atau kecil ukuran perusahaan yang diproksikan dengan log natural total aset tidak berpengaruh terhadap pengungkapan </w:t>
      </w:r>
      <w:r w:rsidRPr="001410FB">
        <w:rPr>
          <w:i/>
        </w:rPr>
        <w:t>sustainability report</w:t>
      </w:r>
      <w:r>
        <w:t xml:space="preserve"> pada perusahaan yang ada indeks SRI-Kehati periode 2019-2023. D</w:t>
      </w:r>
      <w:r w:rsidR="00DF1DFA">
        <w:t xml:space="preserve">engan demikian hipotesis </w:t>
      </w:r>
      <w:r w:rsidR="00AC1CBF">
        <w:t>ke</w:t>
      </w:r>
      <w:r w:rsidR="00575F86">
        <w:t>tiga</w:t>
      </w:r>
      <w:r>
        <w:t xml:space="preserve"> yang menyatakan bahwa </w:t>
      </w:r>
      <w:r>
        <w:rPr>
          <w:i/>
        </w:rPr>
        <w:t>firm size</w:t>
      </w:r>
      <w:r>
        <w:t xml:space="preserve"> berpengaruh terhadap pengungkapan </w:t>
      </w:r>
      <w:r w:rsidRPr="001404BA">
        <w:rPr>
          <w:i/>
        </w:rPr>
        <w:t>sustainability report</w:t>
      </w:r>
      <w:r>
        <w:t xml:space="preserve"> tidak dapat diterima. </w:t>
      </w:r>
    </w:p>
    <w:p w14:paraId="171C2E2D" w14:textId="7C2CDD15" w:rsidR="006155B4" w:rsidRDefault="005162C1" w:rsidP="00BE3DC8">
      <w:pPr>
        <w:pStyle w:val="ListParagraph"/>
        <w:spacing w:line="480" w:lineRule="auto"/>
        <w:ind w:left="1134" w:firstLine="306"/>
      </w:pPr>
      <w:r w:rsidRPr="007402A6">
        <w:t>Hasil penelit</w:t>
      </w:r>
      <w:r>
        <w:t xml:space="preserve">ian sejalan dengan </w:t>
      </w:r>
      <w:r w:rsidR="00574FAC">
        <w:fldChar w:fldCharType="begin" w:fldLock="1"/>
      </w:r>
      <w:r w:rsidR="00DD156C">
        <w:instrText>ADDIN CSL_CITATION {"citationItems":[{"id":"ITEM-1","itemData":{"abstract":"This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company.-Adam Smith (1776) Keywords: Agency costs and theory, internal control systems, conflicts of interest, capital structure, internal equity, outside equity, demand for security analysis, completeness of markets, supply of claims, limited liability ©1976 Jensen and Meckling","author":[{"dropping-particle":"","family":"Jensen","given":"Michael C","non-dropping-particle":"","parse-names":false,"suffix":""},{"dropping-particle":"","family":"Meckling","given":"William H","non-dropping-particle":"","parse-names":false,"suffix":""}],"container-title":"Journal of Financial Economics","id":"ITEM-1","issue":"4","issued":{"date-parts":[["1976"]]},"page":"305-360","title":"Also published in Foundations of Organizational Strategy","type":"article-journal"},"uris":["http://www.mendeley.com/documents/?uuid=6ef5eca8-6b3b-43ed-900a-e09cc82b4f09"]}],"mendeley":{"formattedCitation":"(Jensen &amp; Meckling, 1976)","manualFormatting":"Jensen dan Meckling, (1976)","plainTextFormattedCitation":"(Jensen &amp; Meckling, 1976)","previouslyFormattedCitation":"(Jensen &amp; Meckling, 1976)"},"properties":{"noteIndex":0},"schema":"https://github.com/citation-style-language/schema/raw/master/csl-citation.json"}</w:instrText>
      </w:r>
      <w:r w:rsidR="00574FAC">
        <w:fldChar w:fldCharType="separate"/>
      </w:r>
      <w:r w:rsidR="00574FAC">
        <w:rPr>
          <w:noProof/>
        </w:rPr>
        <w:t>Jensen dan Meckling, (</w:t>
      </w:r>
      <w:r w:rsidR="00574FAC" w:rsidRPr="00574FAC">
        <w:rPr>
          <w:noProof/>
        </w:rPr>
        <w:t>1976)</w:t>
      </w:r>
      <w:r w:rsidR="00574FAC">
        <w:fldChar w:fldCharType="end"/>
      </w:r>
      <w:r w:rsidR="00575F86">
        <w:t xml:space="preserve">, </w:t>
      </w:r>
      <w:r w:rsidR="00575F86">
        <w:fldChar w:fldCharType="begin" w:fldLock="1"/>
      </w:r>
      <w:r w:rsidR="00575F86">
        <w:instrText>ADDIN CSL_CITATION {"citationItems":[{"id":"ITEM-1","itemData":{"abstract":"The emergence of social and environmental problems due to irresponsible economic activities make economic subjects aware that the current business orientation does not only refer to profit, but it is now oriented to profit, people, and plant. This is done in order to carry out sustainable economic activities. In this global era, sustainability reports are present as a trend which reveals what kind of contributions the company has given to the community and the environment around it. This study aims to analyze factors that influence companies in disclosing sustainability reports. This study intends to determine the associate of independent variables both simultaneously and partially. This study uses profitability (ROA), leverage (DER), firm size, and public share ownership as independent variables and disclosure of sustainability reports as the dependent variable. The population in this study are non-financial companies which listed in the Indonesia Stock Exchange in 2015-2017. The sampling technique used was purposive sampling and obtained 19 companies with a research period of 3 years, resulting in 57 sample data. The method of data analysis in this study is panel data regression analysis using eviews 9 software. The results showed that profitability, leverage, company size, and public share ownership simultaneously influence the disclosure of sustainability reports. While partially profitability has a positive effect on disclosure of sustainability reports, public ownership has a negative effect on disclosure of sustainability reports, while leverage and company size do not affect the disclosure of sustainability reports. Companies with high profitability and low public share ownership to carry out corporate social responsibility activities and their disclosures in a sustainability report so that the company's image gets better and obtains community legitimacy for the impact of the company's operations, especially for companies listed on the Indonesia Stock Exchange.","author":[{"dropping-particle":"","family":"Meutia","given":"Farah","non-dropping-particle":"","parse-names":false,"suffix":""},{"dropping-particle":"","family":"Titik","given":"Farida","non-dropping-particle":"","parse-names":false,"suffix":""}],"container-title":"Proceeding of Management :","id":"ITEM-1","issue":"2","issued":{"date-parts":[["2019"]]},"page":"3543-3551","title":"Pengaruh Profitabilitas, Laverage, Ukuran Perusahaan, dan Kepemilikan Publik terhadap Pengungkapan Laporan Keberlanjutan [The Effect of Profitability, Laverage, Company Size, and Public Ownership on Sustainability Report Disclosure]","type":"article-journal","volume":"6"},"uris":["http://www.mendeley.com/documents/?uuid=6dbae503-230c-41ed-83fb-690f4fcb483b"]}],"mendeley":{"formattedCitation":"(Meutia &amp; Titik, 2019)","manualFormatting":"Meutia dan Titik,( 2019)","plainTextFormattedCitation":"(Meutia &amp; Titik, 2019)","previouslyFormattedCitation":"(Meutia &amp; Titik, 2019)"},"properties":{"noteIndex":0},"schema":"https://github.com/citation-style-language/schema/raw/master/csl-citation.json"}</w:instrText>
      </w:r>
      <w:r w:rsidR="00575F86">
        <w:fldChar w:fldCharType="separate"/>
      </w:r>
      <w:r w:rsidR="00575F86">
        <w:rPr>
          <w:noProof/>
        </w:rPr>
        <w:t>Meutia dan</w:t>
      </w:r>
      <w:r w:rsidR="00575F86" w:rsidRPr="00575F86">
        <w:rPr>
          <w:noProof/>
        </w:rPr>
        <w:t xml:space="preserve"> Titik,</w:t>
      </w:r>
      <w:r w:rsidR="00575F86">
        <w:rPr>
          <w:noProof/>
        </w:rPr>
        <w:t>(</w:t>
      </w:r>
      <w:r w:rsidR="00575F86" w:rsidRPr="00575F86">
        <w:rPr>
          <w:noProof/>
        </w:rPr>
        <w:t xml:space="preserve"> 2019)</w:t>
      </w:r>
      <w:r w:rsidR="00575F86">
        <w:fldChar w:fldCharType="end"/>
      </w:r>
      <w:r w:rsidR="00575F86">
        <w:t xml:space="preserve"> serta </w:t>
      </w:r>
      <w:r w:rsidR="00575F86">
        <w:fldChar w:fldCharType="begin" w:fldLock="1"/>
      </w:r>
      <w:r w:rsidR="00DE7B90">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approach.","author":[{"dropping-particle":"","family":"Rifandi","given":"Ahmad","non-dropping-particle":"","parse-names":false,"suffix":""}],"container-title":"Jurnal Akuntansi","id":"ITEM-1","issue":"2","issued":{"date-parts":[["2017"]]},"page":"1-24","title":"Pengaruh Ukuran Perusahaan, Profitabilitas, Dan Leverage Terhadap Pengungkapan Sustainability Report","type":"article-journal","volume":"5"},"uris":["http://www.mendeley.com/documents/?uuid=f1e95f98-7e3d-42ee-bdd7-8a00b8eb4041"]}],"mendeley":{"formattedCitation":"(Rifandi, 2017)","plainTextFormattedCitation":"(Rifandi, 2017)","previouslyFormattedCitation":"(Rifandi, 2017)"},"properties":{"noteIndex":0},"schema":"https://github.com/citation-style-language/schema/raw/master/csl-citation.json"}</w:instrText>
      </w:r>
      <w:r w:rsidR="00575F86">
        <w:fldChar w:fldCharType="separate"/>
      </w:r>
      <w:r w:rsidR="00575F86" w:rsidRPr="00575F86">
        <w:rPr>
          <w:noProof/>
        </w:rPr>
        <w:t>(Rifandi, 2017)</w:t>
      </w:r>
      <w:r w:rsidR="00575F86">
        <w:fldChar w:fldCharType="end"/>
      </w:r>
      <w:r w:rsidR="00575F86" w:rsidRPr="00575F86">
        <w:t xml:space="preserve"> Perusahaan dengan ukuran yang besar tidak menjamin akan peningkatan terhadap pengungkap pengungkapan laporan keberlanjutan. Perusahaan menghadapi isu-isu yang rumit menyangkut tanggung jawab sosial. Isu-isu tersebut jumlahnya sangat banyak, komple</w:t>
      </w:r>
      <w:r w:rsidR="00575F86">
        <w:t xml:space="preserve">ks, dan bergantung pada situasi dan perusahaan besar cenderung menahan informasi yang relevan untuk menghindari berbagai tekanan, sehingga manajemen lebih memilih untuk </w:t>
      </w:r>
      <w:r w:rsidR="00575F86">
        <w:lastRenderedPageBreak/>
        <w:t>mengungkapkan laporan seadanya.</w:t>
      </w:r>
      <w:r w:rsidR="00294CEA">
        <w:t xml:space="preserve"> </w:t>
      </w:r>
      <w:r w:rsidR="00574FAC">
        <w:t>Perusahaan besar</w:t>
      </w:r>
      <w:r w:rsidR="00575F86">
        <w:t xml:space="preserve"> juga</w:t>
      </w:r>
      <w:r w:rsidR="00574FAC">
        <w:t xml:space="preserve"> menganggap tidak perlu melakukan pengungkapan sukarela untuk mendapatkan legitimasi karena keberadaaan perusahaan besar telah mampu mempertahankan eksistensinya sehingga mengindikasi bahwa perusahaan seben</w:t>
      </w:r>
      <w:r w:rsidR="00BE3DC8">
        <w:t>arnya telah diakui oleh publik.</w:t>
      </w:r>
    </w:p>
    <w:p w14:paraId="44ED7674" w14:textId="5586E109" w:rsidR="00AF4544" w:rsidRPr="00AF4544" w:rsidRDefault="00AF4544" w:rsidP="00916BDB">
      <w:pPr>
        <w:pStyle w:val="ListParagraph"/>
        <w:numPr>
          <w:ilvl w:val="0"/>
          <w:numId w:val="37"/>
        </w:numPr>
        <w:spacing w:line="480" w:lineRule="auto"/>
      </w:pPr>
      <w:r>
        <w:rPr>
          <w:rFonts w:cs="Times New Roman"/>
          <w:szCs w:val="24"/>
        </w:rPr>
        <w:t xml:space="preserve">Profitabilitas memoderasi pengaruh </w:t>
      </w:r>
      <w:r w:rsidRPr="00BC58DD">
        <w:rPr>
          <w:rFonts w:cs="Times New Roman"/>
          <w:i/>
          <w:szCs w:val="24"/>
        </w:rPr>
        <w:t>leverage</w:t>
      </w:r>
      <w:r>
        <w:rPr>
          <w:rFonts w:cs="Times New Roman"/>
          <w:szCs w:val="24"/>
        </w:rPr>
        <w:t xml:space="preserve"> terhadap pengungkapan </w:t>
      </w:r>
      <w:r w:rsidRPr="00264A30">
        <w:rPr>
          <w:rFonts w:cs="Times New Roman"/>
          <w:i/>
          <w:szCs w:val="24"/>
        </w:rPr>
        <w:t>sustainability report</w:t>
      </w:r>
    </w:p>
    <w:p w14:paraId="0F9FBC80" w14:textId="657681B7" w:rsidR="00AF4544" w:rsidRDefault="00AF4544" w:rsidP="00AF4544">
      <w:pPr>
        <w:pStyle w:val="ListParagraph"/>
        <w:spacing w:line="480" w:lineRule="auto"/>
        <w:ind w:firstLine="720"/>
      </w:pPr>
      <w:r>
        <w:t xml:space="preserve">Hipotesis keempat (H4) yang diajukan dalam penelitian ini adalah </w:t>
      </w:r>
      <w:r>
        <w:rPr>
          <w:rFonts w:cs="Times New Roman"/>
          <w:szCs w:val="24"/>
        </w:rPr>
        <w:t xml:space="preserve">Profitabilitas mampu memoderasi pengaruh </w:t>
      </w:r>
      <w:r w:rsidRPr="00BC58DD">
        <w:rPr>
          <w:rFonts w:cs="Times New Roman"/>
          <w:i/>
          <w:szCs w:val="24"/>
        </w:rPr>
        <w:t>leverage</w:t>
      </w:r>
      <w:r>
        <w:rPr>
          <w:rFonts w:cs="Times New Roman"/>
          <w:szCs w:val="24"/>
        </w:rPr>
        <w:t xml:space="preserve"> terhadap pengungkapan </w:t>
      </w:r>
      <w:r w:rsidRPr="00264A30">
        <w:rPr>
          <w:rFonts w:cs="Times New Roman"/>
          <w:i/>
          <w:szCs w:val="24"/>
        </w:rPr>
        <w:t>sustainability report</w:t>
      </w:r>
      <w:r>
        <w:t xml:space="preserve"> </w:t>
      </w:r>
    </w:p>
    <w:p w14:paraId="533D1668" w14:textId="55D0675F" w:rsidR="00AF4544" w:rsidRDefault="00AF4544" w:rsidP="00AF4544">
      <w:pPr>
        <w:pStyle w:val="ListParagraph"/>
        <w:spacing w:line="480" w:lineRule="auto"/>
        <w:ind w:firstLine="720"/>
      </w:pPr>
      <w:r>
        <w:t xml:space="preserve">Hasil dari pengujian regresi diperoleh nilai koefisien interaksi antara </w:t>
      </w:r>
      <w:r w:rsidRPr="00AF4544">
        <w:rPr>
          <w:i/>
        </w:rPr>
        <w:t>leverage</w:t>
      </w:r>
      <w:r>
        <w:t xml:space="preserve"> dengan profitabilitas sebesa</w:t>
      </w:r>
      <w:r w:rsidR="00294CEA">
        <w:t xml:space="preserve">r 0,140 </w:t>
      </w:r>
      <w:r>
        <w:t xml:space="preserve">dapat diartikan dengan adanya interaksi antara </w:t>
      </w:r>
      <w:r w:rsidRPr="00AF4544">
        <w:rPr>
          <w:i/>
        </w:rPr>
        <w:t xml:space="preserve">leverage </w:t>
      </w:r>
      <w:r w:rsidR="00220450">
        <w:t xml:space="preserve">dengan profitabilitas dapat menurunkan pengungkapan </w:t>
      </w:r>
      <w:r w:rsidR="00220450" w:rsidRPr="00220450">
        <w:rPr>
          <w:i/>
        </w:rPr>
        <w:t>sustainability report</w:t>
      </w:r>
      <w:r w:rsidR="00220450">
        <w:rPr>
          <w:i/>
        </w:rPr>
        <w:t xml:space="preserve"> </w:t>
      </w:r>
      <w:r w:rsidR="00294CEA">
        <w:t xml:space="preserve">sebesar 0,140 </w:t>
      </w:r>
      <w:r w:rsidR="00220450">
        <w:t xml:space="preserve">dengan </w:t>
      </w:r>
      <w:r w:rsidR="00294CEA">
        <w:t>tingkat signifikansi 0.564</w:t>
      </w:r>
      <w:r>
        <w:t xml:space="preserve"> &gt; 0.05, membuktikan bahwa</w:t>
      </w:r>
      <w:r w:rsidR="00220450">
        <w:t xml:space="preserve"> profitabilitas tidak mampu memoderasi hubungan antara</w:t>
      </w:r>
      <w:r>
        <w:t xml:space="preserve"> </w:t>
      </w:r>
      <w:r>
        <w:rPr>
          <w:i/>
        </w:rPr>
        <w:t>leverage</w:t>
      </w:r>
      <w:r w:rsidR="00220450">
        <w:rPr>
          <w:i/>
        </w:rPr>
        <w:t xml:space="preserve"> </w:t>
      </w:r>
      <w:r w:rsidR="00220450">
        <w:t xml:space="preserve">terhadap </w:t>
      </w:r>
      <w:r w:rsidR="00220450" w:rsidRPr="00220450">
        <w:rPr>
          <w:i/>
        </w:rPr>
        <w:t>sustainability report</w:t>
      </w:r>
      <w:r>
        <w:t xml:space="preserve"> dengan kata lain (H4) ditolak.</w:t>
      </w:r>
      <w:r w:rsidRPr="001410FB">
        <w:t xml:space="preserve"> </w:t>
      </w:r>
      <w:r w:rsidR="00220450">
        <w:t xml:space="preserve">Hal tersebut berarti tinggi rendahnya profitabilitas dapat memperlemah pengaruh </w:t>
      </w:r>
      <w:r w:rsidR="00220450" w:rsidRPr="00294CEA">
        <w:rPr>
          <w:i/>
        </w:rPr>
        <w:t xml:space="preserve">leverage </w:t>
      </w:r>
      <w:r w:rsidR="00220450">
        <w:t>terhadap tingkat pengungkapan sustainability report perusahaan.</w:t>
      </w:r>
    </w:p>
    <w:p w14:paraId="4477ED7D" w14:textId="625E9D3C" w:rsidR="00220450" w:rsidRDefault="00220450" w:rsidP="00AF4544">
      <w:pPr>
        <w:pStyle w:val="ListParagraph"/>
        <w:spacing w:line="480" w:lineRule="auto"/>
        <w:ind w:firstLine="720"/>
      </w:pPr>
      <w:r>
        <w:t xml:space="preserve">Hasil penelitian ini sejalan dengan teori </w:t>
      </w:r>
      <w:r w:rsidR="009C4AF7" w:rsidRPr="009C4AF7">
        <w:t>sinyal</w:t>
      </w:r>
      <w:r w:rsidR="009C4AF7">
        <w:rPr>
          <w:i/>
        </w:rPr>
        <w:t xml:space="preserve"> </w:t>
      </w:r>
      <w:r>
        <w:t xml:space="preserve">yang menyatakan bahwa </w:t>
      </w:r>
      <w:r w:rsidR="00E1180A" w:rsidRPr="00E1180A">
        <w:t xml:space="preserve">semakin tinggi tingkat hutang pada perusahaan, resiko yang ditanggung oleh perusahaan juga semakin besar. Sehingga dapat menjadi sinyal buruk bagi </w:t>
      </w:r>
      <w:r w:rsidR="00E1180A" w:rsidRPr="00E1180A">
        <w:lastRenderedPageBreak/>
        <w:t>investor untuk berinvestasi karena pr</w:t>
      </w:r>
      <w:r w:rsidR="009C4AF7">
        <w:t>ofitabilitas perusahaan menurun.</w:t>
      </w:r>
      <w:r>
        <w:t xml:space="preserve"> Pengungkapan informasi yang luas merupakan salah satu pemenuhan kebutuhan informasi sekaligus bukti transparansi perusahaan yang digunakan untuk pengambilan keputusan. Transparansi sebagai elemen utama dalam tata kelola perusahaan yang baik dapat dilakukan melalui praktik pelaporan yang memastikan bahwa pemangku kepentingan mengetahui apa yang terjadi pada perusahaan</w:t>
      </w:r>
      <w:r w:rsidR="003A452F">
        <w:t>.</w:t>
      </w:r>
      <w:r>
        <w:t xml:space="preserve"> Informasi </w:t>
      </w:r>
      <w:r w:rsidR="009C4AF7">
        <w:t xml:space="preserve">yang diungkapkan </w:t>
      </w:r>
      <w:r>
        <w:t>berupa informasi keuangan dan non-keuangan. Perusahaan dengan tingkat leverage tinggi umumnya sangat membutuhkan dana yang cukup untuk memenuhi kebutuhan kreditur sehingga dapat mempertahankan kepercayaan dari kreditur. Pelaporan laba yang tinggi berarti perusahaan memiliki profitabilitas yang tinggi menunjukkan bahwa perusahaan memiliki kondisi keuangan yang kuat sehingga dapat menjadi jaminan dalam memperoleh pinja</w:t>
      </w:r>
      <w:r w:rsidR="00BE3DC8">
        <w:t xml:space="preserve">man maupun untuk membayar utang </w:t>
      </w:r>
      <w:r w:rsidR="00BE3DC8">
        <w:fldChar w:fldCharType="begin" w:fldLock="1"/>
      </w:r>
      <w:r w:rsidR="00BE3DC8">
        <w:instrText>ADDIN CSL_CITATION {"citationItems":[{"id":"ITEM-1","itemData":{"DOI":"10.47191/ijcsrr/v7-i5-29","abstract":"This research aims to analyze the influence of company size, board of directors and leverage on sustainability report disclosure with profitability as a moderating variable in LQ45 companies on the Indonesia Stock Exchange. This research is quantitative research with a causal nature and data collection techniques obtained through the annual reports of LQ45 companies listed on the IDX for the 2018-2022 period. The population in this research is the LQ45 companies on the Indonesia Stock Exchange (IDX), totaling 21 companies. The sampling technique in this research is the purposive sampling method. The analysis technique used is multiple linear regression analysis and moderated regression analysis. The research results show that company size has no effect on sustainability report disclosure. The board of directors has a positive and significant influence on sustainability report disclosure. Leverage has a positive and significant effect on sustainability report disclosure. Profitability is not able to moderate the influence of company size on sustainability report disclosure. Profitability is able to moderate the influence of the board of directors on sustainability report disclosure. Profitability is able to moderate the influence of leverage on sustainability report disclosure.","author":[{"dropping-particle":"","family":"Sitorus","given":"Cindi Imelda","non-dropping-particle":"","parse-names":false,"suffix":""},{"dropping-particle":"","family":"Br. Bukit","given":"Rina","non-dropping-particle":"","parse-names":false,"suffix":""},{"dropping-particle":"","family":"Bulan","given":"Narumondang","non-dropping-particle":"","parse-names":false,"suffix":""}],"container-title":"International Journal of Current Science Research and Review","id":"ITEM-1","issue":"05","issued":{"date-parts":[["2024"]]},"page":"2673-2688","title":"The Influence of Company Size, Board of Directors and Leverage on Sustainability Report Disclosure with Profitability as a Moderation Variable in LQ45 Companies Listed on the Indonesia Stock Exchange","type":"article-journal","volume":"07"},"uris":["http://www.mendeley.com/documents/?uuid=4a2f676d-7d34-4b28-b79c-49c8cfb5bf00"]}],"mendeley":{"formattedCitation":"(Sitorus et al., 2024)","plainTextFormattedCitation":"(Sitorus et al., 2024)","previouslyFormattedCitation":"(Sitorus et al., 2024)"},"properties":{"noteIndex":0},"schema":"https://github.com/citation-style-language/schema/raw/master/csl-citation.json"}</w:instrText>
      </w:r>
      <w:r w:rsidR="00BE3DC8">
        <w:fldChar w:fldCharType="separate"/>
      </w:r>
      <w:r w:rsidR="00BE3DC8" w:rsidRPr="00BE3DC8">
        <w:rPr>
          <w:noProof/>
        </w:rPr>
        <w:t>(Sitorus et al., 2024)</w:t>
      </w:r>
      <w:r w:rsidR="00BE3DC8">
        <w:fldChar w:fldCharType="end"/>
      </w:r>
      <w:r w:rsidR="00BE3DC8">
        <w:t>.</w:t>
      </w:r>
    </w:p>
    <w:p w14:paraId="61D1F5C3" w14:textId="089948DC" w:rsidR="00220450" w:rsidRDefault="002970C2" w:rsidP="00AF4544">
      <w:pPr>
        <w:pStyle w:val="ListParagraph"/>
        <w:spacing w:line="480" w:lineRule="auto"/>
        <w:ind w:firstLine="720"/>
        <w:rPr>
          <w:i/>
        </w:rPr>
      </w:pPr>
      <w:r>
        <w:t xml:space="preserve">Hasil penelitian ini sejalan dengan </w:t>
      </w:r>
      <w:r>
        <w:fldChar w:fldCharType="begin" w:fldLock="1"/>
      </w:r>
      <w:r w:rsidR="005154A5">
        <w:instrText>ADDIN CSL_CITATION {"citationItems":[{"id":"ITEM-1","itemData":{"author":[{"dropping-particle":"","family":"Winda","given":"Dhini","non-dropping-particle":"","parse-names":false,"suffix":""}],"id":"ITEM-1","issue":"2","issued":{"date-parts":[["2020"]]},"page":"197-215","title":"Jurusan Akuntansi, Fakultas Ekonomi, U","type":"article-journal","volume":"18"},"uris":["http://www.mendeley.com/documents/?uuid=f8970fb0-562e-45f4-b1fc-a18ea9be3cd1"]}],"mendeley":{"formattedCitation":"(Winda, 2020)","manualFormatting":"Winda, (2020)","plainTextFormattedCitation":"(Winda, 2020)","previouslyFormattedCitation":"(Winda, 2020)"},"properties":{"noteIndex":0},"schema":"https://github.com/citation-style-language/schema/raw/master/csl-citation.json"}</w:instrText>
      </w:r>
      <w:r>
        <w:fldChar w:fldCharType="separate"/>
      </w:r>
      <w:r w:rsidRPr="002970C2">
        <w:rPr>
          <w:noProof/>
        </w:rPr>
        <w:t xml:space="preserve">Winda, </w:t>
      </w:r>
      <w:r w:rsidR="005154A5">
        <w:rPr>
          <w:noProof/>
        </w:rPr>
        <w:t>(</w:t>
      </w:r>
      <w:r w:rsidRPr="002970C2">
        <w:rPr>
          <w:noProof/>
        </w:rPr>
        <w:t>2020)</w:t>
      </w:r>
      <w:r>
        <w:fldChar w:fldCharType="end"/>
      </w:r>
      <w:r>
        <w:t xml:space="preserve"> </w:t>
      </w:r>
      <w:r w:rsidR="005154A5" w:rsidRPr="005154A5">
        <w:t xml:space="preserve">Nilai </w:t>
      </w:r>
      <w:r w:rsidR="005154A5" w:rsidRPr="008A7E3D">
        <w:rPr>
          <w:i/>
        </w:rPr>
        <w:t xml:space="preserve">leverage </w:t>
      </w:r>
      <w:r w:rsidR="005154A5" w:rsidRPr="005154A5">
        <w:t xml:space="preserve">perusahaan tidak mempengaruhi keputusan perusahaan untuk menyampaikan laporan keberlanjutan. Hal ini disebabkan karena semakin tinggi tingkat leverage perusahaan akan mempengaruhi hubungan yang lebih intim antara perusahaan dengan krediturnya. Hal ini menyebabkan kreditur tidak terlalu khawatir dengan tingkat </w:t>
      </w:r>
      <w:r w:rsidR="005154A5" w:rsidRPr="008A7E3D">
        <w:rPr>
          <w:i/>
        </w:rPr>
        <w:t>leverage</w:t>
      </w:r>
      <w:r w:rsidR="005154A5" w:rsidRPr="005154A5">
        <w:t xml:space="preserve"> yang sangat tinggi dan tidak akan terlibat dalam pengungkapan laporan keberlanjutan. </w:t>
      </w:r>
      <w:r w:rsidR="00220450">
        <w:t xml:space="preserve">Perusahaan dengan kinerja keuangan yang baik akan memperoleh kepercayaan dalam memberikan </w:t>
      </w:r>
      <w:r w:rsidR="00220450">
        <w:lastRenderedPageBreak/>
        <w:t>informasi kepad</w:t>
      </w:r>
      <w:r w:rsidR="00F411EB">
        <w:t xml:space="preserve">a </w:t>
      </w:r>
      <w:r w:rsidR="00F411EB" w:rsidRPr="008A7E3D">
        <w:rPr>
          <w:i/>
        </w:rPr>
        <w:t>stakeholders</w:t>
      </w:r>
      <w:r w:rsidR="00F411EB">
        <w:t xml:space="preserve"> karena mampu </w:t>
      </w:r>
      <w:r w:rsidR="00220450">
        <w:t xml:space="preserve">menunjukkan kepada mereka bahwa perusahaan mampu memenuhi harapan investor dan kreditur. Perusahaan dengan profitabilitas tinggi akan mendorong para manajer untuk melakukan pengungkapan informasi sosial dan lingkungan untuk meyakinkan investor dan kreditur terhadap profitabilitas perusahaan termasuk pengungkapan </w:t>
      </w:r>
      <w:r w:rsidR="00220450" w:rsidRPr="00220450">
        <w:rPr>
          <w:i/>
        </w:rPr>
        <w:t>sustainability report.</w:t>
      </w:r>
    </w:p>
    <w:p w14:paraId="362FF64E" w14:textId="17D73926" w:rsidR="00F411EB" w:rsidRPr="00F411EB" w:rsidRDefault="00F411EB" w:rsidP="00916BDB">
      <w:pPr>
        <w:pStyle w:val="ListParagraph"/>
        <w:numPr>
          <w:ilvl w:val="0"/>
          <w:numId w:val="37"/>
        </w:numPr>
        <w:spacing w:line="480" w:lineRule="auto"/>
      </w:pPr>
      <w:r>
        <w:rPr>
          <w:rFonts w:cs="Times New Roman"/>
          <w:szCs w:val="24"/>
        </w:rPr>
        <w:t xml:space="preserve">Profitabilitas memoderasi pengaruh likuiditas terhadap pengungkapan </w:t>
      </w:r>
      <w:r w:rsidRPr="00264A30">
        <w:rPr>
          <w:rFonts w:cs="Times New Roman"/>
          <w:i/>
          <w:szCs w:val="24"/>
        </w:rPr>
        <w:t>sustainability report</w:t>
      </w:r>
    </w:p>
    <w:p w14:paraId="5EB8D7DA" w14:textId="2731781E" w:rsidR="00F411EB" w:rsidRDefault="00F411EB" w:rsidP="00F411EB">
      <w:pPr>
        <w:pStyle w:val="ListParagraph"/>
        <w:spacing w:line="480" w:lineRule="auto"/>
        <w:ind w:firstLine="720"/>
      </w:pPr>
      <w:r>
        <w:t xml:space="preserve">Hipotesis kelima (H5) yang diajukan dalam penelitian ini adalah </w:t>
      </w:r>
      <w:r>
        <w:rPr>
          <w:rFonts w:cs="Times New Roman"/>
          <w:szCs w:val="24"/>
        </w:rPr>
        <w:t xml:space="preserve">Profitabilitas mampu memoderasi pengaruh likuiditas terhadap pengungkapan </w:t>
      </w:r>
      <w:r w:rsidRPr="00264A30">
        <w:rPr>
          <w:rFonts w:cs="Times New Roman"/>
          <w:i/>
          <w:szCs w:val="24"/>
        </w:rPr>
        <w:t>sustainability report</w:t>
      </w:r>
      <w:r>
        <w:t xml:space="preserve"> </w:t>
      </w:r>
    </w:p>
    <w:p w14:paraId="36B83841" w14:textId="394B8892" w:rsidR="00F411EB" w:rsidRDefault="00F411EB" w:rsidP="00F411EB">
      <w:pPr>
        <w:pStyle w:val="ListParagraph"/>
        <w:spacing w:line="480" w:lineRule="auto"/>
        <w:ind w:firstLine="720"/>
      </w:pPr>
      <w:r>
        <w:t>Hasil dari pengujian regresi diperoleh nilai koefisien interaksi antara likuiditas dengan profitabilitas sebesar 0,000 dapat diartikan dengan adanya interaksi antara likuiditas</w:t>
      </w:r>
      <w:r w:rsidRPr="00AF4544">
        <w:rPr>
          <w:i/>
        </w:rPr>
        <w:t xml:space="preserve"> </w:t>
      </w:r>
      <w:r>
        <w:t xml:space="preserve">dengan profitabilitas dapat menurunkan pengungkapan </w:t>
      </w:r>
      <w:r w:rsidRPr="00220450">
        <w:rPr>
          <w:i/>
        </w:rPr>
        <w:t>sustainability report</w:t>
      </w:r>
      <w:r>
        <w:rPr>
          <w:i/>
        </w:rPr>
        <w:t xml:space="preserve"> </w:t>
      </w:r>
      <w:r w:rsidR="00294CEA">
        <w:t xml:space="preserve">sebesar 0,000 </w:t>
      </w:r>
      <w:r>
        <w:t>d</w:t>
      </w:r>
      <w:r w:rsidR="00294CEA">
        <w:t>engan tingkat signifikansi 0.975</w:t>
      </w:r>
      <w:r>
        <w:t xml:space="preserve"> &gt; 0.05, membuktikan bahwa profitabilitas tidak mampu memoderasi hubungan antara likuiditas</w:t>
      </w:r>
      <w:r>
        <w:rPr>
          <w:i/>
        </w:rPr>
        <w:t xml:space="preserve"> </w:t>
      </w:r>
      <w:r>
        <w:t xml:space="preserve">terhadap </w:t>
      </w:r>
      <w:r w:rsidRPr="00220450">
        <w:rPr>
          <w:i/>
        </w:rPr>
        <w:t>sustainability report</w:t>
      </w:r>
      <w:r>
        <w:t xml:space="preserve"> dengan kata lain (H5) ditolak.</w:t>
      </w:r>
      <w:r w:rsidRPr="001410FB">
        <w:t xml:space="preserve"> </w:t>
      </w:r>
      <w:r>
        <w:t xml:space="preserve">Hal tersebut berarti tinggi rendahnya profitabilitas tidak berperan dalam memoderasi pengaruh likuiditas terhadap tingkat pengungkapan </w:t>
      </w:r>
      <w:r w:rsidRPr="001A045B">
        <w:rPr>
          <w:i/>
        </w:rPr>
        <w:t>sustainability report</w:t>
      </w:r>
      <w:r>
        <w:t xml:space="preserve"> perusahaan.</w:t>
      </w:r>
    </w:p>
    <w:p w14:paraId="7E31D4B3" w14:textId="6A902125" w:rsidR="00F411EB" w:rsidRPr="001A045B" w:rsidRDefault="00F411EB" w:rsidP="00F411EB">
      <w:pPr>
        <w:pStyle w:val="ListParagraph"/>
        <w:spacing w:line="480" w:lineRule="auto"/>
        <w:ind w:firstLine="720"/>
        <w:rPr>
          <w:i/>
        </w:rPr>
      </w:pPr>
      <w:r>
        <w:t xml:space="preserve">Profitabilitas diharapkan mampu memoderasi pengaruh likuiditas terhadap pengungkapan </w:t>
      </w:r>
      <w:r w:rsidRPr="001A045B">
        <w:rPr>
          <w:i/>
        </w:rPr>
        <w:t>sustainability report</w:t>
      </w:r>
      <w:r>
        <w:t xml:space="preserve">. Hasil analisis uji interaksi </w:t>
      </w:r>
      <w:r>
        <w:lastRenderedPageBreak/>
        <w:t xml:space="preserve">menunjukkan bahwa profitabilitas tidak mampu memoderasi pengaruh likuiditas terhadap pengungkapan </w:t>
      </w:r>
      <w:r w:rsidRPr="001A045B">
        <w:rPr>
          <w:i/>
        </w:rPr>
        <w:t>sustainability report</w:t>
      </w:r>
      <w:r>
        <w:t xml:space="preserve">. Analisis pengaruh langsung antara likuiditas dengan pengungkapan sustainability report menunjukkan hasil tidak berpengaruh secara signifikan. Setelah dimasukkan profitabilitas sebagai variabel moderating, ternyata menunjukkan hasil tidak berpengaruh secara signifikan, sehingga dapat disimpulkan bahwa profitabilitas gagal dalam memoderasi pengaruh likuiditas terhadap pengungkapan </w:t>
      </w:r>
      <w:r w:rsidRPr="001A045B">
        <w:rPr>
          <w:i/>
        </w:rPr>
        <w:t>sustainability report.</w:t>
      </w:r>
    </w:p>
    <w:p w14:paraId="42402648" w14:textId="02FEBC4A" w:rsidR="00C74362" w:rsidRDefault="00F411EB" w:rsidP="00C74362">
      <w:pPr>
        <w:pStyle w:val="ListParagraph"/>
        <w:spacing w:line="480" w:lineRule="auto"/>
        <w:ind w:firstLine="720"/>
      </w:pPr>
      <w:r>
        <w:t xml:space="preserve">Penelitian ini tidak sesuai dengan teori </w:t>
      </w:r>
      <w:r w:rsidR="00C74362" w:rsidRPr="00DF18E3">
        <w:rPr>
          <w:rFonts w:cs="Times New Roman"/>
          <w:szCs w:val="24"/>
        </w:rPr>
        <w:t>sinyal yan</w:t>
      </w:r>
      <w:r w:rsidR="00DF1C10">
        <w:rPr>
          <w:rFonts w:cs="Times New Roman"/>
          <w:szCs w:val="24"/>
        </w:rPr>
        <w:t xml:space="preserve">g menyatakan bahwa </w:t>
      </w:r>
      <w:r w:rsidR="00E1180A">
        <w:rPr>
          <w:rFonts w:cs="Times New Roman"/>
          <w:szCs w:val="24"/>
        </w:rPr>
        <w:t xml:space="preserve">perusahaan baik, akan </w:t>
      </w:r>
      <w:r w:rsidR="00E1180A" w:rsidRPr="00E1180A">
        <w:rPr>
          <w:rFonts w:cs="Times New Roman"/>
          <w:szCs w:val="24"/>
        </w:rPr>
        <w:t xml:space="preserve">menunjukkan bahwa perusahaan mampu untuk melunasi kewajiban jangka pendeknya dengan baik dan dapat dijadikan sinyal bagi manajemen untuk menarik minat para investor untuk menanamkan </w:t>
      </w:r>
      <w:r w:rsidR="00E1180A">
        <w:rPr>
          <w:rFonts w:cs="Times New Roman"/>
          <w:szCs w:val="24"/>
        </w:rPr>
        <w:t xml:space="preserve">modalnya ke perusahaan tersebut. </w:t>
      </w:r>
      <w:r w:rsidR="00C74362">
        <w:t xml:space="preserve">Tingginya likuiditas perusahaan menunjukkan bahwa perusahaan dapat membayar kewajiban jangka pendeknya secara tepat waktu. Kreditur akan lebih menaruh kepercayaan kepada perusahaan dengan tingkat likuiditas tinggi dikarenakan perusahaan tersebut dianggap dapat mengelola keuangan dengan baik. Perusahaan dengan kinerja keuangan yang baik akan lebih banyak dalam mengungkapkan informasi lain untuk menambah daya tarik kepada kreditur salah satunya dengan mengungkapkan </w:t>
      </w:r>
      <w:r w:rsidR="00C74362" w:rsidRPr="001A045B">
        <w:rPr>
          <w:i/>
        </w:rPr>
        <w:t>sustainability report.</w:t>
      </w:r>
      <w:r w:rsidR="00C74362">
        <w:t xml:space="preserve"> Namun perusahaan dengan tingkat likuiditas dan profitabilitas yang tinggi tidak menjamin perusahaan melakukan pengungkapan tanggung jawab sosial dan lingkungan. Hal ini dikarenakan perusahaan terus berfokus pada peningkatan </w:t>
      </w:r>
      <w:r w:rsidR="00C74362">
        <w:lastRenderedPageBreak/>
        <w:t>keuntungan dan pengembalian pinjaman dana untuk</w:t>
      </w:r>
      <w:r w:rsidR="00BE3DC8">
        <w:t xml:space="preserve"> meningkatkan nilai perusahaan </w:t>
      </w:r>
      <w:r w:rsidR="00BE3DC8">
        <w:fldChar w:fldCharType="begin" w:fldLock="1"/>
      </w:r>
      <w:r w:rsidR="00BE3DC8">
        <w:instrText>ADDIN CSL_CITATION {"citationItems":[{"id":"ITEM-1","itemData":{"author":[{"dropping-particle":"","family":"Winda","given":"Dhini","non-dropping-particle":"","parse-names":false,"suffix":""}],"id":"ITEM-1","issue":"2","issued":{"date-parts":[["2020"]]},"page":"197-215","title":"Jurusan Akuntansi, Fakultas Ekonomi, U","type":"article-journal","volume":"18"},"uris":["http://www.mendeley.com/documents/?uuid=f8970fb0-562e-45f4-b1fc-a18ea9be3cd1"]}],"mendeley":{"formattedCitation":"(Winda, 2020)","plainTextFormattedCitation":"(Winda, 2020)","previouslyFormattedCitation":"(Winda, 2020)"},"properties":{"noteIndex":0},"schema":"https://github.com/citation-style-language/schema/raw/master/csl-citation.json"}</w:instrText>
      </w:r>
      <w:r w:rsidR="00BE3DC8">
        <w:fldChar w:fldCharType="separate"/>
      </w:r>
      <w:r w:rsidR="00BE3DC8" w:rsidRPr="00BE3DC8">
        <w:rPr>
          <w:noProof/>
        </w:rPr>
        <w:t>(Winda, 2020)</w:t>
      </w:r>
      <w:r w:rsidR="00BE3DC8">
        <w:fldChar w:fldCharType="end"/>
      </w:r>
      <w:r w:rsidR="00BE3DC8">
        <w:t>.</w:t>
      </w:r>
    </w:p>
    <w:p w14:paraId="08211F87" w14:textId="1066FC3A" w:rsidR="00F411EB" w:rsidRDefault="005154A5" w:rsidP="00C74362">
      <w:pPr>
        <w:pStyle w:val="ListParagraph"/>
        <w:spacing w:line="480" w:lineRule="auto"/>
        <w:ind w:firstLine="720"/>
        <w:rPr>
          <w:rFonts w:cs="Times New Roman"/>
          <w:i/>
          <w:szCs w:val="24"/>
        </w:rPr>
      </w:pPr>
      <w:r>
        <w:t xml:space="preserve">Hasil penelitian ini sejalan dengan </w:t>
      </w:r>
      <w:r>
        <w:fldChar w:fldCharType="begin" w:fldLock="1"/>
      </w:r>
      <w:r>
        <w:instrText>ADDIN CSL_CITATION {"citationItems":[{"id":"ITEM-1","itemData":{"author":[{"dropping-particle":"","family":"Winda","given":"Dhini","non-dropping-particle":"","parse-names":false,"suffix":""}],"id":"ITEM-1","issue":"2","issued":{"date-parts":[["2020"]]},"page":"197-215","title":"Jurusan Akuntansi, Fakultas Ekonomi, U","type":"article-journal","volume":"18"},"uris":["http://www.mendeley.com/documents/?uuid=f8970fb0-562e-45f4-b1fc-a18ea9be3cd1"]}],"mendeley":{"formattedCitation":"(Winda, 2020)","manualFormatting":"Winda, (2020)","plainTextFormattedCitation":"(Winda, 2020)","previouslyFormattedCitation":"(Winda, 2020)"},"properties":{"noteIndex":0},"schema":"https://github.com/citation-style-language/schema/raw/master/csl-citation.json"}</w:instrText>
      </w:r>
      <w:r>
        <w:fldChar w:fldCharType="separate"/>
      </w:r>
      <w:r w:rsidRPr="005154A5">
        <w:rPr>
          <w:noProof/>
        </w:rPr>
        <w:t xml:space="preserve">Winda, </w:t>
      </w:r>
      <w:r>
        <w:rPr>
          <w:noProof/>
        </w:rPr>
        <w:t>(</w:t>
      </w:r>
      <w:r w:rsidRPr="005154A5">
        <w:rPr>
          <w:noProof/>
        </w:rPr>
        <w:t>2020)</w:t>
      </w:r>
      <w:r>
        <w:fldChar w:fldCharType="end"/>
      </w:r>
      <w:r>
        <w:t xml:space="preserve"> dan </w:t>
      </w:r>
      <w:r>
        <w:fldChar w:fldCharType="begin" w:fldLock="1"/>
      </w:r>
      <w:r>
        <w:instrText>ADDIN CSL_CITATION {"citationItems":[{"id":"ITEM-1","itemData":{"DOI":"10.47191/ijcsrr/v7-i5-29","abstract":"This research aims to analyze the influence of company size, board of directors and leverage on sustainability report disclosure with profitability as a moderating variable in LQ45 companies on the Indonesia Stock Exchange. This research is quantitative research with a causal nature and data collection techniques obtained through the annual reports of LQ45 companies listed on the IDX for the 2018-2022 period. The population in this research is the LQ45 companies on the Indonesia Stock Exchange (IDX), totaling 21 companies. The sampling technique in this research is the purposive sampling method. The analysis technique used is multiple linear regression analysis and moderated regression analysis. The research results show that company size has no effect on sustainability report disclosure. The board of directors has a positive and significant influence on sustainability report disclosure. Leverage has a positive and significant effect on sustainability report disclosure. Profitability is not able to moderate the influence of company size on sustainability report disclosure. Profitability is able to moderate the influence of the board of directors on sustainability report disclosure. Profitability is able to moderate the influence of leverage on sustainability report disclosure.","author":[{"dropping-particle":"","family":"Sitorus","given":"Cindi Imelda","non-dropping-particle":"","parse-names":false,"suffix":""},{"dropping-particle":"","family":"Br. Bukit","given":"Rina","non-dropping-particle":"","parse-names":false,"suffix":""},{"dropping-particle":"","family":"Bulan","given":"Narumondang","non-dropping-particle":"","parse-names":false,"suffix":""}],"container-title":"International Journal of Current Science Research and Review","id":"ITEM-1","issue":"05","issued":{"date-parts":[["2024"]]},"page":"2673-2688","title":"The Influence of Company Size, Board of Directors and Leverage on Sustainability Report Disclosure with Profitability as a Moderation Variable in LQ45 Companies Listed on the Indonesia Stock Exchange","type":"article-journal","volume":"07"},"uris":["http://www.mendeley.com/documents/?uuid=4a2f676d-7d34-4b28-b79c-49c8cfb5bf00"]}],"mendeley":{"formattedCitation":"(Sitorus et al., 2024)","manualFormatting":"Sitorus et al., (2024)","plainTextFormattedCitation":"(Sitorus et al., 2024)","previouslyFormattedCitation":"(Sitorus et al., 2024)"},"properties":{"noteIndex":0},"schema":"https://github.com/citation-style-language/schema/raw/master/csl-citation.json"}</w:instrText>
      </w:r>
      <w:r>
        <w:fldChar w:fldCharType="separate"/>
      </w:r>
      <w:r w:rsidRPr="005154A5">
        <w:rPr>
          <w:noProof/>
        </w:rPr>
        <w:t xml:space="preserve">Sitorus et al., </w:t>
      </w:r>
      <w:r>
        <w:rPr>
          <w:noProof/>
        </w:rPr>
        <w:t>(</w:t>
      </w:r>
      <w:r w:rsidRPr="005154A5">
        <w:rPr>
          <w:noProof/>
        </w:rPr>
        <w:t>2024)</w:t>
      </w:r>
      <w:r>
        <w:fldChar w:fldCharType="end"/>
      </w:r>
      <w:r>
        <w:t xml:space="preserve"> </w:t>
      </w:r>
      <w:r w:rsidR="00C74362">
        <w:t xml:space="preserve">Perusahaan dengan profitabilitas dan likuiditas yang tinggi cenderung tidak mengungkapkan banyak informasi. Hal tersebut dikarenakan perusahaan dengan profitabilitas tinggi berfokus pada pengembalian utang jangka pendek daripada untuk mengungkapkan informasi tanggung jawab sosial dan lingkungan. Profit perusahaan yang tinggi dimanfaatkan untuk melunasi kewajiban dan membayar biaya-biaya yang dikeluarkan untuk memperlancar operasional perusahaan dibandingankan untuk melakukan pengungkapan </w:t>
      </w:r>
      <w:r w:rsidR="00C74362" w:rsidRPr="001A045B">
        <w:rPr>
          <w:i/>
        </w:rPr>
        <w:t>sustainability report</w:t>
      </w:r>
      <w:r w:rsidR="00C74362">
        <w:t xml:space="preserve"> yang membutuhkan biaya cukup banyak. Penelitin ini memberikan bukti bahwa profitabilitas tinggi tidak mampu memoderasi pengaruh likuiditas terhadap tingkat pengungkapan </w:t>
      </w:r>
      <w:r w:rsidR="00C74362" w:rsidRPr="001A045B">
        <w:rPr>
          <w:i/>
        </w:rPr>
        <w:t>sustainability report.</w:t>
      </w:r>
      <w:r w:rsidR="00C74362" w:rsidRPr="001A045B">
        <w:rPr>
          <w:rFonts w:cs="Times New Roman"/>
          <w:i/>
          <w:szCs w:val="24"/>
        </w:rPr>
        <w:t xml:space="preserve"> </w:t>
      </w:r>
    </w:p>
    <w:p w14:paraId="689D0986" w14:textId="2F07D983" w:rsidR="001A045B" w:rsidRPr="00AF4544" w:rsidRDefault="001A045B" w:rsidP="00916BDB">
      <w:pPr>
        <w:pStyle w:val="ListParagraph"/>
        <w:numPr>
          <w:ilvl w:val="0"/>
          <w:numId w:val="37"/>
        </w:numPr>
        <w:spacing w:line="480" w:lineRule="auto"/>
      </w:pPr>
      <w:r>
        <w:rPr>
          <w:rFonts w:cs="Times New Roman"/>
          <w:szCs w:val="24"/>
        </w:rPr>
        <w:t xml:space="preserve">Profitabilitas memoderasi pengaruh </w:t>
      </w:r>
      <w:r>
        <w:rPr>
          <w:rFonts w:cs="Times New Roman"/>
          <w:i/>
          <w:szCs w:val="24"/>
        </w:rPr>
        <w:t>firm size</w:t>
      </w:r>
      <w:r>
        <w:rPr>
          <w:rFonts w:cs="Times New Roman"/>
          <w:szCs w:val="24"/>
        </w:rPr>
        <w:t xml:space="preserve"> terhadap pengungkapan </w:t>
      </w:r>
      <w:r w:rsidRPr="00264A30">
        <w:rPr>
          <w:rFonts w:cs="Times New Roman"/>
          <w:i/>
          <w:szCs w:val="24"/>
        </w:rPr>
        <w:t>sustainability report</w:t>
      </w:r>
    </w:p>
    <w:p w14:paraId="6B833A1C" w14:textId="281798E7" w:rsidR="001A045B" w:rsidRDefault="001A045B" w:rsidP="001A045B">
      <w:pPr>
        <w:pStyle w:val="ListParagraph"/>
        <w:spacing w:line="480" w:lineRule="auto"/>
        <w:ind w:firstLine="720"/>
      </w:pPr>
      <w:r>
        <w:t xml:space="preserve">Hipotesis keenam (H6) yang diajukan dalam penelitian ini adalah </w:t>
      </w:r>
      <w:r>
        <w:rPr>
          <w:rFonts w:cs="Times New Roman"/>
          <w:szCs w:val="24"/>
        </w:rPr>
        <w:t xml:space="preserve">Profitabilitas mampu memoderasi pengaruh </w:t>
      </w:r>
      <w:r>
        <w:rPr>
          <w:rFonts w:cs="Times New Roman"/>
          <w:i/>
          <w:szCs w:val="24"/>
        </w:rPr>
        <w:t>firm size</w:t>
      </w:r>
      <w:r>
        <w:rPr>
          <w:rFonts w:cs="Times New Roman"/>
          <w:szCs w:val="24"/>
        </w:rPr>
        <w:t xml:space="preserve"> terhadap pengungkapan </w:t>
      </w:r>
      <w:r w:rsidRPr="00264A30">
        <w:rPr>
          <w:rFonts w:cs="Times New Roman"/>
          <w:i/>
          <w:szCs w:val="24"/>
        </w:rPr>
        <w:t>sustainability report</w:t>
      </w:r>
      <w:r>
        <w:t xml:space="preserve"> </w:t>
      </w:r>
    </w:p>
    <w:p w14:paraId="6622B945" w14:textId="3BDA8E0F" w:rsidR="001A045B" w:rsidRDefault="001A045B" w:rsidP="001A045B">
      <w:pPr>
        <w:pStyle w:val="ListParagraph"/>
        <w:spacing w:line="480" w:lineRule="auto"/>
        <w:ind w:firstLine="720"/>
      </w:pPr>
      <w:r>
        <w:t xml:space="preserve">Hasil dari pengujian regresi diperoleh nilai koefisien interaksi antara </w:t>
      </w:r>
      <w:r>
        <w:rPr>
          <w:i/>
        </w:rPr>
        <w:t>firm size</w:t>
      </w:r>
      <w:r>
        <w:t xml:space="preserve"> den</w:t>
      </w:r>
      <w:r w:rsidR="00294CEA">
        <w:t>gan profitabilitas sebesar -0,037</w:t>
      </w:r>
      <w:r>
        <w:t xml:space="preserve"> dapat diartikan dengan adanya interaksi antara </w:t>
      </w:r>
      <w:r>
        <w:rPr>
          <w:i/>
        </w:rPr>
        <w:t>firm size</w:t>
      </w:r>
      <w:r w:rsidRPr="00AF4544">
        <w:rPr>
          <w:i/>
        </w:rPr>
        <w:t xml:space="preserve"> </w:t>
      </w:r>
      <w:r>
        <w:t xml:space="preserve">dengan profitabilitas dapat menurunkan pengungkapan </w:t>
      </w:r>
      <w:r w:rsidRPr="00220450">
        <w:rPr>
          <w:i/>
        </w:rPr>
        <w:t>sustainability report</w:t>
      </w:r>
      <w:r>
        <w:rPr>
          <w:i/>
        </w:rPr>
        <w:t xml:space="preserve"> </w:t>
      </w:r>
      <w:r w:rsidR="00294CEA">
        <w:t>sebesar -0,037</w:t>
      </w:r>
      <w:r>
        <w:t xml:space="preserve"> d</w:t>
      </w:r>
      <w:r w:rsidR="00294CEA">
        <w:t xml:space="preserve">engan tingkat signifikansi </w:t>
      </w:r>
      <w:r w:rsidR="00294CEA">
        <w:lastRenderedPageBreak/>
        <w:t>0.783</w:t>
      </w:r>
      <w:r>
        <w:t xml:space="preserve"> &gt; 0.05, membuktikan bahwa profitabilitas tidak mampu memoderasi hubungan antara </w:t>
      </w:r>
      <w:r>
        <w:rPr>
          <w:i/>
        </w:rPr>
        <w:t xml:space="preserve">firm size </w:t>
      </w:r>
      <w:r>
        <w:t xml:space="preserve">terhadap </w:t>
      </w:r>
      <w:r w:rsidRPr="00220450">
        <w:rPr>
          <w:i/>
        </w:rPr>
        <w:t>sustainability report</w:t>
      </w:r>
      <w:r>
        <w:t xml:space="preserve"> dengan kata lain (H6) ditolak.</w:t>
      </w:r>
      <w:r w:rsidRPr="001410FB">
        <w:t xml:space="preserve"> </w:t>
      </w:r>
      <w:r>
        <w:t xml:space="preserve">Hal tersebut berarti tinggi rendahnya profitabilitas tidak berperan dalam memoderasi pengaruh </w:t>
      </w:r>
      <w:r w:rsidRPr="001A045B">
        <w:rPr>
          <w:i/>
        </w:rPr>
        <w:t>firm size</w:t>
      </w:r>
      <w:r>
        <w:t xml:space="preserve"> terhadap tingkat pengungkapan </w:t>
      </w:r>
      <w:r w:rsidRPr="001A045B">
        <w:rPr>
          <w:i/>
        </w:rPr>
        <w:t>sustainability report</w:t>
      </w:r>
      <w:r>
        <w:t xml:space="preserve"> perusahaan.</w:t>
      </w:r>
    </w:p>
    <w:p w14:paraId="7CA39124" w14:textId="23893B2A" w:rsidR="001A045B" w:rsidRDefault="001A045B" w:rsidP="001A045B">
      <w:pPr>
        <w:pStyle w:val="ListParagraph"/>
        <w:spacing w:line="480" w:lineRule="auto"/>
        <w:ind w:firstLine="720"/>
        <w:rPr>
          <w:i/>
        </w:rPr>
      </w:pPr>
      <w:r>
        <w:t xml:space="preserve">Profitabilitas diharapkan mampu memoderasi pengaruh ukuran perusahaan terhadap pengungkapan </w:t>
      </w:r>
      <w:r w:rsidRPr="001A045B">
        <w:rPr>
          <w:i/>
        </w:rPr>
        <w:t>sustainability report</w:t>
      </w:r>
      <w:r>
        <w:t xml:space="preserve">. Namun berdasarkan hasil analisis uji interaksi, profitabilitas tidak mampu memoderasi pengaruh antara ukuran perusahaan terhadap pengungkapan </w:t>
      </w:r>
      <w:r w:rsidRPr="001A045B">
        <w:rPr>
          <w:i/>
        </w:rPr>
        <w:t>sustainability report.</w:t>
      </w:r>
      <w:r>
        <w:t xml:space="preserve"> Analisis pengaruh langsung antara ukuran perusahaan dengan pengungkapan </w:t>
      </w:r>
      <w:r w:rsidRPr="001A045B">
        <w:rPr>
          <w:i/>
        </w:rPr>
        <w:t>sustainability report</w:t>
      </w:r>
      <w:r>
        <w:t xml:space="preserve"> menunjukkan hasil tidak berpengaruh secara signifikan. Setelah dimasukkan profitabilitas sebagai variabel moderating, ternyata menunjukkan hasil tidak berpengaruh secara signifikan. Sehingga dapat disimpulkan bahwa profitabilitas gagal dalam memoderasi pengaruh antara ukuran perusahaan terhadap pengungkapan </w:t>
      </w:r>
      <w:r w:rsidRPr="001A045B">
        <w:rPr>
          <w:i/>
        </w:rPr>
        <w:t>sustainability report.</w:t>
      </w:r>
    </w:p>
    <w:p w14:paraId="5DFD1445" w14:textId="51DEF4C5" w:rsidR="00707B72" w:rsidRPr="004A69F5" w:rsidRDefault="004A69F5" w:rsidP="0020422B">
      <w:pPr>
        <w:pStyle w:val="ListParagraph"/>
        <w:spacing w:line="480" w:lineRule="auto"/>
        <w:ind w:firstLine="720"/>
      </w:pPr>
      <w:r>
        <w:t xml:space="preserve">Hasil penelitian ini tidak sejalan dengan teori stakeholder yang menyatakan bahwa perusahaan bukan entitas yang hanya mementingkan kepentingan sendiri, tetapi harus tetap memberikan manfaat kepada para stakeholders-nya. Perusahaan akan memilih secara sukarela mengungkapkan informasi tentang kinerja ekonomi, sosial, dan lingkungan, melebihi dan di atas permintaan wajibnya, untuk memenuhi ekspektasi sesungguhnya atau yang </w:t>
      </w:r>
      <w:r>
        <w:lastRenderedPageBreak/>
        <w:t>diakui oleh pemangku kepentingan. Perusahaan dengan profitabilitas tinggi dianggap mampu memenuhi semua</w:t>
      </w:r>
      <w:r w:rsidR="00BE3DC8">
        <w:t xml:space="preserve"> </w:t>
      </w:r>
      <w:r w:rsidR="00BE3DC8">
        <w:fldChar w:fldCharType="begin" w:fldLock="1"/>
      </w:r>
      <w:r w:rsidR="00F01EE6">
        <w:instrText>ADDIN CSL_CITATION {"citationItems":[{"id":"ITEM-1","itemData":{"author":[{"dropping-particle":"","family":"Winda","given":"Dhini","non-dropping-particle":"","parse-names":false,"suffix":""}],"id":"ITEM-1","issue":"2","issued":{"date-parts":[["2020"]]},"page":"197-215","title":"Jurusan Akuntansi, Fakultas Ekonomi, U","type":"article-journal","volume":"18"},"uris":["http://www.mendeley.com/documents/?uuid=f8970fb0-562e-45f4-b1fc-a18ea9be3cd1"]}],"mendeley":{"formattedCitation":"(Winda, 2020)","plainTextFormattedCitation":"(Winda, 2020)","previouslyFormattedCitation":"(Winda, 2020)"},"properties":{"noteIndex":0},"schema":"https://github.com/citation-style-language/schema/raw/master/csl-citation.json"}</w:instrText>
      </w:r>
      <w:r w:rsidR="00BE3DC8">
        <w:fldChar w:fldCharType="separate"/>
      </w:r>
      <w:r w:rsidR="00BE3DC8" w:rsidRPr="00BE3DC8">
        <w:rPr>
          <w:noProof/>
        </w:rPr>
        <w:t>(Winda, 2020)</w:t>
      </w:r>
      <w:r w:rsidR="00BE3DC8">
        <w:fldChar w:fldCharType="end"/>
      </w:r>
      <w:r w:rsidR="00707B72">
        <w:t>.</w:t>
      </w:r>
    </w:p>
    <w:p w14:paraId="16487BF9" w14:textId="3F258632" w:rsidR="004A69F5" w:rsidRDefault="005154A5" w:rsidP="001A045B">
      <w:pPr>
        <w:pStyle w:val="ListParagraph"/>
        <w:spacing w:line="480" w:lineRule="auto"/>
        <w:ind w:firstLine="720"/>
        <w:sectPr w:rsidR="004A69F5" w:rsidSect="00754AD7">
          <w:headerReference w:type="default" r:id="rId17"/>
          <w:pgSz w:w="12240" w:h="15840"/>
          <w:pgMar w:top="2268" w:right="1701" w:bottom="1701" w:left="2268" w:header="709" w:footer="709" w:gutter="0"/>
          <w:cols w:space="708"/>
          <w:docGrid w:linePitch="360"/>
        </w:sectPr>
      </w:pPr>
      <w:r>
        <w:t xml:space="preserve">Hasil penelitian ini sejalan dengan </w:t>
      </w:r>
      <w:r>
        <w:fldChar w:fldCharType="begin" w:fldLock="1"/>
      </w:r>
      <w:r>
        <w:instrText>ADDIN CSL_CITATION {"citationItems":[{"id":"ITEM-1","itemData":{"DOI":"10.47191/ijcsrr/v7-i5-29","abstract":"This research aims to analyze the influence of company size, board of directors and leverage on sustainability report disclosure with profitability as a moderating variable in LQ45 companies on the Indonesia Stock Exchange. This research is quantitative research with a causal nature and data collection techniques obtained through the annual reports of LQ45 companies listed on the IDX for the 2018-2022 period. The population in this research is the LQ45 companies on the Indonesia Stock Exchange (IDX), totaling 21 companies. The sampling technique in this research is the purposive sampling method. The analysis technique used is multiple linear regression analysis and moderated regression analysis. The research results show that company size has no effect on sustainability report disclosure. The board of directors has a positive and significant influence on sustainability report disclosure. Leverage has a positive and significant effect on sustainability report disclosure. Profitability is not able to moderate the influence of company size on sustainability report disclosure. Profitability is able to moderate the influence of the board of directors on sustainability report disclosure. Profitability is able to moderate the influence of leverage on sustainability report disclosure.","author":[{"dropping-particle":"","family":"Sitorus","given":"Cindi Imelda","non-dropping-particle":"","parse-names":false,"suffix":""},{"dropping-particle":"","family":"Br. Bukit","given":"Rina","non-dropping-particle":"","parse-names":false,"suffix":""},{"dropping-particle":"","family":"Bulan","given":"Narumondang","non-dropping-particle":"","parse-names":false,"suffix":""}],"container-title":"International Journal of Current Science Research and Review","id":"ITEM-1","issue":"05","issued":{"date-parts":[["2024"]]},"page":"2673-2688","title":"The Influence of Company Size, Board of Directors and Leverage on Sustainability Report Disclosure with Profitability as a Moderation Variable in LQ45 Companies Listed on the Indonesia Stock Exchange","type":"article-journal","volume":"07"},"uris":["http://www.mendeley.com/documents/?uuid=4a2f676d-7d34-4b28-b79c-49c8cfb5bf00"]}],"mendeley":{"formattedCitation":"(Sitorus et al., 2024)","manualFormatting":"Sitorus et al., (2024)","plainTextFormattedCitation":"(Sitorus et al., 2024)","previouslyFormattedCitation":"(Sitorus et al., 2024)"},"properties":{"noteIndex":0},"schema":"https://github.com/citation-style-language/schema/raw/master/csl-citation.json"}</w:instrText>
      </w:r>
      <w:r>
        <w:fldChar w:fldCharType="separate"/>
      </w:r>
      <w:r w:rsidRPr="005154A5">
        <w:rPr>
          <w:noProof/>
        </w:rPr>
        <w:t xml:space="preserve">Sitorus et al., </w:t>
      </w:r>
      <w:r>
        <w:rPr>
          <w:noProof/>
        </w:rPr>
        <w:t>(</w:t>
      </w:r>
      <w:r w:rsidRPr="005154A5">
        <w:rPr>
          <w:noProof/>
        </w:rPr>
        <w:t>2024)</w:t>
      </w:r>
      <w:r>
        <w:fldChar w:fldCharType="end"/>
      </w:r>
      <w:r>
        <w:t xml:space="preserve"> dan </w:t>
      </w:r>
      <w:r>
        <w:fldChar w:fldCharType="begin" w:fldLock="1"/>
      </w:r>
      <w:r w:rsidR="008F3AD6">
        <w:instrText>ADDIN CSL_CITATION {"citationItems":[{"id":"ITEM-1","itemData":{"author":[{"dropping-particle":"","family":"Winda","given":"Dhini","non-dropping-particle":"","parse-names":false,"suffix":""}],"id":"ITEM-1","issue":"2","issued":{"date-parts":[["2020"]]},"page":"197-215","title":"Jurusan Akuntansi, Fakultas Ekonomi, U","type":"article-journal","volume":"18"},"uris":["http://www.mendeley.com/documents/?uuid=f8970fb0-562e-45f4-b1fc-a18ea9be3cd1"]}],"mendeley":{"formattedCitation":"(Winda, 2020)","manualFormatting":"Winda, (2020)","plainTextFormattedCitation":"(Winda, 2020)","previouslyFormattedCitation":"(Winda, 2020)"},"properties":{"noteIndex":0},"schema":"https://github.com/citation-style-language/schema/raw/master/csl-citation.json"}</w:instrText>
      </w:r>
      <w:r>
        <w:fldChar w:fldCharType="separate"/>
      </w:r>
      <w:r w:rsidRPr="005154A5">
        <w:rPr>
          <w:noProof/>
        </w:rPr>
        <w:t xml:space="preserve">Winda, </w:t>
      </w:r>
      <w:r>
        <w:rPr>
          <w:noProof/>
        </w:rPr>
        <w:t>(</w:t>
      </w:r>
      <w:r w:rsidRPr="005154A5">
        <w:rPr>
          <w:noProof/>
        </w:rPr>
        <w:t>2020)</w:t>
      </w:r>
      <w:r>
        <w:fldChar w:fldCharType="end"/>
      </w:r>
      <w:r>
        <w:t xml:space="preserve"> </w:t>
      </w:r>
      <w:r w:rsidR="004A69F5">
        <w:t>Perusahaan besar dengan profitabilitas tinggi tidak selalu mengungkapkan informasi tanggung jawab sosial dan lingkungan. Perusahaan cenderung mempertahankan pencapaian dan reputasinya agar tetap mendapatkan legitimasi dari para pemangku kepentingan. Perusahaan besar dengan kepemilikan aset yang tinggi cenderung tidak dapat memanfaatkan asetnya secara optimal. Hal ini dikarenakan peningkatan aset akan berdampak pada peningkatan biaya yang harus dikeluarkan oleh perusahaan untuk biaya administrasi, biaya perawatan aset, membayar gaji karyawan, dan lain-lain. Biaya-biaya tersebut dapat melebihi profit yang didapat perusahaan dari memaksimalkan ukuran perusahaan tersebut. Banyaknya aset perusahaan yang dimiliki menyebabkan adanya aset yang menganggur. Aset yang menganggur tersebut akan menurunkan tingkat profitabilitas perusahaan karena akan menimbulkan beban bagi perusahaan. Dengan demikian, penelitian ini memberikan bukti bahwa profitabilitas tinggi tidak mampu memoderasi pengaruh ukuran perusahaan terhadap tingkat pengungkapan sustainability report.</w:t>
      </w:r>
    </w:p>
    <w:p w14:paraId="26032796" w14:textId="7C27A2D7" w:rsidR="00464990" w:rsidRDefault="00464990" w:rsidP="00665CB2">
      <w:pPr>
        <w:pStyle w:val="Heading1"/>
        <w:spacing w:line="480" w:lineRule="auto"/>
      </w:pPr>
      <w:bookmarkStart w:id="41" w:name="_Toc170109893"/>
      <w:r>
        <w:lastRenderedPageBreak/>
        <w:t xml:space="preserve">BAB V </w:t>
      </w:r>
      <w:r>
        <w:br/>
        <w:t>KESIMPULAN DAN SARAN</w:t>
      </w:r>
      <w:bookmarkEnd w:id="41"/>
    </w:p>
    <w:p w14:paraId="39E8BDF6" w14:textId="7A02CB90" w:rsidR="00464990" w:rsidRDefault="00464990" w:rsidP="00916BDB">
      <w:pPr>
        <w:pStyle w:val="Heading2"/>
        <w:numPr>
          <w:ilvl w:val="0"/>
          <w:numId w:val="38"/>
        </w:numPr>
        <w:spacing w:line="480" w:lineRule="auto"/>
      </w:pPr>
      <w:bookmarkStart w:id="42" w:name="_Toc170109894"/>
      <w:r>
        <w:t>Kesimpulan</w:t>
      </w:r>
      <w:bookmarkEnd w:id="42"/>
      <w:r>
        <w:t xml:space="preserve"> </w:t>
      </w:r>
    </w:p>
    <w:p w14:paraId="58484248" w14:textId="3A18C0A2" w:rsidR="00464990" w:rsidRDefault="00464990" w:rsidP="00464990">
      <w:pPr>
        <w:spacing w:line="480" w:lineRule="auto"/>
        <w:ind w:left="720" w:firstLine="720"/>
      </w:pPr>
      <w:r>
        <w:t xml:space="preserve">Penelitian ini bertujuan untuk menguji kemampuan profitabilitas dalam memoderasi pengaruh </w:t>
      </w:r>
      <w:r w:rsidRPr="008A7E3D">
        <w:rPr>
          <w:i/>
        </w:rPr>
        <w:t>leverage,</w:t>
      </w:r>
      <w:r>
        <w:t xml:space="preserve"> likuiditas, </w:t>
      </w:r>
      <w:r w:rsidRPr="008A7E3D">
        <w:rPr>
          <w:i/>
        </w:rPr>
        <w:t>firm size</w:t>
      </w:r>
      <w:r>
        <w:t xml:space="preserve"> terhadap pengungkapan </w:t>
      </w:r>
      <w:r w:rsidRPr="008A7E3D">
        <w:rPr>
          <w:i/>
        </w:rPr>
        <w:t>sustainability report</w:t>
      </w:r>
      <w:r>
        <w:t xml:space="preserve"> di perushaan indeks SRI-Kehati periode 2019-2023 Berdasarkan hasil pengujian dan pembahasan, maka simpulan dalam penelitian ini adalah sebagai berikut:</w:t>
      </w:r>
    </w:p>
    <w:p w14:paraId="327400BE" w14:textId="7486ACE6" w:rsidR="00AF4544" w:rsidRDefault="008B6CBD" w:rsidP="00916BDB">
      <w:pPr>
        <w:pStyle w:val="ListParagraph"/>
        <w:numPr>
          <w:ilvl w:val="0"/>
          <w:numId w:val="39"/>
        </w:numPr>
        <w:spacing w:line="480" w:lineRule="auto"/>
        <w:ind w:left="1276"/>
      </w:pPr>
      <w:r w:rsidRPr="008B6CBD">
        <w:rPr>
          <w:i/>
        </w:rPr>
        <w:t>Levera</w:t>
      </w:r>
      <w:r w:rsidR="00464990" w:rsidRPr="008B6CBD">
        <w:rPr>
          <w:i/>
        </w:rPr>
        <w:t>ge</w:t>
      </w:r>
      <w:r w:rsidR="00294CEA">
        <w:t xml:space="preserve"> </w:t>
      </w:r>
      <w:r w:rsidR="00464990" w:rsidRPr="00464990">
        <w:t xml:space="preserve">berpengaruh </w:t>
      </w:r>
      <w:r w:rsidR="00A77651">
        <w:t xml:space="preserve">positif </w:t>
      </w:r>
      <w:r w:rsidR="00464990" w:rsidRPr="00464990">
        <w:t xml:space="preserve">terhadap </w:t>
      </w:r>
      <w:r w:rsidR="00464990" w:rsidRPr="008B6CBD">
        <w:rPr>
          <w:i/>
        </w:rPr>
        <w:t>sustainability report</w:t>
      </w:r>
      <w:r w:rsidR="00464990">
        <w:t xml:space="preserve"> </w:t>
      </w:r>
      <w:r>
        <w:t>di perusahaan indeks SRI-Kehati periode 2019-2023.</w:t>
      </w:r>
    </w:p>
    <w:p w14:paraId="5576475D" w14:textId="682F8F53" w:rsidR="008B6CBD" w:rsidRDefault="008B6CBD" w:rsidP="00916BDB">
      <w:pPr>
        <w:pStyle w:val="ListParagraph"/>
        <w:numPr>
          <w:ilvl w:val="0"/>
          <w:numId w:val="39"/>
        </w:numPr>
        <w:spacing w:line="480" w:lineRule="auto"/>
        <w:ind w:left="1276"/>
      </w:pPr>
      <w:r>
        <w:t>Likuiditas</w:t>
      </w:r>
      <w:r w:rsidRPr="00464990">
        <w:t xml:space="preserve"> tidak berpengaruh terhadap </w:t>
      </w:r>
      <w:r w:rsidRPr="008B6CBD">
        <w:rPr>
          <w:i/>
        </w:rPr>
        <w:t>sustainability report</w:t>
      </w:r>
      <w:r>
        <w:t xml:space="preserve"> di perusahaan indeks SRI-Kehati periode 2019-2023.</w:t>
      </w:r>
    </w:p>
    <w:p w14:paraId="064C3E06" w14:textId="35E88627" w:rsidR="008B6CBD" w:rsidRDefault="008B6CBD" w:rsidP="00916BDB">
      <w:pPr>
        <w:pStyle w:val="ListParagraph"/>
        <w:numPr>
          <w:ilvl w:val="0"/>
          <w:numId w:val="39"/>
        </w:numPr>
        <w:spacing w:line="480" w:lineRule="auto"/>
        <w:ind w:left="1276"/>
      </w:pPr>
      <w:r>
        <w:rPr>
          <w:i/>
        </w:rPr>
        <w:t xml:space="preserve">Firm size </w:t>
      </w:r>
      <w:r w:rsidRPr="00464990">
        <w:t xml:space="preserve">tidak berpengaruh terhadap </w:t>
      </w:r>
      <w:r w:rsidRPr="008B6CBD">
        <w:rPr>
          <w:i/>
        </w:rPr>
        <w:t>sustainability report</w:t>
      </w:r>
      <w:r>
        <w:t xml:space="preserve"> di perusahaan indeks SRI-Kehati periode 2019-2023.</w:t>
      </w:r>
    </w:p>
    <w:p w14:paraId="14C4C78B" w14:textId="06C63B0E" w:rsidR="008B6CBD" w:rsidRDefault="00830D32" w:rsidP="00916BDB">
      <w:pPr>
        <w:pStyle w:val="ListParagraph"/>
        <w:numPr>
          <w:ilvl w:val="0"/>
          <w:numId w:val="39"/>
        </w:numPr>
        <w:spacing w:line="480" w:lineRule="auto"/>
        <w:ind w:left="1276"/>
      </w:pPr>
      <w:r>
        <w:t xml:space="preserve">Profitabilitas tidak mampu </w:t>
      </w:r>
      <w:r w:rsidR="008B6CBD" w:rsidRPr="008B6CBD">
        <w:t xml:space="preserve">memoderasi antara </w:t>
      </w:r>
      <w:r w:rsidR="008B6CBD" w:rsidRPr="008B6CBD">
        <w:rPr>
          <w:i/>
        </w:rPr>
        <w:t xml:space="preserve">leverage </w:t>
      </w:r>
      <w:r w:rsidR="008B6CBD" w:rsidRPr="008B6CBD">
        <w:t xml:space="preserve">terhadap </w:t>
      </w:r>
      <w:r w:rsidR="008B6CBD" w:rsidRPr="008B6CBD">
        <w:rPr>
          <w:i/>
        </w:rPr>
        <w:t>sustainability report</w:t>
      </w:r>
      <w:r w:rsidR="008B6CBD">
        <w:t xml:space="preserve"> di perusahaan indeks SRI-Kehati periode 2019-2023.</w:t>
      </w:r>
    </w:p>
    <w:p w14:paraId="78A35577" w14:textId="1AC2EB8B" w:rsidR="00271CA3" w:rsidRDefault="0000229C" w:rsidP="00916BDB">
      <w:pPr>
        <w:pStyle w:val="ListParagraph"/>
        <w:numPr>
          <w:ilvl w:val="0"/>
          <w:numId w:val="39"/>
        </w:numPr>
        <w:spacing w:line="480" w:lineRule="auto"/>
        <w:ind w:left="1276"/>
        <w:sectPr w:rsidR="00271CA3" w:rsidSect="005F63E0">
          <w:headerReference w:type="default" r:id="rId18"/>
          <w:pgSz w:w="12240" w:h="15840"/>
          <w:pgMar w:top="2268" w:right="1701" w:bottom="1701" w:left="2268" w:header="709" w:footer="709" w:gutter="0"/>
          <w:pgNumType w:start="136"/>
          <w:cols w:space="708"/>
          <w:titlePg/>
          <w:docGrid w:linePitch="360"/>
        </w:sectPr>
      </w:pPr>
      <w:r>
        <w:t xml:space="preserve">Profitabilitas tidak mampu </w:t>
      </w:r>
      <w:r w:rsidR="008B6CBD" w:rsidRPr="008B6CBD">
        <w:t xml:space="preserve">memoderasi antara </w:t>
      </w:r>
      <w:r w:rsidR="008B6CBD">
        <w:t>likuiditas</w:t>
      </w:r>
      <w:r w:rsidR="008B6CBD" w:rsidRPr="008B6CBD">
        <w:rPr>
          <w:i/>
        </w:rPr>
        <w:t xml:space="preserve"> </w:t>
      </w:r>
      <w:r w:rsidR="008B6CBD" w:rsidRPr="008B6CBD">
        <w:t xml:space="preserve">terhadap </w:t>
      </w:r>
      <w:r w:rsidR="008B6CBD" w:rsidRPr="008B6CBD">
        <w:rPr>
          <w:i/>
        </w:rPr>
        <w:t>sustainability report</w:t>
      </w:r>
      <w:r w:rsidR="008B6CBD">
        <w:t xml:space="preserve"> di perusahaan indeks SRI-Kehati periode 201</w:t>
      </w:r>
      <w:r w:rsidR="00271CA3">
        <w:t>9-2023.</w:t>
      </w:r>
      <w:r w:rsidR="00320A23">
        <w:t xml:space="preserve"> </w:t>
      </w:r>
    </w:p>
    <w:p w14:paraId="63D3A874" w14:textId="5AC2A791" w:rsidR="008B6CBD" w:rsidRDefault="008B6CBD" w:rsidP="00271CA3">
      <w:pPr>
        <w:spacing w:line="480" w:lineRule="auto"/>
      </w:pPr>
    </w:p>
    <w:p w14:paraId="065D6133" w14:textId="58DB3F23" w:rsidR="008B6CBD" w:rsidRDefault="00830D32" w:rsidP="00916BDB">
      <w:pPr>
        <w:pStyle w:val="ListParagraph"/>
        <w:numPr>
          <w:ilvl w:val="0"/>
          <w:numId w:val="39"/>
        </w:numPr>
        <w:spacing w:line="480" w:lineRule="auto"/>
        <w:ind w:left="1276"/>
      </w:pPr>
      <w:r>
        <w:t>Profitabilitas tidak mampu</w:t>
      </w:r>
      <w:r w:rsidR="008B6CBD">
        <w:t xml:space="preserve"> </w:t>
      </w:r>
      <w:r w:rsidR="008B6CBD" w:rsidRPr="008B6CBD">
        <w:t xml:space="preserve">memoderasi antara </w:t>
      </w:r>
      <w:r w:rsidR="008B6CBD">
        <w:rPr>
          <w:i/>
        </w:rPr>
        <w:t>firm size</w:t>
      </w:r>
      <w:r w:rsidR="008B6CBD" w:rsidRPr="008B6CBD">
        <w:rPr>
          <w:i/>
        </w:rPr>
        <w:t xml:space="preserve"> </w:t>
      </w:r>
      <w:r w:rsidR="008B6CBD" w:rsidRPr="008B6CBD">
        <w:t xml:space="preserve">terhadap </w:t>
      </w:r>
      <w:r w:rsidR="008B6CBD" w:rsidRPr="008B6CBD">
        <w:rPr>
          <w:i/>
        </w:rPr>
        <w:t>sustainability report</w:t>
      </w:r>
      <w:r w:rsidR="008B6CBD">
        <w:t xml:space="preserve"> di perusahaan indeks SRI-Kehati periode 2019-2023.</w:t>
      </w:r>
    </w:p>
    <w:p w14:paraId="3A32AF3F" w14:textId="0D234807" w:rsidR="008B6CBD" w:rsidRDefault="008B6CBD" w:rsidP="00916BDB">
      <w:pPr>
        <w:pStyle w:val="Heading2"/>
        <w:numPr>
          <w:ilvl w:val="0"/>
          <w:numId w:val="38"/>
        </w:numPr>
        <w:spacing w:line="480" w:lineRule="auto"/>
      </w:pPr>
      <w:bookmarkStart w:id="43" w:name="_Toc170109895"/>
      <w:r>
        <w:t>Saran</w:t>
      </w:r>
      <w:bookmarkEnd w:id="43"/>
    </w:p>
    <w:p w14:paraId="1C4846B9" w14:textId="1DB0D9E2" w:rsidR="008B6CBD" w:rsidRDefault="00721808" w:rsidP="00916BDB">
      <w:pPr>
        <w:pStyle w:val="ListParagraph"/>
        <w:numPr>
          <w:ilvl w:val="0"/>
          <w:numId w:val="40"/>
        </w:numPr>
        <w:spacing w:line="480" w:lineRule="auto"/>
        <w:ind w:left="1134"/>
      </w:pPr>
      <w:r>
        <w:t xml:space="preserve">Berdasarkan analisis deskriptif, rata-rata variabel </w:t>
      </w:r>
      <w:r w:rsidRPr="00893874">
        <w:rPr>
          <w:i/>
        </w:rPr>
        <w:t>sustainability report</w:t>
      </w:r>
      <w:r>
        <w:t xml:space="preserve"> perusahaan mengungkapkan item-item pengungkapan berdasarkan indeks GRI G4 dan/atau GRI Standards seb</w:t>
      </w:r>
      <w:r w:rsidR="00C620D5">
        <w:t>esar 25,18</w:t>
      </w:r>
      <w:r>
        <w:t>%. Rata-rata t</w:t>
      </w:r>
      <w:r w:rsidR="00D6747D">
        <w:t xml:space="preserve">ersebut masih tergolong rendah dan </w:t>
      </w:r>
      <w:r w:rsidR="001B00CB">
        <w:t xml:space="preserve">disarankan </w:t>
      </w:r>
      <w:r>
        <w:t xml:space="preserve">dapat meningkatkan pengungkapan </w:t>
      </w:r>
      <w:r w:rsidRPr="00893874">
        <w:rPr>
          <w:i/>
        </w:rPr>
        <w:t>sustainability report</w:t>
      </w:r>
      <w:r>
        <w:t xml:space="preserve"> salah satunya dengan cara memperbaiki tata kelola perusahan termasuk didalamnya diharapkan lebih memperhatikan pentingnya </w:t>
      </w:r>
      <w:r w:rsidRPr="00893874">
        <w:rPr>
          <w:i/>
        </w:rPr>
        <w:t>sustainability report</w:t>
      </w:r>
      <w:r>
        <w:t xml:space="preserve">, sehingga dengan adanya </w:t>
      </w:r>
      <w:r w:rsidRPr="00893874">
        <w:rPr>
          <w:i/>
        </w:rPr>
        <w:t>sustainability report</w:t>
      </w:r>
      <w:r>
        <w:t xml:space="preserve"> dapat memberikan informasi bagi stakeholder untuk menentukan berbagai keputusan serta dapat meningkatkan reputasi dan citra perusahaan di mata publik.</w:t>
      </w:r>
    </w:p>
    <w:p w14:paraId="21706B09" w14:textId="21B4EFA1" w:rsidR="00721808" w:rsidRDefault="00721808" w:rsidP="00916BDB">
      <w:pPr>
        <w:pStyle w:val="ListParagraph"/>
        <w:numPr>
          <w:ilvl w:val="0"/>
          <w:numId w:val="40"/>
        </w:numPr>
        <w:spacing w:line="480" w:lineRule="auto"/>
        <w:ind w:left="1134"/>
      </w:pPr>
      <w:r>
        <w:t xml:space="preserve">Berdasarkan peraturan Otoritas Jasa Keuangan yang mewajibkan perusahaan menyusun laporan keberlanjutan, maka penelitian selanjutnya </w:t>
      </w:r>
      <w:r w:rsidR="001B00CB">
        <w:t xml:space="preserve">disarankan </w:t>
      </w:r>
      <w:r>
        <w:t xml:space="preserve">dapat mempertimbangkan indeks referensi POJK sebagai pedoman pengungkapan </w:t>
      </w:r>
      <w:r w:rsidRPr="00893874">
        <w:rPr>
          <w:i/>
        </w:rPr>
        <w:t>sustainability report</w:t>
      </w:r>
      <w:r>
        <w:t xml:space="preserve"> pada lembaga jasa keuangan, emiten, maupun perusahaan publik. Hal tersebut dikarenakan dalam </w:t>
      </w:r>
      <w:r w:rsidRPr="00893874">
        <w:rPr>
          <w:i/>
        </w:rPr>
        <w:t>sustainability report</w:t>
      </w:r>
      <w:r>
        <w:t xml:space="preserve">, selain mengungkapkan indeks GRI G4 dan/atau GRI </w:t>
      </w:r>
      <w:r>
        <w:lastRenderedPageBreak/>
        <w:t>Standards, terdapat banyak perusahaan yang juga mengungkapkan indeks POJK dalam laporan tersebut.</w:t>
      </w:r>
    </w:p>
    <w:p w14:paraId="49FB47E8" w14:textId="2E47C20C" w:rsidR="00721808" w:rsidRDefault="001B00CB" w:rsidP="00495B52">
      <w:pPr>
        <w:pStyle w:val="ListParagraph"/>
        <w:numPr>
          <w:ilvl w:val="0"/>
          <w:numId w:val="40"/>
        </w:numPr>
        <w:spacing w:line="480" w:lineRule="auto"/>
        <w:ind w:left="1134"/>
      </w:pPr>
      <w:r>
        <w:t>Disarankan peneliti</w:t>
      </w:r>
      <w:r w:rsidR="00721808">
        <w:t xml:space="preserve"> selanjutnya untuk menggunakan variabel lain yang dapat mempengaruhi tingkat pengungkapan </w:t>
      </w:r>
      <w:r w:rsidR="00721808" w:rsidRPr="00E272F8">
        <w:rPr>
          <w:i/>
        </w:rPr>
        <w:t>sustainability report</w:t>
      </w:r>
      <w:r w:rsidR="00721808">
        <w:t xml:space="preserve"> seperti jenis kepemilikan saham, aktivitas perusahaan, dan umur perusahaan. Hal ini dikarenakan hasil penelitian menunjukkan bahwa nilai koefisi</w:t>
      </w:r>
      <w:r w:rsidR="004D7B63">
        <w:t>en determinasi hanya sebesar 32</w:t>
      </w:r>
      <w:r w:rsidR="00721808">
        <w:t xml:space="preserve">% yang artinya variabel dalam penelitian ini hanya dapat menjelaskan </w:t>
      </w:r>
      <w:r w:rsidR="00721808" w:rsidRPr="00E272F8">
        <w:rPr>
          <w:i/>
        </w:rPr>
        <w:t>sustainability report</w:t>
      </w:r>
      <w:r w:rsidR="004D7B63">
        <w:t xml:space="preserve"> sebesar 32%, sedangkan 68</w:t>
      </w:r>
      <w:r w:rsidR="00721808">
        <w:t>% dijelaskan oleh variabel lain yang tidak diuji dalam penelitian ini.</w:t>
      </w:r>
    </w:p>
    <w:p w14:paraId="6BE59E02" w14:textId="7ED6FDAB" w:rsidR="00CE2F6F" w:rsidRPr="00495B52" w:rsidRDefault="001B00CB" w:rsidP="00495B52">
      <w:pPr>
        <w:pStyle w:val="ListParagraph"/>
        <w:numPr>
          <w:ilvl w:val="0"/>
          <w:numId w:val="40"/>
        </w:numPr>
        <w:spacing w:line="480" w:lineRule="auto"/>
        <w:ind w:left="1134"/>
      </w:pPr>
      <w:r>
        <w:t xml:space="preserve">Disarankan </w:t>
      </w:r>
      <w:r w:rsidR="00E272F8" w:rsidRPr="00E272F8">
        <w:t xml:space="preserve">peneliti selanjutnya </w:t>
      </w:r>
      <w:r w:rsidR="00AC1CBF">
        <w:t>untuk mempertimbangkan variabel-</w:t>
      </w:r>
      <w:r w:rsidR="00E272F8" w:rsidRPr="00E272F8">
        <w:t>variabel yang akan digunakan, selain variabel yang perlu dipertimbangkan kembali yaitu dalam pengambilan sampel penelitian yang lebih banyak dan periode</w:t>
      </w:r>
      <w:bookmarkStart w:id="44" w:name="_GoBack"/>
      <w:bookmarkEnd w:id="44"/>
      <w:r w:rsidR="00E272F8" w:rsidRPr="00E272F8">
        <w:t xml:space="preserve"> penelitian yang lebih panjang agar memperoleh hasil yang signifikan.</w:t>
      </w:r>
      <w:r w:rsidR="00550EF0">
        <w:t xml:space="preserve"> Di</w:t>
      </w:r>
      <w:r w:rsidR="00721808">
        <w:t xml:space="preserve">harapkan </w:t>
      </w:r>
      <w:r w:rsidR="00550EF0">
        <w:t xml:space="preserve">juga </w:t>
      </w:r>
      <w:r w:rsidR="00721808">
        <w:t xml:space="preserve">dapat menggunakan pengukuran variabel yang berbeda. Misalnya untuk variabel profitabilitas diukur </w:t>
      </w:r>
      <w:r w:rsidR="00721808" w:rsidRPr="00AC1CBF">
        <w:t>dengan</w:t>
      </w:r>
      <w:r w:rsidR="00721808" w:rsidRPr="00495B52">
        <w:rPr>
          <w:i/>
        </w:rPr>
        <w:t xml:space="preserve"> return on equity</w:t>
      </w:r>
      <w:r w:rsidR="00721808">
        <w:t xml:space="preserve">, </w:t>
      </w:r>
      <w:r w:rsidR="00721808" w:rsidRPr="00495B52">
        <w:rPr>
          <w:i/>
        </w:rPr>
        <w:t>firm size</w:t>
      </w:r>
      <w:r w:rsidR="00721808">
        <w:t xml:space="preserve"> diukur dengan jumlah karyawan perusahaan, dan </w:t>
      </w:r>
      <w:r w:rsidR="00721808" w:rsidRPr="00495B52">
        <w:rPr>
          <w:i/>
        </w:rPr>
        <w:t>leverage</w:t>
      </w:r>
      <w:r w:rsidR="00721808">
        <w:t xml:space="preserve"> diukur dengan </w:t>
      </w:r>
      <w:r w:rsidR="00721808" w:rsidRPr="00495B52">
        <w:rPr>
          <w:i/>
        </w:rPr>
        <w:t>debt to asset ratio</w:t>
      </w:r>
      <w:r w:rsidR="00721808">
        <w:t>. Selain itu penelitian selanjutnya dapat meneliti pada sektor lain se</w:t>
      </w:r>
      <w:r w:rsidR="00AC1CBF">
        <w:t xml:space="preserve">perti pertambangan, manufaktur, </w:t>
      </w:r>
      <w:r w:rsidR="00495B52">
        <w:t>dan sektor lainnya.</w:t>
      </w:r>
    </w:p>
    <w:sectPr w:rsidR="00CE2F6F" w:rsidRPr="00495B52" w:rsidSect="005D0426">
      <w:headerReference w:type="default" r:id="rId19"/>
      <w:footerReference w:type="default" r:id="rId20"/>
      <w:pgSz w:w="12240" w:h="15840"/>
      <w:pgMar w:top="2268" w:right="1701" w:bottom="1701" w:left="2268" w:header="709" w:footer="709"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5A07A" w14:textId="77777777" w:rsidR="00475AAE" w:rsidRDefault="00475AAE" w:rsidP="009768A8">
      <w:pPr>
        <w:spacing w:after="0" w:line="240" w:lineRule="auto"/>
      </w:pPr>
      <w:r>
        <w:separator/>
      </w:r>
    </w:p>
  </w:endnote>
  <w:endnote w:type="continuationSeparator" w:id="0">
    <w:p w14:paraId="745AD186" w14:textId="77777777" w:rsidR="00475AAE" w:rsidRDefault="00475AAE" w:rsidP="00976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055069"/>
      <w:docPartObj>
        <w:docPartGallery w:val="Page Numbers (Bottom of Page)"/>
        <w:docPartUnique/>
      </w:docPartObj>
    </w:sdtPr>
    <w:sdtEndPr>
      <w:rPr>
        <w:noProof/>
      </w:rPr>
    </w:sdtEndPr>
    <w:sdtContent>
      <w:p w14:paraId="57CF1B28" w14:textId="09FDAB5B" w:rsidR="00434190" w:rsidRDefault="00434190">
        <w:pPr>
          <w:pStyle w:val="Footer"/>
          <w:jc w:val="center"/>
        </w:pPr>
        <w:r>
          <w:fldChar w:fldCharType="begin"/>
        </w:r>
        <w:r>
          <w:instrText xml:space="preserve"> PAGE   \* MERGEFORMAT </w:instrText>
        </w:r>
        <w:r>
          <w:fldChar w:fldCharType="separate"/>
        </w:r>
        <w:r w:rsidR="00495B52">
          <w:rPr>
            <w:noProof/>
          </w:rPr>
          <w:t>136</w:t>
        </w:r>
        <w:r>
          <w:rPr>
            <w:noProof/>
          </w:rPr>
          <w:fldChar w:fldCharType="end"/>
        </w:r>
      </w:p>
    </w:sdtContent>
  </w:sdt>
  <w:p w14:paraId="2FB1F618" w14:textId="77777777" w:rsidR="00434190" w:rsidRDefault="00434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562568"/>
      <w:docPartObj>
        <w:docPartGallery w:val="Page Numbers (Bottom of Page)"/>
        <w:docPartUnique/>
      </w:docPartObj>
    </w:sdtPr>
    <w:sdtEndPr>
      <w:rPr>
        <w:noProof/>
      </w:rPr>
    </w:sdtEndPr>
    <w:sdtContent>
      <w:p w14:paraId="0BBF0F6B" w14:textId="746C6390" w:rsidR="00434190" w:rsidRDefault="00434190">
        <w:pPr>
          <w:pStyle w:val="Footer"/>
          <w:jc w:val="center"/>
        </w:pPr>
        <w:r>
          <w:fldChar w:fldCharType="begin"/>
        </w:r>
        <w:r>
          <w:instrText xml:space="preserve"> PAGE   \* MERGEFORMAT </w:instrText>
        </w:r>
        <w:r>
          <w:fldChar w:fldCharType="separate"/>
        </w:r>
        <w:r w:rsidR="00495B52">
          <w:rPr>
            <w:noProof/>
          </w:rPr>
          <w:t>144</w:t>
        </w:r>
        <w:r>
          <w:rPr>
            <w:noProof/>
          </w:rPr>
          <w:fldChar w:fldCharType="end"/>
        </w:r>
      </w:p>
    </w:sdtContent>
  </w:sdt>
  <w:p w14:paraId="0BF3ED50" w14:textId="77777777" w:rsidR="00434190" w:rsidRDefault="00434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CDEFD" w14:textId="77777777" w:rsidR="00475AAE" w:rsidRDefault="00475AAE" w:rsidP="009768A8">
      <w:pPr>
        <w:spacing w:after="0" w:line="240" w:lineRule="auto"/>
      </w:pPr>
      <w:r>
        <w:separator/>
      </w:r>
    </w:p>
  </w:footnote>
  <w:footnote w:type="continuationSeparator" w:id="0">
    <w:p w14:paraId="57338139" w14:textId="77777777" w:rsidR="00475AAE" w:rsidRDefault="00475AAE" w:rsidP="00976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474299"/>
      <w:docPartObj>
        <w:docPartGallery w:val="Page Numbers (Top of Page)"/>
        <w:docPartUnique/>
      </w:docPartObj>
    </w:sdtPr>
    <w:sdtEndPr>
      <w:rPr>
        <w:noProof/>
      </w:rPr>
    </w:sdtEndPr>
    <w:sdtContent>
      <w:p w14:paraId="36419C38" w14:textId="58E36D31" w:rsidR="00434190" w:rsidRDefault="00434190">
        <w:pPr>
          <w:pStyle w:val="Header"/>
          <w:jc w:val="right"/>
        </w:pPr>
        <w:r>
          <w:fldChar w:fldCharType="begin"/>
        </w:r>
        <w:r>
          <w:instrText xml:space="preserve"> PAGE   \* MERGEFORMAT </w:instrText>
        </w:r>
        <w:r>
          <w:fldChar w:fldCharType="separate"/>
        </w:r>
        <w:r w:rsidR="00495B52">
          <w:rPr>
            <w:noProof/>
          </w:rPr>
          <w:t>80</w:t>
        </w:r>
        <w:r>
          <w:rPr>
            <w:noProof/>
          </w:rPr>
          <w:fldChar w:fldCharType="end"/>
        </w:r>
      </w:p>
    </w:sdtContent>
  </w:sdt>
  <w:p w14:paraId="338331F6" w14:textId="77777777" w:rsidR="00434190" w:rsidRDefault="00434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625507"/>
      <w:docPartObj>
        <w:docPartGallery w:val="Page Numbers (Top of Page)"/>
        <w:docPartUnique/>
      </w:docPartObj>
    </w:sdtPr>
    <w:sdtEndPr>
      <w:rPr>
        <w:noProof/>
      </w:rPr>
    </w:sdtEndPr>
    <w:sdtContent>
      <w:p w14:paraId="75324992" w14:textId="06457359" w:rsidR="00434190" w:rsidRDefault="00434190">
        <w:pPr>
          <w:pStyle w:val="Header"/>
          <w:jc w:val="right"/>
        </w:pPr>
        <w:r>
          <w:fldChar w:fldCharType="begin"/>
        </w:r>
        <w:r>
          <w:instrText xml:space="preserve"> PAGE   \* MERGEFORMAT </w:instrText>
        </w:r>
        <w:r>
          <w:fldChar w:fldCharType="separate"/>
        </w:r>
        <w:r w:rsidR="00495B52">
          <w:rPr>
            <w:noProof/>
          </w:rPr>
          <w:t>129</w:t>
        </w:r>
        <w:r>
          <w:rPr>
            <w:noProof/>
          </w:rPr>
          <w:fldChar w:fldCharType="end"/>
        </w:r>
      </w:p>
    </w:sdtContent>
  </w:sdt>
  <w:p w14:paraId="359352DB" w14:textId="77777777" w:rsidR="00434190" w:rsidRDefault="00434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911618"/>
      <w:docPartObj>
        <w:docPartGallery w:val="Page Numbers (Top of Page)"/>
        <w:docPartUnique/>
      </w:docPartObj>
    </w:sdtPr>
    <w:sdtEndPr>
      <w:rPr>
        <w:noProof/>
      </w:rPr>
    </w:sdtEndPr>
    <w:sdtContent>
      <w:p w14:paraId="151348A3" w14:textId="54806AC5" w:rsidR="00434190" w:rsidRDefault="00434190">
        <w:pPr>
          <w:pStyle w:val="Header"/>
          <w:jc w:val="right"/>
        </w:pPr>
        <w:r>
          <w:fldChar w:fldCharType="begin"/>
        </w:r>
        <w:r>
          <w:instrText xml:space="preserve"> PAGE   \* MERGEFORMAT </w:instrText>
        </w:r>
        <w:r>
          <w:fldChar w:fldCharType="separate"/>
        </w:r>
        <w:r w:rsidR="00495B52">
          <w:rPr>
            <w:noProof/>
          </w:rPr>
          <w:t>138</w:t>
        </w:r>
        <w:r>
          <w:rPr>
            <w:noProof/>
          </w:rPr>
          <w:fldChar w:fldCharType="end"/>
        </w:r>
      </w:p>
    </w:sdtContent>
  </w:sdt>
  <w:p w14:paraId="0B4E544D" w14:textId="77777777" w:rsidR="00434190" w:rsidRDefault="004341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7C63C" w14:textId="2546E7A9" w:rsidR="00434190" w:rsidRDefault="00434190">
    <w:pPr>
      <w:pStyle w:val="Header"/>
      <w:jc w:val="right"/>
    </w:pPr>
  </w:p>
  <w:p w14:paraId="22DCCE68" w14:textId="77777777" w:rsidR="00434190" w:rsidRDefault="00434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4D8"/>
    <w:multiLevelType w:val="hybridMultilevel"/>
    <w:tmpl w:val="C6B2439E"/>
    <w:lvl w:ilvl="0" w:tplc="894CA8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A1374"/>
    <w:multiLevelType w:val="hybridMultilevel"/>
    <w:tmpl w:val="0F7ECCCC"/>
    <w:lvl w:ilvl="0" w:tplc="4A0637BE">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E3561F"/>
    <w:multiLevelType w:val="hybridMultilevel"/>
    <w:tmpl w:val="41B66D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A5FF0"/>
    <w:multiLevelType w:val="hybridMultilevel"/>
    <w:tmpl w:val="47783806"/>
    <w:lvl w:ilvl="0" w:tplc="602A9C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61625CA"/>
    <w:multiLevelType w:val="hybridMultilevel"/>
    <w:tmpl w:val="8D22D5EC"/>
    <w:lvl w:ilvl="0" w:tplc="53E86A6E">
      <w:start w:val="1"/>
      <w:numFmt w:val="decimal"/>
      <w:lvlText w:val="%1."/>
      <w:lvlJc w:val="left"/>
      <w:pPr>
        <w:ind w:left="720" w:hanging="360"/>
      </w:pPr>
      <w:rPr>
        <w:rFonts w:ascii="Times New Roman" w:eastAsiaTheme="minorHAnsi" w:hAnsi="Times New Roman" w:hint="default"/>
        <w:color w:val="000000" w:themeColor="text1"/>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514B5"/>
    <w:multiLevelType w:val="hybridMultilevel"/>
    <w:tmpl w:val="C6763AD6"/>
    <w:lvl w:ilvl="0" w:tplc="A4B423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70D1B73"/>
    <w:multiLevelType w:val="hybridMultilevel"/>
    <w:tmpl w:val="81425090"/>
    <w:lvl w:ilvl="0" w:tplc="3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9523709"/>
    <w:multiLevelType w:val="hybridMultilevel"/>
    <w:tmpl w:val="B1DE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7F15A1"/>
    <w:multiLevelType w:val="hybridMultilevel"/>
    <w:tmpl w:val="FFDE81A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E91143F"/>
    <w:multiLevelType w:val="hybridMultilevel"/>
    <w:tmpl w:val="115A15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950B2F"/>
    <w:multiLevelType w:val="hybridMultilevel"/>
    <w:tmpl w:val="0C465E36"/>
    <w:lvl w:ilvl="0" w:tplc="1DA0CD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FF13D1B"/>
    <w:multiLevelType w:val="hybridMultilevel"/>
    <w:tmpl w:val="1CAC4F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D0EDD"/>
    <w:multiLevelType w:val="hybridMultilevel"/>
    <w:tmpl w:val="E522D836"/>
    <w:lvl w:ilvl="0" w:tplc="04090019">
      <w:start w:val="1"/>
      <w:numFmt w:val="lowerLetter"/>
      <w:lvlText w:val="%1."/>
      <w:lvlJc w:val="left"/>
      <w:pPr>
        <w:ind w:left="1515" w:hanging="360"/>
      </w:p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15:restartNumberingAfterBreak="0">
    <w:nsid w:val="26DF7580"/>
    <w:multiLevelType w:val="hybridMultilevel"/>
    <w:tmpl w:val="A5BCB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61949"/>
    <w:multiLevelType w:val="hybridMultilevel"/>
    <w:tmpl w:val="BD76E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B5583D"/>
    <w:multiLevelType w:val="hybridMultilevel"/>
    <w:tmpl w:val="16E467B0"/>
    <w:lvl w:ilvl="0" w:tplc="A98AADB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9025F76"/>
    <w:multiLevelType w:val="hybridMultilevel"/>
    <w:tmpl w:val="A5B21140"/>
    <w:lvl w:ilvl="0" w:tplc="04090019">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C323A79"/>
    <w:multiLevelType w:val="hybridMultilevel"/>
    <w:tmpl w:val="D8C6D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22251"/>
    <w:multiLevelType w:val="hybridMultilevel"/>
    <w:tmpl w:val="5ADAE7D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10A0B9E"/>
    <w:multiLevelType w:val="hybridMultilevel"/>
    <w:tmpl w:val="E92C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53FCF"/>
    <w:multiLevelType w:val="hybridMultilevel"/>
    <w:tmpl w:val="54D4B01E"/>
    <w:lvl w:ilvl="0" w:tplc="A16E95B2">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37C373EB"/>
    <w:multiLevelType w:val="hybridMultilevel"/>
    <w:tmpl w:val="A61C2E40"/>
    <w:lvl w:ilvl="0" w:tplc="D73254E0">
      <w:start w:val="1"/>
      <w:numFmt w:val="decimal"/>
      <w:lvlText w:val="%1."/>
      <w:lvlJc w:val="lef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397337C6"/>
    <w:multiLevelType w:val="hybridMultilevel"/>
    <w:tmpl w:val="BB66B34A"/>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AEC66D68">
      <w:start w:val="1"/>
      <w:numFmt w:val="lowerLetter"/>
      <w:lvlText w:val="%5."/>
      <w:lvlJc w:val="left"/>
      <w:pPr>
        <w:ind w:left="3600" w:hanging="360"/>
      </w:pPr>
      <w:rPr>
        <w:rFonts w:cs="Times New Roman"/>
        <w:i w:val="0"/>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3" w15:restartNumberingAfterBreak="0">
    <w:nsid w:val="3994340E"/>
    <w:multiLevelType w:val="hybridMultilevel"/>
    <w:tmpl w:val="88383072"/>
    <w:lvl w:ilvl="0" w:tplc="A72CCF7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CD15E04"/>
    <w:multiLevelType w:val="hybridMultilevel"/>
    <w:tmpl w:val="199CBE56"/>
    <w:lvl w:ilvl="0" w:tplc="DBDE5924">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DC332D3"/>
    <w:multiLevelType w:val="hybridMultilevel"/>
    <w:tmpl w:val="433E2A0C"/>
    <w:lvl w:ilvl="0" w:tplc="7966D84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D12E7C"/>
    <w:multiLevelType w:val="hybridMultilevel"/>
    <w:tmpl w:val="2B3AD90E"/>
    <w:lvl w:ilvl="0" w:tplc="1CAAF05C">
      <w:start w:val="1"/>
      <w:numFmt w:val="lowerLetter"/>
      <w:lvlText w:val="%1."/>
      <w:lvlJc w:val="left"/>
      <w:pPr>
        <w:ind w:left="216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7" w15:restartNumberingAfterBreak="0">
    <w:nsid w:val="3E132F98"/>
    <w:multiLevelType w:val="hybridMultilevel"/>
    <w:tmpl w:val="3F5E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B649A7"/>
    <w:multiLevelType w:val="hybridMultilevel"/>
    <w:tmpl w:val="3D483CB6"/>
    <w:lvl w:ilvl="0" w:tplc="04090017">
      <w:start w:val="1"/>
      <w:numFmt w:val="lowerLetter"/>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9" w15:restartNumberingAfterBreak="0">
    <w:nsid w:val="4B9966F9"/>
    <w:multiLevelType w:val="hybridMultilevel"/>
    <w:tmpl w:val="6478D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C920C8"/>
    <w:multiLevelType w:val="hybridMultilevel"/>
    <w:tmpl w:val="C57CAA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305E78"/>
    <w:multiLevelType w:val="hybridMultilevel"/>
    <w:tmpl w:val="1CAC4F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2D41C7"/>
    <w:multiLevelType w:val="hybridMultilevel"/>
    <w:tmpl w:val="5F34DECE"/>
    <w:lvl w:ilvl="0" w:tplc="38E05DA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FC3A25"/>
    <w:multiLevelType w:val="hybridMultilevel"/>
    <w:tmpl w:val="A6C0B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C34C65"/>
    <w:multiLevelType w:val="hybridMultilevel"/>
    <w:tmpl w:val="38B84320"/>
    <w:lvl w:ilvl="0" w:tplc="8CC62E3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DE5E5C"/>
    <w:multiLevelType w:val="hybridMultilevel"/>
    <w:tmpl w:val="A5621FD6"/>
    <w:lvl w:ilvl="0" w:tplc="2B0CD70C">
      <w:start w:val="1"/>
      <w:numFmt w:val="lowerLetter"/>
      <w:lvlText w:val="%1)"/>
      <w:lvlJc w:val="left"/>
      <w:pPr>
        <w:ind w:left="2905" w:hanging="360"/>
      </w:pPr>
      <w:rPr>
        <w:rFonts w:hint="default"/>
        <w:i w:val="0"/>
      </w:rPr>
    </w:lvl>
    <w:lvl w:ilvl="1" w:tplc="04090019">
      <w:start w:val="1"/>
      <w:numFmt w:val="lowerLetter"/>
      <w:lvlText w:val="%2."/>
      <w:lvlJc w:val="left"/>
      <w:pPr>
        <w:ind w:left="3625" w:hanging="360"/>
      </w:pPr>
    </w:lvl>
    <w:lvl w:ilvl="2" w:tplc="0409001B" w:tentative="1">
      <w:start w:val="1"/>
      <w:numFmt w:val="lowerRoman"/>
      <w:lvlText w:val="%3."/>
      <w:lvlJc w:val="right"/>
      <w:pPr>
        <w:ind w:left="4345" w:hanging="180"/>
      </w:pPr>
    </w:lvl>
    <w:lvl w:ilvl="3" w:tplc="0409000F" w:tentative="1">
      <w:start w:val="1"/>
      <w:numFmt w:val="decimal"/>
      <w:lvlText w:val="%4."/>
      <w:lvlJc w:val="left"/>
      <w:pPr>
        <w:ind w:left="5065" w:hanging="360"/>
      </w:pPr>
    </w:lvl>
    <w:lvl w:ilvl="4" w:tplc="04090019" w:tentative="1">
      <w:start w:val="1"/>
      <w:numFmt w:val="lowerLetter"/>
      <w:lvlText w:val="%5."/>
      <w:lvlJc w:val="left"/>
      <w:pPr>
        <w:ind w:left="5785" w:hanging="360"/>
      </w:pPr>
    </w:lvl>
    <w:lvl w:ilvl="5" w:tplc="0409001B" w:tentative="1">
      <w:start w:val="1"/>
      <w:numFmt w:val="lowerRoman"/>
      <w:lvlText w:val="%6."/>
      <w:lvlJc w:val="right"/>
      <w:pPr>
        <w:ind w:left="6505" w:hanging="180"/>
      </w:pPr>
    </w:lvl>
    <w:lvl w:ilvl="6" w:tplc="0409000F" w:tentative="1">
      <w:start w:val="1"/>
      <w:numFmt w:val="decimal"/>
      <w:lvlText w:val="%7."/>
      <w:lvlJc w:val="left"/>
      <w:pPr>
        <w:ind w:left="7225" w:hanging="360"/>
      </w:pPr>
    </w:lvl>
    <w:lvl w:ilvl="7" w:tplc="04090019" w:tentative="1">
      <w:start w:val="1"/>
      <w:numFmt w:val="lowerLetter"/>
      <w:lvlText w:val="%8."/>
      <w:lvlJc w:val="left"/>
      <w:pPr>
        <w:ind w:left="7945" w:hanging="360"/>
      </w:pPr>
    </w:lvl>
    <w:lvl w:ilvl="8" w:tplc="0409001B" w:tentative="1">
      <w:start w:val="1"/>
      <w:numFmt w:val="lowerRoman"/>
      <w:lvlText w:val="%9."/>
      <w:lvlJc w:val="right"/>
      <w:pPr>
        <w:ind w:left="8665" w:hanging="180"/>
      </w:pPr>
    </w:lvl>
  </w:abstractNum>
  <w:abstractNum w:abstractNumId="36" w15:restartNumberingAfterBreak="0">
    <w:nsid w:val="5B1E6A00"/>
    <w:multiLevelType w:val="hybridMultilevel"/>
    <w:tmpl w:val="347E31D6"/>
    <w:lvl w:ilvl="0" w:tplc="C03068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0E20E36"/>
    <w:multiLevelType w:val="hybridMultilevel"/>
    <w:tmpl w:val="06D21EEE"/>
    <w:lvl w:ilvl="0" w:tplc="04210011">
      <w:start w:val="1"/>
      <w:numFmt w:val="decimal"/>
      <w:lvlText w:val="%1)"/>
      <w:lvlJc w:val="left"/>
      <w:pPr>
        <w:ind w:left="720" w:hanging="360"/>
      </w:pPr>
      <w:rPr>
        <w:rFonts w:cs="Times New Roman"/>
      </w:rPr>
    </w:lvl>
    <w:lvl w:ilvl="1" w:tplc="0D78FB3C">
      <w:start w:val="1"/>
      <w:numFmt w:val="lowerLetter"/>
      <w:lvlText w:val="%2."/>
      <w:lvlJc w:val="left"/>
      <w:pPr>
        <w:ind w:left="1440" w:hanging="360"/>
      </w:pPr>
      <w:rPr>
        <w:rFonts w:cs="Times New Roman"/>
        <w:i w:val="0"/>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8" w15:restartNumberingAfterBreak="0">
    <w:nsid w:val="62911551"/>
    <w:multiLevelType w:val="hybridMultilevel"/>
    <w:tmpl w:val="3FA2ADC0"/>
    <w:lvl w:ilvl="0" w:tplc="209E962A">
      <w:start w:val="1"/>
      <w:numFmt w:val="decimal"/>
      <w:lvlText w:val="%1."/>
      <w:lvlJc w:val="left"/>
      <w:pPr>
        <w:ind w:left="720" w:hanging="360"/>
      </w:pPr>
      <w:rPr>
        <w:rFonts w:ascii="Times New Roman" w:eastAsiaTheme="minorHAnsi"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C5336"/>
    <w:multiLevelType w:val="hybridMultilevel"/>
    <w:tmpl w:val="6C240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2018DF"/>
    <w:multiLevelType w:val="hybridMultilevel"/>
    <w:tmpl w:val="68482016"/>
    <w:lvl w:ilvl="0" w:tplc="4C805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40D1060"/>
    <w:multiLevelType w:val="hybridMultilevel"/>
    <w:tmpl w:val="0D84D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E157B0"/>
    <w:multiLevelType w:val="hybridMultilevel"/>
    <w:tmpl w:val="B79212F8"/>
    <w:lvl w:ilvl="0" w:tplc="38090011">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6B707030"/>
    <w:multiLevelType w:val="hybridMultilevel"/>
    <w:tmpl w:val="2FBEFE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F705B86">
      <w:start w:val="1"/>
      <w:numFmt w:val="decimal"/>
      <w:lvlText w:val="%4."/>
      <w:lvlJc w:val="left"/>
      <w:pPr>
        <w:ind w:left="2880" w:hanging="360"/>
      </w:pPr>
      <w:rPr>
        <w:rFonts w:hint="default"/>
      </w:rPr>
    </w:lvl>
    <w:lvl w:ilvl="4" w:tplc="7BC0EE1E">
      <w:start w:val="1"/>
      <w:numFmt w:val="decimal"/>
      <w:lvlText w:val="%5)"/>
      <w:lvlJc w:val="left"/>
      <w:pPr>
        <w:ind w:left="3600" w:hanging="360"/>
      </w:pPr>
      <w:rPr>
        <w:rFonts w:hint="default"/>
      </w:rPr>
    </w:lvl>
    <w:lvl w:ilvl="5" w:tplc="BE06A154">
      <w:start w:val="14"/>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D11686"/>
    <w:multiLevelType w:val="hybridMultilevel"/>
    <w:tmpl w:val="FEDE1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7A6EF8"/>
    <w:multiLevelType w:val="hybridMultilevel"/>
    <w:tmpl w:val="5EB0F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666012"/>
    <w:multiLevelType w:val="hybridMultilevel"/>
    <w:tmpl w:val="3AFC1E58"/>
    <w:lvl w:ilvl="0" w:tplc="5E240FC6">
      <w:start w:val="1"/>
      <w:numFmt w:val="decimal"/>
      <w:lvlText w:val="%1."/>
      <w:lvlJc w:val="left"/>
      <w:pPr>
        <w:ind w:left="644" w:hanging="360"/>
      </w:pPr>
      <w:rPr>
        <w:rFonts w:ascii="Times New Roman" w:eastAsiaTheme="minorHAnsi" w:hAnsi="Times New Roman" w:hint="default"/>
        <w:color w:val="000000" w:themeColor="text1"/>
        <w:sz w:val="24"/>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0"/>
  </w:num>
  <w:num w:numId="5">
    <w:abstractNumId w:val="43"/>
  </w:num>
  <w:num w:numId="6">
    <w:abstractNumId w:val="27"/>
  </w:num>
  <w:num w:numId="7">
    <w:abstractNumId w:val="29"/>
  </w:num>
  <w:num w:numId="8">
    <w:abstractNumId w:val="42"/>
  </w:num>
  <w:num w:numId="9">
    <w:abstractNumId w:val="45"/>
  </w:num>
  <w:num w:numId="10">
    <w:abstractNumId w:val="3"/>
  </w:num>
  <w:num w:numId="11">
    <w:abstractNumId w:val="41"/>
  </w:num>
  <w:num w:numId="12">
    <w:abstractNumId w:val="9"/>
  </w:num>
  <w:num w:numId="13">
    <w:abstractNumId w:val="16"/>
  </w:num>
  <w:num w:numId="14">
    <w:abstractNumId w:val="0"/>
  </w:num>
  <w:num w:numId="15">
    <w:abstractNumId w:val="20"/>
  </w:num>
  <w:num w:numId="16">
    <w:abstractNumId w:val="40"/>
  </w:num>
  <w:num w:numId="17">
    <w:abstractNumId w:val="6"/>
  </w:num>
  <w:num w:numId="18">
    <w:abstractNumId w:val="11"/>
  </w:num>
  <w:num w:numId="19">
    <w:abstractNumId w:val="24"/>
  </w:num>
  <w:num w:numId="20">
    <w:abstractNumId w:val="15"/>
  </w:num>
  <w:num w:numId="21">
    <w:abstractNumId w:val="35"/>
  </w:num>
  <w:num w:numId="22">
    <w:abstractNumId w:val="25"/>
  </w:num>
  <w:num w:numId="23">
    <w:abstractNumId w:val="1"/>
  </w:num>
  <w:num w:numId="24">
    <w:abstractNumId w:val="36"/>
  </w:num>
  <w:num w:numId="25">
    <w:abstractNumId w:val="5"/>
  </w:num>
  <w:num w:numId="26">
    <w:abstractNumId w:val="10"/>
  </w:num>
  <w:num w:numId="27">
    <w:abstractNumId w:val="2"/>
  </w:num>
  <w:num w:numId="28">
    <w:abstractNumId w:val="31"/>
  </w:num>
  <w:num w:numId="29">
    <w:abstractNumId w:val="14"/>
  </w:num>
  <w:num w:numId="30">
    <w:abstractNumId w:val="28"/>
  </w:num>
  <w:num w:numId="31">
    <w:abstractNumId w:val="1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8"/>
  </w:num>
  <w:num w:numId="36">
    <w:abstractNumId w:val="23"/>
  </w:num>
  <w:num w:numId="37">
    <w:abstractNumId w:val="32"/>
  </w:num>
  <w:num w:numId="38">
    <w:abstractNumId w:val="39"/>
  </w:num>
  <w:num w:numId="39">
    <w:abstractNumId w:val="34"/>
  </w:num>
  <w:num w:numId="40">
    <w:abstractNumId w:val="17"/>
  </w:num>
  <w:num w:numId="41">
    <w:abstractNumId w:val="38"/>
  </w:num>
  <w:num w:numId="42">
    <w:abstractNumId w:val="7"/>
  </w:num>
  <w:num w:numId="43">
    <w:abstractNumId w:val="46"/>
  </w:num>
  <w:num w:numId="44">
    <w:abstractNumId w:val="44"/>
  </w:num>
  <w:num w:numId="45">
    <w:abstractNumId w:val="4"/>
  </w:num>
  <w:num w:numId="46">
    <w:abstractNumId w:val="21"/>
  </w:num>
  <w:num w:numId="47">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1B"/>
    <w:rsid w:val="0000229C"/>
    <w:rsid w:val="00013388"/>
    <w:rsid w:val="00025D58"/>
    <w:rsid w:val="00025ED7"/>
    <w:rsid w:val="00030002"/>
    <w:rsid w:val="00031B8B"/>
    <w:rsid w:val="00032170"/>
    <w:rsid w:val="0003422F"/>
    <w:rsid w:val="000355A6"/>
    <w:rsid w:val="00036AC5"/>
    <w:rsid w:val="00041381"/>
    <w:rsid w:val="00044FDB"/>
    <w:rsid w:val="00051C13"/>
    <w:rsid w:val="000537CE"/>
    <w:rsid w:val="000554B0"/>
    <w:rsid w:val="000620E3"/>
    <w:rsid w:val="000640EC"/>
    <w:rsid w:val="0006441A"/>
    <w:rsid w:val="00070BC7"/>
    <w:rsid w:val="000763D3"/>
    <w:rsid w:val="000801E4"/>
    <w:rsid w:val="000813B3"/>
    <w:rsid w:val="00081EE1"/>
    <w:rsid w:val="00082813"/>
    <w:rsid w:val="00082A03"/>
    <w:rsid w:val="00083F15"/>
    <w:rsid w:val="000868BF"/>
    <w:rsid w:val="0009201F"/>
    <w:rsid w:val="000A7308"/>
    <w:rsid w:val="000A7E8C"/>
    <w:rsid w:val="000B27FC"/>
    <w:rsid w:val="000B49A2"/>
    <w:rsid w:val="000B6349"/>
    <w:rsid w:val="000B6EE4"/>
    <w:rsid w:val="000C04D1"/>
    <w:rsid w:val="000C30EA"/>
    <w:rsid w:val="000C498C"/>
    <w:rsid w:val="000C649D"/>
    <w:rsid w:val="000C6B81"/>
    <w:rsid w:val="000D06E4"/>
    <w:rsid w:val="000D2780"/>
    <w:rsid w:val="000D7D0A"/>
    <w:rsid w:val="000E1300"/>
    <w:rsid w:val="000E678E"/>
    <w:rsid w:val="000E6FE0"/>
    <w:rsid w:val="000E7D85"/>
    <w:rsid w:val="000F0B7F"/>
    <w:rsid w:val="000F0FD9"/>
    <w:rsid w:val="000F6E8C"/>
    <w:rsid w:val="001002FD"/>
    <w:rsid w:val="001032EE"/>
    <w:rsid w:val="001058BF"/>
    <w:rsid w:val="001061B7"/>
    <w:rsid w:val="00107ACF"/>
    <w:rsid w:val="00114A58"/>
    <w:rsid w:val="001175A9"/>
    <w:rsid w:val="0012090D"/>
    <w:rsid w:val="00120C55"/>
    <w:rsid w:val="00121207"/>
    <w:rsid w:val="001248A1"/>
    <w:rsid w:val="00126409"/>
    <w:rsid w:val="00126C3D"/>
    <w:rsid w:val="00132E20"/>
    <w:rsid w:val="001351E3"/>
    <w:rsid w:val="001404BA"/>
    <w:rsid w:val="001405D4"/>
    <w:rsid w:val="00140F8B"/>
    <w:rsid w:val="001410FB"/>
    <w:rsid w:val="00141769"/>
    <w:rsid w:val="001444F4"/>
    <w:rsid w:val="00153001"/>
    <w:rsid w:val="00155199"/>
    <w:rsid w:val="00157778"/>
    <w:rsid w:val="00164786"/>
    <w:rsid w:val="00171F68"/>
    <w:rsid w:val="00172F3D"/>
    <w:rsid w:val="001741F0"/>
    <w:rsid w:val="0017483D"/>
    <w:rsid w:val="0017537E"/>
    <w:rsid w:val="0018338D"/>
    <w:rsid w:val="0018423F"/>
    <w:rsid w:val="0018612A"/>
    <w:rsid w:val="0018771A"/>
    <w:rsid w:val="001879B8"/>
    <w:rsid w:val="001909BA"/>
    <w:rsid w:val="00190B6B"/>
    <w:rsid w:val="001A045B"/>
    <w:rsid w:val="001A372B"/>
    <w:rsid w:val="001A5F4B"/>
    <w:rsid w:val="001A700A"/>
    <w:rsid w:val="001B00CB"/>
    <w:rsid w:val="001B1200"/>
    <w:rsid w:val="001B2440"/>
    <w:rsid w:val="001B37F4"/>
    <w:rsid w:val="001B48DB"/>
    <w:rsid w:val="001B59C5"/>
    <w:rsid w:val="001B60A0"/>
    <w:rsid w:val="001B63F4"/>
    <w:rsid w:val="001B6825"/>
    <w:rsid w:val="001C3448"/>
    <w:rsid w:val="001C3E6A"/>
    <w:rsid w:val="001C59A1"/>
    <w:rsid w:val="001C6EC8"/>
    <w:rsid w:val="001D6B56"/>
    <w:rsid w:val="001D766A"/>
    <w:rsid w:val="001E2A0A"/>
    <w:rsid w:val="001E700C"/>
    <w:rsid w:val="001F04A2"/>
    <w:rsid w:val="001F5FA2"/>
    <w:rsid w:val="001F7FDF"/>
    <w:rsid w:val="00200677"/>
    <w:rsid w:val="00201054"/>
    <w:rsid w:val="00202E8A"/>
    <w:rsid w:val="00203F02"/>
    <w:rsid w:val="0020422B"/>
    <w:rsid w:val="00207C13"/>
    <w:rsid w:val="00211E3D"/>
    <w:rsid w:val="00214994"/>
    <w:rsid w:val="0021641D"/>
    <w:rsid w:val="00220079"/>
    <w:rsid w:val="00220450"/>
    <w:rsid w:val="00222303"/>
    <w:rsid w:val="00225F60"/>
    <w:rsid w:val="002301B5"/>
    <w:rsid w:val="002371BD"/>
    <w:rsid w:val="00241237"/>
    <w:rsid w:val="002475FE"/>
    <w:rsid w:val="002515B0"/>
    <w:rsid w:val="00253C07"/>
    <w:rsid w:val="00254A52"/>
    <w:rsid w:val="002559F1"/>
    <w:rsid w:val="00264A30"/>
    <w:rsid w:val="00265338"/>
    <w:rsid w:val="00265E04"/>
    <w:rsid w:val="00270B21"/>
    <w:rsid w:val="00271CA3"/>
    <w:rsid w:val="00272E2F"/>
    <w:rsid w:val="00273CF5"/>
    <w:rsid w:val="00274326"/>
    <w:rsid w:val="002768CA"/>
    <w:rsid w:val="00277173"/>
    <w:rsid w:val="0028047A"/>
    <w:rsid w:val="0029043D"/>
    <w:rsid w:val="00292B7F"/>
    <w:rsid w:val="00293844"/>
    <w:rsid w:val="00294CEA"/>
    <w:rsid w:val="002970C2"/>
    <w:rsid w:val="002975D5"/>
    <w:rsid w:val="002A2D54"/>
    <w:rsid w:val="002A718A"/>
    <w:rsid w:val="002B17EA"/>
    <w:rsid w:val="002B666E"/>
    <w:rsid w:val="002C18D5"/>
    <w:rsid w:val="002C2D5E"/>
    <w:rsid w:val="002C318A"/>
    <w:rsid w:val="002C4EF5"/>
    <w:rsid w:val="002C50ED"/>
    <w:rsid w:val="002C672D"/>
    <w:rsid w:val="002C67DC"/>
    <w:rsid w:val="002C7839"/>
    <w:rsid w:val="002D21B4"/>
    <w:rsid w:val="002E0BF4"/>
    <w:rsid w:val="002E2D16"/>
    <w:rsid w:val="002E334F"/>
    <w:rsid w:val="002E4334"/>
    <w:rsid w:val="002E4483"/>
    <w:rsid w:val="002E7D7C"/>
    <w:rsid w:val="002F01DC"/>
    <w:rsid w:val="002F1818"/>
    <w:rsid w:val="002F2D04"/>
    <w:rsid w:val="002F5860"/>
    <w:rsid w:val="002F63A4"/>
    <w:rsid w:val="002F7F6E"/>
    <w:rsid w:val="00300AF2"/>
    <w:rsid w:val="00306D32"/>
    <w:rsid w:val="00310583"/>
    <w:rsid w:val="00317C2E"/>
    <w:rsid w:val="0032084A"/>
    <w:rsid w:val="00320A23"/>
    <w:rsid w:val="0032159E"/>
    <w:rsid w:val="00322638"/>
    <w:rsid w:val="003227C6"/>
    <w:rsid w:val="00327125"/>
    <w:rsid w:val="00327B76"/>
    <w:rsid w:val="00330E93"/>
    <w:rsid w:val="003335AA"/>
    <w:rsid w:val="00336477"/>
    <w:rsid w:val="00336AB1"/>
    <w:rsid w:val="0034189A"/>
    <w:rsid w:val="00346702"/>
    <w:rsid w:val="00347472"/>
    <w:rsid w:val="0035078A"/>
    <w:rsid w:val="00350EF3"/>
    <w:rsid w:val="003554B0"/>
    <w:rsid w:val="003556F3"/>
    <w:rsid w:val="003624DF"/>
    <w:rsid w:val="00363814"/>
    <w:rsid w:val="003655E3"/>
    <w:rsid w:val="00366C79"/>
    <w:rsid w:val="00373693"/>
    <w:rsid w:val="0037489D"/>
    <w:rsid w:val="003863E9"/>
    <w:rsid w:val="003976A9"/>
    <w:rsid w:val="003A1B6D"/>
    <w:rsid w:val="003A30A1"/>
    <w:rsid w:val="003A3C97"/>
    <w:rsid w:val="003A43B6"/>
    <w:rsid w:val="003A452F"/>
    <w:rsid w:val="003A4A1F"/>
    <w:rsid w:val="003A6EE3"/>
    <w:rsid w:val="003B1B20"/>
    <w:rsid w:val="003B2139"/>
    <w:rsid w:val="003B3295"/>
    <w:rsid w:val="003B5296"/>
    <w:rsid w:val="003B7248"/>
    <w:rsid w:val="003B7F0B"/>
    <w:rsid w:val="003C3993"/>
    <w:rsid w:val="003C5679"/>
    <w:rsid w:val="003C57C0"/>
    <w:rsid w:val="003D133B"/>
    <w:rsid w:val="003D13C5"/>
    <w:rsid w:val="003D1F5A"/>
    <w:rsid w:val="003D5394"/>
    <w:rsid w:val="003D7AC1"/>
    <w:rsid w:val="003E3D79"/>
    <w:rsid w:val="003E47AB"/>
    <w:rsid w:val="003E50A1"/>
    <w:rsid w:val="003E70EC"/>
    <w:rsid w:val="003E7B09"/>
    <w:rsid w:val="003F7757"/>
    <w:rsid w:val="0040069E"/>
    <w:rsid w:val="00400CCB"/>
    <w:rsid w:val="00403EA7"/>
    <w:rsid w:val="004043D3"/>
    <w:rsid w:val="00404BBA"/>
    <w:rsid w:val="00407F28"/>
    <w:rsid w:val="004109F4"/>
    <w:rsid w:val="004149F0"/>
    <w:rsid w:val="00415865"/>
    <w:rsid w:val="004177FE"/>
    <w:rsid w:val="00420766"/>
    <w:rsid w:val="00420981"/>
    <w:rsid w:val="004321DD"/>
    <w:rsid w:val="00433768"/>
    <w:rsid w:val="00434185"/>
    <w:rsid w:val="00434190"/>
    <w:rsid w:val="00435467"/>
    <w:rsid w:val="004426C2"/>
    <w:rsid w:val="0045629F"/>
    <w:rsid w:val="00457028"/>
    <w:rsid w:val="004577B3"/>
    <w:rsid w:val="0046058A"/>
    <w:rsid w:val="00462027"/>
    <w:rsid w:val="00464990"/>
    <w:rsid w:val="00467AEB"/>
    <w:rsid w:val="0047100C"/>
    <w:rsid w:val="004712A4"/>
    <w:rsid w:val="004737D2"/>
    <w:rsid w:val="004750CB"/>
    <w:rsid w:val="00475AAE"/>
    <w:rsid w:val="004770A3"/>
    <w:rsid w:val="00481B3C"/>
    <w:rsid w:val="00484973"/>
    <w:rsid w:val="00495B52"/>
    <w:rsid w:val="0049747C"/>
    <w:rsid w:val="004A0492"/>
    <w:rsid w:val="004A136B"/>
    <w:rsid w:val="004A1B61"/>
    <w:rsid w:val="004A26EE"/>
    <w:rsid w:val="004A2EC1"/>
    <w:rsid w:val="004A69F5"/>
    <w:rsid w:val="004A6C25"/>
    <w:rsid w:val="004B1BCF"/>
    <w:rsid w:val="004B223F"/>
    <w:rsid w:val="004B2B01"/>
    <w:rsid w:val="004B5A2D"/>
    <w:rsid w:val="004B6F62"/>
    <w:rsid w:val="004C1D57"/>
    <w:rsid w:val="004C53D0"/>
    <w:rsid w:val="004C641E"/>
    <w:rsid w:val="004C7760"/>
    <w:rsid w:val="004D7B63"/>
    <w:rsid w:val="004E328F"/>
    <w:rsid w:val="004E6AED"/>
    <w:rsid w:val="004F750D"/>
    <w:rsid w:val="00502F4C"/>
    <w:rsid w:val="00505F7C"/>
    <w:rsid w:val="005075E2"/>
    <w:rsid w:val="005154A5"/>
    <w:rsid w:val="005162C1"/>
    <w:rsid w:val="00516BFA"/>
    <w:rsid w:val="0051711D"/>
    <w:rsid w:val="00521FEB"/>
    <w:rsid w:val="00524106"/>
    <w:rsid w:val="00525EC2"/>
    <w:rsid w:val="00530204"/>
    <w:rsid w:val="00532B03"/>
    <w:rsid w:val="005349EF"/>
    <w:rsid w:val="005466D3"/>
    <w:rsid w:val="00550EF0"/>
    <w:rsid w:val="005545FF"/>
    <w:rsid w:val="00555C95"/>
    <w:rsid w:val="00556A57"/>
    <w:rsid w:val="00560970"/>
    <w:rsid w:val="00561113"/>
    <w:rsid w:val="00563CB0"/>
    <w:rsid w:val="00570F83"/>
    <w:rsid w:val="005713C9"/>
    <w:rsid w:val="00574FAC"/>
    <w:rsid w:val="005755FA"/>
    <w:rsid w:val="00575E92"/>
    <w:rsid w:val="00575F86"/>
    <w:rsid w:val="00576076"/>
    <w:rsid w:val="005847A0"/>
    <w:rsid w:val="00590CEB"/>
    <w:rsid w:val="0059617D"/>
    <w:rsid w:val="005A1032"/>
    <w:rsid w:val="005A1C17"/>
    <w:rsid w:val="005A3E98"/>
    <w:rsid w:val="005A5340"/>
    <w:rsid w:val="005B217C"/>
    <w:rsid w:val="005B39AB"/>
    <w:rsid w:val="005B4148"/>
    <w:rsid w:val="005B7837"/>
    <w:rsid w:val="005C406A"/>
    <w:rsid w:val="005D0426"/>
    <w:rsid w:val="005D16E5"/>
    <w:rsid w:val="005D1737"/>
    <w:rsid w:val="005D263C"/>
    <w:rsid w:val="005D2E1B"/>
    <w:rsid w:val="005D62AF"/>
    <w:rsid w:val="005E2249"/>
    <w:rsid w:val="005E7DA2"/>
    <w:rsid w:val="005F0985"/>
    <w:rsid w:val="005F37E9"/>
    <w:rsid w:val="005F63E0"/>
    <w:rsid w:val="005F7D61"/>
    <w:rsid w:val="006003FB"/>
    <w:rsid w:val="00604221"/>
    <w:rsid w:val="006061F4"/>
    <w:rsid w:val="0061290E"/>
    <w:rsid w:val="006155B4"/>
    <w:rsid w:val="00616D18"/>
    <w:rsid w:val="00620757"/>
    <w:rsid w:val="00621164"/>
    <w:rsid w:val="00627D46"/>
    <w:rsid w:val="0063044E"/>
    <w:rsid w:val="00631695"/>
    <w:rsid w:val="0063369E"/>
    <w:rsid w:val="006361F6"/>
    <w:rsid w:val="006376C6"/>
    <w:rsid w:val="00637F8C"/>
    <w:rsid w:val="006428F5"/>
    <w:rsid w:val="00643A80"/>
    <w:rsid w:val="00643AC6"/>
    <w:rsid w:val="00644028"/>
    <w:rsid w:val="006462C6"/>
    <w:rsid w:val="0064785A"/>
    <w:rsid w:val="006504DA"/>
    <w:rsid w:val="0065284D"/>
    <w:rsid w:val="006560F3"/>
    <w:rsid w:val="006562C3"/>
    <w:rsid w:val="00657442"/>
    <w:rsid w:val="00660108"/>
    <w:rsid w:val="00664742"/>
    <w:rsid w:val="00665CB2"/>
    <w:rsid w:val="00667289"/>
    <w:rsid w:val="0066783E"/>
    <w:rsid w:val="00667995"/>
    <w:rsid w:val="00667F03"/>
    <w:rsid w:val="00670A71"/>
    <w:rsid w:val="00672722"/>
    <w:rsid w:val="006735A6"/>
    <w:rsid w:val="00673E93"/>
    <w:rsid w:val="00674031"/>
    <w:rsid w:val="00682B3D"/>
    <w:rsid w:val="00690A63"/>
    <w:rsid w:val="006928D0"/>
    <w:rsid w:val="006943C2"/>
    <w:rsid w:val="00695342"/>
    <w:rsid w:val="006A4874"/>
    <w:rsid w:val="006A72E8"/>
    <w:rsid w:val="006B04AF"/>
    <w:rsid w:val="006B0B1B"/>
    <w:rsid w:val="006B0C21"/>
    <w:rsid w:val="006B1C70"/>
    <w:rsid w:val="006B22D6"/>
    <w:rsid w:val="006B32E2"/>
    <w:rsid w:val="006B3E1F"/>
    <w:rsid w:val="006B4CD3"/>
    <w:rsid w:val="006B5ABE"/>
    <w:rsid w:val="006B6627"/>
    <w:rsid w:val="006C06E6"/>
    <w:rsid w:val="006C2DFC"/>
    <w:rsid w:val="006C541B"/>
    <w:rsid w:val="006C63CD"/>
    <w:rsid w:val="006C6430"/>
    <w:rsid w:val="006D0B9F"/>
    <w:rsid w:val="006D1D31"/>
    <w:rsid w:val="006D3987"/>
    <w:rsid w:val="006D54B8"/>
    <w:rsid w:val="006D7B56"/>
    <w:rsid w:val="006D7CE7"/>
    <w:rsid w:val="006E2787"/>
    <w:rsid w:val="006E3EDB"/>
    <w:rsid w:val="006F1BDB"/>
    <w:rsid w:val="006F1E3F"/>
    <w:rsid w:val="006F3C6B"/>
    <w:rsid w:val="006F49B4"/>
    <w:rsid w:val="006F6230"/>
    <w:rsid w:val="006F6BD0"/>
    <w:rsid w:val="006F7090"/>
    <w:rsid w:val="00707B72"/>
    <w:rsid w:val="00710962"/>
    <w:rsid w:val="007122A1"/>
    <w:rsid w:val="00714ACC"/>
    <w:rsid w:val="007203CB"/>
    <w:rsid w:val="00721808"/>
    <w:rsid w:val="007230DC"/>
    <w:rsid w:val="00724E18"/>
    <w:rsid w:val="00725238"/>
    <w:rsid w:val="007259CE"/>
    <w:rsid w:val="00726CD0"/>
    <w:rsid w:val="00727DA3"/>
    <w:rsid w:val="007360F6"/>
    <w:rsid w:val="007401B0"/>
    <w:rsid w:val="007402A6"/>
    <w:rsid w:val="00740F14"/>
    <w:rsid w:val="00742841"/>
    <w:rsid w:val="007472E0"/>
    <w:rsid w:val="00747CBA"/>
    <w:rsid w:val="007510EC"/>
    <w:rsid w:val="00754AD7"/>
    <w:rsid w:val="00756260"/>
    <w:rsid w:val="00757F24"/>
    <w:rsid w:val="007614B2"/>
    <w:rsid w:val="00761F9E"/>
    <w:rsid w:val="0076385F"/>
    <w:rsid w:val="00763BAD"/>
    <w:rsid w:val="00764B8F"/>
    <w:rsid w:val="00765DE3"/>
    <w:rsid w:val="007700A7"/>
    <w:rsid w:val="0077086B"/>
    <w:rsid w:val="00772966"/>
    <w:rsid w:val="00772B9B"/>
    <w:rsid w:val="00773D70"/>
    <w:rsid w:val="00774A95"/>
    <w:rsid w:val="00776593"/>
    <w:rsid w:val="00783D27"/>
    <w:rsid w:val="007925C0"/>
    <w:rsid w:val="007937CC"/>
    <w:rsid w:val="00793ED2"/>
    <w:rsid w:val="007A2306"/>
    <w:rsid w:val="007A5C1B"/>
    <w:rsid w:val="007A6C1C"/>
    <w:rsid w:val="007B15C4"/>
    <w:rsid w:val="007B26A7"/>
    <w:rsid w:val="007B3311"/>
    <w:rsid w:val="007B48E1"/>
    <w:rsid w:val="007B5099"/>
    <w:rsid w:val="007C4123"/>
    <w:rsid w:val="007C45A5"/>
    <w:rsid w:val="007C4E35"/>
    <w:rsid w:val="007D036A"/>
    <w:rsid w:val="007D3420"/>
    <w:rsid w:val="007D67E5"/>
    <w:rsid w:val="007D7C9C"/>
    <w:rsid w:val="007E140F"/>
    <w:rsid w:val="007E2AF5"/>
    <w:rsid w:val="007E2B0D"/>
    <w:rsid w:val="007E3C24"/>
    <w:rsid w:val="007E60D4"/>
    <w:rsid w:val="007F0E83"/>
    <w:rsid w:val="007F7CBD"/>
    <w:rsid w:val="00800C9C"/>
    <w:rsid w:val="00801E33"/>
    <w:rsid w:val="00802781"/>
    <w:rsid w:val="008078D9"/>
    <w:rsid w:val="00815F43"/>
    <w:rsid w:val="00816088"/>
    <w:rsid w:val="00816A9A"/>
    <w:rsid w:val="0082359C"/>
    <w:rsid w:val="00825595"/>
    <w:rsid w:val="00827991"/>
    <w:rsid w:val="00830D32"/>
    <w:rsid w:val="00831A93"/>
    <w:rsid w:val="00832046"/>
    <w:rsid w:val="00832F36"/>
    <w:rsid w:val="00840822"/>
    <w:rsid w:val="008417A4"/>
    <w:rsid w:val="00842A4A"/>
    <w:rsid w:val="00843630"/>
    <w:rsid w:val="008455AE"/>
    <w:rsid w:val="00845B82"/>
    <w:rsid w:val="00845CE0"/>
    <w:rsid w:val="008466E8"/>
    <w:rsid w:val="00851523"/>
    <w:rsid w:val="0085214F"/>
    <w:rsid w:val="00852175"/>
    <w:rsid w:val="00856378"/>
    <w:rsid w:val="00856DE3"/>
    <w:rsid w:val="00863E98"/>
    <w:rsid w:val="0086726C"/>
    <w:rsid w:val="0087708F"/>
    <w:rsid w:val="008774C1"/>
    <w:rsid w:val="00881920"/>
    <w:rsid w:val="00884730"/>
    <w:rsid w:val="00886E1B"/>
    <w:rsid w:val="00887A5D"/>
    <w:rsid w:val="008912C3"/>
    <w:rsid w:val="00892D90"/>
    <w:rsid w:val="00893874"/>
    <w:rsid w:val="00896F73"/>
    <w:rsid w:val="008A05F3"/>
    <w:rsid w:val="008A1A83"/>
    <w:rsid w:val="008A3157"/>
    <w:rsid w:val="008A6587"/>
    <w:rsid w:val="008A6DDD"/>
    <w:rsid w:val="008A752F"/>
    <w:rsid w:val="008A7E3D"/>
    <w:rsid w:val="008B0D53"/>
    <w:rsid w:val="008B0E6C"/>
    <w:rsid w:val="008B4416"/>
    <w:rsid w:val="008B675A"/>
    <w:rsid w:val="008B6CBD"/>
    <w:rsid w:val="008B7715"/>
    <w:rsid w:val="008C12D0"/>
    <w:rsid w:val="008C1362"/>
    <w:rsid w:val="008C20D2"/>
    <w:rsid w:val="008C3604"/>
    <w:rsid w:val="008C71C8"/>
    <w:rsid w:val="008D074A"/>
    <w:rsid w:val="008E14AF"/>
    <w:rsid w:val="008E4D16"/>
    <w:rsid w:val="008E5CBC"/>
    <w:rsid w:val="008E6DBB"/>
    <w:rsid w:val="008F17E3"/>
    <w:rsid w:val="008F274C"/>
    <w:rsid w:val="008F3AD6"/>
    <w:rsid w:val="00900398"/>
    <w:rsid w:val="00901933"/>
    <w:rsid w:val="00903BF4"/>
    <w:rsid w:val="00903F8A"/>
    <w:rsid w:val="0090450E"/>
    <w:rsid w:val="009058F4"/>
    <w:rsid w:val="00906771"/>
    <w:rsid w:val="00906EA2"/>
    <w:rsid w:val="009148EF"/>
    <w:rsid w:val="00916979"/>
    <w:rsid w:val="00916BDB"/>
    <w:rsid w:val="00916E74"/>
    <w:rsid w:val="00923195"/>
    <w:rsid w:val="00930491"/>
    <w:rsid w:val="00930DA0"/>
    <w:rsid w:val="00937BB4"/>
    <w:rsid w:val="00943342"/>
    <w:rsid w:val="0094424F"/>
    <w:rsid w:val="00947281"/>
    <w:rsid w:val="0094754C"/>
    <w:rsid w:val="00947699"/>
    <w:rsid w:val="00947FF8"/>
    <w:rsid w:val="009501F5"/>
    <w:rsid w:val="00951109"/>
    <w:rsid w:val="0095208E"/>
    <w:rsid w:val="009556C5"/>
    <w:rsid w:val="00960812"/>
    <w:rsid w:val="00963E55"/>
    <w:rsid w:val="009656EC"/>
    <w:rsid w:val="009668F7"/>
    <w:rsid w:val="00970668"/>
    <w:rsid w:val="00971F5F"/>
    <w:rsid w:val="009742C0"/>
    <w:rsid w:val="009768A8"/>
    <w:rsid w:val="00977489"/>
    <w:rsid w:val="0098270C"/>
    <w:rsid w:val="009851A5"/>
    <w:rsid w:val="009872C3"/>
    <w:rsid w:val="0099120A"/>
    <w:rsid w:val="00991DF8"/>
    <w:rsid w:val="009923FC"/>
    <w:rsid w:val="00993795"/>
    <w:rsid w:val="009956CF"/>
    <w:rsid w:val="009A1CFF"/>
    <w:rsid w:val="009A247E"/>
    <w:rsid w:val="009A30A2"/>
    <w:rsid w:val="009A4660"/>
    <w:rsid w:val="009A6A09"/>
    <w:rsid w:val="009B044B"/>
    <w:rsid w:val="009B4753"/>
    <w:rsid w:val="009B5C3B"/>
    <w:rsid w:val="009B694A"/>
    <w:rsid w:val="009C0B85"/>
    <w:rsid w:val="009C25E6"/>
    <w:rsid w:val="009C4AF7"/>
    <w:rsid w:val="009C7B03"/>
    <w:rsid w:val="009D0DCE"/>
    <w:rsid w:val="009D130D"/>
    <w:rsid w:val="009D3A6D"/>
    <w:rsid w:val="009D4B65"/>
    <w:rsid w:val="009D6B29"/>
    <w:rsid w:val="009D6F1C"/>
    <w:rsid w:val="009E5000"/>
    <w:rsid w:val="009F0943"/>
    <w:rsid w:val="009F177A"/>
    <w:rsid w:val="009F2D6D"/>
    <w:rsid w:val="009F5247"/>
    <w:rsid w:val="00A053EA"/>
    <w:rsid w:val="00A05414"/>
    <w:rsid w:val="00A11D8F"/>
    <w:rsid w:val="00A1256A"/>
    <w:rsid w:val="00A12D65"/>
    <w:rsid w:val="00A150F6"/>
    <w:rsid w:val="00A17BDA"/>
    <w:rsid w:val="00A17D74"/>
    <w:rsid w:val="00A21C64"/>
    <w:rsid w:val="00A2473E"/>
    <w:rsid w:val="00A25836"/>
    <w:rsid w:val="00A271C4"/>
    <w:rsid w:val="00A274A0"/>
    <w:rsid w:val="00A311CC"/>
    <w:rsid w:val="00A335B9"/>
    <w:rsid w:val="00A33CFA"/>
    <w:rsid w:val="00A33E26"/>
    <w:rsid w:val="00A34C36"/>
    <w:rsid w:val="00A363DD"/>
    <w:rsid w:val="00A42766"/>
    <w:rsid w:val="00A4407F"/>
    <w:rsid w:val="00A44127"/>
    <w:rsid w:val="00A45261"/>
    <w:rsid w:val="00A45C0F"/>
    <w:rsid w:val="00A460E8"/>
    <w:rsid w:val="00A46B7B"/>
    <w:rsid w:val="00A51400"/>
    <w:rsid w:val="00A51CA9"/>
    <w:rsid w:val="00A52822"/>
    <w:rsid w:val="00A564CB"/>
    <w:rsid w:val="00A61E88"/>
    <w:rsid w:val="00A622E2"/>
    <w:rsid w:val="00A659E3"/>
    <w:rsid w:val="00A66A5A"/>
    <w:rsid w:val="00A6710E"/>
    <w:rsid w:val="00A67880"/>
    <w:rsid w:val="00A67D2C"/>
    <w:rsid w:val="00A70535"/>
    <w:rsid w:val="00A70BE2"/>
    <w:rsid w:val="00A71E55"/>
    <w:rsid w:val="00A72E63"/>
    <w:rsid w:val="00A7538D"/>
    <w:rsid w:val="00A77651"/>
    <w:rsid w:val="00A808E2"/>
    <w:rsid w:val="00A83F7A"/>
    <w:rsid w:val="00A8678E"/>
    <w:rsid w:val="00A87260"/>
    <w:rsid w:val="00A90D7F"/>
    <w:rsid w:val="00A92254"/>
    <w:rsid w:val="00A9337B"/>
    <w:rsid w:val="00A96C27"/>
    <w:rsid w:val="00A96E36"/>
    <w:rsid w:val="00A96FF9"/>
    <w:rsid w:val="00AA0E0E"/>
    <w:rsid w:val="00AA1D09"/>
    <w:rsid w:val="00AA2880"/>
    <w:rsid w:val="00AA3C52"/>
    <w:rsid w:val="00AA7865"/>
    <w:rsid w:val="00AB3203"/>
    <w:rsid w:val="00AB3988"/>
    <w:rsid w:val="00AB785E"/>
    <w:rsid w:val="00AC032B"/>
    <w:rsid w:val="00AC1CBF"/>
    <w:rsid w:val="00AC7CAD"/>
    <w:rsid w:val="00AD7088"/>
    <w:rsid w:val="00AD7864"/>
    <w:rsid w:val="00AE0A11"/>
    <w:rsid w:val="00AE2FD9"/>
    <w:rsid w:val="00AE5853"/>
    <w:rsid w:val="00AF4544"/>
    <w:rsid w:val="00AF6C38"/>
    <w:rsid w:val="00B0323D"/>
    <w:rsid w:val="00B04B57"/>
    <w:rsid w:val="00B12983"/>
    <w:rsid w:val="00B22581"/>
    <w:rsid w:val="00B22673"/>
    <w:rsid w:val="00B226B4"/>
    <w:rsid w:val="00B30172"/>
    <w:rsid w:val="00B335A7"/>
    <w:rsid w:val="00B33605"/>
    <w:rsid w:val="00B33871"/>
    <w:rsid w:val="00B35A35"/>
    <w:rsid w:val="00B35A98"/>
    <w:rsid w:val="00B36BF8"/>
    <w:rsid w:val="00B37CC1"/>
    <w:rsid w:val="00B416B1"/>
    <w:rsid w:val="00B4202F"/>
    <w:rsid w:val="00B43AC7"/>
    <w:rsid w:val="00B45583"/>
    <w:rsid w:val="00B46058"/>
    <w:rsid w:val="00B47070"/>
    <w:rsid w:val="00B52E2F"/>
    <w:rsid w:val="00B55682"/>
    <w:rsid w:val="00B55CDA"/>
    <w:rsid w:val="00B56A82"/>
    <w:rsid w:val="00B6035D"/>
    <w:rsid w:val="00B62F74"/>
    <w:rsid w:val="00B648CD"/>
    <w:rsid w:val="00B65BB9"/>
    <w:rsid w:val="00B6695A"/>
    <w:rsid w:val="00B6715A"/>
    <w:rsid w:val="00B6755E"/>
    <w:rsid w:val="00B74BCE"/>
    <w:rsid w:val="00B773B9"/>
    <w:rsid w:val="00B82B3A"/>
    <w:rsid w:val="00B832FA"/>
    <w:rsid w:val="00B8532B"/>
    <w:rsid w:val="00B96B01"/>
    <w:rsid w:val="00BA59C0"/>
    <w:rsid w:val="00BA660D"/>
    <w:rsid w:val="00BA7477"/>
    <w:rsid w:val="00BC09C6"/>
    <w:rsid w:val="00BC3F36"/>
    <w:rsid w:val="00BC58DD"/>
    <w:rsid w:val="00BD3060"/>
    <w:rsid w:val="00BE3DC8"/>
    <w:rsid w:val="00BF1973"/>
    <w:rsid w:val="00BF391F"/>
    <w:rsid w:val="00BF4B19"/>
    <w:rsid w:val="00BF5588"/>
    <w:rsid w:val="00BF592E"/>
    <w:rsid w:val="00BF645C"/>
    <w:rsid w:val="00C00683"/>
    <w:rsid w:val="00C04D2E"/>
    <w:rsid w:val="00C07896"/>
    <w:rsid w:val="00C07E85"/>
    <w:rsid w:val="00C10312"/>
    <w:rsid w:val="00C10F8B"/>
    <w:rsid w:val="00C173BF"/>
    <w:rsid w:val="00C1777B"/>
    <w:rsid w:val="00C17B60"/>
    <w:rsid w:val="00C20CE1"/>
    <w:rsid w:val="00C245EF"/>
    <w:rsid w:val="00C253A2"/>
    <w:rsid w:val="00C30EC2"/>
    <w:rsid w:val="00C35F30"/>
    <w:rsid w:val="00C36165"/>
    <w:rsid w:val="00C411D1"/>
    <w:rsid w:val="00C4490E"/>
    <w:rsid w:val="00C47B74"/>
    <w:rsid w:val="00C511D5"/>
    <w:rsid w:val="00C512DE"/>
    <w:rsid w:val="00C54FA9"/>
    <w:rsid w:val="00C5779A"/>
    <w:rsid w:val="00C57B74"/>
    <w:rsid w:val="00C61299"/>
    <w:rsid w:val="00C620D5"/>
    <w:rsid w:val="00C64765"/>
    <w:rsid w:val="00C74362"/>
    <w:rsid w:val="00C75996"/>
    <w:rsid w:val="00C76942"/>
    <w:rsid w:val="00C7747E"/>
    <w:rsid w:val="00C77BC9"/>
    <w:rsid w:val="00C81A4D"/>
    <w:rsid w:val="00C82144"/>
    <w:rsid w:val="00C832E4"/>
    <w:rsid w:val="00C923DA"/>
    <w:rsid w:val="00C9272D"/>
    <w:rsid w:val="00C943BD"/>
    <w:rsid w:val="00C94E1D"/>
    <w:rsid w:val="00C96E24"/>
    <w:rsid w:val="00CA066A"/>
    <w:rsid w:val="00CA418D"/>
    <w:rsid w:val="00CA6084"/>
    <w:rsid w:val="00CB0319"/>
    <w:rsid w:val="00CB13CD"/>
    <w:rsid w:val="00CB1A7E"/>
    <w:rsid w:val="00CC191D"/>
    <w:rsid w:val="00CC238A"/>
    <w:rsid w:val="00CC2D34"/>
    <w:rsid w:val="00CD0209"/>
    <w:rsid w:val="00CD06C2"/>
    <w:rsid w:val="00CD2C90"/>
    <w:rsid w:val="00CD595B"/>
    <w:rsid w:val="00CE1944"/>
    <w:rsid w:val="00CE1E1E"/>
    <w:rsid w:val="00CE2F6F"/>
    <w:rsid w:val="00CF1FAC"/>
    <w:rsid w:val="00CF2DE4"/>
    <w:rsid w:val="00CF438D"/>
    <w:rsid w:val="00CF7896"/>
    <w:rsid w:val="00CF7E14"/>
    <w:rsid w:val="00D0380C"/>
    <w:rsid w:val="00D0416B"/>
    <w:rsid w:val="00D100C9"/>
    <w:rsid w:val="00D13256"/>
    <w:rsid w:val="00D14AB4"/>
    <w:rsid w:val="00D1616F"/>
    <w:rsid w:val="00D276A2"/>
    <w:rsid w:val="00D3091A"/>
    <w:rsid w:val="00D409C8"/>
    <w:rsid w:val="00D4377D"/>
    <w:rsid w:val="00D457D0"/>
    <w:rsid w:val="00D463F1"/>
    <w:rsid w:val="00D51456"/>
    <w:rsid w:val="00D51D90"/>
    <w:rsid w:val="00D52A8B"/>
    <w:rsid w:val="00D53ED4"/>
    <w:rsid w:val="00D55432"/>
    <w:rsid w:val="00D57DE7"/>
    <w:rsid w:val="00D60718"/>
    <w:rsid w:val="00D624AB"/>
    <w:rsid w:val="00D63E7B"/>
    <w:rsid w:val="00D6747D"/>
    <w:rsid w:val="00D70986"/>
    <w:rsid w:val="00D8054F"/>
    <w:rsid w:val="00D8091E"/>
    <w:rsid w:val="00D8167B"/>
    <w:rsid w:val="00D84645"/>
    <w:rsid w:val="00D850EB"/>
    <w:rsid w:val="00D87448"/>
    <w:rsid w:val="00D918E4"/>
    <w:rsid w:val="00D96CBC"/>
    <w:rsid w:val="00D97F72"/>
    <w:rsid w:val="00DA09DC"/>
    <w:rsid w:val="00DA60C1"/>
    <w:rsid w:val="00DA681D"/>
    <w:rsid w:val="00DA76B3"/>
    <w:rsid w:val="00DB0111"/>
    <w:rsid w:val="00DB0DE7"/>
    <w:rsid w:val="00DB438D"/>
    <w:rsid w:val="00DC07CA"/>
    <w:rsid w:val="00DC33B5"/>
    <w:rsid w:val="00DC4251"/>
    <w:rsid w:val="00DC4F5E"/>
    <w:rsid w:val="00DC5F9E"/>
    <w:rsid w:val="00DD156C"/>
    <w:rsid w:val="00DD5C9D"/>
    <w:rsid w:val="00DD66AF"/>
    <w:rsid w:val="00DD6E10"/>
    <w:rsid w:val="00DE5088"/>
    <w:rsid w:val="00DE59DD"/>
    <w:rsid w:val="00DE7B90"/>
    <w:rsid w:val="00DF18E3"/>
    <w:rsid w:val="00DF1C10"/>
    <w:rsid w:val="00DF1DFA"/>
    <w:rsid w:val="00DF6C83"/>
    <w:rsid w:val="00E00A8B"/>
    <w:rsid w:val="00E045DF"/>
    <w:rsid w:val="00E06088"/>
    <w:rsid w:val="00E10879"/>
    <w:rsid w:val="00E111C6"/>
    <w:rsid w:val="00E1180A"/>
    <w:rsid w:val="00E15CAE"/>
    <w:rsid w:val="00E2186C"/>
    <w:rsid w:val="00E272F8"/>
    <w:rsid w:val="00E2789A"/>
    <w:rsid w:val="00E32933"/>
    <w:rsid w:val="00E37FCE"/>
    <w:rsid w:val="00E41AFA"/>
    <w:rsid w:val="00E43365"/>
    <w:rsid w:val="00E50A96"/>
    <w:rsid w:val="00E606BA"/>
    <w:rsid w:val="00E610CE"/>
    <w:rsid w:val="00E63BB0"/>
    <w:rsid w:val="00E64E32"/>
    <w:rsid w:val="00E65683"/>
    <w:rsid w:val="00E67DF6"/>
    <w:rsid w:val="00E7146E"/>
    <w:rsid w:val="00E7191E"/>
    <w:rsid w:val="00E71E93"/>
    <w:rsid w:val="00E755F5"/>
    <w:rsid w:val="00E774D1"/>
    <w:rsid w:val="00E848CD"/>
    <w:rsid w:val="00E85948"/>
    <w:rsid w:val="00E86987"/>
    <w:rsid w:val="00E919B0"/>
    <w:rsid w:val="00E9317A"/>
    <w:rsid w:val="00E93C08"/>
    <w:rsid w:val="00E9470A"/>
    <w:rsid w:val="00E95234"/>
    <w:rsid w:val="00E958A1"/>
    <w:rsid w:val="00E97B63"/>
    <w:rsid w:val="00EA0873"/>
    <w:rsid w:val="00EA3642"/>
    <w:rsid w:val="00EA4322"/>
    <w:rsid w:val="00EA7291"/>
    <w:rsid w:val="00EA76AD"/>
    <w:rsid w:val="00EB2DC0"/>
    <w:rsid w:val="00EB323E"/>
    <w:rsid w:val="00EB33DD"/>
    <w:rsid w:val="00EB3C27"/>
    <w:rsid w:val="00EB575B"/>
    <w:rsid w:val="00EB5806"/>
    <w:rsid w:val="00EC2858"/>
    <w:rsid w:val="00EC5093"/>
    <w:rsid w:val="00EC732A"/>
    <w:rsid w:val="00ED40FC"/>
    <w:rsid w:val="00ED6129"/>
    <w:rsid w:val="00EE26CE"/>
    <w:rsid w:val="00EE4F02"/>
    <w:rsid w:val="00EE5F82"/>
    <w:rsid w:val="00EE6F2B"/>
    <w:rsid w:val="00EE7CAF"/>
    <w:rsid w:val="00EF1354"/>
    <w:rsid w:val="00EF7B78"/>
    <w:rsid w:val="00F01EE6"/>
    <w:rsid w:val="00F02520"/>
    <w:rsid w:val="00F02EB3"/>
    <w:rsid w:val="00F20422"/>
    <w:rsid w:val="00F20559"/>
    <w:rsid w:val="00F24713"/>
    <w:rsid w:val="00F26685"/>
    <w:rsid w:val="00F26E33"/>
    <w:rsid w:val="00F32352"/>
    <w:rsid w:val="00F3552A"/>
    <w:rsid w:val="00F36CFD"/>
    <w:rsid w:val="00F411EB"/>
    <w:rsid w:val="00F41976"/>
    <w:rsid w:val="00F4326C"/>
    <w:rsid w:val="00F450D3"/>
    <w:rsid w:val="00F52F12"/>
    <w:rsid w:val="00F548FE"/>
    <w:rsid w:val="00F54D8D"/>
    <w:rsid w:val="00F55685"/>
    <w:rsid w:val="00F55D71"/>
    <w:rsid w:val="00F56BD0"/>
    <w:rsid w:val="00F57855"/>
    <w:rsid w:val="00F578FC"/>
    <w:rsid w:val="00F57CB6"/>
    <w:rsid w:val="00F60742"/>
    <w:rsid w:val="00F611F1"/>
    <w:rsid w:val="00F6376A"/>
    <w:rsid w:val="00F63F79"/>
    <w:rsid w:val="00F7248C"/>
    <w:rsid w:val="00F7560E"/>
    <w:rsid w:val="00F857CE"/>
    <w:rsid w:val="00F86011"/>
    <w:rsid w:val="00F91D13"/>
    <w:rsid w:val="00F929F1"/>
    <w:rsid w:val="00F9306A"/>
    <w:rsid w:val="00F93F09"/>
    <w:rsid w:val="00FA05DD"/>
    <w:rsid w:val="00FA47A1"/>
    <w:rsid w:val="00FA5A34"/>
    <w:rsid w:val="00FA5CA1"/>
    <w:rsid w:val="00FB0123"/>
    <w:rsid w:val="00FB1C82"/>
    <w:rsid w:val="00FB2583"/>
    <w:rsid w:val="00FB2FE3"/>
    <w:rsid w:val="00FB33EF"/>
    <w:rsid w:val="00FB397E"/>
    <w:rsid w:val="00FB4915"/>
    <w:rsid w:val="00FB6017"/>
    <w:rsid w:val="00FB6A0F"/>
    <w:rsid w:val="00FC0B4B"/>
    <w:rsid w:val="00FC153D"/>
    <w:rsid w:val="00FC1D45"/>
    <w:rsid w:val="00FC30B5"/>
    <w:rsid w:val="00FC69D4"/>
    <w:rsid w:val="00FD1698"/>
    <w:rsid w:val="00FD18BA"/>
    <w:rsid w:val="00FD3AF8"/>
    <w:rsid w:val="00FD51D7"/>
    <w:rsid w:val="00FD7D62"/>
    <w:rsid w:val="00FE2434"/>
    <w:rsid w:val="00FE2439"/>
    <w:rsid w:val="00FE38B0"/>
    <w:rsid w:val="00FE3F1B"/>
    <w:rsid w:val="00FE5527"/>
    <w:rsid w:val="00FE6E58"/>
    <w:rsid w:val="00FE792D"/>
    <w:rsid w:val="00FF2329"/>
    <w:rsid w:val="00FF3D64"/>
    <w:rsid w:val="00FF5CFF"/>
    <w:rsid w:val="00FF7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808D4"/>
  <w15:chartTrackingRefBased/>
  <w15:docId w15:val="{79352200-6340-493C-90C3-3D0865CC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8A8"/>
    <w:pPr>
      <w:jc w:val="both"/>
    </w:pPr>
    <w:rPr>
      <w:rFonts w:ascii="Times New Roman" w:hAnsi="Times New Roman"/>
      <w:sz w:val="24"/>
    </w:rPr>
  </w:style>
  <w:style w:type="paragraph" w:styleId="Heading1">
    <w:name w:val="heading 1"/>
    <w:basedOn w:val="Normal"/>
    <w:next w:val="Normal"/>
    <w:link w:val="Heading1Char"/>
    <w:uiPriority w:val="9"/>
    <w:qFormat/>
    <w:rsid w:val="00DC07CA"/>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923FC"/>
    <w:pPr>
      <w:keepNext/>
      <w:keepLines/>
      <w:spacing w:before="40" w:after="0"/>
      <w:outlineLvl w:val="1"/>
    </w:pPr>
    <w:rPr>
      <w:rFonts w:eastAsiaTheme="majorEastAsia" w:cstheme="majorBidi"/>
      <w:b/>
      <w:szCs w:val="26"/>
    </w:rPr>
  </w:style>
  <w:style w:type="paragraph" w:styleId="Heading3">
    <w:name w:val="heading 3"/>
    <w:basedOn w:val="Normal"/>
    <w:next w:val="Heading2"/>
    <w:link w:val="Heading3Char"/>
    <w:uiPriority w:val="9"/>
    <w:unhideWhenUsed/>
    <w:qFormat/>
    <w:rsid w:val="007122A1"/>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6E1B"/>
    <w:pPr>
      <w:ind w:left="720"/>
      <w:contextualSpacing/>
    </w:pPr>
  </w:style>
  <w:style w:type="paragraph" w:styleId="NormalWeb">
    <w:name w:val="Normal (Web)"/>
    <w:basedOn w:val="Normal"/>
    <w:uiPriority w:val="99"/>
    <w:semiHidden/>
    <w:unhideWhenUsed/>
    <w:rsid w:val="00B6715A"/>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DC07C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923FC"/>
    <w:rPr>
      <w:rFonts w:ascii="Times New Roman" w:eastAsiaTheme="majorEastAsia" w:hAnsi="Times New Roman" w:cstheme="majorBidi"/>
      <w:b/>
      <w:sz w:val="24"/>
      <w:szCs w:val="26"/>
    </w:rPr>
  </w:style>
  <w:style w:type="paragraph" w:styleId="Caption">
    <w:name w:val="caption"/>
    <w:basedOn w:val="Normal"/>
    <w:next w:val="Normal"/>
    <w:uiPriority w:val="35"/>
    <w:unhideWhenUsed/>
    <w:qFormat/>
    <w:rsid w:val="00AB785E"/>
    <w:pPr>
      <w:spacing w:after="200" w:line="240" w:lineRule="auto"/>
    </w:pPr>
    <w:rPr>
      <w:b/>
      <w:bCs/>
      <w:color w:val="5B9BD5" w:themeColor="accent1"/>
      <w:sz w:val="18"/>
      <w:szCs w:val="18"/>
      <w:lang w:val="id-ID"/>
    </w:rPr>
  </w:style>
  <w:style w:type="character" w:styleId="Hyperlink">
    <w:name w:val="Hyperlink"/>
    <w:basedOn w:val="DefaultParagraphFont"/>
    <w:uiPriority w:val="99"/>
    <w:unhideWhenUsed/>
    <w:rsid w:val="00AB785E"/>
    <w:rPr>
      <w:color w:val="0563C1" w:themeColor="hyperlink"/>
      <w:u w:val="single"/>
    </w:rPr>
  </w:style>
  <w:style w:type="paragraph" w:styleId="Header">
    <w:name w:val="header"/>
    <w:basedOn w:val="Normal"/>
    <w:link w:val="HeaderChar"/>
    <w:uiPriority w:val="99"/>
    <w:unhideWhenUsed/>
    <w:rsid w:val="00976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A8"/>
  </w:style>
  <w:style w:type="paragraph" w:styleId="Footer">
    <w:name w:val="footer"/>
    <w:basedOn w:val="Normal"/>
    <w:link w:val="FooterChar"/>
    <w:uiPriority w:val="99"/>
    <w:unhideWhenUsed/>
    <w:rsid w:val="00976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A8"/>
  </w:style>
  <w:style w:type="table" w:styleId="TableGrid">
    <w:name w:val="Table Grid"/>
    <w:basedOn w:val="TableNormal"/>
    <w:uiPriority w:val="59"/>
    <w:rsid w:val="00225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122A1"/>
    <w:rPr>
      <w:rFonts w:ascii="Times New Roman" w:eastAsiaTheme="majorEastAsia" w:hAnsi="Times New Roman" w:cstheme="majorBidi"/>
      <w:b/>
      <w:color w:val="000000" w:themeColor="text1"/>
      <w:sz w:val="24"/>
      <w:szCs w:val="24"/>
    </w:rPr>
  </w:style>
  <w:style w:type="paragraph" w:styleId="TOCHeading">
    <w:name w:val="TOC Heading"/>
    <w:basedOn w:val="Heading1"/>
    <w:next w:val="Normal"/>
    <w:uiPriority w:val="39"/>
    <w:unhideWhenUsed/>
    <w:qFormat/>
    <w:rsid w:val="007122A1"/>
    <w:pPr>
      <w:jc w:val="left"/>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B648CD"/>
    <w:pPr>
      <w:tabs>
        <w:tab w:val="right" w:leader="dot" w:pos="8261"/>
      </w:tabs>
      <w:spacing w:after="100" w:line="276" w:lineRule="auto"/>
    </w:pPr>
  </w:style>
  <w:style w:type="paragraph" w:styleId="TOC2">
    <w:name w:val="toc 2"/>
    <w:basedOn w:val="Normal"/>
    <w:next w:val="Normal"/>
    <w:autoRedefine/>
    <w:uiPriority w:val="39"/>
    <w:unhideWhenUsed/>
    <w:rsid w:val="007122A1"/>
    <w:pPr>
      <w:spacing w:after="100"/>
      <w:ind w:left="240"/>
    </w:pPr>
  </w:style>
  <w:style w:type="paragraph" w:styleId="TOC3">
    <w:name w:val="toc 3"/>
    <w:basedOn w:val="Normal"/>
    <w:next w:val="Normal"/>
    <w:autoRedefine/>
    <w:uiPriority w:val="39"/>
    <w:unhideWhenUsed/>
    <w:rsid w:val="00B648CD"/>
    <w:pPr>
      <w:tabs>
        <w:tab w:val="left" w:pos="1100"/>
        <w:tab w:val="right" w:leader="dot" w:pos="9350"/>
      </w:tabs>
      <w:spacing w:after="100" w:line="276" w:lineRule="auto"/>
      <w:ind w:left="480"/>
    </w:pPr>
  </w:style>
  <w:style w:type="paragraph" w:styleId="TableofFigures">
    <w:name w:val="table of figures"/>
    <w:basedOn w:val="Normal"/>
    <w:next w:val="Normal"/>
    <w:uiPriority w:val="99"/>
    <w:unhideWhenUsed/>
    <w:rsid w:val="00D51D90"/>
    <w:pPr>
      <w:spacing w:after="0"/>
    </w:pPr>
  </w:style>
  <w:style w:type="character" w:customStyle="1" w:styleId="ListParagraphChar">
    <w:name w:val="List Paragraph Char"/>
    <w:link w:val="ListParagraph"/>
    <w:uiPriority w:val="34"/>
    <w:qFormat/>
    <w:locked/>
    <w:rsid w:val="004A6C25"/>
    <w:rPr>
      <w:rFonts w:ascii="Times New Roman" w:hAnsi="Times New Roman"/>
      <w:sz w:val="24"/>
    </w:rPr>
  </w:style>
  <w:style w:type="character" w:styleId="PlaceholderText">
    <w:name w:val="Placeholder Text"/>
    <w:basedOn w:val="DefaultParagraphFont"/>
    <w:uiPriority w:val="99"/>
    <w:semiHidden/>
    <w:rsid w:val="00ED40FC"/>
    <w:rPr>
      <w:color w:val="808080"/>
    </w:rPr>
  </w:style>
  <w:style w:type="paragraph" w:styleId="NoSpacing">
    <w:name w:val="No Spacing"/>
    <w:uiPriority w:val="1"/>
    <w:qFormat/>
    <w:rsid w:val="00141769"/>
    <w:pPr>
      <w:spacing w:after="0" w:line="240" w:lineRule="auto"/>
      <w:jc w:val="both"/>
    </w:pPr>
    <w:rPr>
      <w:rFonts w:ascii="Times New Roman" w:hAnsi="Times New Roman"/>
      <w:sz w:val="24"/>
    </w:rPr>
  </w:style>
  <w:style w:type="character" w:customStyle="1" w:styleId="hof-figcaption-name">
    <w:name w:val="hof-figcaption-name"/>
    <w:basedOn w:val="DefaultParagraphFont"/>
    <w:rsid w:val="00774A9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1401">
      <w:bodyDiv w:val="1"/>
      <w:marLeft w:val="0"/>
      <w:marRight w:val="0"/>
      <w:marTop w:val="0"/>
      <w:marBottom w:val="0"/>
      <w:divBdr>
        <w:top w:val="none" w:sz="0" w:space="0" w:color="auto"/>
        <w:left w:val="none" w:sz="0" w:space="0" w:color="auto"/>
        <w:bottom w:val="none" w:sz="0" w:space="0" w:color="auto"/>
        <w:right w:val="none" w:sz="0" w:space="0" w:color="auto"/>
      </w:divBdr>
    </w:div>
    <w:div w:id="49888320">
      <w:bodyDiv w:val="1"/>
      <w:marLeft w:val="0"/>
      <w:marRight w:val="0"/>
      <w:marTop w:val="0"/>
      <w:marBottom w:val="0"/>
      <w:divBdr>
        <w:top w:val="none" w:sz="0" w:space="0" w:color="auto"/>
        <w:left w:val="none" w:sz="0" w:space="0" w:color="auto"/>
        <w:bottom w:val="none" w:sz="0" w:space="0" w:color="auto"/>
        <w:right w:val="none" w:sz="0" w:space="0" w:color="auto"/>
      </w:divBdr>
    </w:div>
    <w:div w:id="71318662">
      <w:bodyDiv w:val="1"/>
      <w:marLeft w:val="0"/>
      <w:marRight w:val="0"/>
      <w:marTop w:val="0"/>
      <w:marBottom w:val="0"/>
      <w:divBdr>
        <w:top w:val="none" w:sz="0" w:space="0" w:color="auto"/>
        <w:left w:val="none" w:sz="0" w:space="0" w:color="auto"/>
        <w:bottom w:val="none" w:sz="0" w:space="0" w:color="auto"/>
        <w:right w:val="none" w:sz="0" w:space="0" w:color="auto"/>
      </w:divBdr>
    </w:div>
    <w:div w:id="123550239">
      <w:bodyDiv w:val="1"/>
      <w:marLeft w:val="0"/>
      <w:marRight w:val="0"/>
      <w:marTop w:val="0"/>
      <w:marBottom w:val="0"/>
      <w:divBdr>
        <w:top w:val="none" w:sz="0" w:space="0" w:color="auto"/>
        <w:left w:val="none" w:sz="0" w:space="0" w:color="auto"/>
        <w:bottom w:val="none" w:sz="0" w:space="0" w:color="auto"/>
        <w:right w:val="none" w:sz="0" w:space="0" w:color="auto"/>
      </w:divBdr>
    </w:div>
    <w:div w:id="127817969">
      <w:bodyDiv w:val="1"/>
      <w:marLeft w:val="0"/>
      <w:marRight w:val="0"/>
      <w:marTop w:val="0"/>
      <w:marBottom w:val="0"/>
      <w:divBdr>
        <w:top w:val="none" w:sz="0" w:space="0" w:color="auto"/>
        <w:left w:val="none" w:sz="0" w:space="0" w:color="auto"/>
        <w:bottom w:val="none" w:sz="0" w:space="0" w:color="auto"/>
        <w:right w:val="none" w:sz="0" w:space="0" w:color="auto"/>
      </w:divBdr>
    </w:div>
    <w:div w:id="132145055">
      <w:bodyDiv w:val="1"/>
      <w:marLeft w:val="0"/>
      <w:marRight w:val="0"/>
      <w:marTop w:val="0"/>
      <w:marBottom w:val="0"/>
      <w:divBdr>
        <w:top w:val="none" w:sz="0" w:space="0" w:color="auto"/>
        <w:left w:val="none" w:sz="0" w:space="0" w:color="auto"/>
        <w:bottom w:val="none" w:sz="0" w:space="0" w:color="auto"/>
        <w:right w:val="none" w:sz="0" w:space="0" w:color="auto"/>
      </w:divBdr>
    </w:div>
    <w:div w:id="179247686">
      <w:bodyDiv w:val="1"/>
      <w:marLeft w:val="0"/>
      <w:marRight w:val="0"/>
      <w:marTop w:val="0"/>
      <w:marBottom w:val="0"/>
      <w:divBdr>
        <w:top w:val="none" w:sz="0" w:space="0" w:color="auto"/>
        <w:left w:val="none" w:sz="0" w:space="0" w:color="auto"/>
        <w:bottom w:val="none" w:sz="0" w:space="0" w:color="auto"/>
        <w:right w:val="none" w:sz="0" w:space="0" w:color="auto"/>
      </w:divBdr>
    </w:div>
    <w:div w:id="181558299">
      <w:bodyDiv w:val="1"/>
      <w:marLeft w:val="0"/>
      <w:marRight w:val="0"/>
      <w:marTop w:val="0"/>
      <w:marBottom w:val="0"/>
      <w:divBdr>
        <w:top w:val="none" w:sz="0" w:space="0" w:color="auto"/>
        <w:left w:val="none" w:sz="0" w:space="0" w:color="auto"/>
        <w:bottom w:val="none" w:sz="0" w:space="0" w:color="auto"/>
        <w:right w:val="none" w:sz="0" w:space="0" w:color="auto"/>
      </w:divBdr>
    </w:div>
    <w:div w:id="257179333">
      <w:bodyDiv w:val="1"/>
      <w:marLeft w:val="0"/>
      <w:marRight w:val="0"/>
      <w:marTop w:val="0"/>
      <w:marBottom w:val="0"/>
      <w:divBdr>
        <w:top w:val="none" w:sz="0" w:space="0" w:color="auto"/>
        <w:left w:val="none" w:sz="0" w:space="0" w:color="auto"/>
        <w:bottom w:val="none" w:sz="0" w:space="0" w:color="auto"/>
        <w:right w:val="none" w:sz="0" w:space="0" w:color="auto"/>
      </w:divBdr>
    </w:div>
    <w:div w:id="304894166">
      <w:bodyDiv w:val="1"/>
      <w:marLeft w:val="0"/>
      <w:marRight w:val="0"/>
      <w:marTop w:val="0"/>
      <w:marBottom w:val="0"/>
      <w:divBdr>
        <w:top w:val="none" w:sz="0" w:space="0" w:color="auto"/>
        <w:left w:val="none" w:sz="0" w:space="0" w:color="auto"/>
        <w:bottom w:val="none" w:sz="0" w:space="0" w:color="auto"/>
        <w:right w:val="none" w:sz="0" w:space="0" w:color="auto"/>
      </w:divBdr>
    </w:div>
    <w:div w:id="329481121">
      <w:bodyDiv w:val="1"/>
      <w:marLeft w:val="0"/>
      <w:marRight w:val="0"/>
      <w:marTop w:val="0"/>
      <w:marBottom w:val="0"/>
      <w:divBdr>
        <w:top w:val="none" w:sz="0" w:space="0" w:color="auto"/>
        <w:left w:val="none" w:sz="0" w:space="0" w:color="auto"/>
        <w:bottom w:val="none" w:sz="0" w:space="0" w:color="auto"/>
        <w:right w:val="none" w:sz="0" w:space="0" w:color="auto"/>
      </w:divBdr>
    </w:div>
    <w:div w:id="355353162">
      <w:bodyDiv w:val="1"/>
      <w:marLeft w:val="0"/>
      <w:marRight w:val="0"/>
      <w:marTop w:val="0"/>
      <w:marBottom w:val="0"/>
      <w:divBdr>
        <w:top w:val="none" w:sz="0" w:space="0" w:color="auto"/>
        <w:left w:val="none" w:sz="0" w:space="0" w:color="auto"/>
        <w:bottom w:val="none" w:sz="0" w:space="0" w:color="auto"/>
        <w:right w:val="none" w:sz="0" w:space="0" w:color="auto"/>
      </w:divBdr>
    </w:div>
    <w:div w:id="367874960">
      <w:bodyDiv w:val="1"/>
      <w:marLeft w:val="0"/>
      <w:marRight w:val="0"/>
      <w:marTop w:val="0"/>
      <w:marBottom w:val="0"/>
      <w:divBdr>
        <w:top w:val="none" w:sz="0" w:space="0" w:color="auto"/>
        <w:left w:val="none" w:sz="0" w:space="0" w:color="auto"/>
        <w:bottom w:val="none" w:sz="0" w:space="0" w:color="auto"/>
        <w:right w:val="none" w:sz="0" w:space="0" w:color="auto"/>
      </w:divBdr>
    </w:div>
    <w:div w:id="381290781">
      <w:bodyDiv w:val="1"/>
      <w:marLeft w:val="0"/>
      <w:marRight w:val="0"/>
      <w:marTop w:val="0"/>
      <w:marBottom w:val="0"/>
      <w:divBdr>
        <w:top w:val="none" w:sz="0" w:space="0" w:color="auto"/>
        <w:left w:val="none" w:sz="0" w:space="0" w:color="auto"/>
        <w:bottom w:val="none" w:sz="0" w:space="0" w:color="auto"/>
        <w:right w:val="none" w:sz="0" w:space="0" w:color="auto"/>
      </w:divBdr>
    </w:div>
    <w:div w:id="517694005">
      <w:bodyDiv w:val="1"/>
      <w:marLeft w:val="0"/>
      <w:marRight w:val="0"/>
      <w:marTop w:val="0"/>
      <w:marBottom w:val="0"/>
      <w:divBdr>
        <w:top w:val="none" w:sz="0" w:space="0" w:color="auto"/>
        <w:left w:val="none" w:sz="0" w:space="0" w:color="auto"/>
        <w:bottom w:val="none" w:sz="0" w:space="0" w:color="auto"/>
        <w:right w:val="none" w:sz="0" w:space="0" w:color="auto"/>
      </w:divBdr>
    </w:div>
    <w:div w:id="537470505">
      <w:bodyDiv w:val="1"/>
      <w:marLeft w:val="0"/>
      <w:marRight w:val="0"/>
      <w:marTop w:val="0"/>
      <w:marBottom w:val="0"/>
      <w:divBdr>
        <w:top w:val="none" w:sz="0" w:space="0" w:color="auto"/>
        <w:left w:val="none" w:sz="0" w:space="0" w:color="auto"/>
        <w:bottom w:val="none" w:sz="0" w:space="0" w:color="auto"/>
        <w:right w:val="none" w:sz="0" w:space="0" w:color="auto"/>
      </w:divBdr>
    </w:div>
    <w:div w:id="593979355">
      <w:bodyDiv w:val="1"/>
      <w:marLeft w:val="0"/>
      <w:marRight w:val="0"/>
      <w:marTop w:val="0"/>
      <w:marBottom w:val="0"/>
      <w:divBdr>
        <w:top w:val="none" w:sz="0" w:space="0" w:color="auto"/>
        <w:left w:val="none" w:sz="0" w:space="0" w:color="auto"/>
        <w:bottom w:val="none" w:sz="0" w:space="0" w:color="auto"/>
        <w:right w:val="none" w:sz="0" w:space="0" w:color="auto"/>
      </w:divBdr>
    </w:div>
    <w:div w:id="610668443">
      <w:bodyDiv w:val="1"/>
      <w:marLeft w:val="0"/>
      <w:marRight w:val="0"/>
      <w:marTop w:val="0"/>
      <w:marBottom w:val="0"/>
      <w:divBdr>
        <w:top w:val="none" w:sz="0" w:space="0" w:color="auto"/>
        <w:left w:val="none" w:sz="0" w:space="0" w:color="auto"/>
        <w:bottom w:val="none" w:sz="0" w:space="0" w:color="auto"/>
        <w:right w:val="none" w:sz="0" w:space="0" w:color="auto"/>
      </w:divBdr>
    </w:div>
    <w:div w:id="622228933">
      <w:bodyDiv w:val="1"/>
      <w:marLeft w:val="0"/>
      <w:marRight w:val="0"/>
      <w:marTop w:val="0"/>
      <w:marBottom w:val="0"/>
      <w:divBdr>
        <w:top w:val="none" w:sz="0" w:space="0" w:color="auto"/>
        <w:left w:val="none" w:sz="0" w:space="0" w:color="auto"/>
        <w:bottom w:val="none" w:sz="0" w:space="0" w:color="auto"/>
        <w:right w:val="none" w:sz="0" w:space="0" w:color="auto"/>
      </w:divBdr>
    </w:div>
    <w:div w:id="633563725">
      <w:bodyDiv w:val="1"/>
      <w:marLeft w:val="0"/>
      <w:marRight w:val="0"/>
      <w:marTop w:val="0"/>
      <w:marBottom w:val="0"/>
      <w:divBdr>
        <w:top w:val="none" w:sz="0" w:space="0" w:color="auto"/>
        <w:left w:val="none" w:sz="0" w:space="0" w:color="auto"/>
        <w:bottom w:val="none" w:sz="0" w:space="0" w:color="auto"/>
        <w:right w:val="none" w:sz="0" w:space="0" w:color="auto"/>
      </w:divBdr>
    </w:div>
    <w:div w:id="638075352">
      <w:bodyDiv w:val="1"/>
      <w:marLeft w:val="0"/>
      <w:marRight w:val="0"/>
      <w:marTop w:val="0"/>
      <w:marBottom w:val="0"/>
      <w:divBdr>
        <w:top w:val="none" w:sz="0" w:space="0" w:color="auto"/>
        <w:left w:val="none" w:sz="0" w:space="0" w:color="auto"/>
        <w:bottom w:val="none" w:sz="0" w:space="0" w:color="auto"/>
        <w:right w:val="none" w:sz="0" w:space="0" w:color="auto"/>
      </w:divBdr>
    </w:div>
    <w:div w:id="758990968">
      <w:bodyDiv w:val="1"/>
      <w:marLeft w:val="0"/>
      <w:marRight w:val="0"/>
      <w:marTop w:val="0"/>
      <w:marBottom w:val="0"/>
      <w:divBdr>
        <w:top w:val="none" w:sz="0" w:space="0" w:color="auto"/>
        <w:left w:val="none" w:sz="0" w:space="0" w:color="auto"/>
        <w:bottom w:val="none" w:sz="0" w:space="0" w:color="auto"/>
        <w:right w:val="none" w:sz="0" w:space="0" w:color="auto"/>
      </w:divBdr>
    </w:div>
    <w:div w:id="772359301">
      <w:bodyDiv w:val="1"/>
      <w:marLeft w:val="0"/>
      <w:marRight w:val="0"/>
      <w:marTop w:val="0"/>
      <w:marBottom w:val="0"/>
      <w:divBdr>
        <w:top w:val="none" w:sz="0" w:space="0" w:color="auto"/>
        <w:left w:val="none" w:sz="0" w:space="0" w:color="auto"/>
        <w:bottom w:val="none" w:sz="0" w:space="0" w:color="auto"/>
        <w:right w:val="none" w:sz="0" w:space="0" w:color="auto"/>
      </w:divBdr>
    </w:div>
    <w:div w:id="806825655">
      <w:bodyDiv w:val="1"/>
      <w:marLeft w:val="0"/>
      <w:marRight w:val="0"/>
      <w:marTop w:val="0"/>
      <w:marBottom w:val="0"/>
      <w:divBdr>
        <w:top w:val="none" w:sz="0" w:space="0" w:color="auto"/>
        <w:left w:val="none" w:sz="0" w:space="0" w:color="auto"/>
        <w:bottom w:val="none" w:sz="0" w:space="0" w:color="auto"/>
        <w:right w:val="none" w:sz="0" w:space="0" w:color="auto"/>
      </w:divBdr>
    </w:div>
    <w:div w:id="822358979">
      <w:bodyDiv w:val="1"/>
      <w:marLeft w:val="0"/>
      <w:marRight w:val="0"/>
      <w:marTop w:val="0"/>
      <w:marBottom w:val="0"/>
      <w:divBdr>
        <w:top w:val="none" w:sz="0" w:space="0" w:color="auto"/>
        <w:left w:val="none" w:sz="0" w:space="0" w:color="auto"/>
        <w:bottom w:val="none" w:sz="0" w:space="0" w:color="auto"/>
        <w:right w:val="none" w:sz="0" w:space="0" w:color="auto"/>
      </w:divBdr>
    </w:div>
    <w:div w:id="849952401">
      <w:bodyDiv w:val="1"/>
      <w:marLeft w:val="0"/>
      <w:marRight w:val="0"/>
      <w:marTop w:val="0"/>
      <w:marBottom w:val="0"/>
      <w:divBdr>
        <w:top w:val="none" w:sz="0" w:space="0" w:color="auto"/>
        <w:left w:val="none" w:sz="0" w:space="0" w:color="auto"/>
        <w:bottom w:val="none" w:sz="0" w:space="0" w:color="auto"/>
        <w:right w:val="none" w:sz="0" w:space="0" w:color="auto"/>
      </w:divBdr>
    </w:div>
    <w:div w:id="877200096">
      <w:bodyDiv w:val="1"/>
      <w:marLeft w:val="0"/>
      <w:marRight w:val="0"/>
      <w:marTop w:val="0"/>
      <w:marBottom w:val="0"/>
      <w:divBdr>
        <w:top w:val="none" w:sz="0" w:space="0" w:color="auto"/>
        <w:left w:val="none" w:sz="0" w:space="0" w:color="auto"/>
        <w:bottom w:val="none" w:sz="0" w:space="0" w:color="auto"/>
        <w:right w:val="none" w:sz="0" w:space="0" w:color="auto"/>
      </w:divBdr>
    </w:div>
    <w:div w:id="943416076">
      <w:bodyDiv w:val="1"/>
      <w:marLeft w:val="0"/>
      <w:marRight w:val="0"/>
      <w:marTop w:val="0"/>
      <w:marBottom w:val="0"/>
      <w:divBdr>
        <w:top w:val="none" w:sz="0" w:space="0" w:color="auto"/>
        <w:left w:val="none" w:sz="0" w:space="0" w:color="auto"/>
        <w:bottom w:val="none" w:sz="0" w:space="0" w:color="auto"/>
        <w:right w:val="none" w:sz="0" w:space="0" w:color="auto"/>
      </w:divBdr>
    </w:div>
    <w:div w:id="956764025">
      <w:bodyDiv w:val="1"/>
      <w:marLeft w:val="0"/>
      <w:marRight w:val="0"/>
      <w:marTop w:val="0"/>
      <w:marBottom w:val="0"/>
      <w:divBdr>
        <w:top w:val="none" w:sz="0" w:space="0" w:color="auto"/>
        <w:left w:val="none" w:sz="0" w:space="0" w:color="auto"/>
        <w:bottom w:val="none" w:sz="0" w:space="0" w:color="auto"/>
        <w:right w:val="none" w:sz="0" w:space="0" w:color="auto"/>
      </w:divBdr>
    </w:div>
    <w:div w:id="966817518">
      <w:bodyDiv w:val="1"/>
      <w:marLeft w:val="0"/>
      <w:marRight w:val="0"/>
      <w:marTop w:val="0"/>
      <w:marBottom w:val="0"/>
      <w:divBdr>
        <w:top w:val="none" w:sz="0" w:space="0" w:color="auto"/>
        <w:left w:val="none" w:sz="0" w:space="0" w:color="auto"/>
        <w:bottom w:val="none" w:sz="0" w:space="0" w:color="auto"/>
        <w:right w:val="none" w:sz="0" w:space="0" w:color="auto"/>
      </w:divBdr>
    </w:div>
    <w:div w:id="998339129">
      <w:bodyDiv w:val="1"/>
      <w:marLeft w:val="0"/>
      <w:marRight w:val="0"/>
      <w:marTop w:val="0"/>
      <w:marBottom w:val="0"/>
      <w:divBdr>
        <w:top w:val="none" w:sz="0" w:space="0" w:color="auto"/>
        <w:left w:val="none" w:sz="0" w:space="0" w:color="auto"/>
        <w:bottom w:val="none" w:sz="0" w:space="0" w:color="auto"/>
        <w:right w:val="none" w:sz="0" w:space="0" w:color="auto"/>
      </w:divBdr>
    </w:div>
    <w:div w:id="1001012144">
      <w:bodyDiv w:val="1"/>
      <w:marLeft w:val="0"/>
      <w:marRight w:val="0"/>
      <w:marTop w:val="0"/>
      <w:marBottom w:val="0"/>
      <w:divBdr>
        <w:top w:val="none" w:sz="0" w:space="0" w:color="auto"/>
        <w:left w:val="none" w:sz="0" w:space="0" w:color="auto"/>
        <w:bottom w:val="none" w:sz="0" w:space="0" w:color="auto"/>
        <w:right w:val="none" w:sz="0" w:space="0" w:color="auto"/>
      </w:divBdr>
    </w:div>
    <w:div w:id="1044602865">
      <w:bodyDiv w:val="1"/>
      <w:marLeft w:val="0"/>
      <w:marRight w:val="0"/>
      <w:marTop w:val="0"/>
      <w:marBottom w:val="0"/>
      <w:divBdr>
        <w:top w:val="none" w:sz="0" w:space="0" w:color="auto"/>
        <w:left w:val="none" w:sz="0" w:space="0" w:color="auto"/>
        <w:bottom w:val="none" w:sz="0" w:space="0" w:color="auto"/>
        <w:right w:val="none" w:sz="0" w:space="0" w:color="auto"/>
      </w:divBdr>
    </w:div>
    <w:div w:id="1058237271">
      <w:bodyDiv w:val="1"/>
      <w:marLeft w:val="0"/>
      <w:marRight w:val="0"/>
      <w:marTop w:val="0"/>
      <w:marBottom w:val="0"/>
      <w:divBdr>
        <w:top w:val="none" w:sz="0" w:space="0" w:color="auto"/>
        <w:left w:val="none" w:sz="0" w:space="0" w:color="auto"/>
        <w:bottom w:val="none" w:sz="0" w:space="0" w:color="auto"/>
        <w:right w:val="none" w:sz="0" w:space="0" w:color="auto"/>
      </w:divBdr>
    </w:div>
    <w:div w:id="1084499292">
      <w:bodyDiv w:val="1"/>
      <w:marLeft w:val="0"/>
      <w:marRight w:val="0"/>
      <w:marTop w:val="0"/>
      <w:marBottom w:val="0"/>
      <w:divBdr>
        <w:top w:val="none" w:sz="0" w:space="0" w:color="auto"/>
        <w:left w:val="none" w:sz="0" w:space="0" w:color="auto"/>
        <w:bottom w:val="none" w:sz="0" w:space="0" w:color="auto"/>
        <w:right w:val="none" w:sz="0" w:space="0" w:color="auto"/>
      </w:divBdr>
    </w:div>
    <w:div w:id="1089235450">
      <w:bodyDiv w:val="1"/>
      <w:marLeft w:val="0"/>
      <w:marRight w:val="0"/>
      <w:marTop w:val="0"/>
      <w:marBottom w:val="0"/>
      <w:divBdr>
        <w:top w:val="none" w:sz="0" w:space="0" w:color="auto"/>
        <w:left w:val="none" w:sz="0" w:space="0" w:color="auto"/>
        <w:bottom w:val="none" w:sz="0" w:space="0" w:color="auto"/>
        <w:right w:val="none" w:sz="0" w:space="0" w:color="auto"/>
      </w:divBdr>
    </w:div>
    <w:div w:id="1195654883">
      <w:bodyDiv w:val="1"/>
      <w:marLeft w:val="0"/>
      <w:marRight w:val="0"/>
      <w:marTop w:val="0"/>
      <w:marBottom w:val="0"/>
      <w:divBdr>
        <w:top w:val="none" w:sz="0" w:space="0" w:color="auto"/>
        <w:left w:val="none" w:sz="0" w:space="0" w:color="auto"/>
        <w:bottom w:val="none" w:sz="0" w:space="0" w:color="auto"/>
        <w:right w:val="none" w:sz="0" w:space="0" w:color="auto"/>
      </w:divBdr>
    </w:div>
    <w:div w:id="1196653047">
      <w:bodyDiv w:val="1"/>
      <w:marLeft w:val="0"/>
      <w:marRight w:val="0"/>
      <w:marTop w:val="0"/>
      <w:marBottom w:val="0"/>
      <w:divBdr>
        <w:top w:val="none" w:sz="0" w:space="0" w:color="auto"/>
        <w:left w:val="none" w:sz="0" w:space="0" w:color="auto"/>
        <w:bottom w:val="none" w:sz="0" w:space="0" w:color="auto"/>
        <w:right w:val="none" w:sz="0" w:space="0" w:color="auto"/>
      </w:divBdr>
    </w:div>
    <w:div w:id="1204252940">
      <w:bodyDiv w:val="1"/>
      <w:marLeft w:val="0"/>
      <w:marRight w:val="0"/>
      <w:marTop w:val="0"/>
      <w:marBottom w:val="0"/>
      <w:divBdr>
        <w:top w:val="none" w:sz="0" w:space="0" w:color="auto"/>
        <w:left w:val="none" w:sz="0" w:space="0" w:color="auto"/>
        <w:bottom w:val="none" w:sz="0" w:space="0" w:color="auto"/>
        <w:right w:val="none" w:sz="0" w:space="0" w:color="auto"/>
      </w:divBdr>
    </w:div>
    <w:div w:id="1234438297">
      <w:bodyDiv w:val="1"/>
      <w:marLeft w:val="0"/>
      <w:marRight w:val="0"/>
      <w:marTop w:val="0"/>
      <w:marBottom w:val="0"/>
      <w:divBdr>
        <w:top w:val="none" w:sz="0" w:space="0" w:color="auto"/>
        <w:left w:val="none" w:sz="0" w:space="0" w:color="auto"/>
        <w:bottom w:val="none" w:sz="0" w:space="0" w:color="auto"/>
        <w:right w:val="none" w:sz="0" w:space="0" w:color="auto"/>
      </w:divBdr>
    </w:div>
    <w:div w:id="1255360847">
      <w:bodyDiv w:val="1"/>
      <w:marLeft w:val="0"/>
      <w:marRight w:val="0"/>
      <w:marTop w:val="0"/>
      <w:marBottom w:val="0"/>
      <w:divBdr>
        <w:top w:val="none" w:sz="0" w:space="0" w:color="auto"/>
        <w:left w:val="none" w:sz="0" w:space="0" w:color="auto"/>
        <w:bottom w:val="none" w:sz="0" w:space="0" w:color="auto"/>
        <w:right w:val="none" w:sz="0" w:space="0" w:color="auto"/>
      </w:divBdr>
    </w:div>
    <w:div w:id="1258322899">
      <w:bodyDiv w:val="1"/>
      <w:marLeft w:val="0"/>
      <w:marRight w:val="0"/>
      <w:marTop w:val="0"/>
      <w:marBottom w:val="0"/>
      <w:divBdr>
        <w:top w:val="none" w:sz="0" w:space="0" w:color="auto"/>
        <w:left w:val="none" w:sz="0" w:space="0" w:color="auto"/>
        <w:bottom w:val="none" w:sz="0" w:space="0" w:color="auto"/>
        <w:right w:val="none" w:sz="0" w:space="0" w:color="auto"/>
      </w:divBdr>
    </w:div>
    <w:div w:id="1262492862">
      <w:bodyDiv w:val="1"/>
      <w:marLeft w:val="0"/>
      <w:marRight w:val="0"/>
      <w:marTop w:val="0"/>
      <w:marBottom w:val="0"/>
      <w:divBdr>
        <w:top w:val="none" w:sz="0" w:space="0" w:color="auto"/>
        <w:left w:val="none" w:sz="0" w:space="0" w:color="auto"/>
        <w:bottom w:val="none" w:sz="0" w:space="0" w:color="auto"/>
        <w:right w:val="none" w:sz="0" w:space="0" w:color="auto"/>
      </w:divBdr>
    </w:div>
    <w:div w:id="1266689168">
      <w:bodyDiv w:val="1"/>
      <w:marLeft w:val="0"/>
      <w:marRight w:val="0"/>
      <w:marTop w:val="0"/>
      <w:marBottom w:val="0"/>
      <w:divBdr>
        <w:top w:val="none" w:sz="0" w:space="0" w:color="auto"/>
        <w:left w:val="none" w:sz="0" w:space="0" w:color="auto"/>
        <w:bottom w:val="none" w:sz="0" w:space="0" w:color="auto"/>
        <w:right w:val="none" w:sz="0" w:space="0" w:color="auto"/>
      </w:divBdr>
    </w:div>
    <w:div w:id="1453792849">
      <w:bodyDiv w:val="1"/>
      <w:marLeft w:val="0"/>
      <w:marRight w:val="0"/>
      <w:marTop w:val="0"/>
      <w:marBottom w:val="0"/>
      <w:divBdr>
        <w:top w:val="none" w:sz="0" w:space="0" w:color="auto"/>
        <w:left w:val="none" w:sz="0" w:space="0" w:color="auto"/>
        <w:bottom w:val="none" w:sz="0" w:space="0" w:color="auto"/>
        <w:right w:val="none" w:sz="0" w:space="0" w:color="auto"/>
      </w:divBdr>
    </w:div>
    <w:div w:id="1472942545">
      <w:bodyDiv w:val="1"/>
      <w:marLeft w:val="0"/>
      <w:marRight w:val="0"/>
      <w:marTop w:val="0"/>
      <w:marBottom w:val="0"/>
      <w:divBdr>
        <w:top w:val="none" w:sz="0" w:space="0" w:color="auto"/>
        <w:left w:val="none" w:sz="0" w:space="0" w:color="auto"/>
        <w:bottom w:val="none" w:sz="0" w:space="0" w:color="auto"/>
        <w:right w:val="none" w:sz="0" w:space="0" w:color="auto"/>
      </w:divBdr>
    </w:div>
    <w:div w:id="1515339834">
      <w:bodyDiv w:val="1"/>
      <w:marLeft w:val="0"/>
      <w:marRight w:val="0"/>
      <w:marTop w:val="0"/>
      <w:marBottom w:val="0"/>
      <w:divBdr>
        <w:top w:val="none" w:sz="0" w:space="0" w:color="auto"/>
        <w:left w:val="none" w:sz="0" w:space="0" w:color="auto"/>
        <w:bottom w:val="none" w:sz="0" w:space="0" w:color="auto"/>
        <w:right w:val="none" w:sz="0" w:space="0" w:color="auto"/>
      </w:divBdr>
    </w:div>
    <w:div w:id="1556353576">
      <w:bodyDiv w:val="1"/>
      <w:marLeft w:val="0"/>
      <w:marRight w:val="0"/>
      <w:marTop w:val="0"/>
      <w:marBottom w:val="0"/>
      <w:divBdr>
        <w:top w:val="none" w:sz="0" w:space="0" w:color="auto"/>
        <w:left w:val="none" w:sz="0" w:space="0" w:color="auto"/>
        <w:bottom w:val="none" w:sz="0" w:space="0" w:color="auto"/>
        <w:right w:val="none" w:sz="0" w:space="0" w:color="auto"/>
      </w:divBdr>
    </w:div>
    <w:div w:id="1558585617">
      <w:bodyDiv w:val="1"/>
      <w:marLeft w:val="0"/>
      <w:marRight w:val="0"/>
      <w:marTop w:val="0"/>
      <w:marBottom w:val="0"/>
      <w:divBdr>
        <w:top w:val="none" w:sz="0" w:space="0" w:color="auto"/>
        <w:left w:val="none" w:sz="0" w:space="0" w:color="auto"/>
        <w:bottom w:val="none" w:sz="0" w:space="0" w:color="auto"/>
        <w:right w:val="none" w:sz="0" w:space="0" w:color="auto"/>
      </w:divBdr>
    </w:div>
    <w:div w:id="1616792623">
      <w:bodyDiv w:val="1"/>
      <w:marLeft w:val="0"/>
      <w:marRight w:val="0"/>
      <w:marTop w:val="0"/>
      <w:marBottom w:val="0"/>
      <w:divBdr>
        <w:top w:val="none" w:sz="0" w:space="0" w:color="auto"/>
        <w:left w:val="none" w:sz="0" w:space="0" w:color="auto"/>
        <w:bottom w:val="none" w:sz="0" w:space="0" w:color="auto"/>
        <w:right w:val="none" w:sz="0" w:space="0" w:color="auto"/>
      </w:divBdr>
    </w:div>
    <w:div w:id="1633170466">
      <w:bodyDiv w:val="1"/>
      <w:marLeft w:val="0"/>
      <w:marRight w:val="0"/>
      <w:marTop w:val="0"/>
      <w:marBottom w:val="0"/>
      <w:divBdr>
        <w:top w:val="none" w:sz="0" w:space="0" w:color="auto"/>
        <w:left w:val="none" w:sz="0" w:space="0" w:color="auto"/>
        <w:bottom w:val="none" w:sz="0" w:space="0" w:color="auto"/>
        <w:right w:val="none" w:sz="0" w:space="0" w:color="auto"/>
      </w:divBdr>
    </w:div>
    <w:div w:id="1637832241">
      <w:bodyDiv w:val="1"/>
      <w:marLeft w:val="0"/>
      <w:marRight w:val="0"/>
      <w:marTop w:val="0"/>
      <w:marBottom w:val="0"/>
      <w:divBdr>
        <w:top w:val="none" w:sz="0" w:space="0" w:color="auto"/>
        <w:left w:val="none" w:sz="0" w:space="0" w:color="auto"/>
        <w:bottom w:val="none" w:sz="0" w:space="0" w:color="auto"/>
        <w:right w:val="none" w:sz="0" w:space="0" w:color="auto"/>
      </w:divBdr>
    </w:div>
    <w:div w:id="1650860013">
      <w:bodyDiv w:val="1"/>
      <w:marLeft w:val="0"/>
      <w:marRight w:val="0"/>
      <w:marTop w:val="0"/>
      <w:marBottom w:val="0"/>
      <w:divBdr>
        <w:top w:val="none" w:sz="0" w:space="0" w:color="auto"/>
        <w:left w:val="none" w:sz="0" w:space="0" w:color="auto"/>
        <w:bottom w:val="none" w:sz="0" w:space="0" w:color="auto"/>
        <w:right w:val="none" w:sz="0" w:space="0" w:color="auto"/>
      </w:divBdr>
    </w:div>
    <w:div w:id="1750620034">
      <w:bodyDiv w:val="1"/>
      <w:marLeft w:val="0"/>
      <w:marRight w:val="0"/>
      <w:marTop w:val="0"/>
      <w:marBottom w:val="0"/>
      <w:divBdr>
        <w:top w:val="none" w:sz="0" w:space="0" w:color="auto"/>
        <w:left w:val="none" w:sz="0" w:space="0" w:color="auto"/>
        <w:bottom w:val="none" w:sz="0" w:space="0" w:color="auto"/>
        <w:right w:val="none" w:sz="0" w:space="0" w:color="auto"/>
      </w:divBdr>
    </w:div>
    <w:div w:id="1771509310">
      <w:bodyDiv w:val="1"/>
      <w:marLeft w:val="0"/>
      <w:marRight w:val="0"/>
      <w:marTop w:val="0"/>
      <w:marBottom w:val="0"/>
      <w:divBdr>
        <w:top w:val="none" w:sz="0" w:space="0" w:color="auto"/>
        <w:left w:val="none" w:sz="0" w:space="0" w:color="auto"/>
        <w:bottom w:val="none" w:sz="0" w:space="0" w:color="auto"/>
        <w:right w:val="none" w:sz="0" w:space="0" w:color="auto"/>
      </w:divBdr>
    </w:div>
    <w:div w:id="1818767806">
      <w:bodyDiv w:val="1"/>
      <w:marLeft w:val="0"/>
      <w:marRight w:val="0"/>
      <w:marTop w:val="0"/>
      <w:marBottom w:val="0"/>
      <w:divBdr>
        <w:top w:val="none" w:sz="0" w:space="0" w:color="auto"/>
        <w:left w:val="none" w:sz="0" w:space="0" w:color="auto"/>
        <w:bottom w:val="none" w:sz="0" w:space="0" w:color="auto"/>
        <w:right w:val="none" w:sz="0" w:space="0" w:color="auto"/>
      </w:divBdr>
    </w:div>
    <w:div w:id="1883402593">
      <w:bodyDiv w:val="1"/>
      <w:marLeft w:val="0"/>
      <w:marRight w:val="0"/>
      <w:marTop w:val="0"/>
      <w:marBottom w:val="0"/>
      <w:divBdr>
        <w:top w:val="none" w:sz="0" w:space="0" w:color="auto"/>
        <w:left w:val="none" w:sz="0" w:space="0" w:color="auto"/>
        <w:bottom w:val="none" w:sz="0" w:space="0" w:color="auto"/>
        <w:right w:val="none" w:sz="0" w:space="0" w:color="auto"/>
      </w:divBdr>
    </w:div>
    <w:div w:id="1883664151">
      <w:bodyDiv w:val="1"/>
      <w:marLeft w:val="0"/>
      <w:marRight w:val="0"/>
      <w:marTop w:val="0"/>
      <w:marBottom w:val="0"/>
      <w:divBdr>
        <w:top w:val="none" w:sz="0" w:space="0" w:color="auto"/>
        <w:left w:val="none" w:sz="0" w:space="0" w:color="auto"/>
        <w:bottom w:val="none" w:sz="0" w:space="0" w:color="auto"/>
        <w:right w:val="none" w:sz="0" w:space="0" w:color="auto"/>
      </w:divBdr>
    </w:div>
    <w:div w:id="1925063482">
      <w:bodyDiv w:val="1"/>
      <w:marLeft w:val="0"/>
      <w:marRight w:val="0"/>
      <w:marTop w:val="0"/>
      <w:marBottom w:val="0"/>
      <w:divBdr>
        <w:top w:val="none" w:sz="0" w:space="0" w:color="auto"/>
        <w:left w:val="none" w:sz="0" w:space="0" w:color="auto"/>
        <w:bottom w:val="none" w:sz="0" w:space="0" w:color="auto"/>
        <w:right w:val="none" w:sz="0" w:space="0" w:color="auto"/>
      </w:divBdr>
    </w:div>
    <w:div w:id="1969361663">
      <w:bodyDiv w:val="1"/>
      <w:marLeft w:val="0"/>
      <w:marRight w:val="0"/>
      <w:marTop w:val="0"/>
      <w:marBottom w:val="0"/>
      <w:divBdr>
        <w:top w:val="none" w:sz="0" w:space="0" w:color="auto"/>
        <w:left w:val="none" w:sz="0" w:space="0" w:color="auto"/>
        <w:bottom w:val="none" w:sz="0" w:space="0" w:color="auto"/>
        <w:right w:val="none" w:sz="0" w:space="0" w:color="auto"/>
      </w:divBdr>
    </w:div>
    <w:div w:id="2012097942">
      <w:bodyDiv w:val="1"/>
      <w:marLeft w:val="0"/>
      <w:marRight w:val="0"/>
      <w:marTop w:val="0"/>
      <w:marBottom w:val="0"/>
      <w:divBdr>
        <w:top w:val="none" w:sz="0" w:space="0" w:color="auto"/>
        <w:left w:val="none" w:sz="0" w:space="0" w:color="auto"/>
        <w:bottom w:val="none" w:sz="0" w:space="0" w:color="auto"/>
        <w:right w:val="none" w:sz="0" w:space="0" w:color="auto"/>
      </w:divBdr>
    </w:div>
    <w:div w:id="2039037772">
      <w:bodyDiv w:val="1"/>
      <w:marLeft w:val="0"/>
      <w:marRight w:val="0"/>
      <w:marTop w:val="0"/>
      <w:marBottom w:val="0"/>
      <w:divBdr>
        <w:top w:val="none" w:sz="0" w:space="0" w:color="auto"/>
        <w:left w:val="none" w:sz="0" w:space="0" w:color="auto"/>
        <w:bottom w:val="none" w:sz="0" w:space="0" w:color="auto"/>
        <w:right w:val="none" w:sz="0" w:space="0" w:color="auto"/>
      </w:divBdr>
    </w:div>
    <w:div w:id="2090809874">
      <w:bodyDiv w:val="1"/>
      <w:marLeft w:val="0"/>
      <w:marRight w:val="0"/>
      <w:marTop w:val="0"/>
      <w:marBottom w:val="0"/>
      <w:divBdr>
        <w:top w:val="none" w:sz="0" w:space="0" w:color="auto"/>
        <w:left w:val="none" w:sz="0" w:space="0" w:color="auto"/>
        <w:bottom w:val="none" w:sz="0" w:space="0" w:color="auto"/>
        <w:right w:val="none" w:sz="0" w:space="0" w:color="auto"/>
      </w:divBdr>
    </w:div>
    <w:div w:id="21429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sa\Documents\DATA%20SEMUA%20VARIABEL%20NEW.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sa\Documents\DATA%20SEMUA%20VARIABEL%20NEW.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sa\Documents\DATA%20SEMUA%20VARIABEL%20NEW.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asa\Documents\DATA%20SEMUA%20VARIABEL%20NEW.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asa\Documents\DATA%20SEMUA%20VARIABEL%20NEW.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Leverage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Sheet6!$B$5</c:f>
              <c:strCache>
                <c:ptCount val="1"/>
                <c:pt idx="0">
                  <c:v>2019</c:v>
                </c:pt>
              </c:strCache>
            </c:strRef>
          </c:tx>
          <c:spPr>
            <a:solidFill>
              <a:schemeClr val="accent1"/>
            </a:solidFill>
            <a:ln>
              <a:noFill/>
            </a:ln>
            <a:effectLst/>
          </c:spPr>
          <c:invertIfNegative val="0"/>
          <c:cat>
            <c:strRef>
              <c:f>Sheet6!$A$6:$A$13</c:f>
              <c:strCache>
                <c:ptCount val="8"/>
                <c:pt idx="0">
                  <c:v>BBCA</c:v>
                </c:pt>
                <c:pt idx="1">
                  <c:v>BBNI</c:v>
                </c:pt>
                <c:pt idx="2">
                  <c:v>BBRI</c:v>
                </c:pt>
                <c:pt idx="3">
                  <c:v>BBTN</c:v>
                </c:pt>
                <c:pt idx="4">
                  <c:v>BMRI</c:v>
                </c:pt>
                <c:pt idx="5">
                  <c:v>UNTR</c:v>
                </c:pt>
                <c:pt idx="6">
                  <c:v>UNVR</c:v>
                </c:pt>
                <c:pt idx="7">
                  <c:v>WIKA</c:v>
                </c:pt>
              </c:strCache>
            </c:strRef>
          </c:cat>
          <c:val>
            <c:numRef>
              <c:f>Sheet6!$B$6:$B$13</c:f>
              <c:numCache>
                <c:formatCode>0.00</c:formatCode>
                <c:ptCount val="8"/>
                <c:pt idx="0">
                  <c:v>4.2497629191927588</c:v>
                </c:pt>
                <c:pt idx="1">
                  <c:v>5.5077415794899531</c:v>
                </c:pt>
                <c:pt idx="2">
                  <c:v>5.6668794827596649</c:v>
                </c:pt>
                <c:pt idx="3">
                  <c:v>11.304307671589362</c:v>
                </c:pt>
                <c:pt idx="4">
                  <c:v>4.9070821195685257</c:v>
                </c:pt>
                <c:pt idx="5">
                  <c:v>0.82806806943156375</c:v>
                </c:pt>
                <c:pt idx="6">
                  <c:v>2.9094870331712568</c:v>
                </c:pt>
                <c:pt idx="7">
                  <c:v>2.2322913310681298</c:v>
                </c:pt>
              </c:numCache>
            </c:numRef>
          </c:val>
          <c:extLst>
            <c:ext xmlns:c16="http://schemas.microsoft.com/office/drawing/2014/chart" uri="{C3380CC4-5D6E-409C-BE32-E72D297353CC}">
              <c16:uniqueId val="{00000000-E44F-487A-B58B-25D5F86D6388}"/>
            </c:ext>
          </c:extLst>
        </c:ser>
        <c:ser>
          <c:idx val="1"/>
          <c:order val="1"/>
          <c:tx>
            <c:strRef>
              <c:f>Sheet6!$C$5</c:f>
              <c:strCache>
                <c:ptCount val="1"/>
                <c:pt idx="0">
                  <c:v>2020</c:v>
                </c:pt>
              </c:strCache>
            </c:strRef>
          </c:tx>
          <c:spPr>
            <a:solidFill>
              <a:schemeClr val="accent2"/>
            </a:solidFill>
            <a:ln>
              <a:noFill/>
            </a:ln>
            <a:effectLst/>
          </c:spPr>
          <c:invertIfNegative val="0"/>
          <c:cat>
            <c:strRef>
              <c:f>Sheet6!$A$6:$A$13</c:f>
              <c:strCache>
                <c:ptCount val="8"/>
                <c:pt idx="0">
                  <c:v>BBCA</c:v>
                </c:pt>
                <c:pt idx="1">
                  <c:v>BBNI</c:v>
                </c:pt>
                <c:pt idx="2">
                  <c:v>BBRI</c:v>
                </c:pt>
                <c:pt idx="3">
                  <c:v>BBTN</c:v>
                </c:pt>
                <c:pt idx="4">
                  <c:v>BMRI</c:v>
                </c:pt>
                <c:pt idx="5">
                  <c:v>UNTR</c:v>
                </c:pt>
                <c:pt idx="6">
                  <c:v>UNVR</c:v>
                </c:pt>
                <c:pt idx="7">
                  <c:v>WIKA</c:v>
                </c:pt>
              </c:strCache>
            </c:strRef>
          </c:cat>
          <c:val>
            <c:numRef>
              <c:f>Sheet6!$C$6:$C$13</c:f>
              <c:numCache>
                <c:formatCode>0.00</c:formatCode>
                <c:ptCount val="8"/>
                <c:pt idx="0">
                  <c:v>4.7940844765102062</c:v>
                </c:pt>
                <c:pt idx="1">
                  <c:v>6.6113327250760836</c:v>
                </c:pt>
                <c:pt idx="2">
                  <c:v>6.3945649396160427</c:v>
                </c:pt>
                <c:pt idx="3">
                  <c:v>16.078578856299917</c:v>
                </c:pt>
                <c:pt idx="4">
                  <c:v>5.9406146356425582</c:v>
                </c:pt>
                <c:pt idx="5">
                  <c:v>0.58045103863769598</c:v>
                </c:pt>
                <c:pt idx="6">
                  <c:v>3.1590239982111927</c:v>
                </c:pt>
                <c:pt idx="7">
                  <c:v>3.0888183451340105</c:v>
                </c:pt>
              </c:numCache>
            </c:numRef>
          </c:val>
          <c:extLst>
            <c:ext xmlns:c16="http://schemas.microsoft.com/office/drawing/2014/chart" uri="{C3380CC4-5D6E-409C-BE32-E72D297353CC}">
              <c16:uniqueId val="{00000001-E44F-487A-B58B-25D5F86D6388}"/>
            </c:ext>
          </c:extLst>
        </c:ser>
        <c:ser>
          <c:idx val="2"/>
          <c:order val="2"/>
          <c:tx>
            <c:strRef>
              <c:f>Sheet6!$D$5</c:f>
              <c:strCache>
                <c:ptCount val="1"/>
                <c:pt idx="0">
                  <c:v>2021</c:v>
                </c:pt>
              </c:strCache>
            </c:strRef>
          </c:tx>
          <c:spPr>
            <a:solidFill>
              <a:schemeClr val="accent3"/>
            </a:solidFill>
            <a:ln>
              <a:noFill/>
            </a:ln>
            <a:effectLst/>
          </c:spPr>
          <c:invertIfNegative val="0"/>
          <c:cat>
            <c:strRef>
              <c:f>Sheet6!$A$6:$A$13</c:f>
              <c:strCache>
                <c:ptCount val="8"/>
                <c:pt idx="0">
                  <c:v>BBCA</c:v>
                </c:pt>
                <c:pt idx="1">
                  <c:v>BBNI</c:v>
                </c:pt>
                <c:pt idx="2">
                  <c:v>BBRI</c:v>
                </c:pt>
                <c:pt idx="3">
                  <c:v>BBTN</c:v>
                </c:pt>
                <c:pt idx="4">
                  <c:v>BMRI</c:v>
                </c:pt>
                <c:pt idx="5">
                  <c:v>UNTR</c:v>
                </c:pt>
                <c:pt idx="6">
                  <c:v>UNVR</c:v>
                </c:pt>
                <c:pt idx="7">
                  <c:v>WIKA</c:v>
                </c:pt>
              </c:strCache>
            </c:strRef>
          </c:cat>
          <c:val>
            <c:numRef>
              <c:f>Sheet6!$D$6:$D$13</c:f>
              <c:numCache>
                <c:formatCode>0.00</c:formatCode>
                <c:ptCount val="8"/>
                <c:pt idx="0">
                  <c:v>5.0272571705996736</c:v>
                </c:pt>
                <c:pt idx="1">
                  <c:v>6.6259711302350297</c:v>
                </c:pt>
                <c:pt idx="2">
                  <c:v>4.7511090666046707</c:v>
                </c:pt>
                <c:pt idx="3">
                  <c:v>15.308029884362554</c:v>
                </c:pt>
                <c:pt idx="4">
                  <c:v>5.9726467969330796</c:v>
                </c:pt>
                <c:pt idx="5">
                  <c:v>0.56721018102939158</c:v>
                </c:pt>
                <c:pt idx="6">
                  <c:v>3.412715801770267</c:v>
                </c:pt>
                <c:pt idx="7">
                  <c:v>2.9796664799632069</c:v>
                </c:pt>
              </c:numCache>
            </c:numRef>
          </c:val>
          <c:extLst>
            <c:ext xmlns:c16="http://schemas.microsoft.com/office/drawing/2014/chart" uri="{C3380CC4-5D6E-409C-BE32-E72D297353CC}">
              <c16:uniqueId val="{00000002-E44F-487A-B58B-25D5F86D6388}"/>
            </c:ext>
          </c:extLst>
        </c:ser>
        <c:ser>
          <c:idx val="3"/>
          <c:order val="3"/>
          <c:tx>
            <c:strRef>
              <c:f>Sheet6!$E$5</c:f>
              <c:strCache>
                <c:ptCount val="1"/>
                <c:pt idx="0">
                  <c:v>2022</c:v>
                </c:pt>
              </c:strCache>
            </c:strRef>
          </c:tx>
          <c:spPr>
            <a:solidFill>
              <a:schemeClr val="accent4"/>
            </a:solidFill>
            <a:ln>
              <a:noFill/>
            </a:ln>
            <a:effectLst/>
          </c:spPr>
          <c:invertIfNegative val="0"/>
          <c:cat>
            <c:strRef>
              <c:f>Sheet6!$A$6:$A$13</c:f>
              <c:strCache>
                <c:ptCount val="8"/>
                <c:pt idx="0">
                  <c:v>BBCA</c:v>
                </c:pt>
                <c:pt idx="1">
                  <c:v>BBNI</c:v>
                </c:pt>
                <c:pt idx="2">
                  <c:v>BBRI</c:v>
                </c:pt>
                <c:pt idx="3">
                  <c:v>BBTN</c:v>
                </c:pt>
                <c:pt idx="4">
                  <c:v>BMRI</c:v>
                </c:pt>
                <c:pt idx="5">
                  <c:v>UNTR</c:v>
                </c:pt>
                <c:pt idx="6">
                  <c:v>UNVR</c:v>
                </c:pt>
                <c:pt idx="7">
                  <c:v>WIKA</c:v>
                </c:pt>
              </c:strCache>
            </c:strRef>
          </c:cat>
          <c:val>
            <c:numRef>
              <c:f>Sheet6!$E$6:$E$13</c:f>
              <c:numCache>
                <c:formatCode>0.00</c:formatCode>
                <c:ptCount val="8"/>
                <c:pt idx="0">
                  <c:v>4.9150081818494398</c:v>
                </c:pt>
                <c:pt idx="1">
                  <c:v>6.3456065765205132</c:v>
                </c:pt>
                <c:pt idx="2">
                  <c:v>5.1492017360307507</c:v>
                </c:pt>
                <c:pt idx="3">
                  <c:v>13.56176935171753</c:v>
                </c:pt>
                <c:pt idx="4">
                  <c:v>6.1214051646639183</c:v>
                </c:pt>
                <c:pt idx="5">
                  <c:v>0.56934663444445588</c:v>
                </c:pt>
                <c:pt idx="6">
                  <c:v>3.5826722131382129</c:v>
                </c:pt>
                <c:pt idx="7">
                  <c:v>3.2913576513776128</c:v>
                </c:pt>
              </c:numCache>
            </c:numRef>
          </c:val>
          <c:extLst>
            <c:ext xmlns:c16="http://schemas.microsoft.com/office/drawing/2014/chart" uri="{C3380CC4-5D6E-409C-BE32-E72D297353CC}">
              <c16:uniqueId val="{00000003-E44F-487A-B58B-25D5F86D6388}"/>
            </c:ext>
          </c:extLst>
        </c:ser>
        <c:ser>
          <c:idx val="4"/>
          <c:order val="4"/>
          <c:tx>
            <c:strRef>
              <c:f>Sheet6!$F$5</c:f>
              <c:strCache>
                <c:ptCount val="1"/>
                <c:pt idx="0">
                  <c:v>2023</c:v>
                </c:pt>
              </c:strCache>
            </c:strRef>
          </c:tx>
          <c:spPr>
            <a:solidFill>
              <a:schemeClr val="accent5"/>
            </a:solidFill>
            <a:ln>
              <a:noFill/>
            </a:ln>
            <a:effectLst/>
          </c:spPr>
          <c:invertIfNegative val="0"/>
          <c:cat>
            <c:strRef>
              <c:f>Sheet6!$A$6:$A$13</c:f>
              <c:strCache>
                <c:ptCount val="8"/>
                <c:pt idx="0">
                  <c:v>BBCA</c:v>
                </c:pt>
                <c:pt idx="1">
                  <c:v>BBNI</c:v>
                </c:pt>
                <c:pt idx="2">
                  <c:v>BBRI</c:v>
                </c:pt>
                <c:pt idx="3">
                  <c:v>BBTN</c:v>
                </c:pt>
                <c:pt idx="4">
                  <c:v>BMRI</c:v>
                </c:pt>
                <c:pt idx="5">
                  <c:v>UNTR</c:v>
                </c:pt>
                <c:pt idx="6">
                  <c:v>UNVR</c:v>
                </c:pt>
                <c:pt idx="7">
                  <c:v>WIKA</c:v>
                </c:pt>
              </c:strCache>
            </c:strRef>
          </c:cat>
          <c:val>
            <c:numRef>
              <c:f>Sheet6!$F$6:$F$13</c:f>
              <c:numCache>
                <c:formatCode>0.00</c:formatCode>
                <c:ptCount val="8"/>
                <c:pt idx="0">
                  <c:v>4.7731798220657691</c:v>
                </c:pt>
                <c:pt idx="1">
                  <c:v>6.022854575108064</c:v>
                </c:pt>
                <c:pt idx="2">
                  <c:v>5.2090995358447696</c:v>
                </c:pt>
                <c:pt idx="3">
                  <c:v>12.505744549585893</c:v>
                </c:pt>
                <c:pt idx="4">
                  <c:v>5.7755544773685461</c:v>
                </c:pt>
                <c:pt idx="5">
                  <c:v>0.83289362861768412</c:v>
                </c:pt>
                <c:pt idx="6">
                  <c:v>3.9283978235190777</c:v>
                </c:pt>
                <c:pt idx="7">
                  <c:v>5.8934291010800353</c:v>
                </c:pt>
              </c:numCache>
            </c:numRef>
          </c:val>
          <c:extLst>
            <c:ext xmlns:c16="http://schemas.microsoft.com/office/drawing/2014/chart" uri="{C3380CC4-5D6E-409C-BE32-E72D297353CC}">
              <c16:uniqueId val="{00000004-E44F-487A-B58B-25D5F86D6388}"/>
            </c:ext>
          </c:extLst>
        </c:ser>
        <c:dLbls>
          <c:showLegendKey val="0"/>
          <c:showVal val="0"/>
          <c:showCatName val="0"/>
          <c:showSerName val="0"/>
          <c:showPercent val="0"/>
          <c:showBubbleSize val="0"/>
        </c:dLbls>
        <c:gapWidth val="150"/>
        <c:axId val="1716073504"/>
        <c:axId val="1716075584"/>
      </c:barChart>
      <c:catAx>
        <c:axId val="171607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16075584"/>
        <c:crosses val="autoZero"/>
        <c:auto val="1"/>
        <c:lblAlgn val="ctr"/>
        <c:lblOffset val="100"/>
        <c:noMultiLvlLbl val="0"/>
      </c:catAx>
      <c:valAx>
        <c:axId val="17160755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160735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Likuiditas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Sheet6!$I$5</c:f>
              <c:strCache>
                <c:ptCount val="1"/>
                <c:pt idx="0">
                  <c:v>2019</c:v>
                </c:pt>
              </c:strCache>
            </c:strRef>
          </c:tx>
          <c:spPr>
            <a:solidFill>
              <a:schemeClr val="accent1"/>
            </a:solidFill>
            <a:ln>
              <a:noFill/>
            </a:ln>
            <a:effectLst/>
          </c:spPr>
          <c:invertIfNegative val="0"/>
          <c:cat>
            <c:strRef>
              <c:f>Sheet6!$H$6:$H$13</c:f>
              <c:strCache>
                <c:ptCount val="8"/>
                <c:pt idx="0">
                  <c:v>BBCA</c:v>
                </c:pt>
                <c:pt idx="1">
                  <c:v>BBNI</c:v>
                </c:pt>
                <c:pt idx="2">
                  <c:v>BBRI</c:v>
                </c:pt>
                <c:pt idx="3">
                  <c:v>BBTN</c:v>
                </c:pt>
                <c:pt idx="4">
                  <c:v>BMRI</c:v>
                </c:pt>
                <c:pt idx="5">
                  <c:v>UNTR</c:v>
                </c:pt>
                <c:pt idx="6">
                  <c:v>UNVR</c:v>
                </c:pt>
                <c:pt idx="7">
                  <c:v>WIKA</c:v>
                </c:pt>
              </c:strCache>
            </c:strRef>
          </c:cat>
          <c:val>
            <c:numRef>
              <c:f>Sheet6!$I$6:$I$13</c:f>
              <c:numCache>
                <c:formatCode>0.00</c:formatCode>
                <c:ptCount val="8"/>
                <c:pt idx="0">
                  <c:v>124.17648054782468</c:v>
                </c:pt>
                <c:pt idx="1">
                  <c:v>122.82035953138117</c:v>
                </c:pt>
                <c:pt idx="2">
                  <c:v>119.7440772945795</c:v>
                </c:pt>
                <c:pt idx="3">
                  <c:v>115.70787967840556</c:v>
                </c:pt>
                <c:pt idx="4">
                  <c:v>128.51541552666293</c:v>
                </c:pt>
                <c:pt idx="5">
                  <c:v>155.98014382396553</c:v>
                </c:pt>
                <c:pt idx="6">
                  <c:v>65.289957190446628</c:v>
                </c:pt>
                <c:pt idx="7">
                  <c:v>139.4933422852387</c:v>
                </c:pt>
              </c:numCache>
            </c:numRef>
          </c:val>
          <c:extLst>
            <c:ext xmlns:c16="http://schemas.microsoft.com/office/drawing/2014/chart" uri="{C3380CC4-5D6E-409C-BE32-E72D297353CC}">
              <c16:uniqueId val="{00000000-1D0B-4731-95B7-0148DEA66692}"/>
            </c:ext>
          </c:extLst>
        </c:ser>
        <c:ser>
          <c:idx val="1"/>
          <c:order val="1"/>
          <c:tx>
            <c:strRef>
              <c:f>Sheet6!$J$5</c:f>
              <c:strCache>
                <c:ptCount val="1"/>
                <c:pt idx="0">
                  <c:v>2020</c:v>
                </c:pt>
              </c:strCache>
            </c:strRef>
          </c:tx>
          <c:spPr>
            <a:solidFill>
              <a:schemeClr val="accent2"/>
            </a:solidFill>
            <a:ln>
              <a:noFill/>
            </a:ln>
            <a:effectLst/>
          </c:spPr>
          <c:invertIfNegative val="0"/>
          <c:cat>
            <c:strRef>
              <c:f>Sheet6!$H$6:$H$13</c:f>
              <c:strCache>
                <c:ptCount val="8"/>
                <c:pt idx="0">
                  <c:v>BBCA</c:v>
                </c:pt>
                <c:pt idx="1">
                  <c:v>BBNI</c:v>
                </c:pt>
                <c:pt idx="2">
                  <c:v>BBRI</c:v>
                </c:pt>
                <c:pt idx="3">
                  <c:v>BBTN</c:v>
                </c:pt>
                <c:pt idx="4">
                  <c:v>BMRI</c:v>
                </c:pt>
                <c:pt idx="5">
                  <c:v>UNTR</c:v>
                </c:pt>
                <c:pt idx="6">
                  <c:v>UNVR</c:v>
                </c:pt>
                <c:pt idx="7">
                  <c:v>WIKA</c:v>
                </c:pt>
              </c:strCache>
            </c:strRef>
          </c:cat>
          <c:val>
            <c:numRef>
              <c:f>Sheet6!$J$6:$J$13</c:f>
              <c:numCache>
                <c:formatCode>0.00</c:formatCode>
                <c:ptCount val="8"/>
                <c:pt idx="0">
                  <c:v>121.45953695744565</c:v>
                </c:pt>
                <c:pt idx="1">
                  <c:v>119.44449577988073</c:v>
                </c:pt>
                <c:pt idx="2">
                  <c:v>118.26252842308902</c:v>
                </c:pt>
                <c:pt idx="3">
                  <c:v>112.39428158920397</c:v>
                </c:pt>
                <c:pt idx="4">
                  <c:v>124.15307938327231</c:v>
                </c:pt>
                <c:pt idx="5">
                  <c:v>211.02059490186699</c:v>
                </c:pt>
                <c:pt idx="6">
                  <c:v>66.092728479264437</c:v>
                </c:pt>
                <c:pt idx="7">
                  <c:v>108.631673645071</c:v>
                </c:pt>
              </c:numCache>
            </c:numRef>
          </c:val>
          <c:extLst>
            <c:ext xmlns:c16="http://schemas.microsoft.com/office/drawing/2014/chart" uri="{C3380CC4-5D6E-409C-BE32-E72D297353CC}">
              <c16:uniqueId val="{00000001-1D0B-4731-95B7-0148DEA66692}"/>
            </c:ext>
          </c:extLst>
        </c:ser>
        <c:ser>
          <c:idx val="2"/>
          <c:order val="2"/>
          <c:tx>
            <c:strRef>
              <c:f>Sheet6!$K$5</c:f>
              <c:strCache>
                <c:ptCount val="1"/>
                <c:pt idx="0">
                  <c:v>2021</c:v>
                </c:pt>
              </c:strCache>
            </c:strRef>
          </c:tx>
          <c:spPr>
            <a:solidFill>
              <a:schemeClr val="accent3"/>
            </a:solidFill>
            <a:ln>
              <a:noFill/>
            </a:ln>
            <a:effectLst/>
          </c:spPr>
          <c:invertIfNegative val="0"/>
          <c:cat>
            <c:strRef>
              <c:f>Sheet6!$H$6:$H$13</c:f>
              <c:strCache>
                <c:ptCount val="8"/>
                <c:pt idx="0">
                  <c:v>BBCA</c:v>
                </c:pt>
                <c:pt idx="1">
                  <c:v>BBNI</c:v>
                </c:pt>
                <c:pt idx="2">
                  <c:v>BBRI</c:v>
                </c:pt>
                <c:pt idx="3">
                  <c:v>BBTN</c:v>
                </c:pt>
                <c:pt idx="4">
                  <c:v>BMRI</c:v>
                </c:pt>
                <c:pt idx="5">
                  <c:v>UNTR</c:v>
                </c:pt>
                <c:pt idx="6">
                  <c:v>UNVR</c:v>
                </c:pt>
                <c:pt idx="7">
                  <c:v>WIKA</c:v>
                </c:pt>
              </c:strCache>
            </c:strRef>
          </c:cat>
          <c:val>
            <c:numRef>
              <c:f>Sheet6!$K$6:$K$13</c:f>
              <c:numCache>
                <c:formatCode>0.00</c:formatCode>
                <c:ptCount val="8"/>
                <c:pt idx="0">
                  <c:v>120.45266612950046</c:v>
                </c:pt>
                <c:pt idx="1">
                  <c:v>115.09212733265454</c:v>
                </c:pt>
                <c:pt idx="2">
                  <c:v>121.04771719573762</c:v>
                </c:pt>
                <c:pt idx="3">
                  <c:v>113.48049521822814</c:v>
                </c:pt>
                <c:pt idx="4">
                  <c:v>130.07848831547173</c:v>
                </c:pt>
                <c:pt idx="5">
                  <c:v>198.77212987227156</c:v>
                </c:pt>
                <c:pt idx="6">
                  <c:v>61.407108567255754</c:v>
                </c:pt>
                <c:pt idx="7">
                  <c:v>107.20923938523754</c:v>
                </c:pt>
              </c:numCache>
            </c:numRef>
          </c:val>
          <c:extLst>
            <c:ext xmlns:c16="http://schemas.microsoft.com/office/drawing/2014/chart" uri="{C3380CC4-5D6E-409C-BE32-E72D297353CC}">
              <c16:uniqueId val="{00000002-1D0B-4731-95B7-0148DEA66692}"/>
            </c:ext>
          </c:extLst>
        </c:ser>
        <c:ser>
          <c:idx val="3"/>
          <c:order val="3"/>
          <c:tx>
            <c:strRef>
              <c:f>Sheet6!$L$5</c:f>
              <c:strCache>
                <c:ptCount val="1"/>
                <c:pt idx="0">
                  <c:v>2022</c:v>
                </c:pt>
              </c:strCache>
            </c:strRef>
          </c:tx>
          <c:spPr>
            <a:solidFill>
              <a:schemeClr val="accent4"/>
            </a:solidFill>
            <a:ln>
              <a:noFill/>
            </a:ln>
            <a:effectLst/>
          </c:spPr>
          <c:invertIfNegative val="0"/>
          <c:cat>
            <c:strRef>
              <c:f>Sheet6!$H$6:$H$13</c:f>
              <c:strCache>
                <c:ptCount val="8"/>
                <c:pt idx="0">
                  <c:v>BBCA</c:v>
                </c:pt>
                <c:pt idx="1">
                  <c:v>BBNI</c:v>
                </c:pt>
                <c:pt idx="2">
                  <c:v>BBRI</c:v>
                </c:pt>
                <c:pt idx="3">
                  <c:v>BBTN</c:v>
                </c:pt>
                <c:pt idx="4">
                  <c:v>BMRI</c:v>
                </c:pt>
                <c:pt idx="5">
                  <c:v>UNTR</c:v>
                </c:pt>
                <c:pt idx="6">
                  <c:v>UNVR</c:v>
                </c:pt>
                <c:pt idx="7">
                  <c:v>WIKA</c:v>
                </c:pt>
              </c:strCache>
            </c:strRef>
          </c:cat>
          <c:val>
            <c:numRef>
              <c:f>Sheet6!$L$6:$L$13</c:f>
              <c:numCache>
                <c:formatCode>0.00</c:formatCode>
                <c:ptCount val="8"/>
                <c:pt idx="0">
                  <c:v>120.93827713297335</c:v>
                </c:pt>
                <c:pt idx="1">
                  <c:v>115.7589347518032</c:v>
                </c:pt>
                <c:pt idx="2">
                  <c:v>119.42048595615613</c:v>
                </c:pt>
                <c:pt idx="3">
                  <c:v>114.44934494984689</c:v>
                </c:pt>
                <c:pt idx="4">
                  <c:v>129.04274557671772</c:v>
                </c:pt>
                <c:pt idx="5">
                  <c:v>187.76147964614941</c:v>
                </c:pt>
                <c:pt idx="6">
                  <c:v>60.823278926924871</c:v>
                </c:pt>
                <c:pt idx="7">
                  <c:v>109.68432596289223</c:v>
                </c:pt>
              </c:numCache>
            </c:numRef>
          </c:val>
          <c:extLst>
            <c:ext xmlns:c16="http://schemas.microsoft.com/office/drawing/2014/chart" uri="{C3380CC4-5D6E-409C-BE32-E72D297353CC}">
              <c16:uniqueId val="{00000003-1D0B-4731-95B7-0148DEA66692}"/>
            </c:ext>
          </c:extLst>
        </c:ser>
        <c:ser>
          <c:idx val="4"/>
          <c:order val="4"/>
          <c:tx>
            <c:strRef>
              <c:f>Sheet6!$M$5</c:f>
              <c:strCache>
                <c:ptCount val="1"/>
                <c:pt idx="0">
                  <c:v>2023</c:v>
                </c:pt>
              </c:strCache>
            </c:strRef>
          </c:tx>
          <c:spPr>
            <a:solidFill>
              <a:schemeClr val="accent5"/>
            </a:solidFill>
            <a:ln>
              <a:noFill/>
            </a:ln>
            <a:effectLst/>
          </c:spPr>
          <c:invertIfNegative val="0"/>
          <c:cat>
            <c:strRef>
              <c:f>Sheet6!$H$6:$H$13</c:f>
              <c:strCache>
                <c:ptCount val="8"/>
                <c:pt idx="0">
                  <c:v>BBCA</c:v>
                </c:pt>
                <c:pt idx="1">
                  <c:v>BBNI</c:v>
                </c:pt>
                <c:pt idx="2">
                  <c:v>BBRI</c:v>
                </c:pt>
                <c:pt idx="3">
                  <c:v>BBTN</c:v>
                </c:pt>
                <c:pt idx="4">
                  <c:v>BMRI</c:v>
                </c:pt>
                <c:pt idx="5">
                  <c:v>UNTR</c:v>
                </c:pt>
                <c:pt idx="6">
                  <c:v>UNVR</c:v>
                </c:pt>
                <c:pt idx="7">
                  <c:v>WIKA</c:v>
                </c:pt>
              </c:strCache>
            </c:strRef>
          </c:cat>
          <c:val>
            <c:numRef>
              <c:f>Sheet6!$M$6:$M$13</c:f>
              <c:numCache>
                <c:formatCode>0.00</c:formatCode>
                <c:ptCount val="8"/>
                <c:pt idx="0">
                  <c:v>121.63226700966547</c:v>
                </c:pt>
                <c:pt idx="1">
                  <c:v>116.60342263837671</c:v>
                </c:pt>
                <c:pt idx="2">
                  <c:v>119.19717588651966</c:v>
                </c:pt>
                <c:pt idx="3">
                  <c:v>115.10771560883784</c:v>
                </c:pt>
                <c:pt idx="4">
                  <c:v>130.94214563480767</c:v>
                </c:pt>
                <c:pt idx="5">
                  <c:v>145.60776437749087</c:v>
                </c:pt>
                <c:pt idx="6">
                  <c:v>55.166221072618882</c:v>
                </c:pt>
                <c:pt idx="7">
                  <c:v>79.74457386351267</c:v>
                </c:pt>
              </c:numCache>
            </c:numRef>
          </c:val>
          <c:extLst>
            <c:ext xmlns:c16="http://schemas.microsoft.com/office/drawing/2014/chart" uri="{C3380CC4-5D6E-409C-BE32-E72D297353CC}">
              <c16:uniqueId val="{00000004-1D0B-4731-95B7-0148DEA66692}"/>
            </c:ext>
          </c:extLst>
        </c:ser>
        <c:dLbls>
          <c:showLegendKey val="0"/>
          <c:showVal val="0"/>
          <c:showCatName val="0"/>
          <c:showSerName val="0"/>
          <c:showPercent val="0"/>
          <c:showBubbleSize val="0"/>
        </c:dLbls>
        <c:gapWidth val="150"/>
        <c:axId val="1716077248"/>
        <c:axId val="1716075168"/>
      </c:barChart>
      <c:catAx>
        <c:axId val="171607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16075168"/>
        <c:crosses val="autoZero"/>
        <c:auto val="1"/>
        <c:lblAlgn val="ctr"/>
        <c:lblOffset val="100"/>
        <c:noMultiLvlLbl val="0"/>
      </c:catAx>
      <c:valAx>
        <c:axId val="1716075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160772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Firm</a:t>
            </a:r>
            <a:r>
              <a:rPr lang="en-US" b="1" baseline="0">
                <a:latin typeface="Times New Roman" panose="02020603050405020304" pitchFamily="18" charset="0"/>
                <a:cs typeface="Times New Roman" panose="02020603050405020304" pitchFamily="18" charset="0"/>
              </a:rPr>
              <a:t> Size</a:t>
            </a:r>
            <a:endParaRPr lang="en-US"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Sheet6!$P$5</c:f>
              <c:strCache>
                <c:ptCount val="1"/>
                <c:pt idx="0">
                  <c:v>2019</c:v>
                </c:pt>
              </c:strCache>
            </c:strRef>
          </c:tx>
          <c:spPr>
            <a:solidFill>
              <a:schemeClr val="accent1"/>
            </a:solidFill>
            <a:ln>
              <a:noFill/>
            </a:ln>
            <a:effectLst/>
          </c:spPr>
          <c:invertIfNegative val="0"/>
          <c:cat>
            <c:strRef>
              <c:f>Sheet6!$O$6:$O$13</c:f>
              <c:strCache>
                <c:ptCount val="8"/>
                <c:pt idx="0">
                  <c:v>BBCA</c:v>
                </c:pt>
                <c:pt idx="1">
                  <c:v>BBNI</c:v>
                </c:pt>
                <c:pt idx="2">
                  <c:v>BBRI</c:v>
                </c:pt>
                <c:pt idx="3">
                  <c:v>BBTN</c:v>
                </c:pt>
                <c:pt idx="4">
                  <c:v>BMRI</c:v>
                </c:pt>
                <c:pt idx="5">
                  <c:v>UNTR</c:v>
                </c:pt>
                <c:pt idx="6">
                  <c:v>UNVR</c:v>
                </c:pt>
                <c:pt idx="7">
                  <c:v>WIKA</c:v>
                </c:pt>
              </c:strCache>
            </c:strRef>
          </c:cat>
          <c:val>
            <c:numRef>
              <c:f>Sheet6!$P$6:$P$13</c:f>
              <c:numCache>
                <c:formatCode>0.00</c:formatCode>
                <c:ptCount val="8"/>
                <c:pt idx="0">
                  <c:v>20.638785050219688</c:v>
                </c:pt>
                <c:pt idx="1">
                  <c:v>20.60823361744864</c:v>
                </c:pt>
                <c:pt idx="2">
                  <c:v>21.0716375926275</c:v>
                </c:pt>
                <c:pt idx="3">
                  <c:v>19.557798194956526</c:v>
                </c:pt>
                <c:pt idx="4">
                  <c:v>20.999568156169964</c:v>
                </c:pt>
                <c:pt idx="5">
                  <c:v>18.53144699724713</c:v>
                </c:pt>
                <c:pt idx="6">
                  <c:v>16.843195416858972</c:v>
                </c:pt>
                <c:pt idx="7">
                  <c:v>24.852186482999553</c:v>
                </c:pt>
              </c:numCache>
            </c:numRef>
          </c:val>
          <c:extLst>
            <c:ext xmlns:c16="http://schemas.microsoft.com/office/drawing/2014/chart" uri="{C3380CC4-5D6E-409C-BE32-E72D297353CC}">
              <c16:uniqueId val="{00000000-736E-4352-A4A8-34744B2FADAE}"/>
            </c:ext>
          </c:extLst>
        </c:ser>
        <c:ser>
          <c:idx val="1"/>
          <c:order val="1"/>
          <c:tx>
            <c:strRef>
              <c:f>Sheet6!$Q$5</c:f>
              <c:strCache>
                <c:ptCount val="1"/>
                <c:pt idx="0">
                  <c:v>2020</c:v>
                </c:pt>
              </c:strCache>
            </c:strRef>
          </c:tx>
          <c:spPr>
            <a:solidFill>
              <a:schemeClr val="accent2"/>
            </a:solidFill>
            <a:ln>
              <a:noFill/>
            </a:ln>
            <a:effectLst/>
          </c:spPr>
          <c:invertIfNegative val="0"/>
          <c:cat>
            <c:strRef>
              <c:f>Sheet6!$O$6:$O$13</c:f>
              <c:strCache>
                <c:ptCount val="8"/>
                <c:pt idx="0">
                  <c:v>BBCA</c:v>
                </c:pt>
                <c:pt idx="1">
                  <c:v>BBNI</c:v>
                </c:pt>
                <c:pt idx="2">
                  <c:v>BBRI</c:v>
                </c:pt>
                <c:pt idx="3">
                  <c:v>BBTN</c:v>
                </c:pt>
                <c:pt idx="4">
                  <c:v>BMRI</c:v>
                </c:pt>
                <c:pt idx="5">
                  <c:v>UNTR</c:v>
                </c:pt>
                <c:pt idx="6">
                  <c:v>UNVR</c:v>
                </c:pt>
                <c:pt idx="7">
                  <c:v>WIKA</c:v>
                </c:pt>
              </c:strCache>
            </c:strRef>
          </c:cat>
          <c:val>
            <c:numRef>
              <c:f>Sheet6!$Q$6:$Q$13</c:f>
              <c:numCache>
                <c:formatCode>0.00</c:formatCode>
                <c:ptCount val="8"/>
                <c:pt idx="0">
                  <c:v>20.796116828573869</c:v>
                </c:pt>
                <c:pt idx="1">
                  <c:v>20.555563151441731</c:v>
                </c:pt>
                <c:pt idx="2">
                  <c:v>21.136569892069154</c:v>
                </c:pt>
                <c:pt idx="3">
                  <c:v>19.704965651661556</c:v>
                </c:pt>
                <c:pt idx="4">
                  <c:v>21.080474777083793</c:v>
                </c:pt>
                <c:pt idx="5">
                  <c:v>18.418688390533735</c:v>
                </c:pt>
                <c:pt idx="6">
                  <c:v>16.837623384588895</c:v>
                </c:pt>
                <c:pt idx="7">
                  <c:v>24.944377919317922</c:v>
                </c:pt>
              </c:numCache>
            </c:numRef>
          </c:val>
          <c:extLst>
            <c:ext xmlns:c16="http://schemas.microsoft.com/office/drawing/2014/chart" uri="{C3380CC4-5D6E-409C-BE32-E72D297353CC}">
              <c16:uniqueId val="{00000001-736E-4352-A4A8-34744B2FADAE}"/>
            </c:ext>
          </c:extLst>
        </c:ser>
        <c:ser>
          <c:idx val="2"/>
          <c:order val="2"/>
          <c:tx>
            <c:strRef>
              <c:f>Sheet6!$R$5</c:f>
              <c:strCache>
                <c:ptCount val="1"/>
                <c:pt idx="0">
                  <c:v>2021</c:v>
                </c:pt>
              </c:strCache>
            </c:strRef>
          </c:tx>
          <c:spPr>
            <a:solidFill>
              <a:schemeClr val="accent3"/>
            </a:solidFill>
            <a:ln>
              <a:noFill/>
            </a:ln>
            <a:effectLst/>
          </c:spPr>
          <c:invertIfNegative val="0"/>
          <c:cat>
            <c:strRef>
              <c:f>Sheet6!$O$6:$O$13</c:f>
              <c:strCache>
                <c:ptCount val="8"/>
                <c:pt idx="0">
                  <c:v>BBCA</c:v>
                </c:pt>
                <c:pt idx="1">
                  <c:v>BBNI</c:v>
                </c:pt>
                <c:pt idx="2">
                  <c:v>BBRI</c:v>
                </c:pt>
                <c:pt idx="3">
                  <c:v>BBTN</c:v>
                </c:pt>
                <c:pt idx="4">
                  <c:v>BMRI</c:v>
                </c:pt>
                <c:pt idx="5">
                  <c:v>UNTR</c:v>
                </c:pt>
                <c:pt idx="6">
                  <c:v>UNVR</c:v>
                </c:pt>
                <c:pt idx="7">
                  <c:v>WIKA</c:v>
                </c:pt>
              </c:strCache>
            </c:strRef>
          </c:cat>
          <c:val>
            <c:numRef>
              <c:f>Sheet6!$R$6:$R$13</c:f>
              <c:numCache>
                <c:formatCode>0.00</c:formatCode>
                <c:ptCount val="8"/>
                <c:pt idx="0">
                  <c:v>20.928933311326055</c:v>
                </c:pt>
                <c:pt idx="1">
                  <c:v>20.687470450338271</c:v>
                </c:pt>
                <c:pt idx="2">
                  <c:v>21.240926687633788</c:v>
                </c:pt>
                <c:pt idx="3">
                  <c:v>19.734050346875506</c:v>
                </c:pt>
                <c:pt idx="4">
                  <c:v>21.26884710178987</c:v>
                </c:pt>
                <c:pt idx="5">
                  <c:v>18.539009017606158</c:v>
                </c:pt>
                <c:pt idx="6">
                  <c:v>16.763549995064494</c:v>
                </c:pt>
                <c:pt idx="7">
                  <c:v>24.962947991086068</c:v>
                </c:pt>
              </c:numCache>
            </c:numRef>
          </c:val>
          <c:extLst>
            <c:ext xmlns:c16="http://schemas.microsoft.com/office/drawing/2014/chart" uri="{C3380CC4-5D6E-409C-BE32-E72D297353CC}">
              <c16:uniqueId val="{00000002-736E-4352-A4A8-34744B2FADAE}"/>
            </c:ext>
          </c:extLst>
        </c:ser>
        <c:ser>
          <c:idx val="3"/>
          <c:order val="3"/>
          <c:tx>
            <c:strRef>
              <c:f>Sheet6!$S$5</c:f>
              <c:strCache>
                <c:ptCount val="1"/>
                <c:pt idx="0">
                  <c:v>2022</c:v>
                </c:pt>
              </c:strCache>
            </c:strRef>
          </c:tx>
          <c:spPr>
            <a:solidFill>
              <a:schemeClr val="accent4"/>
            </a:solidFill>
            <a:ln>
              <a:noFill/>
            </a:ln>
            <a:effectLst/>
          </c:spPr>
          <c:invertIfNegative val="0"/>
          <c:cat>
            <c:strRef>
              <c:f>Sheet6!$O$6:$O$13</c:f>
              <c:strCache>
                <c:ptCount val="8"/>
                <c:pt idx="0">
                  <c:v>BBCA</c:v>
                </c:pt>
                <c:pt idx="1">
                  <c:v>BBNI</c:v>
                </c:pt>
                <c:pt idx="2">
                  <c:v>BBRI</c:v>
                </c:pt>
                <c:pt idx="3">
                  <c:v>BBTN</c:v>
                </c:pt>
                <c:pt idx="4">
                  <c:v>BMRI</c:v>
                </c:pt>
                <c:pt idx="5">
                  <c:v>UNTR</c:v>
                </c:pt>
                <c:pt idx="6">
                  <c:v>UNVR</c:v>
                </c:pt>
                <c:pt idx="7">
                  <c:v>WIKA</c:v>
                </c:pt>
              </c:strCache>
            </c:strRef>
          </c:cat>
          <c:val>
            <c:numRef>
              <c:f>Sheet6!$S$6:$S$13</c:f>
              <c:numCache>
                <c:formatCode>0.00</c:formatCode>
                <c:ptCount val="8"/>
                <c:pt idx="0">
                  <c:v>20.996898431564954</c:v>
                </c:pt>
                <c:pt idx="1">
                  <c:v>20.752666246061903</c:v>
                </c:pt>
                <c:pt idx="2">
                  <c:v>21.346869464064785</c:v>
                </c:pt>
                <c:pt idx="3">
                  <c:v>19.812331513866777</c:v>
                </c:pt>
                <c:pt idx="4">
                  <c:v>21.412678395980663</c:v>
                </c:pt>
                <c:pt idx="5">
                  <c:v>18.760563016927978</c:v>
                </c:pt>
                <c:pt idx="6">
                  <c:v>16.723400964312539</c:v>
                </c:pt>
                <c:pt idx="7">
                  <c:v>25.041681576398069</c:v>
                </c:pt>
              </c:numCache>
            </c:numRef>
          </c:val>
          <c:extLst>
            <c:ext xmlns:c16="http://schemas.microsoft.com/office/drawing/2014/chart" uri="{C3380CC4-5D6E-409C-BE32-E72D297353CC}">
              <c16:uniqueId val="{00000003-736E-4352-A4A8-34744B2FADAE}"/>
            </c:ext>
          </c:extLst>
        </c:ser>
        <c:ser>
          <c:idx val="4"/>
          <c:order val="4"/>
          <c:tx>
            <c:strRef>
              <c:f>Sheet6!$T$5</c:f>
              <c:strCache>
                <c:ptCount val="1"/>
                <c:pt idx="0">
                  <c:v>2023</c:v>
                </c:pt>
              </c:strCache>
            </c:strRef>
          </c:tx>
          <c:spPr>
            <a:solidFill>
              <a:schemeClr val="accent5"/>
            </a:solidFill>
            <a:ln>
              <a:noFill/>
            </a:ln>
            <a:effectLst/>
          </c:spPr>
          <c:invertIfNegative val="0"/>
          <c:cat>
            <c:strRef>
              <c:f>Sheet6!$O$6:$O$13</c:f>
              <c:strCache>
                <c:ptCount val="8"/>
                <c:pt idx="0">
                  <c:v>BBCA</c:v>
                </c:pt>
                <c:pt idx="1">
                  <c:v>BBNI</c:v>
                </c:pt>
                <c:pt idx="2">
                  <c:v>BBRI</c:v>
                </c:pt>
                <c:pt idx="3">
                  <c:v>BBTN</c:v>
                </c:pt>
                <c:pt idx="4">
                  <c:v>BMRI</c:v>
                </c:pt>
                <c:pt idx="5">
                  <c:v>UNTR</c:v>
                </c:pt>
                <c:pt idx="6">
                  <c:v>UNVR</c:v>
                </c:pt>
                <c:pt idx="7">
                  <c:v>WIKA</c:v>
                </c:pt>
              </c:strCache>
            </c:strRef>
          </c:cat>
          <c:val>
            <c:numRef>
              <c:f>Sheet6!$T$6:$T$13</c:f>
              <c:numCache>
                <c:formatCode>0.00</c:formatCode>
                <c:ptCount val="8"/>
                <c:pt idx="0">
                  <c:v>21.065512093214753</c:v>
                </c:pt>
                <c:pt idx="1">
                  <c:v>20.806378276782709</c:v>
                </c:pt>
                <c:pt idx="2">
                  <c:v>21.398761659869379</c:v>
                </c:pt>
                <c:pt idx="3">
                  <c:v>19.899439731034768</c:v>
                </c:pt>
                <c:pt idx="4">
                  <c:v>21.499935563053377</c:v>
                </c:pt>
                <c:pt idx="5">
                  <c:v>18.852646572128368</c:v>
                </c:pt>
                <c:pt idx="6">
                  <c:v>16.62876642273536</c:v>
                </c:pt>
                <c:pt idx="7">
                  <c:v>24.912636233823314</c:v>
                </c:pt>
              </c:numCache>
            </c:numRef>
          </c:val>
          <c:extLst>
            <c:ext xmlns:c16="http://schemas.microsoft.com/office/drawing/2014/chart" uri="{C3380CC4-5D6E-409C-BE32-E72D297353CC}">
              <c16:uniqueId val="{00000004-736E-4352-A4A8-34744B2FADAE}"/>
            </c:ext>
          </c:extLst>
        </c:ser>
        <c:dLbls>
          <c:showLegendKey val="0"/>
          <c:showVal val="0"/>
          <c:showCatName val="0"/>
          <c:showSerName val="0"/>
          <c:showPercent val="0"/>
          <c:showBubbleSize val="0"/>
        </c:dLbls>
        <c:gapWidth val="150"/>
        <c:axId val="1721259568"/>
        <c:axId val="1721255824"/>
      </c:barChart>
      <c:catAx>
        <c:axId val="172125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1255824"/>
        <c:crosses val="autoZero"/>
        <c:auto val="1"/>
        <c:lblAlgn val="ctr"/>
        <c:lblOffset val="100"/>
        <c:noMultiLvlLbl val="0"/>
      </c:catAx>
      <c:valAx>
        <c:axId val="17212558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12595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Sustainability</a:t>
            </a:r>
            <a:r>
              <a:rPr lang="en-US" b="1" baseline="0">
                <a:latin typeface="Times New Roman" panose="02020603050405020304" pitchFamily="18" charset="0"/>
                <a:cs typeface="Times New Roman" panose="02020603050405020304" pitchFamily="18" charset="0"/>
              </a:rPr>
              <a:t> Report</a:t>
            </a:r>
            <a:endParaRPr lang="en-US"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Sheet6!$W$5</c:f>
              <c:strCache>
                <c:ptCount val="1"/>
                <c:pt idx="0">
                  <c:v>2019</c:v>
                </c:pt>
              </c:strCache>
            </c:strRef>
          </c:tx>
          <c:spPr>
            <a:solidFill>
              <a:schemeClr val="accent1"/>
            </a:solidFill>
            <a:ln>
              <a:noFill/>
            </a:ln>
            <a:effectLst/>
          </c:spPr>
          <c:invertIfNegative val="0"/>
          <c:cat>
            <c:strRef>
              <c:f>Sheet6!$V$6:$V$13</c:f>
              <c:strCache>
                <c:ptCount val="8"/>
                <c:pt idx="0">
                  <c:v>BBCA</c:v>
                </c:pt>
                <c:pt idx="1">
                  <c:v>BBNI</c:v>
                </c:pt>
                <c:pt idx="2">
                  <c:v>BBRI</c:v>
                </c:pt>
                <c:pt idx="3">
                  <c:v>BBTN</c:v>
                </c:pt>
                <c:pt idx="4">
                  <c:v>BMRI</c:v>
                </c:pt>
                <c:pt idx="5">
                  <c:v>UNTR</c:v>
                </c:pt>
                <c:pt idx="6">
                  <c:v>UNVR</c:v>
                </c:pt>
                <c:pt idx="7">
                  <c:v>WIKA</c:v>
                </c:pt>
              </c:strCache>
            </c:strRef>
          </c:cat>
          <c:val>
            <c:numRef>
              <c:f>Sheet6!$W$6:$W$13</c:f>
              <c:numCache>
                <c:formatCode>0.00</c:formatCode>
                <c:ptCount val="8"/>
                <c:pt idx="0">
                  <c:v>9.8901098901098897E-2</c:v>
                </c:pt>
                <c:pt idx="1">
                  <c:v>6.5934065934065936E-2</c:v>
                </c:pt>
                <c:pt idx="2">
                  <c:v>0.18681318681318682</c:v>
                </c:pt>
                <c:pt idx="3">
                  <c:v>0.31868131868131866</c:v>
                </c:pt>
                <c:pt idx="4">
                  <c:v>0.27472527472527475</c:v>
                </c:pt>
                <c:pt idx="5">
                  <c:v>0.18681318681318682</c:v>
                </c:pt>
                <c:pt idx="6">
                  <c:v>0.2087912087912088</c:v>
                </c:pt>
                <c:pt idx="7">
                  <c:v>0.31868131868131866</c:v>
                </c:pt>
              </c:numCache>
            </c:numRef>
          </c:val>
          <c:extLst>
            <c:ext xmlns:c16="http://schemas.microsoft.com/office/drawing/2014/chart" uri="{C3380CC4-5D6E-409C-BE32-E72D297353CC}">
              <c16:uniqueId val="{00000000-A094-4414-8A9E-48F4624CE059}"/>
            </c:ext>
          </c:extLst>
        </c:ser>
        <c:ser>
          <c:idx val="1"/>
          <c:order val="1"/>
          <c:tx>
            <c:strRef>
              <c:f>Sheet6!$X$5</c:f>
              <c:strCache>
                <c:ptCount val="1"/>
                <c:pt idx="0">
                  <c:v>2020</c:v>
                </c:pt>
              </c:strCache>
            </c:strRef>
          </c:tx>
          <c:spPr>
            <a:solidFill>
              <a:schemeClr val="accent2"/>
            </a:solidFill>
            <a:ln>
              <a:noFill/>
            </a:ln>
            <a:effectLst/>
          </c:spPr>
          <c:invertIfNegative val="0"/>
          <c:cat>
            <c:strRef>
              <c:f>Sheet6!$V$6:$V$13</c:f>
              <c:strCache>
                <c:ptCount val="8"/>
                <c:pt idx="0">
                  <c:v>BBCA</c:v>
                </c:pt>
                <c:pt idx="1">
                  <c:v>BBNI</c:v>
                </c:pt>
                <c:pt idx="2">
                  <c:v>BBRI</c:v>
                </c:pt>
                <c:pt idx="3">
                  <c:v>BBTN</c:v>
                </c:pt>
                <c:pt idx="4">
                  <c:v>BMRI</c:v>
                </c:pt>
                <c:pt idx="5">
                  <c:v>UNTR</c:v>
                </c:pt>
                <c:pt idx="6">
                  <c:v>UNVR</c:v>
                </c:pt>
                <c:pt idx="7">
                  <c:v>WIKA</c:v>
                </c:pt>
              </c:strCache>
            </c:strRef>
          </c:cat>
          <c:val>
            <c:numRef>
              <c:f>Sheet6!$X$6:$X$13</c:f>
              <c:numCache>
                <c:formatCode>0.00</c:formatCode>
                <c:ptCount val="8"/>
                <c:pt idx="0">
                  <c:v>0.26373626373626374</c:v>
                </c:pt>
                <c:pt idx="1">
                  <c:v>0.15384615384615385</c:v>
                </c:pt>
                <c:pt idx="2">
                  <c:v>0.2967032967032967</c:v>
                </c:pt>
                <c:pt idx="3">
                  <c:v>0.31868131868131866</c:v>
                </c:pt>
                <c:pt idx="4">
                  <c:v>0.26373626373626374</c:v>
                </c:pt>
                <c:pt idx="5">
                  <c:v>0.2087912087912088</c:v>
                </c:pt>
                <c:pt idx="6">
                  <c:v>0.2857142857142857</c:v>
                </c:pt>
                <c:pt idx="7">
                  <c:v>0.25274725274725274</c:v>
                </c:pt>
              </c:numCache>
            </c:numRef>
          </c:val>
          <c:extLst>
            <c:ext xmlns:c16="http://schemas.microsoft.com/office/drawing/2014/chart" uri="{C3380CC4-5D6E-409C-BE32-E72D297353CC}">
              <c16:uniqueId val="{00000001-A094-4414-8A9E-48F4624CE059}"/>
            </c:ext>
          </c:extLst>
        </c:ser>
        <c:ser>
          <c:idx val="2"/>
          <c:order val="2"/>
          <c:tx>
            <c:strRef>
              <c:f>Sheet6!$Y$5</c:f>
              <c:strCache>
                <c:ptCount val="1"/>
                <c:pt idx="0">
                  <c:v>2021</c:v>
                </c:pt>
              </c:strCache>
            </c:strRef>
          </c:tx>
          <c:spPr>
            <a:solidFill>
              <a:schemeClr val="accent3"/>
            </a:solidFill>
            <a:ln>
              <a:noFill/>
            </a:ln>
            <a:effectLst/>
          </c:spPr>
          <c:invertIfNegative val="0"/>
          <c:cat>
            <c:strRef>
              <c:f>Sheet6!$V$6:$V$13</c:f>
              <c:strCache>
                <c:ptCount val="8"/>
                <c:pt idx="0">
                  <c:v>BBCA</c:v>
                </c:pt>
                <c:pt idx="1">
                  <c:v>BBNI</c:v>
                </c:pt>
                <c:pt idx="2">
                  <c:v>BBRI</c:v>
                </c:pt>
                <c:pt idx="3">
                  <c:v>BBTN</c:v>
                </c:pt>
                <c:pt idx="4">
                  <c:v>BMRI</c:v>
                </c:pt>
                <c:pt idx="5">
                  <c:v>UNTR</c:v>
                </c:pt>
                <c:pt idx="6">
                  <c:v>UNVR</c:v>
                </c:pt>
                <c:pt idx="7">
                  <c:v>WIKA</c:v>
                </c:pt>
              </c:strCache>
            </c:strRef>
          </c:cat>
          <c:val>
            <c:numRef>
              <c:f>Sheet6!$Y$6:$Y$13</c:f>
              <c:numCache>
                <c:formatCode>0.00</c:formatCode>
                <c:ptCount val="8"/>
                <c:pt idx="0">
                  <c:v>0.27472527472527475</c:v>
                </c:pt>
                <c:pt idx="1">
                  <c:v>0.21978021978021978</c:v>
                </c:pt>
                <c:pt idx="2">
                  <c:v>0.35164835164835168</c:v>
                </c:pt>
                <c:pt idx="3">
                  <c:v>0.46153846153846156</c:v>
                </c:pt>
                <c:pt idx="4">
                  <c:v>0.43956043956043955</c:v>
                </c:pt>
                <c:pt idx="5">
                  <c:v>0.25274725274725274</c:v>
                </c:pt>
                <c:pt idx="6">
                  <c:v>0.27472527472527475</c:v>
                </c:pt>
                <c:pt idx="7">
                  <c:v>0.30769230769230771</c:v>
                </c:pt>
              </c:numCache>
            </c:numRef>
          </c:val>
          <c:extLst>
            <c:ext xmlns:c16="http://schemas.microsoft.com/office/drawing/2014/chart" uri="{C3380CC4-5D6E-409C-BE32-E72D297353CC}">
              <c16:uniqueId val="{00000002-A094-4414-8A9E-48F4624CE059}"/>
            </c:ext>
          </c:extLst>
        </c:ser>
        <c:ser>
          <c:idx val="3"/>
          <c:order val="3"/>
          <c:tx>
            <c:strRef>
              <c:f>Sheet6!$Z$5</c:f>
              <c:strCache>
                <c:ptCount val="1"/>
                <c:pt idx="0">
                  <c:v>2022</c:v>
                </c:pt>
              </c:strCache>
            </c:strRef>
          </c:tx>
          <c:spPr>
            <a:solidFill>
              <a:schemeClr val="accent4"/>
            </a:solidFill>
            <a:ln>
              <a:noFill/>
            </a:ln>
            <a:effectLst/>
          </c:spPr>
          <c:invertIfNegative val="0"/>
          <c:cat>
            <c:strRef>
              <c:f>Sheet6!$V$6:$V$13</c:f>
              <c:strCache>
                <c:ptCount val="8"/>
                <c:pt idx="0">
                  <c:v>BBCA</c:v>
                </c:pt>
                <c:pt idx="1">
                  <c:v>BBNI</c:v>
                </c:pt>
                <c:pt idx="2">
                  <c:v>BBRI</c:v>
                </c:pt>
                <c:pt idx="3">
                  <c:v>BBTN</c:v>
                </c:pt>
                <c:pt idx="4">
                  <c:v>BMRI</c:v>
                </c:pt>
                <c:pt idx="5">
                  <c:v>UNTR</c:v>
                </c:pt>
                <c:pt idx="6">
                  <c:v>UNVR</c:v>
                </c:pt>
                <c:pt idx="7">
                  <c:v>WIKA</c:v>
                </c:pt>
              </c:strCache>
            </c:strRef>
          </c:cat>
          <c:val>
            <c:numRef>
              <c:f>Sheet6!$Z$6:$Z$13</c:f>
              <c:numCache>
                <c:formatCode>0.00</c:formatCode>
                <c:ptCount val="8"/>
                <c:pt idx="0">
                  <c:v>0.24175824175824176</c:v>
                </c:pt>
                <c:pt idx="1">
                  <c:v>0.30769230769230771</c:v>
                </c:pt>
                <c:pt idx="2">
                  <c:v>0.37362637362637363</c:v>
                </c:pt>
                <c:pt idx="3">
                  <c:v>0.59340659340659341</c:v>
                </c:pt>
                <c:pt idx="4">
                  <c:v>0.47252747252747251</c:v>
                </c:pt>
                <c:pt idx="5">
                  <c:v>0.14285714285714285</c:v>
                </c:pt>
                <c:pt idx="6">
                  <c:v>0.40659340659340659</c:v>
                </c:pt>
                <c:pt idx="7">
                  <c:v>0.45054945054945056</c:v>
                </c:pt>
              </c:numCache>
            </c:numRef>
          </c:val>
          <c:extLst>
            <c:ext xmlns:c16="http://schemas.microsoft.com/office/drawing/2014/chart" uri="{C3380CC4-5D6E-409C-BE32-E72D297353CC}">
              <c16:uniqueId val="{00000003-A094-4414-8A9E-48F4624CE059}"/>
            </c:ext>
          </c:extLst>
        </c:ser>
        <c:ser>
          <c:idx val="4"/>
          <c:order val="4"/>
          <c:tx>
            <c:strRef>
              <c:f>Sheet6!$AA$5</c:f>
              <c:strCache>
                <c:ptCount val="1"/>
                <c:pt idx="0">
                  <c:v>2023</c:v>
                </c:pt>
              </c:strCache>
            </c:strRef>
          </c:tx>
          <c:spPr>
            <a:solidFill>
              <a:schemeClr val="accent5"/>
            </a:solidFill>
            <a:ln>
              <a:noFill/>
            </a:ln>
            <a:effectLst/>
          </c:spPr>
          <c:invertIfNegative val="0"/>
          <c:cat>
            <c:strRef>
              <c:f>Sheet6!$V$6:$V$13</c:f>
              <c:strCache>
                <c:ptCount val="8"/>
                <c:pt idx="0">
                  <c:v>BBCA</c:v>
                </c:pt>
                <c:pt idx="1">
                  <c:v>BBNI</c:v>
                </c:pt>
                <c:pt idx="2">
                  <c:v>BBRI</c:v>
                </c:pt>
                <c:pt idx="3">
                  <c:v>BBTN</c:v>
                </c:pt>
                <c:pt idx="4">
                  <c:v>BMRI</c:v>
                </c:pt>
                <c:pt idx="5">
                  <c:v>UNTR</c:v>
                </c:pt>
                <c:pt idx="6">
                  <c:v>UNVR</c:v>
                </c:pt>
                <c:pt idx="7">
                  <c:v>WIKA</c:v>
                </c:pt>
              </c:strCache>
            </c:strRef>
          </c:cat>
          <c:val>
            <c:numRef>
              <c:f>Sheet6!$AA$6:$AA$13</c:f>
              <c:numCache>
                <c:formatCode>0.00</c:formatCode>
                <c:ptCount val="8"/>
                <c:pt idx="0">
                  <c:v>0.2857142857142857</c:v>
                </c:pt>
                <c:pt idx="1">
                  <c:v>0.63736263736263732</c:v>
                </c:pt>
                <c:pt idx="2">
                  <c:v>0.37362637362637363</c:v>
                </c:pt>
                <c:pt idx="3">
                  <c:v>0.62637362637362637</c:v>
                </c:pt>
                <c:pt idx="4">
                  <c:v>0.35164835164835168</c:v>
                </c:pt>
                <c:pt idx="5">
                  <c:v>0.14285714285714285</c:v>
                </c:pt>
                <c:pt idx="6">
                  <c:v>0.58241758241758246</c:v>
                </c:pt>
                <c:pt idx="7">
                  <c:v>0.40659340659340659</c:v>
                </c:pt>
              </c:numCache>
            </c:numRef>
          </c:val>
          <c:extLst>
            <c:ext xmlns:c16="http://schemas.microsoft.com/office/drawing/2014/chart" uri="{C3380CC4-5D6E-409C-BE32-E72D297353CC}">
              <c16:uniqueId val="{00000004-A094-4414-8A9E-48F4624CE059}"/>
            </c:ext>
          </c:extLst>
        </c:ser>
        <c:dLbls>
          <c:showLegendKey val="0"/>
          <c:showVal val="0"/>
          <c:showCatName val="0"/>
          <c:showSerName val="0"/>
          <c:showPercent val="0"/>
          <c:showBubbleSize val="0"/>
        </c:dLbls>
        <c:gapWidth val="150"/>
        <c:axId val="1716069760"/>
        <c:axId val="1716071008"/>
      </c:barChart>
      <c:catAx>
        <c:axId val="171606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16071008"/>
        <c:crosses val="autoZero"/>
        <c:auto val="1"/>
        <c:lblAlgn val="ctr"/>
        <c:lblOffset val="100"/>
        <c:noMultiLvlLbl val="0"/>
      </c:catAx>
      <c:valAx>
        <c:axId val="1716071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160697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Profitabilitas</a:t>
            </a: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Sheet6!$AD$5</c:f>
              <c:strCache>
                <c:ptCount val="1"/>
                <c:pt idx="0">
                  <c:v>2019</c:v>
                </c:pt>
              </c:strCache>
            </c:strRef>
          </c:tx>
          <c:spPr>
            <a:solidFill>
              <a:schemeClr val="accent1"/>
            </a:solidFill>
            <a:ln>
              <a:noFill/>
            </a:ln>
            <a:effectLst/>
          </c:spPr>
          <c:invertIfNegative val="0"/>
          <c:cat>
            <c:strRef>
              <c:f>Sheet6!$AC$6:$AC$13</c:f>
              <c:strCache>
                <c:ptCount val="8"/>
                <c:pt idx="0">
                  <c:v>BBCA</c:v>
                </c:pt>
                <c:pt idx="1">
                  <c:v>BBNI</c:v>
                </c:pt>
                <c:pt idx="2">
                  <c:v>BBRI</c:v>
                </c:pt>
                <c:pt idx="3">
                  <c:v>BBTN</c:v>
                </c:pt>
                <c:pt idx="4">
                  <c:v>BMRI</c:v>
                </c:pt>
                <c:pt idx="5">
                  <c:v>UNTR</c:v>
                </c:pt>
                <c:pt idx="6">
                  <c:v>UNVR</c:v>
                </c:pt>
                <c:pt idx="7">
                  <c:v>WIKA</c:v>
                </c:pt>
              </c:strCache>
            </c:strRef>
          </c:cat>
          <c:val>
            <c:numRef>
              <c:f>Sheet6!$AD$6:$AD$13</c:f>
              <c:numCache>
                <c:formatCode>0.00</c:formatCode>
                <c:ptCount val="8"/>
                <c:pt idx="0">
                  <c:v>3.1088472550157363E-2</c:v>
                </c:pt>
                <c:pt idx="1">
                  <c:v>1.8340216986932275E-2</c:v>
                </c:pt>
                <c:pt idx="2">
                  <c:v>2.4290531337005809E-2</c:v>
                </c:pt>
                <c:pt idx="3">
                  <c:v>6.7119484582093441E-4</c:v>
                </c:pt>
                <c:pt idx="4">
                  <c:v>2.1585944329592998E-2</c:v>
                </c:pt>
                <c:pt idx="5">
                  <c:v>9.967151202799128E-2</c:v>
                </c:pt>
                <c:pt idx="6">
                  <c:v>0.35801753961416066</c:v>
                </c:pt>
                <c:pt idx="7">
                  <c:v>4.219899196514508E-2</c:v>
                </c:pt>
              </c:numCache>
            </c:numRef>
          </c:val>
          <c:extLst>
            <c:ext xmlns:c16="http://schemas.microsoft.com/office/drawing/2014/chart" uri="{C3380CC4-5D6E-409C-BE32-E72D297353CC}">
              <c16:uniqueId val="{00000000-5B9D-44C1-B693-985316F5EFD6}"/>
            </c:ext>
          </c:extLst>
        </c:ser>
        <c:ser>
          <c:idx val="1"/>
          <c:order val="1"/>
          <c:tx>
            <c:strRef>
              <c:f>Sheet6!$AE$5</c:f>
              <c:strCache>
                <c:ptCount val="1"/>
                <c:pt idx="0">
                  <c:v>2020</c:v>
                </c:pt>
              </c:strCache>
            </c:strRef>
          </c:tx>
          <c:spPr>
            <a:solidFill>
              <a:schemeClr val="accent2"/>
            </a:solidFill>
            <a:ln>
              <a:noFill/>
            </a:ln>
            <a:effectLst/>
          </c:spPr>
          <c:invertIfNegative val="0"/>
          <c:cat>
            <c:strRef>
              <c:f>Sheet6!$AC$6:$AC$13</c:f>
              <c:strCache>
                <c:ptCount val="8"/>
                <c:pt idx="0">
                  <c:v>BBCA</c:v>
                </c:pt>
                <c:pt idx="1">
                  <c:v>BBNI</c:v>
                </c:pt>
                <c:pt idx="2">
                  <c:v>BBRI</c:v>
                </c:pt>
                <c:pt idx="3">
                  <c:v>BBTN</c:v>
                </c:pt>
                <c:pt idx="4">
                  <c:v>BMRI</c:v>
                </c:pt>
                <c:pt idx="5">
                  <c:v>UNTR</c:v>
                </c:pt>
                <c:pt idx="6">
                  <c:v>UNVR</c:v>
                </c:pt>
                <c:pt idx="7">
                  <c:v>WIKA</c:v>
                </c:pt>
              </c:strCache>
            </c:strRef>
          </c:cat>
          <c:val>
            <c:numRef>
              <c:f>Sheet6!$AE$6:$AE$13</c:f>
              <c:numCache>
                <c:formatCode>0.00</c:formatCode>
                <c:ptCount val="8"/>
                <c:pt idx="0">
                  <c:v>2.5239735710951085E-2</c:v>
                </c:pt>
                <c:pt idx="1">
                  <c:v>3.72635761367251E-3</c:v>
                </c:pt>
                <c:pt idx="2">
                  <c:v>1.2343124669942472E-2</c:v>
                </c:pt>
                <c:pt idx="3">
                  <c:v>4.4361038485909434E-3</c:v>
                </c:pt>
                <c:pt idx="4">
                  <c:v>1.2345342673478799E-2</c:v>
                </c:pt>
                <c:pt idx="5">
                  <c:v>5.6436579675087903E-2</c:v>
                </c:pt>
                <c:pt idx="6">
                  <c:v>0.34885144277238567</c:v>
                </c:pt>
                <c:pt idx="7">
                  <c:v>4.7327318920631356E-3</c:v>
                </c:pt>
              </c:numCache>
            </c:numRef>
          </c:val>
          <c:extLst>
            <c:ext xmlns:c16="http://schemas.microsoft.com/office/drawing/2014/chart" uri="{C3380CC4-5D6E-409C-BE32-E72D297353CC}">
              <c16:uniqueId val="{00000001-5B9D-44C1-B693-985316F5EFD6}"/>
            </c:ext>
          </c:extLst>
        </c:ser>
        <c:ser>
          <c:idx val="2"/>
          <c:order val="2"/>
          <c:tx>
            <c:strRef>
              <c:f>Sheet6!$AF$5</c:f>
              <c:strCache>
                <c:ptCount val="1"/>
                <c:pt idx="0">
                  <c:v>2021</c:v>
                </c:pt>
              </c:strCache>
            </c:strRef>
          </c:tx>
          <c:spPr>
            <a:solidFill>
              <a:schemeClr val="accent3"/>
            </a:solidFill>
            <a:ln>
              <a:noFill/>
            </a:ln>
            <a:effectLst/>
          </c:spPr>
          <c:invertIfNegative val="0"/>
          <c:cat>
            <c:strRef>
              <c:f>Sheet6!$AC$6:$AC$13</c:f>
              <c:strCache>
                <c:ptCount val="8"/>
                <c:pt idx="0">
                  <c:v>BBCA</c:v>
                </c:pt>
                <c:pt idx="1">
                  <c:v>BBNI</c:v>
                </c:pt>
                <c:pt idx="2">
                  <c:v>BBRI</c:v>
                </c:pt>
                <c:pt idx="3">
                  <c:v>BBTN</c:v>
                </c:pt>
                <c:pt idx="4">
                  <c:v>BMRI</c:v>
                </c:pt>
                <c:pt idx="5">
                  <c:v>UNTR</c:v>
                </c:pt>
                <c:pt idx="6">
                  <c:v>UNVR</c:v>
                </c:pt>
                <c:pt idx="7">
                  <c:v>WIKA</c:v>
                </c:pt>
              </c:strCache>
            </c:strRef>
          </c:cat>
          <c:val>
            <c:numRef>
              <c:f>Sheet6!$AF$6:$AF$13</c:f>
              <c:numCache>
                <c:formatCode>0.00</c:formatCode>
                <c:ptCount val="8"/>
                <c:pt idx="0">
                  <c:v>2.5595551079359909E-2</c:v>
                </c:pt>
                <c:pt idx="1">
                  <c:v>1.1377095952010134E-2</c:v>
                </c:pt>
                <c:pt idx="2">
                  <c:v>1.8327756111492371E-2</c:v>
                </c:pt>
                <c:pt idx="3">
                  <c:v>6.3899690554702843E-3</c:v>
                </c:pt>
                <c:pt idx="4">
                  <c:v>1.7704508567587308E-2</c:v>
                </c:pt>
                <c:pt idx="5">
                  <c:v>9.4244307078176992E-2</c:v>
                </c:pt>
                <c:pt idx="6">
                  <c:v>0.30197122673103521</c:v>
                </c:pt>
                <c:pt idx="7">
                  <c:v>3.0903270045558153E-3</c:v>
                </c:pt>
              </c:numCache>
            </c:numRef>
          </c:val>
          <c:extLst>
            <c:ext xmlns:c16="http://schemas.microsoft.com/office/drawing/2014/chart" uri="{C3380CC4-5D6E-409C-BE32-E72D297353CC}">
              <c16:uniqueId val="{00000002-5B9D-44C1-B693-985316F5EFD6}"/>
            </c:ext>
          </c:extLst>
        </c:ser>
        <c:ser>
          <c:idx val="3"/>
          <c:order val="3"/>
          <c:tx>
            <c:strRef>
              <c:f>Sheet6!$AG$5</c:f>
              <c:strCache>
                <c:ptCount val="1"/>
                <c:pt idx="0">
                  <c:v>2022</c:v>
                </c:pt>
              </c:strCache>
            </c:strRef>
          </c:tx>
          <c:spPr>
            <a:solidFill>
              <a:schemeClr val="accent4"/>
            </a:solidFill>
            <a:ln>
              <a:noFill/>
            </a:ln>
            <a:effectLst/>
          </c:spPr>
          <c:invertIfNegative val="0"/>
          <c:cat>
            <c:strRef>
              <c:f>Sheet6!$AC$6:$AC$13</c:f>
              <c:strCache>
                <c:ptCount val="8"/>
                <c:pt idx="0">
                  <c:v>BBCA</c:v>
                </c:pt>
                <c:pt idx="1">
                  <c:v>BBNI</c:v>
                </c:pt>
                <c:pt idx="2">
                  <c:v>BBRI</c:v>
                </c:pt>
                <c:pt idx="3">
                  <c:v>BBTN</c:v>
                </c:pt>
                <c:pt idx="4">
                  <c:v>BMRI</c:v>
                </c:pt>
                <c:pt idx="5">
                  <c:v>UNTR</c:v>
                </c:pt>
                <c:pt idx="6">
                  <c:v>UNVR</c:v>
                </c:pt>
                <c:pt idx="7">
                  <c:v>WIKA</c:v>
                </c:pt>
              </c:strCache>
            </c:strRef>
          </c:cat>
          <c:val>
            <c:numRef>
              <c:f>Sheet6!$AG$6:$AG$13</c:f>
              <c:numCache>
                <c:formatCode>0.00</c:formatCode>
                <c:ptCount val="8"/>
                <c:pt idx="0">
                  <c:v>3.0999155801885701E-2</c:v>
                </c:pt>
                <c:pt idx="1">
                  <c:v>1.7946318076466457E-2</c:v>
                </c:pt>
                <c:pt idx="2">
                  <c:v>2.755528091149852E-2</c:v>
                </c:pt>
                <c:pt idx="3">
                  <c:v>7.5720148739552582E-3</c:v>
                </c:pt>
                <c:pt idx="4">
                  <c:v>2.2560280978029579E-2</c:v>
                </c:pt>
                <c:pt idx="5">
                  <c:v>0.16368140911808252</c:v>
                </c:pt>
                <c:pt idx="6">
                  <c:v>0.29286644902417358</c:v>
                </c:pt>
                <c:pt idx="7">
                  <c:v>1.6766353213717094E-4</c:v>
                </c:pt>
              </c:numCache>
            </c:numRef>
          </c:val>
          <c:extLst>
            <c:ext xmlns:c16="http://schemas.microsoft.com/office/drawing/2014/chart" uri="{C3380CC4-5D6E-409C-BE32-E72D297353CC}">
              <c16:uniqueId val="{00000003-5B9D-44C1-B693-985316F5EFD6}"/>
            </c:ext>
          </c:extLst>
        </c:ser>
        <c:ser>
          <c:idx val="4"/>
          <c:order val="4"/>
          <c:tx>
            <c:strRef>
              <c:f>Sheet6!$AH$5</c:f>
              <c:strCache>
                <c:ptCount val="1"/>
                <c:pt idx="0">
                  <c:v>2023</c:v>
                </c:pt>
              </c:strCache>
            </c:strRef>
          </c:tx>
          <c:spPr>
            <a:solidFill>
              <a:schemeClr val="accent5"/>
            </a:solidFill>
            <a:ln>
              <a:noFill/>
            </a:ln>
            <a:effectLst/>
          </c:spPr>
          <c:invertIfNegative val="0"/>
          <c:cat>
            <c:strRef>
              <c:f>Sheet6!$AC$6:$AC$13</c:f>
              <c:strCache>
                <c:ptCount val="8"/>
                <c:pt idx="0">
                  <c:v>BBCA</c:v>
                </c:pt>
                <c:pt idx="1">
                  <c:v>BBNI</c:v>
                </c:pt>
                <c:pt idx="2">
                  <c:v>BBRI</c:v>
                </c:pt>
                <c:pt idx="3">
                  <c:v>BBTN</c:v>
                </c:pt>
                <c:pt idx="4">
                  <c:v>BMRI</c:v>
                </c:pt>
                <c:pt idx="5">
                  <c:v>UNTR</c:v>
                </c:pt>
                <c:pt idx="6">
                  <c:v>UNVR</c:v>
                </c:pt>
                <c:pt idx="7">
                  <c:v>WIKA</c:v>
                </c:pt>
              </c:strCache>
            </c:strRef>
          </c:cat>
          <c:val>
            <c:numRef>
              <c:f>Sheet6!$AH$6:$AH$13</c:f>
              <c:numCache>
                <c:formatCode>0.00</c:formatCode>
                <c:ptCount val="8"/>
                <c:pt idx="0">
                  <c:v>3.4555679827202902E-2</c:v>
                </c:pt>
                <c:pt idx="1">
                  <c:v>1.9422957116386849E-2</c:v>
                </c:pt>
                <c:pt idx="2">
                  <c:v>3.0750550546376418E-2</c:v>
                </c:pt>
                <c:pt idx="3">
                  <c:v>7.9794646303787183E-3</c:v>
                </c:pt>
                <c:pt idx="4">
                  <c:v>2.7619967261179622E-2</c:v>
                </c:pt>
                <c:pt idx="5">
                  <c:v>0.14367556787375779</c:v>
                </c:pt>
                <c:pt idx="6">
                  <c:v>0.28810100956032031</c:v>
                </c:pt>
                <c:pt idx="7">
                  <c:v>0.11858733610691655</c:v>
                </c:pt>
              </c:numCache>
            </c:numRef>
          </c:val>
          <c:extLst>
            <c:ext xmlns:c16="http://schemas.microsoft.com/office/drawing/2014/chart" uri="{C3380CC4-5D6E-409C-BE32-E72D297353CC}">
              <c16:uniqueId val="{00000004-5B9D-44C1-B693-985316F5EFD6}"/>
            </c:ext>
          </c:extLst>
        </c:ser>
        <c:dLbls>
          <c:showLegendKey val="0"/>
          <c:showVal val="0"/>
          <c:showCatName val="0"/>
          <c:showSerName val="0"/>
          <c:showPercent val="0"/>
          <c:showBubbleSize val="0"/>
        </c:dLbls>
        <c:gapWidth val="150"/>
        <c:axId val="1721245840"/>
        <c:axId val="1721247088"/>
      </c:barChart>
      <c:catAx>
        <c:axId val="172124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1247088"/>
        <c:crosses val="autoZero"/>
        <c:auto val="1"/>
        <c:lblAlgn val="ctr"/>
        <c:lblOffset val="100"/>
        <c:noMultiLvlLbl val="0"/>
      </c:catAx>
      <c:valAx>
        <c:axId val="1721247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12458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5472F-3E7E-43A7-A8C3-F0A99F6A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13109</TotalTime>
  <Pages>62</Pages>
  <Words>16780</Words>
  <Characters>95649</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sasa</cp:lastModifiedBy>
  <cp:revision>56</cp:revision>
  <cp:lastPrinted>2024-07-02T01:04:00Z</cp:lastPrinted>
  <dcterms:created xsi:type="dcterms:W3CDTF">2024-06-11T11:01:00Z</dcterms:created>
  <dcterms:modified xsi:type="dcterms:W3CDTF">2024-08-13T08:58:00Z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8a719667-7125-32f9-905f-31696e5374ac</vt:lpwstr>
  </property>
  <property fmtid="{D5CDD505-2E9C-101B-9397-08002B2CF9AE}" pid="24" name="Mendeley Citation Style_1">
    <vt:lpwstr>http://www.zotero.org/styles/apa</vt:lpwstr>
  </property>
</Properties>
</file>