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3388" w14:textId="221C292F" w:rsidR="009D0D34" w:rsidRPr="005279AA" w:rsidRDefault="009D0D34"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BAB IV</w:t>
      </w:r>
    </w:p>
    <w:p w14:paraId="3BC018E4" w14:textId="509B2863" w:rsidR="001C66FF" w:rsidRPr="005279AA" w:rsidRDefault="001C66FF"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PENELITIAN DAN PEMBAHASAN</w:t>
      </w:r>
    </w:p>
    <w:p w14:paraId="549E72D1" w14:textId="5DA7A785" w:rsidR="001C66FF" w:rsidRPr="005279AA" w:rsidRDefault="001C66FF"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03D2933B" w14:textId="67E623C0" w:rsidR="001C66FF" w:rsidRPr="005279AA" w:rsidRDefault="001C66FF" w:rsidP="00BF76D1">
      <w:pPr>
        <w:pStyle w:val="ListParagraph"/>
        <w:numPr>
          <w:ilvl w:val="0"/>
          <w:numId w:val="41"/>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Gambaran Umum</w:t>
      </w:r>
    </w:p>
    <w:p w14:paraId="12D70434" w14:textId="442E7DCF" w:rsidR="00683122" w:rsidRPr="005279AA" w:rsidRDefault="00683122" w:rsidP="00BF76D1">
      <w:pPr>
        <w:pStyle w:val="ListParagraph"/>
        <w:tabs>
          <w:tab w:val="left" w:pos="1701"/>
        </w:tabs>
        <w:spacing w:line="480" w:lineRule="auto"/>
        <w:ind w:left="360" w:firstLine="698"/>
        <w:jc w:val="both"/>
        <w:rPr>
          <w:rFonts w:asciiTheme="majorBidi" w:eastAsiaTheme="minorEastAsia" w:hAnsiTheme="majorBidi" w:cstheme="majorBidi"/>
          <w:b/>
          <w:bCs/>
          <w:iCs/>
          <w:sz w:val="24"/>
          <w:szCs w:val="24"/>
        </w:rPr>
      </w:pPr>
      <w:r w:rsidRPr="005279AA">
        <w:rPr>
          <w:rFonts w:asciiTheme="majorBidi" w:hAnsiTheme="majorBidi" w:cstheme="majorBidi"/>
          <w:sz w:val="24"/>
          <w:szCs w:val="24"/>
        </w:rPr>
        <w:t xml:space="preserve">Berikut ini adalah daftar nama </w:t>
      </w:r>
      <w:r w:rsidR="008773B9" w:rsidRPr="005279AA">
        <w:rPr>
          <w:rFonts w:asciiTheme="majorBidi" w:hAnsiTheme="majorBidi" w:cstheme="majorBidi"/>
          <w:sz w:val="24"/>
          <w:szCs w:val="24"/>
        </w:rPr>
        <w:t xml:space="preserve">dan penjelasan singkat mengenai obyek sektor </w:t>
      </w:r>
      <w:r w:rsidR="008773B9" w:rsidRPr="005279AA">
        <w:rPr>
          <w:rFonts w:asciiTheme="majorBidi" w:hAnsiTheme="majorBidi" w:cstheme="majorBidi"/>
          <w:i/>
          <w:iCs/>
          <w:sz w:val="24"/>
          <w:szCs w:val="24"/>
        </w:rPr>
        <w:t>consumer non cyclical</w:t>
      </w:r>
      <w:r w:rsidR="008773B9" w:rsidRPr="005279AA">
        <w:rPr>
          <w:rFonts w:asciiTheme="majorBidi" w:hAnsiTheme="majorBidi" w:cstheme="majorBidi"/>
          <w:sz w:val="24"/>
          <w:szCs w:val="24"/>
        </w:rPr>
        <w:t xml:space="preserve"> yang telah memenuhi kriteria sebagai sampel penelitian:</w:t>
      </w:r>
    </w:p>
    <w:p w14:paraId="76D48323" w14:textId="275352F4"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Sumber Alfaria Trijaya Tbk.</w:t>
      </w:r>
    </w:p>
    <w:p w14:paraId="33B20552" w14:textId="31065E0E" w:rsidR="00CF454B" w:rsidRPr="005279AA" w:rsidRDefault="0088171E"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Sumber Alfaria Trijaya Tbk (AMRT) </w:t>
      </w:r>
      <w:r w:rsidR="000A4D35" w:rsidRPr="005279AA">
        <w:rPr>
          <w:rFonts w:asciiTheme="majorBidi" w:eastAsiaTheme="minorEastAsia" w:hAnsiTheme="majorBidi" w:cstheme="majorBidi"/>
          <w:iCs/>
          <w:sz w:val="24"/>
          <w:szCs w:val="24"/>
        </w:rPr>
        <w:t xml:space="preserve">didirikan pada tahun 1989 sebagai toko supermarket. Perusahaan beralih ke industri minimarket dalam waktu 10 tahun setelah membeli 141 lokasi Alfaminimart pada tahun 2002 dan melakukan rebranding menjadi "Alfamart", perusahaan beralih ke industri minimarket dalam waktu 10 tahun. PT Sumber Alfaria Trijaya Tbk (AMRT) </w:t>
      </w:r>
      <w:r w:rsidRPr="005279AA">
        <w:rPr>
          <w:rFonts w:asciiTheme="majorBidi" w:eastAsiaTheme="minorEastAsia" w:hAnsiTheme="majorBidi" w:cstheme="majorBidi"/>
          <w:iCs/>
          <w:sz w:val="24"/>
          <w:szCs w:val="24"/>
        </w:rPr>
        <w:t>mempunyai anak perusahaan yaitu PT Midi Utama Indonesia Tbk (Alfamart Retail Asia), PT Sumber Indah Lestari (DAN+DAN), PT Sumber Trijaya Lestari (Alfacart e-commerce), PT Sumber Wahana Sejahtera (logistik), dan PT Global Loyalti Indonesia.</w:t>
      </w:r>
    </w:p>
    <w:p w14:paraId="67CA383F" w14:textId="261614F0" w:rsidR="0088171E"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BISI International Tbk.</w:t>
      </w:r>
    </w:p>
    <w:p w14:paraId="571172BC" w14:textId="4628CF1D" w:rsidR="0088171E" w:rsidRPr="005279AA" w:rsidRDefault="0088171E"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BISI International Tbk (BISI) </w:t>
      </w:r>
      <w:r w:rsidR="0066471D" w:rsidRPr="005279AA">
        <w:rPr>
          <w:rFonts w:asciiTheme="majorBidi" w:eastAsiaTheme="minorEastAsia" w:hAnsiTheme="majorBidi" w:cstheme="majorBidi"/>
          <w:iCs/>
          <w:sz w:val="24"/>
          <w:szCs w:val="24"/>
        </w:rPr>
        <w:t xml:space="preserve">didirikan pada bulan Juni 1983 di Surabaya, Jawa Timur, sebagai bagian dari Grup Charoen Pokphand PT BISI International Tbk (BISI) </w:t>
      </w:r>
      <w:r w:rsidRPr="005279AA">
        <w:rPr>
          <w:rFonts w:asciiTheme="majorBidi" w:eastAsiaTheme="minorEastAsia" w:hAnsiTheme="majorBidi" w:cstheme="majorBidi"/>
          <w:iCs/>
          <w:sz w:val="24"/>
          <w:szCs w:val="24"/>
        </w:rPr>
        <w:t xml:space="preserve">bergerak di bidang pertanian. </w:t>
      </w:r>
      <w:r w:rsidR="0066471D" w:rsidRPr="005279AA">
        <w:rPr>
          <w:rFonts w:asciiTheme="majorBidi" w:eastAsiaTheme="minorEastAsia" w:hAnsiTheme="majorBidi" w:cstheme="majorBidi"/>
          <w:iCs/>
          <w:sz w:val="24"/>
          <w:szCs w:val="24"/>
        </w:rPr>
        <w:t>P</w:t>
      </w:r>
      <w:r w:rsidR="00CF454B" w:rsidRPr="005279AA">
        <w:rPr>
          <w:rFonts w:asciiTheme="majorBidi" w:eastAsiaTheme="minorEastAsia" w:hAnsiTheme="majorBidi" w:cstheme="majorBidi"/>
          <w:iCs/>
          <w:sz w:val="24"/>
          <w:szCs w:val="24"/>
        </w:rPr>
        <w:t xml:space="preserve">erusahaan </w:t>
      </w:r>
      <w:r w:rsidR="0066471D" w:rsidRPr="005279AA">
        <w:rPr>
          <w:rFonts w:asciiTheme="majorBidi" w:eastAsiaTheme="minorEastAsia" w:hAnsiTheme="majorBidi" w:cstheme="majorBidi"/>
          <w:iCs/>
          <w:sz w:val="24"/>
          <w:szCs w:val="24"/>
        </w:rPr>
        <w:t xml:space="preserve">ini </w:t>
      </w:r>
      <w:r w:rsidR="00CF454B" w:rsidRPr="005279AA">
        <w:rPr>
          <w:rFonts w:asciiTheme="majorBidi" w:eastAsiaTheme="minorEastAsia" w:hAnsiTheme="majorBidi" w:cstheme="majorBidi"/>
          <w:iCs/>
          <w:sz w:val="24"/>
          <w:szCs w:val="24"/>
        </w:rPr>
        <w:t>melakukan penawaran umum perdana (IPO)</w:t>
      </w:r>
      <w:r w:rsidR="0066471D" w:rsidRPr="005279AA">
        <w:rPr>
          <w:rFonts w:asciiTheme="majorBidi" w:eastAsiaTheme="minorEastAsia" w:hAnsiTheme="majorBidi" w:cstheme="majorBidi"/>
          <w:iCs/>
          <w:sz w:val="24"/>
          <w:szCs w:val="24"/>
        </w:rPr>
        <w:t xml:space="preserve"> pada bulan Mei 2007</w:t>
      </w:r>
      <w:r w:rsidR="00CF454B" w:rsidRPr="005279AA">
        <w:rPr>
          <w:rFonts w:asciiTheme="majorBidi" w:eastAsiaTheme="minorEastAsia" w:hAnsiTheme="majorBidi" w:cstheme="majorBidi"/>
          <w:iCs/>
          <w:sz w:val="24"/>
          <w:szCs w:val="24"/>
        </w:rPr>
        <w:t>.</w:t>
      </w:r>
      <w:r w:rsidR="0066471D" w:rsidRPr="005279AA">
        <w:rPr>
          <w:rFonts w:asciiTheme="majorBidi" w:eastAsiaTheme="minorEastAsia" w:hAnsiTheme="majorBidi" w:cstheme="majorBidi"/>
          <w:iCs/>
          <w:sz w:val="24"/>
          <w:szCs w:val="24"/>
        </w:rPr>
        <w:t xml:space="preserve"> PT BISI International Tbk (BISI) </w:t>
      </w:r>
      <w:r w:rsidRPr="005279AA">
        <w:rPr>
          <w:rFonts w:asciiTheme="majorBidi" w:eastAsiaTheme="minorEastAsia" w:hAnsiTheme="majorBidi" w:cstheme="majorBidi"/>
          <w:iCs/>
          <w:sz w:val="24"/>
          <w:szCs w:val="24"/>
        </w:rPr>
        <w:t xml:space="preserve">memproduksi tanaman pangan benih hibrida </w:t>
      </w:r>
      <w:r w:rsidRPr="005279AA">
        <w:rPr>
          <w:rFonts w:asciiTheme="majorBidi" w:eastAsiaTheme="minorEastAsia" w:hAnsiTheme="majorBidi" w:cstheme="majorBidi"/>
          <w:iCs/>
          <w:sz w:val="24"/>
          <w:szCs w:val="24"/>
        </w:rPr>
        <w:lastRenderedPageBreak/>
        <w:t xml:space="preserve">primer, termasuk jagung hibrida dan benih padi; serta benih hortikultura antara lain benih sayuran dan buah-buahan seperti cabai, mentimun, terong, tomat, labu kuning, kubis, sawi, kacang panjang, bayam, melon, semangka dan lain-lain. </w:t>
      </w:r>
      <w:r w:rsidR="0066471D" w:rsidRPr="005279AA">
        <w:rPr>
          <w:rFonts w:asciiTheme="majorBidi" w:eastAsiaTheme="minorEastAsia" w:hAnsiTheme="majorBidi" w:cstheme="majorBidi"/>
          <w:iCs/>
          <w:sz w:val="24"/>
          <w:szCs w:val="24"/>
        </w:rPr>
        <w:t xml:space="preserve">Hasil produksinya </w:t>
      </w:r>
      <w:r w:rsidRPr="005279AA">
        <w:rPr>
          <w:rFonts w:asciiTheme="majorBidi" w:eastAsiaTheme="minorEastAsia" w:hAnsiTheme="majorBidi" w:cstheme="majorBidi"/>
          <w:iCs/>
          <w:sz w:val="24"/>
          <w:szCs w:val="24"/>
        </w:rPr>
        <w:t>dipasarkan di dalam negeri dan internasional.</w:t>
      </w:r>
    </w:p>
    <w:p w14:paraId="1576A009" w14:textId="76C9DFB2"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Budi Starch &amp; Sweetener Tbk.</w:t>
      </w:r>
    </w:p>
    <w:p w14:paraId="45A95144" w14:textId="75A8E312" w:rsidR="000D58CD" w:rsidRPr="005279AA" w:rsidRDefault="0088171E"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Budi Starch &amp; Sweetener Tbk (BUDI) </w:t>
      </w:r>
      <w:r w:rsidR="00510FBC" w:rsidRPr="005279AA">
        <w:rPr>
          <w:rFonts w:asciiTheme="majorBidi" w:eastAsiaTheme="minorEastAsia" w:hAnsiTheme="majorBidi" w:cstheme="majorBidi"/>
          <w:iCs/>
          <w:sz w:val="24"/>
          <w:szCs w:val="24"/>
        </w:rPr>
        <w:t xml:space="preserve">didirikan pada Januari 1979 dan merupakan perusahaan yang tergabung dalam Grup Sungai Budi. Perusahaan ini mulai menjalankan bisnisnya pada bulan Januari 1981 dan mengadakan penawaran umum perdana (IPO) pada bulan Mei 1995. Saat ini, SBG merupakan salah satu perusahaan terbesar di industri pertanian Indonesia. Perusahaan ini memproduksi barang makanan, plastik, bahan kimia, dan turunannya yang terbuat dari ubi jalar, singkong, minyak sawit, dan produk pertanian lainnya. Produk utamanya adalah asam sulfat, terpal plastik, pemanis, dan tepung tapioka. </w:t>
      </w:r>
      <w:r w:rsidRPr="005279AA">
        <w:rPr>
          <w:rFonts w:asciiTheme="majorBidi" w:eastAsiaTheme="minorEastAsia" w:hAnsiTheme="majorBidi" w:cstheme="majorBidi"/>
          <w:iCs/>
          <w:sz w:val="24"/>
          <w:szCs w:val="24"/>
        </w:rPr>
        <w:t>Sedangkan produk sekundernya adalah pupuk organik.</w:t>
      </w:r>
    </w:p>
    <w:p w14:paraId="02E624BB" w14:textId="678453DF"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Wilmar Cahaya Indonesia Tbk.</w:t>
      </w:r>
    </w:p>
    <w:p w14:paraId="68D7D989" w14:textId="520594A0" w:rsidR="00510FBC" w:rsidRPr="005279AA" w:rsidRDefault="0088171E"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Wilmar Cahaya Indonesia Tbk (CEKA) </w:t>
      </w:r>
      <w:r w:rsidR="00510FBC" w:rsidRPr="005279AA">
        <w:rPr>
          <w:rFonts w:asciiTheme="majorBidi" w:eastAsiaTheme="minorEastAsia" w:hAnsiTheme="majorBidi" w:cstheme="majorBidi"/>
          <w:iCs/>
          <w:sz w:val="24"/>
          <w:szCs w:val="24"/>
        </w:rPr>
        <w:t xml:space="preserve">Didirikan pada tahun 1988 dengan nama Cahaya Kalbar, perusahaan ini melakukan penawaran umum (IPO) pada tahun 1996 dan mengganti nama perusahaan menjadi PT Wilmar Cahaya Indonesia Tbk (CEKA) pada tahun 2013. PT Wilmar Cahaya Indonesia Tbk (CEKA) merupakan bagian dari Wilmar International </w:t>
      </w:r>
      <w:r w:rsidR="00510FBC" w:rsidRPr="005279AA">
        <w:rPr>
          <w:rFonts w:asciiTheme="majorBidi" w:eastAsiaTheme="minorEastAsia" w:hAnsiTheme="majorBidi" w:cstheme="majorBidi"/>
          <w:iCs/>
          <w:sz w:val="24"/>
          <w:szCs w:val="24"/>
        </w:rPr>
        <w:lastRenderedPageBreak/>
        <w:t>Limited. Produknya dipasarkan di pasar domestik dan internasional. Produknya dipasarkan di pasar domestik dan internasional.</w:t>
      </w:r>
    </w:p>
    <w:p w14:paraId="521BDAE5" w14:textId="2098E692"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Charoen Pokphand Indonesia Tbk</w:t>
      </w:r>
    </w:p>
    <w:p w14:paraId="5C15D142" w14:textId="62ABF049" w:rsidR="001472F0" w:rsidRPr="005279AA" w:rsidRDefault="0088171E"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PT Charoen Pokphand Indonesia Tbk (CPIN) didirikan pada tahun 1972 dengan nama PT Charoen Pokphand Indonesia Animal Feedmill Co. Limited</w:t>
      </w:r>
      <w:r w:rsidR="00510FBC" w:rsidRPr="005279AA">
        <w:rPr>
          <w:rFonts w:asciiTheme="majorBidi" w:eastAsiaTheme="minorEastAsia" w:hAnsiTheme="majorBidi" w:cstheme="majorBidi"/>
          <w:iCs/>
          <w:sz w:val="24"/>
          <w:szCs w:val="24"/>
        </w:rPr>
        <w:t>, perusahaan ini melakukan penawaran umum (IPO)</w:t>
      </w:r>
      <w:r w:rsidRPr="005279AA">
        <w:rPr>
          <w:rFonts w:asciiTheme="majorBidi" w:eastAsiaTheme="minorEastAsia" w:hAnsiTheme="majorBidi" w:cstheme="majorBidi"/>
          <w:iCs/>
          <w:sz w:val="24"/>
          <w:szCs w:val="24"/>
        </w:rPr>
        <w:t xml:space="preserve"> pada bulan Maret 1991. </w:t>
      </w:r>
      <w:r w:rsidR="005C399F" w:rsidRPr="005279AA">
        <w:rPr>
          <w:rFonts w:asciiTheme="majorBidi" w:eastAsiaTheme="minorEastAsia" w:hAnsiTheme="majorBidi" w:cstheme="majorBidi"/>
          <w:iCs/>
          <w:sz w:val="24"/>
          <w:szCs w:val="24"/>
        </w:rPr>
        <w:t xml:space="preserve">Operasional usaha PT Charoen Pokphand Indonesia Tbk (CPIN) </w:t>
      </w:r>
      <w:r w:rsidRPr="005279AA">
        <w:rPr>
          <w:rFonts w:asciiTheme="majorBidi" w:eastAsiaTheme="minorEastAsia" w:hAnsiTheme="majorBidi" w:cstheme="majorBidi"/>
          <w:iCs/>
          <w:sz w:val="24"/>
          <w:szCs w:val="24"/>
        </w:rPr>
        <w:t>meliputi pakan unggas, rumah potong hewan dan pengepakan daging, pengolahan dan pengawetan daging, pembuatan tepung, bumbu masak, produk farmasi untuk hewan, pengemasan plastik, penyediaan pergudangan, penyimpanan dan gudang berpendingin, serta perdagangan hewan hidup.</w:t>
      </w:r>
    </w:p>
    <w:p w14:paraId="37D82372" w14:textId="00B0C217"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Indofood CBP Sukses Makmur Tbk</w:t>
      </w:r>
    </w:p>
    <w:p w14:paraId="1812A6A7" w14:textId="27E669D6" w:rsidR="00C9466D" w:rsidRPr="005279AA" w:rsidRDefault="00C9466D"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Indofood CBP Sukses Makmur Tbk (ICBP) </w:t>
      </w:r>
      <w:r w:rsidR="005C399F" w:rsidRPr="005279AA">
        <w:rPr>
          <w:rFonts w:asciiTheme="majorBidi" w:eastAsiaTheme="minorEastAsia" w:hAnsiTheme="majorBidi" w:cstheme="majorBidi"/>
          <w:iCs/>
          <w:sz w:val="24"/>
          <w:szCs w:val="24"/>
        </w:rPr>
        <w:t xml:space="preserve">didirikan pada tanggal 2 september 2009, perusahaan ini </w:t>
      </w:r>
      <w:r w:rsidRPr="005279AA">
        <w:rPr>
          <w:rFonts w:asciiTheme="majorBidi" w:eastAsiaTheme="minorEastAsia" w:hAnsiTheme="majorBidi" w:cstheme="majorBidi"/>
          <w:iCs/>
          <w:sz w:val="24"/>
          <w:szCs w:val="24"/>
        </w:rPr>
        <w:t xml:space="preserve">merupakan produsen produk konsumen yang bergerak dalam beragam kategori bisnis, seperti mie, susu, makanan ringan, penyedap makanan, makanan khusus, dan minuman. Perusahaan </w:t>
      </w:r>
      <w:r w:rsidR="005C399F" w:rsidRPr="005279AA">
        <w:rPr>
          <w:rFonts w:asciiTheme="majorBidi" w:eastAsiaTheme="minorEastAsia" w:hAnsiTheme="majorBidi" w:cstheme="majorBidi"/>
          <w:iCs/>
          <w:sz w:val="24"/>
          <w:szCs w:val="24"/>
        </w:rPr>
        <w:t xml:space="preserve">PT Indofood CBP Sukses Makmur Tbk (ICBP) </w:t>
      </w:r>
      <w:r w:rsidRPr="005279AA">
        <w:rPr>
          <w:rFonts w:asciiTheme="majorBidi" w:eastAsiaTheme="minorEastAsia" w:hAnsiTheme="majorBidi" w:cstheme="majorBidi"/>
          <w:iCs/>
          <w:sz w:val="24"/>
          <w:szCs w:val="24"/>
        </w:rPr>
        <w:t>memproduksi kemasan fleksibel dan bergelombang untuk produknya. Perusahaan mengelola lebih dari 60 pabrik yang berlokasi di seluruh Indonesia. Beberapa produk yang populer adalah Indomie, Indomilk, Bumbu Racik, dan Ichi Ocha. Produknya, khususnya Indomie, juga diekspor ke banyak negara sehingga menjadikannya salah satu mie instan terpopuler di dunia internasional.</w:t>
      </w:r>
    </w:p>
    <w:p w14:paraId="79D4AB45" w14:textId="011A1442" w:rsidR="008773B9" w:rsidRPr="005279AA" w:rsidRDefault="00C9466D"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lastRenderedPageBreak/>
        <w:t xml:space="preserve">Indofood </w:t>
      </w:r>
      <w:r w:rsidR="008773B9" w:rsidRPr="005279AA">
        <w:rPr>
          <w:rFonts w:asciiTheme="majorBidi" w:eastAsiaTheme="minorEastAsia" w:hAnsiTheme="majorBidi" w:cstheme="majorBidi"/>
          <w:b/>
          <w:bCs/>
          <w:iCs/>
          <w:sz w:val="24"/>
          <w:szCs w:val="24"/>
        </w:rPr>
        <w:t>Sukses Makmur Tbk.</w:t>
      </w:r>
    </w:p>
    <w:p w14:paraId="6087DE73" w14:textId="2491E075" w:rsidR="00C9466D" w:rsidRPr="005279AA" w:rsidRDefault="00C9466D"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Indofood Sukses Makmur Tbk (INDF) didirikan pada tahun 1990 dengan nama PT Panganjaya Intikusuma, perusahaan patungan dengan Fritolay Netherland Holding B.V., afiliasi dari PepsiCo Inc. Berubah nama menjadi PT Indofood Sukses Makmur pada tahun 1994, </w:t>
      </w:r>
      <w:r w:rsidR="005C399F" w:rsidRPr="005279AA">
        <w:rPr>
          <w:rFonts w:asciiTheme="majorBidi" w:eastAsiaTheme="minorEastAsia" w:hAnsiTheme="majorBidi" w:cstheme="majorBidi"/>
          <w:iCs/>
          <w:sz w:val="24"/>
          <w:szCs w:val="24"/>
        </w:rPr>
        <w:t xml:space="preserve">perusahaan ini melakukan penawaran umum (IPO) pada </w:t>
      </w:r>
      <w:r w:rsidRPr="005279AA">
        <w:rPr>
          <w:rFonts w:asciiTheme="majorBidi" w:eastAsiaTheme="minorEastAsia" w:hAnsiTheme="majorBidi" w:cstheme="majorBidi"/>
          <w:iCs/>
          <w:sz w:val="24"/>
          <w:szCs w:val="24"/>
        </w:rPr>
        <w:t>tahun 1997, perusahaan memperluas integrasi bisnisnya ke perkebunan, agrobisnis dan distribusi. Saat ini, Perusahaan bergerak dalam berbagai bidang usaha, antara lain makanan olahan, penyedap rasa, minuman, pengemasan, minyak goreng, penggilingan gandum, dan pembuatan tekstil karung tepung.</w:t>
      </w:r>
    </w:p>
    <w:p w14:paraId="6EBB749E" w14:textId="65B9B2AD"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Japfa Comfeed Indonesia Tbk.</w:t>
      </w:r>
    </w:p>
    <w:p w14:paraId="20087436" w14:textId="225D4E0B" w:rsidR="00C9466D" w:rsidRPr="005279AA" w:rsidRDefault="00C9466D"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Japfa Comfeed Indonesia Tbk (JPFA) didirikan pada bulan Januari 1971, </w:t>
      </w:r>
      <w:r w:rsidR="005C399F" w:rsidRPr="005279AA">
        <w:rPr>
          <w:rFonts w:asciiTheme="majorBidi" w:eastAsiaTheme="minorEastAsia" w:hAnsiTheme="majorBidi" w:cstheme="majorBidi"/>
          <w:iCs/>
          <w:sz w:val="24"/>
          <w:szCs w:val="24"/>
        </w:rPr>
        <w:t xml:space="preserve">perusahaan ini melakukan penawaran umum (IPO) pada tanggal 23 Oktober 1989. PT Japfa Comfeed Indonesia Tbk (JPFA) </w:t>
      </w:r>
      <w:r w:rsidRPr="005279AA">
        <w:rPr>
          <w:rFonts w:asciiTheme="majorBidi" w:eastAsiaTheme="minorEastAsia" w:hAnsiTheme="majorBidi" w:cstheme="majorBidi"/>
          <w:iCs/>
          <w:sz w:val="24"/>
          <w:szCs w:val="24"/>
        </w:rPr>
        <w:t>merupakan perusahaan agro-pangan yang memproduksi pakan ternak, peternakan unggas, produksi komersial ayam pedaging, ikan, udang, daging sapi, dan produk makanan olahan. Beberapa produknya yang terkenal di Indonesia antara lain Comfeed dan Benefeed, Best Chicken dan Tora-Tora, Tokusen Wagyu Beef, dan Vaqsimune.</w:t>
      </w:r>
    </w:p>
    <w:p w14:paraId="2875C9A9" w14:textId="2155C6D1"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PP London Sumatra Indonesia Tb</w:t>
      </w:r>
      <w:r w:rsidR="00694E51" w:rsidRPr="005279AA">
        <w:rPr>
          <w:rFonts w:asciiTheme="majorBidi" w:eastAsiaTheme="minorEastAsia" w:hAnsiTheme="majorBidi" w:cstheme="majorBidi"/>
          <w:b/>
          <w:bCs/>
          <w:iCs/>
          <w:sz w:val="24"/>
          <w:szCs w:val="24"/>
          <w:lang w:val="id-ID"/>
        </w:rPr>
        <w:t>k.</w:t>
      </w:r>
    </w:p>
    <w:p w14:paraId="3E76A7DD" w14:textId="0ECC9FA8" w:rsidR="00C9466D" w:rsidRPr="005279AA" w:rsidRDefault="00C9466D"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Perusahaan Perkebunan London Sumatra Indonesia Tbk (LSIP) atau dikenal dengan Lonsum, bergerak dalam industri perkebunan kelapa sawit dan karet. Didirikan pada tahun 1906 di Medan, Sumatera Utara, oleh </w:t>
      </w:r>
      <w:r w:rsidRPr="005279AA">
        <w:rPr>
          <w:rFonts w:asciiTheme="majorBidi" w:eastAsiaTheme="minorEastAsia" w:hAnsiTheme="majorBidi" w:cstheme="majorBidi"/>
          <w:iCs/>
          <w:sz w:val="24"/>
          <w:szCs w:val="24"/>
        </w:rPr>
        <w:lastRenderedPageBreak/>
        <w:t xml:space="preserve">Harrisons &amp; Crosfield Plc. </w:t>
      </w:r>
      <w:r w:rsidR="00981735" w:rsidRPr="005279AA">
        <w:rPr>
          <w:rFonts w:asciiTheme="majorBidi" w:eastAsiaTheme="minorEastAsia" w:hAnsiTheme="majorBidi" w:cstheme="majorBidi"/>
          <w:iCs/>
          <w:sz w:val="24"/>
          <w:szCs w:val="24"/>
        </w:rPr>
        <w:t>Perusahaan ini melakukan penawaran umum (IPO) pada Juli 1996. Pada a</w:t>
      </w:r>
      <w:r w:rsidRPr="005279AA">
        <w:rPr>
          <w:rFonts w:asciiTheme="majorBidi" w:eastAsiaTheme="minorEastAsia" w:hAnsiTheme="majorBidi" w:cstheme="majorBidi"/>
          <w:iCs/>
          <w:sz w:val="24"/>
          <w:szCs w:val="24"/>
        </w:rPr>
        <w:t>walnya tanaman</w:t>
      </w:r>
      <w:r w:rsidR="00981735" w:rsidRPr="005279AA">
        <w:rPr>
          <w:rFonts w:asciiTheme="majorBidi" w:eastAsiaTheme="minorEastAsia" w:hAnsiTheme="majorBidi" w:cstheme="majorBidi"/>
          <w:iCs/>
          <w:sz w:val="24"/>
          <w:szCs w:val="24"/>
        </w:rPr>
        <w:t xml:space="preserve"> yang diproduksi </w:t>
      </w:r>
      <w:r w:rsidRPr="005279AA">
        <w:rPr>
          <w:rFonts w:asciiTheme="majorBidi" w:eastAsiaTheme="minorEastAsia" w:hAnsiTheme="majorBidi" w:cstheme="majorBidi"/>
          <w:iCs/>
          <w:sz w:val="24"/>
          <w:szCs w:val="24"/>
        </w:rPr>
        <w:t xml:space="preserve">adalah karet, teh, dan kakao. Perusahaan ini mulai memiliki perkebunan kelapa sawit pada tahun 1980an. Sejak saat itu, kelapa sawit menjadi tanaman utama perusahaan. </w:t>
      </w:r>
      <w:r w:rsidR="00981735" w:rsidRPr="005279AA">
        <w:rPr>
          <w:rFonts w:asciiTheme="majorBidi" w:eastAsiaTheme="minorEastAsia" w:hAnsiTheme="majorBidi" w:cstheme="majorBidi"/>
          <w:iCs/>
          <w:sz w:val="24"/>
          <w:szCs w:val="24"/>
        </w:rPr>
        <w:t>Kemudian pada tahun 2007 PT Perusahaan Perkebunan London Sumatra Indonesia Tbk (LSIP) d</w:t>
      </w:r>
      <w:r w:rsidRPr="005279AA">
        <w:rPr>
          <w:rFonts w:asciiTheme="majorBidi" w:eastAsiaTheme="minorEastAsia" w:hAnsiTheme="majorBidi" w:cstheme="majorBidi"/>
          <w:iCs/>
          <w:sz w:val="24"/>
          <w:szCs w:val="24"/>
        </w:rPr>
        <w:t>iakuisisi oleh PT Salim Ivomas Pratama Tbk pada tahun 2007 dan menjadi bagian dari Indofood Group. Saat ini, Lonsum mengoperasikan 12 pabrik kelapa sawit di Sumatera dan Kalimantan; memiliki kantor di Sumatera, Jawa, Kalimantan, dan Sulawesi.</w:t>
      </w:r>
    </w:p>
    <w:p w14:paraId="7C8AB39A" w14:textId="77777777" w:rsidR="00C9466D"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Mayora Indah Tbk.</w:t>
      </w:r>
    </w:p>
    <w:p w14:paraId="0A4E1677" w14:textId="2B5A7157" w:rsidR="00C9466D" w:rsidRPr="005279AA" w:rsidRDefault="00C9466D"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Mayora Indah Tbk (MYOR) adalah perusahaan barang konsumen yang bergerak cepat, didirikan pada tahun 1977 dengan pabrik pertama di Tangerang, Banten. </w:t>
      </w:r>
      <w:r w:rsidR="00C05E08" w:rsidRPr="005279AA">
        <w:rPr>
          <w:rFonts w:asciiTheme="majorBidi" w:eastAsiaTheme="minorEastAsia" w:hAnsiTheme="majorBidi" w:cstheme="majorBidi"/>
          <w:iCs/>
          <w:sz w:val="24"/>
          <w:szCs w:val="24"/>
        </w:rPr>
        <w:t xml:space="preserve">Perusahaan ini melakukan penawaran umum (IPO) pada </w:t>
      </w:r>
      <w:r w:rsidRPr="005279AA">
        <w:rPr>
          <w:rFonts w:asciiTheme="majorBidi" w:eastAsiaTheme="minorEastAsia" w:hAnsiTheme="majorBidi" w:cstheme="majorBidi"/>
          <w:iCs/>
          <w:sz w:val="24"/>
          <w:szCs w:val="24"/>
        </w:rPr>
        <w:t xml:space="preserve">bulan Juli 1990. </w:t>
      </w:r>
      <w:r w:rsidR="00981735" w:rsidRPr="005279AA">
        <w:rPr>
          <w:rFonts w:asciiTheme="majorBidi" w:eastAsiaTheme="minorEastAsia" w:hAnsiTheme="majorBidi" w:cstheme="majorBidi"/>
          <w:iCs/>
          <w:sz w:val="24"/>
          <w:szCs w:val="24"/>
        </w:rPr>
        <w:t>Perusahaan mampu memperluas pengaruhnya ke seluruh Asia Tenggara dengan terlebih dahulu berfokus pada penjualan ke wilayah Jakarta dan sekitarnya, sehingga p</w:t>
      </w:r>
      <w:r w:rsidRPr="005279AA">
        <w:rPr>
          <w:rFonts w:asciiTheme="majorBidi" w:eastAsiaTheme="minorEastAsia" w:hAnsiTheme="majorBidi" w:cstheme="majorBidi"/>
          <w:iCs/>
          <w:sz w:val="24"/>
          <w:szCs w:val="24"/>
        </w:rPr>
        <w:t>angsa pasarnya meluas ke seluruh Asia dan kemudian ke seluruh dunia. Beberapa merek terkenalnya adalah Energen, Choki Choki, Torabika, Astor, Kopiko, dan Roma.</w:t>
      </w:r>
    </w:p>
    <w:p w14:paraId="36D5D802" w14:textId="1E3965DE"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Millennium Pharmacon Internati</w:t>
      </w:r>
      <w:r w:rsidR="00C9466D" w:rsidRPr="005279AA">
        <w:rPr>
          <w:rFonts w:asciiTheme="majorBidi" w:eastAsiaTheme="minorEastAsia" w:hAnsiTheme="majorBidi" w:cstheme="majorBidi"/>
          <w:b/>
          <w:bCs/>
          <w:iCs/>
          <w:sz w:val="24"/>
          <w:szCs w:val="24"/>
          <w:lang w:val="id-ID"/>
        </w:rPr>
        <w:t>onal Tbk.</w:t>
      </w:r>
    </w:p>
    <w:p w14:paraId="1B05B903" w14:textId="0009B5CC" w:rsidR="00B97635" w:rsidRPr="005279AA" w:rsidRDefault="00B97635"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PT Millennium Pharmacon International Tbk (SDPC)</w:t>
      </w:r>
      <w:r w:rsidR="00981735" w:rsidRPr="005279AA">
        <w:rPr>
          <w:rFonts w:asciiTheme="majorBidi" w:eastAsiaTheme="minorEastAsia" w:hAnsiTheme="majorBidi" w:cstheme="majorBidi"/>
          <w:iCs/>
          <w:sz w:val="24"/>
          <w:szCs w:val="24"/>
        </w:rPr>
        <w:t xml:space="preserve"> memulai operasi komersialnya pada tahun 1952 sebagai NVPD Soedarpo Corporations. </w:t>
      </w:r>
      <w:r w:rsidR="00C05E08" w:rsidRPr="005279AA">
        <w:rPr>
          <w:rFonts w:asciiTheme="majorBidi" w:eastAsiaTheme="minorEastAsia" w:hAnsiTheme="majorBidi" w:cstheme="majorBidi"/>
          <w:iCs/>
          <w:sz w:val="24"/>
          <w:szCs w:val="24"/>
        </w:rPr>
        <w:t xml:space="preserve">Perusahaan ini melakukan penawaran umum (IPO) pada </w:t>
      </w:r>
      <w:r w:rsidR="00981735" w:rsidRPr="005279AA">
        <w:rPr>
          <w:rFonts w:asciiTheme="majorBidi" w:eastAsiaTheme="minorEastAsia" w:hAnsiTheme="majorBidi" w:cstheme="majorBidi"/>
          <w:iCs/>
          <w:sz w:val="24"/>
          <w:szCs w:val="24"/>
        </w:rPr>
        <w:t>tahun 1990, kemudian berganti nama pada tahun 2000 menjadi</w:t>
      </w:r>
      <w:r w:rsidR="00553FE7" w:rsidRPr="005279AA">
        <w:rPr>
          <w:rFonts w:asciiTheme="majorBidi" w:eastAsiaTheme="minorEastAsia" w:hAnsiTheme="majorBidi" w:cstheme="majorBidi"/>
          <w:iCs/>
          <w:sz w:val="24"/>
          <w:szCs w:val="24"/>
        </w:rPr>
        <w:t xml:space="preserve"> PT Millennium </w:t>
      </w:r>
      <w:r w:rsidR="00553FE7" w:rsidRPr="005279AA">
        <w:rPr>
          <w:rFonts w:asciiTheme="majorBidi" w:eastAsiaTheme="minorEastAsia" w:hAnsiTheme="majorBidi" w:cstheme="majorBidi"/>
          <w:iCs/>
          <w:sz w:val="24"/>
          <w:szCs w:val="24"/>
        </w:rPr>
        <w:lastRenderedPageBreak/>
        <w:t>Pharmacon International Tbk (SDPC)</w:t>
      </w:r>
      <w:r w:rsidR="00981735" w:rsidRPr="005279AA">
        <w:rPr>
          <w:rFonts w:asciiTheme="majorBidi" w:eastAsiaTheme="minorEastAsia" w:hAnsiTheme="majorBidi" w:cstheme="majorBidi"/>
          <w:iCs/>
          <w:sz w:val="24"/>
          <w:szCs w:val="24"/>
        </w:rPr>
        <w:t>.</w:t>
      </w:r>
      <w:r w:rsidRPr="005279AA">
        <w:rPr>
          <w:rFonts w:asciiTheme="majorBidi" w:eastAsiaTheme="minorEastAsia" w:hAnsiTheme="majorBidi" w:cstheme="majorBidi"/>
          <w:iCs/>
          <w:sz w:val="24"/>
          <w:szCs w:val="24"/>
        </w:rPr>
        <w:t xml:space="preserve"> </w:t>
      </w:r>
      <w:r w:rsidR="00553FE7" w:rsidRPr="005279AA">
        <w:rPr>
          <w:rFonts w:asciiTheme="majorBidi" w:eastAsiaTheme="minorEastAsia" w:hAnsiTheme="majorBidi" w:cstheme="majorBidi"/>
          <w:iCs/>
          <w:sz w:val="24"/>
          <w:szCs w:val="24"/>
        </w:rPr>
        <w:t xml:space="preserve">Perusahaan ini </w:t>
      </w:r>
      <w:r w:rsidRPr="005279AA">
        <w:rPr>
          <w:rFonts w:asciiTheme="majorBidi" w:eastAsiaTheme="minorEastAsia" w:hAnsiTheme="majorBidi" w:cstheme="majorBidi"/>
          <w:iCs/>
          <w:sz w:val="24"/>
          <w:szCs w:val="24"/>
        </w:rPr>
        <w:t>bergerak dalam bidang perdagangan dan distribusi produk farmasi, suplemen makanan, dan diagnostik/alat kesehatan</w:t>
      </w:r>
      <w:r w:rsidR="0004668A" w:rsidRPr="005279AA">
        <w:rPr>
          <w:rFonts w:asciiTheme="majorBidi" w:eastAsiaTheme="minorEastAsia" w:hAnsiTheme="majorBidi" w:cstheme="majorBidi"/>
          <w:iCs/>
          <w:sz w:val="24"/>
          <w:szCs w:val="24"/>
        </w:rPr>
        <w:t xml:space="preserve"> dengan cakupan seluruh Indonesia, beroperasi dengan 33 kantor cabang dan 1 gudang pusat.</w:t>
      </w:r>
    </w:p>
    <w:p w14:paraId="44CC8683" w14:textId="28319C0D"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Tunas Baru Lampung Tbk.</w:t>
      </w:r>
    </w:p>
    <w:p w14:paraId="18401BCB" w14:textId="64E62465" w:rsidR="009B7876" w:rsidRPr="005279AA" w:rsidRDefault="00B97635"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Tunas Baru Lampung Tbk (TBLA) </w:t>
      </w:r>
      <w:r w:rsidR="00981735" w:rsidRPr="005279AA">
        <w:rPr>
          <w:rFonts w:asciiTheme="majorBidi" w:eastAsiaTheme="minorEastAsia" w:hAnsiTheme="majorBidi" w:cstheme="majorBidi"/>
          <w:iCs/>
          <w:sz w:val="24"/>
          <w:szCs w:val="24"/>
        </w:rPr>
        <w:t xml:space="preserve">didirikan pada tahun 1973 sebagai anggota Sungai Budi Group. Produksi komersialnya dimulai pada awal tahun 1975, </w:t>
      </w:r>
      <w:r w:rsidR="00C05E08" w:rsidRPr="005279AA">
        <w:rPr>
          <w:rFonts w:asciiTheme="majorBidi" w:eastAsiaTheme="minorEastAsia" w:hAnsiTheme="majorBidi" w:cstheme="majorBidi"/>
          <w:iCs/>
          <w:sz w:val="24"/>
          <w:szCs w:val="24"/>
        </w:rPr>
        <w:t xml:space="preserve">perusahaan ini melakukan penawaran umum (IPO) pada </w:t>
      </w:r>
      <w:r w:rsidR="00981735" w:rsidRPr="005279AA">
        <w:rPr>
          <w:rFonts w:asciiTheme="majorBidi" w:eastAsiaTheme="minorEastAsia" w:hAnsiTheme="majorBidi" w:cstheme="majorBidi"/>
          <w:iCs/>
          <w:sz w:val="24"/>
          <w:szCs w:val="24"/>
        </w:rPr>
        <w:t xml:space="preserve">bulan Februari 2000. PT Tunas Baru Lampung Tbk (TBLA) </w:t>
      </w:r>
      <w:r w:rsidRPr="005279AA">
        <w:rPr>
          <w:rFonts w:asciiTheme="majorBidi" w:eastAsiaTheme="minorEastAsia" w:hAnsiTheme="majorBidi" w:cstheme="majorBidi"/>
          <w:iCs/>
          <w:sz w:val="24"/>
          <w:szCs w:val="24"/>
        </w:rPr>
        <w:t>merupakan produsen dan distributor produk pertanian, antara lain produk minyak goreng sawit, gula, dan sabun yang menggunakan asam lemak dari minyak sawit mentah.</w:t>
      </w:r>
    </w:p>
    <w:p w14:paraId="75513BDC" w14:textId="236710A5"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Garudafood Putra Putri Jaya Tb</w:t>
      </w:r>
      <w:r w:rsidR="00C9466D" w:rsidRPr="005279AA">
        <w:rPr>
          <w:rFonts w:asciiTheme="majorBidi" w:eastAsiaTheme="minorEastAsia" w:hAnsiTheme="majorBidi" w:cstheme="majorBidi"/>
          <w:b/>
          <w:bCs/>
          <w:iCs/>
          <w:sz w:val="24"/>
          <w:szCs w:val="24"/>
          <w:lang w:val="id-ID"/>
        </w:rPr>
        <w:t>k</w:t>
      </w:r>
    </w:p>
    <w:p w14:paraId="43F63F5E" w14:textId="2A15A415" w:rsidR="00B97635" w:rsidRPr="005279AA" w:rsidRDefault="00B97635"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Garudafood Putra Putri Jaya Tbk (GOOD) </w:t>
      </w:r>
      <w:r w:rsidR="00981735" w:rsidRPr="005279AA">
        <w:rPr>
          <w:rFonts w:asciiTheme="majorBidi" w:eastAsiaTheme="minorEastAsia" w:hAnsiTheme="majorBidi" w:cstheme="majorBidi"/>
          <w:iCs/>
          <w:sz w:val="24"/>
          <w:szCs w:val="24"/>
        </w:rPr>
        <w:t>Perseroan dicetuskan pada tahun 1979 oleh PT Tudung Putra Jaya di Pati, Jawa Tengah, yang memproduksi olahan kacang dengan merk Garuda. Namun, perseroan ini didirikan secara resmi pada tahun 1990 dan mulai beroperasi secara komersil pada tahun 1994</w:t>
      </w:r>
      <w:r w:rsidR="00981735" w:rsidRPr="005279AA">
        <w:rPr>
          <w:rFonts w:asciiTheme="majorBidi" w:eastAsiaTheme="minorEastAsia" w:hAnsiTheme="majorBidi" w:cstheme="majorBidi"/>
          <w:iCs/>
          <w:sz w:val="24"/>
          <w:szCs w:val="24"/>
          <w:lang w:val="id-ID"/>
        </w:rPr>
        <w:t xml:space="preserve">, </w:t>
      </w:r>
      <w:r w:rsidR="00C05E08" w:rsidRPr="005279AA">
        <w:rPr>
          <w:rFonts w:asciiTheme="majorBidi" w:eastAsiaTheme="minorEastAsia" w:hAnsiTheme="majorBidi" w:cstheme="majorBidi"/>
          <w:iCs/>
          <w:sz w:val="24"/>
          <w:szCs w:val="24"/>
        </w:rPr>
        <w:t xml:space="preserve">perusahaan ini melakukan penawaran umum (IPO) pada </w:t>
      </w:r>
      <w:r w:rsidR="00981735" w:rsidRPr="005279AA">
        <w:rPr>
          <w:rFonts w:asciiTheme="majorBidi" w:eastAsiaTheme="minorEastAsia" w:hAnsiTheme="majorBidi" w:cstheme="majorBidi"/>
          <w:iCs/>
          <w:sz w:val="24"/>
          <w:szCs w:val="24"/>
        </w:rPr>
        <w:t>bulan</w:t>
      </w:r>
      <w:r w:rsidR="00981735" w:rsidRPr="005279AA">
        <w:rPr>
          <w:rFonts w:asciiTheme="majorBidi" w:eastAsiaTheme="minorEastAsia" w:hAnsiTheme="majorBidi" w:cstheme="majorBidi"/>
          <w:iCs/>
          <w:sz w:val="24"/>
          <w:szCs w:val="24"/>
          <w:lang w:val="id-ID"/>
        </w:rPr>
        <w:t xml:space="preserve"> Oktober 2018</w:t>
      </w:r>
      <w:r w:rsidR="00981735" w:rsidRPr="005279AA">
        <w:rPr>
          <w:rFonts w:asciiTheme="majorBidi" w:eastAsiaTheme="minorEastAsia" w:hAnsiTheme="majorBidi" w:cstheme="majorBidi"/>
          <w:iCs/>
          <w:sz w:val="24"/>
          <w:szCs w:val="24"/>
        </w:rPr>
        <w:t xml:space="preserve">. PT Garudafood Putra Putri Jaya Tbk (GOOD) </w:t>
      </w:r>
      <w:r w:rsidRPr="005279AA">
        <w:rPr>
          <w:rFonts w:asciiTheme="majorBidi" w:eastAsiaTheme="minorEastAsia" w:hAnsiTheme="majorBidi" w:cstheme="majorBidi"/>
          <w:iCs/>
          <w:sz w:val="24"/>
          <w:szCs w:val="24"/>
        </w:rPr>
        <w:t>memproduksi makanan dan minuman, termasuk makanan ringan, cokelat, biskuit, dan produk olahan susu</w:t>
      </w:r>
      <w:r w:rsidRPr="005279AA">
        <w:rPr>
          <w:rFonts w:asciiTheme="majorBidi" w:eastAsiaTheme="minorEastAsia" w:hAnsiTheme="majorBidi" w:cstheme="majorBidi"/>
          <w:iCs/>
          <w:sz w:val="24"/>
          <w:szCs w:val="24"/>
          <w:lang w:val="id-ID"/>
        </w:rPr>
        <w:t>.</w:t>
      </w:r>
      <w:r w:rsidRPr="005279AA">
        <w:rPr>
          <w:rFonts w:asciiTheme="majorBidi" w:eastAsiaTheme="minorEastAsia" w:hAnsiTheme="majorBidi" w:cstheme="majorBidi"/>
          <w:iCs/>
          <w:sz w:val="24"/>
          <w:szCs w:val="24"/>
        </w:rPr>
        <w:t xml:space="preserve"> Produk-produk perseroan sudah dikenal baik di Indonesia dan diekspor ke lebih dari 20 negara. Beberapa </w:t>
      </w:r>
      <w:r w:rsidRPr="005279AA">
        <w:rPr>
          <w:rFonts w:asciiTheme="majorBidi" w:eastAsiaTheme="minorEastAsia" w:hAnsiTheme="majorBidi" w:cstheme="majorBidi"/>
          <w:iCs/>
          <w:sz w:val="24"/>
          <w:szCs w:val="24"/>
        </w:rPr>
        <w:lastRenderedPageBreak/>
        <w:t>merknya di antaranya adalah Garuda, Gery, Chocolatos, Leo, Clevo, dan Prochiz.</w:t>
      </w:r>
    </w:p>
    <w:p w14:paraId="487252D2" w14:textId="612C595E" w:rsidR="008773B9"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H.M. Sampoerna Tbk.</w:t>
      </w:r>
    </w:p>
    <w:p w14:paraId="0E58BBCF" w14:textId="09F4BBB8" w:rsidR="004161BE" w:rsidRPr="005279AA" w:rsidRDefault="00B97635"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PT Hanjaya Mandala Sampoerna Tbk (HMSP) atau Sampoerna didirikan pada tahun 1913 oleh Keluarga Sampoerna di Surabaya. Merek pertamanya adalah Dji Sam Soe.</w:t>
      </w:r>
      <w:r w:rsidRPr="005279AA">
        <w:rPr>
          <w:rFonts w:asciiTheme="majorBidi" w:eastAsiaTheme="minorEastAsia" w:hAnsiTheme="majorBidi" w:cstheme="majorBidi"/>
          <w:iCs/>
          <w:sz w:val="24"/>
          <w:szCs w:val="24"/>
          <w:lang w:val="id-ID"/>
        </w:rPr>
        <w:t xml:space="preserve"> </w:t>
      </w:r>
      <w:r w:rsidR="00C05E08" w:rsidRPr="005279AA">
        <w:rPr>
          <w:rFonts w:asciiTheme="majorBidi" w:eastAsiaTheme="minorEastAsia" w:hAnsiTheme="majorBidi" w:cstheme="majorBidi"/>
          <w:iCs/>
          <w:sz w:val="24"/>
          <w:szCs w:val="24"/>
        </w:rPr>
        <w:t xml:space="preserve">Perusahaan ini melakukan penawaran umum (IPO) pada </w:t>
      </w:r>
      <w:r w:rsidRPr="005279AA">
        <w:rPr>
          <w:rFonts w:asciiTheme="majorBidi" w:eastAsiaTheme="minorEastAsia" w:hAnsiTheme="majorBidi" w:cstheme="majorBidi"/>
          <w:iCs/>
          <w:sz w:val="24"/>
          <w:szCs w:val="24"/>
        </w:rPr>
        <w:t>bulan</w:t>
      </w:r>
      <w:r w:rsidRPr="005279AA">
        <w:rPr>
          <w:rFonts w:asciiTheme="majorBidi" w:eastAsiaTheme="minorEastAsia" w:hAnsiTheme="majorBidi" w:cstheme="majorBidi"/>
          <w:iCs/>
          <w:sz w:val="24"/>
          <w:szCs w:val="24"/>
          <w:lang w:val="id-ID"/>
        </w:rPr>
        <w:t xml:space="preserve"> Agustus 1990. </w:t>
      </w:r>
      <w:r w:rsidRPr="005279AA">
        <w:rPr>
          <w:rFonts w:asciiTheme="majorBidi" w:eastAsiaTheme="minorEastAsia" w:hAnsiTheme="majorBidi" w:cstheme="majorBidi"/>
          <w:iCs/>
          <w:sz w:val="24"/>
          <w:szCs w:val="24"/>
        </w:rPr>
        <w:t xml:space="preserve"> Pada Mei 2015, perusahaan ini menjadi anak perusahaan PT Phillip Morris Indonesia, bagian dari Phillip Morris International Inc. Perusahaan ini memproduksi rokok merek lain, seperti A Mild, Sampoerna Hijau, dan U Mild. Perusahaan juga mendistribusikan produk PT Phillip Morris Indonesia bernama Marlboro di Indonesia. Terdapat enam pabrik yang berlokasi di Pasuruan, Karawang, Surabaya, Malang, dan Probolinggo.</w:t>
      </w:r>
    </w:p>
    <w:p w14:paraId="730E7CD5" w14:textId="0DD7E813" w:rsidR="00B97635" w:rsidRPr="005279AA" w:rsidRDefault="008773B9" w:rsidP="00BF76D1">
      <w:pPr>
        <w:pStyle w:val="ListParagraph"/>
        <w:numPr>
          <w:ilvl w:val="0"/>
          <w:numId w:val="47"/>
        </w:numPr>
        <w:tabs>
          <w:tab w:val="left" w:pos="1701"/>
        </w:tabs>
        <w:spacing w:line="480" w:lineRule="auto"/>
        <w:ind w:left="720"/>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Unilever Indonesia Tbk.</w:t>
      </w:r>
    </w:p>
    <w:p w14:paraId="53C379EC" w14:textId="1A269503" w:rsidR="00AE0450" w:rsidRPr="005279AA" w:rsidRDefault="00B97635" w:rsidP="00BF76D1">
      <w:pPr>
        <w:pStyle w:val="ListParagraph"/>
        <w:tabs>
          <w:tab w:val="left" w:pos="1701"/>
        </w:tabs>
        <w:spacing w:line="480" w:lineRule="auto"/>
        <w:ind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PT Unilever Indonesia Tbk (UNVR) adalah perusahaan Fast Moving Consumer Goods yang didirikan pada tanggal 5 Desember 1933. </w:t>
      </w:r>
      <w:r w:rsidR="00C05E08" w:rsidRPr="005279AA">
        <w:rPr>
          <w:rFonts w:asciiTheme="majorBidi" w:eastAsiaTheme="minorEastAsia" w:hAnsiTheme="majorBidi" w:cstheme="majorBidi"/>
          <w:iCs/>
          <w:sz w:val="24"/>
          <w:szCs w:val="24"/>
        </w:rPr>
        <w:t xml:space="preserve">Perusahaan ini melakukan penawaran umum (IPO) pada </w:t>
      </w:r>
      <w:r w:rsidRPr="005279AA">
        <w:rPr>
          <w:rFonts w:asciiTheme="majorBidi" w:eastAsiaTheme="minorEastAsia" w:hAnsiTheme="majorBidi" w:cstheme="majorBidi"/>
          <w:iCs/>
          <w:sz w:val="24"/>
          <w:szCs w:val="24"/>
        </w:rPr>
        <w:t>pada tahun 1981 dan tercatat di bursa pada tahun 1982. Saat ini, memiliki 44 merek, 9 pabrik, dan 1000 saham. menjaga unit dipasarkan melalui 800 jaringan distributor. Beberapa merek yang sudah dikenal masyarakat antara lain Vaseline, Pepsodent, Lifebuoy, Rinso, dan Royco.</w:t>
      </w:r>
    </w:p>
    <w:p w14:paraId="3AA14365" w14:textId="2B6E2E4E" w:rsidR="00E724BE" w:rsidRPr="005279AA" w:rsidRDefault="00E724BE"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p>
    <w:p w14:paraId="3CF32A26" w14:textId="77777777" w:rsidR="002B0C28" w:rsidRPr="005279AA" w:rsidRDefault="002B0C28"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p>
    <w:p w14:paraId="0EC300ED" w14:textId="674B4596" w:rsidR="001C66FF" w:rsidRPr="005279AA" w:rsidRDefault="001C66FF" w:rsidP="00BF76D1">
      <w:pPr>
        <w:pStyle w:val="ListParagraph"/>
        <w:numPr>
          <w:ilvl w:val="0"/>
          <w:numId w:val="41"/>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lastRenderedPageBreak/>
        <w:t>Hasil Penelitian</w:t>
      </w:r>
    </w:p>
    <w:p w14:paraId="77CBD96B" w14:textId="21B8F097" w:rsidR="00503238" w:rsidRDefault="00503238" w:rsidP="00BF76D1">
      <w:pPr>
        <w:pStyle w:val="ListParagraph"/>
        <w:numPr>
          <w:ilvl w:val="0"/>
          <w:numId w:val="44"/>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Deskripsi Penelitian</w:t>
      </w:r>
    </w:p>
    <w:p w14:paraId="3BE5EFAD" w14:textId="49252CAE" w:rsidR="00067FBA" w:rsidRPr="00C4381B" w:rsidRDefault="008D285A" w:rsidP="00BF76D1">
      <w:pPr>
        <w:pStyle w:val="ListParagraph"/>
        <w:tabs>
          <w:tab w:val="left" w:pos="1701"/>
        </w:tabs>
        <w:spacing w:line="480" w:lineRule="auto"/>
        <w:ind w:firstLine="414"/>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Penelitian ini menggunakan data sekunder</w:t>
      </w:r>
      <w:r w:rsidR="00067FBA">
        <w:rPr>
          <w:rFonts w:asciiTheme="majorBidi" w:eastAsiaTheme="minorEastAsia" w:hAnsiTheme="majorBidi" w:cstheme="majorBidi"/>
          <w:iCs/>
          <w:sz w:val="24"/>
          <w:szCs w:val="24"/>
        </w:rPr>
        <w:t xml:space="preserve"> yaitu data yang peneliti peroleh secara tidak langsung dari perusahaan. Data yang digunakan dalam penelitian ini deperoleh dari </w:t>
      </w:r>
      <w:r w:rsidR="00067FBA" w:rsidRPr="005279AA">
        <w:rPr>
          <w:rFonts w:asciiTheme="majorBidi" w:hAnsiTheme="majorBidi" w:cstheme="majorBidi"/>
          <w:sz w:val="24"/>
          <w:szCs w:val="24"/>
        </w:rPr>
        <w:t xml:space="preserve">laporan keuangan tahunan </w:t>
      </w:r>
      <w:r w:rsidR="001B0918">
        <w:rPr>
          <w:rFonts w:asciiTheme="majorBidi" w:hAnsiTheme="majorBidi" w:cstheme="majorBidi"/>
          <w:sz w:val="24"/>
          <w:szCs w:val="24"/>
        </w:rPr>
        <w:t>perusahaan</w:t>
      </w:r>
      <w:r w:rsidR="00067FBA" w:rsidRPr="005279AA">
        <w:rPr>
          <w:rFonts w:asciiTheme="majorBidi" w:hAnsiTheme="majorBidi" w:cstheme="majorBidi"/>
          <w:sz w:val="24"/>
          <w:szCs w:val="24"/>
        </w:rPr>
        <w:t xml:space="preserve"> yang tergolong dalam sektor </w:t>
      </w:r>
      <w:r w:rsidR="00067FBA" w:rsidRPr="005279AA">
        <w:rPr>
          <w:rFonts w:asciiTheme="majorBidi" w:hAnsiTheme="majorBidi" w:cstheme="majorBidi"/>
          <w:i/>
          <w:sz w:val="24"/>
          <w:szCs w:val="24"/>
        </w:rPr>
        <w:t>consumer non cyclical</w:t>
      </w:r>
      <w:r w:rsidR="00067FBA" w:rsidRPr="005279AA">
        <w:rPr>
          <w:rFonts w:asciiTheme="majorBidi" w:hAnsiTheme="majorBidi" w:cstheme="majorBidi"/>
          <w:sz w:val="24"/>
          <w:szCs w:val="24"/>
        </w:rPr>
        <w:t xml:space="preserve"> selama </w:t>
      </w:r>
      <w:r w:rsidR="00781DBE">
        <w:rPr>
          <w:rFonts w:asciiTheme="majorBidi" w:hAnsiTheme="majorBidi" w:cstheme="majorBidi"/>
          <w:sz w:val="24"/>
          <w:szCs w:val="24"/>
        </w:rPr>
        <w:t>t</w:t>
      </w:r>
      <w:r w:rsidR="00067FBA" w:rsidRPr="005279AA">
        <w:rPr>
          <w:rFonts w:asciiTheme="majorBidi" w:hAnsiTheme="majorBidi" w:cstheme="majorBidi"/>
          <w:sz w:val="24"/>
          <w:szCs w:val="24"/>
        </w:rPr>
        <w:t xml:space="preserve">ahun 2019 - </w:t>
      </w:r>
      <w:r w:rsidR="00781DBE">
        <w:rPr>
          <w:rFonts w:asciiTheme="majorBidi" w:hAnsiTheme="majorBidi" w:cstheme="majorBidi"/>
          <w:sz w:val="24"/>
          <w:szCs w:val="24"/>
        </w:rPr>
        <w:t>t</w:t>
      </w:r>
      <w:r w:rsidR="00067FBA" w:rsidRPr="005279AA">
        <w:rPr>
          <w:rFonts w:asciiTheme="majorBidi" w:hAnsiTheme="majorBidi" w:cstheme="majorBidi"/>
          <w:sz w:val="24"/>
          <w:szCs w:val="24"/>
        </w:rPr>
        <w:t xml:space="preserve">ahun 2023 yang diperoleh melalui website resmi </w:t>
      </w:r>
      <w:hyperlink r:id="rId8" w:history="1">
        <w:r w:rsidR="00067FBA" w:rsidRPr="005279AA">
          <w:rPr>
            <w:rStyle w:val="Hyperlink"/>
            <w:rFonts w:asciiTheme="majorBidi" w:hAnsiTheme="majorBidi" w:cstheme="majorBidi"/>
            <w:sz w:val="24"/>
            <w:szCs w:val="24"/>
          </w:rPr>
          <w:t>www.idx.co.id</w:t>
        </w:r>
      </w:hyperlink>
      <w:r w:rsidR="00067FBA" w:rsidRPr="005279AA">
        <w:rPr>
          <w:rFonts w:asciiTheme="majorBidi" w:hAnsiTheme="majorBidi" w:cstheme="majorBidi"/>
          <w:sz w:val="24"/>
          <w:szCs w:val="24"/>
        </w:rPr>
        <w:t>.</w:t>
      </w:r>
      <w:r w:rsidR="00067FBA">
        <w:rPr>
          <w:rFonts w:asciiTheme="majorBidi" w:hAnsiTheme="majorBidi" w:cstheme="majorBidi"/>
          <w:sz w:val="24"/>
          <w:szCs w:val="24"/>
        </w:rPr>
        <w:t xml:space="preserve"> Populasi dalam penelitian ini meliputi seluruh perusahaan tercatat pada sektor </w:t>
      </w:r>
      <w:r w:rsidR="00067FBA" w:rsidRPr="00C4381B">
        <w:rPr>
          <w:rFonts w:asciiTheme="majorBidi" w:hAnsiTheme="majorBidi" w:cstheme="majorBidi"/>
          <w:i/>
          <w:iCs/>
          <w:sz w:val="24"/>
          <w:szCs w:val="24"/>
        </w:rPr>
        <w:t>consumer non cyclical</w:t>
      </w:r>
      <w:r w:rsidR="00067FBA">
        <w:rPr>
          <w:rFonts w:asciiTheme="majorBidi" w:hAnsiTheme="majorBidi" w:cstheme="majorBidi"/>
          <w:sz w:val="24"/>
          <w:szCs w:val="24"/>
        </w:rPr>
        <w:t xml:space="preserve"> yang terdaftar di Bursa Efek Indonesia </w:t>
      </w:r>
      <w:r w:rsidR="00C34EDF">
        <w:rPr>
          <w:rFonts w:asciiTheme="majorBidi" w:hAnsiTheme="majorBidi" w:cstheme="majorBidi"/>
          <w:sz w:val="24"/>
          <w:szCs w:val="24"/>
        </w:rPr>
        <w:t>t</w:t>
      </w:r>
      <w:r w:rsidR="00067FBA">
        <w:rPr>
          <w:rFonts w:asciiTheme="majorBidi" w:hAnsiTheme="majorBidi" w:cstheme="majorBidi"/>
          <w:sz w:val="24"/>
          <w:szCs w:val="24"/>
        </w:rPr>
        <w:t xml:space="preserve">ahun 2019 – </w:t>
      </w:r>
      <w:r w:rsidR="00C34EDF">
        <w:rPr>
          <w:rFonts w:asciiTheme="majorBidi" w:hAnsiTheme="majorBidi" w:cstheme="majorBidi"/>
          <w:sz w:val="24"/>
          <w:szCs w:val="24"/>
        </w:rPr>
        <w:t>t</w:t>
      </w:r>
      <w:r w:rsidR="00067FBA">
        <w:rPr>
          <w:rFonts w:asciiTheme="majorBidi" w:hAnsiTheme="majorBidi" w:cstheme="majorBidi"/>
          <w:sz w:val="24"/>
          <w:szCs w:val="24"/>
        </w:rPr>
        <w:t xml:space="preserve">ahun 2023 dengan total 125 perusahaan tercatat.  Perusahaan yang memenuhi kriteria sampel penelitian sebanyak 15 Perusahaan </w:t>
      </w:r>
      <w:r w:rsidR="00C4381B">
        <w:rPr>
          <w:rFonts w:asciiTheme="majorBidi" w:hAnsiTheme="majorBidi" w:cstheme="majorBidi"/>
          <w:sz w:val="24"/>
          <w:szCs w:val="24"/>
        </w:rPr>
        <w:t xml:space="preserve">selama periode </w:t>
      </w:r>
      <w:r w:rsidR="00C34EDF">
        <w:rPr>
          <w:rFonts w:asciiTheme="majorBidi" w:hAnsiTheme="majorBidi" w:cstheme="majorBidi"/>
          <w:sz w:val="24"/>
          <w:szCs w:val="24"/>
        </w:rPr>
        <w:t>t</w:t>
      </w:r>
      <w:r w:rsidR="00C4381B">
        <w:rPr>
          <w:rFonts w:asciiTheme="majorBidi" w:hAnsiTheme="majorBidi" w:cstheme="majorBidi"/>
          <w:sz w:val="24"/>
          <w:szCs w:val="24"/>
        </w:rPr>
        <w:t xml:space="preserve">ahun 2019- </w:t>
      </w:r>
      <w:r w:rsidR="00C34EDF">
        <w:rPr>
          <w:rFonts w:asciiTheme="majorBidi" w:hAnsiTheme="majorBidi" w:cstheme="majorBidi"/>
          <w:sz w:val="24"/>
          <w:szCs w:val="24"/>
        </w:rPr>
        <w:t>t</w:t>
      </w:r>
      <w:r w:rsidR="00C4381B">
        <w:rPr>
          <w:rFonts w:asciiTheme="majorBidi" w:hAnsiTheme="majorBidi" w:cstheme="majorBidi"/>
          <w:sz w:val="24"/>
          <w:szCs w:val="24"/>
        </w:rPr>
        <w:t xml:space="preserve">ahun 2023. </w:t>
      </w:r>
      <w:r w:rsidR="00067FBA" w:rsidRPr="00C4381B">
        <w:rPr>
          <w:rFonts w:asciiTheme="majorBidi" w:hAnsiTheme="majorBidi" w:cstheme="majorBidi"/>
          <w:sz w:val="24"/>
          <w:szCs w:val="24"/>
        </w:rPr>
        <w:t xml:space="preserve">Pada </w:t>
      </w:r>
      <w:r w:rsidR="00C4381B">
        <w:rPr>
          <w:rFonts w:asciiTheme="majorBidi" w:hAnsiTheme="majorBidi" w:cstheme="majorBidi"/>
          <w:sz w:val="24"/>
          <w:szCs w:val="24"/>
        </w:rPr>
        <w:t xml:space="preserve">penelitian </w:t>
      </w:r>
      <w:r w:rsidR="00067FBA" w:rsidRPr="00C4381B">
        <w:rPr>
          <w:rFonts w:asciiTheme="majorBidi" w:hAnsiTheme="majorBidi" w:cstheme="majorBidi"/>
          <w:sz w:val="24"/>
          <w:szCs w:val="24"/>
        </w:rPr>
        <w:t>ini berfokus terhadap pengaruh variabel bebas yaitu profitabilitas (X</w:t>
      </w:r>
      <w:r w:rsidR="00067FBA" w:rsidRPr="00C4381B">
        <w:rPr>
          <w:rFonts w:asciiTheme="majorBidi" w:hAnsiTheme="majorBidi" w:cstheme="majorBidi"/>
          <w:sz w:val="24"/>
          <w:szCs w:val="24"/>
          <w:vertAlign w:val="subscript"/>
        </w:rPr>
        <w:t>1</w:t>
      </w:r>
      <w:r w:rsidR="00067FBA" w:rsidRPr="00C4381B">
        <w:rPr>
          <w:rFonts w:asciiTheme="majorBidi" w:hAnsiTheme="majorBidi" w:cstheme="majorBidi"/>
          <w:sz w:val="24"/>
          <w:szCs w:val="24"/>
        </w:rPr>
        <w:t>), likuiditas (X</w:t>
      </w:r>
      <w:r w:rsidR="00067FBA" w:rsidRPr="00C4381B">
        <w:rPr>
          <w:rFonts w:asciiTheme="majorBidi" w:hAnsiTheme="majorBidi" w:cstheme="majorBidi"/>
          <w:sz w:val="24"/>
          <w:szCs w:val="24"/>
          <w:vertAlign w:val="subscript"/>
        </w:rPr>
        <w:t>2</w:t>
      </w:r>
      <w:r w:rsidR="00067FBA" w:rsidRPr="00C4381B">
        <w:rPr>
          <w:rFonts w:asciiTheme="majorBidi" w:hAnsiTheme="majorBidi" w:cstheme="majorBidi"/>
          <w:sz w:val="24"/>
          <w:szCs w:val="24"/>
        </w:rPr>
        <w:t xml:space="preserve">), </w:t>
      </w:r>
      <w:r w:rsidR="00067FBA" w:rsidRPr="00C4381B">
        <w:rPr>
          <w:rFonts w:asciiTheme="majorBidi" w:hAnsiTheme="majorBidi" w:cstheme="majorBidi"/>
          <w:i/>
          <w:sz w:val="24"/>
          <w:szCs w:val="24"/>
        </w:rPr>
        <w:t>leverage</w:t>
      </w:r>
      <w:r w:rsidR="00067FBA" w:rsidRPr="00C4381B">
        <w:rPr>
          <w:rFonts w:asciiTheme="majorBidi" w:hAnsiTheme="majorBidi" w:cstheme="majorBidi"/>
          <w:sz w:val="24"/>
          <w:szCs w:val="24"/>
        </w:rPr>
        <w:t xml:space="preserve"> (X</w:t>
      </w:r>
      <w:r w:rsidR="00067FBA" w:rsidRPr="00C4381B">
        <w:rPr>
          <w:rFonts w:asciiTheme="majorBidi" w:hAnsiTheme="majorBidi" w:cstheme="majorBidi"/>
          <w:sz w:val="24"/>
          <w:szCs w:val="24"/>
          <w:vertAlign w:val="subscript"/>
        </w:rPr>
        <w:t>3</w:t>
      </w:r>
      <w:r w:rsidR="00067FBA" w:rsidRPr="00C4381B">
        <w:rPr>
          <w:rFonts w:asciiTheme="majorBidi" w:hAnsiTheme="majorBidi" w:cstheme="majorBidi"/>
          <w:sz w:val="24"/>
          <w:szCs w:val="24"/>
        </w:rPr>
        <w:t xml:space="preserve">), </w:t>
      </w:r>
      <w:r w:rsidR="00067FBA" w:rsidRPr="00C4381B">
        <w:rPr>
          <w:rFonts w:asciiTheme="majorBidi" w:hAnsiTheme="majorBidi" w:cstheme="majorBidi"/>
          <w:i/>
          <w:sz w:val="24"/>
          <w:szCs w:val="24"/>
        </w:rPr>
        <w:t xml:space="preserve">free cash flow </w:t>
      </w:r>
      <w:r w:rsidR="00067FBA" w:rsidRPr="00C4381B">
        <w:rPr>
          <w:rFonts w:asciiTheme="majorBidi" w:hAnsiTheme="majorBidi" w:cstheme="majorBidi"/>
          <w:sz w:val="24"/>
          <w:szCs w:val="24"/>
        </w:rPr>
        <w:t>(X</w:t>
      </w:r>
      <w:r w:rsidR="00067FBA" w:rsidRPr="00C4381B">
        <w:rPr>
          <w:rFonts w:asciiTheme="majorBidi" w:hAnsiTheme="majorBidi" w:cstheme="majorBidi"/>
          <w:sz w:val="24"/>
          <w:szCs w:val="24"/>
          <w:vertAlign w:val="subscript"/>
        </w:rPr>
        <w:t>4</w:t>
      </w:r>
      <w:r w:rsidR="00067FBA" w:rsidRPr="00C4381B">
        <w:rPr>
          <w:rFonts w:asciiTheme="majorBidi" w:hAnsiTheme="majorBidi" w:cstheme="majorBidi"/>
          <w:sz w:val="24"/>
          <w:szCs w:val="24"/>
        </w:rPr>
        <w:t>), terhadap variabel terikat yaitu kebijakan dividen (Y), serta satu variabel moderasi yaitu kepemilikan institusional (KI)</w:t>
      </w:r>
      <w:r w:rsidR="00C4381B">
        <w:rPr>
          <w:rFonts w:asciiTheme="majorBidi" w:hAnsiTheme="majorBidi" w:cstheme="majorBidi"/>
          <w:sz w:val="24"/>
          <w:szCs w:val="24"/>
        </w:rPr>
        <w:t xml:space="preserve">. </w:t>
      </w:r>
      <w:r w:rsidR="00C4381B" w:rsidRPr="005279AA">
        <w:rPr>
          <w:rFonts w:asciiTheme="majorBidi" w:eastAsiaTheme="minorEastAsia" w:hAnsiTheme="majorBidi" w:cstheme="majorBidi"/>
          <w:iCs/>
          <w:sz w:val="24"/>
          <w:szCs w:val="24"/>
        </w:rPr>
        <w:t xml:space="preserve">Data </w:t>
      </w:r>
      <w:r w:rsidR="00C4381B">
        <w:rPr>
          <w:rFonts w:asciiTheme="majorBidi" w:eastAsiaTheme="minorEastAsia" w:hAnsiTheme="majorBidi" w:cstheme="majorBidi"/>
          <w:iCs/>
          <w:sz w:val="24"/>
          <w:szCs w:val="24"/>
        </w:rPr>
        <w:t xml:space="preserve">variabel penelitian </w:t>
      </w:r>
      <w:r w:rsidR="00C4381B" w:rsidRPr="005279AA">
        <w:rPr>
          <w:rFonts w:asciiTheme="majorBidi" w:eastAsiaTheme="minorEastAsia" w:hAnsiTheme="majorBidi" w:cstheme="majorBidi"/>
          <w:iCs/>
          <w:sz w:val="24"/>
          <w:szCs w:val="24"/>
        </w:rPr>
        <w:t>dapat dijelaskan sebagai berikut:</w:t>
      </w:r>
    </w:p>
    <w:p w14:paraId="6EA87C0E" w14:textId="4ADDC4E8" w:rsidR="007F0FE3"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Profitabilitas</w:t>
      </w:r>
    </w:p>
    <w:p w14:paraId="3A3FC91D" w14:textId="1EC25BEB" w:rsidR="00573A2B" w:rsidRPr="004327F1" w:rsidRDefault="00BE2A93"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Profitabilitas merupakan</w:t>
      </w:r>
      <w:r w:rsidR="00501197" w:rsidRPr="005279AA">
        <w:rPr>
          <w:rFonts w:asciiTheme="majorBidi" w:eastAsiaTheme="minorEastAsia" w:hAnsiTheme="majorBidi" w:cstheme="majorBidi"/>
          <w:iCs/>
          <w:sz w:val="24"/>
          <w:szCs w:val="24"/>
          <w:lang w:val="id-ID"/>
        </w:rPr>
        <w:t xml:space="preserve"> rasio yang digunakan untuk mengukur kemampuan suatu perusahaan dalam memperoleh keuntungan atau laba dari kegiatan operasionalnya. </w:t>
      </w:r>
      <w:r w:rsidR="00E15C58">
        <w:rPr>
          <w:rFonts w:asciiTheme="majorBidi" w:eastAsiaTheme="minorEastAsia" w:hAnsiTheme="majorBidi" w:cstheme="majorBidi"/>
          <w:iCs/>
          <w:sz w:val="24"/>
          <w:szCs w:val="24"/>
        </w:rPr>
        <w:t>D</w:t>
      </w:r>
      <w:r w:rsidR="00501197" w:rsidRPr="005279AA">
        <w:rPr>
          <w:rFonts w:asciiTheme="majorBidi" w:eastAsiaTheme="minorEastAsia" w:hAnsiTheme="majorBidi" w:cstheme="majorBidi"/>
          <w:iCs/>
          <w:sz w:val="24"/>
          <w:szCs w:val="24"/>
          <w:lang w:val="id-ID"/>
        </w:rPr>
        <w:t>alam penelitian ini</w:t>
      </w:r>
      <w:r w:rsidR="00E15C58">
        <w:rPr>
          <w:rFonts w:asciiTheme="majorBidi" w:eastAsiaTheme="minorEastAsia" w:hAnsiTheme="majorBidi" w:cstheme="majorBidi"/>
          <w:iCs/>
          <w:sz w:val="24"/>
          <w:szCs w:val="24"/>
        </w:rPr>
        <w:t xml:space="preserve"> menggunakan proksi </w:t>
      </w:r>
      <w:r w:rsidR="00501197" w:rsidRPr="005279AA">
        <w:rPr>
          <w:rFonts w:asciiTheme="majorBidi" w:eastAsiaTheme="minorEastAsia" w:hAnsiTheme="majorBidi" w:cstheme="majorBidi"/>
          <w:i/>
          <w:sz w:val="24"/>
          <w:szCs w:val="24"/>
          <w:lang w:val="id-ID"/>
        </w:rPr>
        <w:t>Return on Asset</w:t>
      </w:r>
      <w:r w:rsidR="00501197" w:rsidRPr="005279AA">
        <w:rPr>
          <w:rFonts w:asciiTheme="majorBidi" w:eastAsiaTheme="minorEastAsia" w:hAnsiTheme="majorBidi" w:cstheme="majorBidi"/>
          <w:iCs/>
          <w:sz w:val="24"/>
          <w:szCs w:val="24"/>
          <w:lang w:val="id-ID"/>
        </w:rPr>
        <w:t xml:space="preserve"> (ROA) untuk mendapatkan </w:t>
      </w:r>
      <w:r w:rsidR="00E15C58">
        <w:rPr>
          <w:rFonts w:asciiTheme="majorBidi" w:eastAsiaTheme="minorEastAsia" w:hAnsiTheme="majorBidi" w:cstheme="majorBidi"/>
          <w:iCs/>
          <w:sz w:val="24"/>
          <w:szCs w:val="24"/>
        </w:rPr>
        <w:t xml:space="preserve">data </w:t>
      </w:r>
      <w:r w:rsidR="00501197" w:rsidRPr="005279AA">
        <w:rPr>
          <w:rFonts w:asciiTheme="majorBidi" w:eastAsiaTheme="minorEastAsia" w:hAnsiTheme="majorBidi" w:cstheme="majorBidi"/>
          <w:iCs/>
          <w:sz w:val="24"/>
          <w:szCs w:val="24"/>
          <w:lang w:val="id-ID"/>
        </w:rPr>
        <w:t xml:space="preserve">profitabilitas. </w:t>
      </w:r>
      <w:r w:rsidRPr="005279AA">
        <w:rPr>
          <w:rFonts w:asciiTheme="majorBidi" w:eastAsiaTheme="minorEastAsia" w:hAnsiTheme="majorBidi" w:cstheme="majorBidi"/>
          <w:iCs/>
          <w:sz w:val="24"/>
          <w:szCs w:val="24"/>
          <w:lang w:val="id-ID"/>
        </w:rPr>
        <w:t xml:space="preserve">Berikut adalah data </w:t>
      </w:r>
      <w:r w:rsidR="009107C0" w:rsidRPr="005279AA">
        <w:rPr>
          <w:rFonts w:asciiTheme="majorBidi" w:eastAsiaTheme="minorEastAsia" w:hAnsiTheme="majorBidi" w:cstheme="majorBidi"/>
          <w:i/>
          <w:sz w:val="24"/>
          <w:szCs w:val="24"/>
          <w:lang w:val="id-ID"/>
        </w:rPr>
        <w:t>Return on Asset</w:t>
      </w:r>
      <w:r w:rsidR="009107C0" w:rsidRPr="005279AA">
        <w:rPr>
          <w:rFonts w:asciiTheme="majorBidi" w:eastAsiaTheme="minorEastAsia" w:hAnsiTheme="majorBidi" w:cstheme="majorBidi"/>
          <w:iCs/>
          <w:sz w:val="24"/>
          <w:szCs w:val="24"/>
          <w:lang w:val="id-ID"/>
        </w:rPr>
        <w:t xml:space="preserve"> (ROA)</w:t>
      </w:r>
      <w:r w:rsidR="009107C0">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lang w:val="id-ID"/>
        </w:rPr>
        <w:t xml:space="preserve">dari sampel perusahaan sektor </w:t>
      </w:r>
      <w:r w:rsidRPr="005279AA">
        <w:rPr>
          <w:rFonts w:asciiTheme="majorBidi" w:eastAsiaTheme="minorEastAsia" w:hAnsiTheme="majorBidi" w:cstheme="majorBidi"/>
          <w:i/>
          <w:sz w:val="24"/>
          <w:szCs w:val="24"/>
          <w:lang w:val="id-ID"/>
        </w:rPr>
        <w:lastRenderedPageBreak/>
        <w:t>consumer non cyclical</w:t>
      </w:r>
      <w:r w:rsidRPr="005279AA">
        <w:rPr>
          <w:rFonts w:asciiTheme="majorBidi" w:eastAsiaTheme="minorEastAsia" w:hAnsiTheme="majorBidi" w:cstheme="majorBidi"/>
          <w:iCs/>
          <w:sz w:val="24"/>
          <w:szCs w:val="24"/>
          <w:lang w:val="id-ID"/>
        </w:rPr>
        <w:t xml:space="preserve"> </w:t>
      </w:r>
      <w:r w:rsidR="008706BD"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008706BD" w:rsidRPr="005279AA">
        <w:rPr>
          <w:rFonts w:asciiTheme="majorBidi" w:eastAsiaTheme="minorEastAsia" w:hAnsiTheme="majorBidi" w:cstheme="majorBidi"/>
          <w:iCs/>
          <w:sz w:val="24"/>
          <w:szCs w:val="24"/>
        </w:rPr>
        <w:t>ahun 2019-202</w:t>
      </w:r>
      <w:r w:rsidR="007F678B">
        <w:rPr>
          <w:rFonts w:asciiTheme="majorBidi" w:eastAsiaTheme="minorEastAsia" w:hAnsiTheme="majorBidi" w:cstheme="majorBidi"/>
          <w:iCs/>
          <w:sz w:val="24"/>
          <w:szCs w:val="24"/>
        </w:rPr>
        <w:t>3</w:t>
      </w:r>
      <w:r w:rsidR="00E15C58">
        <w:rPr>
          <w:rFonts w:asciiTheme="majorBidi" w:eastAsiaTheme="minorEastAsia" w:hAnsiTheme="majorBidi" w:cstheme="majorBidi"/>
          <w:iCs/>
          <w:sz w:val="24"/>
          <w:szCs w:val="24"/>
        </w:rPr>
        <w:t>.</w:t>
      </w:r>
    </w:p>
    <w:p w14:paraId="6C353385" w14:textId="20ADCB84" w:rsidR="00BE2A93" w:rsidRPr="005279AA" w:rsidRDefault="00BE2A9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7</w:t>
      </w:r>
    </w:p>
    <w:p w14:paraId="5FA5D635" w14:textId="289082A2" w:rsidR="00DE4CD9" w:rsidRPr="005279AA" w:rsidRDefault="00BE2A9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Data Profitabilitas </w:t>
      </w:r>
      <w:r w:rsidR="002E456F" w:rsidRPr="005279AA">
        <w:rPr>
          <w:rFonts w:asciiTheme="majorBidi" w:eastAsiaTheme="minorEastAsia" w:hAnsiTheme="majorBidi" w:cstheme="majorBidi"/>
          <w:b/>
          <w:bCs/>
          <w:iCs/>
          <w:sz w:val="24"/>
          <w:szCs w:val="24"/>
          <w:lang w:val="id-ID"/>
        </w:rPr>
        <w:t xml:space="preserve">Perusahaan Sektor Consumer Non Cyclical </w:t>
      </w:r>
      <w:r w:rsidR="00D4714E" w:rsidRPr="005279AA">
        <w:rPr>
          <w:rFonts w:asciiTheme="majorBidi" w:eastAsiaTheme="minorEastAsia" w:hAnsiTheme="majorBidi" w:cstheme="majorBidi"/>
          <w:b/>
          <w:bCs/>
          <w:iCs/>
          <w:sz w:val="24"/>
          <w:szCs w:val="24"/>
          <w:lang w:val="id-ID"/>
        </w:rPr>
        <w:t xml:space="preserve">Tahun </w:t>
      </w:r>
      <w:r w:rsidR="002E456F" w:rsidRPr="005279AA">
        <w:rPr>
          <w:rFonts w:asciiTheme="majorBidi" w:eastAsiaTheme="minorEastAsia" w:hAnsiTheme="majorBidi" w:cstheme="majorBidi"/>
          <w:b/>
          <w:bCs/>
          <w:iCs/>
          <w:sz w:val="24"/>
          <w:szCs w:val="24"/>
          <w:lang w:val="id-ID"/>
        </w:rPr>
        <w:t>2019-2023</w:t>
      </w:r>
    </w:p>
    <w:p w14:paraId="1B0D82C6" w14:textId="77777777" w:rsidR="00490F59" w:rsidRPr="005279AA" w:rsidRDefault="00490F59" w:rsidP="00645E4A">
      <w:pPr>
        <w:pStyle w:val="ListParagraph"/>
        <w:tabs>
          <w:tab w:val="left" w:pos="1701"/>
        </w:tabs>
        <w:spacing w:line="240" w:lineRule="auto"/>
        <w:ind w:left="1080" w:right="3"/>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(dalam persentase %)</w:t>
      </w:r>
    </w:p>
    <w:tbl>
      <w:tblPr>
        <w:tblW w:w="6758" w:type="dxa"/>
        <w:tblInd w:w="1129" w:type="dxa"/>
        <w:tblLook w:val="04A0" w:firstRow="1" w:lastRow="0" w:firstColumn="1" w:lastColumn="0" w:noHBand="0" w:noVBand="1"/>
      </w:tblPr>
      <w:tblGrid>
        <w:gridCol w:w="675"/>
        <w:gridCol w:w="2586"/>
        <w:gridCol w:w="696"/>
        <w:gridCol w:w="700"/>
        <w:gridCol w:w="704"/>
        <w:gridCol w:w="696"/>
        <w:gridCol w:w="701"/>
      </w:tblGrid>
      <w:tr w:rsidR="00490F59" w:rsidRPr="008708E5" w14:paraId="6E294CCF" w14:textId="77777777" w:rsidTr="00645E4A">
        <w:trPr>
          <w:trHeight w:val="315"/>
          <w:tblHeader/>
        </w:trPr>
        <w:tc>
          <w:tcPr>
            <w:tcW w:w="675" w:type="dxa"/>
            <w:vMerge w:val="restart"/>
            <w:tcBorders>
              <w:top w:val="single" w:sz="4" w:space="0" w:color="000000"/>
              <w:left w:val="single" w:sz="4" w:space="0" w:color="000000"/>
              <w:right w:val="single" w:sz="4" w:space="0" w:color="000000"/>
            </w:tcBorders>
            <w:shd w:val="clear" w:color="auto" w:fill="auto"/>
            <w:noWrap/>
            <w:vAlign w:val="center"/>
            <w:hideMark/>
          </w:tcPr>
          <w:p w14:paraId="705E9A7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No</w:t>
            </w:r>
          </w:p>
          <w:p w14:paraId="78583AA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p>
          <w:p w14:paraId="6BCE91F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586" w:type="dxa"/>
            <w:vMerge w:val="restart"/>
            <w:tcBorders>
              <w:top w:val="single" w:sz="4" w:space="0" w:color="000000"/>
              <w:left w:val="nil"/>
              <w:right w:val="single" w:sz="4" w:space="0" w:color="000000"/>
            </w:tcBorders>
            <w:shd w:val="clear" w:color="auto" w:fill="auto"/>
            <w:noWrap/>
            <w:vAlign w:val="center"/>
            <w:hideMark/>
          </w:tcPr>
          <w:p w14:paraId="6EC3DD8B" w14:textId="7A07ECAC"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Kode Saham</w:t>
            </w: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0BB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Tahun</w:t>
            </w:r>
          </w:p>
        </w:tc>
      </w:tr>
      <w:tr w:rsidR="00490F59" w:rsidRPr="008708E5" w14:paraId="5DB90E0E" w14:textId="77777777" w:rsidTr="00645E4A">
        <w:trPr>
          <w:trHeight w:val="315"/>
          <w:tblHeader/>
        </w:trPr>
        <w:tc>
          <w:tcPr>
            <w:tcW w:w="675" w:type="dxa"/>
            <w:vMerge/>
            <w:tcBorders>
              <w:left w:val="single" w:sz="4" w:space="0" w:color="000000"/>
              <w:bottom w:val="single" w:sz="4" w:space="0" w:color="000000"/>
              <w:right w:val="single" w:sz="4" w:space="0" w:color="000000"/>
            </w:tcBorders>
            <w:shd w:val="clear" w:color="auto" w:fill="auto"/>
            <w:noWrap/>
            <w:vAlign w:val="center"/>
          </w:tcPr>
          <w:p w14:paraId="41749F9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586" w:type="dxa"/>
            <w:vMerge/>
            <w:tcBorders>
              <w:left w:val="nil"/>
              <w:bottom w:val="single" w:sz="4" w:space="0" w:color="000000"/>
              <w:right w:val="single" w:sz="4" w:space="0" w:color="000000"/>
            </w:tcBorders>
            <w:shd w:val="clear" w:color="auto" w:fill="auto"/>
            <w:noWrap/>
            <w:vAlign w:val="center"/>
          </w:tcPr>
          <w:p w14:paraId="321BC14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2443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2019</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690BFA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2020</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6A14A43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2021</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4EC76D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2022</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6E98246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2023</w:t>
            </w:r>
          </w:p>
        </w:tc>
      </w:tr>
      <w:tr w:rsidR="00490F59" w:rsidRPr="008708E5" w14:paraId="2ECEA47A"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1F5D277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w:t>
            </w:r>
          </w:p>
        </w:tc>
        <w:tc>
          <w:tcPr>
            <w:tcW w:w="2586" w:type="dxa"/>
            <w:tcBorders>
              <w:top w:val="nil"/>
              <w:left w:val="nil"/>
              <w:bottom w:val="single" w:sz="4" w:space="0" w:color="000000"/>
              <w:right w:val="single" w:sz="4" w:space="0" w:color="000000"/>
            </w:tcBorders>
            <w:shd w:val="clear" w:color="auto" w:fill="auto"/>
            <w:noWrap/>
            <w:vAlign w:val="center"/>
            <w:hideMark/>
          </w:tcPr>
          <w:p w14:paraId="53C1090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AMRT</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F834B5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0" w:type="dxa"/>
            <w:tcBorders>
              <w:top w:val="nil"/>
              <w:left w:val="nil"/>
              <w:bottom w:val="single" w:sz="4" w:space="0" w:color="auto"/>
              <w:right w:val="single" w:sz="4" w:space="0" w:color="auto"/>
            </w:tcBorders>
            <w:shd w:val="clear" w:color="auto" w:fill="auto"/>
            <w:noWrap/>
            <w:vAlign w:val="center"/>
            <w:hideMark/>
          </w:tcPr>
          <w:p w14:paraId="5AEE62F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704" w:type="dxa"/>
            <w:tcBorders>
              <w:top w:val="nil"/>
              <w:left w:val="nil"/>
              <w:bottom w:val="single" w:sz="4" w:space="0" w:color="auto"/>
              <w:right w:val="single" w:sz="4" w:space="0" w:color="auto"/>
            </w:tcBorders>
            <w:shd w:val="clear" w:color="auto" w:fill="auto"/>
            <w:noWrap/>
            <w:vAlign w:val="center"/>
            <w:hideMark/>
          </w:tcPr>
          <w:p w14:paraId="065731B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696" w:type="dxa"/>
            <w:tcBorders>
              <w:top w:val="nil"/>
              <w:left w:val="nil"/>
              <w:bottom w:val="single" w:sz="4" w:space="0" w:color="auto"/>
              <w:right w:val="single" w:sz="4" w:space="0" w:color="auto"/>
            </w:tcBorders>
            <w:shd w:val="clear" w:color="auto" w:fill="auto"/>
            <w:noWrap/>
            <w:vAlign w:val="center"/>
            <w:hideMark/>
          </w:tcPr>
          <w:p w14:paraId="5A1BE63E"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701" w:type="dxa"/>
            <w:tcBorders>
              <w:top w:val="nil"/>
              <w:left w:val="nil"/>
              <w:bottom w:val="single" w:sz="4" w:space="0" w:color="auto"/>
              <w:right w:val="single" w:sz="4" w:space="0" w:color="auto"/>
            </w:tcBorders>
            <w:shd w:val="clear" w:color="auto" w:fill="auto"/>
            <w:noWrap/>
            <w:vAlign w:val="center"/>
            <w:hideMark/>
          </w:tcPr>
          <w:p w14:paraId="7B5CB668"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r>
      <w:tr w:rsidR="00490F59" w:rsidRPr="008708E5" w14:paraId="2964C5D6"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488896F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2</w:t>
            </w:r>
          </w:p>
        </w:tc>
        <w:tc>
          <w:tcPr>
            <w:tcW w:w="2586" w:type="dxa"/>
            <w:tcBorders>
              <w:top w:val="nil"/>
              <w:left w:val="nil"/>
              <w:bottom w:val="single" w:sz="4" w:space="0" w:color="000000"/>
              <w:right w:val="single" w:sz="4" w:space="0" w:color="000000"/>
            </w:tcBorders>
            <w:shd w:val="clear" w:color="auto" w:fill="auto"/>
            <w:noWrap/>
            <w:vAlign w:val="center"/>
            <w:hideMark/>
          </w:tcPr>
          <w:p w14:paraId="3B154A5E"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BISI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AD2C58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c>
          <w:tcPr>
            <w:tcW w:w="700" w:type="dxa"/>
            <w:tcBorders>
              <w:top w:val="nil"/>
              <w:left w:val="nil"/>
              <w:bottom w:val="single" w:sz="4" w:space="0" w:color="auto"/>
              <w:right w:val="single" w:sz="4" w:space="0" w:color="auto"/>
            </w:tcBorders>
            <w:shd w:val="clear" w:color="auto" w:fill="auto"/>
            <w:noWrap/>
            <w:vAlign w:val="center"/>
            <w:hideMark/>
          </w:tcPr>
          <w:p w14:paraId="42F17E0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704" w:type="dxa"/>
            <w:tcBorders>
              <w:top w:val="nil"/>
              <w:left w:val="nil"/>
              <w:bottom w:val="single" w:sz="4" w:space="0" w:color="auto"/>
              <w:right w:val="single" w:sz="4" w:space="0" w:color="auto"/>
            </w:tcBorders>
            <w:shd w:val="clear" w:color="auto" w:fill="auto"/>
            <w:noWrap/>
            <w:vAlign w:val="center"/>
            <w:hideMark/>
          </w:tcPr>
          <w:p w14:paraId="457D8BA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696" w:type="dxa"/>
            <w:tcBorders>
              <w:top w:val="nil"/>
              <w:left w:val="nil"/>
              <w:bottom w:val="single" w:sz="4" w:space="0" w:color="auto"/>
              <w:right w:val="single" w:sz="4" w:space="0" w:color="auto"/>
            </w:tcBorders>
            <w:shd w:val="clear" w:color="auto" w:fill="auto"/>
            <w:noWrap/>
            <w:vAlign w:val="center"/>
            <w:hideMark/>
          </w:tcPr>
          <w:p w14:paraId="7C63FBE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c>
          <w:tcPr>
            <w:tcW w:w="701" w:type="dxa"/>
            <w:tcBorders>
              <w:top w:val="nil"/>
              <w:left w:val="nil"/>
              <w:bottom w:val="single" w:sz="4" w:space="0" w:color="auto"/>
              <w:right w:val="single" w:sz="4" w:space="0" w:color="auto"/>
            </w:tcBorders>
            <w:shd w:val="clear" w:color="auto" w:fill="auto"/>
            <w:noWrap/>
            <w:vAlign w:val="center"/>
            <w:hideMark/>
          </w:tcPr>
          <w:p w14:paraId="22C2E1F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r>
      <w:tr w:rsidR="00490F59" w:rsidRPr="008708E5" w14:paraId="3E778166"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1A06603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3</w:t>
            </w:r>
          </w:p>
        </w:tc>
        <w:tc>
          <w:tcPr>
            <w:tcW w:w="2586" w:type="dxa"/>
            <w:tcBorders>
              <w:top w:val="nil"/>
              <w:left w:val="nil"/>
              <w:bottom w:val="single" w:sz="4" w:space="0" w:color="000000"/>
              <w:right w:val="single" w:sz="4" w:space="0" w:color="000000"/>
            </w:tcBorders>
            <w:shd w:val="clear" w:color="auto" w:fill="auto"/>
            <w:noWrap/>
            <w:vAlign w:val="center"/>
            <w:hideMark/>
          </w:tcPr>
          <w:p w14:paraId="01A4C2D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BUDI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8D29A4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c>
          <w:tcPr>
            <w:tcW w:w="700" w:type="dxa"/>
            <w:tcBorders>
              <w:top w:val="nil"/>
              <w:left w:val="nil"/>
              <w:bottom w:val="single" w:sz="4" w:space="0" w:color="auto"/>
              <w:right w:val="single" w:sz="4" w:space="0" w:color="auto"/>
            </w:tcBorders>
            <w:shd w:val="clear" w:color="auto" w:fill="auto"/>
            <w:noWrap/>
            <w:vAlign w:val="center"/>
            <w:hideMark/>
          </w:tcPr>
          <w:p w14:paraId="327655A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c>
          <w:tcPr>
            <w:tcW w:w="704" w:type="dxa"/>
            <w:tcBorders>
              <w:top w:val="nil"/>
              <w:left w:val="nil"/>
              <w:bottom w:val="single" w:sz="4" w:space="0" w:color="auto"/>
              <w:right w:val="single" w:sz="4" w:space="0" w:color="auto"/>
            </w:tcBorders>
            <w:shd w:val="clear" w:color="auto" w:fill="auto"/>
            <w:noWrap/>
            <w:vAlign w:val="center"/>
            <w:hideMark/>
          </w:tcPr>
          <w:p w14:paraId="00C12A0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0.03</w:t>
            </w:r>
          </w:p>
        </w:tc>
        <w:tc>
          <w:tcPr>
            <w:tcW w:w="696" w:type="dxa"/>
            <w:tcBorders>
              <w:top w:val="nil"/>
              <w:left w:val="nil"/>
              <w:bottom w:val="single" w:sz="4" w:space="0" w:color="auto"/>
              <w:right w:val="single" w:sz="4" w:space="0" w:color="auto"/>
            </w:tcBorders>
            <w:shd w:val="clear" w:color="auto" w:fill="auto"/>
            <w:noWrap/>
            <w:vAlign w:val="center"/>
            <w:hideMark/>
          </w:tcPr>
          <w:p w14:paraId="0D74E58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0.03</w:t>
            </w:r>
          </w:p>
        </w:tc>
        <w:tc>
          <w:tcPr>
            <w:tcW w:w="701" w:type="dxa"/>
            <w:tcBorders>
              <w:top w:val="nil"/>
              <w:left w:val="nil"/>
              <w:bottom w:val="single" w:sz="4" w:space="0" w:color="auto"/>
              <w:right w:val="single" w:sz="4" w:space="0" w:color="auto"/>
            </w:tcBorders>
            <w:shd w:val="clear" w:color="auto" w:fill="auto"/>
            <w:noWrap/>
            <w:vAlign w:val="center"/>
            <w:hideMark/>
          </w:tcPr>
          <w:p w14:paraId="5897467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0.03</w:t>
            </w:r>
          </w:p>
        </w:tc>
      </w:tr>
      <w:tr w:rsidR="00490F59" w:rsidRPr="008708E5" w14:paraId="6EA33009"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09AC000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4</w:t>
            </w:r>
          </w:p>
        </w:tc>
        <w:tc>
          <w:tcPr>
            <w:tcW w:w="2586" w:type="dxa"/>
            <w:tcBorders>
              <w:top w:val="nil"/>
              <w:left w:val="nil"/>
              <w:bottom w:val="single" w:sz="4" w:space="0" w:color="000000"/>
              <w:right w:val="single" w:sz="4" w:space="0" w:color="000000"/>
            </w:tcBorders>
            <w:shd w:val="clear" w:color="auto" w:fill="auto"/>
            <w:noWrap/>
            <w:vAlign w:val="center"/>
            <w:hideMark/>
          </w:tcPr>
          <w:p w14:paraId="268A859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CEKA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B345C7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c>
          <w:tcPr>
            <w:tcW w:w="700" w:type="dxa"/>
            <w:tcBorders>
              <w:top w:val="nil"/>
              <w:left w:val="nil"/>
              <w:bottom w:val="single" w:sz="4" w:space="0" w:color="auto"/>
              <w:right w:val="single" w:sz="4" w:space="0" w:color="auto"/>
            </w:tcBorders>
            <w:shd w:val="clear" w:color="auto" w:fill="auto"/>
            <w:noWrap/>
            <w:vAlign w:val="center"/>
            <w:hideMark/>
          </w:tcPr>
          <w:p w14:paraId="12CBC37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704" w:type="dxa"/>
            <w:tcBorders>
              <w:top w:val="nil"/>
              <w:left w:val="nil"/>
              <w:bottom w:val="single" w:sz="4" w:space="0" w:color="auto"/>
              <w:right w:val="single" w:sz="4" w:space="0" w:color="auto"/>
            </w:tcBorders>
            <w:shd w:val="clear" w:color="auto" w:fill="auto"/>
            <w:noWrap/>
            <w:vAlign w:val="center"/>
            <w:hideMark/>
          </w:tcPr>
          <w:p w14:paraId="2E170A6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696" w:type="dxa"/>
            <w:tcBorders>
              <w:top w:val="nil"/>
              <w:left w:val="nil"/>
              <w:bottom w:val="single" w:sz="4" w:space="0" w:color="auto"/>
              <w:right w:val="single" w:sz="4" w:space="0" w:color="auto"/>
            </w:tcBorders>
            <w:shd w:val="clear" w:color="auto" w:fill="auto"/>
            <w:noWrap/>
            <w:vAlign w:val="center"/>
            <w:hideMark/>
          </w:tcPr>
          <w:p w14:paraId="44F68DD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0.13</w:t>
            </w:r>
          </w:p>
        </w:tc>
        <w:tc>
          <w:tcPr>
            <w:tcW w:w="701" w:type="dxa"/>
            <w:tcBorders>
              <w:top w:val="nil"/>
              <w:left w:val="nil"/>
              <w:bottom w:val="single" w:sz="4" w:space="0" w:color="auto"/>
              <w:right w:val="single" w:sz="4" w:space="0" w:color="auto"/>
            </w:tcBorders>
            <w:shd w:val="clear" w:color="auto" w:fill="auto"/>
            <w:noWrap/>
            <w:vAlign w:val="center"/>
            <w:hideMark/>
          </w:tcPr>
          <w:p w14:paraId="41AB95E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r>
      <w:tr w:rsidR="00490F59" w:rsidRPr="008708E5" w14:paraId="6C5FA066"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0576B70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5</w:t>
            </w:r>
          </w:p>
        </w:tc>
        <w:tc>
          <w:tcPr>
            <w:tcW w:w="2586" w:type="dxa"/>
            <w:tcBorders>
              <w:top w:val="nil"/>
              <w:left w:val="nil"/>
              <w:bottom w:val="single" w:sz="4" w:space="0" w:color="000000"/>
              <w:right w:val="single" w:sz="4" w:space="0" w:color="000000"/>
            </w:tcBorders>
            <w:shd w:val="clear" w:color="auto" w:fill="auto"/>
            <w:noWrap/>
            <w:vAlign w:val="center"/>
            <w:hideMark/>
          </w:tcPr>
          <w:p w14:paraId="3658D88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CPIN</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97730A6"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0.13</w:t>
            </w:r>
          </w:p>
        </w:tc>
        <w:tc>
          <w:tcPr>
            <w:tcW w:w="700" w:type="dxa"/>
            <w:tcBorders>
              <w:top w:val="nil"/>
              <w:left w:val="nil"/>
              <w:bottom w:val="single" w:sz="4" w:space="0" w:color="auto"/>
              <w:right w:val="single" w:sz="4" w:space="0" w:color="auto"/>
            </w:tcBorders>
            <w:shd w:val="clear" w:color="auto" w:fill="auto"/>
            <w:noWrap/>
            <w:vAlign w:val="center"/>
            <w:hideMark/>
          </w:tcPr>
          <w:p w14:paraId="3C920AF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704" w:type="dxa"/>
            <w:tcBorders>
              <w:top w:val="nil"/>
              <w:left w:val="nil"/>
              <w:bottom w:val="single" w:sz="4" w:space="0" w:color="auto"/>
              <w:right w:val="single" w:sz="4" w:space="0" w:color="auto"/>
            </w:tcBorders>
            <w:shd w:val="clear" w:color="auto" w:fill="auto"/>
            <w:noWrap/>
            <w:vAlign w:val="center"/>
            <w:hideMark/>
          </w:tcPr>
          <w:p w14:paraId="49BBD4E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c>
          <w:tcPr>
            <w:tcW w:w="696" w:type="dxa"/>
            <w:tcBorders>
              <w:top w:val="nil"/>
              <w:left w:val="nil"/>
              <w:bottom w:val="single" w:sz="4" w:space="0" w:color="auto"/>
              <w:right w:val="single" w:sz="4" w:space="0" w:color="auto"/>
            </w:tcBorders>
            <w:shd w:val="clear" w:color="auto" w:fill="auto"/>
            <w:noWrap/>
            <w:vAlign w:val="center"/>
            <w:hideMark/>
          </w:tcPr>
          <w:p w14:paraId="45E3E26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701" w:type="dxa"/>
            <w:tcBorders>
              <w:top w:val="nil"/>
              <w:left w:val="nil"/>
              <w:bottom w:val="single" w:sz="4" w:space="0" w:color="auto"/>
              <w:right w:val="single" w:sz="4" w:space="0" w:color="auto"/>
            </w:tcBorders>
            <w:shd w:val="clear" w:color="auto" w:fill="auto"/>
            <w:noWrap/>
            <w:vAlign w:val="center"/>
            <w:hideMark/>
          </w:tcPr>
          <w:p w14:paraId="5271A1F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r>
      <w:tr w:rsidR="00490F59" w:rsidRPr="008708E5" w14:paraId="60DA5655"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2B996C2E"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6</w:t>
            </w:r>
          </w:p>
        </w:tc>
        <w:tc>
          <w:tcPr>
            <w:tcW w:w="2586" w:type="dxa"/>
            <w:tcBorders>
              <w:top w:val="nil"/>
              <w:left w:val="nil"/>
              <w:bottom w:val="single" w:sz="4" w:space="0" w:color="000000"/>
              <w:right w:val="single" w:sz="4" w:space="0" w:color="000000"/>
            </w:tcBorders>
            <w:shd w:val="clear" w:color="auto" w:fill="auto"/>
            <w:noWrap/>
            <w:vAlign w:val="center"/>
            <w:hideMark/>
          </w:tcPr>
          <w:p w14:paraId="37D7F5C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ICBP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2FBCD2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0.14</w:t>
            </w:r>
          </w:p>
        </w:tc>
        <w:tc>
          <w:tcPr>
            <w:tcW w:w="700" w:type="dxa"/>
            <w:tcBorders>
              <w:top w:val="nil"/>
              <w:left w:val="nil"/>
              <w:bottom w:val="single" w:sz="4" w:space="0" w:color="auto"/>
              <w:right w:val="single" w:sz="4" w:space="0" w:color="auto"/>
            </w:tcBorders>
            <w:shd w:val="clear" w:color="auto" w:fill="auto"/>
            <w:noWrap/>
            <w:vAlign w:val="center"/>
            <w:hideMark/>
          </w:tcPr>
          <w:p w14:paraId="40FAE59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704" w:type="dxa"/>
            <w:tcBorders>
              <w:top w:val="nil"/>
              <w:left w:val="nil"/>
              <w:bottom w:val="single" w:sz="4" w:space="0" w:color="auto"/>
              <w:right w:val="single" w:sz="4" w:space="0" w:color="auto"/>
            </w:tcBorders>
            <w:shd w:val="clear" w:color="auto" w:fill="auto"/>
            <w:noWrap/>
            <w:vAlign w:val="center"/>
            <w:hideMark/>
          </w:tcPr>
          <w:p w14:paraId="74463B7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696" w:type="dxa"/>
            <w:tcBorders>
              <w:top w:val="nil"/>
              <w:left w:val="nil"/>
              <w:bottom w:val="single" w:sz="4" w:space="0" w:color="auto"/>
              <w:right w:val="single" w:sz="4" w:space="0" w:color="auto"/>
            </w:tcBorders>
            <w:shd w:val="clear" w:color="auto" w:fill="auto"/>
            <w:noWrap/>
            <w:vAlign w:val="center"/>
            <w:hideMark/>
          </w:tcPr>
          <w:p w14:paraId="45639F1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1" w:type="dxa"/>
            <w:tcBorders>
              <w:top w:val="nil"/>
              <w:left w:val="nil"/>
              <w:bottom w:val="single" w:sz="4" w:space="0" w:color="auto"/>
              <w:right w:val="single" w:sz="4" w:space="0" w:color="auto"/>
            </w:tcBorders>
            <w:shd w:val="clear" w:color="auto" w:fill="auto"/>
            <w:noWrap/>
            <w:vAlign w:val="center"/>
            <w:hideMark/>
          </w:tcPr>
          <w:p w14:paraId="19DA256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r>
      <w:tr w:rsidR="00490F59" w:rsidRPr="008708E5" w14:paraId="06F464D0"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332EDA4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7</w:t>
            </w:r>
          </w:p>
        </w:tc>
        <w:tc>
          <w:tcPr>
            <w:tcW w:w="2586" w:type="dxa"/>
            <w:tcBorders>
              <w:top w:val="nil"/>
              <w:left w:val="nil"/>
              <w:bottom w:val="single" w:sz="4" w:space="0" w:color="000000"/>
              <w:right w:val="single" w:sz="4" w:space="0" w:color="000000"/>
            </w:tcBorders>
            <w:shd w:val="clear" w:color="auto" w:fill="auto"/>
            <w:noWrap/>
            <w:vAlign w:val="center"/>
            <w:hideMark/>
          </w:tcPr>
          <w:p w14:paraId="27781EF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INDF</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648054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700" w:type="dxa"/>
            <w:tcBorders>
              <w:top w:val="nil"/>
              <w:left w:val="nil"/>
              <w:bottom w:val="single" w:sz="4" w:space="0" w:color="auto"/>
              <w:right w:val="single" w:sz="4" w:space="0" w:color="auto"/>
            </w:tcBorders>
            <w:shd w:val="clear" w:color="auto" w:fill="auto"/>
            <w:noWrap/>
            <w:vAlign w:val="center"/>
            <w:hideMark/>
          </w:tcPr>
          <w:p w14:paraId="53FE523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4" w:type="dxa"/>
            <w:tcBorders>
              <w:top w:val="nil"/>
              <w:left w:val="nil"/>
              <w:bottom w:val="single" w:sz="4" w:space="0" w:color="auto"/>
              <w:right w:val="single" w:sz="4" w:space="0" w:color="auto"/>
            </w:tcBorders>
            <w:shd w:val="clear" w:color="auto" w:fill="auto"/>
            <w:noWrap/>
            <w:vAlign w:val="center"/>
            <w:hideMark/>
          </w:tcPr>
          <w:p w14:paraId="5EA44238"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696" w:type="dxa"/>
            <w:tcBorders>
              <w:top w:val="nil"/>
              <w:left w:val="nil"/>
              <w:bottom w:val="single" w:sz="4" w:space="0" w:color="auto"/>
              <w:right w:val="single" w:sz="4" w:space="0" w:color="auto"/>
            </w:tcBorders>
            <w:shd w:val="clear" w:color="auto" w:fill="auto"/>
            <w:noWrap/>
            <w:vAlign w:val="center"/>
            <w:hideMark/>
          </w:tcPr>
          <w:p w14:paraId="5E8D5A6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1" w:type="dxa"/>
            <w:tcBorders>
              <w:top w:val="nil"/>
              <w:left w:val="nil"/>
              <w:bottom w:val="single" w:sz="4" w:space="0" w:color="auto"/>
              <w:right w:val="single" w:sz="4" w:space="0" w:color="auto"/>
            </w:tcBorders>
            <w:shd w:val="clear" w:color="auto" w:fill="auto"/>
            <w:noWrap/>
            <w:vAlign w:val="center"/>
            <w:hideMark/>
          </w:tcPr>
          <w:p w14:paraId="6FD2D9A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r>
      <w:tr w:rsidR="00490F59" w:rsidRPr="008708E5" w14:paraId="3D360823"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68CC3954"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8</w:t>
            </w:r>
          </w:p>
        </w:tc>
        <w:tc>
          <w:tcPr>
            <w:tcW w:w="2586" w:type="dxa"/>
            <w:tcBorders>
              <w:top w:val="nil"/>
              <w:left w:val="nil"/>
              <w:bottom w:val="single" w:sz="4" w:space="0" w:color="000000"/>
              <w:right w:val="single" w:sz="4" w:space="0" w:color="000000"/>
            </w:tcBorders>
            <w:shd w:val="clear" w:color="auto" w:fill="auto"/>
            <w:noWrap/>
            <w:vAlign w:val="center"/>
            <w:hideMark/>
          </w:tcPr>
          <w:p w14:paraId="7DC04D7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JPFA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567C08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700" w:type="dxa"/>
            <w:tcBorders>
              <w:top w:val="nil"/>
              <w:left w:val="nil"/>
              <w:bottom w:val="single" w:sz="4" w:space="0" w:color="auto"/>
              <w:right w:val="single" w:sz="4" w:space="0" w:color="auto"/>
            </w:tcBorders>
            <w:shd w:val="clear" w:color="auto" w:fill="auto"/>
            <w:noWrap/>
            <w:vAlign w:val="center"/>
            <w:hideMark/>
          </w:tcPr>
          <w:p w14:paraId="08525BE8"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4" w:type="dxa"/>
            <w:tcBorders>
              <w:top w:val="nil"/>
              <w:left w:val="nil"/>
              <w:bottom w:val="single" w:sz="4" w:space="0" w:color="auto"/>
              <w:right w:val="single" w:sz="4" w:space="0" w:color="auto"/>
            </w:tcBorders>
            <w:shd w:val="clear" w:color="auto" w:fill="auto"/>
            <w:noWrap/>
            <w:vAlign w:val="center"/>
            <w:hideMark/>
          </w:tcPr>
          <w:p w14:paraId="5A9C8AB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696" w:type="dxa"/>
            <w:tcBorders>
              <w:top w:val="nil"/>
              <w:left w:val="nil"/>
              <w:bottom w:val="single" w:sz="4" w:space="0" w:color="auto"/>
              <w:right w:val="single" w:sz="4" w:space="0" w:color="auto"/>
            </w:tcBorders>
            <w:shd w:val="clear" w:color="auto" w:fill="auto"/>
            <w:noWrap/>
            <w:vAlign w:val="center"/>
            <w:hideMark/>
          </w:tcPr>
          <w:p w14:paraId="4282EB4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0.05</w:t>
            </w:r>
          </w:p>
        </w:tc>
        <w:tc>
          <w:tcPr>
            <w:tcW w:w="701" w:type="dxa"/>
            <w:tcBorders>
              <w:top w:val="nil"/>
              <w:left w:val="nil"/>
              <w:bottom w:val="single" w:sz="4" w:space="0" w:color="auto"/>
              <w:right w:val="single" w:sz="4" w:space="0" w:color="auto"/>
            </w:tcBorders>
            <w:shd w:val="clear" w:color="auto" w:fill="auto"/>
            <w:noWrap/>
            <w:vAlign w:val="center"/>
            <w:hideMark/>
          </w:tcPr>
          <w:p w14:paraId="33898166"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0.03</w:t>
            </w:r>
          </w:p>
        </w:tc>
      </w:tr>
      <w:tr w:rsidR="00490F59" w:rsidRPr="008708E5" w14:paraId="2671A935"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5CE2F7A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9</w:t>
            </w:r>
          </w:p>
        </w:tc>
        <w:tc>
          <w:tcPr>
            <w:tcW w:w="2586" w:type="dxa"/>
            <w:tcBorders>
              <w:top w:val="nil"/>
              <w:left w:val="nil"/>
              <w:bottom w:val="single" w:sz="4" w:space="0" w:color="000000"/>
              <w:right w:val="single" w:sz="4" w:space="0" w:color="000000"/>
            </w:tcBorders>
            <w:shd w:val="clear" w:color="auto" w:fill="auto"/>
            <w:noWrap/>
            <w:vAlign w:val="center"/>
            <w:hideMark/>
          </w:tcPr>
          <w:p w14:paraId="0A4308A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LSIP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8AF996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c>
          <w:tcPr>
            <w:tcW w:w="700" w:type="dxa"/>
            <w:tcBorders>
              <w:top w:val="nil"/>
              <w:left w:val="nil"/>
              <w:bottom w:val="single" w:sz="4" w:space="0" w:color="auto"/>
              <w:right w:val="single" w:sz="4" w:space="0" w:color="auto"/>
            </w:tcBorders>
            <w:shd w:val="clear" w:color="auto" w:fill="auto"/>
            <w:noWrap/>
            <w:vAlign w:val="center"/>
            <w:hideMark/>
          </w:tcPr>
          <w:p w14:paraId="139BE63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704" w:type="dxa"/>
            <w:tcBorders>
              <w:top w:val="nil"/>
              <w:left w:val="nil"/>
              <w:bottom w:val="single" w:sz="4" w:space="0" w:color="auto"/>
              <w:right w:val="single" w:sz="4" w:space="0" w:color="auto"/>
            </w:tcBorders>
            <w:shd w:val="clear" w:color="auto" w:fill="auto"/>
            <w:noWrap/>
            <w:vAlign w:val="center"/>
            <w:hideMark/>
          </w:tcPr>
          <w:p w14:paraId="5EDCC7B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c>
          <w:tcPr>
            <w:tcW w:w="696" w:type="dxa"/>
            <w:tcBorders>
              <w:top w:val="nil"/>
              <w:left w:val="nil"/>
              <w:bottom w:val="single" w:sz="4" w:space="0" w:color="auto"/>
              <w:right w:val="single" w:sz="4" w:space="0" w:color="auto"/>
            </w:tcBorders>
            <w:shd w:val="clear" w:color="auto" w:fill="auto"/>
            <w:noWrap/>
            <w:vAlign w:val="center"/>
            <w:hideMark/>
          </w:tcPr>
          <w:p w14:paraId="56E6A69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c>
          <w:tcPr>
            <w:tcW w:w="701" w:type="dxa"/>
            <w:tcBorders>
              <w:top w:val="nil"/>
              <w:left w:val="nil"/>
              <w:bottom w:val="single" w:sz="4" w:space="0" w:color="auto"/>
              <w:right w:val="single" w:sz="4" w:space="0" w:color="auto"/>
            </w:tcBorders>
            <w:shd w:val="clear" w:color="auto" w:fill="auto"/>
            <w:noWrap/>
            <w:vAlign w:val="center"/>
            <w:hideMark/>
          </w:tcPr>
          <w:p w14:paraId="699223B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r>
      <w:tr w:rsidR="00490F59" w:rsidRPr="008708E5" w14:paraId="0932BC20"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71751BC9"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10</w:t>
            </w:r>
          </w:p>
        </w:tc>
        <w:tc>
          <w:tcPr>
            <w:tcW w:w="2586" w:type="dxa"/>
            <w:tcBorders>
              <w:top w:val="nil"/>
              <w:left w:val="nil"/>
              <w:bottom w:val="single" w:sz="4" w:space="0" w:color="000000"/>
              <w:right w:val="single" w:sz="4" w:space="0" w:color="000000"/>
            </w:tcBorders>
            <w:shd w:val="clear" w:color="auto" w:fill="auto"/>
            <w:noWrap/>
            <w:vAlign w:val="center"/>
            <w:hideMark/>
          </w:tcPr>
          <w:p w14:paraId="34B7DD7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MYOR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CB6EF6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700" w:type="dxa"/>
            <w:tcBorders>
              <w:top w:val="nil"/>
              <w:left w:val="nil"/>
              <w:bottom w:val="single" w:sz="4" w:space="0" w:color="auto"/>
              <w:right w:val="single" w:sz="4" w:space="0" w:color="auto"/>
            </w:tcBorders>
            <w:shd w:val="clear" w:color="auto" w:fill="auto"/>
            <w:noWrap/>
            <w:vAlign w:val="center"/>
            <w:hideMark/>
          </w:tcPr>
          <w:p w14:paraId="610BE4F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704" w:type="dxa"/>
            <w:tcBorders>
              <w:top w:val="nil"/>
              <w:left w:val="nil"/>
              <w:bottom w:val="single" w:sz="4" w:space="0" w:color="auto"/>
              <w:right w:val="single" w:sz="4" w:space="0" w:color="auto"/>
            </w:tcBorders>
            <w:shd w:val="clear" w:color="auto" w:fill="auto"/>
            <w:noWrap/>
            <w:vAlign w:val="center"/>
            <w:hideMark/>
          </w:tcPr>
          <w:p w14:paraId="205CA73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696" w:type="dxa"/>
            <w:tcBorders>
              <w:top w:val="nil"/>
              <w:left w:val="nil"/>
              <w:bottom w:val="single" w:sz="4" w:space="0" w:color="auto"/>
              <w:right w:val="single" w:sz="4" w:space="0" w:color="auto"/>
            </w:tcBorders>
            <w:shd w:val="clear" w:color="auto" w:fill="auto"/>
            <w:noWrap/>
            <w:vAlign w:val="center"/>
            <w:hideMark/>
          </w:tcPr>
          <w:p w14:paraId="1D8697C8"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701" w:type="dxa"/>
            <w:tcBorders>
              <w:top w:val="nil"/>
              <w:left w:val="nil"/>
              <w:bottom w:val="single" w:sz="4" w:space="0" w:color="auto"/>
              <w:right w:val="single" w:sz="4" w:space="0" w:color="auto"/>
            </w:tcBorders>
            <w:shd w:val="clear" w:color="auto" w:fill="auto"/>
            <w:noWrap/>
            <w:vAlign w:val="center"/>
            <w:hideMark/>
          </w:tcPr>
          <w:p w14:paraId="4F79A81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0.14</w:t>
            </w:r>
          </w:p>
        </w:tc>
      </w:tr>
      <w:tr w:rsidR="00490F59" w:rsidRPr="008708E5" w14:paraId="0A5C1909"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7A67C07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11</w:t>
            </w:r>
          </w:p>
        </w:tc>
        <w:tc>
          <w:tcPr>
            <w:tcW w:w="2586" w:type="dxa"/>
            <w:tcBorders>
              <w:top w:val="nil"/>
              <w:left w:val="nil"/>
              <w:bottom w:val="single" w:sz="4" w:space="0" w:color="000000"/>
              <w:right w:val="single" w:sz="4" w:space="0" w:color="000000"/>
            </w:tcBorders>
            <w:shd w:val="clear" w:color="auto" w:fill="auto"/>
            <w:noWrap/>
            <w:vAlign w:val="center"/>
            <w:hideMark/>
          </w:tcPr>
          <w:p w14:paraId="794F487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SDPC</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19C79D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0.01</w:t>
            </w:r>
          </w:p>
        </w:tc>
        <w:tc>
          <w:tcPr>
            <w:tcW w:w="700" w:type="dxa"/>
            <w:tcBorders>
              <w:top w:val="nil"/>
              <w:left w:val="nil"/>
              <w:bottom w:val="single" w:sz="4" w:space="0" w:color="auto"/>
              <w:right w:val="single" w:sz="4" w:space="0" w:color="auto"/>
            </w:tcBorders>
            <w:shd w:val="clear" w:color="auto" w:fill="auto"/>
            <w:noWrap/>
            <w:vAlign w:val="center"/>
            <w:hideMark/>
          </w:tcPr>
          <w:p w14:paraId="1AFA066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0.00</w:t>
            </w:r>
          </w:p>
        </w:tc>
        <w:tc>
          <w:tcPr>
            <w:tcW w:w="704" w:type="dxa"/>
            <w:tcBorders>
              <w:top w:val="nil"/>
              <w:left w:val="nil"/>
              <w:bottom w:val="single" w:sz="4" w:space="0" w:color="auto"/>
              <w:right w:val="single" w:sz="4" w:space="0" w:color="auto"/>
            </w:tcBorders>
            <w:shd w:val="clear" w:color="auto" w:fill="auto"/>
            <w:noWrap/>
            <w:vAlign w:val="center"/>
            <w:hideMark/>
          </w:tcPr>
          <w:p w14:paraId="04D3FE7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0.01</w:t>
            </w:r>
          </w:p>
        </w:tc>
        <w:tc>
          <w:tcPr>
            <w:tcW w:w="696" w:type="dxa"/>
            <w:tcBorders>
              <w:top w:val="nil"/>
              <w:left w:val="nil"/>
              <w:bottom w:val="single" w:sz="4" w:space="0" w:color="auto"/>
              <w:right w:val="single" w:sz="4" w:space="0" w:color="auto"/>
            </w:tcBorders>
            <w:shd w:val="clear" w:color="auto" w:fill="auto"/>
            <w:noWrap/>
            <w:vAlign w:val="center"/>
            <w:hideMark/>
          </w:tcPr>
          <w:p w14:paraId="53D6411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c>
          <w:tcPr>
            <w:tcW w:w="701" w:type="dxa"/>
            <w:tcBorders>
              <w:top w:val="nil"/>
              <w:left w:val="nil"/>
              <w:bottom w:val="single" w:sz="4" w:space="0" w:color="auto"/>
              <w:right w:val="single" w:sz="4" w:space="0" w:color="auto"/>
            </w:tcBorders>
            <w:shd w:val="clear" w:color="auto" w:fill="auto"/>
            <w:noWrap/>
            <w:vAlign w:val="center"/>
            <w:hideMark/>
          </w:tcPr>
          <w:p w14:paraId="5D8D21F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r>
      <w:tr w:rsidR="00490F59" w:rsidRPr="008708E5" w14:paraId="244ACA75"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0A3912C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12</w:t>
            </w:r>
          </w:p>
        </w:tc>
        <w:tc>
          <w:tcPr>
            <w:tcW w:w="2586" w:type="dxa"/>
            <w:tcBorders>
              <w:top w:val="nil"/>
              <w:left w:val="nil"/>
              <w:bottom w:val="single" w:sz="4" w:space="0" w:color="000000"/>
              <w:right w:val="single" w:sz="4" w:space="0" w:color="000000"/>
            </w:tcBorders>
            <w:shd w:val="clear" w:color="auto" w:fill="auto"/>
            <w:noWrap/>
            <w:vAlign w:val="center"/>
            <w:hideMark/>
          </w:tcPr>
          <w:p w14:paraId="4A9187E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TBLA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C1854B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700" w:type="dxa"/>
            <w:tcBorders>
              <w:top w:val="nil"/>
              <w:left w:val="nil"/>
              <w:bottom w:val="single" w:sz="4" w:space="0" w:color="auto"/>
              <w:right w:val="single" w:sz="4" w:space="0" w:color="auto"/>
            </w:tcBorders>
            <w:shd w:val="clear" w:color="auto" w:fill="auto"/>
            <w:noWrap/>
            <w:vAlign w:val="center"/>
            <w:hideMark/>
          </w:tcPr>
          <w:p w14:paraId="5C7673C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704" w:type="dxa"/>
            <w:tcBorders>
              <w:top w:val="nil"/>
              <w:left w:val="nil"/>
              <w:bottom w:val="single" w:sz="4" w:space="0" w:color="auto"/>
              <w:right w:val="single" w:sz="4" w:space="0" w:color="auto"/>
            </w:tcBorders>
            <w:shd w:val="clear" w:color="auto" w:fill="auto"/>
            <w:noWrap/>
            <w:vAlign w:val="center"/>
            <w:hideMark/>
          </w:tcPr>
          <w:p w14:paraId="474472D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696" w:type="dxa"/>
            <w:tcBorders>
              <w:top w:val="nil"/>
              <w:left w:val="nil"/>
              <w:bottom w:val="single" w:sz="4" w:space="0" w:color="auto"/>
              <w:right w:val="single" w:sz="4" w:space="0" w:color="auto"/>
            </w:tcBorders>
            <w:shd w:val="clear" w:color="auto" w:fill="auto"/>
            <w:noWrap/>
            <w:vAlign w:val="center"/>
            <w:hideMark/>
          </w:tcPr>
          <w:p w14:paraId="27F6318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0.03</w:t>
            </w:r>
          </w:p>
        </w:tc>
        <w:tc>
          <w:tcPr>
            <w:tcW w:w="701" w:type="dxa"/>
            <w:tcBorders>
              <w:top w:val="nil"/>
              <w:left w:val="nil"/>
              <w:bottom w:val="single" w:sz="4" w:space="0" w:color="auto"/>
              <w:right w:val="single" w:sz="4" w:space="0" w:color="auto"/>
            </w:tcBorders>
            <w:shd w:val="clear" w:color="auto" w:fill="auto"/>
            <w:noWrap/>
            <w:vAlign w:val="center"/>
            <w:hideMark/>
          </w:tcPr>
          <w:p w14:paraId="2AD7650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0.02</w:t>
            </w:r>
          </w:p>
        </w:tc>
      </w:tr>
      <w:tr w:rsidR="00490F59" w:rsidRPr="008708E5" w14:paraId="3FE69812" w14:textId="77777777" w:rsidTr="00645E4A">
        <w:trPr>
          <w:trHeight w:val="315"/>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64459DF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13</w:t>
            </w:r>
          </w:p>
        </w:tc>
        <w:tc>
          <w:tcPr>
            <w:tcW w:w="2586" w:type="dxa"/>
            <w:tcBorders>
              <w:top w:val="nil"/>
              <w:left w:val="nil"/>
              <w:bottom w:val="single" w:sz="4" w:space="0" w:color="000000"/>
              <w:right w:val="single" w:sz="4" w:space="0" w:color="000000"/>
            </w:tcBorders>
            <w:shd w:val="clear" w:color="auto" w:fill="auto"/>
            <w:noWrap/>
            <w:vAlign w:val="center"/>
            <w:hideMark/>
          </w:tcPr>
          <w:p w14:paraId="5DCA77DB"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GOOD</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B64E5F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700" w:type="dxa"/>
            <w:tcBorders>
              <w:top w:val="nil"/>
              <w:left w:val="nil"/>
              <w:bottom w:val="single" w:sz="4" w:space="0" w:color="auto"/>
              <w:right w:val="single" w:sz="4" w:space="0" w:color="auto"/>
            </w:tcBorders>
            <w:shd w:val="clear" w:color="auto" w:fill="auto"/>
            <w:noWrap/>
            <w:vAlign w:val="center"/>
            <w:hideMark/>
          </w:tcPr>
          <w:p w14:paraId="28D6698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704" w:type="dxa"/>
            <w:tcBorders>
              <w:top w:val="nil"/>
              <w:left w:val="nil"/>
              <w:bottom w:val="single" w:sz="4" w:space="0" w:color="auto"/>
              <w:right w:val="single" w:sz="4" w:space="0" w:color="auto"/>
            </w:tcBorders>
            <w:shd w:val="clear" w:color="auto" w:fill="auto"/>
            <w:noWrap/>
            <w:vAlign w:val="center"/>
            <w:hideMark/>
          </w:tcPr>
          <w:p w14:paraId="449A459E"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696" w:type="dxa"/>
            <w:tcBorders>
              <w:top w:val="nil"/>
              <w:left w:val="nil"/>
              <w:bottom w:val="single" w:sz="4" w:space="0" w:color="auto"/>
              <w:right w:val="single" w:sz="4" w:space="0" w:color="auto"/>
            </w:tcBorders>
            <w:shd w:val="clear" w:color="auto" w:fill="auto"/>
            <w:noWrap/>
            <w:vAlign w:val="center"/>
            <w:hideMark/>
          </w:tcPr>
          <w:p w14:paraId="6D6D8A6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701" w:type="dxa"/>
            <w:tcBorders>
              <w:top w:val="nil"/>
              <w:left w:val="nil"/>
              <w:bottom w:val="single" w:sz="4" w:space="0" w:color="auto"/>
              <w:right w:val="single" w:sz="4" w:space="0" w:color="auto"/>
            </w:tcBorders>
            <w:shd w:val="clear" w:color="auto" w:fill="auto"/>
            <w:noWrap/>
            <w:vAlign w:val="center"/>
            <w:hideMark/>
          </w:tcPr>
          <w:p w14:paraId="1E6265C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r>
      <w:tr w:rsidR="00490F59" w:rsidRPr="008708E5" w14:paraId="09923685" w14:textId="77777777" w:rsidTr="00645E4A">
        <w:trPr>
          <w:trHeight w:val="315"/>
        </w:trPr>
        <w:tc>
          <w:tcPr>
            <w:tcW w:w="675" w:type="dxa"/>
            <w:tcBorders>
              <w:top w:val="nil"/>
              <w:left w:val="single" w:sz="4" w:space="0" w:color="000000"/>
              <w:bottom w:val="nil"/>
              <w:right w:val="single" w:sz="4" w:space="0" w:color="000000"/>
            </w:tcBorders>
            <w:shd w:val="clear" w:color="auto" w:fill="auto"/>
            <w:noWrap/>
            <w:vAlign w:val="center"/>
            <w:hideMark/>
          </w:tcPr>
          <w:p w14:paraId="0C64C72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14</w:t>
            </w:r>
          </w:p>
        </w:tc>
        <w:tc>
          <w:tcPr>
            <w:tcW w:w="2586" w:type="dxa"/>
            <w:tcBorders>
              <w:top w:val="nil"/>
              <w:left w:val="nil"/>
              <w:bottom w:val="nil"/>
              <w:right w:val="single" w:sz="4" w:space="0" w:color="000000"/>
            </w:tcBorders>
            <w:shd w:val="clear" w:color="auto" w:fill="auto"/>
            <w:noWrap/>
            <w:vAlign w:val="center"/>
            <w:hideMark/>
          </w:tcPr>
          <w:p w14:paraId="1138EA2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HMSP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F7AA7F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0.27</w:t>
            </w:r>
          </w:p>
        </w:tc>
        <w:tc>
          <w:tcPr>
            <w:tcW w:w="700" w:type="dxa"/>
            <w:tcBorders>
              <w:top w:val="nil"/>
              <w:left w:val="nil"/>
              <w:bottom w:val="single" w:sz="4" w:space="0" w:color="auto"/>
              <w:right w:val="single" w:sz="4" w:space="0" w:color="auto"/>
            </w:tcBorders>
            <w:shd w:val="clear" w:color="auto" w:fill="auto"/>
            <w:noWrap/>
            <w:vAlign w:val="center"/>
            <w:hideMark/>
          </w:tcPr>
          <w:p w14:paraId="2F8B710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0.17</w:t>
            </w:r>
          </w:p>
        </w:tc>
        <w:tc>
          <w:tcPr>
            <w:tcW w:w="704" w:type="dxa"/>
            <w:tcBorders>
              <w:top w:val="nil"/>
              <w:left w:val="nil"/>
              <w:bottom w:val="single" w:sz="4" w:space="0" w:color="auto"/>
              <w:right w:val="single" w:sz="4" w:space="0" w:color="auto"/>
            </w:tcBorders>
            <w:shd w:val="clear" w:color="auto" w:fill="auto"/>
            <w:noWrap/>
            <w:vAlign w:val="center"/>
            <w:hideMark/>
          </w:tcPr>
          <w:p w14:paraId="137AC98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0.13</w:t>
            </w:r>
          </w:p>
        </w:tc>
        <w:tc>
          <w:tcPr>
            <w:tcW w:w="696" w:type="dxa"/>
            <w:tcBorders>
              <w:top w:val="nil"/>
              <w:left w:val="nil"/>
              <w:bottom w:val="single" w:sz="4" w:space="0" w:color="auto"/>
              <w:right w:val="single" w:sz="4" w:space="0" w:color="auto"/>
            </w:tcBorders>
            <w:shd w:val="clear" w:color="auto" w:fill="auto"/>
            <w:noWrap/>
            <w:vAlign w:val="center"/>
            <w:hideMark/>
          </w:tcPr>
          <w:p w14:paraId="6892AA57"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701" w:type="dxa"/>
            <w:tcBorders>
              <w:top w:val="nil"/>
              <w:left w:val="nil"/>
              <w:bottom w:val="single" w:sz="4" w:space="0" w:color="auto"/>
              <w:right w:val="single" w:sz="4" w:space="0" w:color="auto"/>
            </w:tcBorders>
            <w:shd w:val="clear" w:color="auto" w:fill="auto"/>
            <w:noWrap/>
            <w:vAlign w:val="center"/>
            <w:hideMark/>
          </w:tcPr>
          <w:p w14:paraId="5D9DCB6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r>
      <w:tr w:rsidR="00490F59" w:rsidRPr="008708E5" w14:paraId="160AA23F" w14:textId="77777777" w:rsidTr="00645E4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53F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15</w:t>
            </w:r>
          </w:p>
        </w:tc>
        <w:tc>
          <w:tcPr>
            <w:tcW w:w="2586" w:type="dxa"/>
            <w:tcBorders>
              <w:top w:val="single" w:sz="4" w:space="0" w:color="auto"/>
              <w:left w:val="nil"/>
              <w:bottom w:val="single" w:sz="4" w:space="0" w:color="auto"/>
              <w:right w:val="single" w:sz="4" w:space="0" w:color="auto"/>
            </w:tcBorders>
            <w:shd w:val="clear" w:color="auto" w:fill="auto"/>
            <w:noWrap/>
            <w:vAlign w:val="center"/>
            <w:hideMark/>
          </w:tcPr>
          <w:p w14:paraId="109B5DA2"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UNVR</w:t>
            </w:r>
          </w:p>
        </w:tc>
        <w:tc>
          <w:tcPr>
            <w:tcW w:w="696" w:type="dxa"/>
            <w:tcBorders>
              <w:top w:val="nil"/>
              <w:left w:val="nil"/>
              <w:bottom w:val="single" w:sz="4" w:space="0" w:color="auto"/>
              <w:right w:val="single" w:sz="4" w:space="0" w:color="auto"/>
            </w:tcBorders>
            <w:shd w:val="clear" w:color="auto" w:fill="auto"/>
            <w:noWrap/>
            <w:vAlign w:val="center"/>
            <w:hideMark/>
          </w:tcPr>
          <w:p w14:paraId="3363C6D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0.36</w:t>
            </w:r>
          </w:p>
        </w:tc>
        <w:tc>
          <w:tcPr>
            <w:tcW w:w="700" w:type="dxa"/>
            <w:tcBorders>
              <w:top w:val="nil"/>
              <w:left w:val="nil"/>
              <w:bottom w:val="single" w:sz="4" w:space="0" w:color="auto"/>
              <w:right w:val="single" w:sz="4" w:space="0" w:color="auto"/>
            </w:tcBorders>
            <w:shd w:val="clear" w:color="auto" w:fill="auto"/>
            <w:noWrap/>
            <w:vAlign w:val="center"/>
            <w:hideMark/>
          </w:tcPr>
          <w:p w14:paraId="15D0591D"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0.35</w:t>
            </w:r>
          </w:p>
        </w:tc>
        <w:tc>
          <w:tcPr>
            <w:tcW w:w="704" w:type="dxa"/>
            <w:tcBorders>
              <w:top w:val="nil"/>
              <w:left w:val="nil"/>
              <w:bottom w:val="single" w:sz="4" w:space="0" w:color="auto"/>
              <w:right w:val="single" w:sz="4" w:space="0" w:color="auto"/>
            </w:tcBorders>
            <w:shd w:val="clear" w:color="auto" w:fill="auto"/>
            <w:noWrap/>
            <w:vAlign w:val="center"/>
            <w:hideMark/>
          </w:tcPr>
          <w:p w14:paraId="74F75EAF"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0.30</w:t>
            </w:r>
          </w:p>
        </w:tc>
        <w:tc>
          <w:tcPr>
            <w:tcW w:w="696" w:type="dxa"/>
            <w:tcBorders>
              <w:top w:val="nil"/>
              <w:left w:val="nil"/>
              <w:bottom w:val="single" w:sz="4" w:space="0" w:color="auto"/>
              <w:right w:val="single" w:sz="4" w:space="0" w:color="auto"/>
            </w:tcBorders>
            <w:shd w:val="clear" w:color="auto" w:fill="auto"/>
            <w:noWrap/>
            <w:vAlign w:val="center"/>
            <w:hideMark/>
          </w:tcPr>
          <w:p w14:paraId="50F865C5"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0.29</w:t>
            </w:r>
          </w:p>
        </w:tc>
        <w:tc>
          <w:tcPr>
            <w:tcW w:w="701" w:type="dxa"/>
            <w:tcBorders>
              <w:top w:val="nil"/>
              <w:left w:val="nil"/>
              <w:bottom w:val="single" w:sz="4" w:space="0" w:color="auto"/>
              <w:right w:val="single" w:sz="4" w:space="0" w:color="auto"/>
            </w:tcBorders>
            <w:shd w:val="clear" w:color="auto" w:fill="auto"/>
            <w:noWrap/>
            <w:vAlign w:val="center"/>
            <w:hideMark/>
          </w:tcPr>
          <w:p w14:paraId="64651CB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0.29</w:t>
            </w:r>
          </w:p>
        </w:tc>
      </w:tr>
      <w:tr w:rsidR="00490F59" w:rsidRPr="008708E5" w14:paraId="007A8420"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0C9A"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Terendah</w:t>
            </w:r>
          </w:p>
        </w:tc>
        <w:tc>
          <w:tcPr>
            <w:tcW w:w="3497" w:type="dxa"/>
            <w:gridSpan w:val="5"/>
            <w:tcBorders>
              <w:top w:val="single" w:sz="4" w:space="0" w:color="auto"/>
              <w:left w:val="nil"/>
              <w:bottom w:val="single" w:sz="4" w:space="0" w:color="auto"/>
              <w:right w:val="single" w:sz="4" w:space="0" w:color="auto"/>
            </w:tcBorders>
            <w:shd w:val="clear" w:color="auto" w:fill="auto"/>
            <w:noWrap/>
            <w:vAlign w:val="center"/>
            <w:hideMark/>
          </w:tcPr>
          <w:p w14:paraId="43932EE3"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0.002</w:t>
            </w:r>
          </w:p>
        </w:tc>
      </w:tr>
      <w:tr w:rsidR="00490F59" w:rsidRPr="008708E5" w14:paraId="385570F1"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61F0"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Tertinggi</w:t>
            </w:r>
          </w:p>
        </w:tc>
        <w:tc>
          <w:tcPr>
            <w:tcW w:w="349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6593BBC"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0.358</w:t>
            </w:r>
          </w:p>
        </w:tc>
      </w:tr>
      <w:tr w:rsidR="00490F59" w:rsidRPr="005279AA" w14:paraId="2A8351EE"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98A1" w14:textId="77777777" w:rsidR="00490F59" w:rsidRPr="008708E5" w:rsidRDefault="00490F59"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Rata-Rata</w:t>
            </w:r>
          </w:p>
        </w:tc>
        <w:tc>
          <w:tcPr>
            <w:tcW w:w="349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1E327B" w14:textId="77777777" w:rsidR="00490F59" w:rsidRPr="005279AA" w:rsidRDefault="00490F59"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0.093</w:t>
            </w:r>
          </w:p>
        </w:tc>
      </w:tr>
    </w:tbl>
    <w:p w14:paraId="2B57B6F2" w14:textId="6BD7638A" w:rsidR="00E65DC9" w:rsidRDefault="008A7D90" w:rsidP="00645E4A">
      <w:pPr>
        <w:tabs>
          <w:tab w:val="left" w:pos="1701"/>
        </w:tabs>
        <w:spacing w:line="240" w:lineRule="auto"/>
        <w:ind w:left="1134" w:right="3"/>
        <w:jc w:val="both"/>
        <w:rPr>
          <w:rFonts w:asciiTheme="majorBidi" w:eastAsiaTheme="minorEastAsia" w:hAnsiTheme="majorBidi" w:cstheme="majorBidi"/>
          <w:iCs/>
        </w:rPr>
      </w:pPr>
      <w:r w:rsidRPr="005279AA">
        <w:rPr>
          <w:rFonts w:asciiTheme="majorBidi" w:eastAsiaTheme="minorEastAsia" w:hAnsiTheme="majorBidi" w:cstheme="majorBidi"/>
          <w:iCs/>
          <w:lang w:val="id-ID"/>
        </w:rPr>
        <w:t xml:space="preserve">Sumber: </w:t>
      </w:r>
      <w:r w:rsidR="004B74B3" w:rsidRPr="005279AA">
        <w:rPr>
          <w:rFonts w:asciiTheme="majorBidi" w:eastAsiaTheme="minorEastAsia" w:hAnsiTheme="majorBidi" w:cstheme="majorBidi"/>
          <w:iCs/>
          <w:lang w:val="id-ID"/>
        </w:rPr>
        <w:t xml:space="preserve">Laporan </w:t>
      </w:r>
      <w:r w:rsidR="00D974B3" w:rsidRPr="005279AA">
        <w:rPr>
          <w:rFonts w:asciiTheme="majorBidi" w:eastAsiaTheme="minorEastAsia" w:hAnsiTheme="majorBidi" w:cstheme="majorBidi"/>
          <w:iCs/>
          <w:lang w:val="id-ID"/>
        </w:rPr>
        <w:t xml:space="preserve">Keuangan Tahunan </w:t>
      </w:r>
      <w:r w:rsidR="00D974B3">
        <w:rPr>
          <w:rFonts w:asciiTheme="majorBidi" w:eastAsiaTheme="minorEastAsia" w:hAnsiTheme="majorBidi" w:cstheme="majorBidi"/>
          <w:iCs/>
        </w:rPr>
        <w:t xml:space="preserve">Perusahaan Sektor </w:t>
      </w:r>
      <w:r w:rsidR="00D974B3" w:rsidRPr="005279AA">
        <w:rPr>
          <w:rFonts w:asciiTheme="majorBidi" w:eastAsiaTheme="minorEastAsia" w:hAnsiTheme="majorBidi" w:cstheme="majorBidi"/>
          <w:iCs/>
          <w:lang w:val="id-ID"/>
        </w:rPr>
        <w:t>Consumer Non Cyclical 2019-202</w:t>
      </w:r>
      <w:r w:rsidR="00D974B3" w:rsidRPr="005279AA">
        <w:rPr>
          <w:rFonts w:asciiTheme="majorBidi" w:eastAsiaTheme="minorEastAsia" w:hAnsiTheme="majorBidi" w:cstheme="majorBidi"/>
          <w:iCs/>
        </w:rPr>
        <w:t>3</w:t>
      </w:r>
    </w:p>
    <w:p w14:paraId="3F5206AB" w14:textId="61EE9F2E" w:rsidR="00E15C58" w:rsidRPr="008D285A" w:rsidRDefault="00632286"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data profitabilitas </w:t>
      </w:r>
      <w:r w:rsidR="002E1451" w:rsidRPr="00CC00B3">
        <w:rPr>
          <w:rFonts w:asciiTheme="majorBidi" w:eastAsiaTheme="minorEastAsia" w:hAnsiTheme="majorBidi" w:cstheme="majorBidi"/>
          <w:iCs/>
          <w:sz w:val="24"/>
          <w:szCs w:val="24"/>
        </w:rPr>
        <w:t xml:space="preserve">menggunakan proksi </w:t>
      </w:r>
      <w:r w:rsidR="002E1451" w:rsidRPr="00CC00B3">
        <w:rPr>
          <w:rFonts w:asciiTheme="majorBidi" w:eastAsiaTheme="minorEastAsia" w:hAnsiTheme="majorBidi" w:cstheme="majorBidi"/>
          <w:i/>
          <w:sz w:val="24"/>
          <w:szCs w:val="24"/>
        </w:rPr>
        <w:t>Return on Asset</w:t>
      </w:r>
      <w:r w:rsidR="002E1451" w:rsidRPr="00CC00B3">
        <w:rPr>
          <w:rFonts w:asciiTheme="majorBidi" w:eastAsiaTheme="minorEastAsia" w:hAnsiTheme="majorBidi" w:cstheme="majorBidi"/>
          <w:iCs/>
          <w:sz w:val="24"/>
          <w:szCs w:val="24"/>
        </w:rPr>
        <w:t xml:space="preserve"> (ROA) pada sampel perusahaan sektor </w:t>
      </w:r>
      <w:r w:rsidR="002E1451" w:rsidRPr="00CC00B3">
        <w:rPr>
          <w:rFonts w:asciiTheme="majorBidi" w:eastAsiaTheme="minorEastAsia" w:hAnsiTheme="majorBidi" w:cstheme="majorBidi"/>
          <w:i/>
          <w:sz w:val="24"/>
          <w:szCs w:val="24"/>
        </w:rPr>
        <w:t>consumer non cyclical</w:t>
      </w:r>
      <w:r w:rsidR="002E1451"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2E1451"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2E1451" w:rsidRPr="00CC00B3">
        <w:rPr>
          <w:rFonts w:asciiTheme="majorBidi" w:eastAsiaTheme="minorEastAsia" w:hAnsiTheme="majorBidi" w:cstheme="majorBidi"/>
          <w:iCs/>
          <w:sz w:val="24"/>
          <w:szCs w:val="24"/>
        </w:rPr>
        <w:t>ahun 2023 diatas, maka dapat dibuat grafik sebagai berikut</w:t>
      </w:r>
      <w:r w:rsidR="008D285A">
        <w:rPr>
          <w:rFonts w:asciiTheme="majorBidi" w:eastAsiaTheme="minorEastAsia" w:hAnsiTheme="majorBidi" w:cstheme="majorBidi"/>
          <w:iCs/>
          <w:sz w:val="24"/>
          <w:szCs w:val="24"/>
        </w:rPr>
        <w:t>:</w:t>
      </w:r>
    </w:p>
    <w:p w14:paraId="4006DDA3" w14:textId="7064FBA9" w:rsidR="00E15C58" w:rsidRDefault="002323D2" w:rsidP="00BF76D1">
      <w:pPr>
        <w:tabs>
          <w:tab w:val="left" w:pos="1701"/>
        </w:tabs>
        <w:spacing w:line="240" w:lineRule="auto"/>
        <w:ind w:left="851" w:firstLine="426"/>
        <w:jc w:val="both"/>
        <w:rPr>
          <w:rFonts w:asciiTheme="majorBidi" w:eastAsiaTheme="minorEastAsia" w:hAnsiTheme="majorBidi" w:cstheme="majorBidi"/>
          <w:iCs/>
        </w:rPr>
      </w:pPr>
      <w:r>
        <w:rPr>
          <w:noProof/>
        </w:rPr>
        <w:lastRenderedPageBreak/>
        <w:drawing>
          <wp:inline distT="0" distB="0" distL="0" distR="0" wp14:anchorId="6D177EEC" wp14:editId="7BF6BA08">
            <wp:extent cx="4272915" cy="2682240"/>
            <wp:effectExtent l="0" t="0" r="13335" b="3810"/>
            <wp:docPr id="35" name="Chart 35">
              <a:extLst xmlns:a="http://schemas.openxmlformats.org/drawingml/2006/main">
                <a:ext uri="{FF2B5EF4-FFF2-40B4-BE49-F238E27FC236}">
                  <a16:creationId xmlns:a16="http://schemas.microsoft.com/office/drawing/2014/main" id="{9E1A99E5-8F38-4D34-9C3B-D194D7EF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882B64" w14:textId="77777777" w:rsidR="000619F3" w:rsidRPr="005279AA" w:rsidRDefault="000619F3" w:rsidP="00BF76D1">
      <w:pPr>
        <w:pStyle w:val="ListParagraph"/>
        <w:tabs>
          <w:tab w:val="left" w:pos="1701"/>
        </w:tabs>
        <w:spacing w:line="240" w:lineRule="auto"/>
        <w:ind w:left="1276"/>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1AC057DF" w14:textId="1AB6264F" w:rsidR="009107C0"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2</w:t>
      </w:r>
    </w:p>
    <w:p w14:paraId="06EDEBFF" w14:textId="77777777" w:rsidR="009107C0"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Pr>
          <w:rFonts w:asciiTheme="majorBidi" w:eastAsiaTheme="minorEastAsia" w:hAnsiTheme="majorBidi" w:cstheme="majorBidi"/>
          <w:b/>
          <w:bCs/>
          <w:iCs/>
          <w:sz w:val="24"/>
          <w:szCs w:val="24"/>
        </w:rPr>
        <w:t>Profitabilitas</w:t>
      </w:r>
      <w:r w:rsidR="009107C0">
        <w:rPr>
          <w:rFonts w:asciiTheme="majorBidi" w:eastAsiaTheme="minorEastAsia" w:hAnsiTheme="majorBidi" w:cstheme="majorBidi"/>
          <w:b/>
          <w:bCs/>
          <w:iCs/>
          <w:sz w:val="24"/>
          <w:szCs w:val="24"/>
        </w:rPr>
        <w:t xml:space="preserve"> </w:t>
      </w:r>
      <w:r w:rsidRPr="009107C0">
        <w:rPr>
          <w:rFonts w:asciiTheme="majorBidi" w:eastAsiaTheme="minorEastAsia" w:hAnsiTheme="majorBidi" w:cstheme="majorBidi"/>
          <w:b/>
          <w:bCs/>
          <w:iCs/>
          <w:sz w:val="24"/>
          <w:szCs w:val="24"/>
          <w:lang w:val="id-ID"/>
        </w:rPr>
        <w:t xml:space="preserve">Perusahaan Sektor Consumer Non Cyclical </w:t>
      </w:r>
    </w:p>
    <w:p w14:paraId="19331E5E" w14:textId="4EBEC08E" w:rsidR="000619F3" w:rsidRPr="009107C0"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9107C0">
        <w:rPr>
          <w:rFonts w:asciiTheme="majorBidi" w:eastAsiaTheme="minorEastAsia" w:hAnsiTheme="majorBidi" w:cstheme="majorBidi"/>
          <w:b/>
          <w:bCs/>
          <w:iCs/>
          <w:sz w:val="24"/>
          <w:szCs w:val="24"/>
          <w:lang w:val="id-ID"/>
        </w:rPr>
        <w:t>Tahun 2019-202</w:t>
      </w:r>
      <w:r w:rsidRPr="009107C0">
        <w:rPr>
          <w:rFonts w:asciiTheme="majorBidi" w:eastAsiaTheme="minorEastAsia" w:hAnsiTheme="majorBidi" w:cstheme="majorBidi"/>
          <w:b/>
          <w:bCs/>
          <w:iCs/>
          <w:sz w:val="24"/>
          <w:szCs w:val="24"/>
        </w:rPr>
        <w:t>3</w:t>
      </w:r>
    </w:p>
    <w:p w14:paraId="25967D92" w14:textId="1EE484B7" w:rsidR="00C4381B" w:rsidRPr="009107C0"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9107C0">
        <w:rPr>
          <w:rFonts w:asciiTheme="majorBidi" w:eastAsiaTheme="minorEastAsia" w:hAnsiTheme="majorBidi" w:cstheme="majorBidi"/>
          <w:iCs/>
          <w:sz w:val="24"/>
          <w:szCs w:val="24"/>
        </w:rPr>
        <w:t xml:space="preserve">Berdasarkan tabel dan grafik diatas dapat diketahui bahwa nilai profitabilitas menggunakan proksi </w:t>
      </w:r>
      <w:r w:rsidRPr="009911AA">
        <w:rPr>
          <w:rFonts w:asciiTheme="majorBidi" w:eastAsiaTheme="minorEastAsia" w:hAnsiTheme="majorBidi" w:cstheme="majorBidi"/>
          <w:i/>
          <w:sz w:val="24"/>
          <w:szCs w:val="24"/>
        </w:rPr>
        <w:t>Return on Asset</w:t>
      </w:r>
      <w:r w:rsidRPr="009107C0">
        <w:rPr>
          <w:rFonts w:asciiTheme="majorBidi" w:eastAsiaTheme="minorEastAsia" w:hAnsiTheme="majorBidi" w:cstheme="majorBidi"/>
          <w:iCs/>
          <w:sz w:val="24"/>
          <w:szCs w:val="24"/>
        </w:rPr>
        <w:t xml:space="preserve"> (ROA) pada 15 sampel perusahaan sektor </w:t>
      </w:r>
      <w:r w:rsidRPr="009911AA">
        <w:rPr>
          <w:rFonts w:asciiTheme="majorBidi" w:eastAsiaTheme="minorEastAsia" w:hAnsiTheme="majorBidi" w:cstheme="majorBidi"/>
          <w:i/>
          <w:sz w:val="24"/>
          <w:szCs w:val="24"/>
        </w:rPr>
        <w:t>consumer non cyclical</w:t>
      </w:r>
      <w:r w:rsidRPr="009107C0">
        <w:rPr>
          <w:rFonts w:asciiTheme="majorBidi" w:eastAsiaTheme="minorEastAsia" w:hAnsiTheme="majorBidi" w:cstheme="majorBidi"/>
          <w:iCs/>
          <w:sz w:val="24"/>
          <w:szCs w:val="24"/>
        </w:rPr>
        <w:t xml:space="preserve"> tahun 2019 – tahun 2023 </w:t>
      </w:r>
      <w:r w:rsidR="009107C0" w:rsidRPr="009107C0">
        <w:rPr>
          <w:rFonts w:asciiTheme="majorBidi" w:eastAsiaTheme="minorEastAsia" w:hAnsiTheme="majorBidi" w:cstheme="majorBidi"/>
          <w:iCs/>
          <w:sz w:val="24"/>
          <w:szCs w:val="24"/>
        </w:rPr>
        <w:t xml:space="preserve">menunjukan bahwa nilai </w:t>
      </w:r>
      <w:r w:rsidR="009107C0" w:rsidRPr="009911AA">
        <w:rPr>
          <w:rFonts w:asciiTheme="majorBidi" w:eastAsiaTheme="minorEastAsia" w:hAnsiTheme="majorBidi" w:cstheme="majorBidi"/>
          <w:i/>
          <w:sz w:val="24"/>
          <w:szCs w:val="24"/>
        </w:rPr>
        <w:t>Return on Asset</w:t>
      </w:r>
      <w:r w:rsidR="009107C0" w:rsidRPr="009107C0">
        <w:rPr>
          <w:rFonts w:asciiTheme="majorBidi" w:eastAsiaTheme="minorEastAsia" w:hAnsiTheme="majorBidi" w:cstheme="majorBidi"/>
          <w:iCs/>
          <w:sz w:val="24"/>
          <w:szCs w:val="24"/>
        </w:rPr>
        <w:t xml:space="preserve"> (ROA) tertinggi dihasilkan oleh</w:t>
      </w:r>
      <w:r w:rsidR="009107C0">
        <w:rPr>
          <w:rFonts w:asciiTheme="majorBidi" w:eastAsiaTheme="minorEastAsia" w:hAnsiTheme="majorBidi" w:cstheme="majorBidi"/>
          <w:iCs/>
          <w:sz w:val="24"/>
          <w:szCs w:val="24"/>
        </w:rPr>
        <w:t xml:space="preserve"> PT</w:t>
      </w:r>
      <w:r w:rsidR="009107C0" w:rsidRPr="009107C0">
        <w:rPr>
          <w:rFonts w:asciiTheme="majorBidi" w:eastAsiaTheme="minorEastAsia" w:hAnsiTheme="majorBidi" w:cstheme="majorBidi"/>
          <w:iCs/>
          <w:sz w:val="24"/>
          <w:szCs w:val="24"/>
        </w:rPr>
        <w:t xml:space="preserve"> </w:t>
      </w:r>
      <w:r w:rsidR="009107C0" w:rsidRPr="009107C0">
        <w:rPr>
          <w:rFonts w:asciiTheme="majorBidi" w:eastAsia="Times New Roman" w:hAnsiTheme="majorBidi" w:cstheme="majorBidi"/>
          <w:sz w:val="24"/>
          <w:szCs w:val="24"/>
          <w:lang w:eastAsia="en-GB"/>
        </w:rPr>
        <w:t>Unilever Indonesia Tbk</w:t>
      </w:r>
      <w:r w:rsidR="009107C0">
        <w:rPr>
          <w:rFonts w:asciiTheme="majorBidi" w:eastAsia="Times New Roman" w:hAnsiTheme="majorBidi" w:cstheme="majorBidi"/>
          <w:sz w:val="24"/>
          <w:szCs w:val="24"/>
          <w:lang w:eastAsia="en-GB"/>
        </w:rPr>
        <w:t xml:space="preserve"> </w:t>
      </w:r>
      <w:r w:rsidR="00111995">
        <w:rPr>
          <w:rFonts w:asciiTheme="majorBidi" w:eastAsia="Times New Roman" w:hAnsiTheme="majorBidi" w:cstheme="majorBidi"/>
          <w:sz w:val="24"/>
          <w:szCs w:val="24"/>
          <w:lang w:eastAsia="en-GB"/>
        </w:rPr>
        <w:t xml:space="preserve">pada </w:t>
      </w:r>
      <w:r w:rsidR="00C34EDF">
        <w:rPr>
          <w:rFonts w:asciiTheme="majorBidi" w:eastAsia="Times New Roman" w:hAnsiTheme="majorBidi" w:cstheme="majorBidi"/>
          <w:sz w:val="24"/>
          <w:szCs w:val="24"/>
          <w:lang w:eastAsia="en-GB"/>
        </w:rPr>
        <w:t>t</w:t>
      </w:r>
      <w:r w:rsidR="009107C0">
        <w:rPr>
          <w:rFonts w:asciiTheme="majorBidi" w:eastAsia="Times New Roman" w:hAnsiTheme="majorBidi" w:cstheme="majorBidi"/>
          <w:sz w:val="24"/>
          <w:szCs w:val="24"/>
          <w:lang w:eastAsia="en-GB"/>
        </w:rPr>
        <w:t>ahun 2019 yaitu sebesar 0,36</w:t>
      </w:r>
      <w:r w:rsidR="009911AA">
        <w:rPr>
          <w:rFonts w:asciiTheme="majorBidi" w:eastAsia="Times New Roman" w:hAnsiTheme="majorBidi" w:cstheme="majorBidi"/>
          <w:sz w:val="24"/>
          <w:szCs w:val="24"/>
          <w:lang w:eastAsia="en-GB"/>
        </w:rPr>
        <w:t xml:space="preserve"> dan nilai terendah dihasilkan oleh PT </w:t>
      </w:r>
      <w:r w:rsidR="009911AA" w:rsidRPr="005279AA">
        <w:rPr>
          <w:rFonts w:asciiTheme="majorBidi" w:eastAsia="Times New Roman" w:hAnsiTheme="majorBidi" w:cstheme="majorBidi"/>
          <w:sz w:val="24"/>
          <w:szCs w:val="24"/>
          <w:lang w:eastAsia="en-GB"/>
        </w:rPr>
        <w:t>Millennium Pharmacon International Tbk</w:t>
      </w:r>
      <w:r w:rsidR="00111995">
        <w:rPr>
          <w:rFonts w:asciiTheme="majorBidi" w:eastAsia="Times New Roman" w:hAnsiTheme="majorBidi" w:cstheme="majorBidi"/>
          <w:sz w:val="24"/>
          <w:szCs w:val="24"/>
          <w:lang w:eastAsia="en-GB"/>
        </w:rPr>
        <w:t xml:space="preserve"> pada </w:t>
      </w:r>
      <w:r w:rsidR="00C34EDF">
        <w:rPr>
          <w:rFonts w:asciiTheme="majorBidi" w:eastAsia="Times New Roman" w:hAnsiTheme="majorBidi" w:cstheme="majorBidi"/>
          <w:sz w:val="24"/>
          <w:szCs w:val="24"/>
          <w:lang w:eastAsia="en-GB"/>
        </w:rPr>
        <w:t>t</w:t>
      </w:r>
      <w:r w:rsidR="00111995">
        <w:rPr>
          <w:rFonts w:asciiTheme="majorBidi" w:eastAsia="Times New Roman" w:hAnsiTheme="majorBidi" w:cstheme="majorBidi"/>
          <w:sz w:val="24"/>
          <w:szCs w:val="24"/>
          <w:lang w:eastAsia="en-GB"/>
        </w:rPr>
        <w:t>ahun 2020</w:t>
      </w:r>
      <w:r w:rsidR="009911AA">
        <w:rPr>
          <w:rFonts w:asciiTheme="majorBidi" w:eastAsia="Times New Roman" w:hAnsiTheme="majorBidi" w:cstheme="majorBidi"/>
          <w:sz w:val="24"/>
          <w:szCs w:val="24"/>
          <w:lang w:eastAsia="en-GB"/>
        </w:rPr>
        <w:t xml:space="preserve"> yaitu sebesar 0,002. Nilai rata-rata </w:t>
      </w:r>
      <w:r w:rsidR="009911AA" w:rsidRPr="009911AA">
        <w:rPr>
          <w:rFonts w:asciiTheme="majorBidi" w:eastAsiaTheme="minorEastAsia" w:hAnsiTheme="majorBidi" w:cstheme="majorBidi"/>
          <w:i/>
          <w:sz w:val="24"/>
          <w:szCs w:val="24"/>
        </w:rPr>
        <w:t>Return on Asset</w:t>
      </w:r>
      <w:r w:rsidR="009911AA" w:rsidRPr="009107C0">
        <w:rPr>
          <w:rFonts w:asciiTheme="majorBidi" w:eastAsiaTheme="minorEastAsia" w:hAnsiTheme="majorBidi" w:cstheme="majorBidi"/>
          <w:iCs/>
          <w:sz w:val="24"/>
          <w:szCs w:val="24"/>
        </w:rPr>
        <w:t xml:space="preserve"> (ROA)</w:t>
      </w:r>
      <w:r w:rsidR="009911AA">
        <w:rPr>
          <w:rFonts w:asciiTheme="majorBidi" w:eastAsiaTheme="minorEastAsia" w:hAnsiTheme="majorBidi" w:cstheme="majorBidi"/>
          <w:iCs/>
          <w:sz w:val="24"/>
          <w:szCs w:val="24"/>
        </w:rPr>
        <w:t xml:space="preserve"> </w:t>
      </w:r>
      <w:r w:rsidR="009911AA" w:rsidRPr="009107C0">
        <w:rPr>
          <w:rFonts w:asciiTheme="majorBidi" w:eastAsiaTheme="minorEastAsia" w:hAnsiTheme="majorBidi" w:cstheme="majorBidi"/>
          <w:iCs/>
          <w:sz w:val="24"/>
          <w:szCs w:val="24"/>
        </w:rPr>
        <w:t xml:space="preserve">pada 15 sampel perusahaan sektor </w:t>
      </w:r>
      <w:r w:rsidR="009911AA" w:rsidRPr="009911AA">
        <w:rPr>
          <w:rFonts w:asciiTheme="majorBidi" w:eastAsiaTheme="minorEastAsia" w:hAnsiTheme="majorBidi" w:cstheme="majorBidi"/>
          <w:i/>
          <w:sz w:val="24"/>
          <w:szCs w:val="24"/>
        </w:rPr>
        <w:t>consumer non cyclical</w:t>
      </w:r>
      <w:r w:rsidR="009911AA"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9911AA"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9911AA" w:rsidRPr="009107C0">
        <w:rPr>
          <w:rFonts w:asciiTheme="majorBidi" w:eastAsiaTheme="minorEastAsia" w:hAnsiTheme="majorBidi" w:cstheme="majorBidi"/>
          <w:iCs/>
          <w:sz w:val="24"/>
          <w:szCs w:val="24"/>
        </w:rPr>
        <w:t>ahun 2023</w:t>
      </w:r>
      <w:r w:rsidR="009911AA">
        <w:rPr>
          <w:rFonts w:asciiTheme="majorBidi" w:eastAsiaTheme="minorEastAsia" w:hAnsiTheme="majorBidi" w:cstheme="majorBidi"/>
          <w:iCs/>
          <w:sz w:val="24"/>
          <w:szCs w:val="24"/>
        </w:rPr>
        <w:t xml:space="preserve"> sebesar 0,093.</w:t>
      </w:r>
    </w:p>
    <w:p w14:paraId="308A0531" w14:textId="77777777" w:rsidR="008A7D90"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Likuiditas</w:t>
      </w:r>
    </w:p>
    <w:p w14:paraId="5C093B6C" w14:textId="78F7EC02" w:rsidR="00573A2B" w:rsidRPr="002323D2" w:rsidRDefault="008A7D90"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Likuiditas merupakan</w:t>
      </w:r>
      <w:r w:rsidR="00501197" w:rsidRPr="005279AA">
        <w:rPr>
          <w:rFonts w:asciiTheme="majorBidi" w:eastAsiaTheme="minorEastAsia" w:hAnsiTheme="majorBidi" w:cstheme="majorBidi"/>
          <w:iCs/>
          <w:sz w:val="24"/>
          <w:szCs w:val="24"/>
          <w:lang w:val="id-ID"/>
        </w:rPr>
        <w:t xml:space="preserve"> rasio yang digunakan untuk mengukur tingkat kesanggupan suatu perusahaan dalam melunasi utang jangka pendeknya. Terdapat beberapa cara untuk mengukur likuiditas, dalam </w:t>
      </w:r>
      <w:r w:rsidR="00501197" w:rsidRPr="005279AA">
        <w:rPr>
          <w:rFonts w:asciiTheme="majorBidi" w:eastAsiaTheme="minorEastAsia" w:hAnsiTheme="majorBidi" w:cstheme="majorBidi"/>
          <w:iCs/>
          <w:sz w:val="24"/>
          <w:szCs w:val="24"/>
          <w:lang w:val="id-ID"/>
        </w:rPr>
        <w:lastRenderedPageBreak/>
        <w:t xml:space="preserve">penelitian ini digunakan </w:t>
      </w:r>
      <w:r w:rsidR="00501197" w:rsidRPr="005279AA">
        <w:rPr>
          <w:rFonts w:asciiTheme="majorBidi" w:eastAsiaTheme="minorEastAsia" w:hAnsiTheme="majorBidi" w:cstheme="majorBidi"/>
          <w:i/>
          <w:sz w:val="24"/>
          <w:szCs w:val="24"/>
          <w:lang w:val="id-ID"/>
        </w:rPr>
        <w:t xml:space="preserve">Current Ratio </w:t>
      </w:r>
      <w:r w:rsidR="00501197" w:rsidRPr="005279AA">
        <w:rPr>
          <w:rFonts w:asciiTheme="majorBidi" w:eastAsiaTheme="minorEastAsia" w:hAnsiTheme="majorBidi" w:cstheme="majorBidi"/>
          <w:iCs/>
          <w:sz w:val="24"/>
          <w:szCs w:val="24"/>
          <w:lang w:val="id-ID"/>
        </w:rPr>
        <w:t>(CR)</w:t>
      </w:r>
      <w:r w:rsidR="00501197" w:rsidRPr="005279AA">
        <w:rPr>
          <w:rFonts w:asciiTheme="majorBidi" w:eastAsiaTheme="minorEastAsia" w:hAnsiTheme="majorBidi" w:cstheme="majorBidi"/>
          <w:i/>
          <w:sz w:val="24"/>
          <w:szCs w:val="24"/>
          <w:lang w:val="id-ID"/>
        </w:rPr>
        <w:t xml:space="preserve"> </w:t>
      </w:r>
      <w:r w:rsidR="00501197" w:rsidRPr="005279AA">
        <w:rPr>
          <w:rFonts w:asciiTheme="majorBidi" w:eastAsiaTheme="minorEastAsia" w:hAnsiTheme="majorBidi" w:cstheme="majorBidi"/>
          <w:iCs/>
          <w:sz w:val="24"/>
          <w:szCs w:val="24"/>
          <w:lang w:val="id-ID"/>
        </w:rPr>
        <w:t xml:space="preserve">untuk mendapatkan hasil dari likuiditas. </w:t>
      </w:r>
      <w:r w:rsidR="00CB3734" w:rsidRPr="005279AA">
        <w:rPr>
          <w:rFonts w:asciiTheme="majorBidi" w:eastAsiaTheme="minorEastAsia" w:hAnsiTheme="majorBidi" w:cstheme="majorBidi"/>
          <w:iCs/>
          <w:sz w:val="24"/>
          <w:szCs w:val="24"/>
          <w:lang w:val="id-ID"/>
        </w:rPr>
        <w:t xml:space="preserve">Berikut adalah data </w:t>
      </w:r>
      <w:r w:rsidR="00CB3734" w:rsidRPr="005279AA">
        <w:rPr>
          <w:rFonts w:asciiTheme="majorBidi" w:eastAsiaTheme="minorEastAsia" w:hAnsiTheme="majorBidi" w:cstheme="majorBidi"/>
          <w:i/>
          <w:sz w:val="24"/>
          <w:szCs w:val="24"/>
        </w:rPr>
        <w:t>Current Ratio</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(CR</w:t>
      </w:r>
      <w:r w:rsidR="00CB3734" w:rsidRPr="005279AA">
        <w:rPr>
          <w:rFonts w:asciiTheme="majorBidi" w:eastAsiaTheme="minorEastAsia" w:hAnsiTheme="majorBidi" w:cstheme="majorBidi"/>
          <w:iCs/>
          <w:sz w:val="24"/>
          <w:szCs w:val="24"/>
          <w:lang w:val="id-ID"/>
        </w:rPr>
        <w:t xml:space="preserve">) dari sampel perusahaan sektor </w:t>
      </w:r>
      <w:r w:rsidR="00CB3734" w:rsidRPr="005279AA">
        <w:rPr>
          <w:rFonts w:asciiTheme="majorBidi" w:eastAsiaTheme="minorEastAsia" w:hAnsiTheme="majorBidi" w:cstheme="majorBidi"/>
          <w:i/>
          <w:sz w:val="24"/>
          <w:szCs w:val="24"/>
          <w:lang w:val="id-ID"/>
        </w:rPr>
        <w:t>consumer non cyclical</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 xml:space="preserve"> yang terdaftar di Bursa Efek Indonesia Tahun 2019-2023:</w:t>
      </w:r>
    </w:p>
    <w:p w14:paraId="5C721EB8" w14:textId="47F1EC18" w:rsidR="008A7D90" w:rsidRPr="005279AA" w:rsidRDefault="008A7D90"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8</w:t>
      </w:r>
    </w:p>
    <w:p w14:paraId="3E349E60" w14:textId="60D0BC61" w:rsidR="00DE4CD9" w:rsidRPr="005279AA" w:rsidRDefault="008A7D90"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Data Likuiditas </w:t>
      </w:r>
      <w:r w:rsidR="002E456F" w:rsidRPr="005279AA">
        <w:rPr>
          <w:rFonts w:asciiTheme="majorBidi" w:eastAsiaTheme="minorEastAsia" w:hAnsiTheme="majorBidi" w:cstheme="majorBidi"/>
          <w:b/>
          <w:bCs/>
          <w:iCs/>
          <w:sz w:val="24"/>
          <w:szCs w:val="24"/>
          <w:lang w:val="id-ID"/>
        </w:rPr>
        <w:t xml:space="preserve">Perusahaan Sektor Consumer Non Cyclical </w:t>
      </w:r>
      <w:r w:rsidR="00D4714E" w:rsidRPr="005279AA">
        <w:rPr>
          <w:rFonts w:asciiTheme="majorBidi" w:eastAsiaTheme="minorEastAsia" w:hAnsiTheme="majorBidi" w:cstheme="majorBidi"/>
          <w:b/>
          <w:bCs/>
          <w:iCs/>
          <w:sz w:val="24"/>
          <w:szCs w:val="24"/>
          <w:lang w:val="id-ID"/>
        </w:rPr>
        <w:t>Tahun 2019-2023</w:t>
      </w:r>
    </w:p>
    <w:p w14:paraId="75B7E1B7" w14:textId="270FCEDB" w:rsidR="005B4F2E" w:rsidRPr="005B4F2E" w:rsidRDefault="00DE4CD9" w:rsidP="00645E4A">
      <w:pPr>
        <w:pStyle w:val="ListParagraph"/>
        <w:tabs>
          <w:tab w:val="left" w:pos="1701"/>
        </w:tabs>
        <w:spacing w:line="240" w:lineRule="auto"/>
        <w:ind w:left="1080" w:right="3"/>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(dalam persentase %)</w:t>
      </w:r>
    </w:p>
    <w:tbl>
      <w:tblPr>
        <w:tblW w:w="6749" w:type="dxa"/>
        <w:tblInd w:w="1129" w:type="dxa"/>
        <w:tblLook w:val="04A0" w:firstRow="1" w:lastRow="0" w:firstColumn="1" w:lastColumn="0" w:noHBand="0" w:noVBand="1"/>
      </w:tblPr>
      <w:tblGrid>
        <w:gridCol w:w="560"/>
        <w:gridCol w:w="2696"/>
        <w:gridCol w:w="696"/>
        <w:gridCol w:w="700"/>
        <w:gridCol w:w="700"/>
        <w:gridCol w:w="696"/>
        <w:gridCol w:w="701"/>
      </w:tblGrid>
      <w:tr w:rsidR="00B05D21" w:rsidRPr="005279AA" w14:paraId="37A7BFA8" w14:textId="77777777" w:rsidTr="00645E4A">
        <w:trPr>
          <w:trHeight w:val="315"/>
          <w:tblHeader/>
        </w:trPr>
        <w:tc>
          <w:tcPr>
            <w:tcW w:w="560" w:type="dxa"/>
            <w:vMerge w:val="restart"/>
            <w:tcBorders>
              <w:top w:val="single" w:sz="4" w:space="0" w:color="000000"/>
              <w:left w:val="single" w:sz="4" w:space="0" w:color="000000"/>
              <w:right w:val="single" w:sz="4" w:space="0" w:color="000000"/>
            </w:tcBorders>
            <w:shd w:val="clear" w:color="auto" w:fill="auto"/>
            <w:noWrap/>
            <w:vAlign w:val="center"/>
            <w:hideMark/>
          </w:tcPr>
          <w:p w14:paraId="48FE1FD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No</w:t>
            </w:r>
          </w:p>
          <w:p w14:paraId="5818D31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p w14:paraId="4B683FC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696" w:type="dxa"/>
            <w:vMerge w:val="restart"/>
            <w:tcBorders>
              <w:top w:val="single" w:sz="4" w:space="0" w:color="000000"/>
              <w:left w:val="nil"/>
              <w:right w:val="single" w:sz="4" w:space="0" w:color="000000"/>
            </w:tcBorders>
            <w:shd w:val="clear" w:color="auto" w:fill="auto"/>
            <w:noWrap/>
            <w:vAlign w:val="center"/>
            <w:hideMark/>
          </w:tcPr>
          <w:p w14:paraId="796478C1" w14:textId="606DB96F"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Kode Saham</w:t>
            </w:r>
          </w:p>
        </w:tc>
        <w:tc>
          <w:tcPr>
            <w:tcW w:w="3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989C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Tahun</w:t>
            </w:r>
          </w:p>
        </w:tc>
      </w:tr>
      <w:tr w:rsidR="00B05D21" w:rsidRPr="005279AA" w14:paraId="41792AB7" w14:textId="77777777" w:rsidTr="00645E4A">
        <w:trPr>
          <w:trHeight w:val="315"/>
          <w:tblHeader/>
        </w:trPr>
        <w:tc>
          <w:tcPr>
            <w:tcW w:w="560" w:type="dxa"/>
            <w:vMerge/>
            <w:tcBorders>
              <w:left w:val="single" w:sz="4" w:space="0" w:color="000000"/>
              <w:bottom w:val="single" w:sz="4" w:space="0" w:color="000000"/>
              <w:right w:val="single" w:sz="4" w:space="0" w:color="000000"/>
            </w:tcBorders>
            <w:shd w:val="clear" w:color="auto" w:fill="auto"/>
            <w:noWrap/>
            <w:vAlign w:val="center"/>
          </w:tcPr>
          <w:p w14:paraId="39706F7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696" w:type="dxa"/>
            <w:vMerge/>
            <w:tcBorders>
              <w:left w:val="nil"/>
              <w:bottom w:val="single" w:sz="4" w:space="0" w:color="000000"/>
              <w:right w:val="single" w:sz="4" w:space="0" w:color="000000"/>
            </w:tcBorders>
            <w:shd w:val="clear" w:color="auto" w:fill="auto"/>
            <w:noWrap/>
            <w:vAlign w:val="center"/>
          </w:tcPr>
          <w:p w14:paraId="2971F7F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355C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2019</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63E042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4328F6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2021</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2B5569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2022</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61C79A5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2023</w:t>
            </w:r>
          </w:p>
        </w:tc>
      </w:tr>
      <w:tr w:rsidR="00B05D21" w:rsidRPr="005279AA" w14:paraId="62050740"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606874E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w:t>
            </w:r>
          </w:p>
        </w:tc>
        <w:tc>
          <w:tcPr>
            <w:tcW w:w="2696" w:type="dxa"/>
            <w:tcBorders>
              <w:top w:val="nil"/>
              <w:left w:val="nil"/>
              <w:bottom w:val="single" w:sz="4" w:space="0" w:color="000000"/>
              <w:right w:val="single" w:sz="4" w:space="0" w:color="000000"/>
            </w:tcBorders>
            <w:shd w:val="clear" w:color="auto" w:fill="auto"/>
            <w:noWrap/>
            <w:vAlign w:val="center"/>
            <w:hideMark/>
          </w:tcPr>
          <w:p w14:paraId="225A04F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AMRT</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27CFD9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1.12</w:t>
            </w:r>
          </w:p>
        </w:tc>
        <w:tc>
          <w:tcPr>
            <w:tcW w:w="700" w:type="dxa"/>
            <w:tcBorders>
              <w:top w:val="nil"/>
              <w:left w:val="nil"/>
              <w:bottom w:val="single" w:sz="4" w:space="0" w:color="auto"/>
              <w:right w:val="single" w:sz="4" w:space="0" w:color="auto"/>
            </w:tcBorders>
            <w:shd w:val="clear" w:color="auto" w:fill="auto"/>
            <w:noWrap/>
            <w:vAlign w:val="center"/>
            <w:hideMark/>
          </w:tcPr>
          <w:p w14:paraId="4018D0A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0.88</w:t>
            </w:r>
          </w:p>
        </w:tc>
        <w:tc>
          <w:tcPr>
            <w:tcW w:w="700" w:type="dxa"/>
            <w:tcBorders>
              <w:top w:val="nil"/>
              <w:left w:val="nil"/>
              <w:bottom w:val="single" w:sz="4" w:space="0" w:color="auto"/>
              <w:right w:val="single" w:sz="4" w:space="0" w:color="auto"/>
            </w:tcBorders>
            <w:shd w:val="clear" w:color="auto" w:fill="auto"/>
            <w:noWrap/>
            <w:vAlign w:val="center"/>
            <w:hideMark/>
          </w:tcPr>
          <w:p w14:paraId="130AB32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0.87</w:t>
            </w:r>
          </w:p>
        </w:tc>
        <w:tc>
          <w:tcPr>
            <w:tcW w:w="696" w:type="dxa"/>
            <w:tcBorders>
              <w:top w:val="nil"/>
              <w:left w:val="nil"/>
              <w:bottom w:val="single" w:sz="4" w:space="0" w:color="auto"/>
              <w:right w:val="single" w:sz="4" w:space="0" w:color="auto"/>
            </w:tcBorders>
            <w:shd w:val="clear" w:color="auto" w:fill="auto"/>
            <w:noWrap/>
            <w:vAlign w:val="center"/>
            <w:hideMark/>
          </w:tcPr>
          <w:p w14:paraId="1C87900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0.90</w:t>
            </w:r>
          </w:p>
        </w:tc>
        <w:tc>
          <w:tcPr>
            <w:tcW w:w="701" w:type="dxa"/>
            <w:tcBorders>
              <w:top w:val="nil"/>
              <w:left w:val="nil"/>
              <w:bottom w:val="single" w:sz="4" w:space="0" w:color="auto"/>
              <w:right w:val="single" w:sz="4" w:space="0" w:color="auto"/>
            </w:tcBorders>
            <w:shd w:val="clear" w:color="auto" w:fill="auto"/>
            <w:noWrap/>
            <w:vAlign w:val="center"/>
            <w:hideMark/>
          </w:tcPr>
          <w:p w14:paraId="17ACFA2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1.00</w:t>
            </w:r>
          </w:p>
        </w:tc>
      </w:tr>
      <w:tr w:rsidR="00B05D21" w:rsidRPr="005279AA" w14:paraId="27D4E0BC"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75F409B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2</w:t>
            </w:r>
          </w:p>
        </w:tc>
        <w:tc>
          <w:tcPr>
            <w:tcW w:w="2696" w:type="dxa"/>
            <w:tcBorders>
              <w:top w:val="nil"/>
              <w:left w:val="nil"/>
              <w:bottom w:val="single" w:sz="4" w:space="0" w:color="000000"/>
              <w:right w:val="single" w:sz="4" w:space="0" w:color="000000"/>
            </w:tcBorders>
            <w:shd w:val="clear" w:color="auto" w:fill="auto"/>
            <w:noWrap/>
            <w:vAlign w:val="center"/>
            <w:hideMark/>
          </w:tcPr>
          <w:p w14:paraId="2E25F87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BISI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1BABE0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4.14</w:t>
            </w:r>
          </w:p>
        </w:tc>
        <w:tc>
          <w:tcPr>
            <w:tcW w:w="700" w:type="dxa"/>
            <w:tcBorders>
              <w:top w:val="nil"/>
              <w:left w:val="nil"/>
              <w:bottom w:val="single" w:sz="4" w:space="0" w:color="auto"/>
              <w:right w:val="single" w:sz="4" w:space="0" w:color="auto"/>
            </w:tcBorders>
            <w:shd w:val="clear" w:color="auto" w:fill="auto"/>
            <w:noWrap/>
            <w:vAlign w:val="center"/>
            <w:hideMark/>
          </w:tcPr>
          <w:p w14:paraId="741924F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5.83</w:t>
            </w:r>
          </w:p>
        </w:tc>
        <w:tc>
          <w:tcPr>
            <w:tcW w:w="700" w:type="dxa"/>
            <w:tcBorders>
              <w:top w:val="nil"/>
              <w:left w:val="nil"/>
              <w:bottom w:val="single" w:sz="4" w:space="0" w:color="auto"/>
              <w:right w:val="single" w:sz="4" w:space="0" w:color="auto"/>
            </w:tcBorders>
            <w:shd w:val="clear" w:color="auto" w:fill="auto"/>
            <w:noWrap/>
            <w:vAlign w:val="center"/>
            <w:hideMark/>
          </w:tcPr>
          <w:p w14:paraId="03AB7BA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7.13</w:t>
            </w:r>
          </w:p>
        </w:tc>
        <w:tc>
          <w:tcPr>
            <w:tcW w:w="696" w:type="dxa"/>
            <w:tcBorders>
              <w:top w:val="nil"/>
              <w:left w:val="nil"/>
              <w:bottom w:val="single" w:sz="4" w:space="0" w:color="auto"/>
              <w:right w:val="single" w:sz="4" w:space="0" w:color="auto"/>
            </w:tcBorders>
            <w:shd w:val="clear" w:color="auto" w:fill="auto"/>
            <w:noWrap/>
            <w:vAlign w:val="center"/>
            <w:hideMark/>
          </w:tcPr>
          <w:p w14:paraId="64B2E24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8.80</w:t>
            </w:r>
          </w:p>
        </w:tc>
        <w:tc>
          <w:tcPr>
            <w:tcW w:w="701" w:type="dxa"/>
            <w:tcBorders>
              <w:top w:val="nil"/>
              <w:left w:val="nil"/>
              <w:bottom w:val="single" w:sz="4" w:space="0" w:color="auto"/>
              <w:right w:val="single" w:sz="4" w:space="0" w:color="auto"/>
            </w:tcBorders>
            <w:shd w:val="clear" w:color="auto" w:fill="auto"/>
            <w:noWrap/>
            <w:vAlign w:val="center"/>
            <w:hideMark/>
          </w:tcPr>
          <w:p w14:paraId="3D9F6AE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7.34</w:t>
            </w:r>
          </w:p>
        </w:tc>
      </w:tr>
      <w:tr w:rsidR="00B05D21" w:rsidRPr="005279AA" w14:paraId="36F5B6F5"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2CBE445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3</w:t>
            </w:r>
          </w:p>
        </w:tc>
        <w:tc>
          <w:tcPr>
            <w:tcW w:w="2696" w:type="dxa"/>
            <w:tcBorders>
              <w:top w:val="nil"/>
              <w:left w:val="nil"/>
              <w:bottom w:val="single" w:sz="4" w:space="0" w:color="000000"/>
              <w:right w:val="single" w:sz="4" w:space="0" w:color="000000"/>
            </w:tcBorders>
            <w:shd w:val="clear" w:color="auto" w:fill="auto"/>
            <w:noWrap/>
            <w:vAlign w:val="center"/>
            <w:hideMark/>
          </w:tcPr>
          <w:p w14:paraId="1A50B8B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BUDI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5CB08A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1.01</w:t>
            </w:r>
          </w:p>
        </w:tc>
        <w:tc>
          <w:tcPr>
            <w:tcW w:w="700" w:type="dxa"/>
            <w:tcBorders>
              <w:top w:val="nil"/>
              <w:left w:val="nil"/>
              <w:bottom w:val="single" w:sz="4" w:space="0" w:color="auto"/>
              <w:right w:val="single" w:sz="4" w:space="0" w:color="auto"/>
            </w:tcBorders>
            <w:shd w:val="clear" w:color="auto" w:fill="auto"/>
            <w:noWrap/>
            <w:vAlign w:val="center"/>
            <w:hideMark/>
          </w:tcPr>
          <w:p w14:paraId="791846D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1.14</w:t>
            </w:r>
          </w:p>
        </w:tc>
        <w:tc>
          <w:tcPr>
            <w:tcW w:w="700" w:type="dxa"/>
            <w:tcBorders>
              <w:top w:val="nil"/>
              <w:left w:val="nil"/>
              <w:bottom w:val="single" w:sz="4" w:space="0" w:color="auto"/>
              <w:right w:val="single" w:sz="4" w:space="0" w:color="auto"/>
            </w:tcBorders>
            <w:shd w:val="clear" w:color="auto" w:fill="auto"/>
            <w:noWrap/>
            <w:vAlign w:val="center"/>
            <w:hideMark/>
          </w:tcPr>
          <w:p w14:paraId="33625AD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1.17</w:t>
            </w:r>
          </w:p>
        </w:tc>
        <w:tc>
          <w:tcPr>
            <w:tcW w:w="696" w:type="dxa"/>
            <w:tcBorders>
              <w:top w:val="nil"/>
              <w:left w:val="nil"/>
              <w:bottom w:val="single" w:sz="4" w:space="0" w:color="auto"/>
              <w:right w:val="single" w:sz="4" w:space="0" w:color="auto"/>
            </w:tcBorders>
            <w:shd w:val="clear" w:color="auto" w:fill="auto"/>
            <w:noWrap/>
            <w:vAlign w:val="center"/>
            <w:hideMark/>
          </w:tcPr>
          <w:p w14:paraId="5F44589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1.33</w:t>
            </w:r>
          </w:p>
        </w:tc>
        <w:tc>
          <w:tcPr>
            <w:tcW w:w="701" w:type="dxa"/>
            <w:tcBorders>
              <w:top w:val="nil"/>
              <w:left w:val="nil"/>
              <w:bottom w:val="single" w:sz="4" w:space="0" w:color="auto"/>
              <w:right w:val="single" w:sz="4" w:space="0" w:color="auto"/>
            </w:tcBorders>
            <w:shd w:val="clear" w:color="auto" w:fill="auto"/>
            <w:noWrap/>
            <w:vAlign w:val="center"/>
            <w:hideMark/>
          </w:tcPr>
          <w:p w14:paraId="5C07EC0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1.36</w:t>
            </w:r>
          </w:p>
        </w:tc>
      </w:tr>
      <w:tr w:rsidR="00B05D21" w:rsidRPr="005279AA" w14:paraId="660F2B47"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0B78B19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4</w:t>
            </w:r>
          </w:p>
        </w:tc>
        <w:tc>
          <w:tcPr>
            <w:tcW w:w="2696" w:type="dxa"/>
            <w:tcBorders>
              <w:top w:val="nil"/>
              <w:left w:val="nil"/>
              <w:bottom w:val="single" w:sz="4" w:space="0" w:color="000000"/>
              <w:right w:val="single" w:sz="4" w:space="0" w:color="000000"/>
            </w:tcBorders>
            <w:shd w:val="clear" w:color="auto" w:fill="auto"/>
            <w:noWrap/>
            <w:vAlign w:val="center"/>
            <w:hideMark/>
          </w:tcPr>
          <w:p w14:paraId="3042C15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CEKA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C009A6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4.80</w:t>
            </w:r>
          </w:p>
        </w:tc>
        <w:tc>
          <w:tcPr>
            <w:tcW w:w="700" w:type="dxa"/>
            <w:tcBorders>
              <w:top w:val="nil"/>
              <w:left w:val="nil"/>
              <w:bottom w:val="single" w:sz="4" w:space="0" w:color="auto"/>
              <w:right w:val="single" w:sz="4" w:space="0" w:color="auto"/>
            </w:tcBorders>
            <w:shd w:val="clear" w:color="auto" w:fill="auto"/>
            <w:noWrap/>
            <w:vAlign w:val="center"/>
            <w:hideMark/>
          </w:tcPr>
          <w:p w14:paraId="0E30FD5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4.66</w:t>
            </w:r>
          </w:p>
        </w:tc>
        <w:tc>
          <w:tcPr>
            <w:tcW w:w="700" w:type="dxa"/>
            <w:tcBorders>
              <w:top w:val="nil"/>
              <w:left w:val="nil"/>
              <w:bottom w:val="single" w:sz="4" w:space="0" w:color="auto"/>
              <w:right w:val="single" w:sz="4" w:space="0" w:color="auto"/>
            </w:tcBorders>
            <w:shd w:val="clear" w:color="auto" w:fill="auto"/>
            <w:noWrap/>
            <w:vAlign w:val="center"/>
            <w:hideMark/>
          </w:tcPr>
          <w:p w14:paraId="087315B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4.80</w:t>
            </w:r>
          </w:p>
        </w:tc>
        <w:tc>
          <w:tcPr>
            <w:tcW w:w="696" w:type="dxa"/>
            <w:tcBorders>
              <w:top w:val="nil"/>
              <w:left w:val="nil"/>
              <w:bottom w:val="single" w:sz="4" w:space="0" w:color="auto"/>
              <w:right w:val="single" w:sz="4" w:space="0" w:color="auto"/>
            </w:tcBorders>
            <w:shd w:val="clear" w:color="auto" w:fill="auto"/>
            <w:noWrap/>
            <w:vAlign w:val="center"/>
            <w:hideMark/>
          </w:tcPr>
          <w:p w14:paraId="42141E8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9.95</w:t>
            </w:r>
          </w:p>
        </w:tc>
        <w:tc>
          <w:tcPr>
            <w:tcW w:w="701" w:type="dxa"/>
            <w:tcBorders>
              <w:top w:val="nil"/>
              <w:left w:val="nil"/>
              <w:bottom w:val="single" w:sz="4" w:space="0" w:color="auto"/>
              <w:right w:val="single" w:sz="4" w:space="0" w:color="auto"/>
            </w:tcBorders>
            <w:shd w:val="clear" w:color="auto" w:fill="auto"/>
            <w:noWrap/>
            <w:vAlign w:val="center"/>
            <w:hideMark/>
          </w:tcPr>
          <w:p w14:paraId="18E3610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7.29</w:t>
            </w:r>
          </w:p>
        </w:tc>
      </w:tr>
      <w:tr w:rsidR="00B05D21" w:rsidRPr="005279AA" w14:paraId="6AC4787F"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6EFC30C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5</w:t>
            </w:r>
          </w:p>
        </w:tc>
        <w:tc>
          <w:tcPr>
            <w:tcW w:w="2696" w:type="dxa"/>
            <w:tcBorders>
              <w:top w:val="nil"/>
              <w:left w:val="nil"/>
              <w:bottom w:val="single" w:sz="4" w:space="0" w:color="000000"/>
              <w:right w:val="single" w:sz="4" w:space="0" w:color="000000"/>
            </w:tcBorders>
            <w:shd w:val="clear" w:color="auto" w:fill="auto"/>
            <w:noWrap/>
            <w:vAlign w:val="center"/>
            <w:hideMark/>
          </w:tcPr>
          <w:p w14:paraId="5BE881B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CPIN</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1C5E6B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2.54</w:t>
            </w:r>
          </w:p>
        </w:tc>
        <w:tc>
          <w:tcPr>
            <w:tcW w:w="700" w:type="dxa"/>
            <w:tcBorders>
              <w:top w:val="nil"/>
              <w:left w:val="nil"/>
              <w:bottom w:val="single" w:sz="4" w:space="0" w:color="auto"/>
              <w:right w:val="single" w:sz="4" w:space="0" w:color="auto"/>
            </w:tcBorders>
            <w:shd w:val="clear" w:color="auto" w:fill="auto"/>
            <w:noWrap/>
            <w:vAlign w:val="center"/>
            <w:hideMark/>
          </w:tcPr>
          <w:p w14:paraId="2031812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2.57</w:t>
            </w:r>
          </w:p>
        </w:tc>
        <w:tc>
          <w:tcPr>
            <w:tcW w:w="700" w:type="dxa"/>
            <w:tcBorders>
              <w:top w:val="nil"/>
              <w:left w:val="nil"/>
              <w:bottom w:val="single" w:sz="4" w:space="0" w:color="auto"/>
              <w:right w:val="single" w:sz="4" w:space="0" w:color="auto"/>
            </w:tcBorders>
            <w:shd w:val="clear" w:color="auto" w:fill="auto"/>
            <w:noWrap/>
            <w:vAlign w:val="center"/>
            <w:hideMark/>
          </w:tcPr>
          <w:p w14:paraId="2635951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2.01</w:t>
            </w:r>
          </w:p>
        </w:tc>
        <w:tc>
          <w:tcPr>
            <w:tcW w:w="696" w:type="dxa"/>
            <w:tcBorders>
              <w:top w:val="nil"/>
              <w:left w:val="nil"/>
              <w:bottom w:val="single" w:sz="4" w:space="0" w:color="auto"/>
              <w:right w:val="single" w:sz="4" w:space="0" w:color="auto"/>
            </w:tcBorders>
            <w:shd w:val="clear" w:color="auto" w:fill="auto"/>
            <w:noWrap/>
            <w:vAlign w:val="center"/>
            <w:hideMark/>
          </w:tcPr>
          <w:p w14:paraId="70A6240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1.78</w:t>
            </w:r>
          </w:p>
        </w:tc>
        <w:tc>
          <w:tcPr>
            <w:tcW w:w="701" w:type="dxa"/>
            <w:tcBorders>
              <w:top w:val="nil"/>
              <w:left w:val="nil"/>
              <w:bottom w:val="single" w:sz="4" w:space="0" w:color="auto"/>
              <w:right w:val="single" w:sz="4" w:space="0" w:color="auto"/>
            </w:tcBorders>
            <w:shd w:val="clear" w:color="auto" w:fill="auto"/>
            <w:noWrap/>
            <w:vAlign w:val="center"/>
            <w:hideMark/>
          </w:tcPr>
          <w:p w14:paraId="30C0AD4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1.65</w:t>
            </w:r>
          </w:p>
        </w:tc>
      </w:tr>
      <w:tr w:rsidR="00B05D21" w:rsidRPr="005279AA" w14:paraId="7CF5ACEC"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0E4F9C1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6</w:t>
            </w:r>
          </w:p>
        </w:tc>
        <w:tc>
          <w:tcPr>
            <w:tcW w:w="2696" w:type="dxa"/>
            <w:tcBorders>
              <w:top w:val="nil"/>
              <w:left w:val="nil"/>
              <w:bottom w:val="single" w:sz="4" w:space="0" w:color="000000"/>
              <w:right w:val="single" w:sz="4" w:space="0" w:color="000000"/>
            </w:tcBorders>
            <w:shd w:val="clear" w:color="auto" w:fill="auto"/>
            <w:noWrap/>
            <w:vAlign w:val="center"/>
            <w:hideMark/>
          </w:tcPr>
          <w:p w14:paraId="1F2322A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ICBP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1F5186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2.54</w:t>
            </w:r>
          </w:p>
        </w:tc>
        <w:tc>
          <w:tcPr>
            <w:tcW w:w="700" w:type="dxa"/>
            <w:tcBorders>
              <w:top w:val="nil"/>
              <w:left w:val="nil"/>
              <w:bottom w:val="single" w:sz="4" w:space="0" w:color="auto"/>
              <w:right w:val="single" w:sz="4" w:space="0" w:color="auto"/>
            </w:tcBorders>
            <w:shd w:val="clear" w:color="auto" w:fill="auto"/>
            <w:noWrap/>
            <w:vAlign w:val="center"/>
            <w:hideMark/>
          </w:tcPr>
          <w:p w14:paraId="52B679B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2.26</w:t>
            </w:r>
          </w:p>
        </w:tc>
        <w:tc>
          <w:tcPr>
            <w:tcW w:w="700" w:type="dxa"/>
            <w:tcBorders>
              <w:top w:val="nil"/>
              <w:left w:val="nil"/>
              <w:bottom w:val="single" w:sz="4" w:space="0" w:color="auto"/>
              <w:right w:val="single" w:sz="4" w:space="0" w:color="auto"/>
            </w:tcBorders>
            <w:shd w:val="clear" w:color="auto" w:fill="auto"/>
            <w:noWrap/>
            <w:vAlign w:val="center"/>
            <w:hideMark/>
          </w:tcPr>
          <w:p w14:paraId="3D6942B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1.80</w:t>
            </w:r>
          </w:p>
        </w:tc>
        <w:tc>
          <w:tcPr>
            <w:tcW w:w="696" w:type="dxa"/>
            <w:tcBorders>
              <w:top w:val="nil"/>
              <w:left w:val="nil"/>
              <w:bottom w:val="single" w:sz="4" w:space="0" w:color="auto"/>
              <w:right w:val="single" w:sz="4" w:space="0" w:color="auto"/>
            </w:tcBorders>
            <w:shd w:val="clear" w:color="auto" w:fill="auto"/>
            <w:noWrap/>
            <w:vAlign w:val="center"/>
            <w:hideMark/>
          </w:tcPr>
          <w:p w14:paraId="0A3063E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3.10</w:t>
            </w:r>
          </w:p>
        </w:tc>
        <w:tc>
          <w:tcPr>
            <w:tcW w:w="701" w:type="dxa"/>
            <w:tcBorders>
              <w:top w:val="nil"/>
              <w:left w:val="nil"/>
              <w:bottom w:val="single" w:sz="4" w:space="0" w:color="auto"/>
              <w:right w:val="single" w:sz="4" w:space="0" w:color="auto"/>
            </w:tcBorders>
            <w:shd w:val="clear" w:color="auto" w:fill="auto"/>
            <w:noWrap/>
            <w:vAlign w:val="center"/>
            <w:hideMark/>
          </w:tcPr>
          <w:p w14:paraId="7D7497E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3.51</w:t>
            </w:r>
          </w:p>
        </w:tc>
      </w:tr>
      <w:tr w:rsidR="00B05D21" w:rsidRPr="005279AA" w14:paraId="2EA729C1"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77F7D8B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7</w:t>
            </w:r>
          </w:p>
        </w:tc>
        <w:tc>
          <w:tcPr>
            <w:tcW w:w="2696" w:type="dxa"/>
            <w:tcBorders>
              <w:top w:val="nil"/>
              <w:left w:val="nil"/>
              <w:bottom w:val="single" w:sz="4" w:space="0" w:color="000000"/>
              <w:right w:val="single" w:sz="4" w:space="0" w:color="000000"/>
            </w:tcBorders>
            <w:shd w:val="clear" w:color="auto" w:fill="auto"/>
            <w:noWrap/>
            <w:vAlign w:val="center"/>
            <w:hideMark/>
          </w:tcPr>
          <w:p w14:paraId="7A42A00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INDF</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9011C0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1.27</w:t>
            </w:r>
          </w:p>
        </w:tc>
        <w:tc>
          <w:tcPr>
            <w:tcW w:w="700" w:type="dxa"/>
            <w:tcBorders>
              <w:top w:val="nil"/>
              <w:left w:val="nil"/>
              <w:bottom w:val="single" w:sz="4" w:space="0" w:color="auto"/>
              <w:right w:val="single" w:sz="4" w:space="0" w:color="auto"/>
            </w:tcBorders>
            <w:shd w:val="clear" w:color="auto" w:fill="auto"/>
            <w:noWrap/>
            <w:vAlign w:val="center"/>
            <w:hideMark/>
          </w:tcPr>
          <w:p w14:paraId="6A9C43E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1.37</w:t>
            </w:r>
          </w:p>
        </w:tc>
        <w:tc>
          <w:tcPr>
            <w:tcW w:w="700" w:type="dxa"/>
            <w:tcBorders>
              <w:top w:val="nil"/>
              <w:left w:val="nil"/>
              <w:bottom w:val="single" w:sz="4" w:space="0" w:color="auto"/>
              <w:right w:val="single" w:sz="4" w:space="0" w:color="auto"/>
            </w:tcBorders>
            <w:shd w:val="clear" w:color="auto" w:fill="auto"/>
            <w:noWrap/>
            <w:vAlign w:val="center"/>
            <w:hideMark/>
          </w:tcPr>
          <w:p w14:paraId="07E4EFB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1.34</w:t>
            </w:r>
          </w:p>
        </w:tc>
        <w:tc>
          <w:tcPr>
            <w:tcW w:w="696" w:type="dxa"/>
            <w:tcBorders>
              <w:top w:val="nil"/>
              <w:left w:val="nil"/>
              <w:bottom w:val="single" w:sz="4" w:space="0" w:color="auto"/>
              <w:right w:val="single" w:sz="4" w:space="0" w:color="auto"/>
            </w:tcBorders>
            <w:shd w:val="clear" w:color="auto" w:fill="auto"/>
            <w:noWrap/>
            <w:vAlign w:val="center"/>
            <w:hideMark/>
          </w:tcPr>
          <w:p w14:paraId="74CC5B2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1.79</w:t>
            </w:r>
          </w:p>
        </w:tc>
        <w:tc>
          <w:tcPr>
            <w:tcW w:w="701" w:type="dxa"/>
            <w:tcBorders>
              <w:top w:val="nil"/>
              <w:left w:val="nil"/>
              <w:bottom w:val="single" w:sz="4" w:space="0" w:color="auto"/>
              <w:right w:val="single" w:sz="4" w:space="0" w:color="auto"/>
            </w:tcBorders>
            <w:shd w:val="clear" w:color="auto" w:fill="auto"/>
            <w:noWrap/>
            <w:vAlign w:val="center"/>
            <w:hideMark/>
          </w:tcPr>
          <w:p w14:paraId="5ED1B8B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1.92</w:t>
            </w:r>
          </w:p>
        </w:tc>
      </w:tr>
      <w:tr w:rsidR="00B05D21" w:rsidRPr="005279AA" w14:paraId="53F7EDAA"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5DF9A79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8</w:t>
            </w:r>
          </w:p>
        </w:tc>
        <w:tc>
          <w:tcPr>
            <w:tcW w:w="2696" w:type="dxa"/>
            <w:tcBorders>
              <w:top w:val="nil"/>
              <w:left w:val="nil"/>
              <w:bottom w:val="single" w:sz="4" w:space="0" w:color="000000"/>
              <w:right w:val="single" w:sz="4" w:space="0" w:color="000000"/>
            </w:tcBorders>
            <w:shd w:val="clear" w:color="auto" w:fill="auto"/>
            <w:noWrap/>
            <w:vAlign w:val="center"/>
            <w:hideMark/>
          </w:tcPr>
          <w:p w14:paraId="4D9ECA2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JPFA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FBD4D5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1.66</w:t>
            </w:r>
          </w:p>
        </w:tc>
        <w:tc>
          <w:tcPr>
            <w:tcW w:w="700" w:type="dxa"/>
            <w:tcBorders>
              <w:top w:val="nil"/>
              <w:left w:val="nil"/>
              <w:bottom w:val="single" w:sz="4" w:space="0" w:color="auto"/>
              <w:right w:val="single" w:sz="4" w:space="0" w:color="auto"/>
            </w:tcBorders>
            <w:shd w:val="clear" w:color="auto" w:fill="auto"/>
            <w:noWrap/>
            <w:vAlign w:val="center"/>
            <w:hideMark/>
          </w:tcPr>
          <w:p w14:paraId="7C4E193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1.96</w:t>
            </w:r>
          </w:p>
        </w:tc>
        <w:tc>
          <w:tcPr>
            <w:tcW w:w="700" w:type="dxa"/>
            <w:tcBorders>
              <w:top w:val="nil"/>
              <w:left w:val="nil"/>
              <w:bottom w:val="single" w:sz="4" w:space="0" w:color="auto"/>
              <w:right w:val="single" w:sz="4" w:space="0" w:color="auto"/>
            </w:tcBorders>
            <w:shd w:val="clear" w:color="auto" w:fill="auto"/>
            <w:noWrap/>
            <w:vAlign w:val="center"/>
            <w:hideMark/>
          </w:tcPr>
          <w:p w14:paraId="5B2B304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2.00</w:t>
            </w:r>
          </w:p>
        </w:tc>
        <w:tc>
          <w:tcPr>
            <w:tcW w:w="696" w:type="dxa"/>
            <w:tcBorders>
              <w:top w:val="nil"/>
              <w:left w:val="nil"/>
              <w:bottom w:val="single" w:sz="4" w:space="0" w:color="auto"/>
              <w:right w:val="single" w:sz="4" w:space="0" w:color="auto"/>
            </w:tcBorders>
            <w:shd w:val="clear" w:color="auto" w:fill="auto"/>
            <w:noWrap/>
            <w:vAlign w:val="center"/>
            <w:hideMark/>
          </w:tcPr>
          <w:p w14:paraId="22E8A64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1.81</w:t>
            </w:r>
          </w:p>
        </w:tc>
        <w:tc>
          <w:tcPr>
            <w:tcW w:w="701" w:type="dxa"/>
            <w:tcBorders>
              <w:top w:val="nil"/>
              <w:left w:val="nil"/>
              <w:bottom w:val="single" w:sz="4" w:space="0" w:color="auto"/>
              <w:right w:val="single" w:sz="4" w:space="0" w:color="auto"/>
            </w:tcBorders>
            <w:shd w:val="clear" w:color="auto" w:fill="auto"/>
            <w:noWrap/>
            <w:vAlign w:val="center"/>
            <w:hideMark/>
          </w:tcPr>
          <w:p w14:paraId="523EF2D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1.61</w:t>
            </w:r>
          </w:p>
        </w:tc>
      </w:tr>
      <w:tr w:rsidR="00B05D21" w:rsidRPr="005279AA" w14:paraId="194B4D5D"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6965636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9</w:t>
            </w:r>
          </w:p>
        </w:tc>
        <w:tc>
          <w:tcPr>
            <w:tcW w:w="2696" w:type="dxa"/>
            <w:tcBorders>
              <w:top w:val="nil"/>
              <w:left w:val="nil"/>
              <w:bottom w:val="single" w:sz="4" w:space="0" w:color="000000"/>
              <w:right w:val="single" w:sz="4" w:space="0" w:color="000000"/>
            </w:tcBorders>
            <w:shd w:val="clear" w:color="auto" w:fill="auto"/>
            <w:noWrap/>
            <w:vAlign w:val="center"/>
            <w:hideMark/>
          </w:tcPr>
          <w:p w14:paraId="71A26B2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LSIP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EF5E57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4.70</w:t>
            </w:r>
          </w:p>
        </w:tc>
        <w:tc>
          <w:tcPr>
            <w:tcW w:w="700" w:type="dxa"/>
            <w:tcBorders>
              <w:top w:val="nil"/>
              <w:left w:val="nil"/>
              <w:bottom w:val="single" w:sz="4" w:space="0" w:color="auto"/>
              <w:right w:val="single" w:sz="4" w:space="0" w:color="auto"/>
            </w:tcBorders>
            <w:shd w:val="clear" w:color="auto" w:fill="auto"/>
            <w:noWrap/>
            <w:vAlign w:val="center"/>
            <w:hideMark/>
          </w:tcPr>
          <w:p w14:paraId="3A7059C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4.89</w:t>
            </w:r>
          </w:p>
        </w:tc>
        <w:tc>
          <w:tcPr>
            <w:tcW w:w="700" w:type="dxa"/>
            <w:tcBorders>
              <w:top w:val="nil"/>
              <w:left w:val="nil"/>
              <w:bottom w:val="single" w:sz="4" w:space="0" w:color="auto"/>
              <w:right w:val="single" w:sz="4" w:space="0" w:color="auto"/>
            </w:tcBorders>
            <w:shd w:val="clear" w:color="auto" w:fill="auto"/>
            <w:noWrap/>
            <w:vAlign w:val="center"/>
            <w:hideMark/>
          </w:tcPr>
          <w:p w14:paraId="0331CC0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6.18</w:t>
            </w:r>
          </w:p>
        </w:tc>
        <w:tc>
          <w:tcPr>
            <w:tcW w:w="696" w:type="dxa"/>
            <w:tcBorders>
              <w:top w:val="nil"/>
              <w:left w:val="nil"/>
              <w:bottom w:val="single" w:sz="4" w:space="0" w:color="auto"/>
              <w:right w:val="single" w:sz="4" w:space="0" w:color="auto"/>
            </w:tcBorders>
            <w:shd w:val="clear" w:color="auto" w:fill="auto"/>
            <w:noWrap/>
            <w:vAlign w:val="center"/>
            <w:hideMark/>
          </w:tcPr>
          <w:p w14:paraId="286D68D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7.20</w:t>
            </w:r>
          </w:p>
        </w:tc>
        <w:tc>
          <w:tcPr>
            <w:tcW w:w="701" w:type="dxa"/>
            <w:tcBorders>
              <w:top w:val="nil"/>
              <w:left w:val="nil"/>
              <w:bottom w:val="single" w:sz="4" w:space="0" w:color="auto"/>
              <w:right w:val="single" w:sz="4" w:space="0" w:color="auto"/>
            </w:tcBorders>
            <w:shd w:val="clear" w:color="auto" w:fill="auto"/>
            <w:noWrap/>
            <w:vAlign w:val="center"/>
            <w:hideMark/>
          </w:tcPr>
          <w:p w14:paraId="085AAA7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9.53</w:t>
            </w:r>
          </w:p>
        </w:tc>
      </w:tr>
      <w:tr w:rsidR="00B05D21" w:rsidRPr="005279AA" w14:paraId="35CA6945"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78E394F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10</w:t>
            </w:r>
          </w:p>
        </w:tc>
        <w:tc>
          <w:tcPr>
            <w:tcW w:w="2696" w:type="dxa"/>
            <w:tcBorders>
              <w:top w:val="nil"/>
              <w:left w:val="nil"/>
              <w:bottom w:val="single" w:sz="4" w:space="0" w:color="000000"/>
              <w:right w:val="single" w:sz="4" w:space="0" w:color="000000"/>
            </w:tcBorders>
            <w:shd w:val="clear" w:color="auto" w:fill="auto"/>
            <w:noWrap/>
            <w:vAlign w:val="center"/>
            <w:hideMark/>
          </w:tcPr>
          <w:p w14:paraId="4DD7B48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MYOR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736952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3.44</w:t>
            </w:r>
          </w:p>
        </w:tc>
        <w:tc>
          <w:tcPr>
            <w:tcW w:w="700" w:type="dxa"/>
            <w:tcBorders>
              <w:top w:val="nil"/>
              <w:left w:val="nil"/>
              <w:bottom w:val="single" w:sz="4" w:space="0" w:color="auto"/>
              <w:right w:val="single" w:sz="4" w:space="0" w:color="auto"/>
            </w:tcBorders>
            <w:shd w:val="clear" w:color="auto" w:fill="auto"/>
            <w:noWrap/>
            <w:vAlign w:val="center"/>
            <w:hideMark/>
          </w:tcPr>
          <w:p w14:paraId="34051D1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3.69</w:t>
            </w:r>
          </w:p>
        </w:tc>
        <w:tc>
          <w:tcPr>
            <w:tcW w:w="700" w:type="dxa"/>
            <w:tcBorders>
              <w:top w:val="nil"/>
              <w:left w:val="nil"/>
              <w:bottom w:val="single" w:sz="4" w:space="0" w:color="auto"/>
              <w:right w:val="single" w:sz="4" w:space="0" w:color="auto"/>
            </w:tcBorders>
            <w:shd w:val="clear" w:color="auto" w:fill="auto"/>
            <w:noWrap/>
            <w:vAlign w:val="center"/>
            <w:hideMark/>
          </w:tcPr>
          <w:p w14:paraId="433AA57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2.33</w:t>
            </w:r>
          </w:p>
        </w:tc>
        <w:tc>
          <w:tcPr>
            <w:tcW w:w="696" w:type="dxa"/>
            <w:tcBorders>
              <w:top w:val="nil"/>
              <w:left w:val="nil"/>
              <w:bottom w:val="single" w:sz="4" w:space="0" w:color="auto"/>
              <w:right w:val="single" w:sz="4" w:space="0" w:color="auto"/>
            </w:tcBorders>
            <w:shd w:val="clear" w:color="auto" w:fill="auto"/>
            <w:noWrap/>
            <w:vAlign w:val="center"/>
            <w:hideMark/>
          </w:tcPr>
          <w:p w14:paraId="3BEBC95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2.62</w:t>
            </w:r>
          </w:p>
        </w:tc>
        <w:tc>
          <w:tcPr>
            <w:tcW w:w="701" w:type="dxa"/>
            <w:tcBorders>
              <w:top w:val="nil"/>
              <w:left w:val="nil"/>
              <w:bottom w:val="single" w:sz="4" w:space="0" w:color="auto"/>
              <w:right w:val="single" w:sz="4" w:space="0" w:color="auto"/>
            </w:tcBorders>
            <w:shd w:val="clear" w:color="auto" w:fill="auto"/>
            <w:noWrap/>
            <w:vAlign w:val="center"/>
            <w:hideMark/>
          </w:tcPr>
          <w:p w14:paraId="5F96C32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3.67</w:t>
            </w:r>
          </w:p>
        </w:tc>
      </w:tr>
      <w:tr w:rsidR="00B05D21" w:rsidRPr="005279AA" w14:paraId="7176B19F"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3135405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11</w:t>
            </w:r>
          </w:p>
        </w:tc>
        <w:tc>
          <w:tcPr>
            <w:tcW w:w="2696" w:type="dxa"/>
            <w:tcBorders>
              <w:top w:val="nil"/>
              <w:left w:val="nil"/>
              <w:bottom w:val="single" w:sz="4" w:space="0" w:color="000000"/>
              <w:right w:val="single" w:sz="4" w:space="0" w:color="000000"/>
            </w:tcBorders>
            <w:shd w:val="clear" w:color="auto" w:fill="auto"/>
            <w:noWrap/>
            <w:vAlign w:val="center"/>
            <w:hideMark/>
          </w:tcPr>
          <w:p w14:paraId="62F19C3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SDPC</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A02278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1.15</w:t>
            </w:r>
          </w:p>
        </w:tc>
        <w:tc>
          <w:tcPr>
            <w:tcW w:w="700" w:type="dxa"/>
            <w:tcBorders>
              <w:top w:val="nil"/>
              <w:left w:val="nil"/>
              <w:bottom w:val="single" w:sz="4" w:space="0" w:color="auto"/>
              <w:right w:val="single" w:sz="4" w:space="0" w:color="auto"/>
            </w:tcBorders>
            <w:shd w:val="clear" w:color="auto" w:fill="auto"/>
            <w:noWrap/>
            <w:vAlign w:val="center"/>
            <w:hideMark/>
          </w:tcPr>
          <w:p w14:paraId="6FB2EEB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1.14</w:t>
            </w:r>
          </w:p>
        </w:tc>
        <w:tc>
          <w:tcPr>
            <w:tcW w:w="700" w:type="dxa"/>
            <w:tcBorders>
              <w:top w:val="nil"/>
              <w:left w:val="nil"/>
              <w:bottom w:val="single" w:sz="4" w:space="0" w:color="auto"/>
              <w:right w:val="single" w:sz="4" w:space="0" w:color="auto"/>
            </w:tcBorders>
            <w:shd w:val="clear" w:color="auto" w:fill="auto"/>
            <w:noWrap/>
            <w:vAlign w:val="center"/>
            <w:hideMark/>
          </w:tcPr>
          <w:p w14:paraId="3E7D7ED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1.14</w:t>
            </w:r>
          </w:p>
        </w:tc>
        <w:tc>
          <w:tcPr>
            <w:tcW w:w="696" w:type="dxa"/>
            <w:tcBorders>
              <w:top w:val="nil"/>
              <w:left w:val="nil"/>
              <w:bottom w:val="single" w:sz="4" w:space="0" w:color="auto"/>
              <w:right w:val="single" w:sz="4" w:space="0" w:color="auto"/>
            </w:tcBorders>
            <w:shd w:val="clear" w:color="auto" w:fill="auto"/>
            <w:noWrap/>
            <w:vAlign w:val="center"/>
            <w:hideMark/>
          </w:tcPr>
          <w:p w14:paraId="6F7797C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1.13</w:t>
            </w:r>
          </w:p>
        </w:tc>
        <w:tc>
          <w:tcPr>
            <w:tcW w:w="701" w:type="dxa"/>
            <w:tcBorders>
              <w:top w:val="nil"/>
              <w:left w:val="nil"/>
              <w:bottom w:val="single" w:sz="4" w:space="0" w:color="auto"/>
              <w:right w:val="single" w:sz="4" w:space="0" w:color="auto"/>
            </w:tcBorders>
            <w:shd w:val="clear" w:color="auto" w:fill="auto"/>
            <w:noWrap/>
            <w:vAlign w:val="center"/>
            <w:hideMark/>
          </w:tcPr>
          <w:p w14:paraId="5A079F4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1.12</w:t>
            </w:r>
          </w:p>
        </w:tc>
      </w:tr>
      <w:tr w:rsidR="00B05D21" w:rsidRPr="005279AA" w14:paraId="680D84A5"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7189157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12</w:t>
            </w:r>
          </w:p>
        </w:tc>
        <w:tc>
          <w:tcPr>
            <w:tcW w:w="2696" w:type="dxa"/>
            <w:tcBorders>
              <w:top w:val="nil"/>
              <w:left w:val="nil"/>
              <w:bottom w:val="single" w:sz="4" w:space="0" w:color="000000"/>
              <w:right w:val="single" w:sz="4" w:space="0" w:color="000000"/>
            </w:tcBorders>
            <w:shd w:val="clear" w:color="auto" w:fill="auto"/>
            <w:noWrap/>
            <w:vAlign w:val="center"/>
            <w:hideMark/>
          </w:tcPr>
          <w:p w14:paraId="330AA95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TBLA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B0F405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1.63</w:t>
            </w:r>
          </w:p>
        </w:tc>
        <w:tc>
          <w:tcPr>
            <w:tcW w:w="700" w:type="dxa"/>
            <w:tcBorders>
              <w:top w:val="nil"/>
              <w:left w:val="nil"/>
              <w:bottom w:val="single" w:sz="4" w:space="0" w:color="auto"/>
              <w:right w:val="single" w:sz="4" w:space="0" w:color="auto"/>
            </w:tcBorders>
            <w:shd w:val="clear" w:color="auto" w:fill="auto"/>
            <w:noWrap/>
            <w:vAlign w:val="center"/>
            <w:hideMark/>
          </w:tcPr>
          <w:p w14:paraId="53249D0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1.49</w:t>
            </w:r>
          </w:p>
        </w:tc>
        <w:tc>
          <w:tcPr>
            <w:tcW w:w="700" w:type="dxa"/>
            <w:tcBorders>
              <w:top w:val="nil"/>
              <w:left w:val="nil"/>
              <w:bottom w:val="single" w:sz="4" w:space="0" w:color="auto"/>
              <w:right w:val="single" w:sz="4" w:space="0" w:color="auto"/>
            </w:tcBorders>
            <w:shd w:val="clear" w:color="auto" w:fill="auto"/>
            <w:noWrap/>
            <w:vAlign w:val="center"/>
            <w:hideMark/>
          </w:tcPr>
          <w:p w14:paraId="3EA9EC3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1.50</w:t>
            </w:r>
          </w:p>
        </w:tc>
        <w:tc>
          <w:tcPr>
            <w:tcW w:w="696" w:type="dxa"/>
            <w:tcBorders>
              <w:top w:val="nil"/>
              <w:left w:val="nil"/>
              <w:bottom w:val="single" w:sz="4" w:space="0" w:color="auto"/>
              <w:right w:val="single" w:sz="4" w:space="0" w:color="auto"/>
            </w:tcBorders>
            <w:shd w:val="clear" w:color="auto" w:fill="auto"/>
            <w:noWrap/>
            <w:vAlign w:val="center"/>
            <w:hideMark/>
          </w:tcPr>
          <w:p w14:paraId="17D6DFE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1.20</w:t>
            </w:r>
          </w:p>
        </w:tc>
        <w:tc>
          <w:tcPr>
            <w:tcW w:w="701" w:type="dxa"/>
            <w:tcBorders>
              <w:top w:val="nil"/>
              <w:left w:val="nil"/>
              <w:bottom w:val="single" w:sz="4" w:space="0" w:color="auto"/>
              <w:right w:val="single" w:sz="4" w:space="0" w:color="auto"/>
            </w:tcBorders>
            <w:shd w:val="clear" w:color="auto" w:fill="auto"/>
            <w:noWrap/>
            <w:vAlign w:val="center"/>
            <w:hideMark/>
          </w:tcPr>
          <w:p w14:paraId="295975E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1.38</w:t>
            </w:r>
          </w:p>
        </w:tc>
      </w:tr>
      <w:tr w:rsidR="00B05D21" w:rsidRPr="005279AA" w14:paraId="7708CEFA" w14:textId="77777777" w:rsidTr="00645E4A">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69A6AAB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13</w:t>
            </w:r>
          </w:p>
        </w:tc>
        <w:tc>
          <w:tcPr>
            <w:tcW w:w="2696" w:type="dxa"/>
            <w:tcBorders>
              <w:top w:val="nil"/>
              <w:left w:val="nil"/>
              <w:bottom w:val="single" w:sz="4" w:space="0" w:color="000000"/>
              <w:right w:val="single" w:sz="4" w:space="0" w:color="000000"/>
            </w:tcBorders>
            <w:shd w:val="clear" w:color="auto" w:fill="auto"/>
            <w:noWrap/>
            <w:vAlign w:val="center"/>
            <w:hideMark/>
          </w:tcPr>
          <w:p w14:paraId="39EF591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GOOD</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E3891F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1.53</w:t>
            </w:r>
          </w:p>
        </w:tc>
        <w:tc>
          <w:tcPr>
            <w:tcW w:w="700" w:type="dxa"/>
            <w:tcBorders>
              <w:top w:val="nil"/>
              <w:left w:val="nil"/>
              <w:bottom w:val="single" w:sz="4" w:space="0" w:color="auto"/>
              <w:right w:val="single" w:sz="4" w:space="0" w:color="auto"/>
            </w:tcBorders>
            <w:shd w:val="clear" w:color="auto" w:fill="auto"/>
            <w:noWrap/>
            <w:vAlign w:val="center"/>
            <w:hideMark/>
          </w:tcPr>
          <w:p w14:paraId="4B4420F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1.75</w:t>
            </w:r>
          </w:p>
        </w:tc>
        <w:tc>
          <w:tcPr>
            <w:tcW w:w="700" w:type="dxa"/>
            <w:tcBorders>
              <w:top w:val="nil"/>
              <w:left w:val="nil"/>
              <w:bottom w:val="single" w:sz="4" w:space="0" w:color="auto"/>
              <w:right w:val="single" w:sz="4" w:space="0" w:color="auto"/>
            </w:tcBorders>
            <w:shd w:val="clear" w:color="auto" w:fill="auto"/>
            <w:noWrap/>
            <w:vAlign w:val="center"/>
            <w:hideMark/>
          </w:tcPr>
          <w:p w14:paraId="0FB2AAE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1.48</w:t>
            </w:r>
          </w:p>
        </w:tc>
        <w:tc>
          <w:tcPr>
            <w:tcW w:w="696" w:type="dxa"/>
            <w:tcBorders>
              <w:top w:val="nil"/>
              <w:left w:val="nil"/>
              <w:bottom w:val="single" w:sz="4" w:space="0" w:color="auto"/>
              <w:right w:val="single" w:sz="4" w:space="0" w:color="auto"/>
            </w:tcBorders>
            <w:shd w:val="clear" w:color="auto" w:fill="auto"/>
            <w:noWrap/>
            <w:vAlign w:val="center"/>
            <w:hideMark/>
          </w:tcPr>
          <w:p w14:paraId="5454539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1.74</w:t>
            </w:r>
          </w:p>
        </w:tc>
        <w:tc>
          <w:tcPr>
            <w:tcW w:w="701" w:type="dxa"/>
            <w:tcBorders>
              <w:top w:val="nil"/>
              <w:left w:val="nil"/>
              <w:bottom w:val="single" w:sz="4" w:space="0" w:color="auto"/>
              <w:right w:val="single" w:sz="4" w:space="0" w:color="auto"/>
            </w:tcBorders>
            <w:shd w:val="clear" w:color="auto" w:fill="auto"/>
            <w:noWrap/>
            <w:vAlign w:val="center"/>
            <w:hideMark/>
          </w:tcPr>
          <w:p w14:paraId="421692C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1.78</w:t>
            </w:r>
          </w:p>
        </w:tc>
      </w:tr>
      <w:tr w:rsidR="00B05D21" w:rsidRPr="005279AA" w14:paraId="503C81A9" w14:textId="77777777" w:rsidTr="00645E4A">
        <w:trPr>
          <w:trHeight w:val="315"/>
        </w:trPr>
        <w:tc>
          <w:tcPr>
            <w:tcW w:w="560" w:type="dxa"/>
            <w:tcBorders>
              <w:top w:val="nil"/>
              <w:left w:val="single" w:sz="4" w:space="0" w:color="000000"/>
              <w:bottom w:val="nil"/>
              <w:right w:val="single" w:sz="4" w:space="0" w:color="000000"/>
            </w:tcBorders>
            <w:shd w:val="clear" w:color="auto" w:fill="auto"/>
            <w:noWrap/>
            <w:vAlign w:val="center"/>
            <w:hideMark/>
          </w:tcPr>
          <w:p w14:paraId="27F936F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14</w:t>
            </w:r>
          </w:p>
        </w:tc>
        <w:tc>
          <w:tcPr>
            <w:tcW w:w="2696" w:type="dxa"/>
            <w:tcBorders>
              <w:top w:val="nil"/>
              <w:left w:val="nil"/>
              <w:bottom w:val="nil"/>
              <w:right w:val="single" w:sz="4" w:space="0" w:color="000000"/>
            </w:tcBorders>
            <w:shd w:val="clear" w:color="auto" w:fill="auto"/>
            <w:noWrap/>
            <w:vAlign w:val="center"/>
            <w:hideMark/>
          </w:tcPr>
          <w:p w14:paraId="1EBF96F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HMSP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70EB89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3.28</w:t>
            </w:r>
          </w:p>
        </w:tc>
        <w:tc>
          <w:tcPr>
            <w:tcW w:w="700" w:type="dxa"/>
            <w:tcBorders>
              <w:top w:val="nil"/>
              <w:left w:val="nil"/>
              <w:bottom w:val="single" w:sz="4" w:space="0" w:color="auto"/>
              <w:right w:val="single" w:sz="4" w:space="0" w:color="auto"/>
            </w:tcBorders>
            <w:shd w:val="clear" w:color="auto" w:fill="auto"/>
            <w:noWrap/>
            <w:vAlign w:val="center"/>
            <w:hideMark/>
          </w:tcPr>
          <w:p w14:paraId="4ACCBAF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2.45</w:t>
            </w:r>
          </w:p>
        </w:tc>
        <w:tc>
          <w:tcPr>
            <w:tcW w:w="700" w:type="dxa"/>
            <w:tcBorders>
              <w:top w:val="nil"/>
              <w:left w:val="nil"/>
              <w:bottom w:val="single" w:sz="4" w:space="0" w:color="auto"/>
              <w:right w:val="single" w:sz="4" w:space="0" w:color="auto"/>
            </w:tcBorders>
            <w:shd w:val="clear" w:color="auto" w:fill="auto"/>
            <w:noWrap/>
            <w:vAlign w:val="center"/>
            <w:hideMark/>
          </w:tcPr>
          <w:p w14:paraId="2B2E945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1.88</w:t>
            </w:r>
          </w:p>
        </w:tc>
        <w:tc>
          <w:tcPr>
            <w:tcW w:w="696" w:type="dxa"/>
            <w:tcBorders>
              <w:top w:val="nil"/>
              <w:left w:val="nil"/>
              <w:bottom w:val="single" w:sz="4" w:space="0" w:color="auto"/>
              <w:right w:val="single" w:sz="4" w:space="0" w:color="auto"/>
            </w:tcBorders>
            <w:shd w:val="clear" w:color="auto" w:fill="auto"/>
            <w:noWrap/>
            <w:vAlign w:val="center"/>
            <w:hideMark/>
          </w:tcPr>
          <w:p w14:paraId="34FCAC7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1.69</w:t>
            </w:r>
          </w:p>
        </w:tc>
        <w:tc>
          <w:tcPr>
            <w:tcW w:w="701" w:type="dxa"/>
            <w:tcBorders>
              <w:top w:val="nil"/>
              <w:left w:val="nil"/>
              <w:bottom w:val="single" w:sz="4" w:space="0" w:color="auto"/>
              <w:right w:val="single" w:sz="4" w:space="0" w:color="auto"/>
            </w:tcBorders>
            <w:shd w:val="clear" w:color="auto" w:fill="auto"/>
            <w:noWrap/>
            <w:vAlign w:val="center"/>
            <w:hideMark/>
          </w:tcPr>
          <w:p w14:paraId="5C70035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1.72</w:t>
            </w:r>
          </w:p>
        </w:tc>
      </w:tr>
      <w:tr w:rsidR="00B05D21" w:rsidRPr="005279AA" w14:paraId="4E5F7405" w14:textId="77777777" w:rsidTr="00645E4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7098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15</w:t>
            </w: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14:paraId="0C4692A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UNVR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A7428F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0.65</w:t>
            </w:r>
          </w:p>
        </w:tc>
        <w:tc>
          <w:tcPr>
            <w:tcW w:w="700" w:type="dxa"/>
            <w:tcBorders>
              <w:top w:val="nil"/>
              <w:left w:val="nil"/>
              <w:bottom w:val="single" w:sz="4" w:space="0" w:color="auto"/>
              <w:right w:val="single" w:sz="4" w:space="0" w:color="auto"/>
            </w:tcBorders>
            <w:shd w:val="clear" w:color="auto" w:fill="auto"/>
            <w:noWrap/>
            <w:vAlign w:val="center"/>
            <w:hideMark/>
          </w:tcPr>
          <w:p w14:paraId="25547CF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0.66</w:t>
            </w:r>
          </w:p>
        </w:tc>
        <w:tc>
          <w:tcPr>
            <w:tcW w:w="700" w:type="dxa"/>
            <w:tcBorders>
              <w:top w:val="nil"/>
              <w:left w:val="nil"/>
              <w:bottom w:val="single" w:sz="4" w:space="0" w:color="auto"/>
              <w:right w:val="single" w:sz="4" w:space="0" w:color="auto"/>
            </w:tcBorders>
            <w:shd w:val="clear" w:color="auto" w:fill="auto"/>
            <w:noWrap/>
            <w:vAlign w:val="center"/>
            <w:hideMark/>
          </w:tcPr>
          <w:p w14:paraId="354A3B5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0.61</w:t>
            </w:r>
          </w:p>
        </w:tc>
        <w:tc>
          <w:tcPr>
            <w:tcW w:w="696" w:type="dxa"/>
            <w:tcBorders>
              <w:top w:val="nil"/>
              <w:left w:val="nil"/>
              <w:bottom w:val="single" w:sz="4" w:space="0" w:color="auto"/>
              <w:right w:val="single" w:sz="4" w:space="0" w:color="auto"/>
            </w:tcBorders>
            <w:shd w:val="clear" w:color="auto" w:fill="auto"/>
            <w:noWrap/>
            <w:vAlign w:val="center"/>
            <w:hideMark/>
          </w:tcPr>
          <w:p w14:paraId="7BD4246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0.61</w:t>
            </w:r>
          </w:p>
        </w:tc>
        <w:tc>
          <w:tcPr>
            <w:tcW w:w="701" w:type="dxa"/>
            <w:tcBorders>
              <w:top w:val="nil"/>
              <w:left w:val="nil"/>
              <w:bottom w:val="single" w:sz="4" w:space="0" w:color="auto"/>
              <w:right w:val="single" w:sz="4" w:space="0" w:color="auto"/>
            </w:tcBorders>
            <w:shd w:val="clear" w:color="auto" w:fill="auto"/>
            <w:noWrap/>
            <w:vAlign w:val="center"/>
            <w:hideMark/>
          </w:tcPr>
          <w:p w14:paraId="148506B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0.55</w:t>
            </w:r>
          </w:p>
        </w:tc>
      </w:tr>
      <w:tr w:rsidR="00B05D21" w:rsidRPr="005279AA" w14:paraId="1B4F5065" w14:textId="77777777" w:rsidTr="00645E4A">
        <w:trPr>
          <w:trHeight w:val="315"/>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BFF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Terendah</w:t>
            </w:r>
          </w:p>
        </w:tc>
        <w:tc>
          <w:tcPr>
            <w:tcW w:w="349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1BBC3B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0.552</w:t>
            </w:r>
          </w:p>
        </w:tc>
      </w:tr>
      <w:tr w:rsidR="00B05D21" w:rsidRPr="005279AA" w14:paraId="3F617BEF" w14:textId="77777777" w:rsidTr="00645E4A">
        <w:trPr>
          <w:trHeight w:val="315"/>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BE62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Tertinggi</w:t>
            </w:r>
          </w:p>
        </w:tc>
        <w:tc>
          <w:tcPr>
            <w:tcW w:w="349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549E84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9.954</w:t>
            </w:r>
          </w:p>
        </w:tc>
      </w:tr>
      <w:tr w:rsidR="00B05D21" w:rsidRPr="005279AA" w14:paraId="0243E519" w14:textId="77777777" w:rsidTr="00645E4A">
        <w:trPr>
          <w:trHeight w:val="315"/>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C4EE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Rata-Rata</w:t>
            </w:r>
          </w:p>
        </w:tc>
        <w:tc>
          <w:tcPr>
            <w:tcW w:w="349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3CAB30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2.660</w:t>
            </w:r>
          </w:p>
        </w:tc>
      </w:tr>
    </w:tbl>
    <w:p w14:paraId="7BFB1240" w14:textId="4BF7C943" w:rsidR="000805B5" w:rsidRDefault="0057737A" w:rsidP="00645E4A">
      <w:pPr>
        <w:tabs>
          <w:tab w:val="left" w:pos="1701"/>
        </w:tabs>
        <w:spacing w:line="240" w:lineRule="auto"/>
        <w:ind w:left="1134" w:right="3"/>
        <w:jc w:val="both"/>
        <w:rPr>
          <w:rFonts w:asciiTheme="majorBidi" w:eastAsiaTheme="minorEastAsia" w:hAnsiTheme="majorBidi" w:cstheme="majorBidi"/>
          <w:iCs/>
        </w:rPr>
      </w:pPr>
      <w:r w:rsidRPr="005279AA">
        <w:rPr>
          <w:rFonts w:asciiTheme="majorBidi" w:eastAsiaTheme="minorEastAsia" w:hAnsiTheme="majorBidi" w:cstheme="majorBidi"/>
          <w:iCs/>
          <w:lang w:val="id-ID"/>
        </w:rPr>
        <w:t xml:space="preserve">Sumber: Laporan </w:t>
      </w:r>
      <w:r w:rsidR="00D974B3" w:rsidRPr="005279AA">
        <w:rPr>
          <w:rFonts w:asciiTheme="majorBidi" w:eastAsiaTheme="minorEastAsia" w:hAnsiTheme="majorBidi" w:cstheme="majorBidi"/>
          <w:iCs/>
          <w:lang w:val="id-ID"/>
        </w:rPr>
        <w:t xml:space="preserve">Keuangan Tahunan </w:t>
      </w:r>
      <w:r w:rsidR="00D974B3">
        <w:rPr>
          <w:rFonts w:asciiTheme="majorBidi" w:eastAsiaTheme="minorEastAsia" w:hAnsiTheme="majorBidi" w:cstheme="majorBidi"/>
          <w:iCs/>
        </w:rPr>
        <w:t xml:space="preserve">Perusahaan Sektor </w:t>
      </w:r>
      <w:r w:rsidR="00D974B3" w:rsidRPr="005279AA">
        <w:rPr>
          <w:rFonts w:asciiTheme="majorBidi" w:eastAsiaTheme="minorEastAsia" w:hAnsiTheme="majorBidi" w:cstheme="majorBidi"/>
          <w:iCs/>
          <w:lang w:val="id-ID"/>
        </w:rPr>
        <w:t>Consumer Non Cyclical 2019-202</w:t>
      </w:r>
      <w:r w:rsidR="00D974B3">
        <w:rPr>
          <w:rFonts w:asciiTheme="majorBidi" w:eastAsiaTheme="minorEastAsia" w:hAnsiTheme="majorBidi" w:cstheme="majorBidi"/>
          <w:iCs/>
        </w:rPr>
        <w:t>3</w:t>
      </w:r>
    </w:p>
    <w:p w14:paraId="0D968BEC" w14:textId="64608284" w:rsidR="002323D2" w:rsidRPr="00CC00B3"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data likuiditas menggunakan proksi </w:t>
      </w:r>
      <w:r w:rsidRPr="00CC00B3">
        <w:rPr>
          <w:rFonts w:asciiTheme="majorBidi" w:eastAsiaTheme="minorEastAsia" w:hAnsiTheme="majorBidi" w:cstheme="majorBidi"/>
          <w:i/>
          <w:sz w:val="24"/>
          <w:szCs w:val="24"/>
        </w:rPr>
        <w:t xml:space="preserve">Current Ratio </w:t>
      </w:r>
      <w:r w:rsidRPr="00CC00B3">
        <w:rPr>
          <w:rFonts w:asciiTheme="majorBidi" w:eastAsiaTheme="minorEastAsia" w:hAnsiTheme="majorBidi" w:cstheme="majorBidi"/>
          <w:iCs/>
          <w:sz w:val="24"/>
          <w:szCs w:val="24"/>
        </w:rPr>
        <w:t xml:space="preserve">(CR) pada sampel perusahaan sektor </w:t>
      </w:r>
      <w:r w:rsidRPr="00CC00B3">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 diatas, maka dapat dibuat grafik sebagai berikut:</w:t>
      </w:r>
    </w:p>
    <w:p w14:paraId="3918CDFC" w14:textId="16E891AF" w:rsidR="00573A2B" w:rsidRDefault="00573A2B" w:rsidP="00BF76D1">
      <w:pPr>
        <w:tabs>
          <w:tab w:val="left" w:pos="1701"/>
        </w:tabs>
        <w:spacing w:line="240" w:lineRule="auto"/>
        <w:ind w:left="709" w:firstLine="426"/>
        <w:jc w:val="both"/>
        <w:rPr>
          <w:rFonts w:asciiTheme="majorBidi" w:eastAsiaTheme="minorEastAsia" w:hAnsiTheme="majorBidi" w:cstheme="majorBidi"/>
          <w:iCs/>
        </w:rPr>
      </w:pPr>
      <w:r>
        <w:rPr>
          <w:noProof/>
        </w:rPr>
        <w:lastRenderedPageBreak/>
        <w:drawing>
          <wp:inline distT="0" distB="0" distL="0" distR="0" wp14:anchorId="62E66F3A" wp14:editId="1658DC4A">
            <wp:extent cx="4368800" cy="2863121"/>
            <wp:effectExtent l="0" t="0" r="12700" b="13970"/>
            <wp:docPr id="33" name="Chart 33">
              <a:extLst xmlns:a="http://schemas.openxmlformats.org/drawingml/2006/main">
                <a:ext uri="{FF2B5EF4-FFF2-40B4-BE49-F238E27FC236}">
                  <a16:creationId xmlns:a16="http://schemas.microsoft.com/office/drawing/2014/main" id="{4877CDEF-A9AF-451E-BBBB-B1F10AEAD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979B71" w14:textId="77777777" w:rsidR="009911AA" w:rsidRPr="005279AA" w:rsidRDefault="009911AA" w:rsidP="00BF76D1">
      <w:pPr>
        <w:pStyle w:val="ListParagraph"/>
        <w:tabs>
          <w:tab w:val="left" w:pos="1701"/>
        </w:tabs>
        <w:spacing w:line="240" w:lineRule="auto"/>
        <w:ind w:left="1134"/>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5C32F86B" w14:textId="2E2A9743" w:rsidR="009911AA" w:rsidRDefault="009911AA"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3</w:t>
      </w:r>
    </w:p>
    <w:p w14:paraId="2A710DD2" w14:textId="12E6597A" w:rsidR="009911AA" w:rsidRDefault="009911AA"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Pr>
          <w:rFonts w:asciiTheme="majorBidi" w:eastAsiaTheme="minorEastAsia" w:hAnsiTheme="majorBidi" w:cstheme="majorBidi"/>
          <w:b/>
          <w:bCs/>
          <w:iCs/>
          <w:sz w:val="24"/>
          <w:szCs w:val="24"/>
        </w:rPr>
        <w:t xml:space="preserve">Likuiditas </w:t>
      </w:r>
      <w:r w:rsidRPr="009107C0">
        <w:rPr>
          <w:rFonts w:asciiTheme="majorBidi" w:eastAsiaTheme="minorEastAsia" w:hAnsiTheme="majorBidi" w:cstheme="majorBidi"/>
          <w:b/>
          <w:bCs/>
          <w:iCs/>
          <w:sz w:val="24"/>
          <w:szCs w:val="24"/>
          <w:lang w:val="id-ID"/>
        </w:rPr>
        <w:t xml:space="preserve">Perusahaan Sektor Consumer Non Cyclical </w:t>
      </w:r>
    </w:p>
    <w:p w14:paraId="4E2BE8CF" w14:textId="77777777" w:rsidR="009911AA" w:rsidRPr="00D874DB" w:rsidRDefault="009911AA"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9107C0">
        <w:rPr>
          <w:rFonts w:asciiTheme="majorBidi" w:eastAsiaTheme="minorEastAsia" w:hAnsiTheme="majorBidi" w:cstheme="majorBidi"/>
          <w:b/>
          <w:bCs/>
          <w:iCs/>
          <w:sz w:val="24"/>
          <w:szCs w:val="24"/>
          <w:lang w:val="id-ID"/>
        </w:rPr>
        <w:t>Tahun 2019-202</w:t>
      </w:r>
      <w:r w:rsidRPr="00D874DB">
        <w:rPr>
          <w:rFonts w:asciiTheme="majorBidi" w:eastAsiaTheme="minorEastAsia" w:hAnsiTheme="majorBidi" w:cstheme="majorBidi"/>
          <w:b/>
          <w:bCs/>
          <w:iCs/>
          <w:sz w:val="24"/>
          <w:szCs w:val="24"/>
          <w:lang w:val="id-ID"/>
        </w:rPr>
        <w:t>3</w:t>
      </w:r>
    </w:p>
    <w:p w14:paraId="73299720" w14:textId="4CA1F525" w:rsidR="009911AA" w:rsidRPr="00CA49F2" w:rsidRDefault="009911AA"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D874DB">
        <w:rPr>
          <w:rFonts w:asciiTheme="majorBidi" w:eastAsiaTheme="minorEastAsia" w:hAnsiTheme="majorBidi" w:cstheme="majorBidi"/>
          <w:iCs/>
          <w:sz w:val="24"/>
          <w:szCs w:val="24"/>
          <w:lang w:val="id-ID"/>
        </w:rPr>
        <w:t xml:space="preserve">Berdasarkan tabel dan grafik diatas dapat diketahui bahwa nilai Likuiditas menggunakan proksi </w:t>
      </w:r>
      <w:r w:rsidRPr="00D874DB">
        <w:rPr>
          <w:rFonts w:asciiTheme="majorBidi" w:eastAsiaTheme="minorEastAsia" w:hAnsiTheme="majorBidi" w:cstheme="majorBidi"/>
          <w:i/>
          <w:sz w:val="24"/>
          <w:szCs w:val="24"/>
          <w:lang w:val="id-ID"/>
        </w:rPr>
        <w:t>Current Ratio</w:t>
      </w:r>
      <w:r w:rsidRPr="00D874DB">
        <w:rPr>
          <w:rFonts w:asciiTheme="majorBidi" w:eastAsiaTheme="minorEastAsia" w:hAnsiTheme="majorBidi" w:cstheme="majorBidi"/>
          <w:iCs/>
          <w:sz w:val="24"/>
          <w:szCs w:val="24"/>
          <w:lang w:val="id-ID"/>
        </w:rPr>
        <w:t xml:space="preserve"> (CR) pada 15 sampel perusahaan sektor </w:t>
      </w:r>
      <w:r w:rsidRPr="00D874DB">
        <w:rPr>
          <w:rFonts w:asciiTheme="majorBidi" w:eastAsiaTheme="minorEastAsia" w:hAnsiTheme="majorBidi" w:cstheme="majorBidi"/>
          <w:i/>
          <w:sz w:val="24"/>
          <w:szCs w:val="24"/>
          <w:lang w:val="id-ID"/>
        </w:rPr>
        <w:t>consumer non cyclical</w:t>
      </w:r>
      <w:r w:rsidRPr="00D874DB">
        <w:rPr>
          <w:rFonts w:asciiTheme="majorBidi" w:eastAsiaTheme="minorEastAsia" w:hAnsiTheme="majorBidi" w:cstheme="majorBidi"/>
          <w:iCs/>
          <w:sz w:val="24"/>
          <w:szCs w:val="24"/>
          <w:lang w:val="id-ID"/>
        </w:rPr>
        <w:t xml:space="preserve"> tahun 2019 – tahun 2023 menunjukan bahwa nilai </w:t>
      </w:r>
      <w:r w:rsidRPr="00D874DB">
        <w:rPr>
          <w:rFonts w:asciiTheme="majorBidi" w:eastAsiaTheme="minorEastAsia" w:hAnsiTheme="majorBidi" w:cstheme="majorBidi"/>
          <w:i/>
          <w:sz w:val="24"/>
          <w:szCs w:val="24"/>
          <w:lang w:val="id-ID"/>
        </w:rPr>
        <w:t>Current Ratio</w:t>
      </w:r>
      <w:r w:rsidRPr="00D874DB">
        <w:rPr>
          <w:rFonts w:asciiTheme="majorBidi" w:eastAsiaTheme="minorEastAsia" w:hAnsiTheme="majorBidi" w:cstheme="majorBidi"/>
          <w:iCs/>
          <w:sz w:val="24"/>
          <w:szCs w:val="24"/>
          <w:lang w:val="id-ID"/>
        </w:rPr>
        <w:t xml:space="preserve"> (CR) tertinggi dihasilkan oleh PT </w:t>
      </w:r>
      <w:r w:rsidRPr="00D874DB">
        <w:rPr>
          <w:rFonts w:asciiTheme="majorBidi" w:eastAsia="Times New Roman" w:hAnsiTheme="majorBidi" w:cstheme="majorBidi"/>
          <w:sz w:val="24"/>
          <w:szCs w:val="24"/>
          <w:lang w:val="id-ID" w:eastAsia="en-GB"/>
        </w:rPr>
        <w:t xml:space="preserve">Wilmar Cahaya Indonesia Tbk </w:t>
      </w:r>
      <w:r w:rsidR="000707DC" w:rsidRPr="000707DC">
        <w:rPr>
          <w:rFonts w:asciiTheme="majorBidi" w:eastAsia="Times New Roman" w:hAnsiTheme="majorBidi" w:cstheme="majorBidi"/>
          <w:sz w:val="24"/>
          <w:szCs w:val="24"/>
          <w:lang w:val="id-ID" w:eastAsia="en-GB"/>
        </w:rPr>
        <w:t>pada</w:t>
      </w:r>
      <w:r w:rsidRPr="00D874DB">
        <w:rPr>
          <w:rFonts w:asciiTheme="majorBidi" w:eastAsia="Times New Roman" w:hAnsiTheme="majorBidi" w:cstheme="majorBidi"/>
          <w:sz w:val="24"/>
          <w:szCs w:val="24"/>
          <w:lang w:val="id-ID" w:eastAsia="en-GB"/>
        </w:rPr>
        <w:t xml:space="preserve"> </w:t>
      </w:r>
      <w:r w:rsidR="00C34EDF" w:rsidRPr="00C34EDF">
        <w:rPr>
          <w:rFonts w:asciiTheme="majorBidi" w:eastAsia="Times New Roman" w:hAnsiTheme="majorBidi" w:cstheme="majorBidi"/>
          <w:sz w:val="24"/>
          <w:szCs w:val="24"/>
          <w:lang w:val="id-ID" w:eastAsia="en-GB"/>
        </w:rPr>
        <w:t>t</w:t>
      </w:r>
      <w:r w:rsidRPr="00D874DB">
        <w:rPr>
          <w:rFonts w:asciiTheme="majorBidi" w:eastAsia="Times New Roman" w:hAnsiTheme="majorBidi" w:cstheme="majorBidi"/>
          <w:sz w:val="24"/>
          <w:szCs w:val="24"/>
          <w:lang w:val="id-ID" w:eastAsia="en-GB"/>
        </w:rPr>
        <w:t xml:space="preserve">ahun 2021 yaitu sebesar 9,954 dan nilai terendah dihasilkan oleh PT Unilever Indonesia Tbk </w:t>
      </w:r>
      <w:r w:rsidR="000707DC" w:rsidRPr="000707DC">
        <w:rPr>
          <w:rFonts w:asciiTheme="majorBidi" w:eastAsia="Times New Roman" w:hAnsiTheme="majorBidi" w:cstheme="majorBidi"/>
          <w:sz w:val="24"/>
          <w:szCs w:val="24"/>
          <w:lang w:val="id-ID" w:eastAsia="en-GB"/>
        </w:rPr>
        <w:t xml:space="preserve">pada </w:t>
      </w:r>
      <w:r w:rsidR="00C34EDF" w:rsidRPr="00C34EDF">
        <w:rPr>
          <w:rFonts w:asciiTheme="majorBidi" w:eastAsia="Times New Roman" w:hAnsiTheme="majorBidi" w:cstheme="majorBidi"/>
          <w:sz w:val="24"/>
          <w:szCs w:val="24"/>
          <w:lang w:val="id-ID" w:eastAsia="en-GB"/>
        </w:rPr>
        <w:t>t</w:t>
      </w:r>
      <w:r w:rsidRPr="00D874DB">
        <w:rPr>
          <w:rFonts w:asciiTheme="majorBidi" w:eastAsia="Times New Roman" w:hAnsiTheme="majorBidi" w:cstheme="majorBidi"/>
          <w:sz w:val="24"/>
          <w:szCs w:val="24"/>
          <w:lang w:val="id-ID" w:eastAsia="en-GB"/>
        </w:rPr>
        <w:t xml:space="preserve">ahun 2023 yaitu sebesar 0,552. </w:t>
      </w:r>
      <w:r>
        <w:rPr>
          <w:rFonts w:asciiTheme="majorBidi" w:eastAsia="Times New Roman" w:hAnsiTheme="majorBidi" w:cstheme="majorBidi"/>
          <w:sz w:val="24"/>
          <w:szCs w:val="24"/>
          <w:lang w:eastAsia="en-GB"/>
        </w:rPr>
        <w:t xml:space="preserve">Nilai rata-rata </w:t>
      </w:r>
      <w:r w:rsidRPr="009911AA">
        <w:rPr>
          <w:rFonts w:asciiTheme="majorBidi" w:eastAsiaTheme="minorEastAsia" w:hAnsiTheme="majorBidi" w:cstheme="majorBidi"/>
          <w:i/>
          <w:sz w:val="24"/>
          <w:szCs w:val="24"/>
        </w:rPr>
        <w:t>Current Ratio</w:t>
      </w:r>
      <w:r w:rsidRPr="009107C0">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rPr>
        <w:t>CR</w:t>
      </w:r>
      <w:r w:rsidRPr="009107C0">
        <w:rPr>
          <w:rFonts w:asciiTheme="majorBidi" w:eastAsiaTheme="minorEastAsia" w:hAnsiTheme="majorBidi" w:cstheme="majorBidi"/>
          <w:iCs/>
          <w:sz w:val="24"/>
          <w:szCs w:val="24"/>
        </w:rPr>
        <w:t xml:space="preserve">) pada 15 sampel perusahaan sektor </w:t>
      </w:r>
      <w:r w:rsidRPr="009911AA">
        <w:rPr>
          <w:rFonts w:asciiTheme="majorBidi" w:eastAsiaTheme="minorEastAsia" w:hAnsiTheme="majorBidi" w:cstheme="majorBidi"/>
          <w:i/>
          <w:sz w:val="24"/>
          <w:szCs w:val="24"/>
        </w:rPr>
        <w:t>consumer non cyclical</w:t>
      </w:r>
      <w:r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9107C0">
        <w:rPr>
          <w:rFonts w:asciiTheme="majorBidi" w:eastAsiaTheme="minorEastAsia" w:hAnsiTheme="majorBidi" w:cstheme="majorBidi"/>
          <w:iCs/>
          <w:sz w:val="24"/>
          <w:szCs w:val="24"/>
        </w:rPr>
        <w:t>ahun 2023</w:t>
      </w:r>
      <w:r>
        <w:rPr>
          <w:rFonts w:asciiTheme="majorBidi" w:eastAsiaTheme="minorEastAsia" w:hAnsiTheme="majorBidi" w:cstheme="majorBidi"/>
          <w:iCs/>
          <w:sz w:val="24"/>
          <w:szCs w:val="24"/>
        </w:rPr>
        <w:t xml:space="preserve"> sebesar 2,660.</w:t>
      </w:r>
    </w:p>
    <w:p w14:paraId="60ECDAAD" w14:textId="79FF8143" w:rsidR="008A7D90"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
          <w:sz w:val="24"/>
          <w:szCs w:val="24"/>
        </w:rPr>
      </w:pPr>
      <w:r w:rsidRPr="005279AA">
        <w:rPr>
          <w:rFonts w:asciiTheme="majorBidi" w:eastAsiaTheme="minorEastAsia" w:hAnsiTheme="majorBidi" w:cstheme="majorBidi"/>
          <w:b/>
          <w:bCs/>
          <w:i/>
          <w:sz w:val="24"/>
          <w:szCs w:val="24"/>
        </w:rPr>
        <w:t>Leverag</w:t>
      </w:r>
      <w:r w:rsidR="0057737A" w:rsidRPr="005279AA">
        <w:rPr>
          <w:rFonts w:asciiTheme="majorBidi" w:eastAsiaTheme="minorEastAsia" w:hAnsiTheme="majorBidi" w:cstheme="majorBidi"/>
          <w:b/>
          <w:bCs/>
          <w:i/>
          <w:sz w:val="24"/>
          <w:szCs w:val="24"/>
          <w:lang w:val="id-ID"/>
        </w:rPr>
        <w:t>e</w:t>
      </w:r>
    </w:p>
    <w:p w14:paraId="698B7B52" w14:textId="5A25F658" w:rsidR="008D285A" w:rsidRPr="00C4381B" w:rsidRDefault="008A7D90"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
          <w:sz w:val="24"/>
          <w:szCs w:val="24"/>
          <w:lang w:val="id-ID"/>
        </w:rPr>
        <w:t>Leverage</w:t>
      </w:r>
      <w:r w:rsidRPr="005279AA">
        <w:rPr>
          <w:rFonts w:asciiTheme="majorBidi" w:eastAsiaTheme="minorEastAsia" w:hAnsiTheme="majorBidi" w:cstheme="majorBidi"/>
          <w:iCs/>
          <w:sz w:val="24"/>
          <w:szCs w:val="24"/>
          <w:lang w:val="id-ID"/>
        </w:rPr>
        <w:t xml:space="preserve"> merupakan</w:t>
      </w:r>
      <w:r w:rsidR="00501197" w:rsidRPr="005279AA">
        <w:rPr>
          <w:rFonts w:asciiTheme="majorBidi" w:eastAsiaTheme="minorEastAsia" w:hAnsiTheme="majorBidi" w:cstheme="majorBidi"/>
          <w:iCs/>
          <w:sz w:val="24"/>
          <w:szCs w:val="24"/>
          <w:lang w:val="id-ID"/>
        </w:rPr>
        <w:t xml:space="preserve"> rasio yang digunakan untuk melihat kemampuan suatu perusahaan untuk melunasi seluruh utangnya baik </w:t>
      </w:r>
      <w:r w:rsidR="00501197" w:rsidRPr="005279AA">
        <w:rPr>
          <w:rFonts w:asciiTheme="majorBidi" w:eastAsiaTheme="minorEastAsia" w:hAnsiTheme="majorBidi" w:cstheme="majorBidi"/>
          <w:iCs/>
          <w:sz w:val="24"/>
          <w:szCs w:val="24"/>
          <w:lang w:val="id-ID"/>
        </w:rPr>
        <w:lastRenderedPageBreak/>
        <w:t xml:space="preserve">utang jangka pendek maupun utang jangka panjang. Terdapat beberapa cara untuk mengukur </w:t>
      </w:r>
      <w:r w:rsidR="00501197" w:rsidRPr="007F678B">
        <w:rPr>
          <w:rFonts w:asciiTheme="majorBidi" w:eastAsiaTheme="minorEastAsia" w:hAnsiTheme="majorBidi" w:cstheme="majorBidi"/>
          <w:i/>
          <w:sz w:val="24"/>
          <w:szCs w:val="24"/>
          <w:lang w:val="id-ID"/>
        </w:rPr>
        <w:t>leverage</w:t>
      </w:r>
      <w:r w:rsidR="00501197" w:rsidRPr="005279AA">
        <w:rPr>
          <w:rFonts w:asciiTheme="majorBidi" w:eastAsiaTheme="minorEastAsia" w:hAnsiTheme="majorBidi" w:cstheme="majorBidi"/>
          <w:iCs/>
          <w:sz w:val="24"/>
          <w:szCs w:val="24"/>
          <w:lang w:val="id-ID"/>
        </w:rPr>
        <w:t xml:space="preserve">, dalam penelitian ini digunakan </w:t>
      </w:r>
      <w:r w:rsidR="00501197" w:rsidRPr="005279AA">
        <w:rPr>
          <w:rFonts w:asciiTheme="majorBidi" w:eastAsiaTheme="minorEastAsia" w:hAnsiTheme="majorBidi" w:cstheme="majorBidi"/>
          <w:i/>
          <w:sz w:val="24"/>
          <w:szCs w:val="24"/>
          <w:lang w:val="id-ID"/>
        </w:rPr>
        <w:t xml:space="preserve">Debt to Equity Ratio </w:t>
      </w:r>
      <w:r w:rsidR="00501197" w:rsidRPr="005279AA">
        <w:rPr>
          <w:rFonts w:asciiTheme="majorBidi" w:eastAsiaTheme="minorEastAsia" w:hAnsiTheme="majorBidi" w:cstheme="majorBidi"/>
          <w:iCs/>
          <w:sz w:val="24"/>
          <w:szCs w:val="24"/>
          <w:lang w:val="id-ID"/>
        </w:rPr>
        <w:t>(</w:t>
      </w:r>
      <w:r w:rsidR="007C6EBA" w:rsidRPr="005279AA">
        <w:rPr>
          <w:rFonts w:asciiTheme="majorBidi" w:eastAsiaTheme="minorEastAsia" w:hAnsiTheme="majorBidi" w:cstheme="majorBidi"/>
          <w:iCs/>
          <w:sz w:val="24"/>
          <w:szCs w:val="24"/>
          <w:lang w:val="id-ID"/>
        </w:rPr>
        <w:t>DER</w:t>
      </w:r>
      <w:r w:rsidR="00501197" w:rsidRPr="005279AA">
        <w:rPr>
          <w:rFonts w:asciiTheme="majorBidi" w:eastAsiaTheme="minorEastAsia" w:hAnsiTheme="majorBidi" w:cstheme="majorBidi"/>
          <w:iCs/>
          <w:sz w:val="24"/>
          <w:szCs w:val="24"/>
          <w:lang w:val="id-ID"/>
        </w:rPr>
        <w:t>) untuk mendapatkan hasil dari</w:t>
      </w:r>
      <w:r w:rsidR="007C6EBA" w:rsidRPr="005279AA">
        <w:rPr>
          <w:rFonts w:asciiTheme="majorBidi" w:eastAsiaTheme="minorEastAsia" w:hAnsiTheme="majorBidi" w:cstheme="majorBidi"/>
          <w:iCs/>
          <w:sz w:val="24"/>
          <w:szCs w:val="24"/>
          <w:lang w:val="id-ID"/>
        </w:rPr>
        <w:t xml:space="preserve"> </w:t>
      </w:r>
      <w:r w:rsidR="007C6EBA" w:rsidRPr="007F678B">
        <w:rPr>
          <w:rFonts w:asciiTheme="majorBidi" w:eastAsiaTheme="minorEastAsia" w:hAnsiTheme="majorBidi" w:cstheme="majorBidi"/>
          <w:i/>
          <w:sz w:val="24"/>
          <w:szCs w:val="24"/>
          <w:lang w:val="id-ID"/>
        </w:rPr>
        <w:t>l</w:t>
      </w:r>
      <w:r w:rsidR="007F678B" w:rsidRPr="007F678B">
        <w:rPr>
          <w:rFonts w:asciiTheme="majorBidi" w:eastAsiaTheme="minorEastAsia" w:hAnsiTheme="majorBidi" w:cstheme="majorBidi"/>
          <w:i/>
          <w:sz w:val="24"/>
          <w:szCs w:val="24"/>
        </w:rPr>
        <w:t>everage</w:t>
      </w:r>
      <w:r w:rsidR="00501197" w:rsidRPr="005279AA">
        <w:rPr>
          <w:rFonts w:asciiTheme="majorBidi" w:eastAsiaTheme="minorEastAsia" w:hAnsiTheme="majorBidi" w:cstheme="majorBidi"/>
          <w:iCs/>
          <w:sz w:val="24"/>
          <w:szCs w:val="24"/>
          <w:lang w:val="id-ID"/>
        </w:rPr>
        <w:t>.</w:t>
      </w:r>
      <w:r w:rsidR="007C6EBA"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lang w:val="id-ID"/>
        </w:rPr>
        <w:t xml:space="preserve">Berikut adalah data </w:t>
      </w:r>
      <w:r w:rsidR="00DB4FD7" w:rsidRPr="005279AA">
        <w:rPr>
          <w:rFonts w:asciiTheme="majorBidi" w:eastAsiaTheme="minorEastAsia" w:hAnsiTheme="majorBidi" w:cstheme="majorBidi"/>
          <w:i/>
          <w:sz w:val="24"/>
          <w:szCs w:val="24"/>
          <w:lang w:val="id-ID"/>
        </w:rPr>
        <w:t xml:space="preserve">Debt to Equity Ratio </w:t>
      </w:r>
      <w:r w:rsidR="00DB4FD7" w:rsidRPr="005279AA">
        <w:rPr>
          <w:rFonts w:asciiTheme="majorBidi" w:eastAsiaTheme="minorEastAsia" w:hAnsiTheme="majorBidi" w:cstheme="majorBidi"/>
          <w:iCs/>
          <w:sz w:val="24"/>
          <w:szCs w:val="24"/>
          <w:lang w:val="id-ID"/>
        </w:rPr>
        <w:t>(DER)</w:t>
      </w:r>
      <w:r w:rsidR="00CB3734" w:rsidRPr="005279AA">
        <w:rPr>
          <w:rFonts w:asciiTheme="majorBidi" w:eastAsiaTheme="minorEastAsia" w:hAnsiTheme="majorBidi" w:cstheme="majorBidi"/>
          <w:iCs/>
          <w:sz w:val="24"/>
          <w:szCs w:val="24"/>
        </w:rPr>
        <w:t xml:space="preserve"> </w:t>
      </w:r>
      <w:r w:rsidR="00CB3734" w:rsidRPr="005279AA">
        <w:rPr>
          <w:rFonts w:asciiTheme="majorBidi" w:eastAsiaTheme="minorEastAsia" w:hAnsiTheme="majorBidi" w:cstheme="majorBidi"/>
          <w:iCs/>
          <w:sz w:val="24"/>
          <w:szCs w:val="24"/>
          <w:lang w:val="id-ID"/>
        </w:rPr>
        <w:t xml:space="preserve">dari sampel perusahaan sektor </w:t>
      </w:r>
      <w:r w:rsidR="00CB3734" w:rsidRPr="005279AA">
        <w:rPr>
          <w:rFonts w:asciiTheme="majorBidi" w:eastAsiaTheme="minorEastAsia" w:hAnsiTheme="majorBidi" w:cstheme="majorBidi"/>
          <w:i/>
          <w:sz w:val="24"/>
          <w:szCs w:val="24"/>
          <w:lang w:val="id-ID"/>
        </w:rPr>
        <w:t>consumer non cyclical</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 xml:space="preserve"> yang terdaftar di Bursa Efek Indonesia Tahun 2019-2023:</w:t>
      </w:r>
    </w:p>
    <w:p w14:paraId="29714558" w14:textId="1A559031" w:rsidR="008A7D90" w:rsidRPr="005279AA" w:rsidRDefault="008A7D90"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9</w:t>
      </w:r>
    </w:p>
    <w:p w14:paraId="797E158F" w14:textId="69F815E9" w:rsidR="008A7D90" w:rsidRPr="005279AA" w:rsidRDefault="008A7D90"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Data </w:t>
      </w:r>
      <w:r w:rsidR="00C9764B" w:rsidRPr="005279AA">
        <w:rPr>
          <w:rFonts w:asciiTheme="majorBidi" w:eastAsiaTheme="minorEastAsia" w:hAnsiTheme="majorBidi" w:cstheme="majorBidi"/>
          <w:b/>
          <w:bCs/>
          <w:iCs/>
          <w:sz w:val="24"/>
          <w:szCs w:val="24"/>
          <w:lang w:val="id-ID"/>
        </w:rPr>
        <w:t xml:space="preserve">Leverage </w:t>
      </w:r>
      <w:r w:rsidR="002E456F" w:rsidRPr="005279AA">
        <w:rPr>
          <w:rFonts w:asciiTheme="majorBidi" w:eastAsiaTheme="minorEastAsia" w:hAnsiTheme="majorBidi" w:cstheme="majorBidi"/>
          <w:b/>
          <w:bCs/>
          <w:iCs/>
          <w:sz w:val="24"/>
          <w:szCs w:val="24"/>
          <w:lang w:val="id-ID"/>
        </w:rPr>
        <w:t>Perusahaan Sektor Consumer Non Cyclical</w:t>
      </w:r>
    </w:p>
    <w:p w14:paraId="56A87961" w14:textId="2797378F" w:rsidR="00016289" w:rsidRPr="005279AA" w:rsidRDefault="00D4714E"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Tahun 2019-2023</w:t>
      </w:r>
    </w:p>
    <w:p w14:paraId="4AE81C00" w14:textId="44D08983" w:rsidR="005B4F2E" w:rsidRPr="005B4F2E" w:rsidRDefault="00DE4CD9" w:rsidP="00645E4A">
      <w:pPr>
        <w:pStyle w:val="ListParagraph"/>
        <w:tabs>
          <w:tab w:val="left" w:pos="1701"/>
        </w:tabs>
        <w:spacing w:line="240" w:lineRule="auto"/>
        <w:ind w:left="1080" w:right="3"/>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(dalam persentase %)</w:t>
      </w:r>
    </w:p>
    <w:tbl>
      <w:tblPr>
        <w:tblW w:w="6753" w:type="dxa"/>
        <w:tblInd w:w="1129" w:type="dxa"/>
        <w:tblLook w:val="04A0" w:firstRow="1" w:lastRow="0" w:firstColumn="1" w:lastColumn="0" w:noHBand="0" w:noVBand="1"/>
      </w:tblPr>
      <w:tblGrid>
        <w:gridCol w:w="580"/>
        <w:gridCol w:w="2681"/>
        <w:gridCol w:w="696"/>
        <w:gridCol w:w="700"/>
        <w:gridCol w:w="700"/>
        <w:gridCol w:w="696"/>
        <w:gridCol w:w="700"/>
      </w:tblGrid>
      <w:tr w:rsidR="00B05D21" w:rsidRPr="005279AA" w14:paraId="3FC21C74" w14:textId="77777777" w:rsidTr="00645E4A">
        <w:trPr>
          <w:trHeight w:val="315"/>
          <w:tblHeader/>
        </w:trPr>
        <w:tc>
          <w:tcPr>
            <w:tcW w:w="580" w:type="dxa"/>
            <w:vMerge w:val="restart"/>
            <w:tcBorders>
              <w:top w:val="single" w:sz="4" w:space="0" w:color="auto"/>
              <w:left w:val="single" w:sz="4" w:space="0" w:color="auto"/>
              <w:right w:val="single" w:sz="4" w:space="0" w:color="auto"/>
            </w:tcBorders>
            <w:shd w:val="clear" w:color="auto" w:fill="auto"/>
            <w:noWrap/>
            <w:vAlign w:val="center"/>
          </w:tcPr>
          <w:p w14:paraId="49DBC0D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No</w:t>
            </w:r>
          </w:p>
        </w:tc>
        <w:tc>
          <w:tcPr>
            <w:tcW w:w="2681" w:type="dxa"/>
            <w:vMerge w:val="restart"/>
            <w:tcBorders>
              <w:top w:val="single" w:sz="4" w:space="0" w:color="auto"/>
              <w:left w:val="single" w:sz="4" w:space="0" w:color="auto"/>
              <w:right w:val="single" w:sz="4" w:space="0" w:color="auto"/>
            </w:tcBorders>
            <w:shd w:val="clear" w:color="auto" w:fill="auto"/>
            <w:noWrap/>
            <w:vAlign w:val="center"/>
          </w:tcPr>
          <w:p w14:paraId="0E827B8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Kode Saham</w:t>
            </w:r>
          </w:p>
        </w:tc>
        <w:tc>
          <w:tcPr>
            <w:tcW w:w="34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EC8FDE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Tahun</w:t>
            </w:r>
          </w:p>
        </w:tc>
      </w:tr>
      <w:tr w:rsidR="00B05D21" w:rsidRPr="005279AA" w14:paraId="38EAD12A" w14:textId="77777777" w:rsidTr="00645E4A">
        <w:trPr>
          <w:trHeight w:val="315"/>
          <w:tblHeader/>
        </w:trPr>
        <w:tc>
          <w:tcPr>
            <w:tcW w:w="580" w:type="dxa"/>
            <w:vMerge/>
            <w:tcBorders>
              <w:left w:val="single" w:sz="4" w:space="0" w:color="auto"/>
              <w:bottom w:val="single" w:sz="4" w:space="0" w:color="auto"/>
              <w:right w:val="single" w:sz="4" w:space="0" w:color="auto"/>
            </w:tcBorders>
            <w:shd w:val="clear" w:color="auto" w:fill="auto"/>
            <w:noWrap/>
            <w:vAlign w:val="center"/>
          </w:tcPr>
          <w:p w14:paraId="14CA603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681" w:type="dxa"/>
            <w:vMerge/>
            <w:tcBorders>
              <w:left w:val="single" w:sz="4" w:space="0" w:color="auto"/>
              <w:bottom w:val="single" w:sz="4" w:space="0" w:color="auto"/>
              <w:right w:val="single" w:sz="4" w:space="0" w:color="auto"/>
            </w:tcBorders>
            <w:shd w:val="clear" w:color="auto" w:fill="auto"/>
            <w:noWrap/>
            <w:vAlign w:val="center"/>
          </w:tcPr>
          <w:p w14:paraId="32D8E74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E7B5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C66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B13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95E1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1E1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2023</w:t>
            </w:r>
          </w:p>
        </w:tc>
      </w:tr>
      <w:tr w:rsidR="00B05D21" w:rsidRPr="005279AA" w14:paraId="6FC311AE" w14:textId="77777777" w:rsidTr="00645E4A">
        <w:trPr>
          <w:trHeight w:val="315"/>
        </w:trPr>
        <w:tc>
          <w:tcPr>
            <w:tcW w:w="5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367015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w:t>
            </w:r>
          </w:p>
        </w:tc>
        <w:tc>
          <w:tcPr>
            <w:tcW w:w="2681" w:type="dxa"/>
            <w:tcBorders>
              <w:top w:val="single" w:sz="4" w:space="0" w:color="auto"/>
              <w:left w:val="nil"/>
              <w:bottom w:val="single" w:sz="4" w:space="0" w:color="000000"/>
              <w:right w:val="single" w:sz="4" w:space="0" w:color="000000"/>
            </w:tcBorders>
            <w:shd w:val="clear" w:color="auto" w:fill="auto"/>
            <w:noWrap/>
            <w:vAlign w:val="center"/>
            <w:hideMark/>
          </w:tcPr>
          <w:p w14:paraId="41AA37B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AMRT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88FF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2.49</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128F0A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2.40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AA5B17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1.90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2195871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1.68</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06CFA1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1.18</w:t>
            </w:r>
          </w:p>
        </w:tc>
      </w:tr>
      <w:tr w:rsidR="00B05D21" w:rsidRPr="005279AA" w14:paraId="07936194"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98A2B7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2</w:t>
            </w:r>
          </w:p>
        </w:tc>
        <w:tc>
          <w:tcPr>
            <w:tcW w:w="2681" w:type="dxa"/>
            <w:tcBorders>
              <w:top w:val="nil"/>
              <w:left w:val="nil"/>
              <w:bottom w:val="single" w:sz="4" w:space="0" w:color="000000"/>
              <w:right w:val="single" w:sz="4" w:space="0" w:color="000000"/>
            </w:tcBorders>
            <w:shd w:val="clear" w:color="auto" w:fill="auto"/>
            <w:noWrap/>
            <w:vAlign w:val="center"/>
            <w:hideMark/>
          </w:tcPr>
          <w:p w14:paraId="34B1240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BISI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ABF1CA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0.27</w:t>
            </w:r>
          </w:p>
        </w:tc>
        <w:tc>
          <w:tcPr>
            <w:tcW w:w="700" w:type="dxa"/>
            <w:tcBorders>
              <w:top w:val="nil"/>
              <w:left w:val="nil"/>
              <w:bottom w:val="single" w:sz="4" w:space="0" w:color="auto"/>
              <w:right w:val="single" w:sz="4" w:space="0" w:color="auto"/>
            </w:tcBorders>
            <w:shd w:val="clear" w:color="auto" w:fill="auto"/>
            <w:noWrap/>
            <w:vAlign w:val="center"/>
            <w:hideMark/>
          </w:tcPr>
          <w:p w14:paraId="60BBB1F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0.19</w:t>
            </w:r>
          </w:p>
        </w:tc>
        <w:tc>
          <w:tcPr>
            <w:tcW w:w="700" w:type="dxa"/>
            <w:tcBorders>
              <w:top w:val="nil"/>
              <w:left w:val="nil"/>
              <w:bottom w:val="single" w:sz="4" w:space="0" w:color="auto"/>
              <w:right w:val="single" w:sz="4" w:space="0" w:color="auto"/>
            </w:tcBorders>
            <w:shd w:val="clear" w:color="auto" w:fill="auto"/>
            <w:noWrap/>
            <w:vAlign w:val="center"/>
            <w:hideMark/>
          </w:tcPr>
          <w:p w14:paraId="1BA68B5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0.15</w:t>
            </w:r>
          </w:p>
        </w:tc>
        <w:tc>
          <w:tcPr>
            <w:tcW w:w="696" w:type="dxa"/>
            <w:tcBorders>
              <w:top w:val="nil"/>
              <w:left w:val="nil"/>
              <w:bottom w:val="single" w:sz="4" w:space="0" w:color="auto"/>
              <w:right w:val="single" w:sz="4" w:space="0" w:color="auto"/>
            </w:tcBorders>
            <w:shd w:val="clear" w:color="auto" w:fill="auto"/>
            <w:noWrap/>
            <w:vAlign w:val="center"/>
            <w:hideMark/>
          </w:tcPr>
          <w:p w14:paraId="5F3CA78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0.12</w:t>
            </w:r>
          </w:p>
        </w:tc>
        <w:tc>
          <w:tcPr>
            <w:tcW w:w="700" w:type="dxa"/>
            <w:tcBorders>
              <w:top w:val="nil"/>
              <w:left w:val="nil"/>
              <w:bottom w:val="single" w:sz="4" w:space="0" w:color="auto"/>
              <w:right w:val="single" w:sz="4" w:space="0" w:color="auto"/>
            </w:tcBorders>
            <w:shd w:val="clear" w:color="auto" w:fill="auto"/>
            <w:noWrap/>
            <w:vAlign w:val="center"/>
            <w:hideMark/>
          </w:tcPr>
          <w:p w14:paraId="34F3C9D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0.13</w:t>
            </w:r>
          </w:p>
        </w:tc>
      </w:tr>
      <w:tr w:rsidR="00B05D21" w:rsidRPr="005279AA" w14:paraId="61C4C175"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1312C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3</w:t>
            </w:r>
          </w:p>
        </w:tc>
        <w:tc>
          <w:tcPr>
            <w:tcW w:w="2681" w:type="dxa"/>
            <w:tcBorders>
              <w:top w:val="nil"/>
              <w:left w:val="nil"/>
              <w:bottom w:val="single" w:sz="4" w:space="0" w:color="000000"/>
              <w:right w:val="single" w:sz="4" w:space="0" w:color="000000"/>
            </w:tcBorders>
            <w:shd w:val="clear" w:color="auto" w:fill="auto"/>
            <w:noWrap/>
            <w:vAlign w:val="center"/>
            <w:hideMark/>
          </w:tcPr>
          <w:p w14:paraId="42C435F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BUDI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C57C84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1.33</w:t>
            </w:r>
          </w:p>
        </w:tc>
        <w:tc>
          <w:tcPr>
            <w:tcW w:w="700" w:type="dxa"/>
            <w:tcBorders>
              <w:top w:val="nil"/>
              <w:left w:val="nil"/>
              <w:bottom w:val="single" w:sz="4" w:space="0" w:color="auto"/>
              <w:right w:val="single" w:sz="4" w:space="0" w:color="auto"/>
            </w:tcBorders>
            <w:shd w:val="clear" w:color="auto" w:fill="auto"/>
            <w:noWrap/>
            <w:vAlign w:val="center"/>
            <w:hideMark/>
          </w:tcPr>
          <w:p w14:paraId="4EAB53C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1.24</w:t>
            </w:r>
          </w:p>
        </w:tc>
        <w:tc>
          <w:tcPr>
            <w:tcW w:w="700" w:type="dxa"/>
            <w:tcBorders>
              <w:top w:val="nil"/>
              <w:left w:val="nil"/>
              <w:bottom w:val="single" w:sz="4" w:space="0" w:color="auto"/>
              <w:right w:val="single" w:sz="4" w:space="0" w:color="auto"/>
            </w:tcBorders>
            <w:shd w:val="clear" w:color="auto" w:fill="auto"/>
            <w:noWrap/>
            <w:vAlign w:val="center"/>
            <w:hideMark/>
          </w:tcPr>
          <w:p w14:paraId="1DBA39F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1.16</w:t>
            </w:r>
          </w:p>
        </w:tc>
        <w:tc>
          <w:tcPr>
            <w:tcW w:w="696" w:type="dxa"/>
            <w:tcBorders>
              <w:top w:val="nil"/>
              <w:left w:val="nil"/>
              <w:bottom w:val="single" w:sz="4" w:space="0" w:color="auto"/>
              <w:right w:val="single" w:sz="4" w:space="0" w:color="auto"/>
            </w:tcBorders>
            <w:shd w:val="clear" w:color="auto" w:fill="auto"/>
            <w:noWrap/>
            <w:vAlign w:val="center"/>
            <w:hideMark/>
          </w:tcPr>
          <w:p w14:paraId="0C4D5F9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1.20</w:t>
            </w:r>
          </w:p>
        </w:tc>
        <w:tc>
          <w:tcPr>
            <w:tcW w:w="700" w:type="dxa"/>
            <w:tcBorders>
              <w:top w:val="nil"/>
              <w:left w:val="nil"/>
              <w:bottom w:val="single" w:sz="4" w:space="0" w:color="auto"/>
              <w:right w:val="single" w:sz="4" w:space="0" w:color="auto"/>
            </w:tcBorders>
            <w:shd w:val="clear" w:color="auto" w:fill="auto"/>
            <w:noWrap/>
            <w:vAlign w:val="center"/>
            <w:hideMark/>
          </w:tcPr>
          <w:p w14:paraId="0F58EE9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1.09</w:t>
            </w:r>
          </w:p>
        </w:tc>
      </w:tr>
      <w:tr w:rsidR="00B05D21" w:rsidRPr="005279AA" w14:paraId="7019412C"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43E99B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4</w:t>
            </w:r>
          </w:p>
        </w:tc>
        <w:tc>
          <w:tcPr>
            <w:tcW w:w="2681" w:type="dxa"/>
            <w:tcBorders>
              <w:top w:val="nil"/>
              <w:left w:val="nil"/>
              <w:bottom w:val="single" w:sz="4" w:space="0" w:color="000000"/>
              <w:right w:val="single" w:sz="4" w:space="0" w:color="000000"/>
            </w:tcBorders>
            <w:shd w:val="clear" w:color="auto" w:fill="auto"/>
            <w:noWrap/>
            <w:vAlign w:val="center"/>
            <w:hideMark/>
          </w:tcPr>
          <w:p w14:paraId="009BF71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CEKA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A641A7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0.23</w:t>
            </w:r>
          </w:p>
        </w:tc>
        <w:tc>
          <w:tcPr>
            <w:tcW w:w="700" w:type="dxa"/>
            <w:tcBorders>
              <w:top w:val="nil"/>
              <w:left w:val="nil"/>
              <w:bottom w:val="single" w:sz="4" w:space="0" w:color="auto"/>
              <w:right w:val="single" w:sz="4" w:space="0" w:color="auto"/>
            </w:tcBorders>
            <w:shd w:val="clear" w:color="auto" w:fill="auto"/>
            <w:noWrap/>
            <w:vAlign w:val="center"/>
            <w:hideMark/>
          </w:tcPr>
          <w:p w14:paraId="6D58BFB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0.24</w:t>
            </w:r>
          </w:p>
        </w:tc>
        <w:tc>
          <w:tcPr>
            <w:tcW w:w="700" w:type="dxa"/>
            <w:tcBorders>
              <w:top w:val="nil"/>
              <w:left w:val="nil"/>
              <w:bottom w:val="single" w:sz="4" w:space="0" w:color="auto"/>
              <w:right w:val="single" w:sz="4" w:space="0" w:color="auto"/>
            </w:tcBorders>
            <w:shd w:val="clear" w:color="auto" w:fill="auto"/>
            <w:noWrap/>
            <w:vAlign w:val="center"/>
            <w:hideMark/>
          </w:tcPr>
          <w:p w14:paraId="00BEDAF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0.22</w:t>
            </w:r>
          </w:p>
        </w:tc>
        <w:tc>
          <w:tcPr>
            <w:tcW w:w="696" w:type="dxa"/>
            <w:tcBorders>
              <w:top w:val="nil"/>
              <w:left w:val="nil"/>
              <w:bottom w:val="single" w:sz="4" w:space="0" w:color="auto"/>
              <w:right w:val="single" w:sz="4" w:space="0" w:color="auto"/>
            </w:tcBorders>
            <w:shd w:val="clear" w:color="auto" w:fill="auto"/>
            <w:noWrap/>
            <w:vAlign w:val="center"/>
            <w:hideMark/>
          </w:tcPr>
          <w:p w14:paraId="34E324B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0.11</w:t>
            </w:r>
          </w:p>
        </w:tc>
        <w:tc>
          <w:tcPr>
            <w:tcW w:w="700" w:type="dxa"/>
            <w:tcBorders>
              <w:top w:val="nil"/>
              <w:left w:val="nil"/>
              <w:bottom w:val="single" w:sz="4" w:space="0" w:color="auto"/>
              <w:right w:val="single" w:sz="4" w:space="0" w:color="auto"/>
            </w:tcBorders>
            <w:shd w:val="clear" w:color="auto" w:fill="auto"/>
            <w:noWrap/>
            <w:vAlign w:val="center"/>
            <w:hideMark/>
          </w:tcPr>
          <w:p w14:paraId="0903C13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0.15</w:t>
            </w:r>
          </w:p>
        </w:tc>
      </w:tr>
      <w:tr w:rsidR="00B05D21" w:rsidRPr="005279AA" w14:paraId="744E008D"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3E62EC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5</w:t>
            </w:r>
          </w:p>
        </w:tc>
        <w:tc>
          <w:tcPr>
            <w:tcW w:w="2681" w:type="dxa"/>
            <w:tcBorders>
              <w:top w:val="nil"/>
              <w:left w:val="nil"/>
              <w:bottom w:val="single" w:sz="4" w:space="0" w:color="000000"/>
              <w:right w:val="single" w:sz="4" w:space="0" w:color="000000"/>
            </w:tcBorders>
            <w:shd w:val="clear" w:color="auto" w:fill="auto"/>
            <w:noWrap/>
            <w:vAlign w:val="center"/>
            <w:hideMark/>
          </w:tcPr>
          <w:p w14:paraId="009D7F3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CPIN</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525D1D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0.39</w:t>
            </w:r>
          </w:p>
        </w:tc>
        <w:tc>
          <w:tcPr>
            <w:tcW w:w="700" w:type="dxa"/>
            <w:tcBorders>
              <w:top w:val="nil"/>
              <w:left w:val="nil"/>
              <w:bottom w:val="single" w:sz="4" w:space="0" w:color="auto"/>
              <w:right w:val="single" w:sz="4" w:space="0" w:color="auto"/>
            </w:tcBorders>
            <w:shd w:val="clear" w:color="auto" w:fill="auto"/>
            <w:noWrap/>
            <w:vAlign w:val="center"/>
            <w:hideMark/>
          </w:tcPr>
          <w:p w14:paraId="06F0312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0.33</w:t>
            </w:r>
          </w:p>
        </w:tc>
        <w:tc>
          <w:tcPr>
            <w:tcW w:w="700" w:type="dxa"/>
            <w:tcBorders>
              <w:top w:val="nil"/>
              <w:left w:val="nil"/>
              <w:bottom w:val="single" w:sz="4" w:space="0" w:color="auto"/>
              <w:right w:val="single" w:sz="4" w:space="0" w:color="auto"/>
            </w:tcBorders>
            <w:shd w:val="clear" w:color="auto" w:fill="auto"/>
            <w:noWrap/>
            <w:vAlign w:val="center"/>
            <w:hideMark/>
          </w:tcPr>
          <w:p w14:paraId="479A507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0.41</w:t>
            </w:r>
          </w:p>
        </w:tc>
        <w:tc>
          <w:tcPr>
            <w:tcW w:w="696" w:type="dxa"/>
            <w:tcBorders>
              <w:top w:val="nil"/>
              <w:left w:val="nil"/>
              <w:bottom w:val="single" w:sz="4" w:space="0" w:color="auto"/>
              <w:right w:val="single" w:sz="4" w:space="0" w:color="auto"/>
            </w:tcBorders>
            <w:shd w:val="clear" w:color="auto" w:fill="auto"/>
            <w:noWrap/>
            <w:vAlign w:val="center"/>
            <w:hideMark/>
          </w:tcPr>
          <w:p w14:paraId="060CC1C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0.51</w:t>
            </w:r>
          </w:p>
        </w:tc>
        <w:tc>
          <w:tcPr>
            <w:tcW w:w="700" w:type="dxa"/>
            <w:tcBorders>
              <w:top w:val="nil"/>
              <w:left w:val="nil"/>
              <w:bottom w:val="single" w:sz="4" w:space="0" w:color="auto"/>
              <w:right w:val="single" w:sz="4" w:space="0" w:color="auto"/>
            </w:tcBorders>
            <w:shd w:val="clear" w:color="auto" w:fill="auto"/>
            <w:noWrap/>
            <w:vAlign w:val="center"/>
            <w:hideMark/>
          </w:tcPr>
          <w:p w14:paraId="3272AC7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0.52</w:t>
            </w:r>
          </w:p>
        </w:tc>
      </w:tr>
      <w:tr w:rsidR="00B05D21" w:rsidRPr="005279AA" w14:paraId="2A32BAFC"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F78267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6</w:t>
            </w:r>
          </w:p>
        </w:tc>
        <w:tc>
          <w:tcPr>
            <w:tcW w:w="2681" w:type="dxa"/>
            <w:tcBorders>
              <w:top w:val="nil"/>
              <w:left w:val="nil"/>
              <w:bottom w:val="single" w:sz="4" w:space="0" w:color="000000"/>
              <w:right w:val="single" w:sz="4" w:space="0" w:color="000000"/>
            </w:tcBorders>
            <w:shd w:val="clear" w:color="auto" w:fill="auto"/>
            <w:noWrap/>
            <w:vAlign w:val="center"/>
            <w:hideMark/>
          </w:tcPr>
          <w:p w14:paraId="6F67BBC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ICBP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99ABAF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0.45</w:t>
            </w:r>
          </w:p>
        </w:tc>
        <w:tc>
          <w:tcPr>
            <w:tcW w:w="700" w:type="dxa"/>
            <w:tcBorders>
              <w:top w:val="nil"/>
              <w:left w:val="nil"/>
              <w:bottom w:val="single" w:sz="4" w:space="0" w:color="auto"/>
              <w:right w:val="single" w:sz="4" w:space="0" w:color="auto"/>
            </w:tcBorders>
            <w:shd w:val="clear" w:color="auto" w:fill="auto"/>
            <w:noWrap/>
            <w:vAlign w:val="center"/>
            <w:hideMark/>
          </w:tcPr>
          <w:p w14:paraId="4002BC0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1.06</w:t>
            </w:r>
          </w:p>
        </w:tc>
        <w:tc>
          <w:tcPr>
            <w:tcW w:w="700" w:type="dxa"/>
            <w:tcBorders>
              <w:top w:val="nil"/>
              <w:left w:val="nil"/>
              <w:bottom w:val="single" w:sz="4" w:space="0" w:color="auto"/>
              <w:right w:val="single" w:sz="4" w:space="0" w:color="auto"/>
            </w:tcBorders>
            <w:shd w:val="clear" w:color="auto" w:fill="auto"/>
            <w:noWrap/>
            <w:vAlign w:val="center"/>
            <w:hideMark/>
          </w:tcPr>
          <w:p w14:paraId="43F4BBA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1.15</w:t>
            </w:r>
          </w:p>
        </w:tc>
        <w:tc>
          <w:tcPr>
            <w:tcW w:w="696" w:type="dxa"/>
            <w:tcBorders>
              <w:top w:val="nil"/>
              <w:left w:val="nil"/>
              <w:bottom w:val="single" w:sz="4" w:space="0" w:color="auto"/>
              <w:right w:val="single" w:sz="4" w:space="0" w:color="auto"/>
            </w:tcBorders>
            <w:shd w:val="clear" w:color="auto" w:fill="auto"/>
            <w:noWrap/>
            <w:vAlign w:val="center"/>
            <w:hideMark/>
          </w:tcPr>
          <w:p w14:paraId="1ECFBE5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1.01</w:t>
            </w:r>
          </w:p>
        </w:tc>
        <w:tc>
          <w:tcPr>
            <w:tcW w:w="700" w:type="dxa"/>
            <w:tcBorders>
              <w:top w:val="nil"/>
              <w:left w:val="nil"/>
              <w:bottom w:val="single" w:sz="4" w:space="0" w:color="auto"/>
              <w:right w:val="single" w:sz="4" w:space="0" w:color="auto"/>
            </w:tcBorders>
            <w:shd w:val="clear" w:color="auto" w:fill="auto"/>
            <w:noWrap/>
            <w:vAlign w:val="center"/>
            <w:hideMark/>
          </w:tcPr>
          <w:p w14:paraId="22C63D8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0.92</w:t>
            </w:r>
          </w:p>
        </w:tc>
      </w:tr>
      <w:tr w:rsidR="00B05D21" w:rsidRPr="005279AA" w14:paraId="64E5B490"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73C1AB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7</w:t>
            </w:r>
          </w:p>
        </w:tc>
        <w:tc>
          <w:tcPr>
            <w:tcW w:w="2681" w:type="dxa"/>
            <w:tcBorders>
              <w:top w:val="nil"/>
              <w:left w:val="nil"/>
              <w:bottom w:val="single" w:sz="4" w:space="0" w:color="000000"/>
              <w:right w:val="single" w:sz="4" w:space="0" w:color="000000"/>
            </w:tcBorders>
            <w:shd w:val="clear" w:color="auto" w:fill="auto"/>
            <w:noWrap/>
            <w:vAlign w:val="center"/>
            <w:hideMark/>
          </w:tcPr>
          <w:p w14:paraId="57D95E5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INDF</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904AEE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0.77</w:t>
            </w:r>
          </w:p>
        </w:tc>
        <w:tc>
          <w:tcPr>
            <w:tcW w:w="700" w:type="dxa"/>
            <w:tcBorders>
              <w:top w:val="nil"/>
              <w:left w:val="nil"/>
              <w:bottom w:val="single" w:sz="4" w:space="0" w:color="auto"/>
              <w:right w:val="single" w:sz="4" w:space="0" w:color="auto"/>
            </w:tcBorders>
            <w:shd w:val="clear" w:color="auto" w:fill="auto"/>
            <w:noWrap/>
            <w:vAlign w:val="center"/>
            <w:hideMark/>
          </w:tcPr>
          <w:p w14:paraId="53B7C85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1.06</w:t>
            </w:r>
          </w:p>
        </w:tc>
        <w:tc>
          <w:tcPr>
            <w:tcW w:w="700" w:type="dxa"/>
            <w:tcBorders>
              <w:top w:val="nil"/>
              <w:left w:val="nil"/>
              <w:bottom w:val="single" w:sz="4" w:space="0" w:color="auto"/>
              <w:right w:val="single" w:sz="4" w:space="0" w:color="auto"/>
            </w:tcBorders>
            <w:shd w:val="clear" w:color="auto" w:fill="auto"/>
            <w:noWrap/>
            <w:vAlign w:val="center"/>
            <w:hideMark/>
          </w:tcPr>
          <w:p w14:paraId="4C8C757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1.06</w:t>
            </w:r>
          </w:p>
        </w:tc>
        <w:tc>
          <w:tcPr>
            <w:tcW w:w="696" w:type="dxa"/>
            <w:tcBorders>
              <w:top w:val="nil"/>
              <w:left w:val="nil"/>
              <w:bottom w:val="single" w:sz="4" w:space="0" w:color="auto"/>
              <w:right w:val="single" w:sz="4" w:space="0" w:color="auto"/>
            </w:tcBorders>
            <w:shd w:val="clear" w:color="auto" w:fill="auto"/>
            <w:noWrap/>
            <w:vAlign w:val="center"/>
            <w:hideMark/>
          </w:tcPr>
          <w:p w14:paraId="438305E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0.93</w:t>
            </w:r>
          </w:p>
        </w:tc>
        <w:tc>
          <w:tcPr>
            <w:tcW w:w="700" w:type="dxa"/>
            <w:tcBorders>
              <w:top w:val="nil"/>
              <w:left w:val="nil"/>
              <w:bottom w:val="single" w:sz="4" w:space="0" w:color="auto"/>
              <w:right w:val="single" w:sz="4" w:space="0" w:color="auto"/>
            </w:tcBorders>
            <w:shd w:val="clear" w:color="auto" w:fill="auto"/>
            <w:noWrap/>
            <w:vAlign w:val="center"/>
            <w:hideMark/>
          </w:tcPr>
          <w:p w14:paraId="14859D0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0.86</w:t>
            </w:r>
          </w:p>
        </w:tc>
      </w:tr>
      <w:tr w:rsidR="00B05D21" w:rsidRPr="005279AA" w14:paraId="351CC3A7"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B4CD9C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8</w:t>
            </w:r>
          </w:p>
        </w:tc>
        <w:tc>
          <w:tcPr>
            <w:tcW w:w="2681" w:type="dxa"/>
            <w:tcBorders>
              <w:top w:val="nil"/>
              <w:left w:val="nil"/>
              <w:bottom w:val="single" w:sz="4" w:space="0" w:color="000000"/>
              <w:right w:val="single" w:sz="4" w:space="0" w:color="000000"/>
            </w:tcBorders>
            <w:shd w:val="clear" w:color="auto" w:fill="auto"/>
            <w:noWrap/>
            <w:vAlign w:val="center"/>
            <w:hideMark/>
          </w:tcPr>
          <w:p w14:paraId="2E4C26A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JPFA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A73895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1.24</w:t>
            </w:r>
          </w:p>
        </w:tc>
        <w:tc>
          <w:tcPr>
            <w:tcW w:w="700" w:type="dxa"/>
            <w:tcBorders>
              <w:top w:val="nil"/>
              <w:left w:val="nil"/>
              <w:bottom w:val="single" w:sz="4" w:space="0" w:color="auto"/>
              <w:right w:val="single" w:sz="4" w:space="0" w:color="auto"/>
            </w:tcBorders>
            <w:shd w:val="clear" w:color="auto" w:fill="auto"/>
            <w:noWrap/>
            <w:vAlign w:val="center"/>
            <w:hideMark/>
          </w:tcPr>
          <w:p w14:paraId="7D68C30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1.27</w:t>
            </w:r>
          </w:p>
        </w:tc>
        <w:tc>
          <w:tcPr>
            <w:tcW w:w="700" w:type="dxa"/>
            <w:tcBorders>
              <w:top w:val="nil"/>
              <w:left w:val="nil"/>
              <w:bottom w:val="single" w:sz="4" w:space="0" w:color="auto"/>
              <w:right w:val="single" w:sz="4" w:space="0" w:color="auto"/>
            </w:tcBorders>
            <w:shd w:val="clear" w:color="auto" w:fill="auto"/>
            <w:noWrap/>
            <w:vAlign w:val="center"/>
            <w:hideMark/>
          </w:tcPr>
          <w:p w14:paraId="370F612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1.18</w:t>
            </w:r>
          </w:p>
        </w:tc>
        <w:tc>
          <w:tcPr>
            <w:tcW w:w="696" w:type="dxa"/>
            <w:tcBorders>
              <w:top w:val="nil"/>
              <w:left w:val="nil"/>
              <w:bottom w:val="single" w:sz="4" w:space="0" w:color="auto"/>
              <w:right w:val="single" w:sz="4" w:space="0" w:color="auto"/>
            </w:tcBorders>
            <w:shd w:val="clear" w:color="auto" w:fill="auto"/>
            <w:noWrap/>
            <w:vAlign w:val="center"/>
            <w:hideMark/>
          </w:tcPr>
          <w:p w14:paraId="640FCFA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1.39</w:t>
            </w:r>
          </w:p>
        </w:tc>
        <w:tc>
          <w:tcPr>
            <w:tcW w:w="700" w:type="dxa"/>
            <w:tcBorders>
              <w:top w:val="nil"/>
              <w:left w:val="nil"/>
              <w:bottom w:val="single" w:sz="4" w:space="0" w:color="auto"/>
              <w:right w:val="single" w:sz="4" w:space="0" w:color="auto"/>
            </w:tcBorders>
            <w:shd w:val="clear" w:color="auto" w:fill="auto"/>
            <w:noWrap/>
            <w:vAlign w:val="center"/>
            <w:hideMark/>
          </w:tcPr>
          <w:p w14:paraId="4D9DADA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1.41</w:t>
            </w:r>
          </w:p>
        </w:tc>
      </w:tr>
      <w:tr w:rsidR="00B05D21" w:rsidRPr="005279AA" w14:paraId="7E269111"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B8AB68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9</w:t>
            </w:r>
          </w:p>
        </w:tc>
        <w:tc>
          <w:tcPr>
            <w:tcW w:w="2681" w:type="dxa"/>
            <w:tcBorders>
              <w:top w:val="nil"/>
              <w:left w:val="nil"/>
              <w:bottom w:val="single" w:sz="4" w:space="0" w:color="000000"/>
              <w:right w:val="single" w:sz="4" w:space="0" w:color="000000"/>
            </w:tcBorders>
            <w:shd w:val="clear" w:color="auto" w:fill="auto"/>
            <w:noWrap/>
            <w:vAlign w:val="center"/>
            <w:hideMark/>
          </w:tcPr>
          <w:p w14:paraId="0389699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LSIP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9A43B5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0.20</w:t>
            </w:r>
          </w:p>
        </w:tc>
        <w:tc>
          <w:tcPr>
            <w:tcW w:w="700" w:type="dxa"/>
            <w:tcBorders>
              <w:top w:val="nil"/>
              <w:left w:val="nil"/>
              <w:bottom w:val="single" w:sz="4" w:space="0" w:color="auto"/>
              <w:right w:val="single" w:sz="4" w:space="0" w:color="auto"/>
            </w:tcBorders>
            <w:shd w:val="clear" w:color="auto" w:fill="auto"/>
            <w:noWrap/>
            <w:vAlign w:val="center"/>
            <w:hideMark/>
          </w:tcPr>
          <w:p w14:paraId="3C864E8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0.18</w:t>
            </w:r>
          </w:p>
        </w:tc>
        <w:tc>
          <w:tcPr>
            <w:tcW w:w="700" w:type="dxa"/>
            <w:tcBorders>
              <w:top w:val="nil"/>
              <w:left w:val="nil"/>
              <w:bottom w:val="single" w:sz="4" w:space="0" w:color="auto"/>
              <w:right w:val="single" w:sz="4" w:space="0" w:color="auto"/>
            </w:tcBorders>
            <w:shd w:val="clear" w:color="auto" w:fill="auto"/>
            <w:noWrap/>
            <w:vAlign w:val="center"/>
            <w:hideMark/>
          </w:tcPr>
          <w:p w14:paraId="077E7E0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0.16</w:t>
            </w:r>
          </w:p>
        </w:tc>
        <w:tc>
          <w:tcPr>
            <w:tcW w:w="696" w:type="dxa"/>
            <w:tcBorders>
              <w:top w:val="nil"/>
              <w:left w:val="nil"/>
              <w:bottom w:val="single" w:sz="4" w:space="0" w:color="auto"/>
              <w:right w:val="single" w:sz="4" w:space="0" w:color="auto"/>
            </w:tcBorders>
            <w:shd w:val="clear" w:color="auto" w:fill="auto"/>
            <w:noWrap/>
            <w:vAlign w:val="center"/>
            <w:hideMark/>
          </w:tcPr>
          <w:p w14:paraId="1AB5EA9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0.14</w:t>
            </w:r>
          </w:p>
        </w:tc>
        <w:tc>
          <w:tcPr>
            <w:tcW w:w="700" w:type="dxa"/>
            <w:tcBorders>
              <w:top w:val="nil"/>
              <w:left w:val="nil"/>
              <w:bottom w:val="single" w:sz="4" w:space="0" w:color="auto"/>
              <w:right w:val="single" w:sz="4" w:space="0" w:color="auto"/>
            </w:tcBorders>
            <w:shd w:val="clear" w:color="auto" w:fill="auto"/>
            <w:noWrap/>
            <w:vAlign w:val="center"/>
            <w:hideMark/>
          </w:tcPr>
          <w:p w14:paraId="4FF4D1E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0.10</w:t>
            </w:r>
          </w:p>
        </w:tc>
      </w:tr>
      <w:tr w:rsidR="00B05D21" w:rsidRPr="005279AA" w14:paraId="246A9AF6"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89831D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10</w:t>
            </w:r>
          </w:p>
        </w:tc>
        <w:tc>
          <w:tcPr>
            <w:tcW w:w="2681" w:type="dxa"/>
            <w:tcBorders>
              <w:top w:val="nil"/>
              <w:left w:val="nil"/>
              <w:bottom w:val="single" w:sz="4" w:space="0" w:color="000000"/>
              <w:right w:val="single" w:sz="4" w:space="0" w:color="000000"/>
            </w:tcBorders>
            <w:shd w:val="clear" w:color="auto" w:fill="auto"/>
            <w:noWrap/>
            <w:vAlign w:val="center"/>
            <w:hideMark/>
          </w:tcPr>
          <w:p w14:paraId="71BBBD1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MYOR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A532FD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745E51F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0.75</w:t>
            </w:r>
          </w:p>
        </w:tc>
        <w:tc>
          <w:tcPr>
            <w:tcW w:w="700" w:type="dxa"/>
            <w:tcBorders>
              <w:top w:val="nil"/>
              <w:left w:val="nil"/>
              <w:bottom w:val="single" w:sz="4" w:space="0" w:color="auto"/>
              <w:right w:val="single" w:sz="4" w:space="0" w:color="auto"/>
            </w:tcBorders>
            <w:shd w:val="clear" w:color="auto" w:fill="auto"/>
            <w:noWrap/>
            <w:vAlign w:val="center"/>
            <w:hideMark/>
          </w:tcPr>
          <w:p w14:paraId="617A95C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0.75</w:t>
            </w:r>
          </w:p>
        </w:tc>
        <w:tc>
          <w:tcPr>
            <w:tcW w:w="696" w:type="dxa"/>
            <w:tcBorders>
              <w:top w:val="nil"/>
              <w:left w:val="nil"/>
              <w:bottom w:val="single" w:sz="4" w:space="0" w:color="auto"/>
              <w:right w:val="single" w:sz="4" w:space="0" w:color="auto"/>
            </w:tcBorders>
            <w:shd w:val="clear" w:color="auto" w:fill="auto"/>
            <w:noWrap/>
            <w:vAlign w:val="center"/>
            <w:hideMark/>
          </w:tcPr>
          <w:p w14:paraId="36D06CE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0.74</w:t>
            </w:r>
          </w:p>
        </w:tc>
        <w:tc>
          <w:tcPr>
            <w:tcW w:w="700" w:type="dxa"/>
            <w:tcBorders>
              <w:top w:val="nil"/>
              <w:left w:val="nil"/>
              <w:bottom w:val="single" w:sz="4" w:space="0" w:color="auto"/>
              <w:right w:val="single" w:sz="4" w:space="0" w:color="auto"/>
            </w:tcBorders>
            <w:shd w:val="clear" w:color="auto" w:fill="auto"/>
            <w:noWrap/>
            <w:vAlign w:val="center"/>
            <w:hideMark/>
          </w:tcPr>
          <w:p w14:paraId="74EF891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0.56</w:t>
            </w:r>
          </w:p>
        </w:tc>
      </w:tr>
      <w:tr w:rsidR="00B05D21" w:rsidRPr="005279AA" w14:paraId="52B3F4D1"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8C788F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11</w:t>
            </w:r>
          </w:p>
        </w:tc>
        <w:tc>
          <w:tcPr>
            <w:tcW w:w="2681" w:type="dxa"/>
            <w:tcBorders>
              <w:top w:val="nil"/>
              <w:left w:val="nil"/>
              <w:bottom w:val="single" w:sz="4" w:space="0" w:color="000000"/>
              <w:right w:val="single" w:sz="4" w:space="0" w:color="000000"/>
            </w:tcBorders>
            <w:shd w:val="clear" w:color="auto" w:fill="auto"/>
            <w:noWrap/>
            <w:vAlign w:val="center"/>
            <w:hideMark/>
          </w:tcPr>
          <w:p w14:paraId="09DF1F8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SDPC</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FC9AB8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4.23</w:t>
            </w:r>
          </w:p>
        </w:tc>
        <w:tc>
          <w:tcPr>
            <w:tcW w:w="700" w:type="dxa"/>
            <w:tcBorders>
              <w:top w:val="nil"/>
              <w:left w:val="nil"/>
              <w:bottom w:val="single" w:sz="4" w:space="0" w:color="auto"/>
              <w:right w:val="single" w:sz="4" w:space="0" w:color="auto"/>
            </w:tcBorders>
            <w:shd w:val="clear" w:color="auto" w:fill="auto"/>
            <w:noWrap/>
            <w:vAlign w:val="center"/>
            <w:hideMark/>
          </w:tcPr>
          <w:p w14:paraId="06C53A7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4.08</w:t>
            </w:r>
          </w:p>
        </w:tc>
        <w:tc>
          <w:tcPr>
            <w:tcW w:w="700" w:type="dxa"/>
            <w:tcBorders>
              <w:top w:val="nil"/>
              <w:left w:val="nil"/>
              <w:bottom w:val="single" w:sz="4" w:space="0" w:color="auto"/>
              <w:right w:val="single" w:sz="4" w:space="0" w:color="auto"/>
            </w:tcBorders>
            <w:shd w:val="clear" w:color="auto" w:fill="auto"/>
            <w:noWrap/>
            <w:vAlign w:val="center"/>
            <w:hideMark/>
          </w:tcPr>
          <w:p w14:paraId="5760054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4.09</w:t>
            </w:r>
          </w:p>
        </w:tc>
        <w:tc>
          <w:tcPr>
            <w:tcW w:w="696" w:type="dxa"/>
            <w:tcBorders>
              <w:top w:val="nil"/>
              <w:left w:val="nil"/>
              <w:bottom w:val="single" w:sz="4" w:space="0" w:color="auto"/>
              <w:right w:val="single" w:sz="4" w:space="0" w:color="auto"/>
            </w:tcBorders>
            <w:shd w:val="clear" w:color="auto" w:fill="auto"/>
            <w:noWrap/>
            <w:vAlign w:val="center"/>
            <w:hideMark/>
          </w:tcPr>
          <w:p w14:paraId="19B8254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4.41</w:t>
            </w:r>
          </w:p>
        </w:tc>
        <w:tc>
          <w:tcPr>
            <w:tcW w:w="700" w:type="dxa"/>
            <w:tcBorders>
              <w:top w:val="nil"/>
              <w:left w:val="nil"/>
              <w:bottom w:val="single" w:sz="4" w:space="0" w:color="auto"/>
              <w:right w:val="single" w:sz="4" w:space="0" w:color="auto"/>
            </w:tcBorders>
            <w:shd w:val="clear" w:color="auto" w:fill="auto"/>
            <w:noWrap/>
            <w:vAlign w:val="center"/>
            <w:hideMark/>
          </w:tcPr>
          <w:p w14:paraId="487BDC0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4.90</w:t>
            </w:r>
          </w:p>
        </w:tc>
      </w:tr>
      <w:tr w:rsidR="00B05D21" w:rsidRPr="005279AA" w14:paraId="1C4D6BE1"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CC3E9B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12</w:t>
            </w:r>
          </w:p>
        </w:tc>
        <w:tc>
          <w:tcPr>
            <w:tcW w:w="2681" w:type="dxa"/>
            <w:tcBorders>
              <w:top w:val="nil"/>
              <w:left w:val="nil"/>
              <w:bottom w:val="single" w:sz="4" w:space="0" w:color="000000"/>
              <w:right w:val="single" w:sz="4" w:space="0" w:color="000000"/>
            </w:tcBorders>
            <w:shd w:val="clear" w:color="auto" w:fill="auto"/>
            <w:noWrap/>
            <w:vAlign w:val="center"/>
            <w:hideMark/>
          </w:tcPr>
          <w:p w14:paraId="62E8F72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TBLA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E5D7FF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2.24</w:t>
            </w:r>
          </w:p>
        </w:tc>
        <w:tc>
          <w:tcPr>
            <w:tcW w:w="700" w:type="dxa"/>
            <w:tcBorders>
              <w:top w:val="nil"/>
              <w:left w:val="nil"/>
              <w:bottom w:val="single" w:sz="4" w:space="0" w:color="auto"/>
              <w:right w:val="single" w:sz="4" w:space="0" w:color="auto"/>
            </w:tcBorders>
            <w:shd w:val="clear" w:color="auto" w:fill="auto"/>
            <w:noWrap/>
            <w:vAlign w:val="center"/>
            <w:hideMark/>
          </w:tcPr>
          <w:p w14:paraId="0401D09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2.30</w:t>
            </w:r>
          </w:p>
        </w:tc>
        <w:tc>
          <w:tcPr>
            <w:tcW w:w="700" w:type="dxa"/>
            <w:tcBorders>
              <w:top w:val="nil"/>
              <w:left w:val="nil"/>
              <w:bottom w:val="single" w:sz="4" w:space="0" w:color="auto"/>
              <w:right w:val="single" w:sz="4" w:space="0" w:color="auto"/>
            </w:tcBorders>
            <w:shd w:val="clear" w:color="auto" w:fill="auto"/>
            <w:noWrap/>
            <w:vAlign w:val="center"/>
            <w:hideMark/>
          </w:tcPr>
          <w:p w14:paraId="54ABDF6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2.25</w:t>
            </w:r>
          </w:p>
        </w:tc>
        <w:tc>
          <w:tcPr>
            <w:tcW w:w="696" w:type="dxa"/>
            <w:tcBorders>
              <w:top w:val="nil"/>
              <w:left w:val="nil"/>
              <w:bottom w:val="single" w:sz="4" w:space="0" w:color="auto"/>
              <w:right w:val="single" w:sz="4" w:space="0" w:color="auto"/>
            </w:tcBorders>
            <w:shd w:val="clear" w:color="auto" w:fill="auto"/>
            <w:noWrap/>
            <w:vAlign w:val="center"/>
            <w:hideMark/>
          </w:tcPr>
          <w:p w14:paraId="60A5AB1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2.46</w:t>
            </w:r>
          </w:p>
        </w:tc>
        <w:tc>
          <w:tcPr>
            <w:tcW w:w="700" w:type="dxa"/>
            <w:tcBorders>
              <w:top w:val="nil"/>
              <w:left w:val="nil"/>
              <w:bottom w:val="single" w:sz="4" w:space="0" w:color="auto"/>
              <w:right w:val="single" w:sz="4" w:space="0" w:color="auto"/>
            </w:tcBorders>
            <w:shd w:val="clear" w:color="auto" w:fill="auto"/>
            <w:noWrap/>
            <w:vAlign w:val="center"/>
            <w:hideMark/>
          </w:tcPr>
          <w:p w14:paraId="4EA147D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2.16</w:t>
            </w:r>
          </w:p>
        </w:tc>
      </w:tr>
      <w:tr w:rsidR="00B05D21" w:rsidRPr="005279AA" w14:paraId="6FFA5BB2"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13064B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13</w:t>
            </w:r>
          </w:p>
        </w:tc>
        <w:tc>
          <w:tcPr>
            <w:tcW w:w="2681" w:type="dxa"/>
            <w:tcBorders>
              <w:top w:val="nil"/>
              <w:left w:val="nil"/>
              <w:bottom w:val="single" w:sz="4" w:space="0" w:color="000000"/>
              <w:right w:val="single" w:sz="4" w:space="0" w:color="000000"/>
            </w:tcBorders>
            <w:shd w:val="clear" w:color="auto" w:fill="auto"/>
            <w:noWrap/>
            <w:vAlign w:val="center"/>
            <w:hideMark/>
          </w:tcPr>
          <w:p w14:paraId="189583E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GOOD</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AF0DA5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0.83</w:t>
            </w:r>
          </w:p>
        </w:tc>
        <w:tc>
          <w:tcPr>
            <w:tcW w:w="700" w:type="dxa"/>
            <w:tcBorders>
              <w:top w:val="nil"/>
              <w:left w:val="nil"/>
              <w:bottom w:val="single" w:sz="4" w:space="0" w:color="auto"/>
              <w:right w:val="single" w:sz="4" w:space="0" w:color="auto"/>
            </w:tcBorders>
            <w:shd w:val="clear" w:color="auto" w:fill="auto"/>
            <w:noWrap/>
            <w:vAlign w:val="center"/>
            <w:hideMark/>
          </w:tcPr>
          <w:p w14:paraId="44F58E7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1.27</w:t>
            </w:r>
          </w:p>
        </w:tc>
        <w:tc>
          <w:tcPr>
            <w:tcW w:w="700" w:type="dxa"/>
            <w:tcBorders>
              <w:top w:val="nil"/>
              <w:left w:val="nil"/>
              <w:bottom w:val="single" w:sz="4" w:space="0" w:color="auto"/>
              <w:right w:val="single" w:sz="4" w:space="0" w:color="auto"/>
            </w:tcBorders>
            <w:shd w:val="clear" w:color="auto" w:fill="auto"/>
            <w:noWrap/>
            <w:vAlign w:val="center"/>
            <w:hideMark/>
          </w:tcPr>
          <w:p w14:paraId="1B66D73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1.22</w:t>
            </w:r>
          </w:p>
        </w:tc>
        <w:tc>
          <w:tcPr>
            <w:tcW w:w="696" w:type="dxa"/>
            <w:tcBorders>
              <w:top w:val="nil"/>
              <w:left w:val="nil"/>
              <w:bottom w:val="single" w:sz="4" w:space="0" w:color="auto"/>
              <w:right w:val="single" w:sz="4" w:space="0" w:color="auto"/>
            </w:tcBorders>
            <w:shd w:val="clear" w:color="auto" w:fill="auto"/>
            <w:noWrap/>
            <w:vAlign w:val="center"/>
            <w:hideMark/>
          </w:tcPr>
          <w:p w14:paraId="535B92C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1.19</w:t>
            </w:r>
          </w:p>
        </w:tc>
        <w:tc>
          <w:tcPr>
            <w:tcW w:w="700" w:type="dxa"/>
            <w:tcBorders>
              <w:top w:val="nil"/>
              <w:left w:val="nil"/>
              <w:bottom w:val="single" w:sz="4" w:space="0" w:color="auto"/>
              <w:right w:val="single" w:sz="4" w:space="0" w:color="auto"/>
            </w:tcBorders>
            <w:shd w:val="clear" w:color="auto" w:fill="auto"/>
            <w:noWrap/>
            <w:vAlign w:val="center"/>
            <w:hideMark/>
          </w:tcPr>
          <w:p w14:paraId="7B1BAE4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0.90</w:t>
            </w:r>
          </w:p>
        </w:tc>
      </w:tr>
      <w:tr w:rsidR="00B05D21" w:rsidRPr="005279AA" w14:paraId="1DDE544F" w14:textId="77777777" w:rsidTr="00645E4A">
        <w:trPr>
          <w:trHeight w:val="315"/>
        </w:trPr>
        <w:tc>
          <w:tcPr>
            <w:tcW w:w="580" w:type="dxa"/>
            <w:tcBorders>
              <w:top w:val="nil"/>
              <w:left w:val="single" w:sz="4" w:space="0" w:color="000000"/>
              <w:bottom w:val="nil"/>
              <w:right w:val="single" w:sz="4" w:space="0" w:color="000000"/>
            </w:tcBorders>
            <w:shd w:val="clear" w:color="auto" w:fill="auto"/>
            <w:noWrap/>
            <w:vAlign w:val="center"/>
            <w:hideMark/>
          </w:tcPr>
          <w:p w14:paraId="729C9D9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14</w:t>
            </w:r>
          </w:p>
        </w:tc>
        <w:tc>
          <w:tcPr>
            <w:tcW w:w="2681" w:type="dxa"/>
            <w:tcBorders>
              <w:top w:val="nil"/>
              <w:left w:val="nil"/>
              <w:bottom w:val="nil"/>
              <w:right w:val="single" w:sz="4" w:space="0" w:color="000000"/>
            </w:tcBorders>
            <w:shd w:val="clear" w:color="auto" w:fill="auto"/>
            <w:noWrap/>
            <w:vAlign w:val="center"/>
            <w:hideMark/>
          </w:tcPr>
          <w:p w14:paraId="7D56B9A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HMSP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31CB84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0.43</w:t>
            </w:r>
          </w:p>
        </w:tc>
        <w:tc>
          <w:tcPr>
            <w:tcW w:w="700" w:type="dxa"/>
            <w:tcBorders>
              <w:top w:val="nil"/>
              <w:left w:val="nil"/>
              <w:bottom w:val="single" w:sz="4" w:space="0" w:color="auto"/>
              <w:right w:val="single" w:sz="4" w:space="0" w:color="auto"/>
            </w:tcBorders>
            <w:shd w:val="clear" w:color="auto" w:fill="auto"/>
            <w:noWrap/>
            <w:vAlign w:val="center"/>
            <w:hideMark/>
          </w:tcPr>
          <w:p w14:paraId="7FD70ED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0.64</w:t>
            </w:r>
          </w:p>
        </w:tc>
        <w:tc>
          <w:tcPr>
            <w:tcW w:w="700" w:type="dxa"/>
            <w:tcBorders>
              <w:top w:val="nil"/>
              <w:left w:val="nil"/>
              <w:bottom w:val="single" w:sz="4" w:space="0" w:color="auto"/>
              <w:right w:val="single" w:sz="4" w:space="0" w:color="auto"/>
            </w:tcBorders>
            <w:shd w:val="clear" w:color="auto" w:fill="auto"/>
            <w:noWrap/>
            <w:vAlign w:val="center"/>
            <w:hideMark/>
          </w:tcPr>
          <w:p w14:paraId="7861B9D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0.64</w:t>
            </w:r>
          </w:p>
        </w:tc>
        <w:tc>
          <w:tcPr>
            <w:tcW w:w="696" w:type="dxa"/>
            <w:tcBorders>
              <w:top w:val="nil"/>
              <w:left w:val="nil"/>
              <w:bottom w:val="single" w:sz="4" w:space="0" w:color="auto"/>
              <w:right w:val="single" w:sz="4" w:space="0" w:color="auto"/>
            </w:tcBorders>
            <w:shd w:val="clear" w:color="auto" w:fill="auto"/>
            <w:noWrap/>
            <w:vAlign w:val="center"/>
            <w:hideMark/>
          </w:tcPr>
          <w:p w14:paraId="5822FBD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0.94</w:t>
            </w:r>
          </w:p>
        </w:tc>
        <w:tc>
          <w:tcPr>
            <w:tcW w:w="700" w:type="dxa"/>
            <w:tcBorders>
              <w:top w:val="nil"/>
              <w:left w:val="nil"/>
              <w:bottom w:val="single" w:sz="4" w:space="0" w:color="auto"/>
              <w:right w:val="single" w:sz="4" w:space="0" w:color="auto"/>
            </w:tcBorders>
            <w:shd w:val="clear" w:color="auto" w:fill="auto"/>
            <w:noWrap/>
            <w:vAlign w:val="center"/>
            <w:hideMark/>
          </w:tcPr>
          <w:p w14:paraId="5125453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0.85</w:t>
            </w:r>
          </w:p>
        </w:tc>
      </w:tr>
      <w:tr w:rsidR="00B05D21" w:rsidRPr="005279AA" w14:paraId="62D10C3A" w14:textId="77777777" w:rsidTr="00645E4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2D0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15</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14:paraId="5FADF0B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UNVR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EF9524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2.91</w:t>
            </w:r>
          </w:p>
        </w:tc>
        <w:tc>
          <w:tcPr>
            <w:tcW w:w="700" w:type="dxa"/>
            <w:tcBorders>
              <w:top w:val="nil"/>
              <w:left w:val="nil"/>
              <w:bottom w:val="single" w:sz="4" w:space="0" w:color="auto"/>
              <w:right w:val="single" w:sz="4" w:space="0" w:color="auto"/>
            </w:tcBorders>
            <w:shd w:val="clear" w:color="auto" w:fill="auto"/>
            <w:noWrap/>
            <w:vAlign w:val="center"/>
            <w:hideMark/>
          </w:tcPr>
          <w:p w14:paraId="2DD77DC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3.16</w:t>
            </w:r>
          </w:p>
        </w:tc>
        <w:tc>
          <w:tcPr>
            <w:tcW w:w="700" w:type="dxa"/>
            <w:tcBorders>
              <w:top w:val="nil"/>
              <w:left w:val="nil"/>
              <w:bottom w:val="single" w:sz="4" w:space="0" w:color="auto"/>
              <w:right w:val="single" w:sz="4" w:space="0" w:color="auto"/>
            </w:tcBorders>
            <w:shd w:val="clear" w:color="auto" w:fill="auto"/>
            <w:noWrap/>
            <w:vAlign w:val="center"/>
            <w:hideMark/>
          </w:tcPr>
          <w:p w14:paraId="3F006C3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3.41</w:t>
            </w:r>
          </w:p>
        </w:tc>
        <w:tc>
          <w:tcPr>
            <w:tcW w:w="696" w:type="dxa"/>
            <w:tcBorders>
              <w:top w:val="nil"/>
              <w:left w:val="nil"/>
              <w:bottom w:val="single" w:sz="4" w:space="0" w:color="auto"/>
              <w:right w:val="single" w:sz="4" w:space="0" w:color="auto"/>
            </w:tcBorders>
            <w:shd w:val="clear" w:color="auto" w:fill="auto"/>
            <w:noWrap/>
            <w:vAlign w:val="center"/>
            <w:hideMark/>
          </w:tcPr>
          <w:p w14:paraId="0E456E8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3.58</w:t>
            </w:r>
          </w:p>
        </w:tc>
        <w:tc>
          <w:tcPr>
            <w:tcW w:w="700" w:type="dxa"/>
            <w:tcBorders>
              <w:top w:val="nil"/>
              <w:left w:val="nil"/>
              <w:bottom w:val="single" w:sz="4" w:space="0" w:color="auto"/>
              <w:right w:val="single" w:sz="4" w:space="0" w:color="auto"/>
            </w:tcBorders>
            <w:shd w:val="clear" w:color="auto" w:fill="auto"/>
            <w:noWrap/>
            <w:vAlign w:val="center"/>
            <w:hideMark/>
          </w:tcPr>
          <w:p w14:paraId="18ADE90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3.93</w:t>
            </w:r>
          </w:p>
        </w:tc>
      </w:tr>
      <w:tr w:rsidR="00B05D21" w:rsidRPr="005279AA" w14:paraId="160FDC6C"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FBB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Terendah</w:t>
            </w:r>
          </w:p>
        </w:tc>
        <w:tc>
          <w:tcPr>
            <w:tcW w:w="34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79C665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0.103</w:t>
            </w:r>
          </w:p>
        </w:tc>
      </w:tr>
      <w:tr w:rsidR="00B05D21" w:rsidRPr="005279AA" w14:paraId="30E57EC7"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DE8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Tertinggi</w:t>
            </w:r>
          </w:p>
        </w:tc>
        <w:tc>
          <w:tcPr>
            <w:tcW w:w="34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C70728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4.904</w:t>
            </w:r>
          </w:p>
        </w:tc>
      </w:tr>
      <w:tr w:rsidR="00B05D21" w:rsidRPr="005279AA" w14:paraId="6F73DAD9" w14:textId="77777777" w:rsidTr="00645E4A">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6FE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Rata-Rata</w:t>
            </w:r>
          </w:p>
        </w:tc>
        <w:tc>
          <w:tcPr>
            <w:tcW w:w="34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FA17E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1.319</w:t>
            </w:r>
          </w:p>
        </w:tc>
      </w:tr>
    </w:tbl>
    <w:p w14:paraId="6EC87C91" w14:textId="7C3718AC" w:rsidR="008A7D90" w:rsidRDefault="0057737A" w:rsidP="00645E4A">
      <w:pPr>
        <w:tabs>
          <w:tab w:val="left" w:pos="1701"/>
        </w:tabs>
        <w:spacing w:line="240" w:lineRule="auto"/>
        <w:ind w:left="1134"/>
        <w:jc w:val="both"/>
        <w:rPr>
          <w:rFonts w:asciiTheme="majorBidi" w:eastAsiaTheme="minorEastAsia" w:hAnsiTheme="majorBidi" w:cstheme="majorBidi"/>
          <w:iCs/>
        </w:rPr>
      </w:pPr>
      <w:r w:rsidRPr="005279AA">
        <w:rPr>
          <w:rFonts w:asciiTheme="majorBidi" w:eastAsiaTheme="minorEastAsia" w:hAnsiTheme="majorBidi" w:cstheme="majorBidi"/>
          <w:iCs/>
          <w:lang w:val="id-ID"/>
        </w:rPr>
        <w:t>Sumber</w:t>
      </w:r>
      <w:r w:rsidR="00D974B3" w:rsidRPr="005279AA">
        <w:rPr>
          <w:rFonts w:asciiTheme="majorBidi" w:eastAsiaTheme="minorEastAsia" w:hAnsiTheme="majorBidi" w:cstheme="majorBidi"/>
          <w:iCs/>
          <w:lang w:val="id-ID"/>
        </w:rPr>
        <w:t xml:space="preserve">: </w:t>
      </w:r>
      <w:r w:rsidRPr="005279AA">
        <w:rPr>
          <w:rFonts w:asciiTheme="majorBidi" w:eastAsiaTheme="minorEastAsia" w:hAnsiTheme="majorBidi" w:cstheme="majorBidi"/>
          <w:iCs/>
          <w:lang w:val="id-ID"/>
        </w:rPr>
        <w:t xml:space="preserve">Laporan </w:t>
      </w:r>
      <w:r w:rsidR="00D974B3" w:rsidRPr="005279AA">
        <w:rPr>
          <w:rFonts w:asciiTheme="majorBidi" w:eastAsiaTheme="minorEastAsia" w:hAnsiTheme="majorBidi" w:cstheme="majorBidi"/>
          <w:iCs/>
          <w:lang w:val="id-ID"/>
        </w:rPr>
        <w:t>Keuangan Tahunan</w:t>
      </w:r>
      <w:r w:rsidR="00D974B3">
        <w:rPr>
          <w:rFonts w:asciiTheme="majorBidi" w:eastAsiaTheme="minorEastAsia" w:hAnsiTheme="majorBidi" w:cstheme="majorBidi"/>
          <w:iCs/>
        </w:rPr>
        <w:t xml:space="preserve"> Perusahaan Sektor </w:t>
      </w:r>
      <w:r w:rsidR="00D974B3" w:rsidRPr="005279AA">
        <w:rPr>
          <w:rFonts w:asciiTheme="majorBidi" w:eastAsiaTheme="minorEastAsia" w:hAnsiTheme="majorBidi" w:cstheme="majorBidi"/>
          <w:iCs/>
          <w:lang w:val="id-ID"/>
        </w:rPr>
        <w:t>Consumer Non Cyclical 2019-202</w:t>
      </w:r>
      <w:r w:rsidR="00D974B3">
        <w:rPr>
          <w:rFonts w:asciiTheme="majorBidi" w:eastAsiaTheme="minorEastAsia" w:hAnsiTheme="majorBidi" w:cstheme="majorBidi"/>
          <w:iCs/>
        </w:rPr>
        <w:t>3</w:t>
      </w:r>
    </w:p>
    <w:p w14:paraId="2D20826B" w14:textId="158FAC3A" w:rsidR="002323D2" w:rsidRPr="00CC00B3"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data leverage menggunakan proksi </w:t>
      </w:r>
      <w:r w:rsidRPr="00CC00B3">
        <w:rPr>
          <w:rFonts w:asciiTheme="majorBidi" w:eastAsiaTheme="minorEastAsia" w:hAnsiTheme="majorBidi" w:cstheme="majorBidi"/>
          <w:i/>
          <w:sz w:val="24"/>
          <w:szCs w:val="24"/>
        </w:rPr>
        <w:t xml:space="preserve">Debt to Equity Ratio </w:t>
      </w:r>
      <w:r w:rsidRPr="00CC00B3">
        <w:rPr>
          <w:rFonts w:asciiTheme="majorBidi" w:eastAsiaTheme="minorEastAsia" w:hAnsiTheme="majorBidi" w:cstheme="majorBidi"/>
          <w:iCs/>
          <w:sz w:val="24"/>
          <w:szCs w:val="24"/>
        </w:rPr>
        <w:t xml:space="preserve">(DER) pada sampel perusahaan sektor </w:t>
      </w:r>
      <w:r w:rsidRPr="00CC00B3">
        <w:rPr>
          <w:rFonts w:asciiTheme="majorBidi" w:eastAsiaTheme="minorEastAsia" w:hAnsiTheme="majorBidi" w:cstheme="majorBidi"/>
          <w:i/>
          <w:sz w:val="24"/>
          <w:szCs w:val="24"/>
        </w:rPr>
        <w:t xml:space="preserve">consumer non </w:t>
      </w:r>
      <w:r w:rsidRPr="00CC00B3">
        <w:rPr>
          <w:rFonts w:asciiTheme="majorBidi" w:eastAsiaTheme="minorEastAsia" w:hAnsiTheme="majorBidi" w:cstheme="majorBidi"/>
          <w:i/>
          <w:sz w:val="24"/>
          <w:szCs w:val="24"/>
        </w:rPr>
        <w:lastRenderedPageBreak/>
        <w:t>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 diatas, maka dapat dibuat grafik sebagai berikut:</w:t>
      </w:r>
    </w:p>
    <w:p w14:paraId="6D932B4B" w14:textId="65E3164B" w:rsidR="002323D2" w:rsidRDefault="002323D2" w:rsidP="00BF76D1">
      <w:pPr>
        <w:tabs>
          <w:tab w:val="left" w:pos="1701"/>
        </w:tabs>
        <w:spacing w:line="240" w:lineRule="auto"/>
        <w:ind w:left="567" w:firstLine="426"/>
        <w:jc w:val="both"/>
        <w:rPr>
          <w:rFonts w:asciiTheme="majorBidi" w:eastAsiaTheme="minorEastAsia" w:hAnsiTheme="majorBidi" w:cstheme="majorBidi"/>
          <w:iCs/>
        </w:rPr>
      </w:pPr>
      <w:r>
        <w:rPr>
          <w:noProof/>
        </w:rPr>
        <w:drawing>
          <wp:inline distT="0" distB="0" distL="0" distR="0" wp14:anchorId="53DB2A10" wp14:editId="349CAE54">
            <wp:extent cx="4441190" cy="2743200"/>
            <wp:effectExtent l="0" t="0" r="16510" b="0"/>
            <wp:docPr id="41" name="Chart 41">
              <a:extLst xmlns:a="http://schemas.openxmlformats.org/drawingml/2006/main">
                <a:ext uri="{FF2B5EF4-FFF2-40B4-BE49-F238E27FC236}">
                  <a16:creationId xmlns:a16="http://schemas.microsoft.com/office/drawing/2014/main" id="{EE7AB82C-69E2-4475-8A14-9A88B8F53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294AEE" w14:textId="77777777" w:rsidR="000619F3" w:rsidRPr="005279AA" w:rsidRDefault="000619F3" w:rsidP="00BF76D1">
      <w:pPr>
        <w:pStyle w:val="ListParagraph"/>
        <w:tabs>
          <w:tab w:val="left" w:pos="1701"/>
        </w:tabs>
        <w:spacing w:line="240" w:lineRule="auto"/>
        <w:ind w:left="993"/>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159A1AEE" w14:textId="32F9B8E3" w:rsidR="00CC00B3"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4</w:t>
      </w:r>
    </w:p>
    <w:p w14:paraId="4B7333D7" w14:textId="1F56B1D4" w:rsidR="00CC00B3" w:rsidRPr="00CC00B3"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Leverage</w:t>
      </w:r>
      <w:r w:rsidR="00CC00B3">
        <w:rPr>
          <w:rFonts w:asciiTheme="majorBidi" w:eastAsiaTheme="minorEastAsia" w:hAnsiTheme="majorBidi" w:cstheme="majorBidi"/>
          <w:b/>
          <w:bCs/>
          <w:iCs/>
          <w:sz w:val="24"/>
          <w:szCs w:val="24"/>
        </w:rPr>
        <w:t xml:space="preserve"> </w:t>
      </w:r>
      <w:r w:rsidRPr="00CC00B3">
        <w:rPr>
          <w:rFonts w:asciiTheme="majorBidi" w:eastAsiaTheme="minorEastAsia" w:hAnsiTheme="majorBidi" w:cstheme="majorBidi"/>
          <w:b/>
          <w:bCs/>
          <w:iCs/>
          <w:sz w:val="24"/>
          <w:szCs w:val="24"/>
          <w:lang w:val="id-ID"/>
        </w:rPr>
        <w:t xml:space="preserve">Perusahaan Sektor Consumer Non Cyclical </w:t>
      </w:r>
    </w:p>
    <w:p w14:paraId="72753AB2" w14:textId="5407D495" w:rsidR="000619F3" w:rsidRPr="008622E5"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lang w:val="id-ID"/>
        </w:rPr>
        <w:t>Tah</w:t>
      </w:r>
      <w:r>
        <w:rPr>
          <w:rFonts w:asciiTheme="majorBidi" w:eastAsiaTheme="minorEastAsia" w:hAnsiTheme="majorBidi" w:cstheme="majorBidi"/>
          <w:b/>
          <w:bCs/>
          <w:iCs/>
          <w:sz w:val="24"/>
          <w:szCs w:val="24"/>
        </w:rPr>
        <w:t>u</w:t>
      </w:r>
      <w:r w:rsidRPr="00E15C58">
        <w:rPr>
          <w:rFonts w:asciiTheme="majorBidi" w:eastAsiaTheme="minorEastAsia" w:hAnsiTheme="majorBidi" w:cstheme="majorBidi"/>
          <w:b/>
          <w:bCs/>
          <w:iCs/>
          <w:sz w:val="24"/>
          <w:szCs w:val="24"/>
          <w:lang w:val="id-ID"/>
        </w:rPr>
        <w:t>n 2019-202</w:t>
      </w:r>
      <w:r>
        <w:rPr>
          <w:rFonts w:asciiTheme="majorBidi" w:eastAsiaTheme="minorEastAsia" w:hAnsiTheme="majorBidi" w:cstheme="majorBidi"/>
          <w:b/>
          <w:bCs/>
          <w:iCs/>
          <w:sz w:val="24"/>
          <w:szCs w:val="24"/>
        </w:rPr>
        <w:t>3</w:t>
      </w:r>
    </w:p>
    <w:p w14:paraId="49CFA183" w14:textId="573E5361" w:rsidR="008D285A" w:rsidRDefault="002323D2"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dan grafik diatas dapat diketahui bahwa nilai </w:t>
      </w:r>
      <w:r w:rsidRPr="000707DC">
        <w:rPr>
          <w:rFonts w:asciiTheme="majorBidi" w:eastAsiaTheme="minorEastAsia" w:hAnsiTheme="majorBidi" w:cstheme="majorBidi"/>
          <w:i/>
          <w:sz w:val="24"/>
          <w:szCs w:val="24"/>
        </w:rPr>
        <w:t>Leverage</w:t>
      </w:r>
      <w:r w:rsidRPr="00CC00B3">
        <w:rPr>
          <w:rFonts w:asciiTheme="majorBidi" w:eastAsiaTheme="minorEastAsia" w:hAnsiTheme="majorBidi" w:cstheme="majorBidi"/>
          <w:iCs/>
          <w:sz w:val="24"/>
          <w:szCs w:val="24"/>
        </w:rPr>
        <w:t xml:space="preserve"> menggunakan proksi </w:t>
      </w:r>
      <w:r w:rsidRPr="000707DC">
        <w:rPr>
          <w:rFonts w:asciiTheme="majorBidi" w:eastAsiaTheme="minorEastAsia" w:hAnsiTheme="majorBidi" w:cstheme="majorBidi"/>
          <w:i/>
          <w:sz w:val="24"/>
          <w:szCs w:val="24"/>
        </w:rPr>
        <w:t>Debt to Equity Ratio</w:t>
      </w:r>
      <w:r w:rsidRPr="00CC00B3">
        <w:rPr>
          <w:rFonts w:asciiTheme="majorBidi" w:eastAsiaTheme="minorEastAsia" w:hAnsiTheme="majorBidi" w:cstheme="majorBidi"/>
          <w:iCs/>
          <w:sz w:val="24"/>
          <w:szCs w:val="24"/>
        </w:rPr>
        <w:t xml:space="preserve"> (DER) pada 15 sampel perusahaan sektor </w:t>
      </w:r>
      <w:r w:rsidRPr="000707DC">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w:t>
      </w:r>
      <w:r w:rsidR="00CC00B3" w:rsidRPr="00CC00B3">
        <w:rPr>
          <w:rFonts w:asciiTheme="majorBidi" w:eastAsiaTheme="minorEastAsia" w:hAnsiTheme="majorBidi" w:cstheme="majorBidi"/>
          <w:iCs/>
          <w:sz w:val="24"/>
          <w:szCs w:val="24"/>
        </w:rPr>
        <w:t xml:space="preserve"> menunjukan bahwa nilai </w:t>
      </w:r>
      <w:r w:rsidR="00CC00B3" w:rsidRPr="000707DC">
        <w:rPr>
          <w:rFonts w:asciiTheme="majorBidi" w:eastAsiaTheme="minorEastAsia" w:hAnsiTheme="majorBidi" w:cstheme="majorBidi"/>
          <w:i/>
          <w:sz w:val="24"/>
          <w:szCs w:val="24"/>
        </w:rPr>
        <w:t>Debt to Equity Ratio</w:t>
      </w:r>
      <w:r w:rsidR="00CC00B3" w:rsidRPr="00CC00B3">
        <w:rPr>
          <w:rFonts w:asciiTheme="majorBidi" w:eastAsiaTheme="minorEastAsia" w:hAnsiTheme="majorBidi" w:cstheme="majorBidi"/>
          <w:iCs/>
          <w:sz w:val="24"/>
          <w:szCs w:val="24"/>
        </w:rPr>
        <w:t xml:space="preserve"> (DER)</w:t>
      </w:r>
      <w:r w:rsidR="00CC00B3">
        <w:rPr>
          <w:rFonts w:asciiTheme="majorBidi" w:eastAsiaTheme="minorEastAsia" w:hAnsiTheme="majorBidi" w:cstheme="majorBidi"/>
          <w:iCs/>
          <w:sz w:val="24"/>
          <w:szCs w:val="24"/>
        </w:rPr>
        <w:t xml:space="preserve"> </w:t>
      </w:r>
      <w:r w:rsidR="00CC00B3" w:rsidRPr="00CC00B3">
        <w:rPr>
          <w:rFonts w:asciiTheme="majorBidi" w:eastAsiaTheme="minorEastAsia" w:hAnsiTheme="majorBidi" w:cstheme="majorBidi"/>
          <w:iCs/>
          <w:sz w:val="24"/>
          <w:szCs w:val="24"/>
        </w:rPr>
        <w:t>tertinggi dihasilkan oleh PT</w:t>
      </w:r>
      <w:r w:rsidR="005F3060">
        <w:rPr>
          <w:rFonts w:asciiTheme="majorBidi" w:eastAsiaTheme="minorEastAsia" w:hAnsiTheme="majorBidi" w:cstheme="majorBidi"/>
          <w:iCs/>
          <w:sz w:val="24"/>
          <w:szCs w:val="24"/>
        </w:rPr>
        <w:t xml:space="preserve"> </w:t>
      </w:r>
      <w:r w:rsidR="005F3060" w:rsidRPr="005279AA">
        <w:rPr>
          <w:rFonts w:asciiTheme="majorBidi" w:eastAsia="Times New Roman" w:hAnsiTheme="majorBidi" w:cstheme="majorBidi"/>
          <w:sz w:val="24"/>
          <w:szCs w:val="24"/>
          <w:lang w:eastAsia="en-GB"/>
        </w:rPr>
        <w:t>Millennium Pharmacon International Tbk</w:t>
      </w:r>
      <w:r w:rsidR="000A231A">
        <w:rPr>
          <w:rFonts w:asciiTheme="majorBidi" w:eastAsia="Times New Roman" w:hAnsiTheme="majorBidi" w:cstheme="majorBidi"/>
          <w:sz w:val="24"/>
          <w:szCs w:val="24"/>
          <w:lang w:eastAsia="en-GB"/>
        </w:rPr>
        <w:t xml:space="preserve"> </w:t>
      </w:r>
      <w:r w:rsidR="000707DC">
        <w:rPr>
          <w:rFonts w:asciiTheme="majorBidi" w:eastAsia="Times New Roman" w:hAnsiTheme="majorBidi" w:cstheme="majorBidi"/>
          <w:sz w:val="24"/>
          <w:szCs w:val="24"/>
          <w:lang w:eastAsia="en-GB"/>
        </w:rPr>
        <w:t xml:space="preserve">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ahun 2023</w:t>
      </w:r>
      <w:r w:rsidR="00CC00B3" w:rsidRPr="00CC00B3">
        <w:rPr>
          <w:rFonts w:asciiTheme="majorBidi" w:eastAsiaTheme="minorEastAsia" w:hAnsiTheme="majorBidi" w:cstheme="majorBidi"/>
          <w:iCs/>
          <w:sz w:val="24"/>
          <w:szCs w:val="24"/>
        </w:rPr>
        <w:t xml:space="preserve"> </w:t>
      </w:r>
      <w:r w:rsidR="00CC00B3" w:rsidRPr="00CC00B3">
        <w:rPr>
          <w:rFonts w:asciiTheme="majorBidi" w:eastAsia="Times New Roman" w:hAnsiTheme="majorBidi" w:cstheme="majorBidi"/>
          <w:sz w:val="24"/>
          <w:szCs w:val="24"/>
          <w:lang w:eastAsia="en-GB"/>
        </w:rPr>
        <w:t xml:space="preserve">yaitu sebesar  </w:t>
      </w:r>
      <w:r w:rsidR="005F3060">
        <w:rPr>
          <w:rFonts w:asciiTheme="majorBidi" w:eastAsia="Times New Roman" w:hAnsiTheme="majorBidi" w:cstheme="majorBidi"/>
          <w:sz w:val="24"/>
          <w:szCs w:val="24"/>
          <w:lang w:eastAsia="en-GB"/>
        </w:rPr>
        <w:t xml:space="preserve">4,90 </w:t>
      </w:r>
      <w:r w:rsidR="00CC00B3" w:rsidRPr="00CC00B3">
        <w:rPr>
          <w:rFonts w:asciiTheme="majorBidi" w:eastAsia="Times New Roman" w:hAnsiTheme="majorBidi" w:cstheme="majorBidi"/>
          <w:sz w:val="24"/>
          <w:szCs w:val="24"/>
          <w:lang w:eastAsia="en-GB"/>
        </w:rPr>
        <w:t xml:space="preserve">dan nilai terendah dihasilkan oleh PT </w:t>
      </w:r>
      <w:r w:rsidR="000A231A" w:rsidRPr="005279AA">
        <w:rPr>
          <w:rFonts w:asciiTheme="majorBidi" w:eastAsia="Times New Roman" w:hAnsiTheme="majorBidi" w:cstheme="majorBidi"/>
          <w:sz w:val="24"/>
          <w:szCs w:val="24"/>
          <w:lang w:eastAsia="en-GB"/>
        </w:rPr>
        <w:t>PP London Sumatra Indonesia</w:t>
      </w:r>
      <w:r w:rsidR="000A231A">
        <w:rPr>
          <w:rFonts w:asciiTheme="majorBidi" w:eastAsia="Times New Roman" w:hAnsiTheme="majorBidi" w:cstheme="majorBidi"/>
          <w:sz w:val="24"/>
          <w:szCs w:val="24"/>
          <w:lang w:eastAsia="en-GB"/>
        </w:rPr>
        <w:t xml:space="preserve"> </w:t>
      </w:r>
      <w:r w:rsidR="000A231A" w:rsidRPr="005279AA">
        <w:rPr>
          <w:rFonts w:asciiTheme="majorBidi" w:eastAsia="Times New Roman" w:hAnsiTheme="majorBidi" w:cstheme="majorBidi"/>
          <w:sz w:val="24"/>
          <w:szCs w:val="24"/>
          <w:lang w:eastAsia="en-GB"/>
        </w:rPr>
        <w:t xml:space="preserve"> Tbk</w:t>
      </w:r>
      <w:r w:rsidR="000A231A">
        <w:rPr>
          <w:rFonts w:asciiTheme="majorBidi" w:eastAsia="Times New Roman" w:hAnsiTheme="majorBidi" w:cstheme="majorBidi"/>
          <w:sz w:val="24"/>
          <w:szCs w:val="24"/>
          <w:lang w:eastAsia="en-GB"/>
        </w:rPr>
        <w:t xml:space="preserve"> </w:t>
      </w:r>
      <w:r w:rsidR="000707DC">
        <w:rPr>
          <w:rFonts w:asciiTheme="majorBidi" w:eastAsia="Times New Roman" w:hAnsiTheme="majorBidi" w:cstheme="majorBidi"/>
          <w:sz w:val="24"/>
          <w:szCs w:val="24"/>
          <w:lang w:eastAsia="en-GB"/>
        </w:rPr>
        <w:t xml:space="preserve">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 xml:space="preserve">ahun 2023  </w:t>
      </w:r>
      <w:r w:rsidR="00CC00B3">
        <w:rPr>
          <w:rFonts w:asciiTheme="majorBidi" w:eastAsia="Times New Roman" w:hAnsiTheme="majorBidi" w:cstheme="majorBidi"/>
          <w:sz w:val="24"/>
          <w:szCs w:val="24"/>
          <w:lang w:eastAsia="en-GB"/>
        </w:rPr>
        <w:t>yaitu sebesar</w:t>
      </w:r>
      <w:r w:rsidR="000A231A">
        <w:rPr>
          <w:rFonts w:asciiTheme="majorBidi" w:eastAsia="Times New Roman" w:hAnsiTheme="majorBidi" w:cstheme="majorBidi"/>
          <w:sz w:val="24"/>
          <w:szCs w:val="24"/>
          <w:lang w:eastAsia="en-GB"/>
        </w:rPr>
        <w:t xml:space="preserve"> 0,10</w:t>
      </w:r>
      <w:r w:rsidR="00CC00B3">
        <w:rPr>
          <w:rFonts w:asciiTheme="majorBidi" w:eastAsia="Times New Roman" w:hAnsiTheme="majorBidi" w:cstheme="majorBidi"/>
          <w:sz w:val="24"/>
          <w:szCs w:val="24"/>
          <w:lang w:eastAsia="en-GB"/>
        </w:rPr>
        <w:t xml:space="preserve">. Nilai rata-rata </w:t>
      </w:r>
      <w:r w:rsidR="00CC00B3" w:rsidRPr="000707DC">
        <w:rPr>
          <w:rFonts w:asciiTheme="majorBidi" w:eastAsiaTheme="minorEastAsia" w:hAnsiTheme="majorBidi" w:cstheme="majorBidi"/>
          <w:i/>
          <w:sz w:val="24"/>
          <w:szCs w:val="24"/>
        </w:rPr>
        <w:t>Debt to Equity Ratio</w:t>
      </w:r>
      <w:r w:rsidR="00CC00B3" w:rsidRPr="00CC00B3">
        <w:rPr>
          <w:rFonts w:asciiTheme="majorBidi" w:eastAsiaTheme="minorEastAsia" w:hAnsiTheme="majorBidi" w:cstheme="majorBidi"/>
          <w:iCs/>
          <w:sz w:val="24"/>
          <w:szCs w:val="24"/>
        </w:rPr>
        <w:t xml:space="preserve"> (DER)</w:t>
      </w:r>
      <w:r w:rsidR="00CC00B3">
        <w:rPr>
          <w:rFonts w:asciiTheme="majorBidi" w:eastAsiaTheme="minorEastAsia" w:hAnsiTheme="majorBidi" w:cstheme="majorBidi"/>
          <w:iCs/>
          <w:sz w:val="24"/>
          <w:szCs w:val="24"/>
        </w:rPr>
        <w:t xml:space="preserve"> </w:t>
      </w:r>
      <w:r w:rsidR="00CC00B3" w:rsidRPr="009107C0">
        <w:rPr>
          <w:rFonts w:asciiTheme="majorBidi" w:eastAsiaTheme="minorEastAsia" w:hAnsiTheme="majorBidi" w:cstheme="majorBidi"/>
          <w:iCs/>
          <w:sz w:val="24"/>
          <w:szCs w:val="24"/>
        </w:rPr>
        <w:t xml:space="preserve">pada 15 sampel perusahaan sektor </w:t>
      </w:r>
      <w:r w:rsidR="00CC00B3" w:rsidRPr="009911AA">
        <w:rPr>
          <w:rFonts w:asciiTheme="majorBidi" w:eastAsiaTheme="minorEastAsia" w:hAnsiTheme="majorBidi" w:cstheme="majorBidi"/>
          <w:i/>
          <w:sz w:val="24"/>
          <w:szCs w:val="24"/>
        </w:rPr>
        <w:t>consumer non cyclical</w:t>
      </w:r>
      <w:r w:rsidR="00CC00B3"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sebesar</w:t>
      </w:r>
      <w:r w:rsidR="000A231A">
        <w:rPr>
          <w:rFonts w:asciiTheme="majorBidi" w:eastAsiaTheme="minorEastAsia" w:hAnsiTheme="majorBidi" w:cstheme="majorBidi"/>
          <w:iCs/>
          <w:sz w:val="24"/>
          <w:szCs w:val="24"/>
        </w:rPr>
        <w:t xml:space="preserve"> 1,31</w:t>
      </w:r>
      <w:r w:rsidR="00C34EDF">
        <w:rPr>
          <w:rFonts w:asciiTheme="majorBidi" w:eastAsiaTheme="minorEastAsia" w:hAnsiTheme="majorBidi" w:cstheme="majorBidi"/>
          <w:iCs/>
          <w:sz w:val="24"/>
          <w:szCs w:val="24"/>
        </w:rPr>
        <w:t>.</w:t>
      </w:r>
    </w:p>
    <w:p w14:paraId="0D119EC3" w14:textId="77777777" w:rsidR="00C34EDF" w:rsidRPr="00CC00B3" w:rsidRDefault="00C34EDF" w:rsidP="00BF76D1">
      <w:pPr>
        <w:tabs>
          <w:tab w:val="left" w:pos="1701"/>
        </w:tabs>
        <w:spacing w:line="480" w:lineRule="auto"/>
        <w:ind w:left="1134" w:firstLine="426"/>
        <w:jc w:val="both"/>
        <w:rPr>
          <w:rFonts w:asciiTheme="majorBidi" w:eastAsiaTheme="minorEastAsia" w:hAnsiTheme="majorBidi" w:cstheme="majorBidi"/>
          <w:iCs/>
          <w:sz w:val="24"/>
          <w:szCs w:val="24"/>
        </w:rPr>
      </w:pPr>
    </w:p>
    <w:p w14:paraId="2A2CF23C" w14:textId="77777777" w:rsidR="00C9764B"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
          <w:sz w:val="24"/>
          <w:szCs w:val="24"/>
        </w:rPr>
      </w:pPr>
      <w:r w:rsidRPr="005279AA">
        <w:rPr>
          <w:rFonts w:asciiTheme="majorBidi" w:eastAsiaTheme="minorEastAsia" w:hAnsiTheme="majorBidi" w:cstheme="majorBidi"/>
          <w:b/>
          <w:bCs/>
          <w:i/>
          <w:sz w:val="24"/>
          <w:szCs w:val="24"/>
        </w:rPr>
        <w:lastRenderedPageBreak/>
        <w:t>Free Cash Flow</w:t>
      </w:r>
    </w:p>
    <w:p w14:paraId="1B49574C" w14:textId="5860E466" w:rsidR="005279AA" w:rsidRPr="00DB4FD7" w:rsidRDefault="00C9764B"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
          <w:sz w:val="24"/>
          <w:szCs w:val="24"/>
          <w:lang w:val="id-ID"/>
        </w:rPr>
        <w:t>Free Cash Flow</w:t>
      </w:r>
      <w:r w:rsidRPr="005279AA">
        <w:rPr>
          <w:rFonts w:asciiTheme="majorBidi" w:eastAsiaTheme="minorEastAsia" w:hAnsiTheme="majorBidi" w:cstheme="majorBidi"/>
          <w:iCs/>
          <w:sz w:val="24"/>
          <w:szCs w:val="24"/>
          <w:lang w:val="id-ID"/>
        </w:rPr>
        <w:t xml:space="preserve"> (FCF) merupakan</w:t>
      </w:r>
      <w:r w:rsidR="007C6EBA" w:rsidRPr="005279AA">
        <w:rPr>
          <w:rFonts w:asciiTheme="majorBidi" w:eastAsiaTheme="minorEastAsia" w:hAnsiTheme="majorBidi" w:cstheme="majorBidi"/>
          <w:iCs/>
          <w:sz w:val="24"/>
          <w:szCs w:val="24"/>
          <w:lang w:val="id-ID"/>
        </w:rPr>
        <w:t xml:space="preserve"> rasio yang digunakan untuk melihat apakah suatu perusahaan memiliki arus kas bersih yang diperoleh dari kegiatan operasionalnya. </w:t>
      </w:r>
      <w:r w:rsidR="00CB3734" w:rsidRPr="005279AA">
        <w:rPr>
          <w:rFonts w:asciiTheme="majorBidi" w:eastAsiaTheme="minorEastAsia" w:hAnsiTheme="majorBidi" w:cstheme="majorBidi"/>
          <w:iCs/>
          <w:sz w:val="24"/>
          <w:szCs w:val="24"/>
          <w:lang w:val="id-ID"/>
        </w:rPr>
        <w:t xml:space="preserve">Berikut adalah data </w:t>
      </w:r>
      <w:r w:rsidR="00CB3734" w:rsidRPr="005279AA">
        <w:rPr>
          <w:rFonts w:asciiTheme="majorBidi" w:eastAsiaTheme="minorEastAsia" w:hAnsiTheme="majorBidi" w:cstheme="majorBidi"/>
          <w:i/>
          <w:sz w:val="24"/>
          <w:szCs w:val="24"/>
        </w:rPr>
        <w:t xml:space="preserve">Free Cash Flow </w:t>
      </w:r>
      <w:r w:rsidR="00CB3734" w:rsidRPr="005279AA">
        <w:rPr>
          <w:rFonts w:asciiTheme="majorBidi" w:eastAsiaTheme="minorEastAsia" w:hAnsiTheme="majorBidi" w:cstheme="majorBidi"/>
          <w:iCs/>
          <w:sz w:val="24"/>
          <w:szCs w:val="24"/>
          <w:lang w:val="id-ID"/>
        </w:rPr>
        <w:t>(</w:t>
      </w:r>
      <w:r w:rsidR="00CB3734" w:rsidRPr="005279AA">
        <w:rPr>
          <w:rFonts w:asciiTheme="majorBidi" w:eastAsiaTheme="minorEastAsia" w:hAnsiTheme="majorBidi" w:cstheme="majorBidi"/>
          <w:iCs/>
          <w:sz w:val="24"/>
          <w:szCs w:val="24"/>
        </w:rPr>
        <w:t>FCF</w:t>
      </w:r>
      <w:r w:rsidR="00CB3734" w:rsidRPr="005279AA">
        <w:rPr>
          <w:rFonts w:asciiTheme="majorBidi" w:eastAsiaTheme="minorEastAsia" w:hAnsiTheme="majorBidi" w:cstheme="majorBidi"/>
          <w:iCs/>
          <w:sz w:val="24"/>
          <w:szCs w:val="24"/>
          <w:lang w:val="id-ID"/>
        </w:rPr>
        <w:t xml:space="preserve">) dari sampel perusahaan sektor </w:t>
      </w:r>
      <w:r w:rsidR="00CB3734" w:rsidRPr="005279AA">
        <w:rPr>
          <w:rFonts w:asciiTheme="majorBidi" w:eastAsiaTheme="minorEastAsia" w:hAnsiTheme="majorBidi" w:cstheme="majorBidi"/>
          <w:i/>
          <w:sz w:val="24"/>
          <w:szCs w:val="24"/>
          <w:lang w:val="id-ID"/>
        </w:rPr>
        <w:t>consumer non cyclical</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00CB3734" w:rsidRPr="005279AA">
        <w:rPr>
          <w:rFonts w:asciiTheme="majorBidi" w:eastAsiaTheme="minorEastAsia" w:hAnsiTheme="majorBidi" w:cstheme="majorBidi"/>
          <w:iCs/>
          <w:sz w:val="24"/>
          <w:szCs w:val="24"/>
        </w:rPr>
        <w:t>ahun 2019-202</w:t>
      </w:r>
      <w:r w:rsidR="00DB4FD7">
        <w:rPr>
          <w:rFonts w:asciiTheme="majorBidi" w:eastAsiaTheme="minorEastAsia" w:hAnsiTheme="majorBidi" w:cstheme="majorBidi"/>
          <w:iCs/>
          <w:sz w:val="24"/>
          <w:szCs w:val="24"/>
        </w:rPr>
        <w:t>3:</w:t>
      </w:r>
    </w:p>
    <w:p w14:paraId="745EB8F4" w14:textId="68409AD5" w:rsidR="00C9764B" w:rsidRPr="005279AA" w:rsidRDefault="00C9764B"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10</w:t>
      </w:r>
    </w:p>
    <w:p w14:paraId="0B1FEE2C" w14:textId="52F066E7" w:rsidR="00D4714E" w:rsidRPr="005279AA" w:rsidRDefault="00C9764B"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Data Free Cash Flow </w:t>
      </w:r>
      <w:r w:rsidR="002E456F" w:rsidRPr="005279AA">
        <w:rPr>
          <w:rFonts w:asciiTheme="majorBidi" w:eastAsiaTheme="minorEastAsia" w:hAnsiTheme="majorBidi" w:cstheme="majorBidi"/>
          <w:b/>
          <w:bCs/>
          <w:iCs/>
          <w:sz w:val="24"/>
          <w:szCs w:val="24"/>
          <w:lang w:val="id-ID"/>
        </w:rPr>
        <w:t xml:space="preserve">Perusahaan  </w:t>
      </w:r>
    </w:p>
    <w:p w14:paraId="70EA6026" w14:textId="77FC4294" w:rsidR="00C9764B" w:rsidRPr="005279AA" w:rsidRDefault="002E456F"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Sektor Consumer Non Cyclical </w:t>
      </w:r>
      <w:r w:rsidR="00D4714E" w:rsidRPr="005279AA">
        <w:rPr>
          <w:rFonts w:asciiTheme="majorBidi" w:eastAsiaTheme="minorEastAsia" w:hAnsiTheme="majorBidi" w:cstheme="majorBidi"/>
          <w:b/>
          <w:bCs/>
          <w:iCs/>
          <w:sz w:val="24"/>
          <w:szCs w:val="24"/>
          <w:lang w:val="id-ID"/>
        </w:rPr>
        <w:t xml:space="preserve">Tahun </w:t>
      </w:r>
      <w:r w:rsidRPr="005279AA">
        <w:rPr>
          <w:rFonts w:asciiTheme="majorBidi" w:eastAsiaTheme="minorEastAsia" w:hAnsiTheme="majorBidi" w:cstheme="majorBidi"/>
          <w:b/>
          <w:bCs/>
          <w:iCs/>
          <w:sz w:val="24"/>
          <w:szCs w:val="24"/>
          <w:lang w:val="id-ID"/>
        </w:rPr>
        <w:t>2019-2023</w:t>
      </w:r>
    </w:p>
    <w:p w14:paraId="6C0C865E" w14:textId="13BB2DA6" w:rsidR="005B4F2E" w:rsidRPr="000539A0" w:rsidRDefault="00DE4CD9" w:rsidP="00645E4A">
      <w:pPr>
        <w:pStyle w:val="ListParagraph"/>
        <w:tabs>
          <w:tab w:val="left" w:pos="1701"/>
        </w:tabs>
        <w:spacing w:line="240" w:lineRule="auto"/>
        <w:ind w:left="1080" w:right="3"/>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(dalam persentase %)</w:t>
      </w:r>
    </w:p>
    <w:tbl>
      <w:tblPr>
        <w:tblW w:w="6855" w:type="dxa"/>
        <w:tblInd w:w="1129" w:type="dxa"/>
        <w:tblLook w:val="04A0" w:firstRow="1" w:lastRow="0" w:firstColumn="1" w:lastColumn="0" w:noHBand="0" w:noVBand="1"/>
      </w:tblPr>
      <w:tblGrid>
        <w:gridCol w:w="660"/>
        <w:gridCol w:w="2175"/>
        <w:gridCol w:w="800"/>
        <w:gridCol w:w="820"/>
        <w:gridCol w:w="820"/>
        <w:gridCol w:w="780"/>
        <w:gridCol w:w="800"/>
      </w:tblGrid>
      <w:tr w:rsidR="00B05D21" w:rsidRPr="008708E5" w14:paraId="1D2E0D4E" w14:textId="77777777" w:rsidTr="00645E4A">
        <w:trPr>
          <w:trHeight w:val="315"/>
          <w:tblHeader/>
        </w:trPr>
        <w:tc>
          <w:tcPr>
            <w:tcW w:w="660" w:type="dxa"/>
            <w:vMerge w:val="restart"/>
            <w:tcBorders>
              <w:top w:val="single" w:sz="4" w:space="0" w:color="000000"/>
              <w:left w:val="single" w:sz="4" w:space="0" w:color="000000"/>
              <w:right w:val="single" w:sz="4" w:space="0" w:color="000000"/>
            </w:tcBorders>
            <w:shd w:val="clear" w:color="auto" w:fill="auto"/>
            <w:noWrap/>
            <w:vAlign w:val="center"/>
          </w:tcPr>
          <w:p w14:paraId="6460169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No</w:t>
            </w:r>
          </w:p>
        </w:tc>
        <w:tc>
          <w:tcPr>
            <w:tcW w:w="2175" w:type="dxa"/>
            <w:vMerge w:val="restart"/>
            <w:tcBorders>
              <w:top w:val="single" w:sz="4" w:space="0" w:color="000000"/>
              <w:left w:val="nil"/>
              <w:right w:val="single" w:sz="4" w:space="0" w:color="000000"/>
            </w:tcBorders>
            <w:shd w:val="clear" w:color="auto" w:fill="auto"/>
            <w:noWrap/>
            <w:vAlign w:val="center"/>
          </w:tcPr>
          <w:p w14:paraId="5550CAC5" w14:textId="77777777" w:rsidR="00B05D21" w:rsidRPr="008708E5" w:rsidRDefault="00B05D21" w:rsidP="00645E4A">
            <w:pPr>
              <w:tabs>
                <w:tab w:val="left" w:pos="1809"/>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Kode Saham</w:t>
            </w:r>
          </w:p>
        </w:tc>
        <w:tc>
          <w:tcPr>
            <w:tcW w:w="4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7FCED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Tahun</w:t>
            </w:r>
          </w:p>
        </w:tc>
      </w:tr>
      <w:tr w:rsidR="00B05D21" w:rsidRPr="008708E5" w14:paraId="0C1037A7" w14:textId="77777777" w:rsidTr="00645E4A">
        <w:trPr>
          <w:trHeight w:val="315"/>
          <w:tblHeader/>
        </w:trPr>
        <w:tc>
          <w:tcPr>
            <w:tcW w:w="660" w:type="dxa"/>
            <w:vMerge/>
            <w:tcBorders>
              <w:left w:val="single" w:sz="4" w:space="0" w:color="000000"/>
              <w:bottom w:val="single" w:sz="4" w:space="0" w:color="000000"/>
              <w:right w:val="single" w:sz="4" w:space="0" w:color="000000"/>
            </w:tcBorders>
            <w:shd w:val="clear" w:color="auto" w:fill="auto"/>
            <w:noWrap/>
            <w:vAlign w:val="center"/>
          </w:tcPr>
          <w:p w14:paraId="0AC139F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175" w:type="dxa"/>
            <w:vMerge/>
            <w:tcBorders>
              <w:left w:val="nil"/>
              <w:bottom w:val="single" w:sz="4" w:space="0" w:color="000000"/>
              <w:right w:val="single" w:sz="4" w:space="0" w:color="000000"/>
            </w:tcBorders>
            <w:shd w:val="clear" w:color="auto" w:fill="auto"/>
            <w:noWrap/>
            <w:vAlign w:val="center"/>
          </w:tcPr>
          <w:p w14:paraId="31D956E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8A3A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2019</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6CDB2A8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2EFBC72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2021</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0C12EC1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CF91E6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2023</w:t>
            </w:r>
          </w:p>
        </w:tc>
      </w:tr>
      <w:tr w:rsidR="00B05D21" w:rsidRPr="008708E5" w14:paraId="40B1963C"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6533BA2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w:t>
            </w:r>
          </w:p>
        </w:tc>
        <w:tc>
          <w:tcPr>
            <w:tcW w:w="2175" w:type="dxa"/>
            <w:tcBorders>
              <w:top w:val="nil"/>
              <w:left w:val="nil"/>
              <w:bottom w:val="single" w:sz="4" w:space="0" w:color="000000"/>
              <w:right w:val="single" w:sz="4" w:space="0" w:color="000000"/>
            </w:tcBorders>
            <w:shd w:val="clear" w:color="auto" w:fill="auto"/>
            <w:noWrap/>
            <w:vAlign w:val="center"/>
            <w:hideMark/>
          </w:tcPr>
          <w:p w14:paraId="0C79B57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AMRT</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432CE9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820" w:type="dxa"/>
            <w:tcBorders>
              <w:top w:val="nil"/>
              <w:left w:val="nil"/>
              <w:bottom w:val="single" w:sz="4" w:space="0" w:color="auto"/>
              <w:right w:val="single" w:sz="4" w:space="0" w:color="auto"/>
            </w:tcBorders>
            <w:shd w:val="clear" w:color="auto" w:fill="auto"/>
            <w:noWrap/>
            <w:vAlign w:val="center"/>
            <w:hideMark/>
          </w:tcPr>
          <w:p w14:paraId="1C2CAAE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0.18</w:t>
            </w:r>
          </w:p>
        </w:tc>
        <w:tc>
          <w:tcPr>
            <w:tcW w:w="820" w:type="dxa"/>
            <w:tcBorders>
              <w:top w:val="nil"/>
              <w:left w:val="nil"/>
              <w:bottom w:val="single" w:sz="4" w:space="0" w:color="auto"/>
              <w:right w:val="single" w:sz="4" w:space="0" w:color="auto"/>
            </w:tcBorders>
            <w:shd w:val="clear" w:color="auto" w:fill="auto"/>
            <w:noWrap/>
            <w:vAlign w:val="center"/>
            <w:hideMark/>
          </w:tcPr>
          <w:p w14:paraId="78A572A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0.18</w:t>
            </w:r>
          </w:p>
        </w:tc>
        <w:tc>
          <w:tcPr>
            <w:tcW w:w="780" w:type="dxa"/>
            <w:tcBorders>
              <w:top w:val="nil"/>
              <w:left w:val="nil"/>
              <w:bottom w:val="single" w:sz="4" w:space="0" w:color="auto"/>
              <w:right w:val="single" w:sz="4" w:space="0" w:color="auto"/>
            </w:tcBorders>
            <w:shd w:val="clear" w:color="auto" w:fill="auto"/>
            <w:noWrap/>
            <w:vAlign w:val="center"/>
            <w:hideMark/>
          </w:tcPr>
          <w:p w14:paraId="7E2B56F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0.16</w:t>
            </w:r>
          </w:p>
        </w:tc>
        <w:tc>
          <w:tcPr>
            <w:tcW w:w="800" w:type="dxa"/>
            <w:tcBorders>
              <w:top w:val="nil"/>
              <w:left w:val="nil"/>
              <w:bottom w:val="single" w:sz="4" w:space="0" w:color="auto"/>
              <w:right w:val="single" w:sz="4" w:space="0" w:color="auto"/>
            </w:tcBorders>
            <w:shd w:val="clear" w:color="auto" w:fill="auto"/>
            <w:noWrap/>
            <w:vAlign w:val="center"/>
            <w:hideMark/>
          </w:tcPr>
          <w:p w14:paraId="5FB5134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r>
      <w:tr w:rsidR="00B05D21" w:rsidRPr="008708E5" w14:paraId="26122E67"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77DD56E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2</w:t>
            </w:r>
          </w:p>
        </w:tc>
        <w:tc>
          <w:tcPr>
            <w:tcW w:w="2175" w:type="dxa"/>
            <w:tcBorders>
              <w:top w:val="nil"/>
              <w:left w:val="nil"/>
              <w:bottom w:val="single" w:sz="4" w:space="0" w:color="000000"/>
              <w:right w:val="single" w:sz="4" w:space="0" w:color="000000"/>
            </w:tcBorders>
            <w:shd w:val="clear" w:color="auto" w:fill="auto"/>
            <w:noWrap/>
            <w:vAlign w:val="center"/>
            <w:hideMark/>
          </w:tcPr>
          <w:p w14:paraId="015BFDB1"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BISI</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120291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-0.47</w:t>
            </w:r>
          </w:p>
        </w:tc>
        <w:tc>
          <w:tcPr>
            <w:tcW w:w="820" w:type="dxa"/>
            <w:tcBorders>
              <w:top w:val="nil"/>
              <w:left w:val="nil"/>
              <w:bottom w:val="single" w:sz="4" w:space="0" w:color="auto"/>
              <w:right w:val="single" w:sz="4" w:space="0" w:color="auto"/>
            </w:tcBorders>
            <w:shd w:val="clear" w:color="auto" w:fill="auto"/>
            <w:noWrap/>
            <w:vAlign w:val="center"/>
            <w:hideMark/>
          </w:tcPr>
          <w:p w14:paraId="09D4731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-0.40</w:t>
            </w:r>
          </w:p>
        </w:tc>
        <w:tc>
          <w:tcPr>
            <w:tcW w:w="820" w:type="dxa"/>
            <w:tcBorders>
              <w:top w:val="nil"/>
              <w:left w:val="nil"/>
              <w:bottom w:val="single" w:sz="4" w:space="0" w:color="auto"/>
              <w:right w:val="single" w:sz="4" w:space="0" w:color="auto"/>
            </w:tcBorders>
            <w:shd w:val="clear" w:color="auto" w:fill="auto"/>
            <w:noWrap/>
            <w:vAlign w:val="center"/>
            <w:hideMark/>
          </w:tcPr>
          <w:p w14:paraId="3650906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-0.47</w:t>
            </w:r>
          </w:p>
        </w:tc>
        <w:tc>
          <w:tcPr>
            <w:tcW w:w="780" w:type="dxa"/>
            <w:tcBorders>
              <w:top w:val="nil"/>
              <w:left w:val="nil"/>
              <w:bottom w:val="single" w:sz="4" w:space="0" w:color="auto"/>
              <w:right w:val="single" w:sz="4" w:space="0" w:color="auto"/>
            </w:tcBorders>
            <w:shd w:val="clear" w:color="auto" w:fill="auto"/>
            <w:noWrap/>
            <w:vAlign w:val="center"/>
            <w:hideMark/>
          </w:tcPr>
          <w:p w14:paraId="4BC07EB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-0.51</w:t>
            </w:r>
          </w:p>
        </w:tc>
        <w:tc>
          <w:tcPr>
            <w:tcW w:w="800" w:type="dxa"/>
            <w:tcBorders>
              <w:top w:val="nil"/>
              <w:left w:val="nil"/>
              <w:bottom w:val="single" w:sz="4" w:space="0" w:color="auto"/>
              <w:right w:val="single" w:sz="4" w:space="0" w:color="auto"/>
            </w:tcBorders>
            <w:shd w:val="clear" w:color="auto" w:fill="auto"/>
            <w:noWrap/>
            <w:vAlign w:val="center"/>
            <w:hideMark/>
          </w:tcPr>
          <w:p w14:paraId="32CAB86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-0.70</w:t>
            </w:r>
          </w:p>
        </w:tc>
      </w:tr>
      <w:tr w:rsidR="00B05D21" w:rsidRPr="008708E5" w14:paraId="384AB8BC"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228AE21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3</w:t>
            </w:r>
          </w:p>
        </w:tc>
        <w:tc>
          <w:tcPr>
            <w:tcW w:w="2175" w:type="dxa"/>
            <w:tcBorders>
              <w:top w:val="nil"/>
              <w:left w:val="nil"/>
              <w:bottom w:val="single" w:sz="4" w:space="0" w:color="000000"/>
              <w:right w:val="single" w:sz="4" w:space="0" w:color="000000"/>
            </w:tcBorders>
            <w:shd w:val="clear" w:color="auto" w:fill="auto"/>
            <w:noWrap/>
            <w:vAlign w:val="center"/>
            <w:hideMark/>
          </w:tcPr>
          <w:p w14:paraId="45112AF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BUDI</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EA9CA3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c>
          <w:tcPr>
            <w:tcW w:w="820" w:type="dxa"/>
            <w:tcBorders>
              <w:top w:val="nil"/>
              <w:left w:val="nil"/>
              <w:bottom w:val="single" w:sz="4" w:space="0" w:color="auto"/>
              <w:right w:val="single" w:sz="4" w:space="0" w:color="auto"/>
            </w:tcBorders>
            <w:shd w:val="clear" w:color="auto" w:fill="auto"/>
            <w:noWrap/>
            <w:vAlign w:val="center"/>
            <w:hideMark/>
          </w:tcPr>
          <w:p w14:paraId="12BFE90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820" w:type="dxa"/>
            <w:tcBorders>
              <w:top w:val="nil"/>
              <w:left w:val="nil"/>
              <w:bottom w:val="single" w:sz="4" w:space="0" w:color="auto"/>
              <w:right w:val="single" w:sz="4" w:space="0" w:color="auto"/>
            </w:tcBorders>
            <w:shd w:val="clear" w:color="auto" w:fill="auto"/>
            <w:noWrap/>
            <w:vAlign w:val="center"/>
            <w:hideMark/>
          </w:tcPr>
          <w:p w14:paraId="675AFF0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0.01</w:t>
            </w:r>
          </w:p>
        </w:tc>
        <w:tc>
          <w:tcPr>
            <w:tcW w:w="780" w:type="dxa"/>
            <w:tcBorders>
              <w:top w:val="nil"/>
              <w:left w:val="nil"/>
              <w:bottom w:val="single" w:sz="4" w:space="0" w:color="auto"/>
              <w:right w:val="single" w:sz="4" w:space="0" w:color="auto"/>
            </w:tcBorders>
            <w:shd w:val="clear" w:color="auto" w:fill="auto"/>
            <w:noWrap/>
            <w:vAlign w:val="center"/>
            <w:hideMark/>
          </w:tcPr>
          <w:p w14:paraId="28F71281"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c>
          <w:tcPr>
            <w:tcW w:w="800" w:type="dxa"/>
            <w:tcBorders>
              <w:top w:val="nil"/>
              <w:left w:val="nil"/>
              <w:bottom w:val="single" w:sz="4" w:space="0" w:color="auto"/>
              <w:right w:val="single" w:sz="4" w:space="0" w:color="auto"/>
            </w:tcBorders>
            <w:shd w:val="clear" w:color="auto" w:fill="auto"/>
            <w:noWrap/>
            <w:vAlign w:val="center"/>
            <w:hideMark/>
          </w:tcPr>
          <w:p w14:paraId="298D999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r>
      <w:tr w:rsidR="00B05D21" w:rsidRPr="008708E5" w14:paraId="0767EB46"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259DCD9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4</w:t>
            </w:r>
          </w:p>
        </w:tc>
        <w:tc>
          <w:tcPr>
            <w:tcW w:w="2175" w:type="dxa"/>
            <w:tcBorders>
              <w:top w:val="nil"/>
              <w:left w:val="nil"/>
              <w:bottom w:val="single" w:sz="4" w:space="0" w:color="000000"/>
              <w:right w:val="single" w:sz="4" w:space="0" w:color="000000"/>
            </w:tcBorders>
            <w:shd w:val="clear" w:color="auto" w:fill="auto"/>
            <w:noWrap/>
            <w:vAlign w:val="center"/>
            <w:hideMark/>
          </w:tcPr>
          <w:p w14:paraId="31E472F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CEKA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41B638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-0.29</w:t>
            </w:r>
          </w:p>
        </w:tc>
        <w:tc>
          <w:tcPr>
            <w:tcW w:w="820" w:type="dxa"/>
            <w:tcBorders>
              <w:top w:val="nil"/>
              <w:left w:val="nil"/>
              <w:bottom w:val="single" w:sz="4" w:space="0" w:color="auto"/>
              <w:right w:val="single" w:sz="4" w:space="0" w:color="auto"/>
            </w:tcBorders>
            <w:shd w:val="clear" w:color="auto" w:fill="auto"/>
            <w:noWrap/>
            <w:vAlign w:val="center"/>
            <w:hideMark/>
          </w:tcPr>
          <w:p w14:paraId="49C5AD7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c>
          <w:tcPr>
            <w:tcW w:w="820" w:type="dxa"/>
            <w:tcBorders>
              <w:top w:val="nil"/>
              <w:left w:val="nil"/>
              <w:bottom w:val="single" w:sz="4" w:space="0" w:color="auto"/>
              <w:right w:val="single" w:sz="4" w:space="0" w:color="auto"/>
            </w:tcBorders>
            <w:shd w:val="clear" w:color="auto" w:fill="auto"/>
            <w:noWrap/>
            <w:vAlign w:val="center"/>
            <w:hideMark/>
          </w:tcPr>
          <w:p w14:paraId="3F9CD1B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-0.72</w:t>
            </w:r>
          </w:p>
        </w:tc>
        <w:tc>
          <w:tcPr>
            <w:tcW w:w="780" w:type="dxa"/>
            <w:tcBorders>
              <w:top w:val="nil"/>
              <w:left w:val="nil"/>
              <w:bottom w:val="single" w:sz="4" w:space="0" w:color="auto"/>
              <w:right w:val="single" w:sz="4" w:space="0" w:color="auto"/>
            </w:tcBorders>
            <w:shd w:val="clear" w:color="auto" w:fill="auto"/>
            <w:noWrap/>
            <w:vAlign w:val="center"/>
            <w:hideMark/>
          </w:tcPr>
          <w:p w14:paraId="7E268D1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-0.75</w:t>
            </w:r>
          </w:p>
        </w:tc>
        <w:tc>
          <w:tcPr>
            <w:tcW w:w="800" w:type="dxa"/>
            <w:tcBorders>
              <w:top w:val="nil"/>
              <w:left w:val="nil"/>
              <w:bottom w:val="single" w:sz="4" w:space="0" w:color="auto"/>
              <w:right w:val="single" w:sz="4" w:space="0" w:color="auto"/>
            </w:tcBorders>
            <w:shd w:val="clear" w:color="auto" w:fill="auto"/>
            <w:noWrap/>
            <w:vAlign w:val="center"/>
            <w:hideMark/>
          </w:tcPr>
          <w:p w14:paraId="27FF478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-0.44</w:t>
            </w:r>
          </w:p>
        </w:tc>
      </w:tr>
      <w:tr w:rsidR="00B05D21" w:rsidRPr="008708E5" w14:paraId="65FFB2D3"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38B99F1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5</w:t>
            </w:r>
          </w:p>
        </w:tc>
        <w:tc>
          <w:tcPr>
            <w:tcW w:w="2175" w:type="dxa"/>
            <w:tcBorders>
              <w:top w:val="nil"/>
              <w:left w:val="nil"/>
              <w:bottom w:val="single" w:sz="4" w:space="0" w:color="000000"/>
              <w:right w:val="single" w:sz="4" w:space="0" w:color="000000"/>
            </w:tcBorders>
            <w:shd w:val="clear" w:color="auto" w:fill="auto"/>
            <w:noWrap/>
            <w:vAlign w:val="center"/>
            <w:hideMark/>
          </w:tcPr>
          <w:p w14:paraId="441A0EB3"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CPIN</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6B2C9D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-0.22</w:t>
            </w:r>
          </w:p>
        </w:tc>
        <w:tc>
          <w:tcPr>
            <w:tcW w:w="820" w:type="dxa"/>
            <w:tcBorders>
              <w:top w:val="nil"/>
              <w:left w:val="nil"/>
              <w:bottom w:val="single" w:sz="4" w:space="0" w:color="auto"/>
              <w:right w:val="single" w:sz="4" w:space="0" w:color="auto"/>
            </w:tcBorders>
            <w:shd w:val="clear" w:color="auto" w:fill="auto"/>
            <w:noWrap/>
            <w:vAlign w:val="center"/>
            <w:hideMark/>
          </w:tcPr>
          <w:p w14:paraId="03F5E44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-0.14</w:t>
            </w:r>
          </w:p>
        </w:tc>
        <w:tc>
          <w:tcPr>
            <w:tcW w:w="820" w:type="dxa"/>
            <w:tcBorders>
              <w:top w:val="nil"/>
              <w:left w:val="nil"/>
              <w:bottom w:val="single" w:sz="4" w:space="0" w:color="auto"/>
              <w:right w:val="single" w:sz="4" w:space="0" w:color="auto"/>
            </w:tcBorders>
            <w:shd w:val="clear" w:color="auto" w:fill="auto"/>
            <w:noWrap/>
            <w:vAlign w:val="center"/>
            <w:hideMark/>
          </w:tcPr>
          <w:p w14:paraId="0B43EB0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-0.22</w:t>
            </w:r>
          </w:p>
        </w:tc>
        <w:tc>
          <w:tcPr>
            <w:tcW w:w="780" w:type="dxa"/>
            <w:tcBorders>
              <w:top w:val="nil"/>
              <w:left w:val="nil"/>
              <w:bottom w:val="single" w:sz="4" w:space="0" w:color="auto"/>
              <w:right w:val="single" w:sz="4" w:space="0" w:color="auto"/>
            </w:tcBorders>
            <w:shd w:val="clear" w:color="auto" w:fill="auto"/>
            <w:noWrap/>
            <w:vAlign w:val="center"/>
            <w:hideMark/>
          </w:tcPr>
          <w:p w14:paraId="479B9CC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-0.20</w:t>
            </w:r>
          </w:p>
        </w:tc>
        <w:tc>
          <w:tcPr>
            <w:tcW w:w="800" w:type="dxa"/>
            <w:tcBorders>
              <w:top w:val="nil"/>
              <w:left w:val="nil"/>
              <w:bottom w:val="single" w:sz="4" w:space="0" w:color="auto"/>
              <w:right w:val="single" w:sz="4" w:space="0" w:color="auto"/>
            </w:tcBorders>
            <w:shd w:val="clear" w:color="auto" w:fill="auto"/>
            <w:noWrap/>
            <w:vAlign w:val="center"/>
            <w:hideMark/>
          </w:tcPr>
          <w:p w14:paraId="37DAF54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r>
      <w:tr w:rsidR="00B05D21" w:rsidRPr="008708E5" w14:paraId="4BEDF682"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1D7C3E4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6</w:t>
            </w:r>
          </w:p>
        </w:tc>
        <w:tc>
          <w:tcPr>
            <w:tcW w:w="2175" w:type="dxa"/>
            <w:tcBorders>
              <w:top w:val="nil"/>
              <w:left w:val="nil"/>
              <w:bottom w:val="single" w:sz="4" w:space="0" w:color="000000"/>
              <w:right w:val="single" w:sz="4" w:space="0" w:color="000000"/>
            </w:tcBorders>
            <w:shd w:val="clear" w:color="auto" w:fill="auto"/>
            <w:noWrap/>
            <w:vAlign w:val="center"/>
            <w:hideMark/>
          </w:tcPr>
          <w:p w14:paraId="426E7D7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ICBP</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3D01D3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820" w:type="dxa"/>
            <w:tcBorders>
              <w:top w:val="nil"/>
              <w:left w:val="nil"/>
              <w:bottom w:val="single" w:sz="4" w:space="0" w:color="auto"/>
              <w:right w:val="single" w:sz="4" w:space="0" w:color="auto"/>
            </w:tcBorders>
            <w:shd w:val="clear" w:color="auto" w:fill="auto"/>
            <w:noWrap/>
            <w:vAlign w:val="center"/>
            <w:hideMark/>
          </w:tcPr>
          <w:p w14:paraId="01FE934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-0.04</w:t>
            </w:r>
          </w:p>
        </w:tc>
        <w:tc>
          <w:tcPr>
            <w:tcW w:w="820" w:type="dxa"/>
            <w:tcBorders>
              <w:top w:val="nil"/>
              <w:left w:val="nil"/>
              <w:bottom w:val="single" w:sz="4" w:space="0" w:color="auto"/>
              <w:right w:val="single" w:sz="4" w:space="0" w:color="auto"/>
            </w:tcBorders>
            <w:shd w:val="clear" w:color="auto" w:fill="auto"/>
            <w:noWrap/>
            <w:vAlign w:val="center"/>
            <w:hideMark/>
          </w:tcPr>
          <w:p w14:paraId="1E65477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780" w:type="dxa"/>
            <w:tcBorders>
              <w:top w:val="nil"/>
              <w:left w:val="nil"/>
              <w:bottom w:val="single" w:sz="4" w:space="0" w:color="auto"/>
              <w:right w:val="single" w:sz="4" w:space="0" w:color="auto"/>
            </w:tcBorders>
            <w:shd w:val="clear" w:color="auto" w:fill="auto"/>
            <w:noWrap/>
            <w:vAlign w:val="center"/>
            <w:hideMark/>
          </w:tcPr>
          <w:p w14:paraId="2E7361F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800" w:type="dxa"/>
            <w:tcBorders>
              <w:top w:val="nil"/>
              <w:left w:val="nil"/>
              <w:bottom w:val="single" w:sz="4" w:space="0" w:color="auto"/>
              <w:right w:val="single" w:sz="4" w:space="0" w:color="auto"/>
            </w:tcBorders>
            <w:shd w:val="clear" w:color="auto" w:fill="auto"/>
            <w:noWrap/>
            <w:vAlign w:val="center"/>
            <w:hideMark/>
          </w:tcPr>
          <w:p w14:paraId="1B8156D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r>
      <w:tr w:rsidR="00B05D21" w:rsidRPr="008708E5" w14:paraId="0471FA7A"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0316C91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7</w:t>
            </w:r>
          </w:p>
        </w:tc>
        <w:tc>
          <w:tcPr>
            <w:tcW w:w="2175" w:type="dxa"/>
            <w:tcBorders>
              <w:top w:val="nil"/>
              <w:left w:val="nil"/>
              <w:bottom w:val="single" w:sz="4" w:space="0" w:color="000000"/>
              <w:right w:val="single" w:sz="4" w:space="0" w:color="000000"/>
            </w:tcBorders>
            <w:shd w:val="clear" w:color="auto" w:fill="auto"/>
            <w:noWrap/>
            <w:vAlign w:val="center"/>
            <w:hideMark/>
          </w:tcPr>
          <w:p w14:paraId="1C2D7ED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INDF</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674E1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820" w:type="dxa"/>
            <w:tcBorders>
              <w:top w:val="nil"/>
              <w:left w:val="nil"/>
              <w:bottom w:val="single" w:sz="4" w:space="0" w:color="auto"/>
              <w:right w:val="single" w:sz="4" w:space="0" w:color="auto"/>
            </w:tcBorders>
            <w:shd w:val="clear" w:color="auto" w:fill="auto"/>
            <w:noWrap/>
            <w:vAlign w:val="center"/>
            <w:hideMark/>
          </w:tcPr>
          <w:p w14:paraId="4E2B358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0.00</w:t>
            </w:r>
          </w:p>
        </w:tc>
        <w:tc>
          <w:tcPr>
            <w:tcW w:w="820" w:type="dxa"/>
            <w:tcBorders>
              <w:top w:val="nil"/>
              <w:left w:val="nil"/>
              <w:bottom w:val="single" w:sz="4" w:space="0" w:color="auto"/>
              <w:right w:val="single" w:sz="4" w:space="0" w:color="auto"/>
            </w:tcBorders>
            <w:shd w:val="clear" w:color="auto" w:fill="auto"/>
            <w:noWrap/>
            <w:vAlign w:val="center"/>
            <w:hideMark/>
          </w:tcPr>
          <w:p w14:paraId="6AB2255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0.00</w:t>
            </w:r>
          </w:p>
        </w:tc>
        <w:tc>
          <w:tcPr>
            <w:tcW w:w="780" w:type="dxa"/>
            <w:tcBorders>
              <w:top w:val="nil"/>
              <w:left w:val="nil"/>
              <w:bottom w:val="single" w:sz="4" w:space="0" w:color="auto"/>
              <w:right w:val="single" w:sz="4" w:space="0" w:color="auto"/>
            </w:tcBorders>
            <w:shd w:val="clear" w:color="auto" w:fill="auto"/>
            <w:noWrap/>
            <w:vAlign w:val="center"/>
            <w:hideMark/>
          </w:tcPr>
          <w:p w14:paraId="4F500AA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c>
          <w:tcPr>
            <w:tcW w:w="800" w:type="dxa"/>
            <w:tcBorders>
              <w:top w:val="nil"/>
              <w:left w:val="nil"/>
              <w:bottom w:val="single" w:sz="4" w:space="0" w:color="auto"/>
              <w:right w:val="single" w:sz="4" w:space="0" w:color="auto"/>
            </w:tcBorders>
            <w:shd w:val="clear" w:color="auto" w:fill="auto"/>
            <w:noWrap/>
            <w:vAlign w:val="center"/>
            <w:hideMark/>
          </w:tcPr>
          <w:p w14:paraId="4CB63091"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-0.07</w:t>
            </w:r>
          </w:p>
        </w:tc>
      </w:tr>
      <w:tr w:rsidR="00B05D21" w:rsidRPr="008708E5" w14:paraId="3AD2B288"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23A2DEF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8</w:t>
            </w:r>
          </w:p>
        </w:tc>
        <w:tc>
          <w:tcPr>
            <w:tcW w:w="2175" w:type="dxa"/>
            <w:tcBorders>
              <w:top w:val="nil"/>
              <w:left w:val="nil"/>
              <w:bottom w:val="single" w:sz="4" w:space="0" w:color="000000"/>
              <w:right w:val="single" w:sz="4" w:space="0" w:color="000000"/>
            </w:tcBorders>
            <w:shd w:val="clear" w:color="auto" w:fill="auto"/>
            <w:noWrap/>
            <w:vAlign w:val="center"/>
            <w:hideMark/>
          </w:tcPr>
          <w:p w14:paraId="3A501F2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JPFA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C8770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-0.23</w:t>
            </w:r>
          </w:p>
        </w:tc>
        <w:tc>
          <w:tcPr>
            <w:tcW w:w="820" w:type="dxa"/>
            <w:tcBorders>
              <w:top w:val="nil"/>
              <w:left w:val="nil"/>
              <w:bottom w:val="single" w:sz="4" w:space="0" w:color="auto"/>
              <w:right w:val="single" w:sz="4" w:space="0" w:color="auto"/>
            </w:tcBorders>
            <w:shd w:val="clear" w:color="auto" w:fill="auto"/>
            <w:noWrap/>
            <w:vAlign w:val="center"/>
            <w:hideMark/>
          </w:tcPr>
          <w:p w14:paraId="5B8A5F0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820" w:type="dxa"/>
            <w:tcBorders>
              <w:top w:val="nil"/>
              <w:left w:val="nil"/>
              <w:bottom w:val="single" w:sz="4" w:space="0" w:color="auto"/>
              <w:right w:val="single" w:sz="4" w:space="0" w:color="auto"/>
            </w:tcBorders>
            <w:shd w:val="clear" w:color="auto" w:fill="auto"/>
            <w:noWrap/>
            <w:vAlign w:val="center"/>
            <w:hideMark/>
          </w:tcPr>
          <w:p w14:paraId="666C0DB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-0.25</w:t>
            </w:r>
          </w:p>
        </w:tc>
        <w:tc>
          <w:tcPr>
            <w:tcW w:w="780" w:type="dxa"/>
            <w:tcBorders>
              <w:top w:val="nil"/>
              <w:left w:val="nil"/>
              <w:bottom w:val="single" w:sz="4" w:space="0" w:color="auto"/>
              <w:right w:val="single" w:sz="4" w:space="0" w:color="auto"/>
            </w:tcBorders>
            <w:shd w:val="clear" w:color="auto" w:fill="auto"/>
            <w:noWrap/>
            <w:vAlign w:val="center"/>
            <w:hideMark/>
          </w:tcPr>
          <w:p w14:paraId="5A58247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-0.23</w:t>
            </w:r>
          </w:p>
        </w:tc>
        <w:tc>
          <w:tcPr>
            <w:tcW w:w="800" w:type="dxa"/>
            <w:tcBorders>
              <w:top w:val="nil"/>
              <w:left w:val="nil"/>
              <w:bottom w:val="single" w:sz="4" w:space="0" w:color="auto"/>
              <w:right w:val="single" w:sz="4" w:space="0" w:color="auto"/>
            </w:tcBorders>
            <w:shd w:val="clear" w:color="auto" w:fill="auto"/>
            <w:noWrap/>
            <w:vAlign w:val="center"/>
            <w:hideMark/>
          </w:tcPr>
          <w:p w14:paraId="027AC48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r>
      <w:tr w:rsidR="00B05D21" w:rsidRPr="008708E5" w14:paraId="5E884048"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4017E16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9</w:t>
            </w:r>
          </w:p>
        </w:tc>
        <w:tc>
          <w:tcPr>
            <w:tcW w:w="2175" w:type="dxa"/>
            <w:tcBorders>
              <w:top w:val="nil"/>
              <w:left w:val="nil"/>
              <w:bottom w:val="single" w:sz="4" w:space="0" w:color="000000"/>
              <w:right w:val="single" w:sz="4" w:space="0" w:color="000000"/>
            </w:tcBorders>
            <w:shd w:val="clear" w:color="auto" w:fill="auto"/>
            <w:noWrap/>
            <w:vAlign w:val="center"/>
            <w:hideMark/>
          </w:tcPr>
          <w:p w14:paraId="6F2FF12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LSIP</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436E3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-0.13</w:t>
            </w:r>
          </w:p>
        </w:tc>
        <w:tc>
          <w:tcPr>
            <w:tcW w:w="820" w:type="dxa"/>
            <w:tcBorders>
              <w:top w:val="nil"/>
              <w:left w:val="nil"/>
              <w:bottom w:val="single" w:sz="4" w:space="0" w:color="auto"/>
              <w:right w:val="single" w:sz="4" w:space="0" w:color="auto"/>
            </w:tcBorders>
            <w:shd w:val="clear" w:color="auto" w:fill="auto"/>
            <w:noWrap/>
            <w:vAlign w:val="center"/>
            <w:hideMark/>
          </w:tcPr>
          <w:p w14:paraId="3EE7F00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-0.09</w:t>
            </w:r>
          </w:p>
        </w:tc>
        <w:tc>
          <w:tcPr>
            <w:tcW w:w="820" w:type="dxa"/>
            <w:tcBorders>
              <w:top w:val="nil"/>
              <w:left w:val="nil"/>
              <w:bottom w:val="single" w:sz="4" w:space="0" w:color="auto"/>
              <w:right w:val="single" w:sz="4" w:space="0" w:color="auto"/>
            </w:tcBorders>
            <w:shd w:val="clear" w:color="auto" w:fill="auto"/>
            <w:noWrap/>
            <w:vAlign w:val="center"/>
            <w:hideMark/>
          </w:tcPr>
          <w:p w14:paraId="62EEF66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-0.11</w:t>
            </w:r>
          </w:p>
        </w:tc>
        <w:tc>
          <w:tcPr>
            <w:tcW w:w="780" w:type="dxa"/>
            <w:tcBorders>
              <w:top w:val="nil"/>
              <w:left w:val="nil"/>
              <w:bottom w:val="single" w:sz="4" w:space="0" w:color="auto"/>
              <w:right w:val="single" w:sz="4" w:space="0" w:color="auto"/>
            </w:tcBorders>
            <w:shd w:val="clear" w:color="auto" w:fill="auto"/>
            <w:noWrap/>
            <w:vAlign w:val="center"/>
            <w:hideMark/>
          </w:tcPr>
          <w:p w14:paraId="0470D04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-0.25</w:t>
            </w:r>
          </w:p>
        </w:tc>
        <w:tc>
          <w:tcPr>
            <w:tcW w:w="800" w:type="dxa"/>
            <w:tcBorders>
              <w:top w:val="nil"/>
              <w:left w:val="nil"/>
              <w:bottom w:val="single" w:sz="4" w:space="0" w:color="auto"/>
              <w:right w:val="single" w:sz="4" w:space="0" w:color="auto"/>
            </w:tcBorders>
            <w:shd w:val="clear" w:color="auto" w:fill="auto"/>
            <w:noWrap/>
            <w:vAlign w:val="center"/>
            <w:hideMark/>
          </w:tcPr>
          <w:p w14:paraId="76F2DFF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-0.26</w:t>
            </w:r>
          </w:p>
        </w:tc>
      </w:tr>
      <w:tr w:rsidR="00B05D21" w:rsidRPr="008708E5" w14:paraId="71886C2C"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2C16F3B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10</w:t>
            </w:r>
          </w:p>
        </w:tc>
        <w:tc>
          <w:tcPr>
            <w:tcW w:w="2175" w:type="dxa"/>
            <w:tcBorders>
              <w:top w:val="nil"/>
              <w:left w:val="nil"/>
              <w:bottom w:val="single" w:sz="4" w:space="0" w:color="000000"/>
              <w:right w:val="single" w:sz="4" w:space="0" w:color="000000"/>
            </w:tcBorders>
            <w:shd w:val="clear" w:color="auto" w:fill="auto"/>
            <w:noWrap/>
            <w:vAlign w:val="center"/>
            <w:hideMark/>
          </w:tcPr>
          <w:p w14:paraId="0791242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MYOR</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24B02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-0.33</w:t>
            </w:r>
          </w:p>
        </w:tc>
        <w:tc>
          <w:tcPr>
            <w:tcW w:w="820" w:type="dxa"/>
            <w:tcBorders>
              <w:top w:val="nil"/>
              <w:left w:val="nil"/>
              <w:bottom w:val="single" w:sz="4" w:space="0" w:color="auto"/>
              <w:right w:val="single" w:sz="4" w:space="0" w:color="auto"/>
            </w:tcBorders>
            <w:shd w:val="clear" w:color="auto" w:fill="auto"/>
            <w:noWrap/>
            <w:vAlign w:val="center"/>
            <w:hideMark/>
          </w:tcPr>
          <w:p w14:paraId="2885B22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-0.36</w:t>
            </w:r>
          </w:p>
        </w:tc>
        <w:tc>
          <w:tcPr>
            <w:tcW w:w="820" w:type="dxa"/>
            <w:tcBorders>
              <w:top w:val="nil"/>
              <w:left w:val="nil"/>
              <w:bottom w:val="single" w:sz="4" w:space="0" w:color="auto"/>
              <w:right w:val="single" w:sz="4" w:space="0" w:color="auto"/>
            </w:tcBorders>
            <w:shd w:val="clear" w:color="auto" w:fill="auto"/>
            <w:noWrap/>
            <w:vAlign w:val="center"/>
            <w:hideMark/>
          </w:tcPr>
          <w:p w14:paraId="2C10B65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-0.34</w:t>
            </w:r>
          </w:p>
        </w:tc>
        <w:tc>
          <w:tcPr>
            <w:tcW w:w="780" w:type="dxa"/>
            <w:tcBorders>
              <w:top w:val="nil"/>
              <w:left w:val="nil"/>
              <w:bottom w:val="single" w:sz="4" w:space="0" w:color="auto"/>
              <w:right w:val="single" w:sz="4" w:space="0" w:color="auto"/>
            </w:tcBorders>
            <w:shd w:val="clear" w:color="auto" w:fill="auto"/>
            <w:noWrap/>
            <w:vAlign w:val="center"/>
            <w:hideMark/>
          </w:tcPr>
          <w:p w14:paraId="18312E6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-0.35</w:t>
            </w:r>
          </w:p>
        </w:tc>
        <w:tc>
          <w:tcPr>
            <w:tcW w:w="800" w:type="dxa"/>
            <w:tcBorders>
              <w:top w:val="nil"/>
              <w:left w:val="nil"/>
              <w:bottom w:val="single" w:sz="4" w:space="0" w:color="auto"/>
              <w:right w:val="single" w:sz="4" w:space="0" w:color="auto"/>
            </w:tcBorders>
            <w:shd w:val="clear" w:color="auto" w:fill="auto"/>
            <w:noWrap/>
            <w:vAlign w:val="center"/>
            <w:hideMark/>
          </w:tcPr>
          <w:p w14:paraId="31CF1C9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-0.29</w:t>
            </w:r>
          </w:p>
        </w:tc>
      </w:tr>
      <w:tr w:rsidR="00B05D21" w:rsidRPr="008708E5" w14:paraId="4E818A5D"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19AAD15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11</w:t>
            </w:r>
          </w:p>
        </w:tc>
        <w:tc>
          <w:tcPr>
            <w:tcW w:w="2175" w:type="dxa"/>
            <w:tcBorders>
              <w:top w:val="nil"/>
              <w:left w:val="nil"/>
              <w:bottom w:val="single" w:sz="4" w:space="0" w:color="000000"/>
              <w:right w:val="single" w:sz="4" w:space="0" w:color="000000"/>
            </w:tcBorders>
            <w:shd w:val="clear" w:color="auto" w:fill="auto"/>
            <w:noWrap/>
            <w:vAlign w:val="center"/>
            <w:hideMark/>
          </w:tcPr>
          <w:p w14:paraId="492DCC1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SDPC</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FBBE9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-0.15</w:t>
            </w:r>
          </w:p>
        </w:tc>
        <w:tc>
          <w:tcPr>
            <w:tcW w:w="820" w:type="dxa"/>
            <w:tcBorders>
              <w:top w:val="nil"/>
              <w:left w:val="nil"/>
              <w:bottom w:val="single" w:sz="4" w:space="0" w:color="auto"/>
              <w:right w:val="single" w:sz="4" w:space="0" w:color="auto"/>
            </w:tcBorders>
            <w:shd w:val="clear" w:color="auto" w:fill="auto"/>
            <w:noWrap/>
            <w:vAlign w:val="center"/>
            <w:hideMark/>
          </w:tcPr>
          <w:p w14:paraId="60CB62B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-0.06</w:t>
            </w:r>
          </w:p>
        </w:tc>
        <w:tc>
          <w:tcPr>
            <w:tcW w:w="820" w:type="dxa"/>
            <w:tcBorders>
              <w:top w:val="nil"/>
              <w:left w:val="nil"/>
              <w:bottom w:val="single" w:sz="4" w:space="0" w:color="auto"/>
              <w:right w:val="single" w:sz="4" w:space="0" w:color="auto"/>
            </w:tcBorders>
            <w:shd w:val="clear" w:color="auto" w:fill="auto"/>
            <w:noWrap/>
            <w:vAlign w:val="center"/>
            <w:hideMark/>
          </w:tcPr>
          <w:p w14:paraId="75973223"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-0.13</w:t>
            </w:r>
          </w:p>
        </w:tc>
        <w:tc>
          <w:tcPr>
            <w:tcW w:w="780" w:type="dxa"/>
            <w:tcBorders>
              <w:top w:val="nil"/>
              <w:left w:val="nil"/>
              <w:bottom w:val="single" w:sz="4" w:space="0" w:color="auto"/>
              <w:right w:val="single" w:sz="4" w:space="0" w:color="auto"/>
            </w:tcBorders>
            <w:shd w:val="clear" w:color="auto" w:fill="auto"/>
            <w:noWrap/>
            <w:vAlign w:val="center"/>
            <w:hideMark/>
          </w:tcPr>
          <w:p w14:paraId="446B6E3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-0.19</w:t>
            </w:r>
          </w:p>
        </w:tc>
        <w:tc>
          <w:tcPr>
            <w:tcW w:w="800" w:type="dxa"/>
            <w:tcBorders>
              <w:top w:val="nil"/>
              <w:left w:val="nil"/>
              <w:bottom w:val="single" w:sz="4" w:space="0" w:color="auto"/>
              <w:right w:val="single" w:sz="4" w:space="0" w:color="auto"/>
            </w:tcBorders>
            <w:shd w:val="clear" w:color="auto" w:fill="auto"/>
            <w:noWrap/>
            <w:vAlign w:val="center"/>
            <w:hideMark/>
          </w:tcPr>
          <w:p w14:paraId="6870E80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-0.20</w:t>
            </w:r>
          </w:p>
        </w:tc>
      </w:tr>
      <w:tr w:rsidR="00B05D21" w:rsidRPr="008708E5" w14:paraId="50C5AC9C"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5AA5F25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12</w:t>
            </w:r>
          </w:p>
        </w:tc>
        <w:tc>
          <w:tcPr>
            <w:tcW w:w="2175" w:type="dxa"/>
            <w:tcBorders>
              <w:top w:val="nil"/>
              <w:left w:val="nil"/>
              <w:bottom w:val="single" w:sz="4" w:space="0" w:color="000000"/>
              <w:right w:val="single" w:sz="4" w:space="0" w:color="000000"/>
            </w:tcBorders>
            <w:shd w:val="clear" w:color="auto" w:fill="auto"/>
            <w:noWrap/>
            <w:vAlign w:val="center"/>
            <w:hideMark/>
          </w:tcPr>
          <w:p w14:paraId="2B4FDF2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TBLA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230E7A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820" w:type="dxa"/>
            <w:tcBorders>
              <w:top w:val="nil"/>
              <w:left w:val="nil"/>
              <w:bottom w:val="single" w:sz="4" w:space="0" w:color="auto"/>
              <w:right w:val="single" w:sz="4" w:space="0" w:color="auto"/>
            </w:tcBorders>
            <w:shd w:val="clear" w:color="auto" w:fill="auto"/>
            <w:noWrap/>
            <w:vAlign w:val="center"/>
            <w:hideMark/>
          </w:tcPr>
          <w:p w14:paraId="193407F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-0.17</w:t>
            </w:r>
          </w:p>
        </w:tc>
        <w:tc>
          <w:tcPr>
            <w:tcW w:w="820" w:type="dxa"/>
            <w:tcBorders>
              <w:top w:val="nil"/>
              <w:left w:val="nil"/>
              <w:bottom w:val="single" w:sz="4" w:space="0" w:color="auto"/>
              <w:right w:val="single" w:sz="4" w:space="0" w:color="auto"/>
            </w:tcBorders>
            <w:shd w:val="clear" w:color="auto" w:fill="auto"/>
            <w:noWrap/>
            <w:vAlign w:val="center"/>
            <w:hideMark/>
          </w:tcPr>
          <w:p w14:paraId="7C22C38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c>
          <w:tcPr>
            <w:tcW w:w="780" w:type="dxa"/>
            <w:tcBorders>
              <w:top w:val="nil"/>
              <w:left w:val="nil"/>
              <w:bottom w:val="single" w:sz="4" w:space="0" w:color="auto"/>
              <w:right w:val="single" w:sz="4" w:space="0" w:color="auto"/>
            </w:tcBorders>
            <w:shd w:val="clear" w:color="auto" w:fill="auto"/>
            <w:noWrap/>
            <w:vAlign w:val="center"/>
            <w:hideMark/>
          </w:tcPr>
          <w:p w14:paraId="5CB41DB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c>
          <w:tcPr>
            <w:tcW w:w="800" w:type="dxa"/>
            <w:tcBorders>
              <w:top w:val="nil"/>
              <w:left w:val="nil"/>
              <w:bottom w:val="single" w:sz="4" w:space="0" w:color="auto"/>
              <w:right w:val="single" w:sz="4" w:space="0" w:color="auto"/>
            </w:tcBorders>
            <w:shd w:val="clear" w:color="auto" w:fill="auto"/>
            <w:noWrap/>
            <w:vAlign w:val="center"/>
            <w:hideMark/>
          </w:tcPr>
          <w:p w14:paraId="04E498C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-0.23</w:t>
            </w:r>
          </w:p>
        </w:tc>
      </w:tr>
      <w:tr w:rsidR="00B05D21" w:rsidRPr="008708E5" w14:paraId="1BE8C59E" w14:textId="77777777" w:rsidTr="00645E4A">
        <w:trPr>
          <w:trHeight w:val="31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14:paraId="4A7BBDD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13</w:t>
            </w:r>
          </w:p>
        </w:tc>
        <w:tc>
          <w:tcPr>
            <w:tcW w:w="2175" w:type="dxa"/>
            <w:tcBorders>
              <w:top w:val="nil"/>
              <w:left w:val="nil"/>
              <w:bottom w:val="single" w:sz="4" w:space="0" w:color="000000"/>
              <w:right w:val="single" w:sz="4" w:space="0" w:color="000000"/>
            </w:tcBorders>
            <w:shd w:val="clear" w:color="auto" w:fill="auto"/>
            <w:noWrap/>
            <w:vAlign w:val="center"/>
            <w:hideMark/>
          </w:tcPr>
          <w:p w14:paraId="082F449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GOOD</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671A0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-0.14</w:t>
            </w:r>
          </w:p>
        </w:tc>
        <w:tc>
          <w:tcPr>
            <w:tcW w:w="820" w:type="dxa"/>
            <w:tcBorders>
              <w:top w:val="nil"/>
              <w:left w:val="nil"/>
              <w:bottom w:val="single" w:sz="4" w:space="0" w:color="auto"/>
              <w:right w:val="single" w:sz="4" w:space="0" w:color="auto"/>
            </w:tcBorders>
            <w:shd w:val="clear" w:color="auto" w:fill="auto"/>
            <w:noWrap/>
            <w:vAlign w:val="center"/>
            <w:hideMark/>
          </w:tcPr>
          <w:p w14:paraId="465DD80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-0.10</w:t>
            </w:r>
          </w:p>
        </w:tc>
        <w:tc>
          <w:tcPr>
            <w:tcW w:w="820" w:type="dxa"/>
            <w:tcBorders>
              <w:top w:val="nil"/>
              <w:left w:val="nil"/>
              <w:bottom w:val="single" w:sz="4" w:space="0" w:color="auto"/>
              <w:right w:val="single" w:sz="4" w:space="0" w:color="auto"/>
            </w:tcBorders>
            <w:shd w:val="clear" w:color="auto" w:fill="auto"/>
            <w:noWrap/>
            <w:vAlign w:val="center"/>
            <w:hideMark/>
          </w:tcPr>
          <w:p w14:paraId="193576D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-0.08</w:t>
            </w:r>
          </w:p>
        </w:tc>
        <w:tc>
          <w:tcPr>
            <w:tcW w:w="780" w:type="dxa"/>
            <w:tcBorders>
              <w:top w:val="nil"/>
              <w:left w:val="nil"/>
              <w:bottom w:val="single" w:sz="4" w:space="0" w:color="auto"/>
              <w:right w:val="single" w:sz="4" w:space="0" w:color="auto"/>
            </w:tcBorders>
            <w:shd w:val="clear" w:color="auto" w:fill="auto"/>
            <w:noWrap/>
            <w:vAlign w:val="center"/>
            <w:hideMark/>
          </w:tcPr>
          <w:p w14:paraId="331BBD1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-0.14</w:t>
            </w:r>
          </w:p>
        </w:tc>
        <w:tc>
          <w:tcPr>
            <w:tcW w:w="800" w:type="dxa"/>
            <w:tcBorders>
              <w:top w:val="nil"/>
              <w:left w:val="nil"/>
              <w:bottom w:val="single" w:sz="4" w:space="0" w:color="auto"/>
              <w:right w:val="single" w:sz="4" w:space="0" w:color="auto"/>
            </w:tcBorders>
            <w:shd w:val="clear" w:color="auto" w:fill="auto"/>
            <w:noWrap/>
            <w:vAlign w:val="center"/>
            <w:hideMark/>
          </w:tcPr>
          <w:p w14:paraId="4A32DA2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-0.12</w:t>
            </w:r>
          </w:p>
        </w:tc>
      </w:tr>
      <w:tr w:rsidR="00B05D21" w:rsidRPr="008708E5" w14:paraId="3297AAF2" w14:textId="77777777" w:rsidTr="00645E4A">
        <w:trPr>
          <w:trHeight w:val="315"/>
        </w:trPr>
        <w:tc>
          <w:tcPr>
            <w:tcW w:w="660" w:type="dxa"/>
            <w:tcBorders>
              <w:top w:val="nil"/>
              <w:left w:val="single" w:sz="4" w:space="0" w:color="000000"/>
              <w:bottom w:val="nil"/>
              <w:right w:val="single" w:sz="4" w:space="0" w:color="000000"/>
            </w:tcBorders>
            <w:shd w:val="clear" w:color="auto" w:fill="auto"/>
            <w:noWrap/>
            <w:vAlign w:val="center"/>
            <w:hideMark/>
          </w:tcPr>
          <w:p w14:paraId="4BF20CF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14</w:t>
            </w:r>
          </w:p>
        </w:tc>
        <w:tc>
          <w:tcPr>
            <w:tcW w:w="2175" w:type="dxa"/>
            <w:tcBorders>
              <w:top w:val="nil"/>
              <w:left w:val="nil"/>
              <w:bottom w:val="nil"/>
              <w:right w:val="single" w:sz="4" w:space="0" w:color="000000"/>
            </w:tcBorders>
            <w:shd w:val="clear" w:color="auto" w:fill="auto"/>
            <w:noWrap/>
            <w:vAlign w:val="center"/>
            <w:hideMark/>
          </w:tcPr>
          <w:p w14:paraId="1FE9813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HMSP</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C0F922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-0.26</w:t>
            </w:r>
          </w:p>
        </w:tc>
        <w:tc>
          <w:tcPr>
            <w:tcW w:w="820" w:type="dxa"/>
            <w:tcBorders>
              <w:top w:val="nil"/>
              <w:left w:val="nil"/>
              <w:bottom w:val="single" w:sz="4" w:space="0" w:color="auto"/>
              <w:right w:val="single" w:sz="4" w:space="0" w:color="auto"/>
            </w:tcBorders>
            <w:shd w:val="clear" w:color="auto" w:fill="auto"/>
            <w:noWrap/>
            <w:vAlign w:val="center"/>
            <w:hideMark/>
          </w:tcPr>
          <w:p w14:paraId="5C675E6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-0.26</w:t>
            </w:r>
          </w:p>
        </w:tc>
        <w:tc>
          <w:tcPr>
            <w:tcW w:w="820" w:type="dxa"/>
            <w:tcBorders>
              <w:top w:val="nil"/>
              <w:left w:val="nil"/>
              <w:bottom w:val="single" w:sz="4" w:space="0" w:color="auto"/>
              <w:right w:val="single" w:sz="4" w:space="0" w:color="auto"/>
            </w:tcBorders>
            <w:shd w:val="clear" w:color="auto" w:fill="auto"/>
            <w:noWrap/>
            <w:vAlign w:val="center"/>
            <w:hideMark/>
          </w:tcPr>
          <w:p w14:paraId="049C722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-0.18</w:t>
            </w:r>
          </w:p>
        </w:tc>
        <w:tc>
          <w:tcPr>
            <w:tcW w:w="780" w:type="dxa"/>
            <w:tcBorders>
              <w:top w:val="nil"/>
              <w:left w:val="nil"/>
              <w:bottom w:val="single" w:sz="4" w:space="0" w:color="auto"/>
              <w:right w:val="single" w:sz="4" w:space="0" w:color="auto"/>
            </w:tcBorders>
            <w:shd w:val="clear" w:color="auto" w:fill="auto"/>
            <w:noWrap/>
            <w:vAlign w:val="center"/>
            <w:hideMark/>
          </w:tcPr>
          <w:p w14:paraId="00D3FD8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-0.20</w:t>
            </w:r>
          </w:p>
        </w:tc>
        <w:tc>
          <w:tcPr>
            <w:tcW w:w="800" w:type="dxa"/>
            <w:tcBorders>
              <w:top w:val="nil"/>
              <w:left w:val="nil"/>
              <w:bottom w:val="single" w:sz="4" w:space="0" w:color="auto"/>
              <w:right w:val="single" w:sz="4" w:space="0" w:color="auto"/>
            </w:tcBorders>
            <w:shd w:val="clear" w:color="auto" w:fill="auto"/>
            <w:noWrap/>
            <w:vAlign w:val="center"/>
            <w:hideMark/>
          </w:tcPr>
          <w:p w14:paraId="5FB15F0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-0.26</w:t>
            </w:r>
          </w:p>
        </w:tc>
      </w:tr>
      <w:tr w:rsidR="00B05D21" w:rsidRPr="008708E5" w14:paraId="6B8AC85F" w14:textId="77777777" w:rsidTr="00645E4A">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E093"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15</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4E055F5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UNVR</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F28454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0.61</w:t>
            </w:r>
          </w:p>
        </w:tc>
        <w:tc>
          <w:tcPr>
            <w:tcW w:w="820" w:type="dxa"/>
            <w:tcBorders>
              <w:top w:val="nil"/>
              <w:left w:val="nil"/>
              <w:bottom w:val="single" w:sz="4" w:space="0" w:color="auto"/>
              <w:right w:val="single" w:sz="4" w:space="0" w:color="auto"/>
            </w:tcBorders>
            <w:shd w:val="clear" w:color="auto" w:fill="auto"/>
            <w:noWrap/>
            <w:vAlign w:val="center"/>
            <w:hideMark/>
          </w:tcPr>
          <w:p w14:paraId="06F6B47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0.62</w:t>
            </w:r>
          </w:p>
        </w:tc>
        <w:tc>
          <w:tcPr>
            <w:tcW w:w="820" w:type="dxa"/>
            <w:tcBorders>
              <w:top w:val="nil"/>
              <w:left w:val="nil"/>
              <w:bottom w:val="single" w:sz="4" w:space="0" w:color="auto"/>
              <w:right w:val="single" w:sz="4" w:space="0" w:color="auto"/>
            </w:tcBorders>
            <w:shd w:val="clear" w:color="auto" w:fill="auto"/>
            <w:noWrap/>
            <w:vAlign w:val="center"/>
            <w:hideMark/>
          </w:tcPr>
          <w:p w14:paraId="41764D3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0.67</w:t>
            </w:r>
          </w:p>
        </w:tc>
        <w:tc>
          <w:tcPr>
            <w:tcW w:w="780" w:type="dxa"/>
            <w:tcBorders>
              <w:top w:val="nil"/>
              <w:left w:val="nil"/>
              <w:bottom w:val="single" w:sz="4" w:space="0" w:color="auto"/>
              <w:right w:val="single" w:sz="4" w:space="0" w:color="auto"/>
            </w:tcBorders>
            <w:shd w:val="clear" w:color="auto" w:fill="auto"/>
            <w:noWrap/>
            <w:vAlign w:val="center"/>
            <w:hideMark/>
          </w:tcPr>
          <w:p w14:paraId="727D06D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17CCB2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0.72</w:t>
            </w:r>
          </w:p>
        </w:tc>
      </w:tr>
      <w:tr w:rsidR="00B05D21" w:rsidRPr="008708E5" w14:paraId="5A664D10" w14:textId="77777777" w:rsidTr="00645E4A">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5D49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Terendah</w:t>
            </w:r>
          </w:p>
        </w:tc>
        <w:tc>
          <w:tcPr>
            <w:tcW w:w="40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2A0DF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-0.752</w:t>
            </w:r>
          </w:p>
        </w:tc>
      </w:tr>
      <w:tr w:rsidR="00B05D21" w:rsidRPr="008708E5" w14:paraId="0EB6E58B" w14:textId="77777777" w:rsidTr="00645E4A">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74F9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Tertinggi</w:t>
            </w:r>
          </w:p>
        </w:tc>
        <w:tc>
          <w:tcPr>
            <w:tcW w:w="40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A4C8C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0.723</w:t>
            </w:r>
          </w:p>
        </w:tc>
      </w:tr>
      <w:tr w:rsidR="00B05D21" w:rsidRPr="005279AA" w14:paraId="458404FB" w14:textId="77777777" w:rsidTr="00645E4A">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0ACE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Rata-Rata</w:t>
            </w:r>
          </w:p>
        </w:tc>
        <w:tc>
          <w:tcPr>
            <w:tcW w:w="40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462EF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-0.125</w:t>
            </w:r>
          </w:p>
        </w:tc>
      </w:tr>
    </w:tbl>
    <w:p w14:paraId="26422774" w14:textId="5C308ECC" w:rsidR="000805B5" w:rsidRDefault="0057737A" w:rsidP="00645E4A">
      <w:pPr>
        <w:tabs>
          <w:tab w:val="left" w:pos="1701"/>
        </w:tabs>
        <w:spacing w:line="240" w:lineRule="auto"/>
        <w:ind w:left="1134"/>
        <w:jc w:val="both"/>
        <w:rPr>
          <w:rFonts w:asciiTheme="majorBidi" w:eastAsiaTheme="minorEastAsia" w:hAnsiTheme="majorBidi" w:cstheme="majorBidi"/>
          <w:iCs/>
        </w:rPr>
      </w:pPr>
      <w:r w:rsidRPr="005279AA">
        <w:rPr>
          <w:rFonts w:asciiTheme="majorBidi" w:eastAsiaTheme="minorEastAsia" w:hAnsiTheme="majorBidi" w:cstheme="majorBidi"/>
          <w:iCs/>
          <w:lang w:val="id-ID"/>
        </w:rPr>
        <w:t>Sumber</w:t>
      </w:r>
      <w:r w:rsidR="00D974B3" w:rsidRPr="005279AA">
        <w:rPr>
          <w:rFonts w:asciiTheme="majorBidi" w:eastAsiaTheme="minorEastAsia" w:hAnsiTheme="majorBidi" w:cstheme="majorBidi"/>
          <w:iCs/>
          <w:lang w:val="id-ID"/>
        </w:rPr>
        <w:t xml:space="preserve">: </w:t>
      </w:r>
      <w:r w:rsidRPr="005279AA">
        <w:rPr>
          <w:rFonts w:asciiTheme="majorBidi" w:eastAsiaTheme="minorEastAsia" w:hAnsiTheme="majorBidi" w:cstheme="majorBidi"/>
          <w:iCs/>
          <w:lang w:val="id-ID"/>
        </w:rPr>
        <w:t xml:space="preserve">Laporan </w:t>
      </w:r>
      <w:r w:rsidR="00D974B3" w:rsidRPr="005279AA">
        <w:rPr>
          <w:rFonts w:asciiTheme="majorBidi" w:eastAsiaTheme="minorEastAsia" w:hAnsiTheme="majorBidi" w:cstheme="majorBidi"/>
          <w:iCs/>
          <w:lang w:val="id-ID"/>
        </w:rPr>
        <w:t xml:space="preserve">Keuangan Tahunan </w:t>
      </w:r>
      <w:r w:rsidR="00D974B3">
        <w:rPr>
          <w:rFonts w:asciiTheme="majorBidi" w:eastAsiaTheme="minorEastAsia" w:hAnsiTheme="majorBidi" w:cstheme="majorBidi"/>
          <w:iCs/>
        </w:rPr>
        <w:t xml:space="preserve">Perusahaan Sektor </w:t>
      </w:r>
      <w:r w:rsidR="00D974B3" w:rsidRPr="005279AA">
        <w:rPr>
          <w:rFonts w:asciiTheme="majorBidi" w:eastAsiaTheme="minorEastAsia" w:hAnsiTheme="majorBidi" w:cstheme="majorBidi"/>
          <w:iCs/>
          <w:lang w:val="id-ID"/>
        </w:rPr>
        <w:t>Consumer Non Cyclical 2019-202</w:t>
      </w:r>
      <w:r w:rsidR="00D974B3">
        <w:rPr>
          <w:rFonts w:asciiTheme="majorBidi" w:eastAsiaTheme="minorEastAsia" w:hAnsiTheme="majorBidi" w:cstheme="majorBidi"/>
          <w:iCs/>
        </w:rPr>
        <w:t>3</w:t>
      </w:r>
    </w:p>
    <w:p w14:paraId="5B8182AE" w14:textId="14C93F09" w:rsidR="002323D2" w:rsidRPr="00CC00B3"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data </w:t>
      </w:r>
      <w:r w:rsidRPr="00CC00B3">
        <w:rPr>
          <w:rFonts w:asciiTheme="majorBidi" w:eastAsiaTheme="minorEastAsia" w:hAnsiTheme="majorBidi" w:cstheme="majorBidi"/>
          <w:i/>
          <w:sz w:val="24"/>
          <w:szCs w:val="24"/>
        </w:rPr>
        <w:t>Free Cash Flow</w:t>
      </w:r>
      <w:r w:rsidRPr="00CC00B3">
        <w:rPr>
          <w:rFonts w:asciiTheme="majorBidi" w:eastAsiaTheme="minorEastAsia" w:hAnsiTheme="majorBidi" w:cstheme="majorBidi"/>
          <w:iCs/>
          <w:sz w:val="24"/>
          <w:szCs w:val="24"/>
        </w:rPr>
        <w:t xml:space="preserve"> menggunakan proksi </w:t>
      </w:r>
      <w:r w:rsidRPr="00CC00B3">
        <w:rPr>
          <w:rFonts w:asciiTheme="majorBidi" w:eastAsiaTheme="minorEastAsia" w:hAnsiTheme="majorBidi" w:cstheme="majorBidi"/>
          <w:i/>
          <w:sz w:val="24"/>
          <w:szCs w:val="24"/>
        </w:rPr>
        <w:t xml:space="preserve">Free Cash Flow </w:t>
      </w:r>
      <w:r w:rsidRPr="00CC00B3">
        <w:rPr>
          <w:rFonts w:asciiTheme="majorBidi" w:eastAsiaTheme="minorEastAsia" w:hAnsiTheme="majorBidi" w:cstheme="majorBidi"/>
          <w:iCs/>
          <w:sz w:val="24"/>
          <w:szCs w:val="24"/>
        </w:rPr>
        <w:t xml:space="preserve">(FCF) pada sampel perusahaan sektor </w:t>
      </w:r>
      <w:r w:rsidRPr="00CC00B3">
        <w:rPr>
          <w:rFonts w:asciiTheme="majorBidi" w:eastAsiaTheme="minorEastAsia" w:hAnsiTheme="majorBidi" w:cstheme="majorBidi"/>
          <w:i/>
          <w:sz w:val="24"/>
          <w:szCs w:val="24"/>
        </w:rPr>
        <w:t xml:space="preserve">consumer non </w:t>
      </w:r>
      <w:r w:rsidRPr="00CC00B3">
        <w:rPr>
          <w:rFonts w:asciiTheme="majorBidi" w:eastAsiaTheme="minorEastAsia" w:hAnsiTheme="majorBidi" w:cstheme="majorBidi"/>
          <w:i/>
          <w:sz w:val="24"/>
          <w:szCs w:val="24"/>
        </w:rPr>
        <w:lastRenderedPageBreak/>
        <w:t>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 diatas, maka dapat dibuat grafik sebagai berikut:</w:t>
      </w:r>
    </w:p>
    <w:p w14:paraId="41BEBB45" w14:textId="21E2C6A0" w:rsidR="002323D2" w:rsidRDefault="00840C8D" w:rsidP="00BF76D1">
      <w:pPr>
        <w:tabs>
          <w:tab w:val="left" w:pos="1701"/>
        </w:tabs>
        <w:spacing w:line="240" w:lineRule="auto"/>
        <w:ind w:left="567" w:firstLine="426"/>
        <w:jc w:val="both"/>
        <w:rPr>
          <w:rFonts w:asciiTheme="majorBidi" w:eastAsiaTheme="minorEastAsia" w:hAnsiTheme="majorBidi" w:cstheme="majorBidi"/>
          <w:iCs/>
        </w:rPr>
      </w:pPr>
      <w:r>
        <w:rPr>
          <w:noProof/>
        </w:rPr>
        <w:drawing>
          <wp:inline distT="0" distB="0" distL="0" distR="0" wp14:anchorId="13EAB348" wp14:editId="3A5394EB">
            <wp:extent cx="4572000" cy="2773180"/>
            <wp:effectExtent l="0" t="0" r="0" b="8255"/>
            <wp:docPr id="43" name="Chart 43">
              <a:extLst xmlns:a="http://schemas.openxmlformats.org/drawingml/2006/main">
                <a:ext uri="{FF2B5EF4-FFF2-40B4-BE49-F238E27FC236}">
                  <a16:creationId xmlns:a16="http://schemas.microsoft.com/office/drawing/2014/main" id="{8F6528AE-CF38-46E8-8028-63D406A5B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7828E1" w14:textId="77777777" w:rsidR="000619F3" w:rsidRPr="005279AA" w:rsidRDefault="000619F3" w:rsidP="00BF76D1">
      <w:pPr>
        <w:pStyle w:val="ListParagraph"/>
        <w:tabs>
          <w:tab w:val="left" w:pos="1701"/>
        </w:tabs>
        <w:spacing w:line="240" w:lineRule="auto"/>
        <w:ind w:left="993"/>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226544D7" w14:textId="3136A43F" w:rsidR="00CC00B3"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5</w:t>
      </w:r>
    </w:p>
    <w:p w14:paraId="30D386B9" w14:textId="502E93A3" w:rsidR="000619F3" w:rsidRPr="00CC00B3"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Free Cash Flow (FCF)</w:t>
      </w:r>
      <w:r w:rsidR="00CC00B3">
        <w:rPr>
          <w:rFonts w:asciiTheme="majorBidi" w:eastAsiaTheme="minorEastAsia" w:hAnsiTheme="majorBidi" w:cstheme="majorBidi"/>
          <w:b/>
          <w:bCs/>
          <w:iCs/>
          <w:sz w:val="24"/>
          <w:szCs w:val="24"/>
        </w:rPr>
        <w:t xml:space="preserve"> </w:t>
      </w:r>
      <w:r w:rsidRPr="00CC00B3">
        <w:rPr>
          <w:rFonts w:asciiTheme="majorBidi" w:eastAsiaTheme="minorEastAsia" w:hAnsiTheme="majorBidi" w:cstheme="majorBidi"/>
          <w:b/>
          <w:bCs/>
          <w:iCs/>
          <w:sz w:val="24"/>
          <w:szCs w:val="24"/>
          <w:lang w:val="id-ID"/>
        </w:rPr>
        <w:t>Perusahaan Sektor Consumer Non Cyclical Tahun 2019-202</w:t>
      </w:r>
      <w:r w:rsidRPr="00CC00B3">
        <w:rPr>
          <w:rFonts w:asciiTheme="majorBidi" w:eastAsiaTheme="minorEastAsia" w:hAnsiTheme="majorBidi" w:cstheme="majorBidi"/>
          <w:b/>
          <w:bCs/>
          <w:iCs/>
          <w:sz w:val="24"/>
          <w:szCs w:val="24"/>
        </w:rPr>
        <w:t>3</w:t>
      </w:r>
    </w:p>
    <w:p w14:paraId="167C2990" w14:textId="39A3098D" w:rsidR="008D285A" w:rsidRDefault="002323D2"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dan grafik diatas dapat diketahui bahwa nilai </w:t>
      </w:r>
      <w:r w:rsidRPr="000707DC">
        <w:rPr>
          <w:rFonts w:asciiTheme="majorBidi" w:eastAsiaTheme="minorEastAsia" w:hAnsiTheme="majorBidi" w:cstheme="majorBidi"/>
          <w:i/>
          <w:sz w:val="24"/>
          <w:szCs w:val="24"/>
        </w:rPr>
        <w:t>Free Cash Flow</w:t>
      </w:r>
      <w:r w:rsidRPr="00CC00B3">
        <w:rPr>
          <w:rFonts w:asciiTheme="majorBidi" w:eastAsiaTheme="minorEastAsia" w:hAnsiTheme="majorBidi" w:cstheme="majorBidi"/>
          <w:iCs/>
          <w:sz w:val="24"/>
          <w:szCs w:val="24"/>
        </w:rPr>
        <w:t xml:space="preserve"> pada 15 sampel perusahaan sektor </w:t>
      </w:r>
      <w:r w:rsidRPr="000707DC">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w:t>
      </w:r>
      <w:r w:rsidR="00CC00B3" w:rsidRPr="00CC00B3">
        <w:rPr>
          <w:rFonts w:asciiTheme="majorBidi" w:eastAsiaTheme="minorEastAsia" w:hAnsiTheme="majorBidi" w:cstheme="majorBidi"/>
          <w:iCs/>
          <w:sz w:val="24"/>
          <w:szCs w:val="24"/>
        </w:rPr>
        <w:t>menunjukan bahwa nilai</w:t>
      </w:r>
      <w:r w:rsidR="00CC00B3">
        <w:rPr>
          <w:rFonts w:asciiTheme="majorBidi" w:eastAsiaTheme="minorEastAsia" w:hAnsiTheme="majorBidi" w:cstheme="majorBidi"/>
          <w:iCs/>
          <w:sz w:val="24"/>
          <w:szCs w:val="24"/>
        </w:rPr>
        <w:t xml:space="preserve"> </w:t>
      </w:r>
      <w:r w:rsidR="00CC00B3" w:rsidRPr="000707DC">
        <w:rPr>
          <w:rFonts w:asciiTheme="majorBidi" w:eastAsiaTheme="minorEastAsia" w:hAnsiTheme="majorBidi" w:cstheme="majorBidi"/>
          <w:i/>
          <w:sz w:val="24"/>
          <w:szCs w:val="24"/>
        </w:rPr>
        <w:t>Free Cash Flow</w:t>
      </w:r>
      <w:r w:rsidR="00CC00B3" w:rsidRPr="00CC00B3">
        <w:rPr>
          <w:rFonts w:asciiTheme="majorBidi" w:eastAsiaTheme="minorEastAsia" w:hAnsiTheme="majorBidi" w:cstheme="majorBidi"/>
          <w:iCs/>
          <w:sz w:val="24"/>
          <w:szCs w:val="24"/>
        </w:rPr>
        <w:t xml:space="preserve"> tertinggi dihasilkan oleh PT </w:t>
      </w:r>
      <w:r w:rsidR="000A231A" w:rsidRPr="005279AA">
        <w:rPr>
          <w:rFonts w:asciiTheme="majorBidi" w:eastAsia="Times New Roman" w:hAnsiTheme="majorBidi" w:cstheme="majorBidi"/>
          <w:sz w:val="24"/>
          <w:szCs w:val="24"/>
          <w:lang w:eastAsia="en-GB"/>
        </w:rPr>
        <w:t>Unilever Indonesia Tb</w:t>
      </w:r>
      <w:r w:rsidR="000707DC">
        <w:rPr>
          <w:rFonts w:asciiTheme="majorBidi" w:eastAsia="Times New Roman" w:hAnsiTheme="majorBidi" w:cstheme="majorBidi"/>
          <w:sz w:val="24"/>
          <w:szCs w:val="24"/>
          <w:lang w:eastAsia="en-GB"/>
        </w:rPr>
        <w:t xml:space="preserve">k 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 xml:space="preserve">ahun 2023 </w:t>
      </w:r>
      <w:r w:rsidR="00CC00B3" w:rsidRPr="00CC00B3">
        <w:rPr>
          <w:rFonts w:asciiTheme="majorBidi" w:eastAsia="Times New Roman" w:hAnsiTheme="majorBidi" w:cstheme="majorBidi"/>
          <w:sz w:val="24"/>
          <w:szCs w:val="24"/>
          <w:lang w:eastAsia="en-GB"/>
        </w:rPr>
        <w:t xml:space="preserve">yaitu sebesar </w:t>
      </w:r>
      <w:r w:rsidR="000A231A">
        <w:rPr>
          <w:rFonts w:asciiTheme="majorBidi" w:eastAsia="Times New Roman" w:hAnsiTheme="majorBidi" w:cstheme="majorBidi"/>
          <w:sz w:val="24"/>
          <w:szCs w:val="24"/>
          <w:lang w:eastAsia="en-GB"/>
        </w:rPr>
        <w:t xml:space="preserve">0,72 </w:t>
      </w:r>
      <w:r w:rsidR="00CC00B3" w:rsidRPr="00CC00B3">
        <w:rPr>
          <w:rFonts w:asciiTheme="majorBidi" w:eastAsia="Times New Roman" w:hAnsiTheme="majorBidi" w:cstheme="majorBidi"/>
          <w:sz w:val="24"/>
          <w:szCs w:val="24"/>
          <w:lang w:eastAsia="en-GB"/>
        </w:rPr>
        <w:t xml:space="preserve">dan nilai </w:t>
      </w:r>
      <w:r w:rsidR="00CC00B3" w:rsidRPr="000707DC">
        <w:rPr>
          <w:rFonts w:asciiTheme="majorBidi" w:eastAsiaTheme="minorEastAsia" w:hAnsiTheme="majorBidi" w:cstheme="majorBidi"/>
          <w:i/>
          <w:sz w:val="24"/>
          <w:szCs w:val="24"/>
        </w:rPr>
        <w:t>Free Cash Flow</w:t>
      </w:r>
      <w:r w:rsidR="00CC00B3" w:rsidRPr="00CC00B3">
        <w:rPr>
          <w:rFonts w:asciiTheme="majorBidi" w:eastAsiaTheme="minorEastAsia" w:hAnsiTheme="majorBidi" w:cstheme="majorBidi"/>
          <w:iCs/>
          <w:sz w:val="24"/>
          <w:szCs w:val="24"/>
        </w:rPr>
        <w:t xml:space="preserve"> </w:t>
      </w:r>
      <w:r w:rsidR="00CC00B3" w:rsidRPr="00CC00B3">
        <w:rPr>
          <w:rFonts w:asciiTheme="majorBidi" w:eastAsia="Times New Roman" w:hAnsiTheme="majorBidi" w:cstheme="majorBidi"/>
          <w:sz w:val="24"/>
          <w:szCs w:val="24"/>
          <w:lang w:eastAsia="en-GB"/>
        </w:rPr>
        <w:t>terendah dihasilkan oleh PT</w:t>
      </w:r>
      <w:r w:rsidR="000A231A">
        <w:rPr>
          <w:rFonts w:asciiTheme="majorBidi" w:eastAsia="Times New Roman" w:hAnsiTheme="majorBidi" w:cstheme="majorBidi"/>
          <w:sz w:val="24"/>
          <w:szCs w:val="24"/>
          <w:lang w:eastAsia="en-GB"/>
        </w:rPr>
        <w:t xml:space="preserve"> </w:t>
      </w:r>
      <w:r w:rsidR="000A231A" w:rsidRPr="005279AA">
        <w:rPr>
          <w:rFonts w:asciiTheme="majorBidi" w:eastAsia="Times New Roman" w:hAnsiTheme="majorBidi" w:cstheme="majorBidi"/>
          <w:sz w:val="24"/>
          <w:szCs w:val="24"/>
          <w:lang w:eastAsia="en-GB"/>
        </w:rPr>
        <w:t>Wilmar Cahaya Indonesia Tbk</w:t>
      </w:r>
      <w:r w:rsidR="000A231A">
        <w:rPr>
          <w:rFonts w:asciiTheme="majorBidi" w:eastAsia="Times New Roman" w:hAnsiTheme="majorBidi" w:cstheme="majorBidi"/>
          <w:sz w:val="24"/>
          <w:szCs w:val="24"/>
          <w:lang w:eastAsia="en-GB"/>
        </w:rPr>
        <w:t xml:space="preserve"> </w:t>
      </w:r>
      <w:r w:rsidR="000707DC">
        <w:rPr>
          <w:rFonts w:asciiTheme="majorBidi" w:eastAsia="Times New Roman" w:hAnsiTheme="majorBidi" w:cstheme="majorBidi"/>
          <w:sz w:val="24"/>
          <w:szCs w:val="24"/>
          <w:lang w:eastAsia="en-GB"/>
        </w:rPr>
        <w:t>pada</w:t>
      </w:r>
      <w:r w:rsidR="000A231A">
        <w:rPr>
          <w:rFonts w:asciiTheme="majorBidi" w:eastAsia="Times New Roman" w:hAnsiTheme="majorBidi" w:cstheme="majorBidi"/>
          <w:sz w:val="24"/>
          <w:szCs w:val="24"/>
          <w:lang w:eastAsia="en-GB"/>
        </w:rPr>
        <w:t xml:space="preserve">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ahun 2022</w:t>
      </w:r>
      <w:r w:rsidR="00CC00B3" w:rsidRPr="00CC00B3">
        <w:rPr>
          <w:rFonts w:asciiTheme="majorBidi" w:eastAsia="Times New Roman" w:hAnsiTheme="majorBidi" w:cstheme="majorBidi"/>
          <w:sz w:val="24"/>
          <w:szCs w:val="24"/>
          <w:lang w:eastAsia="en-GB"/>
        </w:rPr>
        <w:t xml:space="preserve"> </w:t>
      </w:r>
      <w:r w:rsidR="00CC00B3">
        <w:rPr>
          <w:rFonts w:asciiTheme="majorBidi" w:eastAsia="Times New Roman" w:hAnsiTheme="majorBidi" w:cstheme="majorBidi"/>
          <w:sz w:val="24"/>
          <w:szCs w:val="24"/>
          <w:lang w:eastAsia="en-GB"/>
        </w:rPr>
        <w:t>yaitu sebesar</w:t>
      </w:r>
      <w:r w:rsidR="000A231A">
        <w:rPr>
          <w:rFonts w:asciiTheme="majorBidi" w:eastAsia="Times New Roman" w:hAnsiTheme="majorBidi" w:cstheme="majorBidi"/>
          <w:sz w:val="24"/>
          <w:szCs w:val="24"/>
          <w:lang w:eastAsia="en-GB"/>
        </w:rPr>
        <w:t xml:space="preserve"> -0,75</w:t>
      </w:r>
      <w:r w:rsidR="00CC00B3">
        <w:rPr>
          <w:rFonts w:asciiTheme="majorBidi" w:eastAsia="Times New Roman" w:hAnsiTheme="majorBidi" w:cstheme="majorBidi"/>
          <w:sz w:val="24"/>
          <w:szCs w:val="24"/>
          <w:lang w:eastAsia="en-GB"/>
        </w:rPr>
        <w:t xml:space="preserve">. Nilai rata-rata </w:t>
      </w:r>
      <w:r w:rsidR="00CC00B3" w:rsidRPr="000707DC">
        <w:rPr>
          <w:rFonts w:asciiTheme="majorBidi" w:eastAsiaTheme="minorEastAsia" w:hAnsiTheme="majorBidi" w:cstheme="majorBidi"/>
          <w:i/>
          <w:sz w:val="24"/>
          <w:szCs w:val="24"/>
        </w:rPr>
        <w:t>Free Cash Flow</w:t>
      </w:r>
      <w:r w:rsidR="00CC00B3" w:rsidRPr="00CC00B3">
        <w:rPr>
          <w:rFonts w:asciiTheme="majorBidi" w:eastAsiaTheme="minorEastAsia" w:hAnsiTheme="majorBidi" w:cstheme="majorBidi"/>
          <w:iCs/>
          <w:sz w:val="24"/>
          <w:szCs w:val="24"/>
        </w:rPr>
        <w:t xml:space="preserve"> </w:t>
      </w:r>
      <w:r w:rsidR="00CC00B3" w:rsidRPr="009107C0">
        <w:rPr>
          <w:rFonts w:asciiTheme="majorBidi" w:eastAsiaTheme="minorEastAsia" w:hAnsiTheme="majorBidi" w:cstheme="majorBidi"/>
          <w:iCs/>
          <w:sz w:val="24"/>
          <w:szCs w:val="24"/>
        </w:rPr>
        <w:t xml:space="preserve">pada 15 sampel perusahaan sektor </w:t>
      </w:r>
      <w:r w:rsidR="00CC00B3" w:rsidRPr="009911AA">
        <w:rPr>
          <w:rFonts w:asciiTheme="majorBidi" w:eastAsiaTheme="minorEastAsia" w:hAnsiTheme="majorBidi" w:cstheme="majorBidi"/>
          <w:i/>
          <w:sz w:val="24"/>
          <w:szCs w:val="24"/>
        </w:rPr>
        <w:t>consumer non cyclical</w:t>
      </w:r>
      <w:r w:rsidR="00CC00B3"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sebesar</w:t>
      </w:r>
      <w:r w:rsidR="000A231A">
        <w:rPr>
          <w:rFonts w:asciiTheme="majorBidi" w:eastAsiaTheme="minorEastAsia" w:hAnsiTheme="majorBidi" w:cstheme="majorBidi"/>
          <w:iCs/>
          <w:sz w:val="24"/>
          <w:szCs w:val="24"/>
        </w:rPr>
        <w:t xml:space="preserve"> -0,125</w:t>
      </w:r>
      <w:r w:rsidR="00CC00B3">
        <w:rPr>
          <w:rFonts w:asciiTheme="majorBidi" w:eastAsiaTheme="minorEastAsia" w:hAnsiTheme="majorBidi" w:cstheme="majorBidi"/>
          <w:iCs/>
          <w:sz w:val="24"/>
          <w:szCs w:val="24"/>
        </w:rPr>
        <w:t>.</w:t>
      </w:r>
    </w:p>
    <w:p w14:paraId="7971C5E2" w14:textId="1CC169C3" w:rsidR="00C4381B" w:rsidRDefault="00C4381B" w:rsidP="00BF76D1">
      <w:pPr>
        <w:tabs>
          <w:tab w:val="left" w:pos="1701"/>
        </w:tabs>
        <w:spacing w:line="480" w:lineRule="auto"/>
        <w:ind w:left="1134" w:firstLine="426"/>
        <w:jc w:val="both"/>
        <w:rPr>
          <w:rFonts w:asciiTheme="majorBidi" w:eastAsiaTheme="minorEastAsia" w:hAnsiTheme="majorBidi" w:cstheme="majorBidi"/>
          <w:iCs/>
          <w:sz w:val="24"/>
          <w:szCs w:val="24"/>
        </w:rPr>
      </w:pPr>
    </w:p>
    <w:p w14:paraId="646A9302" w14:textId="77777777" w:rsidR="00C4381B" w:rsidRPr="00CC00B3" w:rsidRDefault="00C4381B" w:rsidP="00BF76D1">
      <w:pPr>
        <w:tabs>
          <w:tab w:val="left" w:pos="1701"/>
        </w:tabs>
        <w:spacing w:line="480" w:lineRule="auto"/>
        <w:jc w:val="both"/>
        <w:rPr>
          <w:rFonts w:asciiTheme="majorBidi" w:eastAsiaTheme="minorEastAsia" w:hAnsiTheme="majorBidi" w:cstheme="majorBidi"/>
          <w:iCs/>
          <w:sz w:val="24"/>
          <w:szCs w:val="24"/>
        </w:rPr>
      </w:pPr>
    </w:p>
    <w:p w14:paraId="5F610F6A" w14:textId="77777777" w:rsidR="00C9764B"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lastRenderedPageBreak/>
        <w:t>Kepemilikan Institusional</w:t>
      </w:r>
    </w:p>
    <w:p w14:paraId="5BE59336" w14:textId="57C3724F" w:rsidR="00C4381B" w:rsidRPr="00C4381B" w:rsidRDefault="00C9764B"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Kepemilikan in</w:t>
      </w:r>
      <w:r w:rsidR="00691564" w:rsidRPr="005279AA">
        <w:rPr>
          <w:rFonts w:asciiTheme="majorBidi" w:eastAsiaTheme="minorEastAsia" w:hAnsiTheme="majorBidi" w:cstheme="majorBidi"/>
          <w:iCs/>
          <w:sz w:val="24"/>
          <w:szCs w:val="24"/>
          <w:lang w:val="id-ID"/>
        </w:rPr>
        <w:t>s</w:t>
      </w:r>
      <w:r w:rsidRPr="005279AA">
        <w:rPr>
          <w:rFonts w:asciiTheme="majorBidi" w:eastAsiaTheme="minorEastAsia" w:hAnsiTheme="majorBidi" w:cstheme="majorBidi"/>
          <w:iCs/>
          <w:sz w:val="24"/>
          <w:szCs w:val="24"/>
          <w:lang w:val="id-ID"/>
        </w:rPr>
        <w:t xml:space="preserve">titusional </w:t>
      </w:r>
      <w:r w:rsidR="00AE20B8">
        <w:rPr>
          <w:rFonts w:asciiTheme="majorBidi" w:eastAsiaTheme="minorEastAsia" w:hAnsiTheme="majorBidi" w:cstheme="majorBidi"/>
          <w:iCs/>
          <w:sz w:val="24"/>
          <w:szCs w:val="24"/>
        </w:rPr>
        <w:t xml:space="preserve">(KI) </w:t>
      </w:r>
      <w:r w:rsidRPr="005279AA">
        <w:rPr>
          <w:rFonts w:asciiTheme="majorBidi" w:eastAsiaTheme="minorEastAsia" w:hAnsiTheme="majorBidi" w:cstheme="majorBidi"/>
          <w:iCs/>
          <w:sz w:val="24"/>
          <w:szCs w:val="24"/>
          <w:lang w:val="id-ID"/>
        </w:rPr>
        <w:t>merupakan</w:t>
      </w:r>
      <w:r w:rsidR="007C6EBA" w:rsidRPr="005279AA">
        <w:rPr>
          <w:rFonts w:asciiTheme="majorBidi" w:eastAsiaTheme="minorEastAsia" w:hAnsiTheme="majorBidi" w:cstheme="majorBidi"/>
          <w:iCs/>
          <w:sz w:val="24"/>
          <w:szCs w:val="24"/>
          <w:lang w:val="id-ID"/>
        </w:rPr>
        <w:t xml:space="preserve"> salah satu tingkat kepemilikan dalam perusahaan, terdapat tiga kepemilikan dalam perusahaan antara lain</w:t>
      </w:r>
      <w:r w:rsidR="00AE20B8">
        <w:rPr>
          <w:rFonts w:asciiTheme="majorBidi" w:eastAsiaTheme="minorEastAsia" w:hAnsiTheme="majorBidi" w:cstheme="majorBidi"/>
          <w:iCs/>
          <w:sz w:val="24"/>
          <w:szCs w:val="24"/>
        </w:rPr>
        <w:t xml:space="preserve"> KI</w:t>
      </w:r>
      <w:r w:rsidR="007C6EBA" w:rsidRPr="005279AA">
        <w:rPr>
          <w:rFonts w:asciiTheme="majorBidi" w:eastAsiaTheme="minorEastAsia" w:hAnsiTheme="majorBidi" w:cstheme="majorBidi"/>
          <w:iCs/>
          <w:sz w:val="24"/>
          <w:szCs w:val="24"/>
          <w:lang w:val="id-ID"/>
        </w:rPr>
        <w:t xml:space="preserve">, kepemilikan manajerial, dan kepemilikan publik. </w:t>
      </w:r>
      <w:r w:rsidR="00AE20B8">
        <w:rPr>
          <w:rFonts w:asciiTheme="majorBidi" w:eastAsiaTheme="minorEastAsia" w:hAnsiTheme="majorBidi" w:cstheme="majorBidi"/>
          <w:iCs/>
          <w:sz w:val="24"/>
          <w:szCs w:val="24"/>
        </w:rPr>
        <w:t xml:space="preserve">KI </w:t>
      </w:r>
      <w:r w:rsidR="007C6EBA" w:rsidRPr="005279AA">
        <w:rPr>
          <w:rFonts w:asciiTheme="majorBidi" w:eastAsiaTheme="minorEastAsia" w:hAnsiTheme="majorBidi" w:cstheme="majorBidi"/>
          <w:iCs/>
          <w:sz w:val="24"/>
          <w:szCs w:val="24"/>
          <w:lang w:val="id-ID"/>
        </w:rPr>
        <w:t xml:space="preserve">adalah tingkat kepemilikan </w:t>
      </w:r>
      <w:r w:rsidR="00AE20B8">
        <w:rPr>
          <w:rFonts w:asciiTheme="majorBidi" w:eastAsiaTheme="minorEastAsia" w:hAnsiTheme="majorBidi" w:cstheme="majorBidi"/>
          <w:iCs/>
          <w:sz w:val="24"/>
          <w:szCs w:val="24"/>
        </w:rPr>
        <w:t xml:space="preserve">mayoritas </w:t>
      </w:r>
      <w:r w:rsidR="007C6EBA" w:rsidRPr="005279AA">
        <w:rPr>
          <w:rFonts w:asciiTheme="majorBidi" w:eastAsiaTheme="minorEastAsia" w:hAnsiTheme="majorBidi" w:cstheme="majorBidi"/>
          <w:iCs/>
          <w:sz w:val="24"/>
          <w:szCs w:val="24"/>
          <w:lang w:val="id-ID"/>
        </w:rPr>
        <w:t xml:space="preserve">perusahaan sehingga memiliki wewenang dalam pengendalian serta pengawasan. </w:t>
      </w:r>
      <w:r w:rsidR="00CB3734" w:rsidRPr="005279AA">
        <w:rPr>
          <w:rFonts w:asciiTheme="majorBidi" w:eastAsiaTheme="minorEastAsia" w:hAnsiTheme="majorBidi" w:cstheme="majorBidi"/>
          <w:iCs/>
          <w:sz w:val="24"/>
          <w:szCs w:val="24"/>
          <w:lang w:val="id-ID"/>
        </w:rPr>
        <w:t xml:space="preserve">Berikut adalah data </w:t>
      </w:r>
      <w:r w:rsidR="00AE20B8">
        <w:rPr>
          <w:rFonts w:asciiTheme="majorBidi" w:eastAsiaTheme="minorEastAsia" w:hAnsiTheme="majorBidi" w:cstheme="majorBidi"/>
          <w:iCs/>
          <w:sz w:val="24"/>
          <w:szCs w:val="24"/>
        </w:rPr>
        <w:t xml:space="preserve">KI </w:t>
      </w:r>
      <w:r w:rsidR="00CB3734" w:rsidRPr="005279AA">
        <w:rPr>
          <w:rFonts w:asciiTheme="majorBidi" w:eastAsiaTheme="minorEastAsia" w:hAnsiTheme="majorBidi" w:cstheme="majorBidi"/>
          <w:iCs/>
          <w:sz w:val="24"/>
          <w:szCs w:val="24"/>
          <w:lang w:val="id-ID"/>
        </w:rPr>
        <w:t xml:space="preserve">dari sampel perusahaan sektor </w:t>
      </w:r>
      <w:r w:rsidR="00CB3734" w:rsidRPr="005279AA">
        <w:rPr>
          <w:rFonts w:asciiTheme="majorBidi" w:eastAsiaTheme="minorEastAsia" w:hAnsiTheme="majorBidi" w:cstheme="majorBidi"/>
          <w:i/>
          <w:sz w:val="24"/>
          <w:szCs w:val="24"/>
          <w:lang w:val="id-ID"/>
        </w:rPr>
        <w:t>consumer non cyclical</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00CB3734" w:rsidRPr="005279AA">
        <w:rPr>
          <w:rFonts w:asciiTheme="majorBidi" w:eastAsiaTheme="minorEastAsia" w:hAnsiTheme="majorBidi" w:cstheme="majorBidi"/>
          <w:iCs/>
          <w:sz w:val="24"/>
          <w:szCs w:val="24"/>
        </w:rPr>
        <w:t>ahun 2019-2023:</w:t>
      </w:r>
    </w:p>
    <w:p w14:paraId="356FCEC5" w14:textId="06841F25" w:rsidR="00C9764B" w:rsidRPr="005279AA" w:rsidRDefault="00C9764B" w:rsidP="00BF76D1">
      <w:pPr>
        <w:pStyle w:val="ListParagraph"/>
        <w:tabs>
          <w:tab w:val="left" w:pos="1701"/>
        </w:tabs>
        <w:spacing w:line="240" w:lineRule="auto"/>
        <w:ind w:left="1080" w:firstLine="54"/>
        <w:jc w:val="center"/>
        <w:rPr>
          <w:rFonts w:asciiTheme="majorBidi" w:eastAsiaTheme="minorEastAsia" w:hAnsiTheme="majorBidi" w:cstheme="majorBidi"/>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11</w:t>
      </w:r>
    </w:p>
    <w:p w14:paraId="44676016" w14:textId="6BA89CFB" w:rsidR="00AE4728" w:rsidRPr="005279AA" w:rsidRDefault="002E456F"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Data Kepemilikan Institusional</w:t>
      </w:r>
    </w:p>
    <w:p w14:paraId="13C70C2F" w14:textId="5E688400" w:rsidR="00DE4CD9" w:rsidRPr="005279AA" w:rsidRDefault="002E456F"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Perusahaan Sektor Consumer Non Cyclical Tahun 2019-2023</w:t>
      </w:r>
    </w:p>
    <w:p w14:paraId="0357899D" w14:textId="35930993" w:rsidR="00016289" w:rsidRPr="005279AA" w:rsidRDefault="00DE4CD9" w:rsidP="00645E4A">
      <w:pPr>
        <w:pStyle w:val="ListParagraph"/>
        <w:tabs>
          <w:tab w:val="left" w:pos="1701"/>
        </w:tabs>
        <w:spacing w:line="240" w:lineRule="auto"/>
        <w:ind w:left="1080" w:right="-139"/>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(dalam persentase %)</w:t>
      </w:r>
    </w:p>
    <w:tbl>
      <w:tblPr>
        <w:tblW w:w="6894" w:type="dxa"/>
        <w:tblInd w:w="1129" w:type="dxa"/>
        <w:tblLook w:val="04A0" w:firstRow="1" w:lastRow="0" w:firstColumn="1" w:lastColumn="0" w:noHBand="0" w:noVBand="1"/>
      </w:tblPr>
      <w:tblGrid>
        <w:gridCol w:w="640"/>
        <w:gridCol w:w="2762"/>
        <w:gridCol w:w="696"/>
        <w:gridCol w:w="700"/>
        <w:gridCol w:w="700"/>
        <w:gridCol w:w="696"/>
        <w:gridCol w:w="700"/>
      </w:tblGrid>
      <w:tr w:rsidR="00B05D21" w:rsidRPr="008708E5" w14:paraId="6558061F" w14:textId="77777777" w:rsidTr="00645E4A">
        <w:trPr>
          <w:trHeight w:val="315"/>
          <w:tblHeader/>
        </w:trPr>
        <w:tc>
          <w:tcPr>
            <w:tcW w:w="640" w:type="dxa"/>
            <w:vMerge w:val="restart"/>
            <w:tcBorders>
              <w:top w:val="single" w:sz="4" w:space="0" w:color="000000"/>
              <w:left w:val="single" w:sz="4" w:space="0" w:color="000000"/>
              <w:right w:val="single" w:sz="4" w:space="0" w:color="000000"/>
            </w:tcBorders>
            <w:shd w:val="clear" w:color="auto" w:fill="auto"/>
            <w:noWrap/>
            <w:vAlign w:val="center"/>
          </w:tcPr>
          <w:p w14:paraId="7D0C97B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No</w:t>
            </w:r>
          </w:p>
        </w:tc>
        <w:tc>
          <w:tcPr>
            <w:tcW w:w="2762" w:type="dxa"/>
            <w:vMerge w:val="restart"/>
            <w:tcBorders>
              <w:top w:val="single" w:sz="4" w:space="0" w:color="000000"/>
              <w:left w:val="nil"/>
              <w:right w:val="single" w:sz="4" w:space="0" w:color="000000"/>
            </w:tcBorders>
            <w:shd w:val="clear" w:color="auto" w:fill="auto"/>
            <w:noWrap/>
            <w:vAlign w:val="center"/>
          </w:tcPr>
          <w:p w14:paraId="6724C40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Kode Saham</w:t>
            </w:r>
          </w:p>
        </w:tc>
        <w:tc>
          <w:tcPr>
            <w:tcW w:w="34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8159A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Tahun</w:t>
            </w:r>
          </w:p>
        </w:tc>
      </w:tr>
      <w:tr w:rsidR="00B05D21" w:rsidRPr="008708E5" w14:paraId="732E87C5" w14:textId="77777777" w:rsidTr="00645E4A">
        <w:trPr>
          <w:trHeight w:val="315"/>
          <w:tblHeader/>
        </w:trPr>
        <w:tc>
          <w:tcPr>
            <w:tcW w:w="640" w:type="dxa"/>
            <w:vMerge/>
            <w:tcBorders>
              <w:left w:val="single" w:sz="4" w:space="0" w:color="000000"/>
              <w:bottom w:val="single" w:sz="4" w:space="0" w:color="000000"/>
              <w:right w:val="single" w:sz="4" w:space="0" w:color="000000"/>
            </w:tcBorders>
            <w:shd w:val="clear" w:color="auto" w:fill="auto"/>
            <w:noWrap/>
            <w:vAlign w:val="center"/>
          </w:tcPr>
          <w:p w14:paraId="7CEFB98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762" w:type="dxa"/>
            <w:vMerge/>
            <w:tcBorders>
              <w:left w:val="nil"/>
              <w:bottom w:val="single" w:sz="4" w:space="0" w:color="000000"/>
              <w:right w:val="single" w:sz="4" w:space="0" w:color="000000"/>
            </w:tcBorders>
            <w:shd w:val="clear" w:color="auto" w:fill="auto"/>
            <w:noWrap/>
            <w:vAlign w:val="center"/>
          </w:tcPr>
          <w:p w14:paraId="13ADBAA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E522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2019</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E01EEC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B31BE2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2021</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E59B08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2022</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1D6A96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2023</w:t>
            </w:r>
          </w:p>
        </w:tc>
      </w:tr>
      <w:tr w:rsidR="00B05D21" w:rsidRPr="008708E5" w14:paraId="3C45AB2F"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B1B943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w:t>
            </w:r>
          </w:p>
        </w:tc>
        <w:tc>
          <w:tcPr>
            <w:tcW w:w="2762" w:type="dxa"/>
            <w:tcBorders>
              <w:top w:val="nil"/>
              <w:left w:val="nil"/>
              <w:bottom w:val="single" w:sz="4" w:space="0" w:color="000000"/>
              <w:right w:val="single" w:sz="4" w:space="0" w:color="000000"/>
            </w:tcBorders>
            <w:shd w:val="clear" w:color="auto" w:fill="auto"/>
            <w:noWrap/>
            <w:vAlign w:val="center"/>
            <w:hideMark/>
          </w:tcPr>
          <w:p w14:paraId="4C11E15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AMRT</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4FF8F6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0.53</w:t>
            </w:r>
          </w:p>
        </w:tc>
        <w:tc>
          <w:tcPr>
            <w:tcW w:w="700" w:type="dxa"/>
            <w:tcBorders>
              <w:top w:val="nil"/>
              <w:left w:val="nil"/>
              <w:bottom w:val="single" w:sz="4" w:space="0" w:color="auto"/>
              <w:right w:val="single" w:sz="4" w:space="0" w:color="auto"/>
            </w:tcBorders>
            <w:shd w:val="clear" w:color="auto" w:fill="auto"/>
            <w:noWrap/>
            <w:vAlign w:val="center"/>
            <w:hideMark/>
          </w:tcPr>
          <w:p w14:paraId="3B2CCAA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0.53</w:t>
            </w:r>
          </w:p>
        </w:tc>
        <w:tc>
          <w:tcPr>
            <w:tcW w:w="700" w:type="dxa"/>
            <w:tcBorders>
              <w:top w:val="nil"/>
              <w:left w:val="nil"/>
              <w:bottom w:val="single" w:sz="4" w:space="0" w:color="auto"/>
              <w:right w:val="single" w:sz="4" w:space="0" w:color="auto"/>
            </w:tcBorders>
            <w:shd w:val="clear" w:color="auto" w:fill="auto"/>
            <w:noWrap/>
            <w:vAlign w:val="center"/>
            <w:hideMark/>
          </w:tcPr>
          <w:p w14:paraId="4067C5B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0.53</w:t>
            </w:r>
          </w:p>
        </w:tc>
        <w:tc>
          <w:tcPr>
            <w:tcW w:w="696" w:type="dxa"/>
            <w:tcBorders>
              <w:top w:val="nil"/>
              <w:left w:val="nil"/>
              <w:bottom w:val="single" w:sz="4" w:space="0" w:color="auto"/>
              <w:right w:val="single" w:sz="4" w:space="0" w:color="auto"/>
            </w:tcBorders>
            <w:shd w:val="clear" w:color="auto" w:fill="auto"/>
            <w:noWrap/>
            <w:vAlign w:val="center"/>
            <w:hideMark/>
          </w:tcPr>
          <w:p w14:paraId="6818847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0.53</w:t>
            </w:r>
          </w:p>
        </w:tc>
        <w:tc>
          <w:tcPr>
            <w:tcW w:w="700" w:type="dxa"/>
            <w:tcBorders>
              <w:top w:val="nil"/>
              <w:left w:val="nil"/>
              <w:bottom w:val="single" w:sz="4" w:space="0" w:color="auto"/>
              <w:right w:val="single" w:sz="4" w:space="0" w:color="auto"/>
            </w:tcBorders>
            <w:shd w:val="clear" w:color="auto" w:fill="auto"/>
            <w:noWrap/>
            <w:vAlign w:val="center"/>
            <w:hideMark/>
          </w:tcPr>
          <w:p w14:paraId="0F9E058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0.53</w:t>
            </w:r>
          </w:p>
        </w:tc>
      </w:tr>
      <w:tr w:rsidR="00B05D21" w:rsidRPr="008708E5" w14:paraId="1A9CBC76"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7C4FFF1"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2</w:t>
            </w:r>
          </w:p>
        </w:tc>
        <w:tc>
          <w:tcPr>
            <w:tcW w:w="2762" w:type="dxa"/>
            <w:tcBorders>
              <w:top w:val="nil"/>
              <w:left w:val="nil"/>
              <w:bottom w:val="single" w:sz="4" w:space="0" w:color="000000"/>
              <w:right w:val="single" w:sz="4" w:space="0" w:color="000000"/>
            </w:tcBorders>
            <w:shd w:val="clear" w:color="auto" w:fill="auto"/>
            <w:noWrap/>
            <w:vAlign w:val="center"/>
            <w:hideMark/>
          </w:tcPr>
          <w:p w14:paraId="3B9BA08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BISI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C6A756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0.54</w:t>
            </w:r>
          </w:p>
        </w:tc>
        <w:tc>
          <w:tcPr>
            <w:tcW w:w="700" w:type="dxa"/>
            <w:tcBorders>
              <w:top w:val="nil"/>
              <w:left w:val="nil"/>
              <w:bottom w:val="single" w:sz="4" w:space="0" w:color="auto"/>
              <w:right w:val="single" w:sz="4" w:space="0" w:color="auto"/>
            </w:tcBorders>
            <w:shd w:val="clear" w:color="auto" w:fill="auto"/>
            <w:noWrap/>
            <w:vAlign w:val="center"/>
            <w:hideMark/>
          </w:tcPr>
          <w:p w14:paraId="7B26846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0.54</w:t>
            </w:r>
          </w:p>
        </w:tc>
        <w:tc>
          <w:tcPr>
            <w:tcW w:w="700" w:type="dxa"/>
            <w:tcBorders>
              <w:top w:val="nil"/>
              <w:left w:val="nil"/>
              <w:bottom w:val="single" w:sz="4" w:space="0" w:color="auto"/>
              <w:right w:val="single" w:sz="4" w:space="0" w:color="auto"/>
            </w:tcBorders>
            <w:shd w:val="clear" w:color="auto" w:fill="auto"/>
            <w:noWrap/>
            <w:vAlign w:val="center"/>
            <w:hideMark/>
          </w:tcPr>
          <w:p w14:paraId="0FB3102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696" w:type="dxa"/>
            <w:tcBorders>
              <w:top w:val="nil"/>
              <w:left w:val="nil"/>
              <w:bottom w:val="single" w:sz="4" w:space="0" w:color="auto"/>
              <w:right w:val="single" w:sz="4" w:space="0" w:color="auto"/>
            </w:tcBorders>
            <w:shd w:val="clear" w:color="auto" w:fill="auto"/>
            <w:noWrap/>
            <w:vAlign w:val="center"/>
            <w:hideMark/>
          </w:tcPr>
          <w:p w14:paraId="638092B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568A81A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r>
      <w:tr w:rsidR="00B05D21" w:rsidRPr="008708E5" w14:paraId="38ED624A"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9F6B7B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3</w:t>
            </w:r>
          </w:p>
        </w:tc>
        <w:tc>
          <w:tcPr>
            <w:tcW w:w="2762" w:type="dxa"/>
            <w:tcBorders>
              <w:top w:val="nil"/>
              <w:left w:val="nil"/>
              <w:bottom w:val="single" w:sz="4" w:space="0" w:color="000000"/>
              <w:right w:val="single" w:sz="4" w:space="0" w:color="000000"/>
            </w:tcBorders>
            <w:shd w:val="clear" w:color="auto" w:fill="auto"/>
            <w:noWrap/>
            <w:vAlign w:val="center"/>
            <w:hideMark/>
          </w:tcPr>
          <w:p w14:paraId="58F2877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BUDI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B441C4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0.58</w:t>
            </w:r>
          </w:p>
        </w:tc>
        <w:tc>
          <w:tcPr>
            <w:tcW w:w="700" w:type="dxa"/>
            <w:tcBorders>
              <w:top w:val="nil"/>
              <w:left w:val="nil"/>
              <w:bottom w:val="single" w:sz="4" w:space="0" w:color="auto"/>
              <w:right w:val="single" w:sz="4" w:space="0" w:color="auto"/>
            </w:tcBorders>
            <w:shd w:val="clear" w:color="auto" w:fill="auto"/>
            <w:noWrap/>
            <w:vAlign w:val="center"/>
            <w:hideMark/>
          </w:tcPr>
          <w:p w14:paraId="2EFE8CA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0.58</w:t>
            </w:r>
          </w:p>
        </w:tc>
        <w:tc>
          <w:tcPr>
            <w:tcW w:w="700" w:type="dxa"/>
            <w:tcBorders>
              <w:top w:val="nil"/>
              <w:left w:val="nil"/>
              <w:bottom w:val="single" w:sz="4" w:space="0" w:color="auto"/>
              <w:right w:val="single" w:sz="4" w:space="0" w:color="auto"/>
            </w:tcBorders>
            <w:shd w:val="clear" w:color="auto" w:fill="auto"/>
            <w:noWrap/>
            <w:vAlign w:val="center"/>
            <w:hideMark/>
          </w:tcPr>
          <w:p w14:paraId="766735B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0.58</w:t>
            </w:r>
          </w:p>
        </w:tc>
        <w:tc>
          <w:tcPr>
            <w:tcW w:w="696" w:type="dxa"/>
            <w:tcBorders>
              <w:top w:val="nil"/>
              <w:left w:val="nil"/>
              <w:bottom w:val="single" w:sz="4" w:space="0" w:color="auto"/>
              <w:right w:val="single" w:sz="4" w:space="0" w:color="auto"/>
            </w:tcBorders>
            <w:shd w:val="clear" w:color="auto" w:fill="auto"/>
            <w:noWrap/>
            <w:vAlign w:val="center"/>
            <w:hideMark/>
          </w:tcPr>
          <w:p w14:paraId="708587A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c>
          <w:tcPr>
            <w:tcW w:w="700" w:type="dxa"/>
            <w:tcBorders>
              <w:top w:val="nil"/>
              <w:left w:val="nil"/>
              <w:bottom w:val="single" w:sz="4" w:space="0" w:color="auto"/>
              <w:right w:val="single" w:sz="4" w:space="0" w:color="auto"/>
            </w:tcBorders>
            <w:shd w:val="clear" w:color="auto" w:fill="auto"/>
            <w:noWrap/>
            <w:vAlign w:val="center"/>
            <w:hideMark/>
          </w:tcPr>
          <w:p w14:paraId="4DB1CC0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r>
      <w:tr w:rsidR="00B05D21" w:rsidRPr="008708E5" w14:paraId="37AAF147"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5E095B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4</w:t>
            </w:r>
          </w:p>
        </w:tc>
        <w:tc>
          <w:tcPr>
            <w:tcW w:w="2762" w:type="dxa"/>
            <w:tcBorders>
              <w:top w:val="nil"/>
              <w:left w:val="nil"/>
              <w:bottom w:val="single" w:sz="4" w:space="0" w:color="000000"/>
              <w:right w:val="single" w:sz="4" w:space="0" w:color="000000"/>
            </w:tcBorders>
            <w:shd w:val="clear" w:color="auto" w:fill="auto"/>
            <w:noWrap/>
            <w:vAlign w:val="center"/>
            <w:hideMark/>
          </w:tcPr>
          <w:p w14:paraId="13DD39D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CEKA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901DB0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473D870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1E71A9F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0.87</w:t>
            </w:r>
          </w:p>
        </w:tc>
        <w:tc>
          <w:tcPr>
            <w:tcW w:w="696" w:type="dxa"/>
            <w:tcBorders>
              <w:top w:val="nil"/>
              <w:left w:val="nil"/>
              <w:bottom w:val="single" w:sz="4" w:space="0" w:color="auto"/>
              <w:right w:val="single" w:sz="4" w:space="0" w:color="auto"/>
            </w:tcBorders>
            <w:shd w:val="clear" w:color="auto" w:fill="auto"/>
            <w:noWrap/>
            <w:vAlign w:val="center"/>
            <w:hideMark/>
          </w:tcPr>
          <w:p w14:paraId="0992A98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0.87</w:t>
            </w:r>
          </w:p>
        </w:tc>
        <w:tc>
          <w:tcPr>
            <w:tcW w:w="700" w:type="dxa"/>
            <w:tcBorders>
              <w:top w:val="nil"/>
              <w:left w:val="nil"/>
              <w:bottom w:val="single" w:sz="4" w:space="0" w:color="auto"/>
              <w:right w:val="single" w:sz="4" w:space="0" w:color="auto"/>
            </w:tcBorders>
            <w:shd w:val="clear" w:color="auto" w:fill="auto"/>
            <w:noWrap/>
            <w:vAlign w:val="center"/>
            <w:hideMark/>
          </w:tcPr>
          <w:p w14:paraId="5A7E3B0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0.87</w:t>
            </w:r>
          </w:p>
        </w:tc>
      </w:tr>
      <w:tr w:rsidR="00B05D21" w:rsidRPr="008708E5" w14:paraId="45A5B917"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3F70F0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5</w:t>
            </w:r>
          </w:p>
        </w:tc>
        <w:tc>
          <w:tcPr>
            <w:tcW w:w="2762" w:type="dxa"/>
            <w:tcBorders>
              <w:top w:val="nil"/>
              <w:left w:val="nil"/>
              <w:bottom w:val="single" w:sz="4" w:space="0" w:color="000000"/>
              <w:right w:val="single" w:sz="4" w:space="0" w:color="000000"/>
            </w:tcBorders>
            <w:shd w:val="clear" w:color="auto" w:fill="auto"/>
            <w:noWrap/>
            <w:vAlign w:val="center"/>
            <w:hideMark/>
          </w:tcPr>
          <w:p w14:paraId="280952E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CPIN</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8BDE79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0.56</w:t>
            </w:r>
          </w:p>
        </w:tc>
        <w:tc>
          <w:tcPr>
            <w:tcW w:w="700" w:type="dxa"/>
            <w:tcBorders>
              <w:top w:val="nil"/>
              <w:left w:val="nil"/>
              <w:bottom w:val="single" w:sz="4" w:space="0" w:color="auto"/>
              <w:right w:val="single" w:sz="4" w:space="0" w:color="auto"/>
            </w:tcBorders>
            <w:shd w:val="clear" w:color="auto" w:fill="auto"/>
            <w:noWrap/>
            <w:vAlign w:val="center"/>
            <w:hideMark/>
          </w:tcPr>
          <w:p w14:paraId="786B7CB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0.56</w:t>
            </w:r>
          </w:p>
        </w:tc>
        <w:tc>
          <w:tcPr>
            <w:tcW w:w="700" w:type="dxa"/>
            <w:tcBorders>
              <w:top w:val="nil"/>
              <w:left w:val="nil"/>
              <w:bottom w:val="single" w:sz="4" w:space="0" w:color="auto"/>
              <w:right w:val="single" w:sz="4" w:space="0" w:color="auto"/>
            </w:tcBorders>
            <w:shd w:val="clear" w:color="auto" w:fill="auto"/>
            <w:noWrap/>
            <w:vAlign w:val="center"/>
            <w:hideMark/>
          </w:tcPr>
          <w:p w14:paraId="4E9CCDB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0.56</w:t>
            </w:r>
          </w:p>
        </w:tc>
        <w:tc>
          <w:tcPr>
            <w:tcW w:w="696" w:type="dxa"/>
            <w:tcBorders>
              <w:top w:val="nil"/>
              <w:left w:val="nil"/>
              <w:bottom w:val="single" w:sz="4" w:space="0" w:color="auto"/>
              <w:right w:val="single" w:sz="4" w:space="0" w:color="auto"/>
            </w:tcBorders>
            <w:shd w:val="clear" w:color="auto" w:fill="auto"/>
            <w:noWrap/>
            <w:vAlign w:val="center"/>
            <w:hideMark/>
          </w:tcPr>
          <w:p w14:paraId="708D309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0.56</w:t>
            </w:r>
          </w:p>
        </w:tc>
        <w:tc>
          <w:tcPr>
            <w:tcW w:w="700" w:type="dxa"/>
            <w:tcBorders>
              <w:top w:val="nil"/>
              <w:left w:val="nil"/>
              <w:bottom w:val="single" w:sz="4" w:space="0" w:color="auto"/>
              <w:right w:val="single" w:sz="4" w:space="0" w:color="auto"/>
            </w:tcBorders>
            <w:shd w:val="clear" w:color="auto" w:fill="auto"/>
            <w:noWrap/>
            <w:vAlign w:val="center"/>
            <w:hideMark/>
          </w:tcPr>
          <w:p w14:paraId="738EBAE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0.61</w:t>
            </w:r>
          </w:p>
        </w:tc>
      </w:tr>
      <w:tr w:rsidR="00B05D21" w:rsidRPr="008708E5" w14:paraId="4C9A098E"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1BA7A9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6</w:t>
            </w:r>
          </w:p>
        </w:tc>
        <w:tc>
          <w:tcPr>
            <w:tcW w:w="2762" w:type="dxa"/>
            <w:tcBorders>
              <w:top w:val="nil"/>
              <w:left w:val="nil"/>
              <w:bottom w:val="single" w:sz="4" w:space="0" w:color="000000"/>
              <w:right w:val="single" w:sz="4" w:space="0" w:color="000000"/>
            </w:tcBorders>
            <w:shd w:val="clear" w:color="auto" w:fill="auto"/>
            <w:noWrap/>
            <w:vAlign w:val="center"/>
            <w:hideMark/>
          </w:tcPr>
          <w:p w14:paraId="69FE383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ICBP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8BF80C1"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0.81</w:t>
            </w:r>
          </w:p>
        </w:tc>
        <w:tc>
          <w:tcPr>
            <w:tcW w:w="700" w:type="dxa"/>
            <w:tcBorders>
              <w:top w:val="nil"/>
              <w:left w:val="nil"/>
              <w:bottom w:val="single" w:sz="4" w:space="0" w:color="auto"/>
              <w:right w:val="single" w:sz="4" w:space="0" w:color="auto"/>
            </w:tcBorders>
            <w:shd w:val="clear" w:color="auto" w:fill="auto"/>
            <w:noWrap/>
            <w:vAlign w:val="center"/>
            <w:hideMark/>
          </w:tcPr>
          <w:p w14:paraId="45BB56B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0.81</w:t>
            </w:r>
          </w:p>
        </w:tc>
        <w:tc>
          <w:tcPr>
            <w:tcW w:w="700" w:type="dxa"/>
            <w:tcBorders>
              <w:top w:val="nil"/>
              <w:left w:val="nil"/>
              <w:bottom w:val="single" w:sz="4" w:space="0" w:color="auto"/>
              <w:right w:val="single" w:sz="4" w:space="0" w:color="auto"/>
            </w:tcBorders>
            <w:shd w:val="clear" w:color="auto" w:fill="auto"/>
            <w:noWrap/>
            <w:vAlign w:val="center"/>
            <w:hideMark/>
          </w:tcPr>
          <w:p w14:paraId="3EFB565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0.81</w:t>
            </w:r>
          </w:p>
        </w:tc>
        <w:tc>
          <w:tcPr>
            <w:tcW w:w="696" w:type="dxa"/>
            <w:tcBorders>
              <w:top w:val="nil"/>
              <w:left w:val="nil"/>
              <w:bottom w:val="single" w:sz="4" w:space="0" w:color="auto"/>
              <w:right w:val="single" w:sz="4" w:space="0" w:color="auto"/>
            </w:tcBorders>
            <w:shd w:val="clear" w:color="auto" w:fill="auto"/>
            <w:noWrap/>
            <w:vAlign w:val="center"/>
            <w:hideMark/>
          </w:tcPr>
          <w:p w14:paraId="4B2C44F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0.81</w:t>
            </w:r>
          </w:p>
        </w:tc>
        <w:tc>
          <w:tcPr>
            <w:tcW w:w="700" w:type="dxa"/>
            <w:tcBorders>
              <w:top w:val="nil"/>
              <w:left w:val="nil"/>
              <w:bottom w:val="single" w:sz="4" w:space="0" w:color="auto"/>
              <w:right w:val="single" w:sz="4" w:space="0" w:color="auto"/>
            </w:tcBorders>
            <w:shd w:val="clear" w:color="auto" w:fill="auto"/>
            <w:noWrap/>
            <w:vAlign w:val="center"/>
            <w:hideMark/>
          </w:tcPr>
          <w:p w14:paraId="7C5E66C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0.81</w:t>
            </w:r>
          </w:p>
        </w:tc>
      </w:tr>
      <w:tr w:rsidR="00B05D21" w:rsidRPr="008708E5" w14:paraId="3D951C52"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C6D7303"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7</w:t>
            </w:r>
          </w:p>
        </w:tc>
        <w:tc>
          <w:tcPr>
            <w:tcW w:w="2762" w:type="dxa"/>
            <w:tcBorders>
              <w:top w:val="nil"/>
              <w:left w:val="nil"/>
              <w:bottom w:val="single" w:sz="4" w:space="0" w:color="000000"/>
              <w:right w:val="single" w:sz="4" w:space="0" w:color="000000"/>
            </w:tcBorders>
            <w:shd w:val="clear" w:color="auto" w:fill="auto"/>
            <w:noWrap/>
            <w:vAlign w:val="center"/>
            <w:hideMark/>
          </w:tcPr>
          <w:p w14:paraId="1DE21F8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INDF</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6E0EF1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7E4105C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1F881EA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696" w:type="dxa"/>
            <w:tcBorders>
              <w:top w:val="nil"/>
              <w:left w:val="nil"/>
              <w:bottom w:val="single" w:sz="4" w:space="0" w:color="auto"/>
              <w:right w:val="single" w:sz="4" w:space="0" w:color="auto"/>
            </w:tcBorders>
            <w:shd w:val="clear" w:color="auto" w:fill="auto"/>
            <w:noWrap/>
            <w:vAlign w:val="center"/>
            <w:hideMark/>
          </w:tcPr>
          <w:p w14:paraId="440DBC4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5DFC92B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r>
      <w:tr w:rsidR="00B05D21" w:rsidRPr="008708E5" w14:paraId="6BFE6F53"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C6C453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8</w:t>
            </w:r>
          </w:p>
        </w:tc>
        <w:tc>
          <w:tcPr>
            <w:tcW w:w="2762" w:type="dxa"/>
            <w:tcBorders>
              <w:top w:val="nil"/>
              <w:left w:val="nil"/>
              <w:bottom w:val="single" w:sz="4" w:space="0" w:color="000000"/>
              <w:right w:val="single" w:sz="4" w:space="0" w:color="000000"/>
            </w:tcBorders>
            <w:shd w:val="clear" w:color="auto" w:fill="auto"/>
            <w:noWrap/>
            <w:vAlign w:val="center"/>
            <w:hideMark/>
          </w:tcPr>
          <w:p w14:paraId="00A8172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JPFA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B8C707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0.52</w:t>
            </w:r>
          </w:p>
        </w:tc>
        <w:tc>
          <w:tcPr>
            <w:tcW w:w="700" w:type="dxa"/>
            <w:tcBorders>
              <w:top w:val="nil"/>
              <w:left w:val="nil"/>
              <w:bottom w:val="single" w:sz="4" w:space="0" w:color="auto"/>
              <w:right w:val="single" w:sz="4" w:space="0" w:color="auto"/>
            </w:tcBorders>
            <w:shd w:val="clear" w:color="auto" w:fill="auto"/>
            <w:noWrap/>
            <w:vAlign w:val="center"/>
            <w:hideMark/>
          </w:tcPr>
          <w:p w14:paraId="65C4058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0.54</w:t>
            </w:r>
          </w:p>
        </w:tc>
        <w:tc>
          <w:tcPr>
            <w:tcW w:w="700" w:type="dxa"/>
            <w:tcBorders>
              <w:top w:val="nil"/>
              <w:left w:val="nil"/>
              <w:bottom w:val="single" w:sz="4" w:space="0" w:color="auto"/>
              <w:right w:val="single" w:sz="4" w:space="0" w:color="auto"/>
            </w:tcBorders>
            <w:shd w:val="clear" w:color="auto" w:fill="auto"/>
            <w:noWrap/>
            <w:vAlign w:val="center"/>
            <w:hideMark/>
          </w:tcPr>
          <w:p w14:paraId="2C16335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c>
          <w:tcPr>
            <w:tcW w:w="696" w:type="dxa"/>
            <w:tcBorders>
              <w:top w:val="nil"/>
              <w:left w:val="nil"/>
              <w:bottom w:val="single" w:sz="4" w:space="0" w:color="auto"/>
              <w:right w:val="single" w:sz="4" w:space="0" w:color="auto"/>
            </w:tcBorders>
            <w:shd w:val="clear" w:color="auto" w:fill="auto"/>
            <w:noWrap/>
            <w:vAlign w:val="center"/>
            <w:hideMark/>
          </w:tcPr>
          <w:p w14:paraId="6ABB614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c>
          <w:tcPr>
            <w:tcW w:w="700" w:type="dxa"/>
            <w:tcBorders>
              <w:top w:val="nil"/>
              <w:left w:val="nil"/>
              <w:bottom w:val="single" w:sz="4" w:space="0" w:color="auto"/>
              <w:right w:val="single" w:sz="4" w:space="0" w:color="auto"/>
            </w:tcBorders>
            <w:shd w:val="clear" w:color="auto" w:fill="auto"/>
            <w:noWrap/>
            <w:vAlign w:val="center"/>
            <w:hideMark/>
          </w:tcPr>
          <w:p w14:paraId="318F92C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r>
      <w:tr w:rsidR="00B05D21" w:rsidRPr="008708E5" w14:paraId="422EC937"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B01A23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9</w:t>
            </w:r>
          </w:p>
        </w:tc>
        <w:tc>
          <w:tcPr>
            <w:tcW w:w="2762" w:type="dxa"/>
            <w:tcBorders>
              <w:top w:val="nil"/>
              <w:left w:val="nil"/>
              <w:bottom w:val="single" w:sz="4" w:space="0" w:color="000000"/>
              <w:right w:val="single" w:sz="4" w:space="0" w:color="000000"/>
            </w:tcBorders>
            <w:shd w:val="clear" w:color="auto" w:fill="auto"/>
            <w:noWrap/>
            <w:vAlign w:val="center"/>
            <w:hideMark/>
          </w:tcPr>
          <w:p w14:paraId="28B9C4F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LSIP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9C62A8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c>
          <w:tcPr>
            <w:tcW w:w="700" w:type="dxa"/>
            <w:tcBorders>
              <w:top w:val="nil"/>
              <w:left w:val="nil"/>
              <w:bottom w:val="single" w:sz="4" w:space="0" w:color="auto"/>
              <w:right w:val="single" w:sz="4" w:space="0" w:color="auto"/>
            </w:tcBorders>
            <w:shd w:val="clear" w:color="auto" w:fill="auto"/>
            <w:noWrap/>
            <w:vAlign w:val="center"/>
            <w:hideMark/>
          </w:tcPr>
          <w:p w14:paraId="425A14A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c>
          <w:tcPr>
            <w:tcW w:w="700" w:type="dxa"/>
            <w:tcBorders>
              <w:top w:val="nil"/>
              <w:left w:val="nil"/>
              <w:bottom w:val="single" w:sz="4" w:space="0" w:color="auto"/>
              <w:right w:val="single" w:sz="4" w:space="0" w:color="auto"/>
            </w:tcBorders>
            <w:shd w:val="clear" w:color="auto" w:fill="auto"/>
            <w:noWrap/>
            <w:vAlign w:val="center"/>
            <w:hideMark/>
          </w:tcPr>
          <w:p w14:paraId="14D6E02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c>
          <w:tcPr>
            <w:tcW w:w="696" w:type="dxa"/>
            <w:tcBorders>
              <w:top w:val="nil"/>
              <w:left w:val="nil"/>
              <w:bottom w:val="single" w:sz="4" w:space="0" w:color="auto"/>
              <w:right w:val="single" w:sz="4" w:space="0" w:color="auto"/>
            </w:tcBorders>
            <w:shd w:val="clear" w:color="auto" w:fill="auto"/>
            <w:noWrap/>
            <w:vAlign w:val="center"/>
            <w:hideMark/>
          </w:tcPr>
          <w:p w14:paraId="1262D6D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c>
          <w:tcPr>
            <w:tcW w:w="700" w:type="dxa"/>
            <w:tcBorders>
              <w:top w:val="nil"/>
              <w:left w:val="nil"/>
              <w:bottom w:val="single" w:sz="4" w:space="0" w:color="auto"/>
              <w:right w:val="single" w:sz="4" w:space="0" w:color="auto"/>
            </w:tcBorders>
            <w:shd w:val="clear" w:color="auto" w:fill="auto"/>
            <w:noWrap/>
            <w:vAlign w:val="center"/>
            <w:hideMark/>
          </w:tcPr>
          <w:p w14:paraId="74D8F4A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0.60</w:t>
            </w:r>
          </w:p>
        </w:tc>
      </w:tr>
      <w:tr w:rsidR="00B05D21" w:rsidRPr="008708E5" w14:paraId="610EEECA"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7EA2A4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10</w:t>
            </w:r>
          </w:p>
        </w:tc>
        <w:tc>
          <w:tcPr>
            <w:tcW w:w="2762" w:type="dxa"/>
            <w:tcBorders>
              <w:top w:val="nil"/>
              <w:left w:val="nil"/>
              <w:bottom w:val="single" w:sz="4" w:space="0" w:color="000000"/>
              <w:right w:val="single" w:sz="4" w:space="0" w:color="000000"/>
            </w:tcBorders>
            <w:shd w:val="clear" w:color="auto" w:fill="auto"/>
            <w:noWrap/>
            <w:vAlign w:val="center"/>
            <w:hideMark/>
          </w:tcPr>
          <w:p w14:paraId="0D65DEB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MYOR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81CAC1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0.59</w:t>
            </w:r>
          </w:p>
        </w:tc>
        <w:tc>
          <w:tcPr>
            <w:tcW w:w="700" w:type="dxa"/>
            <w:tcBorders>
              <w:top w:val="nil"/>
              <w:left w:val="nil"/>
              <w:bottom w:val="single" w:sz="4" w:space="0" w:color="auto"/>
              <w:right w:val="single" w:sz="4" w:space="0" w:color="auto"/>
            </w:tcBorders>
            <w:shd w:val="clear" w:color="auto" w:fill="auto"/>
            <w:noWrap/>
            <w:vAlign w:val="center"/>
            <w:hideMark/>
          </w:tcPr>
          <w:p w14:paraId="1F02403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0.59</w:t>
            </w:r>
          </w:p>
        </w:tc>
        <w:tc>
          <w:tcPr>
            <w:tcW w:w="700" w:type="dxa"/>
            <w:tcBorders>
              <w:top w:val="nil"/>
              <w:left w:val="nil"/>
              <w:bottom w:val="single" w:sz="4" w:space="0" w:color="auto"/>
              <w:right w:val="single" w:sz="4" w:space="0" w:color="auto"/>
            </w:tcBorders>
            <w:shd w:val="clear" w:color="auto" w:fill="auto"/>
            <w:noWrap/>
            <w:vAlign w:val="center"/>
            <w:hideMark/>
          </w:tcPr>
          <w:p w14:paraId="3465C29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0.59</w:t>
            </w:r>
          </w:p>
        </w:tc>
        <w:tc>
          <w:tcPr>
            <w:tcW w:w="696" w:type="dxa"/>
            <w:tcBorders>
              <w:top w:val="nil"/>
              <w:left w:val="nil"/>
              <w:bottom w:val="single" w:sz="4" w:space="0" w:color="auto"/>
              <w:right w:val="single" w:sz="4" w:space="0" w:color="auto"/>
            </w:tcBorders>
            <w:shd w:val="clear" w:color="auto" w:fill="auto"/>
            <w:noWrap/>
            <w:vAlign w:val="center"/>
            <w:hideMark/>
          </w:tcPr>
          <w:p w14:paraId="3EE5E69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0.59</w:t>
            </w:r>
          </w:p>
        </w:tc>
        <w:tc>
          <w:tcPr>
            <w:tcW w:w="700" w:type="dxa"/>
            <w:tcBorders>
              <w:top w:val="nil"/>
              <w:left w:val="nil"/>
              <w:bottom w:val="single" w:sz="4" w:space="0" w:color="auto"/>
              <w:right w:val="single" w:sz="4" w:space="0" w:color="auto"/>
            </w:tcBorders>
            <w:shd w:val="clear" w:color="auto" w:fill="auto"/>
            <w:noWrap/>
            <w:vAlign w:val="center"/>
            <w:hideMark/>
          </w:tcPr>
          <w:p w14:paraId="14CB948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0.59</w:t>
            </w:r>
          </w:p>
        </w:tc>
      </w:tr>
      <w:tr w:rsidR="00B05D21" w:rsidRPr="008708E5" w14:paraId="653E3AB4"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4EBA81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11</w:t>
            </w:r>
          </w:p>
        </w:tc>
        <w:tc>
          <w:tcPr>
            <w:tcW w:w="2762" w:type="dxa"/>
            <w:tcBorders>
              <w:top w:val="nil"/>
              <w:left w:val="nil"/>
              <w:bottom w:val="single" w:sz="4" w:space="0" w:color="000000"/>
              <w:right w:val="single" w:sz="4" w:space="0" w:color="000000"/>
            </w:tcBorders>
            <w:shd w:val="clear" w:color="auto" w:fill="auto"/>
            <w:noWrap/>
            <w:vAlign w:val="center"/>
            <w:hideMark/>
          </w:tcPr>
          <w:p w14:paraId="2F9CDCC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SDPC</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FCF0813"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3475A0D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1FA7123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0.91</w:t>
            </w:r>
          </w:p>
        </w:tc>
        <w:tc>
          <w:tcPr>
            <w:tcW w:w="696" w:type="dxa"/>
            <w:tcBorders>
              <w:top w:val="nil"/>
              <w:left w:val="nil"/>
              <w:bottom w:val="single" w:sz="4" w:space="0" w:color="auto"/>
              <w:right w:val="single" w:sz="4" w:space="0" w:color="auto"/>
            </w:tcBorders>
            <w:shd w:val="clear" w:color="auto" w:fill="auto"/>
            <w:noWrap/>
            <w:vAlign w:val="center"/>
            <w:hideMark/>
          </w:tcPr>
          <w:p w14:paraId="6772D33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0.91</w:t>
            </w:r>
          </w:p>
        </w:tc>
        <w:tc>
          <w:tcPr>
            <w:tcW w:w="700" w:type="dxa"/>
            <w:tcBorders>
              <w:top w:val="nil"/>
              <w:left w:val="nil"/>
              <w:bottom w:val="single" w:sz="4" w:space="0" w:color="auto"/>
              <w:right w:val="single" w:sz="4" w:space="0" w:color="auto"/>
            </w:tcBorders>
            <w:shd w:val="clear" w:color="auto" w:fill="auto"/>
            <w:noWrap/>
            <w:vAlign w:val="center"/>
            <w:hideMark/>
          </w:tcPr>
          <w:p w14:paraId="3B1D11B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0.88</w:t>
            </w:r>
          </w:p>
        </w:tc>
      </w:tr>
      <w:tr w:rsidR="00B05D21" w:rsidRPr="008708E5" w14:paraId="3625DEC2"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F5EEA5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12</w:t>
            </w:r>
          </w:p>
        </w:tc>
        <w:tc>
          <w:tcPr>
            <w:tcW w:w="2762" w:type="dxa"/>
            <w:tcBorders>
              <w:top w:val="nil"/>
              <w:left w:val="nil"/>
              <w:bottom w:val="single" w:sz="4" w:space="0" w:color="000000"/>
              <w:right w:val="single" w:sz="4" w:space="0" w:color="000000"/>
            </w:tcBorders>
            <w:shd w:val="clear" w:color="auto" w:fill="auto"/>
            <w:noWrap/>
            <w:vAlign w:val="center"/>
            <w:hideMark/>
          </w:tcPr>
          <w:p w14:paraId="1750515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TBLA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F4C37C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c>
          <w:tcPr>
            <w:tcW w:w="700" w:type="dxa"/>
            <w:tcBorders>
              <w:top w:val="nil"/>
              <w:left w:val="nil"/>
              <w:bottom w:val="single" w:sz="4" w:space="0" w:color="auto"/>
              <w:right w:val="single" w:sz="4" w:space="0" w:color="auto"/>
            </w:tcBorders>
            <w:shd w:val="clear" w:color="auto" w:fill="auto"/>
            <w:noWrap/>
            <w:vAlign w:val="center"/>
            <w:hideMark/>
          </w:tcPr>
          <w:p w14:paraId="2A041B8B"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0.55</w:t>
            </w:r>
          </w:p>
        </w:tc>
        <w:tc>
          <w:tcPr>
            <w:tcW w:w="700" w:type="dxa"/>
            <w:tcBorders>
              <w:top w:val="nil"/>
              <w:left w:val="nil"/>
              <w:bottom w:val="single" w:sz="4" w:space="0" w:color="auto"/>
              <w:right w:val="single" w:sz="4" w:space="0" w:color="auto"/>
            </w:tcBorders>
            <w:shd w:val="clear" w:color="auto" w:fill="auto"/>
            <w:noWrap/>
            <w:vAlign w:val="center"/>
            <w:hideMark/>
          </w:tcPr>
          <w:p w14:paraId="7AA165F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0.58</w:t>
            </w:r>
          </w:p>
        </w:tc>
        <w:tc>
          <w:tcPr>
            <w:tcW w:w="696" w:type="dxa"/>
            <w:tcBorders>
              <w:top w:val="nil"/>
              <w:left w:val="nil"/>
              <w:bottom w:val="single" w:sz="4" w:space="0" w:color="auto"/>
              <w:right w:val="single" w:sz="4" w:space="0" w:color="auto"/>
            </w:tcBorders>
            <w:shd w:val="clear" w:color="auto" w:fill="auto"/>
            <w:noWrap/>
            <w:vAlign w:val="center"/>
            <w:hideMark/>
          </w:tcPr>
          <w:p w14:paraId="1CD1464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0.58</w:t>
            </w:r>
          </w:p>
        </w:tc>
        <w:tc>
          <w:tcPr>
            <w:tcW w:w="700" w:type="dxa"/>
            <w:tcBorders>
              <w:top w:val="nil"/>
              <w:left w:val="nil"/>
              <w:bottom w:val="single" w:sz="4" w:space="0" w:color="auto"/>
              <w:right w:val="single" w:sz="4" w:space="0" w:color="auto"/>
            </w:tcBorders>
            <w:shd w:val="clear" w:color="auto" w:fill="auto"/>
            <w:noWrap/>
            <w:vAlign w:val="center"/>
            <w:hideMark/>
          </w:tcPr>
          <w:p w14:paraId="238165A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0.67</w:t>
            </w:r>
          </w:p>
        </w:tc>
      </w:tr>
      <w:tr w:rsidR="00B05D21" w:rsidRPr="008708E5" w14:paraId="20C470BF" w14:textId="77777777" w:rsidTr="00645E4A">
        <w:trPr>
          <w:trHeight w:val="3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5DF9490"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13</w:t>
            </w:r>
          </w:p>
        </w:tc>
        <w:tc>
          <w:tcPr>
            <w:tcW w:w="2762" w:type="dxa"/>
            <w:tcBorders>
              <w:top w:val="nil"/>
              <w:left w:val="nil"/>
              <w:bottom w:val="single" w:sz="4" w:space="0" w:color="000000"/>
              <w:right w:val="single" w:sz="4" w:space="0" w:color="000000"/>
            </w:tcBorders>
            <w:shd w:val="clear" w:color="auto" w:fill="auto"/>
            <w:noWrap/>
            <w:vAlign w:val="center"/>
            <w:hideMark/>
          </w:tcPr>
          <w:p w14:paraId="4D533B3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GOOD</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D13A432"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0.38</w:t>
            </w:r>
          </w:p>
        </w:tc>
        <w:tc>
          <w:tcPr>
            <w:tcW w:w="700" w:type="dxa"/>
            <w:tcBorders>
              <w:top w:val="nil"/>
              <w:left w:val="nil"/>
              <w:bottom w:val="single" w:sz="4" w:space="0" w:color="auto"/>
              <w:right w:val="single" w:sz="4" w:space="0" w:color="auto"/>
            </w:tcBorders>
            <w:shd w:val="clear" w:color="auto" w:fill="auto"/>
            <w:noWrap/>
            <w:vAlign w:val="center"/>
            <w:hideMark/>
          </w:tcPr>
          <w:p w14:paraId="458EC54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0.37</w:t>
            </w:r>
          </w:p>
        </w:tc>
        <w:tc>
          <w:tcPr>
            <w:tcW w:w="700" w:type="dxa"/>
            <w:tcBorders>
              <w:top w:val="nil"/>
              <w:left w:val="nil"/>
              <w:bottom w:val="single" w:sz="4" w:space="0" w:color="auto"/>
              <w:right w:val="single" w:sz="4" w:space="0" w:color="auto"/>
            </w:tcBorders>
            <w:shd w:val="clear" w:color="auto" w:fill="auto"/>
            <w:noWrap/>
            <w:vAlign w:val="center"/>
            <w:hideMark/>
          </w:tcPr>
          <w:p w14:paraId="113296E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0.39</w:t>
            </w:r>
          </w:p>
        </w:tc>
        <w:tc>
          <w:tcPr>
            <w:tcW w:w="696" w:type="dxa"/>
            <w:tcBorders>
              <w:top w:val="nil"/>
              <w:left w:val="nil"/>
              <w:bottom w:val="single" w:sz="4" w:space="0" w:color="auto"/>
              <w:right w:val="single" w:sz="4" w:space="0" w:color="auto"/>
            </w:tcBorders>
            <w:shd w:val="clear" w:color="auto" w:fill="auto"/>
            <w:noWrap/>
            <w:vAlign w:val="center"/>
            <w:hideMark/>
          </w:tcPr>
          <w:p w14:paraId="5CD3BD2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420DA6C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0.50</w:t>
            </w:r>
          </w:p>
        </w:tc>
      </w:tr>
      <w:tr w:rsidR="00B05D21" w:rsidRPr="008708E5" w14:paraId="253E7503" w14:textId="77777777" w:rsidTr="00645E4A">
        <w:trPr>
          <w:trHeight w:val="315"/>
        </w:trPr>
        <w:tc>
          <w:tcPr>
            <w:tcW w:w="640" w:type="dxa"/>
            <w:tcBorders>
              <w:top w:val="nil"/>
              <w:left w:val="single" w:sz="4" w:space="0" w:color="000000"/>
              <w:bottom w:val="nil"/>
              <w:right w:val="single" w:sz="4" w:space="0" w:color="000000"/>
            </w:tcBorders>
            <w:shd w:val="clear" w:color="auto" w:fill="auto"/>
            <w:noWrap/>
            <w:vAlign w:val="center"/>
            <w:hideMark/>
          </w:tcPr>
          <w:p w14:paraId="2B260F4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14</w:t>
            </w:r>
          </w:p>
        </w:tc>
        <w:tc>
          <w:tcPr>
            <w:tcW w:w="2762" w:type="dxa"/>
            <w:tcBorders>
              <w:top w:val="nil"/>
              <w:left w:val="nil"/>
              <w:bottom w:val="nil"/>
              <w:right w:val="single" w:sz="4" w:space="0" w:color="000000"/>
            </w:tcBorders>
            <w:shd w:val="clear" w:color="auto" w:fill="auto"/>
            <w:noWrap/>
            <w:vAlign w:val="center"/>
            <w:hideMark/>
          </w:tcPr>
          <w:p w14:paraId="6E25D47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HMSP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C559F3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3BCAF3A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73F2173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696" w:type="dxa"/>
            <w:tcBorders>
              <w:top w:val="nil"/>
              <w:left w:val="nil"/>
              <w:bottom w:val="single" w:sz="4" w:space="0" w:color="auto"/>
              <w:right w:val="single" w:sz="4" w:space="0" w:color="auto"/>
            </w:tcBorders>
            <w:shd w:val="clear" w:color="auto" w:fill="auto"/>
            <w:noWrap/>
            <w:vAlign w:val="center"/>
            <w:hideMark/>
          </w:tcPr>
          <w:p w14:paraId="2972B3F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c>
          <w:tcPr>
            <w:tcW w:w="700" w:type="dxa"/>
            <w:tcBorders>
              <w:top w:val="nil"/>
              <w:left w:val="nil"/>
              <w:bottom w:val="single" w:sz="4" w:space="0" w:color="auto"/>
              <w:right w:val="single" w:sz="4" w:space="0" w:color="auto"/>
            </w:tcBorders>
            <w:shd w:val="clear" w:color="auto" w:fill="auto"/>
            <w:noWrap/>
            <w:vAlign w:val="center"/>
            <w:hideMark/>
          </w:tcPr>
          <w:p w14:paraId="306EC9BF"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0.92</w:t>
            </w:r>
          </w:p>
        </w:tc>
      </w:tr>
      <w:tr w:rsidR="00B05D21" w:rsidRPr="008708E5" w14:paraId="48666D82" w14:textId="77777777" w:rsidTr="00645E4A">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B8A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15</w:t>
            </w:r>
          </w:p>
        </w:tc>
        <w:tc>
          <w:tcPr>
            <w:tcW w:w="2762" w:type="dxa"/>
            <w:tcBorders>
              <w:top w:val="single" w:sz="4" w:space="0" w:color="auto"/>
              <w:left w:val="nil"/>
              <w:bottom w:val="single" w:sz="4" w:space="0" w:color="auto"/>
              <w:right w:val="single" w:sz="4" w:space="0" w:color="auto"/>
            </w:tcBorders>
            <w:shd w:val="clear" w:color="auto" w:fill="auto"/>
            <w:noWrap/>
            <w:vAlign w:val="center"/>
            <w:hideMark/>
          </w:tcPr>
          <w:p w14:paraId="0A8799DD"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8708E5">
              <w:rPr>
                <w:rFonts w:asciiTheme="majorBidi" w:eastAsia="Times New Roman" w:hAnsiTheme="majorBidi" w:cstheme="majorBidi"/>
                <w:sz w:val="24"/>
                <w:szCs w:val="24"/>
                <w:lang w:eastAsia="en-GB"/>
              </w:rPr>
              <w:t>UNVR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F2679CC"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0.85</w:t>
            </w:r>
          </w:p>
        </w:tc>
        <w:tc>
          <w:tcPr>
            <w:tcW w:w="700" w:type="dxa"/>
            <w:tcBorders>
              <w:top w:val="nil"/>
              <w:left w:val="nil"/>
              <w:bottom w:val="single" w:sz="4" w:space="0" w:color="auto"/>
              <w:right w:val="single" w:sz="4" w:space="0" w:color="auto"/>
            </w:tcBorders>
            <w:shd w:val="clear" w:color="auto" w:fill="auto"/>
            <w:noWrap/>
            <w:vAlign w:val="center"/>
            <w:hideMark/>
          </w:tcPr>
          <w:p w14:paraId="521B37AA"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0.85</w:t>
            </w:r>
          </w:p>
        </w:tc>
        <w:tc>
          <w:tcPr>
            <w:tcW w:w="700" w:type="dxa"/>
            <w:tcBorders>
              <w:top w:val="nil"/>
              <w:left w:val="nil"/>
              <w:bottom w:val="single" w:sz="4" w:space="0" w:color="auto"/>
              <w:right w:val="single" w:sz="4" w:space="0" w:color="auto"/>
            </w:tcBorders>
            <w:shd w:val="clear" w:color="auto" w:fill="auto"/>
            <w:noWrap/>
            <w:vAlign w:val="center"/>
            <w:hideMark/>
          </w:tcPr>
          <w:p w14:paraId="79334334"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0.85</w:t>
            </w:r>
          </w:p>
        </w:tc>
        <w:tc>
          <w:tcPr>
            <w:tcW w:w="696" w:type="dxa"/>
            <w:tcBorders>
              <w:top w:val="nil"/>
              <w:left w:val="nil"/>
              <w:bottom w:val="single" w:sz="4" w:space="0" w:color="auto"/>
              <w:right w:val="single" w:sz="4" w:space="0" w:color="auto"/>
            </w:tcBorders>
            <w:shd w:val="clear" w:color="auto" w:fill="auto"/>
            <w:noWrap/>
            <w:vAlign w:val="center"/>
            <w:hideMark/>
          </w:tcPr>
          <w:p w14:paraId="3EA628E9"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0.85</w:t>
            </w:r>
          </w:p>
        </w:tc>
        <w:tc>
          <w:tcPr>
            <w:tcW w:w="700" w:type="dxa"/>
            <w:tcBorders>
              <w:top w:val="nil"/>
              <w:left w:val="nil"/>
              <w:bottom w:val="single" w:sz="4" w:space="0" w:color="auto"/>
              <w:right w:val="single" w:sz="4" w:space="0" w:color="auto"/>
            </w:tcBorders>
            <w:shd w:val="clear" w:color="auto" w:fill="auto"/>
            <w:noWrap/>
            <w:vAlign w:val="center"/>
            <w:hideMark/>
          </w:tcPr>
          <w:p w14:paraId="077C58C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8708E5">
              <w:rPr>
                <w:rFonts w:asciiTheme="majorBidi" w:eastAsia="Times New Roman" w:hAnsiTheme="majorBidi" w:cstheme="majorBidi"/>
                <w:color w:val="000000"/>
                <w:sz w:val="24"/>
                <w:szCs w:val="24"/>
                <w:lang w:eastAsia="en-GB"/>
              </w:rPr>
              <w:t>0.85</w:t>
            </w:r>
          </w:p>
        </w:tc>
      </w:tr>
      <w:tr w:rsidR="00B05D21" w:rsidRPr="008708E5" w14:paraId="6C1E9C72"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3FC4E"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Terendah</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72FB47"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0.369</w:t>
            </w:r>
          </w:p>
        </w:tc>
      </w:tr>
      <w:tr w:rsidR="00B05D21" w:rsidRPr="008708E5" w14:paraId="02CD3EC9"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B075"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Tertinggi</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AD259D6"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0.925</w:t>
            </w:r>
          </w:p>
        </w:tc>
      </w:tr>
      <w:tr w:rsidR="00B05D21" w:rsidRPr="005279AA" w14:paraId="264B78A6"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68E8" w14:textId="77777777" w:rsidR="00B05D21" w:rsidRPr="008708E5"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8708E5">
              <w:rPr>
                <w:rFonts w:asciiTheme="majorBidi" w:eastAsia="Times New Roman" w:hAnsiTheme="majorBidi" w:cstheme="majorBidi"/>
                <w:b/>
                <w:bCs/>
                <w:sz w:val="24"/>
                <w:szCs w:val="24"/>
                <w:lang w:eastAsia="en-GB"/>
              </w:rPr>
              <w:t>Nilai Rata-Rata</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3B557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8708E5">
              <w:rPr>
                <w:rFonts w:asciiTheme="majorBidi" w:eastAsia="Times New Roman" w:hAnsiTheme="majorBidi" w:cstheme="majorBidi"/>
                <w:b/>
                <w:bCs/>
                <w:color w:val="000000"/>
                <w:sz w:val="24"/>
                <w:szCs w:val="24"/>
                <w:lang w:eastAsia="en-GB"/>
              </w:rPr>
              <w:t>0.655</w:t>
            </w:r>
          </w:p>
        </w:tc>
      </w:tr>
    </w:tbl>
    <w:p w14:paraId="019E2F7F" w14:textId="4A19F49B" w:rsidR="003E77D9" w:rsidRDefault="0057737A" w:rsidP="00645E4A">
      <w:pPr>
        <w:tabs>
          <w:tab w:val="left" w:pos="1701"/>
        </w:tabs>
        <w:spacing w:line="240" w:lineRule="auto"/>
        <w:ind w:left="1134"/>
        <w:jc w:val="both"/>
        <w:rPr>
          <w:rFonts w:asciiTheme="majorBidi" w:eastAsiaTheme="minorEastAsia" w:hAnsiTheme="majorBidi" w:cstheme="majorBidi"/>
          <w:iCs/>
          <w:lang w:val="id-ID"/>
        </w:rPr>
      </w:pPr>
      <w:r w:rsidRPr="005279AA">
        <w:rPr>
          <w:rFonts w:asciiTheme="majorBidi" w:eastAsiaTheme="minorEastAsia" w:hAnsiTheme="majorBidi" w:cstheme="majorBidi"/>
          <w:iCs/>
          <w:lang w:val="id-ID"/>
        </w:rPr>
        <w:t>Sumber</w:t>
      </w:r>
      <w:r w:rsidR="00D974B3" w:rsidRPr="005279AA">
        <w:rPr>
          <w:rFonts w:asciiTheme="majorBidi" w:eastAsiaTheme="minorEastAsia" w:hAnsiTheme="majorBidi" w:cstheme="majorBidi"/>
          <w:iCs/>
          <w:lang w:val="id-ID"/>
        </w:rPr>
        <w:t xml:space="preserve">: </w:t>
      </w:r>
      <w:r w:rsidRPr="005279AA">
        <w:rPr>
          <w:rFonts w:asciiTheme="majorBidi" w:eastAsiaTheme="minorEastAsia" w:hAnsiTheme="majorBidi" w:cstheme="majorBidi"/>
          <w:iCs/>
          <w:lang w:val="id-ID"/>
        </w:rPr>
        <w:t xml:space="preserve">Laporan </w:t>
      </w:r>
      <w:r w:rsidR="00D974B3" w:rsidRPr="005279AA">
        <w:rPr>
          <w:rFonts w:asciiTheme="majorBidi" w:eastAsiaTheme="minorEastAsia" w:hAnsiTheme="majorBidi" w:cstheme="majorBidi"/>
          <w:iCs/>
          <w:lang w:val="id-ID"/>
        </w:rPr>
        <w:t>Keuangan Tahunan</w:t>
      </w:r>
      <w:r w:rsidR="00D974B3">
        <w:rPr>
          <w:rFonts w:asciiTheme="majorBidi" w:eastAsiaTheme="minorEastAsia" w:hAnsiTheme="majorBidi" w:cstheme="majorBidi"/>
          <w:iCs/>
        </w:rPr>
        <w:t xml:space="preserve"> Perusahaan Sektor</w:t>
      </w:r>
      <w:r w:rsidR="00D974B3" w:rsidRPr="005279AA">
        <w:rPr>
          <w:rFonts w:asciiTheme="majorBidi" w:eastAsiaTheme="minorEastAsia" w:hAnsiTheme="majorBidi" w:cstheme="majorBidi"/>
          <w:iCs/>
          <w:lang w:val="id-ID"/>
        </w:rPr>
        <w:t xml:space="preserve"> Consumer Non Cyclical 2019-2023</w:t>
      </w:r>
    </w:p>
    <w:p w14:paraId="5AF05B1E" w14:textId="3A4785F0" w:rsidR="00840C8D" w:rsidRPr="00CC00B3"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lastRenderedPageBreak/>
        <w:t xml:space="preserve">Berdasarkan tabel data kepemilikan institusional pada sampel perusahaan sektor </w:t>
      </w:r>
      <w:r w:rsidRPr="00CC00B3">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 diatas, maka dapat dibuat grafik sebagai berikut:</w:t>
      </w:r>
    </w:p>
    <w:p w14:paraId="5B25B522" w14:textId="444D6115" w:rsidR="00840C8D" w:rsidRDefault="00840C8D" w:rsidP="00BF76D1">
      <w:pPr>
        <w:tabs>
          <w:tab w:val="left" w:pos="1701"/>
        </w:tabs>
        <w:spacing w:line="240" w:lineRule="auto"/>
        <w:ind w:left="567" w:firstLine="426"/>
        <w:jc w:val="both"/>
        <w:rPr>
          <w:rFonts w:asciiTheme="majorBidi" w:eastAsiaTheme="minorEastAsia" w:hAnsiTheme="majorBidi" w:cstheme="majorBidi"/>
          <w:iCs/>
        </w:rPr>
      </w:pPr>
      <w:r>
        <w:rPr>
          <w:noProof/>
        </w:rPr>
        <w:drawing>
          <wp:inline distT="0" distB="0" distL="0" distR="0" wp14:anchorId="67922DB4" wp14:editId="24124603">
            <wp:extent cx="4572000" cy="2743200"/>
            <wp:effectExtent l="0" t="0" r="0" b="0"/>
            <wp:docPr id="46" name="Chart 46">
              <a:extLst xmlns:a="http://schemas.openxmlformats.org/drawingml/2006/main">
                <a:ext uri="{FF2B5EF4-FFF2-40B4-BE49-F238E27FC236}">
                  <a16:creationId xmlns:a16="http://schemas.microsoft.com/office/drawing/2014/main" id="{A69E3AFA-74CB-4549-9752-BD95271BE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045921" w14:textId="274ABB89" w:rsidR="000619F3" w:rsidRPr="00D84E9B" w:rsidRDefault="000619F3" w:rsidP="00BF76D1">
      <w:pPr>
        <w:pStyle w:val="ListParagraph"/>
        <w:tabs>
          <w:tab w:val="left" w:pos="1701"/>
        </w:tabs>
        <w:spacing w:line="240" w:lineRule="auto"/>
        <w:ind w:left="993"/>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3132D6A6" w14:textId="1847DF2E" w:rsidR="00D84E9B"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6</w:t>
      </w:r>
    </w:p>
    <w:p w14:paraId="2C49292F" w14:textId="72828354" w:rsidR="000619F3" w:rsidRPr="00D84E9B" w:rsidRDefault="000619F3"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Kepemilikan Institusioal</w:t>
      </w:r>
      <w:r w:rsidR="00D84E9B">
        <w:rPr>
          <w:rFonts w:asciiTheme="majorBidi" w:eastAsiaTheme="minorEastAsia" w:hAnsiTheme="majorBidi" w:cstheme="majorBidi"/>
          <w:b/>
          <w:bCs/>
          <w:iCs/>
          <w:sz w:val="24"/>
          <w:szCs w:val="24"/>
        </w:rPr>
        <w:t xml:space="preserve"> </w:t>
      </w:r>
      <w:r w:rsidRPr="00D84E9B">
        <w:rPr>
          <w:rFonts w:asciiTheme="majorBidi" w:eastAsiaTheme="minorEastAsia" w:hAnsiTheme="majorBidi" w:cstheme="majorBidi"/>
          <w:b/>
          <w:bCs/>
          <w:iCs/>
          <w:sz w:val="24"/>
          <w:szCs w:val="24"/>
          <w:lang w:val="id-ID"/>
        </w:rPr>
        <w:t>Perusahaan Sektor Consumer Non Cyclical Tahun 2019-202</w:t>
      </w:r>
      <w:r w:rsidRPr="00D84E9B">
        <w:rPr>
          <w:rFonts w:asciiTheme="majorBidi" w:eastAsiaTheme="minorEastAsia" w:hAnsiTheme="majorBidi" w:cstheme="majorBidi"/>
          <w:b/>
          <w:bCs/>
          <w:iCs/>
          <w:sz w:val="24"/>
          <w:szCs w:val="24"/>
        </w:rPr>
        <w:t>3</w:t>
      </w:r>
    </w:p>
    <w:p w14:paraId="63B0FF59" w14:textId="6B804A26" w:rsidR="00C4381B" w:rsidRPr="00CC00B3" w:rsidRDefault="00840C8D"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dan grafik diatas dapat diketahui bahwa nilai Kepemilikan Institusional (KI) pada 15 sampel perusahaan sektor </w:t>
      </w:r>
      <w:r w:rsidRPr="000707DC">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w:t>
      </w:r>
      <w:r w:rsidR="00CC00B3" w:rsidRPr="00CC00B3">
        <w:rPr>
          <w:rFonts w:asciiTheme="majorBidi" w:eastAsiaTheme="minorEastAsia" w:hAnsiTheme="majorBidi" w:cstheme="majorBidi"/>
          <w:iCs/>
          <w:sz w:val="24"/>
          <w:szCs w:val="24"/>
        </w:rPr>
        <w:t>menunjukan bahwa nilai</w:t>
      </w:r>
      <w:r w:rsidR="00CC00B3">
        <w:rPr>
          <w:rFonts w:asciiTheme="majorBidi" w:eastAsiaTheme="minorEastAsia" w:hAnsiTheme="majorBidi" w:cstheme="majorBidi"/>
          <w:iCs/>
          <w:sz w:val="24"/>
          <w:szCs w:val="24"/>
        </w:rPr>
        <w:t xml:space="preserve"> </w:t>
      </w:r>
      <w:r w:rsidR="00CC00B3" w:rsidRPr="00CC00B3">
        <w:rPr>
          <w:rFonts w:asciiTheme="majorBidi" w:eastAsiaTheme="minorEastAsia" w:hAnsiTheme="majorBidi" w:cstheme="majorBidi"/>
          <w:iCs/>
          <w:sz w:val="24"/>
          <w:szCs w:val="24"/>
        </w:rPr>
        <w:t xml:space="preserve">Kepemilikan Institusional (KI) tertinggi dihasilkan oleh PT </w:t>
      </w:r>
      <w:r w:rsidR="000A231A" w:rsidRPr="005279AA">
        <w:rPr>
          <w:rFonts w:asciiTheme="majorBidi" w:eastAsia="Times New Roman" w:hAnsiTheme="majorBidi" w:cstheme="majorBidi"/>
          <w:sz w:val="24"/>
          <w:szCs w:val="24"/>
          <w:lang w:eastAsia="en-GB"/>
        </w:rPr>
        <w:t>H.M. Sampoerna Tbk</w:t>
      </w:r>
      <w:r w:rsidR="000707DC">
        <w:rPr>
          <w:rFonts w:asciiTheme="majorBidi" w:eastAsia="Times New Roman" w:hAnsiTheme="majorBidi" w:cstheme="majorBidi"/>
          <w:sz w:val="24"/>
          <w:szCs w:val="24"/>
          <w:lang w:eastAsia="en-GB"/>
        </w:rPr>
        <w:t xml:space="preserve"> </w:t>
      </w:r>
      <w:r w:rsidR="000A231A">
        <w:rPr>
          <w:rFonts w:asciiTheme="majorBidi" w:eastAsia="Times New Roman" w:hAnsiTheme="majorBidi" w:cstheme="majorBidi"/>
          <w:sz w:val="24"/>
          <w:szCs w:val="24"/>
          <w:lang w:eastAsia="en-GB"/>
        </w:rPr>
        <w:t xml:space="preserve">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ahun 2019</w:t>
      </w:r>
      <w:r w:rsidR="000707DC">
        <w:rPr>
          <w:rFonts w:asciiTheme="majorBidi" w:eastAsia="Times New Roman" w:hAnsiTheme="majorBidi" w:cstheme="majorBidi"/>
          <w:sz w:val="24"/>
          <w:szCs w:val="24"/>
          <w:lang w:eastAsia="en-GB"/>
        </w:rPr>
        <w:t xml:space="preserve"> </w:t>
      </w:r>
      <w:r w:rsidR="000A231A">
        <w:rPr>
          <w:rFonts w:asciiTheme="majorBidi" w:eastAsia="Times New Roman" w:hAnsiTheme="majorBidi" w:cstheme="majorBidi"/>
          <w:sz w:val="24"/>
          <w:szCs w:val="24"/>
          <w:lang w:eastAsia="en-GB"/>
        </w:rPr>
        <w:t>-</w:t>
      </w:r>
      <w:r w:rsidR="000707DC">
        <w:rPr>
          <w:rFonts w:asciiTheme="majorBidi" w:eastAsia="Times New Roman" w:hAnsiTheme="majorBidi" w:cstheme="majorBidi"/>
          <w:sz w:val="24"/>
          <w:szCs w:val="24"/>
          <w:lang w:eastAsia="en-GB"/>
        </w:rPr>
        <w:t xml:space="preserve">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 xml:space="preserve">ahun 2023 </w:t>
      </w:r>
      <w:r w:rsidR="00CC00B3" w:rsidRPr="00CC00B3">
        <w:rPr>
          <w:rFonts w:asciiTheme="majorBidi" w:eastAsia="Times New Roman" w:hAnsiTheme="majorBidi" w:cstheme="majorBidi"/>
          <w:sz w:val="24"/>
          <w:szCs w:val="24"/>
          <w:lang w:eastAsia="en-GB"/>
        </w:rPr>
        <w:t xml:space="preserve">yaitu sebesar </w:t>
      </w:r>
      <w:r w:rsidR="000A231A">
        <w:rPr>
          <w:rFonts w:asciiTheme="majorBidi" w:eastAsia="Times New Roman" w:hAnsiTheme="majorBidi" w:cstheme="majorBidi"/>
          <w:sz w:val="24"/>
          <w:szCs w:val="24"/>
          <w:lang w:eastAsia="en-GB"/>
        </w:rPr>
        <w:t xml:space="preserve">0,92 </w:t>
      </w:r>
      <w:r w:rsidR="00CC00B3" w:rsidRPr="00CC00B3">
        <w:rPr>
          <w:rFonts w:asciiTheme="majorBidi" w:eastAsia="Times New Roman" w:hAnsiTheme="majorBidi" w:cstheme="majorBidi"/>
          <w:sz w:val="24"/>
          <w:szCs w:val="24"/>
          <w:lang w:eastAsia="en-GB"/>
        </w:rPr>
        <w:t xml:space="preserve">dan nilai </w:t>
      </w:r>
      <w:r w:rsidR="00CC00B3" w:rsidRPr="00CC00B3">
        <w:rPr>
          <w:rFonts w:asciiTheme="majorBidi" w:eastAsiaTheme="minorEastAsia" w:hAnsiTheme="majorBidi" w:cstheme="majorBidi"/>
          <w:iCs/>
          <w:sz w:val="24"/>
          <w:szCs w:val="24"/>
        </w:rPr>
        <w:t xml:space="preserve">Kepemilikan Institusional (KI) </w:t>
      </w:r>
      <w:r w:rsidR="00CC00B3" w:rsidRPr="00CC00B3">
        <w:rPr>
          <w:rFonts w:asciiTheme="majorBidi" w:eastAsia="Times New Roman" w:hAnsiTheme="majorBidi" w:cstheme="majorBidi"/>
          <w:sz w:val="24"/>
          <w:szCs w:val="24"/>
          <w:lang w:eastAsia="en-GB"/>
        </w:rPr>
        <w:t xml:space="preserve">terendah dihasilkan oleh PT </w:t>
      </w:r>
      <w:r w:rsidR="000A231A" w:rsidRPr="005279AA">
        <w:rPr>
          <w:rFonts w:asciiTheme="majorBidi" w:eastAsia="Times New Roman" w:hAnsiTheme="majorBidi" w:cstheme="majorBidi"/>
          <w:sz w:val="24"/>
          <w:szCs w:val="24"/>
          <w:lang w:eastAsia="en-GB"/>
        </w:rPr>
        <w:t>Garudafood Putra Putri Jaya T</w:t>
      </w:r>
      <w:r w:rsidR="000A231A">
        <w:rPr>
          <w:rFonts w:asciiTheme="majorBidi" w:eastAsia="Times New Roman" w:hAnsiTheme="majorBidi" w:cstheme="majorBidi"/>
          <w:sz w:val="24"/>
          <w:szCs w:val="24"/>
          <w:lang w:eastAsia="en-GB"/>
        </w:rPr>
        <w:t xml:space="preserve">bk 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 xml:space="preserve">ahun 2020 </w:t>
      </w:r>
      <w:r w:rsidR="00CC00B3">
        <w:rPr>
          <w:rFonts w:asciiTheme="majorBidi" w:eastAsia="Times New Roman" w:hAnsiTheme="majorBidi" w:cstheme="majorBidi"/>
          <w:sz w:val="24"/>
          <w:szCs w:val="24"/>
          <w:lang w:eastAsia="en-GB"/>
        </w:rPr>
        <w:t>yaitu sebesar</w:t>
      </w:r>
      <w:r w:rsidR="000A231A">
        <w:rPr>
          <w:rFonts w:asciiTheme="majorBidi" w:eastAsia="Times New Roman" w:hAnsiTheme="majorBidi" w:cstheme="majorBidi"/>
          <w:sz w:val="24"/>
          <w:szCs w:val="24"/>
          <w:lang w:eastAsia="en-GB"/>
        </w:rPr>
        <w:t xml:space="preserve"> 0,37</w:t>
      </w:r>
      <w:r w:rsidR="00CC00B3">
        <w:rPr>
          <w:rFonts w:asciiTheme="majorBidi" w:eastAsia="Times New Roman" w:hAnsiTheme="majorBidi" w:cstheme="majorBidi"/>
          <w:sz w:val="24"/>
          <w:szCs w:val="24"/>
          <w:lang w:eastAsia="en-GB"/>
        </w:rPr>
        <w:t xml:space="preserve">. Nilai rata-rata </w:t>
      </w:r>
      <w:r w:rsidR="00CC00B3" w:rsidRPr="00CC00B3">
        <w:rPr>
          <w:rFonts w:asciiTheme="majorBidi" w:eastAsiaTheme="minorEastAsia" w:hAnsiTheme="majorBidi" w:cstheme="majorBidi"/>
          <w:iCs/>
          <w:sz w:val="24"/>
          <w:szCs w:val="24"/>
        </w:rPr>
        <w:t xml:space="preserve">Kepemilikan Institusional (KI) </w:t>
      </w:r>
      <w:r w:rsidR="00CC00B3" w:rsidRPr="009107C0">
        <w:rPr>
          <w:rFonts w:asciiTheme="majorBidi" w:eastAsiaTheme="minorEastAsia" w:hAnsiTheme="majorBidi" w:cstheme="majorBidi"/>
          <w:iCs/>
          <w:sz w:val="24"/>
          <w:szCs w:val="24"/>
        </w:rPr>
        <w:t xml:space="preserve">pada 15 sampel </w:t>
      </w:r>
      <w:r w:rsidR="00CC00B3" w:rsidRPr="009107C0">
        <w:rPr>
          <w:rFonts w:asciiTheme="majorBidi" w:eastAsiaTheme="minorEastAsia" w:hAnsiTheme="majorBidi" w:cstheme="majorBidi"/>
          <w:iCs/>
          <w:sz w:val="24"/>
          <w:szCs w:val="24"/>
        </w:rPr>
        <w:lastRenderedPageBreak/>
        <w:t xml:space="preserve">perusahaan sektor </w:t>
      </w:r>
      <w:r w:rsidR="00CC00B3" w:rsidRPr="009911AA">
        <w:rPr>
          <w:rFonts w:asciiTheme="majorBidi" w:eastAsiaTheme="minorEastAsia" w:hAnsiTheme="majorBidi" w:cstheme="majorBidi"/>
          <w:i/>
          <w:sz w:val="24"/>
          <w:szCs w:val="24"/>
        </w:rPr>
        <w:t>consumer non cyclical</w:t>
      </w:r>
      <w:r w:rsidR="00CC00B3"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sebesar</w:t>
      </w:r>
      <w:r w:rsidR="000A231A">
        <w:rPr>
          <w:rFonts w:asciiTheme="majorBidi" w:eastAsiaTheme="minorEastAsia" w:hAnsiTheme="majorBidi" w:cstheme="majorBidi"/>
          <w:iCs/>
          <w:sz w:val="24"/>
          <w:szCs w:val="24"/>
        </w:rPr>
        <w:t xml:space="preserve"> 0,655</w:t>
      </w:r>
      <w:r w:rsidR="00CC00B3">
        <w:rPr>
          <w:rFonts w:asciiTheme="majorBidi" w:eastAsiaTheme="minorEastAsia" w:hAnsiTheme="majorBidi" w:cstheme="majorBidi"/>
          <w:iCs/>
          <w:sz w:val="24"/>
          <w:szCs w:val="24"/>
        </w:rPr>
        <w:t>.</w:t>
      </w:r>
    </w:p>
    <w:p w14:paraId="3265905B" w14:textId="77777777" w:rsidR="00C9764B" w:rsidRPr="005279AA" w:rsidRDefault="007F0FE3" w:rsidP="00BF76D1">
      <w:pPr>
        <w:pStyle w:val="ListParagraph"/>
        <w:numPr>
          <w:ilvl w:val="0"/>
          <w:numId w:val="48"/>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Kebijakan Dividen</w:t>
      </w:r>
    </w:p>
    <w:p w14:paraId="7F278FE4" w14:textId="0A7AAFAB" w:rsidR="000A231A" w:rsidRPr="000707DC" w:rsidRDefault="00C9764B" w:rsidP="00BF76D1">
      <w:pPr>
        <w:pStyle w:val="ListParagraph"/>
        <w:tabs>
          <w:tab w:val="left" w:pos="1701"/>
        </w:tabs>
        <w:spacing w:line="480" w:lineRule="auto"/>
        <w:ind w:left="1080" w:firstLine="480"/>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Kebijakan dividen merupakan</w:t>
      </w:r>
      <w:r w:rsidR="007C6EBA" w:rsidRPr="005279AA">
        <w:rPr>
          <w:rFonts w:asciiTheme="majorBidi" w:eastAsiaTheme="minorEastAsia" w:hAnsiTheme="majorBidi" w:cstheme="majorBidi"/>
          <w:iCs/>
          <w:sz w:val="24"/>
          <w:szCs w:val="24"/>
          <w:lang w:val="id-ID"/>
        </w:rPr>
        <w:t xml:space="preserve"> suatu kebijakan yang bertujuan untuk melihat serta mempertimbangkan apakah keuntungan yang diperoleh perusahaan akan didistibusikan kepada pemegang saham atau akan ditahan sebagai laba ditahan, dengan adanya kebijakan dividen akan menjaga stabilitas serta meningkatkan kemakmuran baik bagi perusahaan ataupun</w:t>
      </w:r>
      <w:r w:rsidR="00F44BA4">
        <w:rPr>
          <w:rFonts w:asciiTheme="majorBidi" w:eastAsiaTheme="minorEastAsia" w:hAnsiTheme="majorBidi" w:cstheme="majorBidi"/>
          <w:iCs/>
          <w:sz w:val="24"/>
          <w:szCs w:val="24"/>
        </w:rPr>
        <w:t xml:space="preserve"> investor</w:t>
      </w:r>
      <w:r w:rsidR="007C6EBA"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lang w:val="id-ID"/>
        </w:rPr>
        <w:t xml:space="preserve">Berikut adalah data </w:t>
      </w:r>
      <w:r w:rsidR="00CB3734" w:rsidRPr="005279AA">
        <w:rPr>
          <w:rFonts w:asciiTheme="majorBidi" w:eastAsiaTheme="minorEastAsia" w:hAnsiTheme="majorBidi" w:cstheme="majorBidi"/>
          <w:i/>
          <w:sz w:val="24"/>
          <w:szCs w:val="24"/>
        </w:rPr>
        <w:t xml:space="preserve">Dividen Payout Ratio </w:t>
      </w:r>
      <w:r w:rsidR="00CB3734" w:rsidRPr="005279AA">
        <w:rPr>
          <w:rFonts w:asciiTheme="majorBidi" w:eastAsiaTheme="minorEastAsia" w:hAnsiTheme="majorBidi" w:cstheme="majorBidi"/>
          <w:iCs/>
          <w:sz w:val="24"/>
          <w:szCs w:val="24"/>
          <w:lang w:val="id-ID"/>
        </w:rPr>
        <w:t>(</w:t>
      </w:r>
      <w:r w:rsidR="00CB3734" w:rsidRPr="005279AA">
        <w:rPr>
          <w:rFonts w:asciiTheme="majorBidi" w:eastAsiaTheme="minorEastAsia" w:hAnsiTheme="majorBidi" w:cstheme="majorBidi"/>
          <w:iCs/>
          <w:sz w:val="24"/>
          <w:szCs w:val="24"/>
        </w:rPr>
        <w:t>DPR</w:t>
      </w:r>
      <w:r w:rsidR="00CB3734" w:rsidRPr="005279AA">
        <w:rPr>
          <w:rFonts w:asciiTheme="majorBidi" w:eastAsiaTheme="minorEastAsia" w:hAnsiTheme="majorBidi" w:cstheme="majorBidi"/>
          <w:iCs/>
          <w:sz w:val="24"/>
          <w:szCs w:val="24"/>
          <w:lang w:val="id-ID"/>
        </w:rPr>
        <w:t xml:space="preserve">) dari sampel perusahaan sektor </w:t>
      </w:r>
      <w:r w:rsidR="00CB3734" w:rsidRPr="005279AA">
        <w:rPr>
          <w:rFonts w:asciiTheme="majorBidi" w:eastAsiaTheme="minorEastAsia" w:hAnsiTheme="majorBidi" w:cstheme="majorBidi"/>
          <w:i/>
          <w:sz w:val="24"/>
          <w:szCs w:val="24"/>
          <w:lang w:val="id-ID"/>
        </w:rPr>
        <w:t>consumer non cyclical</w:t>
      </w:r>
      <w:r w:rsidR="00CB3734" w:rsidRPr="005279AA">
        <w:rPr>
          <w:rFonts w:asciiTheme="majorBidi" w:eastAsiaTheme="minorEastAsia" w:hAnsiTheme="majorBidi" w:cstheme="majorBidi"/>
          <w:iCs/>
          <w:sz w:val="24"/>
          <w:szCs w:val="24"/>
          <w:lang w:val="id-ID"/>
        </w:rPr>
        <w:t xml:space="preserve"> </w:t>
      </w:r>
      <w:r w:rsidR="00CB3734"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00CB3734" w:rsidRPr="005279AA">
        <w:rPr>
          <w:rFonts w:asciiTheme="majorBidi" w:eastAsiaTheme="minorEastAsia" w:hAnsiTheme="majorBidi" w:cstheme="majorBidi"/>
          <w:iCs/>
          <w:sz w:val="24"/>
          <w:szCs w:val="24"/>
        </w:rPr>
        <w:t>ahun 2019-2023:</w:t>
      </w:r>
    </w:p>
    <w:p w14:paraId="50B46C9B" w14:textId="28ACACC1" w:rsidR="00C9764B" w:rsidRPr="005279AA" w:rsidRDefault="00C9764B"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12</w:t>
      </w:r>
    </w:p>
    <w:p w14:paraId="3DA98297" w14:textId="213AFAAE" w:rsidR="00AE4728" w:rsidRPr="005279AA" w:rsidRDefault="002E456F"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 xml:space="preserve">Data Kebijakan Dividen </w:t>
      </w:r>
    </w:p>
    <w:p w14:paraId="2C87CEEB" w14:textId="0FF42CB8" w:rsidR="000539A0" w:rsidRPr="000539A0" w:rsidRDefault="002E456F"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Perusahaan Sektor Consumer Non Cyclical Tahun 2019-2023</w:t>
      </w:r>
    </w:p>
    <w:p w14:paraId="644819EB" w14:textId="583D44CD" w:rsidR="000539A0" w:rsidRPr="000539A0" w:rsidRDefault="00DE4CD9" w:rsidP="00645E4A">
      <w:pPr>
        <w:pStyle w:val="ListParagraph"/>
        <w:tabs>
          <w:tab w:val="left" w:pos="1701"/>
        </w:tabs>
        <w:spacing w:line="240" w:lineRule="auto"/>
        <w:ind w:left="1080" w:right="-139"/>
        <w:jc w:val="right"/>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(dalam persentase </w:t>
      </w:r>
      <w:r w:rsidR="000539A0">
        <w:rPr>
          <w:rFonts w:asciiTheme="majorBidi" w:eastAsiaTheme="minorEastAsia" w:hAnsiTheme="majorBidi" w:cstheme="majorBidi"/>
          <w:b/>
          <w:bCs/>
          <w:iCs/>
          <w:sz w:val="24"/>
          <w:szCs w:val="24"/>
        </w:rPr>
        <w:t>%)</w:t>
      </w:r>
    </w:p>
    <w:tbl>
      <w:tblPr>
        <w:tblW w:w="6894" w:type="dxa"/>
        <w:tblInd w:w="1129" w:type="dxa"/>
        <w:tblLook w:val="04A0" w:firstRow="1" w:lastRow="0" w:firstColumn="1" w:lastColumn="0" w:noHBand="0" w:noVBand="1"/>
      </w:tblPr>
      <w:tblGrid>
        <w:gridCol w:w="580"/>
        <w:gridCol w:w="2822"/>
        <w:gridCol w:w="696"/>
        <w:gridCol w:w="700"/>
        <w:gridCol w:w="700"/>
        <w:gridCol w:w="696"/>
        <w:gridCol w:w="700"/>
      </w:tblGrid>
      <w:tr w:rsidR="00B05D21" w:rsidRPr="005279AA" w14:paraId="2A55F4D5" w14:textId="77777777" w:rsidTr="00645E4A">
        <w:trPr>
          <w:trHeight w:val="315"/>
          <w:tblHeader/>
        </w:trPr>
        <w:tc>
          <w:tcPr>
            <w:tcW w:w="580" w:type="dxa"/>
            <w:vMerge w:val="restart"/>
            <w:tcBorders>
              <w:top w:val="single" w:sz="4" w:space="0" w:color="auto"/>
              <w:left w:val="single" w:sz="4" w:space="0" w:color="auto"/>
              <w:right w:val="single" w:sz="4" w:space="0" w:color="auto"/>
            </w:tcBorders>
            <w:shd w:val="clear" w:color="auto" w:fill="auto"/>
            <w:noWrap/>
            <w:vAlign w:val="center"/>
          </w:tcPr>
          <w:p w14:paraId="0086DC1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No</w:t>
            </w:r>
          </w:p>
        </w:tc>
        <w:tc>
          <w:tcPr>
            <w:tcW w:w="2822" w:type="dxa"/>
            <w:vMerge w:val="restart"/>
            <w:tcBorders>
              <w:top w:val="single" w:sz="4" w:space="0" w:color="auto"/>
              <w:left w:val="single" w:sz="4" w:space="0" w:color="auto"/>
              <w:right w:val="single" w:sz="4" w:space="0" w:color="auto"/>
            </w:tcBorders>
            <w:shd w:val="clear" w:color="auto" w:fill="auto"/>
            <w:noWrap/>
            <w:vAlign w:val="center"/>
          </w:tcPr>
          <w:p w14:paraId="50B57CF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Kode Saham</w:t>
            </w:r>
          </w:p>
        </w:tc>
        <w:tc>
          <w:tcPr>
            <w:tcW w:w="34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874B0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Tahun</w:t>
            </w:r>
          </w:p>
        </w:tc>
      </w:tr>
      <w:tr w:rsidR="00B05D21" w:rsidRPr="005279AA" w14:paraId="6FAF4A10" w14:textId="77777777" w:rsidTr="00645E4A">
        <w:trPr>
          <w:trHeight w:val="315"/>
        </w:trPr>
        <w:tc>
          <w:tcPr>
            <w:tcW w:w="580" w:type="dxa"/>
            <w:vMerge/>
            <w:tcBorders>
              <w:left w:val="single" w:sz="4" w:space="0" w:color="auto"/>
              <w:bottom w:val="single" w:sz="4" w:space="0" w:color="auto"/>
              <w:right w:val="single" w:sz="4" w:space="0" w:color="auto"/>
            </w:tcBorders>
            <w:shd w:val="clear" w:color="auto" w:fill="auto"/>
            <w:noWrap/>
            <w:vAlign w:val="center"/>
          </w:tcPr>
          <w:p w14:paraId="3E9E461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2822" w:type="dxa"/>
            <w:vMerge/>
            <w:tcBorders>
              <w:left w:val="single" w:sz="4" w:space="0" w:color="auto"/>
              <w:bottom w:val="single" w:sz="4" w:space="0" w:color="auto"/>
              <w:right w:val="single" w:sz="4" w:space="0" w:color="auto"/>
            </w:tcBorders>
            <w:shd w:val="clear" w:color="auto" w:fill="auto"/>
            <w:noWrap/>
            <w:vAlign w:val="center"/>
          </w:tcPr>
          <w:p w14:paraId="58F337A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832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21A9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2D5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FEAB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C64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2023</w:t>
            </w:r>
          </w:p>
        </w:tc>
      </w:tr>
      <w:tr w:rsidR="00B05D21" w:rsidRPr="005279AA" w14:paraId="0B178031" w14:textId="77777777" w:rsidTr="00645E4A">
        <w:trPr>
          <w:trHeight w:val="315"/>
        </w:trPr>
        <w:tc>
          <w:tcPr>
            <w:tcW w:w="5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B9317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w:t>
            </w:r>
          </w:p>
        </w:tc>
        <w:tc>
          <w:tcPr>
            <w:tcW w:w="2822" w:type="dxa"/>
            <w:tcBorders>
              <w:top w:val="single" w:sz="4" w:space="0" w:color="auto"/>
              <w:left w:val="nil"/>
              <w:bottom w:val="single" w:sz="4" w:space="0" w:color="000000"/>
              <w:right w:val="single" w:sz="4" w:space="0" w:color="000000"/>
            </w:tcBorders>
            <w:shd w:val="clear" w:color="auto" w:fill="auto"/>
            <w:noWrap/>
            <w:vAlign w:val="center"/>
            <w:hideMark/>
          </w:tcPr>
          <w:p w14:paraId="05AB5A3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AMRT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4AA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0.31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B2D4A6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38D1C4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4783949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DE8E7F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0.54</w:t>
            </w:r>
          </w:p>
        </w:tc>
      </w:tr>
      <w:tr w:rsidR="00B05D21" w:rsidRPr="005279AA" w14:paraId="00B3A649"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F9D97A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2</w:t>
            </w:r>
          </w:p>
        </w:tc>
        <w:tc>
          <w:tcPr>
            <w:tcW w:w="2822" w:type="dxa"/>
            <w:tcBorders>
              <w:top w:val="nil"/>
              <w:left w:val="nil"/>
              <w:bottom w:val="single" w:sz="4" w:space="0" w:color="000000"/>
              <w:right w:val="single" w:sz="4" w:space="0" w:color="000000"/>
            </w:tcBorders>
            <w:shd w:val="clear" w:color="auto" w:fill="auto"/>
            <w:noWrap/>
            <w:vAlign w:val="center"/>
            <w:hideMark/>
          </w:tcPr>
          <w:p w14:paraId="7BCF3F1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BISI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8B5929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0.99</w:t>
            </w:r>
          </w:p>
        </w:tc>
        <w:tc>
          <w:tcPr>
            <w:tcW w:w="700" w:type="dxa"/>
            <w:tcBorders>
              <w:top w:val="nil"/>
              <w:left w:val="nil"/>
              <w:bottom w:val="single" w:sz="4" w:space="0" w:color="auto"/>
              <w:right w:val="single" w:sz="4" w:space="0" w:color="auto"/>
            </w:tcBorders>
            <w:shd w:val="clear" w:color="auto" w:fill="auto"/>
            <w:noWrap/>
            <w:vAlign w:val="center"/>
            <w:hideMark/>
          </w:tcPr>
          <w:p w14:paraId="48C51D9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0.64</w:t>
            </w:r>
          </w:p>
        </w:tc>
        <w:tc>
          <w:tcPr>
            <w:tcW w:w="700" w:type="dxa"/>
            <w:tcBorders>
              <w:top w:val="nil"/>
              <w:left w:val="nil"/>
              <w:bottom w:val="single" w:sz="4" w:space="0" w:color="auto"/>
              <w:right w:val="single" w:sz="4" w:space="0" w:color="auto"/>
            </w:tcBorders>
            <w:shd w:val="clear" w:color="auto" w:fill="auto"/>
            <w:noWrap/>
            <w:vAlign w:val="center"/>
            <w:hideMark/>
          </w:tcPr>
          <w:p w14:paraId="4D0D244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0.55</w:t>
            </w:r>
          </w:p>
        </w:tc>
        <w:tc>
          <w:tcPr>
            <w:tcW w:w="696" w:type="dxa"/>
            <w:tcBorders>
              <w:top w:val="nil"/>
              <w:left w:val="nil"/>
              <w:bottom w:val="single" w:sz="4" w:space="0" w:color="auto"/>
              <w:right w:val="single" w:sz="4" w:space="0" w:color="auto"/>
            </w:tcBorders>
            <w:shd w:val="clear" w:color="auto" w:fill="auto"/>
            <w:noWrap/>
            <w:vAlign w:val="center"/>
            <w:hideMark/>
          </w:tcPr>
          <w:p w14:paraId="0C35FD1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0.62</w:t>
            </w:r>
          </w:p>
        </w:tc>
        <w:tc>
          <w:tcPr>
            <w:tcW w:w="700" w:type="dxa"/>
            <w:tcBorders>
              <w:top w:val="nil"/>
              <w:left w:val="nil"/>
              <w:bottom w:val="single" w:sz="4" w:space="0" w:color="auto"/>
              <w:right w:val="single" w:sz="4" w:space="0" w:color="auto"/>
            </w:tcBorders>
            <w:shd w:val="clear" w:color="auto" w:fill="auto"/>
            <w:noWrap/>
            <w:vAlign w:val="center"/>
            <w:hideMark/>
          </w:tcPr>
          <w:p w14:paraId="0E3ACC1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0.59</w:t>
            </w:r>
          </w:p>
        </w:tc>
      </w:tr>
      <w:tr w:rsidR="00B05D21" w:rsidRPr="005279AA" w14:paraId="004AE8EB"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6FEE68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3</w:t>
            </w:r>
          </w:p>
        </w:tc>
        <w:tc>
          <w:tcPr>
            <w:tcW w:w="2822" w:type="dxa"/>
            <w:tcBorders>
              <w:top w:val="nil"/>
              <w:left w:val="nil"/>
              <w:bottom w:val="single" w:sz="4" w:space="0" w:color="000000"/>
              <w:right w:val="single" w:sz="4" w:space="0" w:color="000000"/>
            </w:tcBorders>
            <w:shd w:val="clear" w:color="auto" w:fill="auto"/>
            <w:noWrap/>
            <w:vAlign w:val="center"/>
            <w:hideMark/>
          </w:tcPr>
          <w:p w14:paraId="7BDEC91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BUDI</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CD5935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0.61</w:t>
            </w:r>
          </w:p>
        </w:tc>
        <w:tc>
          <w:tcPr>
            <w:tcW w:w="700" w:type="dxa"/>
            <w:tcBorders>
              <w:top w:val="nil"/>
              <w:left w:val="nil"/>
              <w:bottom w:val="single" w:sz="4" w:space="0" w:color="auto"/>
              <w:right w:val="single" w:sz="4" w:space="0" w:color="auto"/>
            </w:tcBorders>
            <w:shd w:val="clear" w:color="auto" w:fill="auto"/>
            <w:noWrap/>
            <w:vAlign w:val="center"/>
            <w:hideMark/>
          </w:tcPr>
          <w:p w14:paraId="18817AB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0.66</w:t>
            </w:r>
          </w:p>
        </w:tc>
        <w:tc>
          <w:tcPr>
            <w:tcW w:w="700" w:type="dxa"/>
            <w:tcBorders>
              <w:top w:val="nil"/>
              <w:left w:val="nil"/>
              <w:bottom w:val="single" w:sz="4" w:space="0" w:color="auto"/>
              <w:right w:val="single" w:sz="4" w:space="0" w:color="auto"/>
            </w:tcBorders>
            <w:shd w:val="clear" w:color="auto" w:fill="auto"/>
            <w:noWrap/>
            <w:vAlign w:val="center"/>
            <w:hideMark/>
          </w:tcPr>
          <w:p w14:paraId="3A4EAF9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0.57</w:t>
            </w:r>
          </w:p>
        </w:tc>
        <w:tc>
          <w:tcPr>
            <w:tcW w:w="696" w:type="dxa"/>
            <w:tcBorders>
              <w:top w:val="nil"/>
              <w:left w:val="nil"/>
              <w:bottom w:val="single" w:sz="4" w:space="0" w:color="auto"/>
              <w:right w:val="single" w:sz="4" w:space="0" w:color="auto"/>
            </w:tcBorders>
            <w:shd w:val="clear" w:color="auto" w:fill="auto"/>
            <w:noWrap/>
            <w:vAlign w:val="center"/>
            <w:hideMark/>
          </w:tcPr>
          <w:p w14:paraId="77B2917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0.64</w:t>
            </w:r>
          </w:p>
        </w:tc>
        <w:tc>
          <w:tcPr>
            <w:tcW w:w="700" w:type="dxa"/>
            <w:tcBorders>
              <w:top w:val="nil"/>
              <w:left w:val="nil"/>
              <w:bottom w:val="single" w:sz="4" w:space="0" w:color="auto"/>
              <w:right w:val="single" w:sz="4" w:space="0" w:color="auto"/>
            </w:tcBorders>
            <w:shd w:val="clear" w:color="auto" w:fill="auto"/>
            <w:noWrap/>
            <w:vAlign w:val="center"/>
            <w:hideMark/>
          </w:tcPr>
          <w:p w14:paraId="18834DC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0.79</w:t>
            </w:r>
          </w:p>
        </w:tc>
      </w:tr>
      <w:tr w:rsidR="00B05D21" w:rsidRPr="005279AA" w14:paraId="34E798B3"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4D61FE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4</w:t>
            </w:r>
          </w:p>
        </w:tc>
        <w:tc>
          <w:tcPr>
            <w:tcW w:w="2822" w:type="dxa"/>
            <w:tcBorders>
              <w:top w:val="nil"/>
              <w:left w:val="nil"/>
              <w:bottom w:val="single" w:sz="4" w:space="0" w:color="000000"/>
              <w:right w:val="single" w:sz="4" w:space="0" w:color="000000"/>
            </w:tcBorders>
            <w:shd w:val="clear" w:color="auto" w:fill="auto"/>
            <w:noWrap/>
            <w:vAlign w:val="center"/>
            <w:hideMark/>
          </w:tcPr>
          <w:p w14:paraId="3592413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CEKA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6DD164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0.53</w:t>
            </w:r>
          </w:p>
        </w:tc>
        <w:tc>
          <w:tcPr>
            <w:tcW w:w="700" w:type="dxa"/>
            <w:tcBorders>
              <w:top w:val="nil"/>
              <w:left w:val="nil"/>
              <w:bottom w:val="single" w:sz="4" w:space="0" w:color="auto"/>
              <w:right w:val="single" w:sz="4" w:space="0" w:color="auto"/>
            </w:tcBorders>
            <w:shd w:val="clear" w:color="auto" w:fill="auto"/>
            <w:noWrap/>
            <w:vAlign w:val="center"/>
            <w:hideMark/>
          </w:tcPr>
          <w:p w14:paraId="2AAD65B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0.57</w:t>
            </w:r>
          </w:p>
        </w:tc>
        <w:tc>
          <w:tcPr>
            <w:tcW w:w="700" w:type="dxa"/>
            <w:tcBorders>
              <w:top w:val="nil"/>
              <w:left w:val="nil"/>
              <w:bottom w:val="single" w:sz="4" w:space="0" w:color="auto"/>
              <w:right w:val="single" w:sz="4" w:space="0" w:color="auto"/>
            </w:tcBorders>
            <w:shd w:val="clear" w:color="auto" w:fill="auto"/>
            <w:noWrap/>
            <w:vAlign w:val="center"/>
            <w:hideMark/>
          </w:tcPr>
          <w:p w14:paraId="5923B38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0.56</w:t>
            </w:r>
          </w:p>
        </w:tc>
        <w:tc>
          <w:tcPr>
            <w:tcW w:w="696" w:type="dxa"/>
            <w:tcBorders>
              <w:top w:val="nil"/>
              <w:left w:val="nil"/>
              <w:bottom w:val="single" w:sz="4" w:space="0" w:color="auto"/>
              <w:right w:val="single" w:sz="4" w:space="0" w:color="auto"/>
            </w:tcBorders>
            <w:shd w:val="clear" w:color="auto" w:fill="auto"/>
            <w:noWrap/>
            <w:vAlign w:val="center"/>
            <w:hideMark/>
          </w:tcPr>
          <w:p w14:paraId="49AA6B8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0.52</w:t>
            </w:r>
          </w:p>
        </w:tc>
        <w:tc>
          <w:tcPr>
            <w:tcW w:w="700" w:type="dxa"/>
            <w:tcBorders>
              <w:top w:val="nil"/>
              <w:left w:val="nil"/>
              <w:bottom w:val="single" w:sz="4" w:space="0" w:color="auto"/>
              <w:right w:val="single" w:sz="4" w:space="0" w:color="auto"/>
            </w:tcBorders>
            <w:shd w:val="clear" w:color="auto" w:fill="auto"/>
            <w:noWrap/>
            <w:vAlign w:val="center"/>
            <w:hideMark/>
          </w:tcPr>
          <w:p w14:paraId="29EAEF3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0.62</w:t>
            </w:r>
          </w:p>
        </w:tc>
      </w:tr>
      <w:tr w:rsidR="00B05D21" w:rsidRPr="005279AA" w14:paraId="2550D014"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3D9D9B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5</w:t>
            </w:r>
          </w:p>
        </w:tc>
        <w:tc>
          <w:tcPr>
            <w:tcW w:w="2822" w:type="dxa"/>
            <w:tcBorders>
              <w:top w:val="nil"/>
              <w:left w:val="nil"/>
              <w:bottom w:val="single" w:sz="4" w:space="0" w:color="000000"/>
              <w:right w:val="single" w:sz="4" w:space="0" w:color="000000"/>
            </w:tcBorders>
            <w:shd w:val="clear" w:color="auto" w:fill="auto"/>
            <w:noWrap/>
            <w:vAlign w:val="center"/>
            <w:hideMark/>
          </w:tcPr>
          <w:p w14:paraId="47819D9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CPIN</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287837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0.73</w:t>
            </w:r>
          </w:p>
        </w:tc>
        <w:tc>
          <w:tcPr>
            <w:tcW w:w="700" w:type="dxa"/>
            <w:tcBorders>
              <w:top w:val="nil"/>
              <w:left w:val="nil"/>
              <w:bottom w:val="single" w:sz="4" w:space="0" w:color="auto"/>
              <w:right w:val="single" w:sz="4" w:space="0" w:color="auto"/>
            </w:tcBorders>
            <w:shd w:val="clear" w:color="auto" w:fill="auto"/>
            <w:noWrap/>
            <w:vAlign w:val="center"/>
            <w:hideMark/>
          </w:tcPr>
          <w:p w14:paraId="33CB75B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0.59</w:t>
            </w:r>
          </w:p>
        </w:tc>
        <w:tc>
          <w:tcPr>
            <w:tcW w:w="700" w:type="dxa"/>
            <w:tcBorders>
              <w:top w:val="nil"/>
              <w:left w:val="nil"/>
              <w:bottom w:val="single" w:sz="4" w:space="0" w:color="auto"/>
              <w:right w:val="single" w:sz="4" w:space="0" w:color="auto"/>
            </w:tcBorders>
            <w:shd w:val="clear" w:color="auto" w:fill="auto"/>
            <w:noWrap/>
            <w:vAlign w:val="center"/>
            <w:hideMark/>
          </w:tcPr>
          <w:p w14:paraId="1F701FF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0.71</w:t>
            </w:r>
          </w:p>
        </w:tc>
        <w:tc>
          <w:tcPr>
            <w:tcW w:w="696" w:type="dxa"/>
            <w:tcBorders>
              <w:top w:val="nil"/>
              <w:left w:val="nil"/>
              <w:bottom w:val="single" w:sz="4" w:space="0" w:color="auto"/>
              <w:right w:val="single" w:sz="4" w:space="0" w:color="auto"/>
            </w:tcBorders>
            <w:shd w:val="clear" w:color="auto" w:fill="auto"/>
            <w:noWrap/>
            <w:vAlign w:val="center"/>
            <w:hideMark/>
          </w:tcPr>
          <w:p w14:paraId="2B86ED7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0.78</w:t>
            </w:r>
          </w:p>
        </w:tc>
        <w:tc>
          <w:tcPr>
            <w:tcW w:w="700" w:type="dxa"/>
            <w:tcBorders>
              <w:top w:val="nil"/>
              <w:left w:val="nil"/>
              <w:bottom w:val="single" w:sz="4" w:space="0" w:color="auto"/>
              <w:right w:val="single" w:sz="4" w:space="0" w:color="auto"/>
            </w:tcBorders>
            <w:shd w:val="clear" w:color="auto" w:fill="auto"/>
            <w:noWrap/>
            <w:vAlign w:val="center"/>
            <w:hideMark/>
          </w:tcPr>
          <w:p w14:paraId="7250EAE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0.84</w:t>
            </w:r>
          </w:p>
        </w:tc>
      </w:tr>
      <w:tr w:rsidR="00B05D21" w:rsidRPr="005279AA" w14:paraId="0BEECB75"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84B443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6</w:t>
            </w:r>
          </w:p>
        </w:tc>
        <w:tc>
          <w:tcPr>
            <w:tcW w:w="2822" w:type="dxa"/>
            <w:tcBorders>
              <w:top w:val="nil"/>
              <w:left w:val="nil"/>
              <w:bottom w:val="single" w:sz="4" w:space="0" w:color="000000"/>
              <w:right w:val="single" w:sz="4" w:space="0" w:color="000000"/>
            </w:tcBorders>
            <w:shd w:val="clear" w:color="auto" w:fill="auto"/>
            <w:noWrap/>
            <w:vAlign w:val="center"/>
            <w:hideMark/>
          </w:tcPr>
          <w:p w14:paraId="6A85C21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ICBP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8747FD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0.56</w:t>
            </w:r>
          </w:p>
        </w:tc>
        <w:tc>
          <w:tcPr>
            <w:tcW w:w="700" w:type="dxa"/>
            <w:tcBorders>
              <w:top w:val="nil"/>
              <w:left w:val="nil"/>
              <w:bottom w:val="single" w:sz="4" w:space="0" w:color="auto"/>
              <w:right w:val="single" w:sz="4" w:space="0" w:color="auto"/>
            </w:tcBorders>
            <w:shd w:val="clear" w:color="auto" w:fill="auto"/>
            <w:noWrap/>
            <w:vAlign w:val="center"/>
            <w:hideMark/>
          </w:tcPr>
          <w:p w14:paraId="185A3D5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0.62</w:t>
            </w:r>
          </w:p>
        </w:tc>
        <w:tc>
          <w:tcPr>
            <w:tcW w:w="700" w:type="dxa"/>
            <w:tcBorders>
              <w:top w:val="nil"/>
              <w:left w:val="nil"/>
              <w:bottom w:val="single" w:sz="4" w:space="0" w:color="auto"/>
              <w:right w:val="single" w:sz="4" w:space="0" w:color="auto"/>
            </w:tcBorders>
            <w:shd w:val="clear" w:color="auto" w:fill="auto"/>
            <w:noWrap/>
            <w:vAlign w:val="center"/>
            <w:hideMark/>
          </w:tcPr>
          <w:p w14:paraId="58F1113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0.63</w:t>
            </w:r>
          </w:p>
        </w:tc>
        <w:tc>
          <w:tcPr>
            <w:tcW w:w="696" w:type="dxa"/>
            <w:tcBorders>
              <w:top w:val="nil"/>
              <w:left w:val="nil"/>
              <w:bottom w:val="single" w:sz="4" w:space="0" w:color="auto"/>
              <w:right w:val="single" w:sz="4" w:space="0" w:color="auto"/>
            </w:tcBorders>
            <w:shd w:val="clear" w:color="auto" w:fill="auto"/>
            <w:noWrap/>
            <w:vAlign w:val="center"/>
            <w:hideMark/>
          </w:tcPr>
          <w:p w14:paraId="332D810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0.74</w:t>
            </w:r>
          </w:p>
        </w:tc>
        <w:tc>
          <w:tcPr>
            <w:tcW w:w="700" w:type="dxa"/>
            <w:tcBorders>
              <w:top w:val="nil"/>
              <w:left w:val="nil"/>
              <w:bottom w:val="single" w:sz="4" w:space="0" w:color="auto"/>
              <w:right w:val="single" w:sz="4" w:space="0" w:color="auto"/>
            </w:tcBorders>
            <w:shd w:val="clear" w:color="auto" w:fill="auto"/>
            <w:noWrap/>
            <w:vAlign w:val="center"/>
            <w:hideMark/>
          </w:tcPr>
          <w:p w14:paraId="73BBEFE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0.56</w:t>
            </w:r>
          </w:p>
        </w:tc>
      </w:tr>
      <w:tr w:rsidR="00B05D21" w:rsidRPr="005279AA" w14:paraId="21855DEC"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30001D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7</w:t>
            </w:r>
          </w:p>
        </w:tc>
        <w:tc>
          <w:tcPr>
            <w:tcW w:w="2822" w:type="dxa"/>
            <w:tcBorders>
              <w:top w:val="nil"/>
              <w:left w:val="nil"/>
              <w:bottom w:val="single" w:sz="4" w:space="0" w:color="000000"/>
              <w:right w:val="single" w:sz="4" w:space="0" w:color="000000"/>
            </w:tcBorders>
            <w:shd w:val="clear" w:color="auto" w:fill="auto"/>
            <w:noWrap/>
            <w:vAlign w:val="center"/>
            <w:hideMark/>
          </w:tcPr>
          <w:p w14:paraId="1254B4F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INDF</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AEF8E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0.55</w:t>
            </w:r>
          </w:p>
        </w:tc>
        <w:tc>
          <w:tcPr>
            <w:tcW w:w="700" w:type="dxa"/>
            <w:tcBorders>
              <w:top w:val="nil"/>
              <w:left w:val="nil"/>
              <w:bottom w:val="single" w:sz="4" w:space="0" w:color="auto"/>
              <w:right w:val="single" w:sz="4" w:space="0" w:color="auto"/>
            </w:tcBorders>
            <w:shd w:val="clear" w:color="auto" w:fill="auto"/>
            <w:noWrap/>
            <w:vAlign w:val="center"/>
            <w:hideMark/>
          </w:tcPr>
          <w:p w14:paraId="118F0D2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0.61</w:t>
            </w:r>
          </w:p>
        </w:tc>
        <w:tc>
          <w:tcPr>
            <w:tcW w:w="700" w:type="dxa"/>
            <w:tcBorders>
              <w:top w:val="nil"/>
              <w:left w:val="nil"/>
              <w:bottom w:val="single" w:sz="4" w:space="0" w:color="auto"/>
              <w:right w:val="single" w:sz="4" w:space="0" w:color="auto"/>
            </w:tcBorders>
            <w:shd w:val="clear" w:color="auto" w:fill="auto"/>
            <w:noWrap/>
            <w:vAlign w:val="center"/>
            <w:hideMark/>
          </w:tcPr>
          <w:p w14:paraId="37F8989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0.56</w:t>
            </w:r>
          </w:p>
        </w:tc>
        <w:tc>
          <w:tcPr>
            <w:tcW w:w="696" w:type="dxa"/>
            <w:tcBorders>
              <w:top w:val="nil"/>
              <w:left w:val="nil"/>
              <w:bottom w:val="single" w:sz="4" w:space="0" w:color="auto"/>
              <w:right w:val="single" w:sz="4" w:space="0" w:color="auto"/>
            </w:tcBorders>
            <w:shd w:val="clear" w:color="auto" w:fill="auto"/>
            <w:noWrap/>
            <w:vAlign w:val="center"/>
            <w:hideMark/>
          </w:tcPr>
          <w:p w14:paraId="5701AEC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0.62</w:t>
            </w:r>
          </w:p>
        </w:tc>
        <w:tc>
          <w:tcPr>
            <w:tcW w:w="700" w:type="dxa"/>
            <w:tcBorders>
              <w:top w:val="nil"/>
              <w:left w:val="nil"/>
              <w:bottom w:val="single" w:sz="4" w:space="0" w:color="auto"/>
              <w:right w:val="single" w:sz="4" w:space="0" w:color="auto"/>
            </w:tcBorders>
            <w:shd w:val="clear" w:color="auto" w:fill="auto"/>
            <w:noWrap/>
            <w:vAlign w:val="center"/>
            <w:hideMark/>
          </w:tcPr>
          <w:p w14:paraId="769A88F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0.53</w:t>
            </w:r>
          </w:p>
        </w:tc>
      </w:tr>
      <w:tr w:rsidR="00B05D21" w:rsidRPr="005279AA" w14:paraId="4140719D"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470F9A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8</w:t>
            </w:r>
          </w:p>
        </w:tc>
        <w:tc>
          <w:tcPr>
            <w:tcW w:w="2822" w:type="dxa"/>
            <w:tcBorders>
              <w:top w:val="nil"/>
              <w:left w:val="nil"/>
              <w:bottom w:val="single" w:sz="4" w:space="0" w:color="000000"/>
              <w:right w:val="single" w:sz="4" w:space="0" w:color="000000"/>
            </w:tcBorders>
            <w:shd w:val="clear" w:color="auto" w:fill="auto"/>
            <w:noWrap/>
            <w:vAlign w:val="center"/>
            <w:hideMark/>
          </w:tcPr>
          <w:p w14:paraId="4D2764F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JPFA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B59795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0.58</w:t>
            </w:r>
          </w:p>
        </w:tc>
        <w:tc>
          <w:tcPr>
            <w:tcW w:w="700" w:type="dxa"/>
            <w:tcBorders>
              <w:top w:val="nil"/>
              <w:left w:val="nil"/>
              <w:bottom w:val="single" w:sz="4" w:space="0" w:color="auto"/>
              <w:right w:val="single" w:sz="4" w:space="0" w:color="auto"/>
            </w:tcBorders>
            <w:shd w:val="clear" w:color="auto" w:fill="auto"/>
            <w:noWrap/>
            <w:vAlign w:val="center"/>
            <w:hideMark/>
          </w:tcPr>
          <w:p w14:paraId="329143D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0.50</w:t>
            </w:r>
          </w:p>
        </w:tc>
        <w:tc>
          <w:tcPr>
            <w:tcW w:w="700" w:type="dxa"/>
            <w:tcBorders>
              <w:top w:val="nil"/>
              <w:left w:val="nil"/>
              <w:bottom w:val="single" w:sz="4" w:space="0" w:color="auto"/>
              <w:right w:val="single" w:sz="4" w:space="0" w:color="auto"/>
            </w:tcBorders>
            <w:shd w:val="clear" w:color="auto" w:fill="auto"/>
            <w:noWrap/>
            <w:vAlign w:val="center"/>
            <w:hideMark/>
          </w:tcPr>
          <w:p w14:paraId="09E385C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0.48</w:t>
            </w:r>
          </w:p>
        </w:tc>
        <w:tc>
          <w:tcPr>
            <w:tcW w:w="696" w:type="dxa"/>
            <w:tcBorders>
              <w:top w:val="nil"/>
              <w:left w:val="nil"/>
              <w:bottom w:val="single" w:sz="4" w:space="0" w:color="auto"/>
              <w:right w:val="single" w:sz="4" w:space="0" w:color="auto"/>
            </w:tcBorders>
            <w:shd w:val="clear" w:color="auto" w:fill="auto"/>
            <w:noWrap/>
            <w:vAlign w:val="center"/>
            <w:hideMark/>
          </w:tcPr>
          <w:p w14:paraId="788F65B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0.70</w:t>
            </w:r>
          </w:p>
        </w:tc>
        <w:tc>
          <w:tcPr>
            <w:tcW w:w="700" w:type="dxa"/>
            <w:tcBorders>
              <w:top w:val="nil"/>
              <w:left w:val="nil"/>
              <w:bottom w:val="single" w:sz="4" w:space="0" w:color="auto"/>
              <w:right w:val="single" w:sz="4" w:space="0" w:color="auto"/>
            </w:tcBorders>
            <w:shd w:val="clear" w:color="auto" w:fill="auto"/>
            <w:noWrap/>
            <w:vAlign w:val="center"/>
            <w:hideMark/>
          </w:tcPr>
          <w:p w14:paraId="303D786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0.79</w:t>
            </w:r>
          </w:p>
        </w:tc>
      </w:tr>
      <w:tr w:rsidR="00B05D21" w:rsidRPr="005279AA" w14:paraId="446A4EE8"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053735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9</w:t>
            </w:r>
          </w:p>
        </w:tc>
        <w:tc>
          <w:tcPr>
            <w:tcW w:w="2822" w:type="dxa"/>
            <w:tcBorders>
              <w:top w:val="nil"/>
              <w:left w:val="nil"/>
              <w:bottom w:val="single" w:sz="4" w:space="0" w:color="000000"/>
              <w:right w:val="single" w:sz="4" w:space="0" w:color="000000"/>
            </w:tcBorders>
            <w:shd w:val="clear" w:color="auto" w:fill="auto"/>
            <w:noWrap/>
            <w:vAlign w:val="center"/>
            <w:hideMark/>
          </w:tcPr>
          <w:p w14:paraId="7C7CD29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LSIP</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BA863C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0.72</w:t>
            </w:r>
          </w:p>
        </w:tc>
        <w:tc>
          <w:tcPr>
            <w:tcW w:w="700" w:type="dxa"/>
            <w:tcBorders>
              <w:top w:val="nil"/>
              <w:left w:val="nil"/>
              <w:bottom w:val="single" w:sz="4" w:space="0" w:color="auto"/>
              <w:right w:val="single" w:sz="4" w:space="0" w:color="auto"/>
            </w:tcBorders>
            <w:shd w:val="clear" w:color="auto" w:fill="auto"/>
            <w:noWrap/>
            <w:vAlign w:val="center"/>
            <w:hideMark/>
          </w:tcPr>
          <w:p w14:paraId="66083FE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0.38</w:t>
            </w:r>
          </w:p>
        </w:tc>
        <w:tc>
          <w:tcPr>
            <w:tcW w:w="700" w:type="dxa"/>
            <w:tcBorders>
              <w:top w:val="nil"/>
              <w:left w:val="nil"/>
              <w:bottom w:val="single" w:sz="4" w:space="0" w:color="auto"/>
              <w:right w:val="single" w:sz="4" w:space="0" w:color="auto"/>
            </w:tcBorders>
            <w:shd w:val="clear" w:color="auto" w:fill="auto"/>
            <w:noWrap/>
            <w:vAlign w:val="center"/>
            <w:hideMark/>
          </w:tcPr>
          <w:p w14:paraId="65894C4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0.37</w:t>
            </w:r>
          </w:p>
        </w:tc>
        <w:tc>
          <w:tcPr>
            <w:tcW w:w="696" w:type="dxa"/>
            <w:tcBorders>
              <w:top w:val="nil"/>
              <w:left w:val="nil"/>
              <w:bottom w:val="single" w:sz="4" w:space="0" w:color="auto"/>
              <w:right w:val="single" w:sz="4" w:space="0" w:color="auto"/>
            </w:tcBorders>
            <w:shd w:val="clear" w:color="auto" w:fill="auto"/>
            <w:noWrap/>
            <w:vAlign w:val="center"/>
            <w:hideMark/>
          </w:tcPr>
          <w:p w14:paraId="5F3F155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0.58</w:t>
            </w:r>
          </w:p>
        </w:tc>
        <w:tc>
          <w:tcPr>
            <w:tcW w:w="700" w:type="dxa"/>
            <w:tcBorders>
              <w:top w:val="nil"/>
              <w:left w:val="nil"/>
              <w:bottom w:val="single" w:sz="4" w:space="0" w:color="auto"/>
              <w:right w:val="single" w:sz="4" w:space="0" w:color="auto"/>
            </w:tcBorders>
            <w:shd w:val="clear" w:color="auto" w:fill="auto"/>
            <w:noWrap/>
            <w:vAlign w:val="center"/>
            <w:hideMark/>
          </w:tcPr>
          <w:p w14:paraId="12222EC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0.69</w:t>
            </w:r>
          </w:p>
        </w:tc>
      </w:tr>
      <w:tr w:rsidR="00B05D21" w:rsidRPr="005279AA" w14:paraId="55A4BCF2"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D61EB5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10</w:t>
            </w:r>
          </w:p>
        </w:tc>
        <w:tc>
          <w:tcPr>
            <w:tcW w:w="2822" w:type="dxa"/>
            <w:tcBorders>
              <w:top w:val="nil"/>
              <w:left w:val="nil"/>
              <w:bottom w:val="single" w:sz="4" w:space="0" w:color="000000"/>
              <w:right w:val="single" w:sz="4" w:space="0" w:color="000000"/>
            </w:tcBorders>
            <w:shd w:val="clear" w:color="auto" w:fill="auto"/>
            <w:noWrap/>
            <w:vAlign w:val="center"/>
            <w:hideMark/>
          </w:tcPr>
          <w:p w14:paraId="708ECA1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MYOR</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0EAB70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0.57</w:t>
            </w:r>
          </w:p>
        </w:tc>
        <w:tc>
          <w:tcPr>
            <w:tcW w:w="700" w:type="dxa"/>
            <w:tcBorders>
              <w:top w:val="nil"/>
              <w:left w:val="nil"/>
              <w:bottom w:val="single" w:sz="4" w:space="0" w:color="auto"/>
              <w:right w:val="single" w:sz="4" w:space="0" w:color="auto"/>
            </w:tcBorders>
            <w:shd w:val="clear" w:color="auto" w:fill="auto"/>
            <w:noWrap/>
            <w:vAlign w:val="center"/>
            <w:hideMark/>
          </w:tcPr>
          <w:p w14:paraId="377B907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0.57</w:t>
            </w:r>
          </w:p>
        </w:tc>
        <w:tc>
          <w:tcPr>
            <w:tcW w:w="700" w:type="dxa"/>
            <w:tcBorders>
              <w:top w:val="nil"/>
              <w:left w:val="nil"/>
              <w:bottom w:val="single" w:sz="4" w:space="0" w:color="auto"/>
              <w:right w:val="single" w:sz="4" w:space="0" w:color="auto"/>
            </w:tcBorders>
            <w:shd w:val="clear" w:color="auto" w:fill="auto"/>
            <w:noWrap/>
            <w:vAlign w:val="center"/>
            <w:hideMark/>
          </w:tcPr>
          <w:p w14:paraId="1A62A6D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0.99</w:t>
            </w:r>
          </w:p>
        </w:tc>
        <w:tc>
          <w:tcPr>
            <w:tcW w:w="696" w:type="dxa"/>
            <w:tcBorders>
              <w:top w:val="nil"/>
              <w:left w:val="nil"/>
              <w:bottom w:val="single" w:sz="4" w:space="0" w:color="auto"/>
              <w:right w:val="single" w:sz="4" w:space="0" w:color="auto"/>
            </w:tcBorders>
            <w:shd w:val="clear" w:color="auto" w:fill="auto"/>
            <w:noWrap/>
            <w:vAlign w:val="center"/>
            <w:hideMark/>
          </w:tcPr>
          <w:p w14:paraId="55A725A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0.49</w:t>
            </w:r>
          </w:p>
        </w:tc>
        <w:tc>
          <w:tcPr>
            <w:tcW w:w="700" w:type="dxa"/>
            <w:tcBorders>
              <w:top w:val="nil"/>
              <w:left w:val="nil"/>
              <w:bottom w:val="single" w:sz="4" w:space="0" w:color="auto"/>
              <w:right w:val="single" w:sz="4" w:space="0" w:color="auto"/>
            </w:tcBorders>
            <w:shd w:val="clear" w:color="auto" w:fill="auto"/>
            <w:noWrap/>
            <w:vAlign w:val="center"/>
            <w:hideMark/>
          </w:tcPr>
          <w:p w14:paraId="085C3D3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0.49</w:t>
            </w:r>
          </w:p>
        </w:tc>
      </w:tr>
      <w:tr w:rsidR="00B05D21" w:rsidRPr="005279AA" w14:paraId="31FFDC51" w14:textId="77777777" w:rsidTr="00645E4A">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BF16D9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11</w:t>
            </w:r>
          </w:p>
        </w:tc>
        <w:tc>
          <w:tcPr>
            <w:tcW w:w="2822" w:type="dxa"/>
            <w:tcBorders>
              <w:top w:val="nil"/>
              <w:left w:val="nil"/>
              <w:bottom w:val="single" w:sz="4" w:space="0" w:color="000000"/>
              <w:right w:val="single" w:sz="4" w:space="0" w:color="000000"/>
            </w:tcBorders>
            <w:shd w:val="clear" w:color="auto" w:fill="auto"/>
            <w:noWrap/>
            <w:vAlign w:val="center"/>
            <w:hideMark/>
          </w:tcPr>
          <w:p w14:paraId="68057C3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SDPC</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57A2AD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0.70</w:t>
            </w:r>
          </w:p>
        </w:tc>
        <w:tc>
          <w:tcPr>
            <w:tcW w:w="700" w:type="dxa"/>
            <w:tcBorders>
              <w:top w:val="nil"/>
              <w:left w:val="nil"/>
              <w:bottom w:val="single" w:sz="4" w:space="0" w:color="auto"/>
              <w:right w:val="single" w:sz="4" w:space="0" w:color="auto"/>
            </w:tcBorders>
            <w:shd w:val="clear" w:color="auto" w:fill="auto"/>
            <w:noWrap/>
            <w:vAlign w:val="center"/>
            <w:hideMark/>
          </w:tcPr>
          <w:p w14:paraId="2ACA0EB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0.67</w:t>
            </w:r>
          </w:p>
        </w:tc>
        <w:tc>
          <w:tcPr>
            <w:tcW w:w="700" w:type="dxa"/>
            <w:tcBorders>
              <w:top w:val="nil"/>
              <w:left w:val="nil"/>
              <w:bottom w:val="single" w:sz="4" w:space="0" w:color="auto"/>
              <w:right w:val="single" w:sz="4" w:space="0" w:color="auto"/>
            </w:tcBorders>
            <w:shd w:val="clear" w:color="auto" w:fill="auto"/>
            <w:noWrap/>
            <w:vAlign w:val="center"/>
            <w:hideMark/>
          </w:tcPr>
          <w:p w14:paraId="24A3341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0.26</w:t>
            </w:r>
          </w:p>
        </w:tc>
        <w:tc>
          <w:tcPr>
            <w:tcW w:w="696" w:type="dxa"/>
            <w:tcBorders>
              <w:top w:val="nil"/>
              <w:left w:val="nil"/>
              <w:bottom w:val="single" w:sz="4" w:space="0" w:color="auto"/>
              <w:right w:val="single" w:sz="4" w:space="0" w:color="auto"/>
            </w:tcBorders>
            <w:shd w:val="clear" w:color="auto" w:fill="auto"/>
            <w:noWrap/>
            <w:vAlign w:val="center"/>
            <w:hideMark/>
          </w:tcPr>
          <w:p w14:paraId="2411ECE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0.23</w:t>
            </w:r>
          </w:p>
        </w:tc>
        <w:tc>
          <w:tcPr>
            <w:tcW w:w="700" w:type="dxa"/>
            <w:tcBorders>
              <w:top w:val="nil"/>
              <w:left w:val="nil"/>
              <w:bottom w:val="single" w:sz="4" w:space="0" w:color="auto"/>
              <w:right w:val="single" w:sz="4" w:space="0" w:color="auto"/>
            </w:tcBorders>
            <w:shd w:val="clear" w:color="auto" w:fill="auto"/>
            <w:noWrap/>
            <w:vAlign w:val="center"/>
            <w:hideMark/>
          </w:tcPr>
          <w:p w14:paraId="5EBA73F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0.28</w:t>
            </w:r>
          </w:p>
        </w:tc>
      </w:tr>
      <w:tr w:rsidR="00B05D21" w:rsidRPr="005279AA" w14:paraId="456A4DD4" w14:textId="77777777" w:rsidTr="0097118F">
        <w:trPr>
          <w:trHeight w:val="315"/>
        </w:trPr>
        <w:tc>
          <w:tcPr>
            <w:tcW w:w="580" w:type="dxa"/>
            <w:tcBorders>
              <w:top w:val="nil"/>
              <w:left w:val="single" w:sz="4" w:space="0" w:color="000000"/>
              <w:bottom w:val="single" w:sz="4" w:space="0" w:color="auto"/>
              <w:right w:val="single" w:sz="4" w:space="0" w:color="000000"/>
            </w:tcBorders>
            <w:shd w:val="clear" w:color="auto" w:fill="auto"/>
            <w:noWrap/>
            <w:vAlign w:val="center"/>
            <w:hideMark/>
          </w:tcPr>
          <w:p w14:paraId="3FB3E67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12</w:t>
            </w:r>
          </w:p>
        </w:tc>
        <w:tc>
          <w:tcPr>
            <w:tcW w:w="2822" w:type="dxa"/>
            <w:tcBorders>
              <w:top w:val="nil"/>
              <w:left w:val="nil"/>
              <w:bottom w:val="single" w:sz="4" w:space="0" w:color="auto"/>
              <w:right w:val="single" w:sz="4" w:space="0" w:color="000000"/>
            </w:tcBorders>
            <w:shd w:val="clear" w:color="auto" w:fill="auto"/>
            <w:noWrap/>
            <w:vAlign w:val="center"/>
            <w:hideMark/>
          </w:tcPr>
          <w:p w14:paraId="739E4C28"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TBLA</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ADC995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0.60</w:t>
            </w:r>
          </w:p>
        </w:tc>
        <w:tc>
          <w:tcPr>
            <w:tcW w:w="700" w:type="dxa"/>
            <w:tcBorders>
              <w:top w:val="nil"/>
              <w:left w:val="nil"/>
              <w:bottom w:val="single" w:sz="4" w:space="0" w:color="auto"/>
              <w:right w:val="single" w:sz="4" w:space="0" w:color="auto"/>
            </w:tcBorders>
            <w:shd w:val="clear" w:color="auto" w:fill="auto"/>
            <w:noWrap/>
            <w:vAlign w:val="center"/>
            <w:hideMark/>
          </w:tcPr>
          <w:p w14:paraId="1BF2526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0.44</w:t>
            </w:r>
          </w:p>
        </w:tc>
        <w:tc>
          <w:tcPr>
            <w:tcW w:w="700" w:type="dxa"/>
            <w:tcBorders>
              <w:top w:val="nil"/>
              <w:left w:val="nil"/>
              <w:bottom w:val="single" w:sz="4" w:space="0" w:color="auto"/>
              <w:right w:val="single" w:sz="4" w:space="0" w:color="auto"/>
            </w:tcBorders>
            <w:shd w:val="clear" w:color="auto" w:fill="auto"/>
            <w:noWrap/>
            <w:vAlign w:val="center"/>
            <w:hideMark/>
          </w:tcPr>
          <w:p w14:paraId="3A50FA9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0.40</w:t>
            </w:r>
          </w:p>
        </w:tc>
        <w:tc>
          <w:tcPr>
            <w:tcW w:w="696" w:type="dxa"/>
            <w:tcBorders>
              <w:top w:val="nil"/>
              <w:left w:val="nil"/>
              <w:bottom w:val="single" w:sz="4" w:space="0" w:color="auto"/>
              <w:right w:val="single" w:sz="4" w:space="0" w:color="auto"/>
            </w:tcBorders>
            <w:shd w:val="clear" w:color="auto" w:fill="auto"/>
            <w:noWrap/>
            <w:vAlign w:val="center"/>
            <w:hideMark/>
          </w:tcPr>
          <w:p w14:paraId="4FA92D6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0.77</w:t>
            </w:r>
          </w:p>
        </w:tc>
        <w:tc>
          <w:tcPr>
            <w:tcW w:w="700" w:type="dxa"/>
            <w:tcBorders>
              <w:top w:val="nil"/>
              <w:left w:val="nil"/>
              <w:bottom w:val="single" w:sz="4" w:space="0" w:color="auto"/>
              <w:right w:val="single" w:sz="4" w:space="0" w:color="auto"/>
            </w:tcBorders>
            <w:shd w:val="clear" w:color="auto" w:fill="auto"/>
            <w:noWrap/>
            <w:vAlign w:val="center"/>
            <w:hideMark/>
          </w:tcPr>
          <w:p w14:paraId="28404A2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0.46</w:t>
            </w:r>
          </w:p>
        </w:tc>
      </w:tr>
      <w:tr w:rsidR="00B05D21" w:rsidRPr="005279AA" w14:paraId="60F6B44C" w14:textId="77777777" w:rsidTr="0097118F">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A1A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13</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0D4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GOOD</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A68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557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0.89</w:t>
            </w:r>
          </w:p>
        </w:tc>
        <w:tc>
          <w:tcPr>
            <w:tcW w:w="700" w:type="dxa"/>
            <w:tcBorders>
              <w:top w:val="nil"/>
              <w:left w:val="nil"/>
              <w:bottom w:val="single" w:sz="4" w:space="0" w:color="auto"/>
              <w:right w:val="single" w:sz="4" w:space="0" w:color="auto"/>
            </w:tcBorders>
            <w:shd w:val="clear" w:color="auto" w:fill="auto"/>
            <w:noWrap/>
            <w:vAlign w:val="center"/>
            <w:hideMark/>
          </w:tcPr>
          <w:p w14:paraId="22CF9AD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0.55</w:t>
            </w:r>
          </w:p>
        </w:tc>
        <w:tc>
          <w:tcPr>
            <w:tcW w:w="696" w:type="dxa"/>
            <w:tcBorders>
              <w:top w:val="nil"/>
              <w:left w:val="nil"/>
              <w:bottom w:val="single" w:sz="4" w:space="0" w:color="auto"/>
              <w:right w:val="single" w:sz="4" w:space="0" w:color="auto"/>
            </w:tcBorders>
            <w:shd w:val="clear" w:color="auto" w:fill="auto"/>
            <w:noWrap/>
            <w:vAlign w:val="center"/>
            <w:hideMark/>
          </w:tcPr>
          <w:p w14:paraId="11739B7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0.71</w:t>
            </w:r>
          </w:p>
        </w:tc>
        <w:tc>
          <w:tcPr>
            <w:tcW w:w="700" w:type="dxa"/>
            <w:tcBorders>
              <w:top w:val="nil"/>
              <w:left w:val="nil"/>
              <w:bottom w:val="single" w:sz="4" w:space="0" w:color="auto"/>
              <w:right w:val="single" w:sz="4" w:space="0" w:color="auto"/>
            </w:tcBorders>
            <w:shd w:val="clear" w:color="auto" w:fill="auto"/>
            <w:noWrap/>
            <w:vAlign w:val="center"/>
            <w:hideMark/>
          </w:tcPr>
          <w:p w14:paraId="1B2120DE"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0.62</w:t>
            </w:r>
          </w:p>
        </w:tc>
      </w:tr>
      <w:tr w:rsidR="00B05D21" w:rsidRPr="005279AA" w14:paraId="4D733770" w14:textId="77777777" w:rsidTr="0097118F">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A4A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14</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24E4"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HMSP</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008B"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A936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1.27</w:t>
            </w:r>
          </w:p>
        </w:tc>
        <w:tc>
          <w:tcPr>
            <w:tcW w:w="700" w:type="dxa"/>
            <w:tcBorders>
              <w:top w:val="nil"/>
              <w:left w:val="nil"/>
              <w:bottom w:val="single" w:sz="4" w:space="0" w:color="auto"/>
              <w:right w:val="single" w:sz="4" w:space="0" w:color="auto"/>
            </w:tcBorders>
            <w:shd w:val="clear" w:color="auto" w:fill="auto"/>
            <w:noWrap/>
            <w:vAlign w:val="center"/>
            <w:hideMark/>
          </w:tcPr>
          <w:p w14:paraId="0396F959"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0.95</w:t>
            </w:r>
          </w:p>
        </w:tc>
        <w:tc>
          <w:tcPr>
            <w:tcW w:w="696" w:type="dxa"/>
            <w:tcBorders>
              <w:top w:val="nil"/>
              <w:left w:val="nil"/>
              <w:bottom w:val="single" w:sz="4" w:space="0" w:color="auto"/>
              <w:right w:val="single" w:sz="4" w:space="0" w:color="auto"/>
            </w:tcBorders>
            <w:shd w:val="clear" w:color="auto" w:fill="auto"/>
            <w:noWrap/>
            <w:vAlign w:val="center"/>
            <w:hideMark/>
          </w:tcPr>
          <w:p w14:paraId="51E86DA6"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1.08</w:t>
            </w:r>
          </w:p>
        </w:tc>
        <w:tc>
          <w:tcPr>
            <w:tcW w:w="700" w:type="dxa"/>
            <w:tcBorders>
              <w:top w:val="nil"/>
              <w:left w:val="nil"/>
              <w:bottom w:val="single" w:sz="4" w:space="0" w:color="auto"/>
              <w:right w:val="single" w:sz="4" w:space="0" w:color="auto"/>
            </w:tcBorders>
            <w:shd w:val="clear" w:color="auto" w:fill="auto"/>
            <w:noWrap/>
            <w:vAlign w:val="center"/>
            <w:hideMark/>
          </w:tcPr>
          <w:p w14:paraId="5CC35A7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0.88</w:t>
            </w:r>
          </w:p>
        </w:tc>
      </w:tr>
      <w:tr w:rsidR="00B05D21" w:rsidRPr="005279AA" w14:paraId="58572C68" w14:textId="77777777" w:rsidTr="0097118F">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AF35"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lastRenderedPageBreak/>
              <w:t>15</w:t>
            </w: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14:paraId="45A87732"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sz w:val="24"/>
                <w:szCs w:val="24"/>
                <w:lang w:eastAsia="en-GB"/>
              </w:rPr>
            </w:pPr>
            <w:r w:rsidRPr="005279AA">
              <w:rPr>
                <w:rFonts w:asciiTheme="majorBidi" w:eastAsia="Times New Roman" w:hAnsiTheme="majorBidi" w:cstheme="majorBidi"/>
                <w:sz w:val="24"/>
                <w:szCs w:val="24"/>
                <w:lang w:eastAsia="en-GB"/>
              </w:rPr>
              <w:t>UNVR</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8510"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1.11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E8AB71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1.02</w:t>
            </w:r>
          </w:p>
        </w:tc>
        <w:tc>
          <w:tcPr>
            <w:tcW w:w="700" w:type="dxa"/>
            <w:tcBorders>
              <w:top w:val="nil"/>
              <w:left w:val="nil"/>
              <w:bottom w:val="single" w:sz="4" w:space="0" w:color="auto"/>
              <w:right w:val="single" w:sz="4" w:space="0" w:color="auto"/>
            </w:tcBorders>
            <w:shd w:val="clear" w:color="auto" w:fill="auto"/>
            <w:noWrap/>
            <w:vAlign w:val="center"/>
            <w:hideMark/>
          </w:tcPr>
          <w:p w14:paraId="3A9EC5F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1.05</w:t>
            </w:r>
          </w:p>
        </w:tc>
        <w:tc>
          <w:tcPr>
            <w:tcW w:w="696" w:type="dxa"/>
            <w:tcBorders>
              <w:top w:val="nil"/>
              <w:left w:val="nil"/>
              <w:bottom w:val="single" w:sz="4" w:space="0" w:color="auto"/>
              <w:right w:val="single" w:sz="4" w:space="0" w:color="auto"/>
            </w:tcBorders>
            <w:shd w:val="clear" w:color="auto" w:fill="auto"/>
            <w:noWrap/>
            <w:vAlign w:val="center"/>
            <w:hideMark/>
          </w:tcPr>
          <w:p w14:paraId="781E9CE7"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1.04</w:t>
            </w:r>
          </w:p>
        </w:tc>
        <w:tc>
          <w:tcPr>
            <w:tcW w:w="700" w:type="dxa"/>
            <w:tcBorders>
              <w:top w:val="nil"/>
              <w:left w:val="nil"/>
              <w:bottom w:val="single" w:sz="4" w:space="0" w:color="auto"/>
              <w:right w:val="single" w:sz="4" w:space="0" w:color="auto"/>
            </w:tcBorders>
            <w:shd w:val="clear" w:color="auto" w:fill="auto"/>
            <w:noWrap/>
            <w:vAlign w:val="center"/>
            <w:hideMark/>
          </w:tcPr>
          <w:p w14:paraId="49763EE1"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color w:val="000000"/>
                <w:sz w:val="24"/>
                <w:szCs w:val="24"/>
                <w:lang w:eastAsia="en-GB"/>
              </w:rPr>
            </w:pPr>
            <w:r w:rsidRPr="005279AA">
              <w:rPr>
                <w:rFonts w:asciiTheme="majorBidi" w:eastAsia="Times New Roman" w:hAnsiTheme="majorBidi" w:cstheme="majorBidi"/>
                <w:color w:val="000000"/>
                <w:sz w:val="24"/>
                <w:szCs w:val="24"/>
                <w:lang w:eastAsia="en-GB"/>
              </w:rPr>
              <w:t>1.03</w:t>
            </w:r>
          </w:p>
        </w:tc>
      </w:tr>
      <w:tr w:rsidR="00B05D21" w:rsidRPr="005279AA" w14:paraId="0E2769DD"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767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Terendah</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8151AF"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0.23</w:t>
            </w:r>
          </w:p>
        </w:tc>
      </w:tr>
      <w:tr w:rsidR="00B05D21" w:rsidRPr="005279AA" w14:paraId="67E940A3"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FB1C"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Tertinggi</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F22103"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1.27</w:t>
            </w:r>
          </w:p>
        </w:tc>
      </w:tr>
      <w:tr w:rsidR="00B05D21" w:rsidRPr="005279AA" w14:paraId="1DB0C42F" w14:textId="77777777" w:rsidTr="00645E4A">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1912A"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sz w:val="24"/>
                <w:szCs w:val="24"/>
                <w:lang w:eastAsia="en-GB"/>
              </w:rPr>
            </w:pPr>
            <w:r w:rsidRPr="005279AA">
              <w:rPr>
                <w:rFonts w:asciiTheme="majorBidi" w:eastAsia="Times New Roman" w:hAnsiTheme="majorBidi" w:cstheme="majorBidi"/>
                <w:b/>
                <w:bCs/>
                <w:sz w:val="24"/>
                <w:szCs w:val="24"/>
                <w:lang w:eastAsia="en-GB"/>
              </w:rPr>
              <w:t>Nilai Rata-Rata</w:t>
            </w:r>
          </w:p>
        </w:tc>
        <w:tc>
          <w:tcPr>
            <w:tcW w:w="3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C0B044D" w14:textId="77777777" w:rsidR="00B05D21" w:rsidRPr="005279AA" w:rsidRDefault="00B05D21" w:rsidP="00645E4A">
            <w:pPr>
              <w:tabs>
                <w:tab w:val="left" w:pos="1701"/>
              </w:tabs>
              <w:spacing w:after="0" w:line="240" w:lineRule="auto"/>
              <w:jc w:val="center"/>
              <w:rPr>
                <w:rFonts w:asciiTheme="majorBidi" w:eastAsia="Times New Roman" w:hAnsiTheme="majorBidi" w:cstheme="majorBidi"/>
                <w:b/>
                <w:bCs/>
                <w:color w:val="000000"/>
                <w:sz w:val="24"/>
                <w:szCs w:val="24"/>
                <w:lang w:eastAsia="en-GB"/>
              </w:rPr>
            </w:pPr>
            <w:r w:rsidRPr="005279AA">
              <w:rPr>
                <w:rFonts w:asciiTheme="majorBidi" w:eastAsia="Times New Roman" w:hAnsiTheme="majorBidi" w:cstheme="majorBidi"/>
                <w:b/>
                <w:bCs/>
                <w:color w:val="000000"/>
                <w:sz w:val="24"/>
                <w:szCs w:val="24"/>
                <w:lang w:eastAsia="en-GB"/>
              </w:rPr>
              <w:t>0.66</w:t>
            </w:r>
          </w:p>
        </w:tc>
      </w:tr>
    </w:tbl>
    <w:p w14:paraId="69D68406" w14:textId="15745B56" w:rsidR="0080147E" w:rsidRDefault="0057737A" w:rsidP="00645E4A">
      <w:pPr>
        <w:tabs>
          <w:tab w:val="left" w:pos="1701"/>
        </w:tabs>
        <w:spacing w:line="240" w:lineRule="auto"/>
        <w:ind w:left="1134" w:right="3"/>
        <w:jc w:val="both"/>
        <w:rPr>
          <w:rFonts w:asciiTheme="majorBidi" w:eastAsiaTheme="minorEastAsia" w:hAnsiTheme="majorBidi" w:cstheme="majorBidi"/>
          <w:iCs/>
        </w:rPr>
      </w:pPr>
      <w:r w:rsidRPr="005279AA">
        <w:rPr>
          <w:rFonts w:asciiTheme="majorBidi" w:eastAsiaTheme="minorEastAsia" w:hAnsiTheme="majorBidi" w:cstheme="majorBidi"/>
          <w:iCs/>
          <w:lang w:val="id-ID"/>
        </w:rPr>
        <w:t>Sumber</w:t>
      </w:r>
      <w:r w:rsidR="00D974B3" w:rsidRPr="005279AA">
        <w:rPr>
          <w:rFonts w:asciiTheme="majorBidi" w:eastAsiaTheme="minorEastAsia" w:hAnsiTheme="majorBidi" w:cstheme="majorBidi"/>
          <w:iCs/>
          <w:lang w:val="id-ID"/>
        </w:rPr>
        <w:t xml:space="preserve">: </w:t>
      </w:r>
      <w:r w:rsidRPr="005279AA">
        <w:rPr>
          <w:rFonts w:asciiTheme="majorBidi" w:eastAsiaTheme="minorEastAsia" w:hAnsiTheme="majorBidi" w:cstheme="majorBidi"/>
          <w:iCs/>
          <w:lang w:val="id-ID"/>
        </w:rPr>
        <w:t xml:space="preserve">Laporan </w:t>
      </w:r>
      <w:r w:rsidR="00D974B3" w:rsidRPr="005279AA">
        <w:rPr>
          <w:rFonts w:asciiTheme="majorBidi" w:eastAsiaTheme="minorEastAsia" w:hAnsiTheme="majorBidi" w:cstheme="majorBidi"/>
          <w:iCs/>
          <w:lang w:val="id-ID"/>
        </w:rPr>
        <w:t xml:space="preserve">Keuangan Tahunan </w:t>
      </w:r>
      <w:r w:rsidR="00D974B3">
        <w:rPr>
          <w:rFonts w:asciiTheme="majorBidi" w:eastAsiaTheme="minorEastAsia" w:hAnsiTheme="majorBidi" w:cstheme="majorBidi"/>
          <w:iCs/>
        </w:rPr>
        <w:t xml:space="preserve">Perusahaan Sektor </w:t>
      </w:r>
      <w:r w:rsidR="00D974B3" w:rsidRPr="005279AA">
        <w:rPr>
          <w:rFonts w:asciiTheme="majorBidi" w:eastAsiaTheme="minorEastAsia" w:hAnsiTheme="majorBidi" w:cstheme="majorBidi"/>
          <w:iCs/>
          <w:lang w:val="id-ID"/>
        </w:rPr>
        <w:t>Consumer Non Cyclical 2019-202</w:t>
      </w:r>
      <w:r w:rsidR="00D974B3" w:rsidRPr="005279AA">
        <w:rPr>
          <w:rFonts w:asciiTheme="majorBidi" w:eastAsiaTheme="minorEastAsia" w:hAnsiTheme="majorBidi" w:cstheme="majorBidi"/>
          <w:iCs/>
        </w:rPr>
        <w:t>3</w:t>
      </w:r>
    </w:p>
    <w:p w14:paraId="1C25B798" w14:textId="0349A1C6" w:rsidR="005279AA" w:rsidRPr="000707DC" w:rsidRDefault="002E1451"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data kebijakan dividen menggunakan proksi </w:t>
      </w:r>
      <w:r w:rsidRPr="00CC00B3">
        <w:rPr>
          <w:rFonts w:asciiTheme="majorBidi" w:eastAsiaTheme="minorEastAsia" w:hAnsiTheme="majorBidi" w:cstheme="majorBidi"/>
          <w:i/>
          <w:sz w:val="24"/>
          <w:szCs w:val="24"/>
        </w:rPr>
        <w:t xml:space="preserve">Dividen Payout Ratio </w:t>
      </w:r>
      <w:r w:rsidRPr="00CC00B3">
        <w:rPr>
          <w:rFonts w:asciiTheme="majorBidi" w:eastAsiaTheme="minorEastAsia" w:hAnsiTheme="majorBidi" w:cstheme="majorBidi"/>
          <w:iCs/>
          <w:sz w:val="24"/>
          <w:szCs w:val="24"/>
        </w:rPr>
        <w:t xml:space="preserve">(DPR) pada sampel perusahaan sektor </w:t>
      </w:r>
      <w:r w:rsidRPr="00CC00B3">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ahun 2023 diatas, maka dapat dibuat grafik sebagai berikut</w:t>
      </w:r>
      <w:r w:rsidR="000707DC">
        <w:rPr>
          <w:rFonts w:asciiTheme="majorBidi" w:eastAsiaTheme="minorEastAsia" w:hAnsiTheme="majorBidi" w:cstheme="majorBidi"/>
          <w:iCs/>
          <w:sz w:val="24"/>
          <w:szCs w:val="24"/>
        </w:rPr>
        <w:t>:</w:t>
      </w:r>
    </w:p>
    <w:p w14:paraId="28F857E8" w14:textId="00198A13" w:rsidR="00840C8D" w:rsidRDefault="00840C8D" w:rsidP="00BF76D1">
      <w:pPr>
        <w:tabs>
          <w:tab w:val="left" w:pos="1701"/>
        </w:tabs>
        <w:spacing w:line="240" w:lineRule="auto"/>
        <w:ind w:left="567" w:firstLine="426"/>
        <w:jc w:val="both"/>
        <w:rPr>
          <w:rFonts w:asciiTheme="majorBidi" w:eastAsiaTheme="minorEastAsia" w:hAnsiTheme="majorBidi" w:cstheme="majorBidi"/>
          <w:iCs/>
        </w:rPr>
      </w:pPr>
      <w:r>
        <w:rPr>
          <w:noProof/>
        </w:rPr>
        <w:drawing>
          <wp:inline distT="0" distB="0" distL="0" distR="0" wp14:anchorId="6ED2B1BF" wp14:editId="404852F7">
            <wp:extent cx="4572000" cy="2818151"/>
            <wp:effectExtent l="0" t="0" r="0" b="1270"/>
            <wp:docPr id="48" name="Chart 48">
              <a:extLst xmlns:a="http://schemas.openxmlformats.org/drawingml/2006/main">
                <a:ext uri="{FF2B5EF4-FFF2-40B4-BE49-F238E27FC236}">
                  <a16:creationId xmlns:a16="http://schemas.microsoft.com/office/drawing/2014/main" id="{7B950C00-F8E4-406A-B603-841E82C267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027B87" w14:textId="39CADBB9" w:rsidR="008622E5" w:rsidRPr="005279AA" w:rsidRDefault="008622E5" w:rsidP="00BF76D1">
      <w:pPr>
        <w:pStyle w:val="ListParagraph"/>
        <w:tabs>
          <w:tab w:val="left" w:pos="1701"/>
        </w:tabs>
        <w:spacing w:line="240" w:lineRule="auto"/>
        <w:ind w:left="993"/>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Pr>
          <w:rFonts w:asciiTheme="majorBidi" w:eastAsiaTheme="minorEastAsia" w:hAnsiTheme="majorBidi" w:cstheme="majorBidi"/>
          <w:iCs/>
        </w:rPr>
        <w:t>Data Sekunder Yang Diolah Tahun 2024</w:t>
      </w:r>
    </w:p>
    <w:p w14:paraId="572005DE" w14:textId="18499678" w:rsidR="00CC00B3" w:rsidRDefault="008622E5"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E15C58">
        <w:rPr>
          <w:rFonts w:asciiTheme="majorBidi" w:eastAsiaTheme="minorEastAsia" w:hAnsiTheme="majorBidi" w:cstheme="majorBidi"/>
          <w:b/>
          <w:bCs/>
          <w:iCs/>
          <w:sz w:val="24"/>
          <w:szCs w:val="24"/>
        </w:rPr>
        <w:t xml:space="preserve">Grafik </w:t>
      </w:r>
      <w:r w:rsidR="006E4032">
        <w:rPr>
          <w:rFonts w:asciiTheme="majorBidi" w:eastAsiaTheme="minorEastAsia" w:hAnsiTheme="majorBidi" w:cstheme="majorBidi"/>
          <w:b/>
          <w:bCs/>
          <w:iCs/>
          <w:sz w:val="24"/>
          <w:szCs w:val="24"/>
        </w:rPr>
        <w:t>7</w:t>
      </w:r>
    </w:p>
    <w:p w14:paraId="0CC72B6B" w14:textId="7143F810" w:rsidR="008622E5" w:rsidRPr="00CC00B3" w:rsidRDefault="008622E5"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Kebijakan Dividen</w:t>
      </w:r>
      <w:r w:rsidR="00CC00B3">
        <w:rPr>
          <w:rFonts w:asciiTheme="majorBidi" w:eastAsiaTheme="minorEastAsia" w:hAnsiTheme="majorBidi" w:cstheme="majorBidi"/>
          <w:b/>
          <w:bCs/>
          <w:iCs/>
          <w:sz w:val="24"/>
          <w:szCs w:val="24"/>
        </w:rPr>
        <w:t xml:space="preserve"> </w:t>
      </w:r>
      <w:r w:rsidRPr="00CC00B3">
        <w:rPr>
          <w:rFonts w:asciiTheme="majorBidi" w:eastAsiaTheme="minorEastAsia" w:hAnsiTheme="majorBidi" w:cstheme="majorBidi"/>
          <w:b/>
          <w:bCs/>
          <w:iCs/>
          <w:sz w:val="24"/>
          <w:szCs w:val="24"/>
          <w:lang w:val="id-ID"/>
        </w:rPr>
        <w:t>Perusahaan Sektor Consumer Non Cyclical Tahun 2019-202</w:t>
      </w:r>
      <w:r w:rsidRPr="00CC00B3">
        <w:rPr>
          <w:rFonts w:asciiTheme="majorBidi" w:eastAsiaTheme="minorEastAsia" w:hAnsiTheme="majorBidi" w:cstheme="majorBidi"/>
          <w:b/>
          <w:bCs/>
          <w:iCs/>
          <w:sz w:val="24"/>
          <w:szCs w:val="24"/>
        </w:rPr>
        <w:t>3</w:t>
      </w:r>
    </w:p>
    <w:p w14:paraId="2AD683C2" w14:textId="18010B15" w:rsidR="00CC00B3" w:rsidRDefault="00840C8D" w:rsidP="00BF76D1">
      <w:pPr>
        <w:tabs>
          <w:tab w:val="left" w:pos="1701"/>
        </w:tabs>
        <w:spacing w:line="480" w:lineRule="auto"/>
        <w:ind w:left="1134" w:firstLine="426"/>
        <w:jc w:val="both"/>
        <w:rPr>
          <w:rFonts w:asciiTheme="majorBidi" w:eastAsiaTheme="minorEastAsia" w:hAnsiTheme="majorBidi" w:cstheme="majorBidi"/>
          <w:iCs/>
          <w:sz w:val="24"/>
          <w:szCs w:val="24"/>
        </w:rPr>
      </w:pPr>
      <w:r w:rsidRPr="00CC00B3">
        <w:rPr>
          <w:rFonts w:asciiTheme="majorBidi" w:eastAsiaTheme="minorEastAsia" w:hAnsiTheme="majorBidi" w:cstheme="majorBidi"/>
          <w:iCs/>
          <w:sz w:val="24"/>
          <w:szCs w:val="24"/>
        </w:rPr>
        <w:t xml:space="preserve">Berdasarkan tabel dan grafik diatas dapat diketahui bahwa nilai kebijakan dividen menggunakan proksi </w:t>
      </w:r>
      <w:r w:rsidRPr="000707DC">
        <w:rPr>
          <w:rFonts w:asciiTheme="majorBidi" w:eastAsiaTheme="minorEastAsia" w:hAnsiTheme="majorBidi" w:cstheme="majorBidi"/>
          <w:i/>
          <w:sz w:val="24"/>
          <w:szCs w:val="24"/>
        </w:rPr>
        <w:t>Dividen Payout Ratio</w:t>
      </w:r>
      <w:r w:rsidRPr="00CC00B3">
        <w:rPr>
          <w:rFonts w:asciiTheme="majorBidi" w:eastAsiaTheme="minorEastAsia" w:hAnsiTheme="majorBidi" w:cstheme="majorBidi"/>
          <w:iCs/>
          <w:sz w:val="24"/>
          <w:szCs w:val="24"/>
        </w:rPr>
        <w:t xml:space="preserve"> (DPR) pada 15 sampel perusahaan sektor </w:t>
      </w:r>
      <w:r w:rsidRPr="000707DC">
        <w:rPr>
          <w:rFonts w:asciiTheme="majorBidi" w:eastAsiaTheme="minorEastAsia" w:hAnsiTheme="majorBidi" w:cstheme="majorBidi"/>
          <w:i/>
          <w:sz w:val="24"/>
          <w:szCs w:val="24"/>
        </w:rPr>
        <w:t>consumer non cyclical</w:t>
      </w:r>
      <w:r w:rsidRPr="00CC00B3">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CC00B3">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lastRenderedPageBreak/>
        <w:t>t</w:t>
      </w:r>
      <w:r w:rsidRPr="00CC00B3">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w:t>
      </w:r>
      <w:r w:rsidR="00CC00B3" w:rsidRPr="00CC00B3">
        <w:rPr>
          <w:rFonts w:asciiTheme="majorBidi" w:eastAsiaTheme="minorEastAsia" w:hAnsiTheme="majorBidi" w:cstheme="majorBidi"/>
          <w:iCs/>
          <w:sz w:val="24"/>
          <w:szCs w:val="24"/>
        </w:rPr>
        <w:t>menunjukan bahwa nilai</w:t>
      </w:r>
      <w:r w:rsidR="00CC00B3">
        <w:rPr>
          <w:rFonts w:asciiTheme="majorBidi" w:eastAsiaTheme="minorEastAsia" w:hAnsiTheme="majorBidi" w:cstheme="majorBidi"/>
          <w:iCs/>
          <w:sz w:val="24"/>
          <w:szCs w:val="24"/>
        </w:rPr>
        <w:t xml:space="preserve"> </w:t>
      </w:r>
      <w:r w:rsidR="00CC00B3" w:rsidRPr="000707DC">
        <w:rPr>
          <w:rFonts w:asciiTheme="majorBidi" w:eastAsiaTheme="minorEastAsia" w:hAnsiTheme="majorBidi" w:cstheme="majorBidi"/>
          <w:i/>
          <w:sz w:val="24"/>
          <w:szCs w:val="24"/>
        </w:rPr>
        <w:t>Dividen Payout Ratio</w:t>
      </w:r>
      <w:r w:rsidR="00CC00B3" w:rsidRPr="00CC00B3">
        <w:rPr>
          <w:rFonts w:asciiTheme="majorBidi" w:eastAsiaTheme="minorEastAsia" w:hAnsiTheme="majorBidi" w:cstheme="majorBidi"/>
          <w:iCs/>
          <w:sz w:val="24"/>
          <w:szCs w:val="24"/>
        </w:rPr>
        <w:t xml:space="preserve"> (DPR) tertinggi dihasilkan oleh PT</w:t>
      </w:r>
      <w:r w:rsidR="000A231A">
        <w:rPr>
          <w:rFonts w:asciiTheme="majorBidi" w:eastAsiaTheme="minorEastAsia" w:hAnsiTheme="majorBidi" w:cstheme="majorBidi"/>
          <w:iCs/>
          <w:sz w:val="24"/>
          <w:szCs w:val="24"/>
        </w:rPr>
        <w:t xml:space="preserve"> </w:t>
      </w:r>
      <w:r w:rsidR="000A231A" w:rsidRPr="005279AA">
        <w:rPr>
          <w:rFonts w:asciiTheme="majorBidi" w:eastAsia="Times New Roman" w:hAnsiTheme="majorBidi" w:cstheme="majorBidi"/>
          <w:sz w:val="24"/>
          <w:szCs w:val="24"/>
          <w:lang w:eastAsia="en-GB"/>
        </w:rPr>
        <w:t>H.M. Sampoerna Tbk</w:t>
      </w:r>
      <w:r w:rsidR="000A231A">
        <w:rPr>
          <w:rFonts w:asciiTheme="majorBidi" w:eastAsia="Times New Roman" w:hAnsiTheme="majorBidi" w:cstheme="majorBidi"/>
          <w:sz w:val="24"/>
          <w:szCs w:val="24"/>
          <w:lang w:eastAsia="en-GB"/>
        </w:rPr>
        <w:t xml:space="preserve"> 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ahun 2020</w:t>
      </w:r>
      <w:r w:rsidR="00CC00B3" w:rsidRPr="00CC00B3">
        <w:rPr>
          <w:rFonts w:asciiTheme="majorBidi" w:eastAsiaTheme="minorEastAsia" w:hAnsiTheme="majorBidi" w:cstheme="majorBidi"/>
          <w:iCs/>
          <w:sz w:val="24"/>
          <w:szCs w:val="24"/>
        </w:rPr>
        <w:t xml:space="preserve"> </w:t>
      </w:r>
      <w:r w:rsidR="00CC00B3" w:rsidRPr="00CC00B3">
        <w:rPr>
          <w:rFonts w:asciiTheme="majorBidi" w:eastAsia="Times New Roman" w:hAnsiTheme="majorBidi" w:cstheme="majorBidi"/>
          <w:sz w:val="24"/>
          <w:szCs w:val="24"/>
          <w:lang w:eastAsia="en-GB"/>
        </w:rPr>
        <w:t xml:space="preserve">yaitu sebesar </w:t>
      </w:r>
      <w:r w:rsidR="000A231A">
        <w:rPr>
          <w:rFonts w:asciiTheme="majorBidi" w:eastAsia="Times New Roman" w:hAnsiTheme="majorBidi" w:cstheme="majorBidi"/>
          <w:sz w:val="24"/>
          <w:szCs w:val="24"/>
          <w:lang w:eastAsia="en-GB"/>
        </w:rPr>
        <w:t xml:space="preserve">1,27 </w:t>
      </w:r>
      <w:r w:rsidR="00CC00B3" w:rsidRPr="00CC00B3">
        <w:rPr>
          <w:rFonts w:asciiTheme="majorBidi" w:eastAsia="Times New Roman" w:hAnsiTheme="majorBidi" w:cstheme="majorBidi"/>
          <w:sz w:val="24"/>
          <w:szCs w:val="24"/>
          <w:lang w:eastAsia="en-GB"/>
        </w:rPr>
        <w:t xml:space="preserve">dan nilai </w:t>
      </w:r>
      <w:r w:rsidR="00CC00B3" w:rsidRPr="000707DC">
        <w:rPr>
          <w:rFonts w:asciiTheme="majorBidi" w:eastAsiaTheme="minorEastAsia" w:hAnsiTheme="majorBidi" w:cstheme="majorBidi"/>
          <w:i/>
          <w:sz w:val="24"/>
          <w:szCs w:val="24"/>
        </w:rPr>
        <w:t>Dividen Payout Ratio</w:t>
      </w:r>
      <w:r w:rsidR="00CC00B3" w:rsidRPr="00CC00B3">
        <w:rPr>
          <w:rFonts w:asciiTheme="majorBidi" w:eastAsiaTheme="minorEastAsia" w:hAnsiTheme="majorBidi" w:cstheme="majorBidi"/>
          <w:iCs/>
          <w:sz w:val="24"/>
          <w:szCs w:val="24"/>
        </w:rPr>
        <w:t xml:space="preserve"> (DPR) </w:t>
      </w:r>
      <w:r w:rsidR="00CC00B3" w:rsidRPr="00CC00B3">
        <w:rPr>
          <w:rFonts w:asciiTheme="majorBidi" w:eastAsia="Times New Roman" w:hAnsiTheme="majorBidi" w:cstheme="majorBidi"/>
          <w:sz w:val="24"/>
          <w:szCs w:val="24"/>
          <w:lang w:eastAsia="en-GB"/>
        </w:rPr>
        <w:t xml:space="preserve">terendah dihasilkan oleh PT </w:t>
      </w:r>
      <w:r w:rsidR="000A231A" w:rsidRPr="005279AA">
        <w:rPr>
          <w:rFonts w:asciiTheme="majorBidi" w:eastAsia="Times New Roman" w:hAnsiTheme="majorBidi" w:cstheme="majorBidi"/>
          <w:sz w:val="24"/>
          <w:szCs w:val="24"/>
          <w:lang w:eastAsia="en-GB"/>
        </w:rPr>
        <w:t>Millennium Pharmacon International Tbk</w:t>
      </w:r>
      <w:r w:rsidR="000A231A">
        <w:rPr>
          <w:rFonts w:asciiTheme="majorBidi" w:eastAsia="Times New Roman" w:hAnsiTheme="majorBidi" w:cstheme="majorBidi"/>
          <w:sz w:val="24"/>
          <w:szCs w:val="24"/>
          <w:lang w:eastAsia="en-GB"/>
        </w:rPr>
        <w:t xml:space="preserve"> pada </w:t>
      </w:r>
      <w:r w:rsidR="00C34EDF">
        <w:rPr>
          <w:rFonts w:asciiTheme="majorBidi" w:eastAsia="Times New Roman" w:hAnsiTheme="majorBidi" w:cstheme="majorBidi"/>
          <w:sz w:val="24"/>
          <w:szCs w:val="24"/>
          <w:lang w:eastAsia="en-GB"/>
        </w:rPr>
        <w:t>t</w:t>
      </w:r>
      <w:r w:rsidR="000A231A">
        <w:rPr>
          <w:rFonts w:asciiTheme="majorBidi" w:eastAsia="Times New Roman" w:hAnsiTheme="majorBidi" w:cstheme="majorBidi"/>
          <w:sz w:val="24"/>
          <w:szCs w:val="24"/>
          <w:lang w:eastAsia="en-GB"/>
        </w:rPr>
        <w:t xml:space="preserve">ahun 2022 </w:t>
      </w:r>
      <w:r w:rsidR="00CC00B3">
        <w:rPr>
          <w:rFonts w:asciiTheme="majorBidi" w:eastAsia="Times New Roman" w:hAnsiTheme="majorBidi" w:cstheme="majorBidi"/>
          <w:sz w:val="24"/>
          <w:szCs w:val="24"/>
          <w:lang w:eastAsia="en-GB"/>
        </w:rPr>
        <w:t>yaitu sebesar</w:t>
      </w:r>
      <w:r w:rsidR="000A231A">
        <w:rPr>
          <w:rFonts w:asciiTheme="majorBidi" w:eastAsia="Times New Roman" w:hAnsiTheme="majorBidi" w:cstheme="majorBidi"/>
          <w:sz w:val="24"/>
          <w:szCs w:val="24"/>
          <w:lang w:eastAsia="en-GB"/>
        </w:rPr>
        <w:t xml:space="preserve"> 0,23</w:t>
      </w:r>
      <w:r w:rsidR="00CC00B3">
        <w:rPr>
          <w:rFonts w:asciiTheme="majorBidi" w:eastAsia="Times New Roman" w:hAnsiTheme="majorBidi" w:cstheme="majorBidi"/>
          <w:sz w:val="24"/>
          <w:szCs w:val="24"/>
          <w:lang w:eastAsia="en-GB"/>
        </w:rPr>
        <w:t xml:space="preserve">. Nilai rata-rata </w:t>
      </w:r>
      <w:r w:rsidR="00CC00B3" w:rsidRPr="000707DC">
        <w:rPr>
          <w:rFonts w:asciiTheme="majorBidi" w:eastAsiaTheme="minorEastAsia" w:hAnsiTheme="majorBidi" w:cstheme="majorBidi"/>
          <w:i/>
          <w:sz w:val="24"/>
          <w:szCs w:val="24"/>
        </w:rPr>
        <w:t>Dividen Payout Ratio</w:t>
      </w:r>
      <w:r w:rsidR="00CC00B3" w:rsidRPr="00CC00B3">
        <w:rPr>
          <w:rFonts w:asciiTheme="majorBidi" w:eastAsiaTheme="minorEastAsia" w:hAnsiTheme="majorBidi" w:cstheme="majorBidi"/>
          <w:iCs/>
          <w:sz w:val="24"/>
          <w:szCs w:val="24"/>
        </w:rPr>
        <w:t xml:space="preserve"> (DPR) </w:t>
      </w:r>
      <w:r w:rsidR="00CC00B3" w:rsidRPr="009107C0">
        <w:rPr>
          <w:rFonts w:asciiTheme="majorBidi" w:eastAsiaTheme="minorEastAsia" w:hAnsiTheme="majorBidi" w:cstheme="majorBidi"/>
          <w:iCs/>
          <w:sz w:val="24"/>
          <w:szCs w:val="24"/>
        </w:rPr>
        <w:t xml:space="preserve">pada 15 sampel perusahaan sektor </w:t>
      </w:r>
      <w:r w:rsidR="00CC00B3" w:rsidRPr="009911AA">
        <w:rPr>
          <w:rFonts w:asciiTheme="majorBidi" w:eastAsiaTheme="minorEastAsia" w:hAnsiTheme="majorBidi" w:cstheme="majorBidi"/>
          <w:i/>
          <w:sz w:val="24"/>
          <w:szCs w:val="24"/>
        </w:rPr>
        <w:t>consumer non cyclical</w:t>
      </w:r>
      <w:r w:rsidR="00CC00B3" w:rsidRPr="009107C0">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 xml:space="preserve">ahun 2019 – </w:t>
      </w:r>
      <w:r w:rsidR="00C34EDF">
        <w:rPr>
          <w:rFonts w:asciiTheme="majorBidi" w:eastAsiaTheme="minorEastAsia" w:hAnsiTheme="majorBidi" w:cstheme="majorBidi"/>
          <w:iCs/>
          <w:sz w:val="24"/>
          <w:szCs w:val="24"/>
        </w:rPr>
        <w:t>t</w:t>
      </w:r>
      <w:r w:rsidR="00CC00B3" w:rsidRPr="009107C0">
        <w:rPr>
          <w:rFonts w:asciiTheme="majorBidi" w:eastAsiaTheme="minorEastAsia" w:hAnsiTheme="majorBidi" w:cstheme="majorBidi"/>
          <w:iCs/>
          <w:sz w:val="24"/>
          <w:szCs w:val="24"/>
        </w:rPr>
        <w:t>ahun 2023</w:t>
      </w:r>
      <w:r w:rsidR="00CC00B3">
        <w:rPr>
          <w:rFonts w:asciiTheme="majorBidi" w:eastAsiaTheme="minorEastAsia" w:hAnsiTheme="majorBidi" w:cstheme="majorBidi"/>
          <w:iCs/>
          <w:sz w:val="24"/>
          <w:szCs w:val="24"/>
        </w:rPr>
        <w:t xml:space="preserve"> sebesar</w:t>
      </w:r>
      <w:r w:rsidR="000A231A">
        <w:rPr>
          <w:rFonts w:asciiTheme="majorBidi" w:eastAsiaTheme="minorEastAsia" w:hAnsiTheme="majorBidi" w:cstheme="majorBidi"/>
          <w:iCs/>
          <w:sz w:val="24"/>
          <w:szCs w:val="24"/>
        </w:rPr>
        <w:t xml:space="preserve"> 0,66</w:t>
      </w:r>
      <w:r w:rsidR="00CC00B3">
        <w:rPr>
          <w:rFonts w:asciiTheme="majorBidi" w:eastAsiaTheme="minorEastAsia" w:hAnsiTheme="majorBidi" w:cstheme="majorBidi"/>
          <w:iCs/>
          <w:sz w:val="24"/>
          <w:szCs w:val="24"/>
        </w:rPr>
        <w:t>.</w:t>
      </w:r>
    </w:p>
    <w:p w14:paraId="79D01788" w14:textId="4C9C284A" w:rsidR="00503238" w:rsidRPr="005279AA" w:rsidRDefault="00503238" w:rsidP="00BF76D1">
      <w:pPr>
        <w:pStyle w:val="ListParagraph"/>
        <w:numPr>
          <w:ilvl w:val="0"/>
          <w:numId w:val="44"/>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Analisis Data</w:t>
      </w:r>
    </w:p>
    <w:p w14:paraId="1DC28D08" w14:textId="3BF59744" w:rsidR="00503238" w:rsidRPr="005279AA" w:rsidRDefault="00503238" w:rsidP="00BF76D1">
      <w:pPr>
        <w:pStyle w:val="ListParagraph"/>
        <w:numPr>
          <w:ilvl w:val="0"/>
          <w:numId w:val="45"/>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Statistik Deskriptif</w:t>
      </w:r>
    </w:p>
    <w:p w14:paraId="3674D79C" w14:textId="17C63EF8" w:rsidR="00F44BA4" w:rsidRDefault="004B63F0" w:rsidP="00BF76D1">
      <w:pPr>
        <w:pStyle w:val="ListParagraph"/>
        <w:tabs>
          <w:tab w:val="left" w:pos="1701"/>
        </w:tabs>
        <w:spacing w:line="480" w:lineRule="auto"/>
        <w:ind w:left="1080" w:firstLine="480"/>
        <w:jc w:val="both"/>
        <w:rPr>
          <w:rFonts w:asciiTheme="majorBidi" w:hAnsiTheme="majorBidi" w:cstheme="majorBidi"/>
          <w:sz w:val="24"/>
          <w:szCs w:val="24"/>
        </w:rPr>
      </w:pPr>
      <w:r w:rsidRPr="005279AA">
        <w:rPr>
          <w:rFonts w:asciiTheme="majorBidi" w:eastAsiaTheme="minorEastAsia" w:hAnsiTheme="majorBidi" w:cstheme="majorBidi"/>
          <w:iCs/>
          <w:sz w:val="24"/>
          <w:szCs w:val="24"/>
          <w:lang w:val="id-ID"/>
        </w:rPr>
        <w:t xml:space="preserve">Statistik deskriptif digunakan untuk menjelaskan varian-varian yang dimiliki oleh data variabel penelitian. Dalam penelitian ini variabel yang digunakan antara lain profitabilitas, likuiditas, </w:t>
      </w:r>
      <w:r w:rsidRPr="005279AA">
        <w:rPr>
          <w:rFonts w:asciiTheme="majorBidi" w:eastAsiaTheme="minorEastAsia" w:hAnsiTheme="majorBidi" w:cstheme="majorBidi"/>
          <w:i/>
          <w:sz w:val="24"/>
          <w:szCs w:val="24"/>
          <w:lang w:val="id-ID"/>
        </w:rPr>
        <w:t>leverage, free cash flow</w:t>
      </w:r>
      <w:r w:rsidRPr="005279AA">
        <w:rPr>
          <w:rFonts w:asciiTheme="majorBidi" w:eastAsiaTheme="minorEastAsia" w:hAnsiTheme="majorBidi" w:cstheme="majorBidi"/>
          <w:iCs/>
          <w:sz w:val="24"/>
          <w:szCs w:val="24"/>
          <w:lang w:val="id-ID"/>
        </w:rPr>
        <w:t xml:space="preserve">, kepemilikan institusional dan kebijakan dividen dari sampel perusahaan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lang w:val="id-ID"/>
        </w:rPr>
        <w:t xml:space="preserve">ahun 2019 sampai dengan </w:t>
      </w:r>
      <w:r w:rsidR="00C34EDF">
        <w:rPr>
          <w:rFonts w:asciiTheme="majorBidi" w:eastAsiaTheme="minorEastAsia" w:hAnsiTheme="majorBidi" w:cstheme="majorBidi"/>
          <w:iCs/>
          <w:sz w:val="24"/>
          <w:szCs w:val="24"/>
        </w:rPr>
        <w:t>t</w:t>
      </w:r>
      <w:r w:rsidR="007F678B">
        <w:rPr>
          <w:rFonts w:asciiTheme="majorBidi" w:eastAsiaTheme="minorEastAsia" w:hAnsiTheme="majorBidi" w:cstheme="majorBidi"/>
          <w:iCs/>
          <w:sz w:val="24"/>
          <w:szCs w:val="24"/>
        </w:rPr>
        <w:t xml:space="preserve">ahun </w:t>
      </w:r>
      <w:r w:rsidRPr="005279AA">
        <w:rPr>
          <w:rFonts w:asciiTheme="majorBidi" w:eastAsiaTheme="minorEastAsia" w:hAnsiTheme="majorBidi" w:cstheme="majorBidi"/>
          <w:iCs/>
          <w:sz w:val="24"/>
          <w:szCs w:val="24"/>
          <w:lang w:val="id-ID"/>
        </w:rPr>
        <w:t xml:space="preserve">2023. Data penelitian terkumpul sebanyak </w:t>
      </w:r>
      <w:r w:rsidR="009B7876" w:rsidRPr="005279AA">
        <w:rPr>
          <w:rFonts w:asciiTheme="majorBidi" w:eastAsiaTheme="minorEastAsia" w:hAnsiTheme="majorBidi" w:cstheme="majorBidi"/>
          <w:iCs/>
          <w:sz w:val="24"/>
          <w:szCs w:val="24"/>
        </w:rPr>
        <w:t>75</w:t>
      </w:r>
      <w:r w:rsidRPr="005279AA">
        <w:rPr>
          <w:rFonts w:asciiTheme="majorBidi" w:eastAsiaTheme="minorEastAsia" w:hAnsiTheme="majorBidi" w:cstheme="majorBidi"/>
          <w:iCs/>
          <w:sz w:val="24"/>
          <w:szCs w:val="24"/>
          <w:lang w:val="id-ID"/>
        </w:rPr>
        <w:t xml:space="preserve"> data, terdiri atas </w:t>
      </w:r>
      <w:r w:rsidR="009B7876" w:rsidRPr="005279AA">
        <w:rPr>
          <w:rFonts w:asciiTheme="majorBidi" w:eastAsiaTheme="minorEastAsia" w:hAnsiTheme="majorBidi" w:cstheme="majorBidi"/>
          <w:iCs/>
          <w:sz w:val="24"/>
          <w:szCs w:val="24"/>
        </w:rPr>
        <w:t>15</w:t>
      </w:r>
      <w:r w:rsidRPr="005279AA">
        <w:rPr>
          <w:rFonts w:asciiTheme="majorBidi" w:eastAsiaTheme="minorEastAsia" w:hAnsiTheme="majorBidi" w:cstheme="majorBidi"/>
          <w:iCs/>
          <w:sz w:val="24"/>
          <w:szCs w:val="24"/>
          <w:lang w:val="id-ID"/>
        </w:rPr>
        <w:t xml:space="preserve"> perusahaan dan 5 periode tahun penelitian yang kemudian di</w:t>
      </w:r>
      <w:r w:rsidR="000805B5"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lang w:val="id-ID"/>
        </w:rPr>
        <w:t xml:space="preserve">deskriptifkan dengan beberapa kriteria yaitu nilai minimum, nilai maksimum, nilai rata rata, dan standar deviasi. </w:t>
      </w:r>
      <w:r w:rsidR="00EC014F" w:rsidRPr="005279AA">
        <w:rPr>
          <w:rFonts w:asciiTheme="majorBidi" w:hAnsiTheme="majorBidi" w:cstheme="majorBidi"/>
          <w:sz w:val="24"/>
          <w:szCs w:val="24"/>
          <w:lang w:val="id-ID"/>
        </w:rPr>
        <w:t>Berikut hasil statistik deskripti</w:t>
      </w:r>
      <w:r w:rsidR="00DE4CD9" w:rsidRPr="005279AA">
        <w:rPr>
          <w:rFonts w:asciiTheme="majorBidi" w:hAnsiTheme="majorBidi" w:cstheme="majorBidi"/>
          <w:sz w:val="24"/>
          <w:szCs w:val="24"/>
        </w:rPr>
        <w:t>f</w:t>
      </w:r>
      <w:r w:rsidR="007F678B">
        <w:rPr>
          <w:rFonts w:asciiTheme="majorBidi" w:hAnsiTheme="majorBidi" w:cstheme="majorBidi"/>
          <w:sz w:val="24"/>
          <w:szCs w:val="24"/>
        </w:rPr>
        <w:t xml:space="preserve"> dalam penelitian ini:</w:t>
      </w:r>
    </w:p>
    <w:p w14:paraId="5CF34320" w14:textId="7B630F0B" w:rsidR="00AE20B8" w:rsidRDefault="00AE20B8" w:rsidP="00BF76D1">
      <w:pPr>
        <w:pStyle w:val="ListParagraph"/>
        <w:tabs>
          <w:tab w:val="left" w:pos="1701"/>
        </w:tabs>
        <w:spacing w:line="480" w:lineRule="auto"/>
        <w:ind w:left="1080" w:firstLine="480"/>
        <w:jc w:val="both"/>
        <w:rPr>
          <w:rFonts w:asciiTheme="majorBidi" w:hAnsiTheme="majorBidi" w:cstheme="majorBidi"/>
          <w:sz w:val="24"/>
          <w:szCs w:val="24"/>
        </w:rPr>
      </w:pPr>
    </w:p>
    <w:p w14:paraId="224512D5" w14:textId="4EF03657" w:rsidR="00AE20B8" w:rsidRDefault="00AE20B8" w:rsidP="00BF76D1">
      <w:pPr>
        <w:pStyle w:val="ListParagraph"/>
        <w:tabs>
          <w:tab w:val="left" w:pos="1701"/>
        </w:tabs>
        <w:spacing w:line="480" w:lineRule="auto"/>
        <w:ind w:left="1080" w:firstLine="480"/>
        <w:jc w:val="both"/>
        <w:rPr>
          <w:rFonts w:asciiTheme="majorBidi" w:hAnsiTheme="majorBidi" w:cstheme="majorBidi"/>
          <w:sz w:val="24"/>
          <w:szCs w:val="24"/>
        </w:rPr>
      </w:pPr>
    </w:p>
    <w:p w14:paraId="706193F3" w14:textId="6A75C424" w:rsidR="00AE20B8" w:rsidRDefault="00AE20B8" w:rsidP="00BF76D1">
      <w:pPr>
        <w:pStyle w:val="ListParagraph"/>
        <w:tabs>
          <w:tab w:val="left" w:pos="1701"/>
        </w:tabs>
        <w:spacing w:line="480" w:lineRule="auto"/>
        <w:ind w:left="1080" w:firstLine="480"/>
        <w:jc w:val="both"/>
        <w:rPr>
          <w:rFonts w:asciiTheme="majorBidi" w:hAnsiTheme="majorBidi" w:cstheme="majorBidi"/>
          <w:sz w:val="24"/>
          <w:szCs w:val="24"/>
        </w:rPr>
      </w:pPr>
    </w:p>
    <w:p w14:paraId="42F28473" w14:textId="77777777" w:rsidR="00AE20B8" w:rsidRPr="00AE20B8" w:rsidRDefault="00AE20B8" w:rsidP="00BF76D1">
      <w:pPr>
        <w:pStyle w:val="ListParagraph"/>
        <w:tabs>
          <w:tab w:val="left" w:pos="1701"/>
        </w:tabs>
        <w:spacing w:line="480" w:lineRule="auto"/>
        <w:ind w:left="1080" w:firstLine="480"/>
        <w:jc w:val="both"/>
        <w:rPr>
          <w:rFonts w:asciiTheme="majorBidi" w:hAnsiTheme="majorBidi" w:cstheme="majorBidi"/>
          <w:sz w:val="24"/>
          <w:szCs w:val="24"/>
        </w:rPr>
      </w:pPr>
    </w:p>
    <w:p w14:paraId="1D91A564" w14:textId="0C422250" w:rsidR="004B63F0" w:rsidRPr="005279AA" w:rsidRDefault="004B63F0"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lastRenderedPageBreak/>
        <w:t>Deskripsi Profitabilitas</w:t>
      </w:r>
    </w:p>
    <w:p w14:paraId="507E8A8E" w14:textId="63F5E932"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13</w:t>
      </w:r>
    </w:p>
    <w:p w14:paraId="0EEB3AB5" w14:textId="69C8B8FF" w:rsidR="00397895" w:rsidRPr="005279AA" w:rsidRDefault="00CB3734"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Statistik Deskr</w:t>
      </w:r>
      <w:r w:rsidR="007F678B">
        <w:rPr>
          <w:rFonts w:asciiTheme="majorBidi" w:eastAsiaTheme="minorEastAsia" w:hAnsiTheme="majorBidi" w:cstheme="majorBidi"/>
          <w:b/>
          <w:bCs/>
          <w:iCs/>
          <w:sz w:val="24"/>
          <w:szCs w:val="24"/>
        </w:rPr>
        <w:t>i</w:t>
      </w:r>
      <w:r w:rsidRPr="005279AA">
        <w:rPr>
          <w:rFonts w:asciiTheme="majorBidi" w:eastAsiaTheme="minorEastAsia" w:hAnsiTheme="majorBidi" w:cstheme="majorBidi"/>
          <w:b/>
          <w:bCs/>
          <w:iCs/>
          <w:sz w:val="24"/>
          <w:szCs w:val="24"/>
        </w:rPr>
        <w:t>ptif Profitabilitas</w:t>
      </w:r>
    </w:p>
    <w:tbl>
      <w:tblPr>
        <w:tblW w:w="6645"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851"/>
        <w:gridCol w:w="992"/>
        <w:gridCol w:w="1123"/>
        <w:gridCol w:w="861"/>
        <w:gridCol w:w="1190"/>
        <w:gridCol w:w="69"/>
      </w:tblGrid>
      <w:tr w:rsidR="00166112" w:rsidRPr="005279AA" w14:paraId="5496CA0A" w14:textId="77777777" w:rsidTr="003323EA">
        <w:trPr>
          <w:cantSplit/>
        </w:trPr>
        <w:tc>
          <w:tcPr>
            <w:tcW w:w="6645" w:type="dxa"/>
            <w:gridSpan w:val="7"/>
            <w:tcBorders>
              <w:top w:val="nil"/>
              <w:left w:val="nil"/>
              <w:bottom w:val="nil"/>
              <w:right w:val="nil"/>
            </w:tcBorders>
            <w:shd w:val="clear" w:color="auto" w:fill="FFFFFF"/>
            <w:vAlign w:val="center"/>
          </w:tcPr>
          <w:p w14:paraId="71293302"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166112" w:rsidRPr="005279AA" w14:paraId="702694AA" w14:textId="77777777" w:rsidTr="003323EA">
        <w:trPr>
          <w:gridAfter w:val="1"/>
          <w:wAfter w:w="69" w:type="dxa"/>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7D1B448"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02FDEF0C"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62C85E5F"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1123" w:type="dxa"/>
            <w:tcBorders>
              <w:top w:val="single" w:sz="16" w:space="0" w:color="000000"/>
              <w:bottom w:val="single" w:sz="16" w:space="0" w:color="000000"/>
            </w:tcBorders>
            <w:shd w:val="clear" w:color="auto" w:fill="FFFFFF"/>
            <w:vAlign w:val="bottom"/>
          </w:tcPr>
          <w:p w14:paraId="3BD95980"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861" w:type="dxa"/>
            <w:tcBorders>
              <w:top w:val="single" w:sz="16" w:space="0" w:color="000000"/>
              <w:bottom w:val="single" w:sz="16" w:space="0" w:color="000000"/>
            </w:tcBorders>
            <w:shd w:val="clear" w:color="auto" w:fill="FFFFFF"/>
            <w:vAlign w:val="bottom"/>
          </w:tcPr>
          <w:p w14:paraId="1C4B5F11"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1190" w:type="dxa"/>
            <w:tcBorders>
              <w:top w:val="single" w:sz="16" w:space="0" w:color="000000"/>
              <w:bottom w:val="single" w:sz="16" w:space="0" w:color="000000"/>
              <w:right w:val="single" w:sz="16" w:space="0" w:color="000000"/>
            </w:tcBorders>
            <w:shd w:val="clear" w:color="auto" w:fill="FFFFFF"/>
            <w:vAlign w:val="bottom"/>
          </w:tcPr>
          <w:p w14:paraId="128AC14E"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166112" w:rsidRPr="005279AA" w14:paraId="10C27BC3" w14:textId="77777777" w:rsidTr="003323EA">
        <w:trPr>
          <w:gridAfter w:val="1"/>
          <w:wAfter w:w="69" w:type="dxa"/>
          <w:cantSplit/>
        </w:trPr>
        <w:tc>
          <w:tcPr>
            <w:tcW w:w="1559" w:type="dxa"/>
            <w:tcBorders>
              <w:top w:val="single" w:sz="16" w:space="0" w:color="000000"/>
              <w:left w:val="single" w:sz="16" w:space="0" w:color="000000"/>
              <w:bottom w:val="nil"/>
              <w:right w:val="single" w:sz="16" w:space="0" w:color="000000"/>
            </w:tcBorders>
            <w:shd w:val="clear" w:color="auto" w:fill="FFFFFF"/>
          </w:tcPr>
          <w:p w14:paraId="13223AF7" w14:textId="77777777" w:rsidR="00166112" w:rsidRPr="005279AA" w:rsidRDefault="0016611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851" w:type="dxa"/>
            <w:tcBorders>
              <w:top w:val="single" w:sz="16" w:space="0" w:color="000000"/>
              <w:left w:val="single" w:sz="16" w:space="0" w:color="000000"/>
              <w:bottom w:val="nil"/>
            </w:tcBorders>
            <w:shd w:val="clear" w:color="auto" w:fill="FFFFFF"/>
            <w:vAlign w:val="center"/>
          </w:tcPr>
          <w:p w14:paraId="233CDD4A"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71022544"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w:t>
            </w:r>
          </w:p>
        </w:tc>
        <w:tc>
          <w:tcPr>
            <w:tcW w:w="1123" w:type="dxa"/>
            <w:tcBorders>
              <w:top w:val="single" w:sz="16" w:space="0" w:color="000000"/>
              <w:bottom w:val="nil"/>
            </w:tcBorders>
            <w:shd w:val="clear" w:color="auto" w:fill="FFFFFF"/>
            <w:vAlign w:val="center"/>
          </w:tcPr>
          <w:p w14:paraId="7A5C832E"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.36</w:t>
            </w:r>
          </w:p>
        </w:tc>
        <w:tc>
          <w:tcPr>
            <w:tcW w:w="861" w:type="dxa"/>
            <w:tcBorders>
              <w:top w:val="single" w:sz="16" w:space="0" w:color="000000"/>
              <w:bottom w:val="nil"/>
            </w:tcBorders>
            <w:shd w:val="clear" w:color="auto" w:fill="FFFFFF"/>
            <w:vAlign w:val="center"/>
          </w:tcPr>
          <w:p w14:paraId="4A21880D"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.0929</w:t>
            </w:r>
          </w:p>
        </w:tc>
        <w:tc>
          <w:tcPr>
            <w:tcW w:w="1190" w:type="dxa"/>
            <w:tcBorders>
              <w:top w:val="single" w:sz="16" w:space="0" w:color="000000"/>
              <w:bottom w:val="nil"/>
              <w:right w:val="single" w:sz="16" w:space="0" w:color="000000"/>
            </w:tcBorders>
            <w:shd w:val="clear" w:color="auto" w:fill="FFFFFF"/>
            <w:vAlign w:val="center"/>
          </w:tcPr>
          <w:p w14:paraId="036D3CCF"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.07645</w:t>
            </w:r>
          </w:p>
        </w:tc>
      </w:tr>
      <w:tr w:rsidR="00166112" w:rsidRPr="005279AA" w14:paraId="680D10BF" w14:textId="77777777" w:rsidTr="003323EA">
        <w:trPr>
          <w:gridAfter w:val="1"/>
          <w:wAfter w:w="69" w:type="dxa"/>
          <w:cantSplit/>
        </w:trPr>
        <w:tc>
          <w:tcPr>
            <w:tcW w:w="1559" w:type="dxa"/>
            <w:tcBorders>
              <w:top w:val="nil"/>
              <w:left w:val="single" w:sz="16" w:space="0" w:color="000000"/>
              <w:bottom w:val="single" w:sz="16" w:space="0" w:color="000000"/>
              <w:right w:val="single" w:sz="16" w:space="0" w:color="000000"/>
            </w:tcBorders>
            <w:shd w:val="clear" w:color="auto" w:fill="FFFFFF"/>
          </w:tcPr>
          <w:p w14:paraId="1012A1EA" w14:textId="77777777" w:rsidR="00166112" w:rsidRPr="005279AA" w:rsidRDefault="0016611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51" w:type="dxa"/>
            <w:tcBorders>
              <w:top w:val="nil"/>
              <w:left w:val="single" w:sz="16" w:space="0" w:color="000000"/>
              <w:bottom w:val="single" w:sz="16" w:space="0" w:color="000000"/>
            </w:tcBorders>
            <w:shd w:val="clear" w:color="auto" w:fill="FFFFFF"/>
            <w:vAlign w:val="center"/>
          </w:tcPr>
          <w:p w14:paraId="35DA38B8"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0FBEB2DA"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123" w:type="dxa"/>
            <w:tcBorders>
              <w:top w:val="nil"/>
              <w:bottom w:val="single" w:sz="16" w:space="0" w:color="000000"/>
            </w:tcBorders>
            <w:shd w:val="clear" w:color="auto" w:fill="FFFFFF"/>
            <w:vAlign w:val="center"/>
          </w:tcPr>
          <w:p w14:paraId="21E01E07"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61" w:type="dxa"/>
            <w:tcBorders>
              <w:top w:val="nil"/>
              <w:bottom w:val="single" w:sz="16" w:space="0" w:color="000000"/>
            </w:tcBorders>
            <w:shd w:val="clear" w:color="auto" w:fill="FFFFFF"/>
            <w:vAlign w:val="center"/>
          </w:tcPr>
          <w:p w14:paraId="2DECBB4D"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190" w:type="dxa"/>
            <w:tcBorders>
              <w:top w:val="nil"/>
              <w:bottom w:val="single" w:sz="16" w:space="0" w:color="000000"/>
              <w:right w:val="single" w:sz="16" w:space="0" w:color="000000"/>
            </w:tcBorders>
            <w:shd w:val="clear" w:color="auto" w:fill="FFFFFF"/>
            <w:vAlign w:val="center"/>
          </w:tcPr>
          <w:p w14:paraId="6DDA3AC2"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r>
    </w:tbl>
    <w:p w14:paraId="419FC0FA" w14:textId="1F9EBA49" w:rsidR="004B63F0" w:rsidRPr="005279AA" w:rsidRDefault="00C924B3" w:rsidP="00BF76D1">
      <w:pPr>
        <w:tabs>
          <w:tab w:val="left" w:pos="1701"/>
        </w:tabs>
        <w:spacing w:line="480" w:lineRule="auto"/>
        <w:ind w:left="1418"/>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37ABA935" w14:textId="2D1E56D5" w:rsidR="00AD4209" w:rsidRPr="005279AA" w:rsidRDefault="00AD4209"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Berdasarkan informasi tabel diatas dapat diketahui bahw</w:t>
      </w:r>
      <w:r w:rsidR="00CB3734" w:rsidRPr="005279AA">
        <w:rPr>
          <w:rFonts w:asciiTheme="majorBidi" w:eastAsiaTheme="minorEastAsia" w:hAnsiTheme="majorBidi" w:cstheme="majorBidi"/>
          <w:iCs/>
          <w:sz w:val="24"/>
          <w:szCs w:val="24"/>
        </w:rPr>
        <w:t xml:space="preserve">a data profitabilitas perusahaan sektor </w:t>
      </w:r>
      <w:r w:rsidR="00CB3734" w:rsidRPr="005279AA">
        <w:rPr>
          <w:rFonts w:asciiTheme="majorBidi" w:eastAsiaTheme="minorEastAsia" w:hAnsiTheme="majorBidi" w:cstheme="majorBidi"/>
          <w:i/>
          <w:sz w:val="24"/>
          <w:szCs w:val="24"/>
        </w:rPr>
        <w:t>consumer non cyclical</w:t>
      </w:r>
      <w:r w:rsidR="00CB3734"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00CB3734" w:rsidRPr="005279AA">
        <w:rPr>
          <w:rFonts w:asciiTheme="majorBidi" w:eastAsiaTheme="minorEastAsia" w:hAnsiTheme="majorBidi" w:cstheme="majorBidi"/>
          <w:iCs/>
          <w:sz w:val="24"/>
          <w:szCs w:val="24"/>
        </w:rPr>
        <w:t>ahun 2019-2023 menunjukan nilai maksimum sebesa</w:t>
      </w:r>
      <w:r w:rsidR="0032404B" w:rsidRPr="005279AA">
        <w:rPr>
          <w:rFonts w:asciiTheme="majorBidi" w:eastAsiaTheme="minorEastAsia" w:hAnsiTheme="majorBidi" w:cstheme="majorBidi"/>
          <w:iCs/>
          <w:sz w:val="24"/>
          <w:szCs w:val="24"/>
        </w:rPr>
        <w:t xml:space="preserve">r 0,36 </w:t>
      </w:r>
      <w:r w:rsidR="0040635F" w:rsidRPr="005279AA">
        <w:rPr>
          <w:rFonts w:asciiTheme="majorBidi" w:eastAsiaTheme="minorEastAsia" w:hAnsiTheme="majorBidi" w:cstheme="majorBidi"/>
          <w:iCs/>
          <w:sz w:val="24"/>
          <w:szCs w:val="24"/>
        </w:rPr>
        <w:t>d</w:t>
      </w:r>
      <w:r w:rsidR="00CB3734" w:rsidRPr="005279AA">
        <w:rPr>
          <w:rFonts w:asciiTheme="majorBidi" w:eastAsiaTheme="minorEastAsia" w:hAnsiTheme="majorBidi" w:cstheme="majorBidi"/>
          <w:iCs/>
          <w:sz w:val="24"/>
          <w:szCs w:val="24"/>
        </w:rPr>
        <w:t>an nilai minimumnya sebesar</w:t>
      </w:r>
      <w:r w:rsidR="0032404B" w:rsidRPr="005279AA">
        <w:rPr>
          <w:rFonts w:asciiTheme="majorBidi" w:eastAsiaTheme="minorEastAsia" w:hAnsiTheme="majorBidi" w:cstheme="majorBidi"/>
          <w:iCs/>
          <w:sz w:val="24"/>
          <w:szCs w:val="24"/>
        </w:rPr>
        <w:t xml:space="preserve"> 0,002 s</w:t>
      </w:r>
      <w:r w:rsidR="00CB3734" w:rsidRPr="005279AA">
        <w:rPr>
          <w:rFonts w:asciiTheme="majorBidi" w:eastAsiaTheme="minorEastAsia" w:hAnsiTheme="majorBidi" w:cstheme="majorBidi"/>
          <w:iCs/>
          <w:sz w:val="24"/>
          <w:szCs w:val="24"/>
        </w:rPr>
        <w:t>edangkan nilai rata-rata dari variabel profitabilitas sebesar</w:t>
      </w:r>
      <w:r w:rsidR="0032404B" w:rsidRPr="005279AA">
        <w:rPr>
          <w:rFonts w:asciiTheme="majorBidi" w:eastAsiaTheme="minorEastAsia" w:hAnsiTheme="majorBidi" w:cstheme="majorBidi"/>
          <w:iCs/>
          <w:sz w:val="24"/>
          <w:szCs w:val="24"/>
        </w:rPr>
        <w:t xml:space="preserve"> 0,</w:t>
      </w:r>
      <w:r w:rsidR="00577046" w:rsidRPr="005279AA">
        <w:rPr>
          <w:rFonts w:asciiTheme="majorBidi" w:eastAsiaTheme="minorEastAsia" w:hAnsiTheme="majorBidi" w:cstheme="majorBidi"/>
          <w:iCs/>
          <w:sz w:val="24"/>
          <w:szCs w:val="24"/>
        </w:rPr>
        <w:t>0</w:t>
      </w:r>
      <w:r w:rsidR="00166112" w:rsidRPr="005279AA">
        <w:rPr>
          <w:rFonts w:asciiTheme="majorBidi" w:eastAsiaTheme="minorEastAsia" w:hAnsiTheme="majorBidi" w:cstheme="majorBidi"/>
          <w:iCs/>
          <w:sz w:val="24"/>
          <w:szCs w:val="24"/>
        </w:rPr>
        <w:t xml:space="preserve">929 </w:t>
      </w:r>
      <w:r w:rsidR="0040635F" w:rsidRPr="005279AA">
        <w:rPr>
          <w:rFonts w:asciiTheme="majorBidi" w:eastAsiaTheme="minorEastAsia" w:hAnsiTheme="majorBidi" w:cstheme="majorBidi"/>
          <w:iCs/>
          <w:sz w:val="24"/>
          <w:szCs w:val="24"/>
        </w:rPr>
        <w:t>dengan standar deviasi sebesa</w:t>
      </w:r>
      <w:r w:rsidR="0032404B" w:rsidRPr="005279AA">
        <w:rPr>
          <w:rFonts w:asciiTheme="majorBidi" w:eastAsiaTheme="minorEastAsia" w:hAnsiTheme="majorBidi" w:cstheme="majorBidi"/>
          <w:iCs/>
          <w:sz w:val="24"/>
          <w:szCs w:val="24"/>
        </w:rPr>
        <w:t>r 0,07</w:t>
      </w:r>
      <w:r w:rsidR="00166112" w:rsidRPr="005279AA">
        <w:rPr>
          <w:rFonts w:asciiTheme="majorBidi" w:eastAsiaTheme="minorEastAsia" w:hAnsiTheme="majorBidi" w:cstheme="majorBidi"/>
          <w:iCs/>
          <w:sz w:val="24"/>
          <w:szCs w:val="24"/>
        </w:rPr>
        <w:t>645</w:t>
      </w:r>
      <w:r w:rsidR="00577046" w:rsidRPr="005279AA">
        <w:rPr>
          <w:rFonts w:asciiTheme="majorBidi" w:eastAsiaTheme="minorEastAsia" w:hAnsiTheme="majorBidi" w:cstheme="majorBidi"/>
          <w:iCs/>
          <w:sz w:val="24"/>
          <w:szCs w:val="24"/>
        </w:rPr>
        <w:t>.</w:t>
      </w:r>
    </w:p>
    <w:p w14:paraId="2DA9CC72" w14:textId="1AE47CE0" w:rsidR="003323EA" w:rsidRPr="003323EA" w:rsidRDefault="004B63F0"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Deskripsi Likuidita</w:t>
      </w:r>
      <w:r w:rsidR="003323EA">
        <w:rPr>
          <w:rFonts w:asciiTheme="majorBidi" w:eastAsiaTheme="minorEastAsia" w:hAnsiTheme="majorBidi" w:cstheme="majorBidi"/>
          <w:b/>
          <w:bCs/>
          <w:iCs/>
          <w:sz w:val="24"/>
          <w:szCs w:val="24"/>
        </w:rPr>
        <w:t>s</w:t>
      </w:r>
    </w:p>
    <w:p w14:paraId="624D5E5C" w14:textId="4DA10762"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14</w:t>
      </w:r>
    </w:p>
    <w:p w14:paraId="1E0AE294" w14:textId="05381F82" w:rsidR="00397895" w:rsidRPr="005279AA" w:rsidRDefault="00CB3734"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rPr>
        <w:t xml:space="preserve">Statistik Deskrptif </w:t>
      </w:r>
      <w:r w:rsidR="004B63F0" w:rsidRPr="005279AA">
        <w:rPr>
          <w:rFonts w:asciiTheme="majorBidi" w:eastAsiaTheme="minorEastAsia" w:hAnsiTheme="majorBidi" w:cstheme="majorBidi"/>
          <w:b/>
          <w:bCs/>
          <w:iCs/>
          <w:sz w:val="24"/>
          <w:szCs w:val="24"/>
          <w:lang w:val="id-ID"/>
        </w:rPr>
        <w:t>Likuiditas</w:t>
      </w:r>
    </w:p>
    <w:tbl>
      <w:tblPr>
        <w:tblW w:w="646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0"/>
        <w:gridCol w:w="818"/>
        <w:gridCol w:w="992"/>
        <w:gridCol w:w="992"/>
        <w:gridCol w:w="992"/>
        <w:gridCol w:w="1190"/>
        <w:gridCol w:w="30"/>
      </w:tblGrid>
      <w:tr w:rsidR="00166112" w:rsidRPr="005279AA" w14:paraId="12BEA23D" w14:textId="77777777" w:rsidTr="003323EA">
        <w:trPr>
          <w:cantSplit/>
        </w:trPr>
        <w:tc>
          <w:tcPr>
            <w:tcW w:w="6464" w:type="dxa"/>
            <w:gridSpan w:val="7"/>
            <w:tcBorders>
              <w:top w:val="nil"/>
              <w:left w:val="nil"/>
              <w:bottom w:val="nil"/>
              <w:right w:val="nil"/>
            </w:tcBorders>
            <w:shd w:val="clear" w:color="auto" w:fill="FFFFFF"/>
            <w:vAlign w:val="center"/>
          </w:tcPr>
          <w:p w14:paraId="668B8D75"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166112" w:rsidRPr="005279AA" w14:paraId="616BA270" w14:textId="77777777" w:rsidTr="003323EA">
        <w:trPr>
          <w:gridAfter w:val="1"/>
          <w:wAfter w:w="30" w:type="dxa"/>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14:paraId="3662C4BE"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18" w:type="dxa"/>
            <w:tcBorders>
              <w:top w:val="single" w:sz="16" w:space="0" w:color="000000"/>
              <w:left w:val="single" w:sz="16" w:space="0" w:color="000000"/>
              <w:bottom w:val="single" w:sz="16" w:space="0" w:color="000000"/>
            </w:tcBorders>
            <w:shd w:val="clear" w:color="auto" w:fill="FFFFFF"/>
            <w:vAlign w:val="bottom"/>
          </w:tcPr>
          <w:p w14:paraId="06228AEA" w14:textId="77777777" w:rsidR="00166112" w:rsidRPr="005279AA" w:rsidRDefault="00166112" w:rsidP="00BF76D1">
            <w:pPr>
              <w:tabs>
                <w:tab w:val="left" w:pos="1701"/>
              </w:tabs>
              <w:autoSpaceDE w:val="0"/>
              <w:autoSpaceDN w:val="0"/>
              <w:adjustRightInd w:val="0"/>
              <w:spacing w:after="0" w:line="320" w:lineRule="atLeast"/>
              <w:ind w:left="60" w:right="60" w:hanging="101"/>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7637D6F8"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573EEF7D"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247670F1"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14:paraId="6ED7A1EB" w14:textId="77777777" w:rsidR="00166112" w:rsidRPr="005279AA" w:rsidRDefault="0016611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166112" w:rsidRPr="005279AA" w14:paraId="4BCF7702" w14:textId="77777777" w:rsidTr="003323EA">
        <w:trPr>
          <w:gridAfter w:val="1"/>
          <w:wAfter w:w="30" w:type="dxa"/>
          <w:cantSplit/>
        </w:trPr>
        <w:tc>
          <w:tcPr>
            <w:tcW w:w="0" w:type="auto"/>
            <w:tcBorders>
              <w:top w:val="single" w:sz="16" w:space="0" w:color="000000"/>
              <w:left w:val="single" w:sz="16" w:space="0" w:color="000000"/>
              <w:bottom w:val="nil"/>
              <w:right w:val="single" w:sz="16" w:space="0" w:color="000000"/>
            </w:tcBorders>
            <w:shd w:val="clear" w:color="auto" w:fill="FFFFFF"/>
          </w:tcPr>
          <w:p w14:paraId="79439C71" w14:textId="77777777" w:rsidR="00166112" w:rsidRPr="005279AA" w:rsidRDefault="0016611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818" w:type="dxa"/>
            <w:tcBorders>
              <w:top w:val="single" w:sz="16" w:space="0" w:color="000000"/>
              <w:left w:val="single" w:sz="16" w:space="0" w:color="000000"/>
              <w:bottom w:val="nil"/>
            </w:tcBorders>
            <w:shd w:val="clear" w:color="auto" w:fill="FFFFFF"/>
            <w:vAlign w:val="center"/>
          </w:tcPr>
          <w:p w14:paraId="31D5A1A0"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6BA6334A"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.55</w:t>
            </w:r>
          </w:p>
        </w:tc>
        <w:tc>
          <w:tcPr>
            <w:tcW w:w="992" w:type="dxa"/>
            <w:tcBorders>
              <w:top w:val="single" w:sz="16" w:space="0" w:color="000000"/>
              <w:bottom w:val="nil"/>
            </w:tcBorders>
            <w:shd w:val="clear" w:color="auto" w:fill="FFFFFF"/>
            <w:vAlign w:val="center"/>
          </w:tcPr>
          <w:p w14:paraId="620A989D"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9.95</w:t>
            </w:r>
          </w:p>
        </w:tc>
        <w:tc>
          <w:tcPr>
            <w:tcW w:w="992" w:type="dxa"/>
            <w:tcBorders>
              <w:top w:val="single" w:sz="16" w:space="0" w:color="000000"/>
              <w:bottom w:val="nil"/>
            </w:tcBorders>
            <w:shd w:val="clear" w:color="auto" w:fill="FFFFFF"/>
            <w:vAlign w:val="center"/>
          </w:tcPr>
          <w:p w14:paraId="4B8DAD41"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2.6608</w:t>
            </w:r>
          </w:p>
        </w:tc>
        <w:tc>
          <w:tcPr>
            <w:tcW w:w="0" w:type="auto"/>
            <w:tcBorders>
              <w:top w:val="single" w:sz="16" w:space="0" w:color="000000"/>
              <w:bottom w:val="nil"/>
              <w:right w:val="single" w:sz="16" w:space="0" w:color="000000"/>
            </w:tcBorders>
            <w:shd w:val="clear" w:color="auto" w:fill="FFFFFF"/>
            <w:vAlign w:val="center"/>
          </w:tcPr>
          <w:p w14:paraId="153C77E0"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2.20380</w:t>
            </w:r>
          </w:p>
        </w:tc>
      </w:tr>
      <w:tr w:rsidR="00166112" w:rsidRPr="005279AA" w14:paraId="6088DEF1" w14:textId="77777777" w:rsidTr="003323EA">
        <w:trPr>
          <w:gridAfter w:val="1"/>
          <w:wAfter w:w="30" w:type="dxa"/>
          <w:cantSplit/>
        </w:trPr>
        <w:tc>
          <w:tcPr>
            <w:tcW w:w="0" w:type="auto"/>
            <w:tcBorders>
              <w:top w:val="nil"/>
              <w:left w:val="single" w:sz="16" w:space="0" w:color="000000"/>
              <w:bottom w:val="single" w:sz="16" w:space="0" w:color="000000"/>
              <w:right w:val="single" w:sz="16" w:space="0" w:color="000000"/>
            </w:tcBorders>
            <w:shd w:val="clear" w:color="auto" w:fill="FFFFFF"/>
          </w:tcPr>
          <w:p w14:paraId="71156F20" w14:textId="77777777" w:rsidR="00166112" w:rsidRPr="005279AA" w:rsidRDefault="0016611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18" w:type="dxa"/>
            <w:tcBorders>
              <w:top w:val="nil"/>
              <w:left w:val="single" w:sz="16" w:space="0" w:color="000000"/>
              <w:bottom w:val="single" w:sz="16" w:space="0" w:color="000000"/>
            </w:tcBorders>
            <w:shd w:val="clear" w:color="auto" w:fill="FFFFFF"/>
            <w:vAlign w:val="center"/>
          </w:tcPr>
          <w:p w14:paraId="5E5511F0" w14:textId="77777777" w:rsidR="00166112" w:rsidRPr="005279AA" w:rsidRDefault="0016611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009E1303"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4B4C0001"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3DA8FCC2"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0" w:type="auto"/>
            <w:tcBorders>
              <w:top w:val="nil"/>
              <w:bottom w:val="single" w:sz="16" w:space="0" w:color="000000"/>
              <w:right w:val="single" w:sz="16" w:space="0" w:color="000000"/>
            </w:tcBorders>
            <w:shd w:val="clear" w:color="auto" w:fill="FFFFFF"/>
            <w:vAlign w:val="center"/>
          </w:tcPr>
          <w:p w14:paraId="16F56DFA" w14:textId="77777777" w:rsidR="00166112" w:rsidRPr="005279AA" w:rsidRDefault="00166112" w:rsidP="00BF76D1">
            <w:pPr>
              <w:tabs>
                <w:tab w:val="left" w:pos="1701"/>
              </w:tabs>
              <w:autoSpaceDE w:val="0"/>
              <w:autoSpaceDN w:val="0"/>
              <w:adjustRightInd w:val="0"/>
              <w:spacing w:after="0" w:line="240" w:lineRule="auto"/>
              <w:rPr>
                <w:rFonts w:asciiTheme="majorBidi" w:hAnsiTheme="majorBidi" w:cstheme="majorBidi"/>
                <w:sz w:val="24"/>
                <w:szCs w:val="24"/>
              </w:rPr>
            </w:pPr>
          </w:p>
        </w:tc>
      </w:tr>
    </w:tbl>
    <w:p w14:paraId="46B0AC0C" w14:textId="24B26683" w:rsidR="00AD4209" w:rsidRPr="005279AA" w:rsidRDefault="00B516F9" w:rsidP="00BF76D1">
      <w:pPr>
        <w:tabs>
          <w:tab w:val="left" w:pos="1701"/>
        </w:tabs>
        <w:spacing w:line="480" w:lineRule="auto"/>
        <w:ind w:left="1560"/>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28BA2E6C" w14:textId="17E6FB0F" w:rsidR="004327F1" w:rsidRPr="00F44BA4" w:rsidRDefault="0040635F"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 xml:space="preserve">Berdasarkan informasi tabel diatas dapat diketahui bahwa data likuiditas perusahaan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lang w:val="id-ID"/>
        </w:rPr>
        <w:t>ahun 2019-2023 menunjukan nilai maksimum sebesar</w:t>
      </w:r>
      <w:r w:rsidR="0032404B" w:rsidRPr="005279AA">
        <w:rPr>
          <w:rFonts w:asciiTheme="majorBidi" w:eastAsiaTheme="minorEastAsia" w:hAnsiTheme="majorBidi" w:cstheme="majorBidi"/>
          <w:iCs/>
          <w:sz w:val="24"/>
          <w:szCs w:val="24"/>
          <w:lang w:val="id-ID"/>
        </w:rPr>
        <w:t xml:space="preserve"> 9,95</w:t>
      </w:r>
      <w:r w:rsidRPr="005279AA">
        <w:rPr>
          <w:rFonts w:asciiTheme="majorBidi" w:eastAsiaTheme="minorEastAsia" w:hAnsiTheme="majorBidi" w:cstheme="majorBidi"/>
          <w:iCs/>
          <w:sz w:val="24"/>
          <w:szCs w:val="24"/>
          <w:lang w:val="id-ID"/>
        </w:rPr>
        <w:t xml:space="preserve"> dan nilai minimumnya sebesa</w:t>
      </w:r>
      <w:r w:rsidR="0032404B" w:rsidRPr="005279AA">
        <w:rPr>
          <w:rFonts w:asciiTheme="majorBidi" w:eastAsiaTheme="minorEastAsia" w:hAnsiTheme="majorBidi" w:cstheme="majorBidi"/>
          <w:iCs/>
          <w:sz w:val="24"/>
          <w:szCs w:val="24"/>
          <w:lang w:val="id-ID"/>
        </w:rPr>
        <w:t>r 0,55</w:t>
      </w:r>
      <w:r w:rsidRPr="005279AA">
        <w:rPr>
          <w:rFonts w:asciiTheme="majorBidi" w:eastAsiaTheme="minorEastAsia" w:hAnsiTheme="majorBidi" w:cstheme="majorBidi"/>
          <w:iCs/>
          <w:sz w:val="24"/>
          <w:szCs w:val="24"/>
          <w:lang w:val="id-ID"/>
        </w:rPr>
        <w:t xml:space="preserve"> </w:t>
      </w:r>
      <w:r w:rsidR="0032404B" w:rsidRPr="005279AA">
        <w:rPr>
          <w:rFonts w:asciiTheme="majorBidi" w:eastAsiaTheme="minorEastAsia" w:hAnsiTheme="majorBidi" w:cstheme="majorBidi"/>
          <w:iCs/>
          <w:sz w:val="24"/>
          <w:szCs w:val="24"/>
          <w:lang w:val="id-ID"/>
        </w:rPr>
        <w:lastRenderedPageBreak/>
        <w:t>s</w:t>
      </w:r>
      <w:r w:rsidRPr="005279AA">
        <w:rPr>
          <w:rFonts w:asciiTheme="majorBidi" w:eastAsiaTheme="minorEastAsia" w:hAnsiTheme="majorBidi" w:cstheme="majorBidi"/>
          <w:iCs/>
          <w:sz w:val="24"/>
          <w:szCs w:val="24"/>
          <w:lang w:val="id-ID"/>
        </w:rPr>
        <w:t>edangkan nilai rata-rata dari variabel likuiditas sebesar</w:t>
      </w:r>
      <w:r w:rsidR="0032404B" w:rsidRPr="005279AA">
        <w:rPr>
          <w:rFonts w:asciiTheme="majorBidi" w:eastAsiaTheme="minorEastAsia" w:hAnsiTheme="majorBidi" w:cstheme="majorBidi"/>
          <w:iCs/>
          <w:sz w:val="24"/>
          <w:szCs w:val="24"/>
        </w:rPr>
        <w:t xml:space="preserve"> 2,</w:t>
      </w:r>
      <w:r w:rsidR="00533498" w:rsidRPr="005279AA">
        <w:rPr>
          <w:rFonts w:asciiTheme="majorBidi" w:eastAsiaTheme="minorEastAsia" w:hAnsiTheme="majorBidi" w:cstheme="majorBidi"/>
          <w:iCs/>
          <w:sz w:val="24"/>
          <w:szCs w:val="24"/>
        </w:rPr>
        <w:t xml:space="preserve">6608 </w:t>
      </w:r>
      <w:r w:rsidRPr="005279AA">
        <w:rPr>
          <w:rFonts w:asciiTheme="majorBidi" w:eastAsiaTheme="minorEastAsia" w:hAnsiTheme="majorBidi" w:cstheme="majorBidi"/>
          <w:iCs/>
          <w:sz w:val="24"/>
          <w:szCs w:val="24"/>
        </w:rPr>
        <w:t>dengan standar deviasi sebesar</w:t>
      </w:r>
      <w:r w:rsidR="0032404B" w:rsidRPr="005279AA">
        <w:rPr>
          <w:rFonts w:asciiTheme="majorBidi" w:eastAsiaTheme="minorEastAsia" w:hAnsiTheme="majorBidi" w:cstheme="majorBidi"/>
          <w:iCs/>
          <w:sz w:val="24"/>
          <w:szCs w:val="24"/>
        </w:rPr>
        <w:t xml:space="preserve"> 2,</w:t>
      </w:r>
      <w:r w:rsidR="00533498" w:rsidRPr="005279AA">
        <w:rPr>
          <w:rFonts w:asciiTheme="majorBidi" w:eastAsiaTheme="minorEastAsia" w:hAnsiTheme="majorBidi" w:cstheme="majorBidi"/>
          <w:iCs/>
          <w:sz w:val="24"/>
          <w:szCs w:val="24"/>
        </w:rPr>
        <w:t>20380.</w:t>
      </w:r>
    </w:p>
    <w:p w14:paraId="4E8A293B" w14:textId="380E18FE" w:rsidR="004B63F0" w:rsidRPr="005279AA" w:rsidRDefault="004B63F0"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Deskripsi Leverage</w:t>
      </w:r>
    </w:p>
    <w:p w14:paraId="5D78508D" w14:textId="454F8FD4"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15</w:t>
      </w:r>
    </w:p>
    <w:p w14:paraId="7B32041F" w14:textId="7B9B9420" w:rsidR="00397895" w:rsidRPr="005279AA" w:rsidRDefault="00CB3734"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rPr>
        <w:t xml:space="preserve">Statistik Deskrptif </w:t>
      </w:r>
      <w:r w:rsidR="004B63F0" w:rsidRPr="005279AA">
        <w:rPr>
          <w:rFonts w:asciiTheme="majorBidi" w:eastAsiaTheme="minorEastAsia" w:hAnsiTheme="majorBidi" w:cstheme="majorBidi"/>
          <w:b/>
          <w:bCs/>
          <w:iCs/>
          <w:sz w:val="24"/>
          <w:szCs w:val="24"/>
          <w:lang w:val="id-ID"/>
        </w:rPr>
        <w:t>Leverage</w:t>
      </w:r>
    </w:p>
    <w:tbl>
      <w:tblPr>
        <w:tblW w:w="6622"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9"/>
        <w:gridCol w:w="851"/>
        <w:gridCol w:w="992"/>
        <w:gridCol w:w="992"/>
        <w:gridCol w:w="992"/>
        <w:gridCol w:w="1190"/>
        <w:gridCol w:w="46"/>
      </w:tblGrid>
      <w:tr w:rsidR="00533498" w:rsidRPr="005279AA" w14:paraId="42120A78" w14:textId="77777777" w:rsidTr="003323EA">
        <w:trPr>
          <w:cantSplit/>
        </w:trPr>
        <w:tc>
          <w:tcPr>
            <w:tcW w:w="6622" w:type="dxa"/>
            <w:gridSpan w:val="7"/>
            <w:tcBorders>
              <w:top w:val="nil"/>
              <w:left w:val="nil"/>
              <w:bottom w:val="nil"/>
              <w:right w:val="nil"/>
            </w:tcBorders>
            <w:shd w:val="clear" w:color="auto" w:fill="FFFFFF"/>
            <w:vAlign w:val="center"/>
          </w:tcPr>
          <w:p w14:paraId="67B26678"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533498" w:rsidRPr="005279AA" w14:paraId="0BFE0374" w14:textId="77777777" w:rsidTr="003323EA">
        <w:trPr>
          <w:gridAfter w:val="1"/>
          <w:wAfter w:w="46" w:type="dxa"/>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28879E"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32E79310"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79019E68"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4E26F491"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47813106"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1190" w:type="dxa"/>
            <w:tcBorders>
              <w:top w:val="single" w:sz="16" w:space="0" w:color="000000"/>
              <w:bottom w:val="single" w:sz="16" w:space="0" w:color="000000"/>
              <w:right w:val="single" w:sz="16" w:space="0" w:color="000000"/>
            </w:tcBorders>
            <w:shd w:val="clear" w:color="auto" w:fill="FFFFFF"/>
            <w:vAlign w:val="bottom"/>
          </w:tcPr>
          <w:p w14:paraId="42427E8F"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533498" w:rsidRPr="005279AA" w14:paraId="04956D98" w14:textId="77777777" w:rsidTr="003323EA">
        <w:trPr>
          <w:gridAfter w:val="1"/>
          <w:wAfter w:w="46" w:type="dxa"/>
          <w:cantSplit/>
        </w:trPr>
        <w:tc>
          <w:tcPr>
            <w:tcW w:w="1559" w:type="dxa"/>
            <w:tcBorders>
              <w:top w:val="single" w:sz="16" w:space="0" w:color="000000"/>
              <w:left w:val="single" w:sz="16" w:space="0" w:color="000000"/>
              <w:bottom w:val="nil"/>
              <w:right w:val="single" w:sz="16" w:space="0" w:color="000000"/>
            </w:tcBorders>
            <w:shd w:val="clear" w:color="auto" w:fill="FFFFFF"/>
          </w:tcPr>
          <w:p w14:paraId="2AD721E7"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851" w:type="dxa"/>
            <w:tcBorders>
              <w:top w:val="single" w:sz="16" w:space="0" w:color="000000"/>
              <w:left w:val="single" w:sz="16" w:space="0" w:color="000000"/>
              <w:bottom w:val="nil"/>
            </w:tcBorders>
            <w:shd w:val="clear" w:color="auto" w:fill="FFFFFF"/>
            <w:vAlign w:val="center"/>
          </w:tcPr>
          <w:p w14:paraId="1A3C6D9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1B44149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.10</w:t>
            </w:r>
          </w:p>
        </w:tc>
        <w:tc>
          <w:tcPr>
            <w:tcW w:w="992" w:type="dxa"/>
            <w:tcBorders>
              <w:top w:val="single" w:sz="16" w:space="0" w:color="000000"/>
              <w:bottom w:val="nil"/>
            </w:tcBorders>
            <w:shd w:val="clear" w:color="auto" w:fill="FFFFFF"/>
            <w:vAlign w:val="center"/>
          </w:tcPr>
          <w:p w14:paraId="1DD5BDB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4.90</w:t>
            </w:r>
          </w:p>
        </w:tc>
        <w:tc>
          <w:tcPr>
            <w:tcW w:w="992" w:type="dxa"/>
            <w:tcBorders>
              <w:top w:val="single" w:sz="16" w:space="0" w:color="000000"/>
              <w:bottom w:val="nil"/>
            </w:tcBorders>
            <w:shd w:val="clear" w:color="auto" w:fill="FFFFFF"/>
            <w:vAlign w:val="center"/>
          </w:tcPr>
          <w:p w14:paraId="2BDAFFED"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1.3219</w:t>
            </w:r>
          </w:p>
        </w:tc>
        <w:tc>
          <w:tcPr>
            <w:tcW w:w="1190" w:type="dxa"/>
            <w:tcBorders>
              <w:top w:val="single" w:sz="16" w:space="0" w:color="000000"/>
              <w:bottom w:val="nil"/>
              <w:right w:val="single" w:sz="16" w:space="0" w:color="000000"/>
            </w:tcBorders>
            <w:shd w:val="clear" w:color="auto" w:fill="FFFFFF"/>
            <w:vAlign w:val="center"/>
          </w:tcPr>
          <w:p w14:paraId="0B98EBA9"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1.19604</w:t>
            </w:r>
          </w:p>
        </w:tc>
      </w:tr>
      <w:tr w:rsidR="00533498" w:rsidRPr="005279AA" w14:paraId="31BC3CFB" w14:textId="77777777" w:rsidTr="003323EA">
        <w:trPr>
          <w:gridAfter w:val="1"/>
          <w:wAfter w:w="46" w:type="dxa"/>
          <w:cantSplit/>
        </w:trPr>
        <w:tc>
          <w:tcPr>
            <w:tcW w:w="1559" w:type="dxa"/>
            <w:tcBorders>
              <w:top w:val="nil"/>
              <w:left w:val="single" w:sz="16" w:space="0" w:color="000000"/>
              <w:bottom w:val="single" w:sz="16" w:space="0" w:color="000000"/>
              <w:right w:val="single" w:sz="16" w:space="0" w:color="000000"/>
            </w:tcBorders>
            <w:shd w:val="clear" w:color="auto" w:fill="FFFFFF"/>
          </w:tcPr>
          <w:p w14:paraId="739A005C"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51" w:type="dxa"/>
            <w:tcBorders>
              <w:top w:val="nil"/>
              <w:left w:val="single" w:sz="16" w:space="0" w:color="000000"/>
              <w:bottom w:val="single" w:sz="16" w:space="0" w:color="000000"/>
            </w:tcBorders>
            <w:shd w:val="clear" w:color="auto" w:fill="FFFFFF"/>
            <w:vAlign w:val="center"/>
          </w:tcPr>
          <w:p w14:paraId="760CC6B3"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632FB5D7"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385FD9D7"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5034D3B0"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190" w:type="dxa"/>
            <w:tcBorders>
              <w:top w:val="nil"/>
              <w:bottom w:val="single" w:sz="16" w:space="0" w:color="000000"/>
              <w:right w:val="single" w:sz="16" w:space="0" w:color="000000"/>
            </w:tcBorders>
            <w:shd w:val="clear" w:color="auto" w:fill="FFFFFF"/>
            <w:vAlign w:val="center"/>
          </w:tcPr>
          <w:p w14:paraId="15A9E4D3"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r>
    </w:tbl>
    <w:p w14:paraId="15011244" w14:textId="361A01B3" w:rsidR="004B63F0" w:rsidRPr="005279AA" w:rsidRDefault="00B516F9" w:rsidP="00BF76D1">
      <w:pPr>
        <w:tabs>
          <w:tab w:val="left" w:pos="1701"/>
        </w:tabs>
        <w:spacing w:line="480" w:lineRule="auto"/>
        <w:ind w:left="1418"/>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6B9819D8" w14:textId="398D4340" w:rsidR="0032404B" w:rsidRPr="005279AA" w:rsidRDefault="0040635F"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Berdasarkan informasi tabel diatas dapat diketahui bahw</w:t>
      </w:r>
      <w:r w:rsidRPr="005279AA">
        <w:rPr>
          <w:rFonts w:asciiTheme="majorBidi" w:eastAsiaTheme="minorEastAsia" w:hAnsiTheme="majorBidi" w:cstheme="majorBidi"/>
          <w:iCs/>
          <w:sz w:val="24"/>
          <w:szCs w:val="24"/>
        </w:rPr>
        <w:t xml:space="preserve">a data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perusahaan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menunjukan nilai maksimum sebesar</w:t>
      </w:r>
      <w:r w:rsidR="0032404B" w:rsidRPr="005279AA">
        <w:rPr>
          <w:rFonts w:asciiTheme="majorBidi" w:eastAsiaTheme="minorEastAsia" w:hAnsiTheme="majorBidi" w:cstheme="majorBidi"/>
          <w:iCs/>
          <w:sz w:val="24"/>
          <w:szCs w:val="24"/>
        </w:rPr>
        <w:t xml:space="preserve"> 4,90 </w:t>
      </w:r>
      <w:r w:rsidRPr="005279AA">
        <w:rPr>
          <w:rFonts w:asciiTheme="majorBidi" w:eastAsiaTheme="minorEastAsia" w:hAnsiTheme="majorBidi" w:cstheme="majorBidi"/>
          <w:iCs/>
          <w:sz w:val="24"/>
          <w:szCs w:val="24"/>
        </w:rPr>
        <w:t>dan nilai minimumnya sebesar</w:t>
      </w:r>
      <w:r w:rsidR="0032404B" w:rsidRPr="005279AA">
        <w:rPr>
          <w:rFonts w:asciiTheme="majorBidi" w:eastAsiaTheme="minorEastAsia" w:hAnsiTheme="majorBidi" w:cstheme="majorBidi"/>
          <w:iCs/>
          <w:sz w:val="24"/>
          <w:szCs w:val="24"/>
        </w:rPr>
        <w:t xml:space="preserve"> 0,10 s</w:t>
      </w:r>
      <w:r w:rsidRPr="005279AA">
        <w:rPr>
          <w:rFonts w:asciiTheme="majorBidi" w:eastAsiaTheme="minorEastAsia" w:hAnsiTheme="majorBidi" w:cstheme="majorBidi"/>
          <w:iCs/>
          <w:sz w:val="24"/>
          <w:szCs w:val="24"/>
        </w:rPr>
        <w:t>edangkan nilai rata-rata dari variabel leverage sebesar</w:t>
      </w:r>
      <w:r w:rsidR="0032404B" w:rsidRPr="005279AA">
        <w:rPr>
          <w:rFonts w:asciiTheme="majorBidi" w:eastAsiaTheme="minorEastAsia" w:hAnsiTheme="majorBidi" w:cstheme="majorBidi"/>
          <w:iCs/>
          <w:sz w:val="24"/>
          <w:szCs w:val="24"/>
        </w:rPr>
        <w:t xml:space="preserve"> 1,</w:t>
      </w:r>
      <w:r w:rsidR="00577046" w:rsidRPr="005279AA">
        <w:rPr>
          <w:rFonts w:asciiTheme="majorBidi" w:eastAsiaTheme="minorEastAsia" w:hAnsiTheme="majorBidi" w:cstheme="majorBidi"/>
          <w:iCs/>
          <w:sz w:val="24"/>
          <w:szCs w:val="24"/>
        </w:rPr>
        <w:t>3</w:t>
      </w:r>
      <w:r w:rsidR="00533498" w:rsidRPr="005279AA">
        <w:rPr>
          <w:rFonts w:asciiTheme="majorBidi" w:eastAsiaTheme="minorEastAsia" w:hAnsiTheme="majorBidi" w:cstheme="majorBidi"/>
          <w:iCs/>
          <w:sz w:val="24"/>
          <w:szCs w:val="24"/>
        </w:rPr>
        <w:t xml:space="preserve">219 </w:t>
      </w:r>
      <w:r w:rsidRPr="005279AA">
        <w:rPr>
          <w:rFonts w:asciiTheme="majorBidi" w:eastAsiaTheme="minorEastAsia" w:hAnsiTheme="majorBidi" w:cstheme="majorBidi"/>
          <w:iCs/>
          <w:sz w:val="24"/>
          <w:szCs w:val="24"/>
        </w:rPr>
        <w:t>dengan standar deviasi sebesar</w:t>
      </w:r>
      <w:r w:rsidR="0032404B" w:rsidRPr="005279AA">
        <w:rPr>
          <w:rFonts w:asciiTheme="majorBidi" w:eastAsiaTheme="minorEastAsia" w:hAnsiTheme="majorBidi" w:cstheme="majorBidi"/>
          <w:iCs/>
          <w:sz w:val="24"/>
          <w:szCs w:val="24"/>
        </w:rPr>
        <w:t xml:space="preserve"> 1,1</w:t>
      </w:r>
      <w:r w:rsidR="00533498" w:rsidRPr="005279AA">
        <w:rPr>
          <w:rFonts w:asciiTheme="majorBidi" w:eastAsiaTheme="minorEastAsia" w:hAnsiTheme="majorBidi" w:cstheme="majorBidi"/>
          <w:iCs/>
          <w:sz w:val="24"/>
          <w:szCs w:val="24"/>
        </w:rPr>
        <w:t>9604.</w:t>
      </w:r>
    </w:p>
    <w:p w14:paraId="11EB5FD7" w14:textId="2F7E05A6" w:rsidR="004B63F0" w:rsidRPr="005279AA" w:rsidRDefault="004B63F0"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Deskripsi Free Cash Flow</w:t>
      </w:r>
    </w:p>
    <w:p w14:paraId="5CD9E0B7" w14:textId="4707F9DE"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16</w:t>
      </w:r>
    </w:p>
    <w:p w14:paraId="28A8EFBB" w14:textId="03646442" w:rsidR="003323EA" w:rsidRPr="003323EA" w:rsidRDefault="00CB3734"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rPr>
        <w:t xml:space="preserve">Statistik Deskrptif </w:t>
      </w:r>
      <w:r w:rsidR="004B63F0" w:rsidRPr="005279AA">
        <w:rPr>
          <w:rFonts w:asciiTheme="majorBidi" w:eastAsiaTheme="minorEastAsia" w:hAnsiTheme="majorBidi" w:cstheme="majorBidi"/>
          <w:b/>
          <w:bCs/>
          <w:iCs/>
          <w:sz w:val="24"/>
          <w:szCs w:val="24"/>
          <w:lang w:val="id-ID"/>
        </w:rPr>
        <w:t>Free Cash Flow</w:t>
      </w:r>
    </w:p>
    <w:tbl>
      <w:tblPr>
        <w:tblW w:w="6623"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9"/>
        <w:gridCol w:w="851"/>
        <w:gridCol w:w="992"/>
        <w:gridCol w:w="992"/>
        <w:gridCol w:w="992"/>
        <w:gridCol w:w="1190"/>
        <w:gridCol w:w="47"/>
      </w:tblGrid>
      <w:tr w:rsidR="00533498" w:rsidRPr="005279AA" w14:paraId="41E0848A" w14:textId="77777777" w:rsidTr="003323EA">
        <w:trPr>
          <w:cantSplit/>
        </w:trPr>
        <w:tc>
          <w:tcPr>
            <w:tcW w:w="6623" w:type="dxa"/>
            <w:gridSpan w:val="7"/>
            <w:tcBorders>
              <w:top w:val="nil"/>
              <w:left w:val="nil"/>
              <w:bottom w:val="nil"/>
              <w:right w:val="nil"/>
            </w:tcBorders>
            <w:shd w:val="clear" w:color="auto" w:fill="FFFFFF"/>
            <w:vAlign w:val="center"/>
          </w:tcPr>
          <w:p w14:paraId="50755F94"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533498" w:rsidRPr="005279AA" w14:paraId="068E19C5" w14:textId="77777777" w:rsidTr="003323EA">
        <w:trPr>
          <w:gridAfter w:val="1"/>
          <w:wAfter w:w="47" w:type="dxa"/>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496F75"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6545C6B9"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40E5A4A3"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44E9DD9A"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5AE7355C"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1190" w:type="dxa"/>
            <w:tcBorders>
              <w:top w:val="single" w:sz="16" w:space="0" w:color="000000"/>
              <w:bottom w:val="single" w:sz="16" w:space="0" w:color="000000"/>
              <w:right w:val="single" w:sz="16" w:space="0" w:color="000000"/>
            </w:tcBorders>
            <w:shd w:val="clear" w:color="auto" w:fill="FFFFFF"/>
            <w:vAlign w:val="bottom"/>
          </w:tcPr>
          <w:p w14:paraId="72F6F125"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533498" w:rsidRPr="005279AA" w14:paraId="5C14104C" w14:textId="77777777" w:rsidTr="003323EA">
        <w:trPr>
          <w:gridAfter w:val="1"/>
          <w:wAfter w:w="47" w:type="dxa"/>
          <w:cantSplit/>
        </w:trPr>
        <w:tc>
          <w:tcPr>
            <w:tcW w:w="1559" w:type="dxa"/>
            <w:tcBorders>
              <w:top w:val="single" w:sz="16" w:space="0" w:color="000000"/>
              <w:left w:val="single" w:sz="16" w:space="0" w:color="000000"/>
              <w:bottom w:val="nil"/>
              <w:right w:val="single" w:sz="16" w:space="0" w:color="000000"/>
            </w:tcBorders>
            <w:shd w:val="clear" w:color="auto" w:fill="FFFFFF"/>
          </w:tcPr>
          <w:p w14:paraId="147F61D4"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851" w:type="dxa"/>
            <w:tcBorders>
              <w:top w:val="single" w:sz="16" w:space="0" w:color="000000"/>
              <w:left w:val="single" w:sz="16" w:space="0" w:color="000000"/>
              <w:bottom w:val="nil"/>
            </w:tcBorders>
            <w:shd w:val="clear" w:color="auto" w:fill="FFFFFF"/>
            <w:vAlign w:val="center"/>
          </w:tcPr>
          <w:p w14:paraId="75D8AB86"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143925A6"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6F660F6B"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.72</w:t>
            </w:r>
          </w:p>
        </w:tc>
        <w:tc>
          <w:tcPr>
            <w:tcW w:w="992" w:type="dxa"/>
            <w:tcBorders>
              <w:top w:val="single" w:sz="16" w:space="0" w:color="000000"/>
              <w:bottom w:val="nil"/>
            </w:tcBorders>
            <w:shd w:val="clear" w:color="auto" w:fill="FFFFFF"/>
            <w:vAlign w:val="center"/>
          </w:tcPr>
          <w:p w14:paraId="396A6BF7"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-.1249</w:t>
            </w:r>
          </w:p>
        </w:tc>
        <w:tc>
          <w:tcPr>
            <w:tcW w:w="1190" w:type="dxa"/>
            <w:tcBorders>
              <w:top w:val="single" w:sz="16" w:space="0" w:color="000000"/>
              <w:bottom w:val="nil"/>
              <w:right w:val="single" w:sz="16" w:space="0" w:color="000000"/>
            </w:tcBorders>
            <w:shd w:val="clear" w:color="auto" w:fill="FFFFFF"/>
            <w:vAlign w:val="center"/>
          </w:tcPr>
          <w:p w14:paraId="42BCB26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.28461</w:t>
            </w:r>
          </w:p>
        </w:tc>
      </w:tr>
      <w:tr w:rsidR="00533498" w:rsidRPr="005279AA" w14:paraId="714077BD" w14:textId="77777777" w:rsidTr="003323EA">
        <w:trPr>
          <w:gridAfter w:val="1"/>
          <w:wAfter w:w="47" w:type="dxa"/>
          <w:cantSplit/>
        </w:trPr>
        <w:tc>
          <w:tcPr>
            <w:tcW w:w="1559" w:type="dxa"/>
            <w:tcBorders>
              <w:top w:val="nil"/>
              <w:left w:val="single" w:sz="16" w:space="0" w:color="000000"/>
              <w:bottom w:val="single" w:sz="16" w:space="0" w:color="000000"/>
              <w:right w:val="single" w:sz="16" w:space="0" w:color="000000"/>
            </w:tcBorders>
            <w:shd w:val="clear" w:color="auto" w:fill="FFFFFF"/>
          </w:tcPr>
          <w:p w14:paraId="08C22461"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51" w:type="dxa"/>
            <w:tcBorders>
              <w:top w:val="nil"/>
              <w:left w:val="single" w:sz="16" w:space="0" w:color="000000"/>
              <w:bottom w:val="single" w:sz="16" w:space="0" w:color="000000"/>
            </w:tcBorders>
            <w:shd w:val="clear" w:color="auto" w:fill="FFFFFF"/>
            <w:vAlign w:val="center"/>
          </w:tcPr>
          <w:p w14:paraId="1AFA5EE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121695B6"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077A34E6"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764BFD7F"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190" w:type="dxa"/>
            <w:tcBorders>
              <w:top w:val="nil"/>
              <w:bottom w:val="single" w:sz="16" w:space="0" w:color="000000"/>
              <w:right w:val="single" w:sz="16" w:space="0" w:color="000000"/>
            </w:tcBorders>
            <w:shd w:val="clear" w:color="auto" w:fill="FFFFFF"/>
            <w:vAlign w:val="center"/>
          </w:tcPr>
          <w:p w14:paraId="5C48D5D7"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r>
    </w:tbl>
    <w:p w14:paraId="055F258F" w14:textId="2D93B89D" w:rsidR="004B63F0" w:rsidRPr="005279AA" w:rsidRDefault="00B516F9" w:rsidP="00BF76D1">
      <w:pPr>
        <w:tabs>
          <w:tab w:val="left" w:pos="1701"/>
        </w:tabs>
        <w:spacing w:line="480" w:lineRule="auto"/>
        <w:ind w:left="1418"/>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7CE98CE6" w14:textId="3EEDA590" w:rsidR="00526FE3" w:rsidRPr="005279AA" w:rsidRDefault="0040635F"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Berdasarkan informasi tabel diatas dapat diketahui bahw</w:t>
      </w:r>
      <w:r w:rsidRPr="005279AA">
        <w:rPr>
          <w:rFonts w:asciiTheme="majorBidi" w:eastAsiaTheme="minorEastAsia" w:hAnsiTheme="majorBidi" w:cstheme="majorBidi"/>
          <w:iCs/>
          <w:sz w:val="24"/>
          <w:szCs w:val="24"/>
        </w:rPr>
        <w:t xml:space="preserve">a data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perusahaan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 xml:space="preserve">ahun 2019-2023 menunjukan nilai </w:t>
      </w:r>
      <w:r w:rsidRPr="005279AA">
        <w:rPr>
          <w:rFonts w:asciiTheme="majorBidi" w:eastAsiaTheme="minorEastAsia" w:hAnsiTheme="majorBidi" w:cstheme="majorBidi"/>
          <w:iCs/>
          <w:sz w:val="24"/>
          <w:szCs w:val="24"/>
        </w:rPr>
        <w:lastRenderedPageBreak/>
        <w:t>maksimum sebesar</w:t>
      </w:r>
      <w:r w:rsidR="0032404B" w:rsidRPr="005279AA">
        <w:rPr>
          <w:rFonts w:asciiTheme="majorBidi" w:eastAsiaTheme="minorEastAsia" w:hAnsiTheme="majorBidi" w:cstheme="majorBidi"/>
          <w:iCs/>
          <w:sz w:val="24"/>
          <w:szCs w:val="24"/>
        </w:rPr>
        <w:t xml:space="preserve"> 0,72 </w:t>
      </w:r>
      <w:r w:rsidRPr="005279AA">
        <w:rPr>
          <w:rFonts w:asciiTheme="majorBidi" w:eastAsiaTheme="minorEastAsia" w:hAnsiTheme="majorBidi" w:cstheme="majorBidi"/>
          <w:iCs/>
          <w:sz w:val="24"/>
          <w:szCs w:val="24"/>
        </w:rPr>
        <w:t>dan nilai minimumnya sebesar</w:t>
      </w:r>
      <w:r w:rsidR="0032404B" w:rsidRPr="005279AA">
        <w:rPr>
          <w:rFonts w:asciiTheme="majorBidi" w:eastAsiaTheme="minorEastAsia" w:hAnsiTheme="majorBidi" w:cstheme="majorBidi"/>
          <w:iCs/>
          <w:sz w:val="24"/>
          <w:szCs w:val="24"/>
        </w:rPr>
        <w:t xml:space="preserve"> -0,75 </w:t>
      </w:r>
      <w:r w:rsidRPr="005279AA">
        <w:rPr>
          <w:rFonts w:asciiTheme="majorBidi" w:eastAsiaTheme="minorEastAsia" w:hAnsiTheme="majorBidi" w:cstheme="majorBidi"/>
          <w:iCs/>
          <w:sz w:val="24"/>
          <w:szCs w:val="24"/>
        </w:rPr>
        <w:t xml:space="preserve">Sedangkan nilai rata-rata dari variabel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sebesar</w:t>
      </w:r>
      <w:r w:rsidR="0032404B" w:rsidRPr="005279AA">
        <w:rPr>
          <w:rFonts w:asciiTheme="majorBidi" w:eastAsiaTheme="minorEastAsia" w:hAnsiTheme="majorBidi" w:cstheme="majorBidi"/>
          <w:iCs/>
          <w:sz w:val="24"/>
          <w:szCs w:val="24"/>
        </w:rPr>
        <w:t xml:space="preserve"> </w:t>
      </w:r>
      <w:r w:rsidR="00533498" w:rsidRPr="005279AA">
        <w:rPr>
          <w:rFonts w:asciiTheme="majorBidi" w:eastAsiaTheme="minorEastAsia" w:hAnsiTheme="majorBidi" w:cstheme="majorBidi"/>
          <w:iCs/>
          <w:sz w:val="24"/>
          <w:szCs w:val="24"/>
        </w:rPr>
        <w:t xml:space="preserve">-0,1249 </w:t>
      </w:r>
      <w:r w:rsidRPr="005279AA">
        <w:rPr>
          <w:rFonts w:asciiTheme="majorBidi" w:eastAsiaTheme="minorEastAsia" w:hAnsiTheme="majorBidi" w:cstheme="majorBidi"/>
          <w:iCs/>
          <w:sz w:val="24"/>
          <w:szCs w:val="24"/>
        </w:rPr>
        <w:t>dengan standar deviasi sebesa</w:t>
      </w:r>
      <w:r w:rsidR="0032404B" w:rsidRPr="005279AA">
        <w:rPr>
          <w:rFonts w:asciiTheme="majorBidi" w:eastAsiaTheme="minorEastAsia" w:hAnsiTheme="majorBidi" w:cstheme="majorBidi"/>
          <w:iCs/>
          <w:sz w:val="24"/>
          <w:szCs w:val="24"/>
        </w:rPr>
        <w:t>r 0,2</w:t>
      </w:r>
      <w:r w:rsidR="00533498" w:rsidRPr="005279AA">
        <w:rPr>
          <w:rFonts w:asciiTheme="majorBidi" w:eastAsiaTheme="minorEastAsia" w:hAnsiTheme="majorBidi" w:cstheme="majorBidi"/>
          <w:iCs/>
          <w:sz w:val="24"/>
          <w:szCs w:val="24"/>
        </w:rPr>
        <w:t>8461</w:t>
      </w:r>
      <w:r w:rsidR="001F6675" w:rsidRPr="005279AA">
        <w:rPr>
          <w:rFonts w:asciiTheme="majorBidi" w:eastAsiaTheme="minorEastAsia" w:hAnsiTheme="majorBidi" w:cstheme="majorBidi"/>
          <w:iCs/>
          <w:sz w:val="24"/>
          <w:szCs w:val="24"/>
        </w:rPr>
        <w:t>.</w:t>
      </w:r>
    </w:p>
    <w:p w14:paraId="1EA8DEB8" w14:textId="4DD5DD98" w:rsidR="004B63F0" w:rsidRPr="005279AA" w:rsidRDefault="004B63F0"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Deskripsi Kepemilikan Institusional</w:t>
      </w:r>
    </w:p>
    <w:p w14:paraId="38525FE6" w14:textId="01CA6B34"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17</w:t>
      </w:r>
    </w:p>
    <w:p w14:paraId="25BD3BAE" w14:textId="325E2C0F" w:rsidR="00397895" w:rsidRPr="005279AA" w:rsidRDefault="00CB3734"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rPr>
        <w:t xml:space="preserve">Statistik Deskrptif </w:t>
      </w:r>
      <w:r w:rsidR="004B63F0" w:rsidRPr="005279AA">
        <w:rPr>
          <w:rFonts w:asciiTheme="majorBidi" w:eastAsiaTheme="minorEastAsia" w:hAnsiTheme="majorBidi" w:cstheme="majorBidi"/>
          <w:b/>
          <w:bCs/>
          <w:iCs/>
          <w:sz w:val="24"/>
          <w:szCs w:val="24"/>
          <w:lang w:val="id-ID"/>
        </w:rPr>
        <w:t>Kepemilikan Institusional</w:t>
      </w:r>
    </w:p>
    <w:tbl>
      <w:tblPr>
        <w:tblW w:w="6617"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9"/>
        <w:gridCol w:w="851"/>
        <w:gridCol w:w="992"/>
        <w:gridCol w:w="992"/>
        <w:gridCol w:w="992"/>
        <w:gridCol w:w="1190"/>
        <w:gridCol w:w="41"/>
      </w:tblGrid>
      <w:tr w:rsidR="00533498" w:rsidRPr="005279AA" w14:paraId="515E8D97" w14:textId="77777777" w:rsidTr="003323EA">
        <w:trPr>
          <w:cantSplit/>
        </w:trPr>
        <w:tc>
          <w:tcPr>
            <w:tcW w:w="6617" w:type="dxa"/>
            <w:gridSpan w:val="7"/>
            <w:tcBorders>
              <w:top w:val="nil"/>
              <w:left w:val="nil"/>
              <w:bottom w:val="nil"/>
              <w:right w:val="nil"/>
            </w:tcBorders>
            <w:shd w:val="clear" w:color="auto" w:fill="FFFFFF"/>
            <w:vAlign w:val="center"/>
          </w:tcPr>
          <w:p w14:paraId="1149A57E"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533498" w:rsidRPr="005279AA" w14:paraId="4E1F231F" w14:textId="77777777" w:rsidTr="003323EA">
        <w:trPr>
          <w:gridAfter w:val="1"/>
          <w:wAfter w:w="41" w:type="dxa"/>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36ACA40" w14:textId="77777777" w:rsidR="00533498" w:rsidRPr="005279AA" w:rsidRDefault="00533498" w:rsidP="00BF76D1">
            <w:pPr>
              <w:tabs>
                <w:tab w:val="left" w:pos="1701"/>
              </w:tabs>
              <w:autoSpaceDE w:val="0"/>
              <w:autoSpaceDN w:val="0"/>
              <w:adjustRightInd w:val="0"/>
              <w:spacing w:after="0" w:line="240" w:lineRule="auto"/>
              <w:ind w:left="60"/>
              <w:rPr>
                <w:rFonts w:asciiTheme="majorBidi" w:hAnsiTheme="majorBidi" w:cstheme="majorBidi"/>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22DDBE69"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2FDE8EB9"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08161B1D"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531ADB16"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14:paraId="4853B3A2"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533498" w:rsidRPr="005279AA" w14:paraId="201493B6" w14:textId="77777777" w:rsidTr="003323EA">
        <w:trPr>
          <w:gridAfter w:val="1"/>
          <w:wAfter w:w="41" w:type="dxa"/>
          <w:cantSplit/>
        </w:trPr>
        <w:tc>
          <w:tcPr>
            <w:tcW w:w="1559" w:type="dxa"/>
            <w:tcBorders>
              <w:top w:val="single" w:sz="16" w:space="0" w:color="000000"/>
              <w:left w:val="single" w:sz="16" w:space="0" w:color="000000"/>
              <w:bottom w:val="nil"/>
              <w:right w:val="single" w:sz="16" w:space="0" w:color="000000"/>
            </w:tcBorders>
            <w:shd w:val="clear" w:color="auto" w:fill="FFFFFF"/>
          </w:tcPr>
          <w:p w14:paraId="1B932ADD"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KI</w:t>
            </w:r>
          </w:p>
        </w:tc>
        <w:tc>
          <w:tcPr>
            <w:tcW w:w="851" w:type="dxa"/>
            <w:tcBorders>
              <w:top w:val="single" w:sz="16" w:space="0" w:color="000000"/>
              <w:left w:val="single" w:sz="16" w:space="0" w:color="000000"/>
              <w:bottom w:val="nil"/>
            </w:tcBorders>
            <w:shd w:val="clear" w:color="auto" w:fill="FFFFFF"/>
            <w:vAlign w:val="center"/>
          </w:tcPr>
          <w:p w14:paraId="77E02883"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6D7F2DB0"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.37</w:t>
            </w:r>
          </w:p>
        </w:tc>
        <w:tc>
          <w:tcPr>
            <w:tcW w:w="992" w:type="dxa"/>
            <w:tcBorders>
              <w:top w:val="single" w:sz="16" w:space="0" w:color="000000"/>
              <w:bottom w:val="nil"/>
            </w:tcBorders>
            <w:shd w:val="clear" w:color="auto" w:fill="FFFFFF"/>
            <w:vAlign w:val="center"/>
          </w:tcPr>
          <w:p w14:paraId="43089BC5"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.93</w:t>
            </w:r>
          </w:p>
        </w:tc>
        <w:tc>
          <w:tcPr>
            <w:tcW w:w="992" w:type="dxa"/>
            <w:tcBorders>
              <w:top w:val="single" w:sz="16" w:space="0" w:color="000000"/>
              <w:bottom w:val="nil"/>
            </w:tcBorders>
            <w:shd w:val="clear" w:color="auto" w:fill="FFFFFF"/>
            <w:vAlign w:val="center"/>
          </w:tcPr>
          <w:p w14:paraId="3C4C9E85"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.6561</w:t>
            </w:r>
          </w:p>
        </w:tc>
        <w:tc>
          <w:tcPr>
            <w:tcW w:w="0" w:type="auto"/>
            <w:tcBorders>
              <w:top w:val="single" w:sz="16" w:space="0" w:color="000000"/>
              <w:bottom w:val="nil"/>
              <w:right w:val="single" w:sz="16" w:space="0" w:color="000000"/>
            </w:tcBorders>
            <w:shd w:val="clear" w:color="auto" w:fill="FFFFFF"/>
            <w:vAlign w:val="center"/>
          </w:tcPr>
          <w:p w14:paraId="626A38DE"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.16655</w:t>
            </w:r>
          </w:p>
        </w:tc>
      </w:tr>
      <w:tr w:rsidR="00533498" w:rsidRPr="005279AA" w14:paraId="5E71D2D6" w14:textId="77777777" w:rsidTr="003323EA">
        <w:trPr>
          <w:gridAfter w:val="1"/>
          <w:wAfter w:w="41" w:type="dxa"/>
          <w:cantSplit/>
        </w:trPr>
        <w:tc>
          <w:tcPr>
            <w:tcW w:w="1559" w:type="dxa"/>
            <w:tcBorders>
              <w:top w:val="nil"/>
              <w:left w:val="single" w:sz="16" w:space="0" w:color="000000"/>
              <w:bottom w:val="single" w:sz="16" w:space="0" w:color="000000"/>
              <w:right w:val="single" w:sz="16" w:space="0" w:color="000000"/>
            </w:tcBorders>
            <w:shd w:val="clear" w:color="auto" w:fill="FFFFFF"/>
          </w:tcPr>
          <w:p w14:paraId="507378A5"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51" w:type="dxa"/>
            <w:tcBorders>
              <w:top w:val="nil"/>
              <w:left w:val="single" w:sz="16" w:space="0" w:color="000000"/>
              <w:bottom w:val="single" w:sz="16" w:space="0" w:color="000000"/>
            </w:tcBorders>
            <w:shd w:val="clear" w:color="auto" w:fill="FFFFFF"/>
            <w:vAlign w:val="center"/>
          </w:tcPr>
          <w:p w14:paraId="78E82F60"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7E6E631E" w14:textId="77777777" w:rsidR="00533498" w:rsidRPr="005279AA" w:rsidRDefault="00533498" w:rsidP="00BF76D1">
            <w:pPr>
              <w:tabs>
                <w:tab w:val="left" w:pos="1701"/>
              </w:tabs>
              <w:autoSpaceDE w:val="0"/>
              <w:autoSpaceDN w:val="0"/>
              <w:adjustRightInd w:val="0"/>
              <w:spacing w:after="0" w:line="240" w:lineRule="auto"/>
              <w:ind w:left="60"/>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6BDD6FCE" w14:textId="77777777" w:rsidR="00533498" w:rsidRPr="005279AA" w:rsidRDefault="00533498" w:rsidP="00BF76D1">
            <w:pPr>
              <w:tabs>
                <w:tab w:val="left" w:pos="1701"/>
              </w:tabs>
              <w:autoSpaceDE w:val="0"/>
              <w:autoSpaceDN w:val="0"/>
              <w:adjustRightInd w:val="0"/>
              <w:spacing w:after="0" w:line="240" w:lineRule="auto"/>
              <w:ind w:left="60"/>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2917200F" w14:textId="77777777" w:rsidR="00533498" w:rsidRPr="005279AA" w:rsidRDefault="00533498" w:rsidP="00BF76D1">
            <w:pPr>
              <w:tabs>
                <w:tab w:val="left" w:pos="1701"/>
              </w:tabs>
              <w:autoSpaceDE w:val="0"/>
              <w:autoSpaceDN w:val="0"/>
              <w:adjustRightInd w:val="0"/>
              <w:spacing w:after="0" w:line="240" w:lineRule="auto"/>
              <w:ind w:left="60"/>
              <w:rPr>
                <w:rFonts w:asciiTheme="majorBidi" w:hAnsiTheme="majorBidi" w:cstheme="majorBidi"/>
                <w:sz w:val="24"/>
                <w:szCs w:val="24"/>
              </w:rPr>
            </w:pPr>
          </w:p>
        </w:tc>
        <w:tc>
          <w:tcPr>
            <w:tcW w:w="0" w:type="auto"/>
            <w:tcBorders>
              <w:top w:val="nil"/>
              <w:bottom w:val="single" w:sz="16" w:space="0" w:color="000000"/>
              <w:right w:val="single" w:sz="16" w:space="0" w:color="000000"/>
            </w:tcBorders>
            <w:shd w:val="clear" w:color="auto" w:fill="FFFFFF"/>
            <w:vAlign w:val="center"/>
          </w:tcPr>
          <w:p w14:paraId="77359A6A" w14:textId="77777777" w:rsidR="00533498" w:rsidRPr="005279AA" w:rsidRDefault="00533498" w:rsidP="00BF76D1">
            <w:pPr>
              <w:tabs>
                <w:tab w:val="left" w:pos="1701"/>
              </w:tabs>
              <w:autoSpaceDE w:val="0"/>
              <w:autoSpaceDN w:val="0"/>
              <w:adjustRightInd w:val="0"/>
              <w:spacing w:after="0" w:line="240" w:lineRule="auto"/>
              <w:ind w:left="60"/>
              <w:rPr>
                <w:rFonts w:asciiTheme="majorBidi" w:hAnsiTheme="majorBidi" w:cstheme="majorBidi"/>
                <w:sz w:val="24"/>
                <w:szCs w:val="24"/>
              </w:rPr>
            </w:pPr>
          </w:p>
        </w:tc>
      </w:tr>
    </w:tbl>
    <w:p w14:paraId="61CD051A" w14:textId="77777777" w:rsidR="00533498" w:rsidRPr="005279AA" w:rsidRDefault="00533498"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p>
    <w:p w14:paraId="674157F3" w14:textId="3A93BBF8" w:rsidR="004B63F0" w:rsidRPr="005279AA" w:rsidRDefault="00B516F9" w:rsidP="00BF76D1">
      <w:pPr>
        <w:pStyle w:val="ListParagraph"/>
        <w:tabs>
          <w:tab w:val="left" w:pos="1701"/>
        </w:tabs>
        <w:spacing w:line="480" w:lineRule="auto"/>
        <w:ind w:left="1418"/>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43824A52" w14:textId="071CC631" w:rsidR="00AD4209" w:rsidRPr="005279AA" w:rsidRDefault="0040635F"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Berdasarkan informasi tabel diatas dapat diketahui bahw</w:t>
      </w:r>
      <w:r w:rsidRPr="005279AA">
        <w:rPr>
          <w:rFonts w:asciiTheme="majorBidi" w:eastAsiaTheme="minorEastAsia" w:hAnsiTheme="majorBidi" w:cstheme="majorBidi"/>
          <w:iCs/>
          <w:sz w:val="24"/>
          <w:szCs w:val="24"/>
        </w:rPr>
        <w:t xml:space="preserve">a data kepemilikan institusional perusahaan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menunjukan nilai maksimum sebesa</w:t>
      </w:r>
      <w:r w:rsidR="0032404B" w:rsidRPr="005279AA">
        <w:rPr>
          <w:rFonts w:asciiTheme="majorBidi" w:eastAsiaTheme="minorEastAsia" w:hAnsiTheme="majorBidi" w:cstheme="majorBidi"/>
          <w:iCs/>
          <w:sz w:val="24"/>
          <w:szCs w:val="24"/>
        </w:rPr>
        <w:t xml:space="preserve">r 0,93 </w:t>
      </w:r>
      <w:r w:rsidRPr="005279AA">
        <w:rPr>
          <w:rFonts w:asciiTheme="majorBidi" w:eastAsiaTheme="minorEastAsia" w:hAnsiTheme="majorBidi" w:cstheme="majorBidi"/>
          <w:iCs/>
          <w:sz w:val="24"/>
          <w:szCs w:val="24"/>
        </w:rPr>
        <w:t>dan nilai minimumnya sebesar</w:t>
      </w:r>
      <w:r w:rsidR="0032404B" w:rsidRPr="005279AA">
        <w:rPr>
          <w:rFonts w:asciiTheme="majorBidi" w:eastAsiaTheme="minorEastAsia" w:hAnsiTheme="majorBidi" w:cstheme="majorBidi"/>
          <w:iCs/>
          <w:sz w:val="24"/>
          <w:szCs w:val="24"/>
        </w:rPr>
        <w:t xml:space="preserve"> 0,37 s</w:t>
      </w:r>
      <w:r w:rsidRPr="005279AA">
        <w:rPr>
          <w:rFonts w:asciiTheme="majorBidi" w:eastAsiaTheme="minorEastAsia" w:hAnsiTheme="majorBidi" w:cstheme="majorBidi"/>
          <w:iCs/>
          <w:sz w:val="24"/>
          <w:szCs w:val="24"/>
        </w:rPr>
        <w:t>edangkan nilai rata-rata dari variabel kepemilikan institusional sebesar</w:t>
      </w:r>
      <w:r w:rsidR="0032404B" w:rsidRPr="005279AA">
        <w:rPr>
          <w:rFonts w:asciiTheme="majorBidi" w:eastAsiaTheme="minorEastAsia" w:hAnsiTheme="majorBidi" w:cstheme="majorBidi"/>
          <w:iCs/>
          <w:sz w:val="24"/>
          <w:szCs w:val="24"/>
        </w:rPr>
        <w:t xml:space="preserve"> 0,65</w:t>
      </w:r>
      <w:r w:rsidR="00533498" w:rsidRPr="005279AA">
        <w:rPr>
          <w:rFonts w:asciiTheme="majorBidi" w:eastAsiaTheme="minorEastAsia" w:hAnsiTheme="majorBidi" w:cstheme="majorBidi"/>
          <w:iCs/>
          <w:sz w:val="24"/>
          <w:szCs w:val="24"/>
        </w:rPr>
        <w:t>6</w:t>
      </w:r>
      <w:r w:rsidR="001F6675" w:rsidRPr="005279AA">
        <w:rPr>
          <w:rFonts w:asciiTheme="majorBidi" w:eastAsiaTheme="minorEastAsia" w:hAnsiTheme="majorBidi" w:cstheme="majorBidi"/>
          <w:iCs/>
          <w:sz w:val="24"/>
          <w:szCs w:val="24"/>
        </w:rPr>
        <w:t>1</w:t>
      </w:r>
      <w:r w:rsidR="0032404B"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dengan standar deviasi sebesa</w:t>
      </w:r>
      <w:r w:rsidR="0032404B" w:rsidRPr="005279AA">
        <w:rPr>
          <w:rFonts w:asciiTheme="majorBidi" w:eastAsiaTheme="minorEastAsia" w:hAnsiTheme="majorBidi" w:cstheme="majorBidi"/>
          <w:iCs/>
          <w:sz w:val="24"/>
          <w:szCs w:val="24"/>
        </w:rPr>
        <w:t>r 0,16</w:t>
      </w:r>
      <w:r w:rsidR="00533498" w:rsidRPr="005279AA">
        <w:rPr>
          <w:rFonts w:asciiTheme="majorBidi" w:eastAsiaTheme="minorEastAsia" w:hAnsiTheme="majorBidi" w:cstheme="majorBidi"/>
          <w:iCs/>
          <w:sz w:val="24"/>
          <w:szCs w:val="24"/>
        </w:rPr>
        <w:t>655</w:t>
      </w:r>
      <w:r w:rsidR="001F6675" w:rsidRPr="005279AA">
        <w:rPr>
          <w:rFonts w:asciiTheme="majorBidi" w:eastAsiaTheme="minorEastAsia" w:hAnsiTheme="majorBidi" w:cstheme="majorBidi"/>
          <w:iCs/>
          <w:sz w:val="24"/>
          <w:szCs w:val="24"/>
        </w:rPr>
        <w:t>.</w:t>
      </w:r>
    </w:p>
    <w:p w14:paraId="3021619C" w14:textId="7E1D8876" w:rsidR="004B63F0" w:rsidRPr="005279AA" w:rsidRDefault="00CB3734" w:rsidP="00BF76D1">
      <w:pPr>
        <w:pStyle w:val="ListParagraph"/>
        <w:numPr>
          <w:ilvl w:val="0"/>
          <w:numId w:val="49"/>
        </w:numPr>
        <w:tabs>
          <w:tab w:val="left" w:pos="1701"/>
        </w:tabs>
        <w:spacing w:line="480" w:lineRule="auto"/>
        <w:jc w:val="both"/>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rPr>
        <w:t xml:space="preserve">Statistik Deskrptif </w:t>
      </w:r>
      <w:r w:rsidR="004B63F0" w:rsidRPr="005279AA">
        <w:rPr>
          <w:rFonts w:asciiTheme="majorBidi" w:eastAsiaTheme="minorEastAsia" w:hAnsiTheme="majorBidi" w:cstheme="majorBidi"/>
          <w:b/>
          <w:bCs/>
          <w:iCs/>
          <w:sz w:val="24"/>
          <w:szCs w:val="24"/>
          <w:lang w:val="id-ID"/>
        </w:rPr>
        <w:t>Kebijakan Dividen</w:t>
      </w:r>
    </w:p>
    <w:p w14:paraId="238CE739" w14:textId="4760B494" w:rsidR="004B63F0"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Tabel</w:t>
      </w:r>
      <w:r w:rsidR="00FC594C" w:rsidRPr="005279AA">
        <w:rPr>
          <w:rFonts w:asciiTheme="majorBidi" w:eastAsiaTheme="minorEastAsia" w:hAnsiTheme="majorBidi" w:cstheme="majorBidi"/>
          <w:b/>
          <w:bCs/>
          <w:iCs/>
          <w:sz w:val="24"/>
          <w:szCs w:val="24"/>
        </w:rPr>
        <w:t xml:space="preserve"> 18</w:t>
      </w:r>
    </w:p>
    <w:p w14:paraId="44E4E7C7" w14:textId="6C9211B6" w:rsidR="00397895" w:rsidRPr="005279AA" w:rsidRDefault="004B63F0" w:rsidP="00BF76D1">
      <w:pPr>
        <w:pStyle w:val="ListParagraph"/>
        <w:tabs>
          <w:tab w:val="left" w:pos="1701"/>
        </w:tabs>
        <w:spacing w:line="240" w:lineRule="auto"/>
        <w:ind w:left="1440"/>
        <w:jc w:val="center"/>
        <w:rPr>
          <w:rFonts w:asciiTheme="majorBidi" w:eastAsiaTheme="minorEastAsia" w:hAnsiTheme="majorBidi" w:cstheme="majorBidi"/>
          <w:b/>
          <w:bCs/>
          <w:iCs/>
          <w:sz w:val="24"/>
          <w:szCs w:val="24"/>
          <w:lang w:val="id-ID"/>
        </w:rPr>
      </w:pPr>
      <w:r w:rsidRPr="005279AA">
        <w:rPr>
          <w:rFonts w:asciiTheme="majorBidi" w:eastAsiaTheme="minorEastAsia" w:hAnsiTheme="majorBidi" w:cstheme="majorBidi"/>
          <w:b/>
          <w:bCs/>
          <w:iCs/>
          <w:sz w:val="24"/>
          <w:szCs w:val="24"/>
          <w:lang w:val="id-ID"/>
        </w:rPr>
        <w:t>Deskripsi Kebijakan Dividen</w:t>
      </w:r>
    </w:p>
    <w:tbl>
      <w:tblPr>
        <w:tblW w:w="6471"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17"/>
        <w:gridCol w:w="851"/>
        <w:gridCol w:w="992"/>
        <w:gridCol w:w="992"/>
        <w:gridCol w:w="992"/>
        <w:gridCol w:w="1190"/>
        <w:gridCol w:w="37"/>
      </w:tblGrid>
      <w:tr w:rsidR="00533498" w:rsidRPr="005279AA" w14:paraId="5AA44413" w14:textId="77777777" w:rsidTr="003323EA">
        <w:trPr>
          <w:cantSplit/>
        </w:trPr>
        <w:tc>
          <w:tcPr>
            <w:tcW w:w="6471" w:type="dxa"/>
            <w:gridSpan w:val="7"/>
            <w:tcBorders>
              <w:top w:val="nil"/>
              <w:left w:val="nil"/>
              <w:bottom w:val="nil"/>
              <w:right w:val="nil"/>
            </w:tcBorders>
            <w:shd w:val="clear" w:color="auto" w:fill="FFFFFF"/>
            <w:vAlign w:val="center"/>
          </w:tcPr>
          <w:p w14:paraId="34166819"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Descriptive Statistics</w:t>
            </w:r>
          </w:p>
        </w:tc>
      </w:tr>
      <w:tr w:rsidR="00533498" w:rsidRPr="005279AA" w14:paraId="6613F550" w14:textId="77777777" w:rsidTr="003323EA">
        <w:trPr>
          <w:gridAfter w:val="1"/>
          <w:wAfter w:w="37" w:type="dxa"/>
          <w:cantSplit/>
        </w:trPr>
        <w:tc>
          <w:tcPr>
            <w:tcW w:w="141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D46132"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70A1A243"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03DAE226"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7F227E61"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Maximum</w:t>
            </w:r>
          </w:p>
        </w:tc>
        <w:tc>
          <w:tcPr>
            <w:tcW w:w="992" w:type="dxa"/>
            <w:tcBorders>
              <w:top w:val="single" w:sz="16" w:space="0" w:color="000000"/>
              <w:bottom w:val="single" w:sz="16" w:space="0" w:color="000000"/>
            </w:tcBorders>
            <w:shd w:val="clear" w:color="auto" w:fill="FFFFFF"/>
            <w:vAlign w:val="bottom"/>
          </w:tcPr>
          <w:p w14:paraId="69574061"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14:paraId="534DADDE"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r>
      <w:tr w:rsidR="00533498" w:rsidRPr="005279AA" w14:paraId="25AC76E4" w14:textId="77777777" w:rsidTr="003323EA">
        <w:trPr>
          <w:gridAfter w:val="1"/>
          <w:wAfter w:w="37" w:type="dxa"/>
          <w:cantSplit/>
        </w:trPr>
        <w:tc>
          <w:tcPr>
            <w:tcW w:w="1417" w:type="dxa"/>
            <w:tcBorders>
              <w:top w:val="single" w:sz="16" w:space="0" w:color="000000"/>
              <w:left w:val="single" w:sz="16" w:space="0" w:color="000000"/>
              <w:bottom w:val="nil"/>
              <w:right w:val="single" w:sz="16" w:space="0" w:color="000000"/>
            </w:tcBorders>
            <w:shd w:val="clear" w:color="auto" w:fill="FFFFFF"/>
          </w:tcPr>
          <w:p w14:paraId="26B6EBD6"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DPR</w:t>
            </w:r>
          </w:p>
        </w:tc>
        <w:tc>
          <w:tcPr>
            <w:tcW w:w="851" w:type="dxa"/>
            <w:tcBorders>
              <w:top w:val="single" w:sz="16" w:space="0" w:color="000000"/>
              <w:left w:val="single" w:sz="16" w:space="0" w:color="000000"/>
              <w:bottom w:val="nil"/>
            </w:tcBorders>
            <w:shd w:val="clear" w:color="auto" w:fill="FFFFFF"/>
            <w:vAlign w:val="center"/>
          </w:tcPr>
          <w:p w14:paraId="52822830"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single" w:sz="16" w:space="0" w:color="000000"/>
              <w:bottom w:val="nil"/>
            </w:tcBorders>
            <w:shd w:val="clear" w:color="auto" w:fill="FFFFFF"/>
            <w:vAlign w:val="center"/>
          </w:tcPr>
          <w:p w14:paraId="664CA329"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.23</w:t>
            </w:r>
          </w:p>
        </w:tc>
        <w:tc>
          <w:tcPr>
            <w:tcW w:w="992" w:type="dxa"/>
            <w:tcBorders>
              <w:top w:val="single" w:sz="16" w:space="0" w:color="000000"/>
              <w:bottom w:val="nil"/>
            </w:tcBorders>
            <w:shd w:val="clear" w:color="auto" w:fill="FFFFFF"/>
            <w:vAlign w:val="center"/>
          </w:tcPr>
          <w:p w14:paraId="251C410D"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1.27</w:t>
            </w:r>
          </w:p>
        </w:tc>
        <w:tc>
          <w:tcPr>
            <w:tcW w:w="992" w:type="dxa"/>
            <w:tcBorders>
              <w:top w:val="single" w:sz="16" w:space="0" w:color="000000"/>
              <w:bottom w:val="nil"/>
            </w:tcBorders>
            <w:shd w:val="clear" w:color="auto" w:fill="FFFFFF"/>
            <w:vAlign w:val="center"/>
          </w:tcPr>
          <w:p w14:paraId="47F84B71"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.6564</w:t>
            </w:r>
          </w:p>
        </w:tc>
        <w:tc>
          <w:tcPr>
            <w:tcW w:w="0" w:type="auto"/>
            <w:tcBorders>
              <w:top w:val="single" w:sz="16" w:space="0" w:color="000000"/>
              <w:bottom w:val="nil"/>
              <w:right w:val="single" w:sz="16" w:space="0" w:color="000000"/>
            </w:tcBorders>
            <w:shd w:val="clear" w:color="auto" w:fill="FFFFFF"/>
            <w:vAlign w:val="center"/>
          </w:tcPr>
          <w:p w14:paraId="1B72FEFA"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.21054</w:t>
            </w:r>
          </w:p>
        </w:tc>
      </w:tr>
      <w:tr w:rsidR="00533498" w:rsidRPr="005279AA" w14:paraId="472048E0" w14:textId="77777777" w:rsidTr="003323EA">
        <w:trPr>
          <w:gridAfter w:val="1"/>
          <w:wAfter w:w="37" w:type="dxa"/>
          <w:cantSplit/>
        </w:trPr>
        <w:tc>
          <w:tcPr>
            <w:tcW w:w="1417" w:type="dxa"/>
            <w:tcBorders>
              <w:top w:val="nil"/>
              <w:left w:val="single" w:sz="16" w:space="0" w:color="000000"/>
              <w:bottom w:val="single" w:sz="16" w:space="0" w:color="000000"/>
              <w:right w:val="single" w:sz="16" w:space="0" w:color="000000"/>
            </w:tcBorders>
            <w:shd w:val="clear" w:color="auto" w:fill="FFFFFF"/>
          </w:tcPr>
          <w:p w14:paraId="6459D9E6"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Valid N (listwise)</w:t>
            </w:r>
          </w:p>
        </w:tc>
        <w:tc>
          <w:tcPr>
            <w:tcW w:w="851" w:type="dxa"/>
            <w:tcBorders>
              <w:top w:val="nil"/>
              <w:left w:val="single" w:sz="16" w:space="0" w:color="000000"/>
              <w:bottom w:val="single" w:sz="16" w:space="0" w:color="000000"/>
            </w:tcBorders>
            <w:shd w:val="clear" w:color="auto" w:fill="FFFFFF"/>
            <w:vAlign w:val="center"/>
          </w:tcPr>
          <w:p w14:paraId="66093AEC"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c>
          <w:tcPr>
            <w:tcW w:w="992" w:type="dxa"/>
            <w:tcBorders>
              <w:top w:val="nil"/>
              <w:bottom w:val="single" w:sz="16" w:space="0" w:color="000000"/>
            </w:tcBorders>
            <w:shd w:val="clear" w:color="auto" w:fill="FFFFFF"/>
            <w:vAlign w:val="center"/>
          </w:tcPr>
          <w:p w14:paraId="0B265EEE"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5A149937"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92" w:type="dxa"/>
            <w:tcBorders>
              <w:top w:val="nil"/>
              <w:bottom w:val="single" w:sz="16" w:space="0" w:color="000000"/>
            </w:tcBorders>
            <w:shd w:val="clear" w:color="auto" w:fill="FFFFFF"/>
            <w:vAlign w:val="center"/>
          </w:tcPr>
          <w:p w14:paraId="6346BB21"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0" w:type="auto"/>
            <w:tcBorders>
              <w:top w:val="nil"/>
              <w:bottom w:val="single" w:sz="16" w:space="0" w:color="000000"/>
              <w:right w:val="single" w:sz="16" w:space="0" w:color="000000"/>
            </w:tcBorders>
            <w:shd w:val="clear" w:color="auto" w:fill="FFFFFF"/>
            <w:vAlign w:val="center"/>
          </w:tcPr>
          <w:p w14:paraId="2B85CD43"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r>
    </w:tbl>
    <w:p w14:paraId="5CE4E130" w14:textId="3BB436E1" w:rsidR="0040635F" w:rsidRPr="005279AA" w:rsidRDefault="00B516F9" w:rsidP="00BF76D1">
      <w:pPr>
        <w:tabs>
          <w:tab w:val="left" w:pos="1701"/>
        </w:tabs>
        <w:spacing w:line="480" w:lineRule="auto"/>
        <w:ind w:left="1560"/>
        <w:jc w:val="both"/>
        <w:rPr>
          <w:rFonts w:asciiTheme="majorBidi" w:eastAsiaTheme="minorEastAsia" w:hAnsiTheme="majorBidi" w:cstheme="majorBidi"/>
          <w:iCs/>
        </w:rPr>
      </w:pPr>
      <w:r w:rsidRPr="005279AA">
        <w:rPr>
          <w:rFonts w:asciiTheme="majorBidi" w:eastAsiaTheme="minorEastAsia" w:hAnsiTheme="majorBidi" w:cstheme="majorBidi"/>
          <w:iCs/>
        </w:rPr>
        <w:t>Sumber: Data yang diolah SPSS 22, 2024</w:t>
      </w:r>
    </w:p>
    <w:p w14:paraId="5B85E109" w14:textId="7906279E" w:rsidR="004F0701" w:rsidRPr="005279AA" w:rsidRDefault="0040635F" w:rsidP="00BF76D1">
      <w:pPr>
        <w:pStyle w:val="ListParagraph"/>
        <w:tabs>
          <w:tab w:val="left" w:pos="1701"/>
        </w:tabs>
        <w:spacing w:line="480" w:lineRule="auto"/>
        <w:ind w:left="1440" w:firstLine="403"/>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lastRenderedPageBreak/>
        <w:t>Berdasarkan informasi tabel diatas dapat diketahui bahw</w:t>
      </w:r>
      <w:r w:rsidRPr="005279AA">
        <w:rPr>
          <w:rFonts w:asciiTheme="majorBidi" w:eastAsiaTheme="minorEastAsia" w:hAnsiTheme="majorBidi" w:cstheme="majorBidi"/>
          <w:iCs/>
          <w:sz w:val="24"/>
          <w:szCs w:val="24"/>
        </w:rPr>
        <w:t xml:space="preserve">a data kebijakan dividen perusahaan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di 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menunjukan nilai maksimum sebesar</w:t>
      </w:r>
      <w:r w:rsidR="0032404B" w:rsidRPr="005279AA">
        <w:rPr>
          <w:rFonts w:asciiTheme="majorBidi" w:eastAsiaTheme="minorEastAsia" w:hAnsiTheme="majorBidi" w:cstheme="majorBidi"/>
          <w:iCs/>
          <w:sz w:val="24"/>
          <w:szCs w:val="24"/>
        </w:rPr>
        <w:t xml:space="preserve"> 1,</w:t>
      </w:r>
      <w:r w:rsidR="001F6675" w:rsidRPr="005279AA">
        <w:rPr>
          <w:rFonts w:asciiTheme="majorBidi" w:eastAsiaTheme="minorEastAsia" w:hAnsiTheme="majorBidi" w:cstheme="majorBidi"/>
          <w:iCs/>
          <w:sz w:val="24"/>
          <w:szCs w:val="24"/>
        </w:rPr>
        <w:t>27</w:t>
      </w:r>
      <w:r w:rsidRPr="005279AA">
        <w:rPr>
          <w:rFonts w:asciiTheme="majorBidi" w:eastAsiaTheme="minorEastAsia" w:hAnsiTheme="majorBidi" w:cstheme="majorBidi"/>
          <w:iCs/>
          <w:sz w:val="24"/>
          <w:szCs w:val="24"/>
        </w:rPr>
        <w:t xml:space="preserve"> dan nilai minimumnya sebesar</w:t>
      </w:r>
      <w:r w:rsidR="0032404B" w:rsidRPr="005279AA">
        <w:rPr>
          <w:rFonts w:asciiTheme="majorBidi" w:eastAsiaTheme="minorEastAsia" w:hAnsiTheme="majorBidi" w:cstheme="majorBidi"/>
          <w:iCs/>
          <w:sz w:val="24"/>
          <w:szCs w:val="24"/>
        </w:rPr>
        <w:t xml:space="preserve"> 0,23 </w:t>
      </w:r>
      <w:r w:rsidR="00BE49DD" w:rsidRPr="005279AA">
        <w:rPr>
          <w:rFonts w:asciiTheme="majorBidi" w:eastAsiaTheme="minorEastAsia" w:hAnsiTheme="majorBidi" w:cstheme="majorBidi"/>
          <w:iCs/>
          <w:sz w:val="24"/>
          <w:szCs w:val="24"/>
        </w:rPr>
        <w:t>s</w:t>
      </w:r>
      <w:r w:rsidRPr="005279AA">
        <w:rPr>
          <w:rFonts w:asciiTheme="majorBidi" w:eastAsiaTheme="minorEastAsia" w:hAnsiTheme="majorBidi" w:cstheme="majorBidi"/>
          <w:iCs/>
          <w:sz w:val="24"/>
          <w:szCs w:val="24"/>
        </w:rPr>
        <w:t>edangkan nilai rata-rata dari variabel kebijakan dividen sebesar</w:t>
      </w:r>
      <w:r w:rsidR="00BE49DD" w:rsidRPr="005279AA">
        <w:rPr>
          <w:rFonts w:asciiTheme="majorBidi" w:eastAsiaTheme="minorEastAsia" w:hAnsiTheme="majorBidi" w:cstheme="majorBidi"/>
          <w:iCs/>
          <w:sz w:val="24"/>
          <w:szCs w:val="24"/>
        </w:rPr>
        <w:t xml:space="preserve"> 0,6</w:t>
      </w:r>
      <w:r w:rsidR="00533498" w:rsidRPr="005279AA">
        <w:rPr>
          <w:rFonts w:asciiTheme="majorBidi" w:eastAsiaTheme="minorEastAsia" w:hAnsiTheme="majorBidi" w:cstheme="majorBidi"/>
          <w:iCs/>
          <w:sz w:val="24"/>
          <w:szCs w:val="24"/>
        </w:rPr>
        <w:t>5</w:t>
      </w:r>
      <w:r w:rsidR="001F6675" w:rsidRPr="005279AA">
        <w:rPr>
          <w:rFonts w:asciiTheme="majorBidi" w:eastAsiaTheme="minorEastAsia" w:hAnsiTheme="majorBidi" w:cstheme="majorBidi"/>
          <w:iCs/>
          <w:sz w:val="24"/>
          <w:szCs w:val="24"/>
        </w:rPr>
        <w:t xml:space="preserve">64 </w:t>
      </w:r>
      <w:r w:rsidR="00BE49DD"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dengan standar deviasi sebesar</w:t>
      </w:r>
      <w:r w:rsidR="00BE49DD" w:rsidRPr="005279AA">
        <w:rPr>
          <w:rFonts w:asciiTheme="majorBidi" w:eastAsiaTheme="minorEastAsia" w:hAnsiTheme="majorBidi" w:cstheme="majorBidi"/>
          <w:iCs/>
          <w:sz w:val="24"/>
          <w:szCs w:val="24"/>
        </w:rPr>
        <w:t xml:space="preserve"> 0,2</w:t>
      </w:r>
      <w:r w:rsidR="001F6675" w:rsidRPr="005279AA">
        <w:rPr>
          <w:rFonts w:asciiTheme="majorBidi" w:eastAsiaTheme="minorEastAsia" w:hAnsiTheme="majorBidi" w:cstheme="majorBidi"/>
          <w:iCs/>
          <w:sz w:val="24"/>
          <w:szCs w:val="24"/>
        </w:rPr>
        <w:t>1</w:t>
      </w:r>
      <w:r w:rsidR="00533498" w:rsidRPr="005279AA">
        <w:rPr>
          <w:rFonts w:asciiTheme="majorBidi" w:eastAsiaTheme="minorEastAsia" w:hAnsiTheme="majorBidi" w:cstheme="majorBidi"/>
          <w:iCs/>
          <w:sz w:val="24"/>
          <w:szCs w:val="24"/>
        </w:rPr>
        <w:t>054</w:t>
      </w:r>
      <w:r w:rsidR="001F6675" w:rsidRPr="005279AA">
        <w:rPr>
          <w:rFonts w:asciiTheme="majorBidi" w:eastAsiaTheme="minorEastAsia" w:hAnsiTheme="majorBidi" w:cstheme="majorBidi"/>
          <w:iCs/>
          <w:sz w:val="24"/>
          <w:szCs w:val="24"/>
        </w:rPr>
        <w:t>.</w:t>
      </w:r>
    </w:p>
    <w:p w14:paraId="7A4525BF" w14:textId="77777777" w:rsidR="004F0701" w:rsidRPr="005279AA" w:rsidRDefault="004F0701" w:rsidP="00BF76D1">
      <w:pPr>
        <w:pStyle w:val="ListParagraph"/>
        <w:tabs>
          <w:tab w:val="left" w:pos="1701"/>
        </w:tabs>
        <w:spacing w:line="240" w:lineRule="auto"/>
        <w:ind w:left="1440" w:firstLine="403"/>
        <w:jc w:val="both"/>
        <w:rPr>
          <w:rFonts w:asciiTheme="majorBidi" w:eastAsiaTheme="minorEastAsia" w:hAnsiTheme="majorBidi" w:cstheme="majorBidi"/>
          <w:iCs/>
          <w:sz w:val="24"/>
          <w:szCs w:val="24"/>
        </w:rPr>
      </w:pPr>
    </w:p>
    <w:p w14:paraId="30559DD3" w14:textId="77777777" w:rsidR="0040635F" w:rsidRPr="005279AA" w:rsidRDefault="00503238" w:rsidP="00BF76D1">
      <w:pPr>
        <w:pStyle w:val="ListParagraph"/>
        <w:numPr>
          <w:ilvl w:val="0"/>
          <w:numId w:val="45"/>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Uji Asumsi Klasik</w:t>
      </w:r>
    </w:p>
    <w:p w14:paraId="2D090219" w14:textId="77777777" w:rsidR="00213366" w:rsidRPr="005279AA" w:rsidRDefault="00503238" w:rsidP="00BF76D1">
      <w:pPr>
        <w:pStyle w:val="ListParagraph"/>
        <w:numPr>
          <w:ilvl w:val="0"/>
          <w:numId w:val="46"/>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Uji Normalitas</w:t>
      </w:r>
    </w:p>
    <w:p w14:paraId="28112B7B" w14:textId="17A485A2" w:rsidR="00010E28" w:rsidRPr="005279AA" w:rsidRDefault="00213366"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t>Uji normalitas bertujuan untuk mengevaluasi model regresi yang memiliki variabel perancu atau residual berdistribusi normal. Nilai residu mengikuti ditribusi normal sebagaimana disimpulkan dari asumsi uji t dan uji F. Menganalisis uji normalitas dengan uji statistik merupakan salah satu pendekatan untuk mengetahui apakah residu berdistribusi normal atau sebaliknya (Ghozali, 2018:161).</w:t>
      </w:r>
      <w:r w:rsidRPr="005279AA">
        <w:rPr>
          <w:rFonts w:asciiTheme="majorBidi" w:hAnsiTheme="majorBidi" w:cstheme="majorBidi"/>
          <w:sz w:val="24"/>
          <w:szCs w:val="24"/>
          <w:lang w:val="id-ID"/>
        </w:rPr>
        <w:t xml:space="preserve"> </w:t>
      </w:r>
      <w:r w:rsidR="00FA2A52" w:rsidRPr="005279AA">
        <w:rPr>
          <w:rFonts w:asciiTheme="majorBidi" w:hAnsiTheme="majorBidi" w:cstheme="majorBidi"/>
          <w:sz w:val="24"/>
          <w:szCs w:val="24"/>
        </w:rPr>
        <w:t xml:space="preserve">Dalam penelitian ini uji normalitas dilakukan dengan uji statistik </w:t>
      </w:r>
      <w:r w:rsidR="00FA2A52" w:rsidRPr="005279AA">
        <w:rPr>
          <w:rFonts w:asciiTheme="majorBidi" w:hAnsiTheme="majorBidi" w:cstheme="majorBidi"/>
          <w:i/>
          <w:iCs/>
          <w:sz w:val="24"/>
          <w:szCs w:val="24"/>
        </w:rPr>
        <w:t>non parametric one sampel kolmogrof smirnov</w:t>
      </w:r>
      <w:r w:rsidR="00FA2A52" w:rsidRPr="005279AA">
        <w:rPr>
          <w:rFonts w:asciiTheme="majorBidi" w:hAnsiTheme="majorBidi" w:cstheme="majorBidi"/>
          <w:sz w:val="24"/>
          <w:szCs w:val="24"/>
        </w:rPr>
        <w:t xml:space="preserve">. Ketentuan pengambilan keputusan uji statistik </w:t>
      </w:r>
      <w:r w:rsidR="00FA2A52" w:rsidRPr="005279AA">
        <w:rPr>
          <w:rFonts w:asciiTheme="majorBidi" w:hAnsiTheme="majorBidi" w:cstheme="majorBidi"/>
          <w:i/>
          <w:iCs/>
          <w:sz w:val="24"/>
          <w:szCs w:val="24"/>
        </w:rPr>
        <w:t>non parametric one sampel kolmogrof smirnov</w:t>
      </w:r>
      <w:r w:rsidR="00FA2A52" w:rsidRPr="005279AA">
        <w:rPr>
          <w:rFonts w:asciiTheme="majorBidi" w:hAnsiTheme="majorBidi" w:cstheme="majorBidi"/>
          <w:sz w:val="24"/>
          <w:szCs w:val="24"/>
        </w:rPr>
        <w:t xml:space="preserve"> adalah jika probabilitas signifikan dibawah 0,05 artinya data yang akan diuji mempunyai perbedaan yang signifikan dengan data normal baku, artinya data tersebut tidak normal. Sebaliknya apabila nilai signifikan diatas 0,05 artinya data </w:t>
      </w:r>
      <w:r w:rsidR="00C96641" w:rsidRPr="005279AA">
        <w:rPr>
          <w:rFonts w:asciiTheme="majorBidi" w:hAnsiTheme="majorBidi" w:cstheme="majorBidi"/>
          <w:sz w:val="24"/>
          <w:szCs w:val="24"/>
        </w:rPr>
        <w:t>tersebut normal.</w:t>
      </w:r>
    </w:p>
    <w:p w14:paraId="71FB1C91" w14:textId="66B9944E" w:rsidR="00BA6F66" w:rsidRPr="005279AA" w:rsidRDefault="00BA6F66"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lastRenderedPageBreak/>
        <w:t>Berikut ini adalah grafik histogram dan grafik normal probability plot:</w:t>
      </w:r>
    </w:p>
    <w:p w14:paraId="612C5ADD" w14:textId="252938C1" w:rsidR="00BA6F66" w:rsidRPr="005279AA" w:rsidRDefault="00533498" w:rsidP="00BF76D1">
      <w:pPr>
        <w:pStyle w:val="ListParagraph"/>
        <w:tabs>
          <w:tab w:val="left" w:pos="1701"/>
        </w:tabs>
        <w:spacing w:line="480" w:lineRule="auto"/>
        <w:ind w:left="2268" w:hanging="22"/>
        <w:jc w:val="center"/>
        <w:rPr>
          <w:rFonts w:asciiTheme="majorBidi" w:hAnsiTheme="majorBidi" w:cstheme="majorBidi"/>
          <w:sz w:val="24"/>
          <w:szCs w:val="24"/>
        </w:rPr>
      </w:pPr>
      <w:r w:rsidRPr="005279AA">
        <w:rPr>
          <w:rFonts w:asciiTheme="majorBidi" w:hAnsiTheme="majorBidi" w:cstheme="majorBidi"/>
          <w:noProof/>
          <w:sz w:val="24"/>
          <w:szCs w:val="24"/>
        </w:rPr>
        <w:drawing>
          <wp:inline distT="0" distB="0" distL="0" distR="0" wp14:anchorId="3972FF3C" wp14:editId="4B6CF235">
            <wp:extent cx="2928938" cy="2347433"/>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4296" cy="2351727"/>
                    </a:xfrm>
                    <a:prstGeom prst="rect">
                      <a:avLst/>
                    </a:prstGeom>
                    <a:noFill/>
                    <a:ln>
                      <a:noFill/>
                    </a:ln>
                  </pic:spPr>
                </pic:pic>
              </a:graphicData>
            </a:graphic>
          </wp:inline>
        </w:drawing>
      </w:r>
    </w:p>
    <w:p w14:paraId="36EDC42D" w14:textId="0CDF14D7" w:rsidR="00B516F9" w:rsidRPr="005279AA" w:rsidRDefault="00B516F9" w:rsidP="00BF76D1">
      <w:pPr>
        <w:pStyle w:val="ListParagraph"/>
        <w:tabs>
          <w:tab w:val="left" w:pos="1701"/>
        </w:tabs>
        <w:spacing w:line="240" w:lineRule="auto"/>
        <w:ind w:left="3119"/>
        <w:jc w:val="both"/>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sidR="00D974B3">
        <w:rPr>
          <w:rFonts w:asciiTheme="majorBidi" w:eastAsiaTheme="minorEastAsia" w:hAnsiTheme="majorBidi" w:cstheme="majorBidi"/>
          <w:iCs/>
        </w:rPr>
        <w:t xml:space="preserve">Output </w:t>
      </w:r>
      <w:r w:rsidRPr="005279AA">
        <w:rPr>
          <w:rFonts w:asciiTheme="majorBidi" w:eastAsiaTheme="minorEastAsia" w:hAnsiTheme="majorBidi" w:cstheme="majorBidi"/>
          <w:iCs/>
        </w:rPr>
        <w:t>SPSS 22, 2024</w:t>
      </w:r>
    </w:p>
    <w:p w14:paraId="0B50607A" w14:textId="698D29AD" w:rsidR="00BA6F66" w:rsidRPr="005279AA" w:rsidRDefault="00BA6F66" w:rsidP="00BF76D1">
      <w:pPr>
        <w:pStyle w:val="ListParagraph"/>
        <w:tabs>
          <w:tab w:val="left" w:pos="170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 xml:space="preserve">Gambar </w:t>
      </w:r>
      <w:r w:rsidR="0006731F">
        <w:rPr>
          <w:rFonts w:asciiTheme="majorBidi" w:hAnsiTheme="majorBidi" w:cstheme="majorBidi"/>
          <w:b/>
          <w:bCs/>
          <w:sz w:val="24"/>
          <w:szCs w:val="24"/>
        </w:rPr>
        <w:t>2</w:t>
      </w:r>
    </w:p>
    <w:p w14:paraId="7D9724B0" w14:textId="78602990" w:rsidR="00BA6F66" w:rsidRPr="005279AA" w:rsidRDefault="00BA6F66" w:rsidP="00BF76D1">
      <w:pPr>
        <w:pStyle w:val="ListParagraph"/>
        <w:tabs>
          <w:tab w:val="left" w:pos="170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Grafik Histogram</w:t>
      </w:r>
    </w:p>
    <w:p w14:paraId="1C2763F0" w14:textId="77777777" w:rsidR="00BA6F66" w:rsidRPr="005279AA" w:rsidRDefault="00BA6F66" w:rsidP="00BF76D1">
      <w:pPr>
        <w:pStyle w:val="ListParagraph"/>
        <w:tabs>
          <w:tab w:val="left" w:pos="1701"/>
        </w:tabs>
        <w:spacing w:line="240" w:lineRule="auto"/>
        <w:ind w:left="1440" w:hanging="22"/>
        <w:jc w:val="center"/>
        <w:rPr>
          <w:rFonts w:asciiTheme="majorBidi" w:hAnsiTheme="majorBidi" w:cstheme="majorBidi"/>
          <w:b/>
          <w:bCs/>
          <w:sz w:val="24"/>
          <w:szCs w:val="24"/>
        </w:rPr>
      </w:pPr>
    </w:p>
    <w:p w14:paraId="74029536" w14:textId="0DBDCFEF" w:rsidR="0080147E" w:rsidRPr="005279AA" w:rsidRDefault="00BA6F66"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t xml:space="preserve">Berdasarkan gambar diatas, grafik histogram berbentuk seperti lonceng, tidak melenceng kekanan atau melenceng kekiri yang menunjukan bahwa pola berdistribusi normal. </w:t>
      </w:r>
    </w:p>
    <w:p w14:paraId="39FA5CA0" w14:textId="3AA6499A" w:rsidR="0080147E" w:rsidRPr="005279AA" w:rsidRDefault="00533498" w:rsidP="00BF76D1">
      <w:pPr>
        <w:pStyle w:val="ListParagraph"/>
        <w:tabs>
          <w:tab w:val="left" w:pos="1701"/>
        </w:tabs>
        <w:spacing w:line="480" w:lineRule="auto"/>
        <w:ind w:left="993" w:hanging="22"/>
        <w:jc w:val="center"/>
        <w:rPr>
          <w:rFonts w:asciiTheme="majorBidi" w:hAnsiTheme="majorBidi" w:cstheme="majorBidi"/>
          <w:sz w:val="24"/>
          <w:szCs w:val="24"/>
        </w:rPr>
      </w:pPr>
      <w:r w:rsidRPr="005279AA">
        <w:rPr>
          <w:rFonts w:asciiTheme="majorBidi" w:hAnsiTheme="majorBidi" w:cstheme="majorBidi"/>
          <w:b/>
          <w:bCs/>
          <w:noProof/>
          <w:sz w:val="24"/>
          <w:szCs w:val="24"/>
        </w:rPr>
        <w:drawing>
          <wp:inline distT="0" distB="0" distL="0" distR="0" wp14:anchorId="186273E9" wp14:editId="0B0F0868">
            <wp:extent cx="3101860" cy="2486025"/>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982" cy="2496542"/>
                    </a:xfrm>
                    <a:prstGeom prst="rect">
                      <a:avLst/>
                    </a:prstGeom>
                    <a:noFill/>
                    <a:ln>
                      <a:noFill/>
                    </a:ln>
                  </pic:spPr>
                </pic:pic>
              </a:graphicData>
            </a:graphic>
          </wp:inline>
        </w:drawing>
      </w:r>
    </w:p>
    <w:p w14:paraId="1049275C" w14:textId="1FB8A0EE" w:rsidR="00B516F9" w:rsidRPr="005279AA" w:rsidRDefault="00B516F9" w:rsidP="00BF76D1">
      <w:pPr>
        <w:pStyle w:val="ListParagraph"/>
        <w:tabs>
          <w:tab w:val="left" w:pos="1701"/>
        </w:tabs>
        <w:spacing w:line="240" w:lineRule="auto"/>
        <w:ind w:left="3119"/>
        <w:jc w:val="both"/>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sidR="00D974B3">
        <w:rPr>
          <w:rFonts w:asciiTheme="majorBidi" w:eastAsiaTheme="minorEastAsia" w:hAnsiTheme="majorBidi" w:cstheme="majorBidi"/>
          <w:iCs/>
        </w:rPr>
        <w:t xml:space="preserve">Output </w:t>
      </w:r>
      <w:r w:rsidRPr="005279AA">
        <w:rPr>
          <w:rFonts w:asciiTheme="majorBidi" w:eastAsiaTheme="minorEastAsia" w:hAnsiTheme="majorBidi" w:cstheme="majorBidi"/>
          <w:iCs/>
        </w:rPr>
        <w:t>SPSS 22, 2024</w:t>
      </w:r>
    </w:p>
    <w:p w14:paraId="6177A340" w14:textId="698FDB87" w:rsidR="00B516F9" w:rsidRPr="005279AA" w:rsidRDefault="00B516F9" w:rsidP="00BF76D1">
      <w:pPr>
        <w:pStyle w:val="ListParagraph"/>
        <w:tabs>
          <w:tab w:val="left" w:pos="170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 xml:space="preserve">Gambar </w:t>
      </w:r>
      <w:r w:rsidR="0006731F">
        <w:rPr>
          <w:rFonts w:asciiTheme="majorBidi" w:hAnsiTheme="majorBidi" w:cstheme="majorBidi"/>
          <w:b/>
          <w:bCs/>
          <w:sz w:val="24"/>
          <w:szCs w:val="24"/>
        </w:rPr>
        <w:t>3</w:t>
      </w:r>
    </w:p>
    <w:p w14:paraId="0ED6B797" w14:textId="4BCB4D70" w:rsidR="00BA6F66" w:rsidRPr="005279AA" w:rsidRDefault="00C26CAB" w:rsidP="00BF76D1">
      <w:pPr>
        <w:pStyle w:val="ListParagraph"/>
        <w:tabs>
          <w:tab w:val="left" w:pos="170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Grafik Normal Probability Plot</w:t>
      </w:r>
    </w:p>
    <w:p w14:paraId="6F11E939" w14:textId="425CD0F1" w:rsidR="005279AA" w:rsidRPr="004327F1" w:rsidRDefault="00C26CAB"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lastRenderedPageBreak/>
        <w:t xml:space="preserve">Berdasarkan gambar, grafik tersebut menunjukan penyebaran data yang merata disekitar garis diagonal dan penyebarannya mengikuti arah garis diagonal. Hal ini mengindikasikan bahwa data memenuhi asumsi normalitas. Untuk memastikan hasil uji normalitas, berikut adalah hasil pengujian one sampel </w:t>
      </w:r>
      <w:r w:rsidRPr="005279AA">
        <w:rPr>
          <w:rFonts w:asciiTheme="majorBidi" w:hAnsiTheme="majorBidi" w:cstheme="majorBidi"/>
          <w:i/>
          <w:iCs/>
          <w:sz w:val="24"/>
          <w:szCs w:val="24"/>
        </w:rPr>
        <w:t>kolmogorov-Smirnov Test</w:t>
      </w:r>
      <w:r w:rsidRPr="005279AA">
        <w:rPr>
          <w:rFonts w:asciiTheme="majorBidi" w:hAnsiTheme="majorBidi" w:cstheme="majorBidi"/>
          <w:sz w:val="24"/>
          <w:szCs w:val="24"/>
        </w:rPr>
        <w:t>.</w:t>
      </w:r>
    </w:p>
    <w:p w14:paraId="01DD2129" w14:textId="68C65235" w:rsidR="00C96641" w:rsidRPr="005279AA" w:rsidRDefault="00C96641" w:rsidP="00BF76D1">
      <w:pPr>
        <w:pStyle w:val="ListParagraph"/>
        <w:tabs>
          <w:tab w:val="left" w:pos="170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Tabel</w:t>
      </w:r>
      <w:r w:rsidR="00FC594C" w:rsidRPr="005279AA">
        <w:rPr>
          <w:rFonts w:asciiTheme="majorBidi" w:eastAsiaTheme="minorEastAsia" w:hAnsiTheme="majorBidi" w:cstheme="majorBidi"/>
          <w:b/>
          <w:bCs/>
          <w:iCs/>
          <w:sz w:val="24"/>
          <w:szCs w:val="24"/>
        </w:rPr>
        <w:t xml:space="preserve"> 19</w:t>
      </w:r>
    </w:p>
    <w:p w14:paraId="10D724F6" w14:textId="6C1C3FC7" w:rsidR="00C96641" w:rsidRPr="005279AA" w:rsidRDefault="00C96641" w:rsidP="00BF76D1">
      <w:pPr>
        <w:pStyle w:val="ListParagraph"/>
        <w:tabs>
          <w:tab w:val="left" w:pos="170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Hasil Uji Normalitas </w:t>
      </w:r>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533498" w:rsidRPr="005279AA" w14:paraId="38A65C5F" w14:textId="77777777" w:rsidTr="00533498">
        <w:trPr>
          <w:cantSplit/>
        </w:trPr>
        <w:tc>
          <w:tcPr>
            <w:tcW w:w="5365" w:type="dxa"/>
            <w:gridSpan w:val="3"/>
            <w:tcBorders>
              <w:top w:val="nil"/>
              <w:left w:val="nil"/>
              <w:bottom w:val="nil"/>
              <w:right w:val="nil"/>
            </w:tcBorders>
            <w:shd w:val="clear" w:color="auto" w:fill="FFFFFF"/>
            <w:vAlign w:val="center"/>
          </w:tcPr>
          <w:p w14:paraId="6389CDBB"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One-Sample Kolmogorov-Smirnov Test</w:t>
            </w:r>
          </w:p>
        </w:tc>
      </w:tr>
      <w:tr w:rsidR="00533498" w:rsidRPr="005279AA" w14:paraId="7848B132" w14:textId="77777777" w:rsidTr="00533498">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61326F64"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6E84916" w14:textId="77777777" w:rsidR="00533498" w:rsidRPr="005279AA" w:rsidRDefault="00533498"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Residual</w:t>
            </w:r>
          </w:p>
        </w:tc>
      </w:tr>
      <w:tr w:rsidR="00533498" w:rsidRPr="005279AA" w14:paraId="56F77ADD" w14:textId="77777777" w:rsidTr="00533498">
        <w:trPr>
          <w:cantSplit/>
        </w:trPr>
        <w:tc>
          <w:tcPr>
            <w:tcW w:w="3890" w:type="dxa"/>
            <w:gridSpan w:val="2"/>
            <w:tcBorders>
              <w:top w:val="single" w:sz="16" w:space="0" w:color="000000"/>
              <w:left w:val="single" w:sz="16" w:space="0" w:color="000000"/>
              <w:bottom w:val="nil"/>
              <w:right w:val="nil"/>
            </w:tcBorders>
            <w:shd w:val="clear" w:color="auto" w:fill="FFFFFF"/>
          </w:tcPr>
          <w:p w14:paraId="17C2D410"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84E17E5"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75</w:t>
            </w:r>
          </w:p>
        </w:tc>
      </w:tr>
      <w:tr w:rsidR="00533498" w:rsidRPr="005279AA" w14:paraId="60B8993F" w14:textId="77777777" w:rsidTr="00533498">
        <w:trPr>
          <w:cantSplit/>
        </w:trPr>
        <w:tc>
          <w:tcPr>
            <w:tcW w:w="2445" w:type="dxa"/>
            <w:vMerge w:val="restart"/>
            <w:tcBorders>
              <w:top w:val="nil"/>
              <w:left w:val="single" w:sz="16" w:space="0" w:color="000000"/>
              <w:bottom w:val="nil"/>
              <w:right w:val="nil"/>
            </w:tcBorders>
            <w:shd w:val="clear" w:color="auto" w:fill="FFFFFF"/>
          </w:tcPr>
          <w:p w14:paraId="6F3165D8"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Normal Parameters</w:t>
            </w:r>
            <w:r w:rsidRPr="005279AA">
              <w:rPr>
                <w:rFonts w:asciiTheme="majorBidi" w:hAnsiTheme="majorBidi" w:cstheme="majorBidi"/>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551D0F72"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56E66B8B"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.0000000</w:t>
            </w:r>
          </w:p>
        </w:tc>
      </w:tr>
      <w:tr w:rsidR="00533498" w:rsidRPr="005279AA" w14:paraId="5B830F94" w14:textId="77777777" w:rsidTr="00533498">
        <w:trPr>
          <w:cantSplit/>
        </w:trPr>
        <w:tc>
          <w:tcPr>
            <w:tcW w:w="2445" w:type="dxa"/>
            <w:vMerge/>
            <w:tcBorders>
              <w:top w:val="nil"/>
              <w:left w:val="single" w:sz="16" w:space="0" w:color="000000"/>
              <w:bottom w:val="nil"/>
              <w:right w:val="nil"/>
            </w:tcBorders>
            <w:shd w:val="clear" w:color="auto" w:fill="FFFFFF"/>
          </w:tcPr>
          <w:p w14:paraId="24DBF95A"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445" w:type="dxa"/>
            <w:tcBorders>
              <w:top w:val="nil"/>
              <w:left w:val="nil"/>
              <w:bottom w:val="nil"/>
              <w:right w:val="single" w:sz="16" w:space="0" w:color="000000"/>
            </w:tcBorders>
            <w:shd w:val="clear" w:color="auto" w:fill="FFFFFF"/>
          </w:tcPr>
          <w:p w14:paraId="25F9C804"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A7AFE84"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.15919337</w:t>
            </w:r>
          </w:p>
        </w:tc>
      </w:tr>
      <w:tr w:rsidR="00533498" w:rsidRPr="005279AA" w14:paraId="2E8D91D9" w14:textId="77777777" w:rsidTr="00533498">
        <w:trPr>
          <w:cantSplit/>
        </w:trPr>
        <w:tc>
          <w:tcPr>
            <w:tcW w:w="2445" w:type="dxa"/>
            <w:vMerge w:val="restart"/>
            <w:tcBorders>
              <w:top w:val="nil"/>
              <w:left w:val="single" w:sz="16" w:space="0" w:color="000000"/>
              <w:bottom w:val="nil"/>
              <w:right w:val="nil"/>
            </w:tcBorders>
            <w:shd w:val="clear" w:color="auto" w:fill="FFFFFF"/>
          </w:tcPr>
          <w:p w14:paraId="4DF983E5"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7845CDF1"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28FA8A04"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.074</w:t>
            </w:r>
          </w:p>
        </w:tc>
      </w:tr>
      <w:tr w:rsidR="00533498" w:rsidRPr="005279AA" w14:paraId="3EF5AB1B" w14:textId="77777777" w:rsidTr="00533498">
        <w:trPr>
          <w:cantSplit/>
        </w:trPr>
        <w:tc>
          <w:tcPr>
            <w:tcW w:w="2445" w:type="dxa"/>
            <w:vMerge/>
            <w:tcBorders>
              <w:top w:val="nil"/>
              <w:left w:val="single" w:sz="16" w:space="0" w:color="000000"/>
              <w:bottom w:val="nil"/>
              <w:right w:val="nil"/>
            </w:tcBorders>
            <w:shd w:val="clear" w:color="auto" w:fill="FFFFFF"/>
          </w:tcPr>
          <w:p w14:paraId="0820F5DF"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445" w:type="dxa"/>
            <w:tcBorders>
              <w:top w:val="nil"/>
              <w:left w:val="nil"/>
              <w:bottom w:val="nil"/>
              <w:right w:val="single" w:sz="16" w:space="0" w:color="000000"/>
            </w:tcBorders>
            <w:shd w:val="clear" w:color="auto" w:fill="FFFFFF"/>
          </w:tcPr>
          <w:p w14:paraId="73851CCA"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54AE54BD"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.074</w:t>
            </w:r>
          </w:p>
        </w:tc>
      </w:tr>
      <w:tr w:rsidR="00533498" w:rsidRPr="005279AA" w14:paraId="53B33480" w14:textId="77777777" w:rsidTr="00533498">
        <w:trPr>
          <w:cantSplit/>
        </w:trPr>
        <w:tc>
          <w:tcPr>
            <w:tcW w:w="2445" w:type="dxa"/>
            <w:vMerge/>
            <w:tcBorders>
              <w:top w:val="nil"/>
              <w:left w:val="single" w:sz="16" w:space="0" w:color="000000"/>
              <w:bottom w:val="nil"/>
              <w:right w:val="nil"/>
            </w:tcBorders>
            <w:shd w:val="clear" w:color="auto" w:fill="FFFFFF"/>
          </w:tcPr>
          <w:p w14:paraId="71B1F97B" w14:textId="77777777" w:rsidR="00533498" w:rsidRPr="005279AA" w:rsidRDefault="00533498"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445" w:type="dxa"/>
            <w:tcBorders>
              <w:top w:val="nil"/>
              <w:left w:val="nil"/>
              <w:bottom w:val="nil"/>
              <w:right w:val="single" w:sz="16" w:space="0" w:color="000000"/>
            </w:tcBorders>
            <w:shd w:val="clear" w:color="auto" w:fill="FFFFFF"/>
          </w:tcPr>
          <w:p w14:paraId="53BCD93F"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0EE71F94"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-.044</w:t>
            </w:r>
          </w:p>
        </w:tc>
      </w:tr>
      <w:tr w:rsidR="00533498" w:rsidRPr="005279AA" w14:paraId="7FC75CCF" w14:textId="77777777" w:rsidTr="00533498">
        <w:trPr>
          <w:cantSplit/>
        </w:trPr>
        <w:tc>
          <w:tcPr>
            <w:tcW w:w="3890" w:type="dxa"/>
            <w:gridSpan w:val="2"/>
            <w:tcBorders>
              <w:top w:val="nil"/>
              <w:left w:val="single" w:sz="16" w:space="0" w:color="000000"/>
              <w:bottom w:val="nil"/>
              <w:right w:val="nil"/>
            </w:tcBorders>
            <w:shd w:val="clear" w:color="auto" w:fill="FFFFFF"/>
          </w:tcPr>
          <w:p w14:paraId="1CF1F422"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92F89D5"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.074</w:t>
            </w:r>
          </w:p>
        </w:tc>
      </w:tr>
      <w:tr w:rsidR="00533498" w:rsidRPr="005279AA" w14:paraId="7690D3D0" w14:textId="77777777" w:rsidTr="00533498">
        <w:trPr>
          <w:cantSplit/>
        </w:trPr>
        <w:tc>
          <w:tcPr>
            <w:tcW w:w="3890" w:type="dxa"/>
            <w:gridSpan w:val="2"/>
            <w:tcBorders>
              <w:top w:val="nil"/>
              <w:left w:val="single" w:sz="16" w:space="0" w:color="000000"/>
              <w:bottom w:val="single" w:sz="16" w:space="0" w:color="000000"/>
              <w:right w:val="nil"/>
            </w:tcBorders>
            <w:shd w:val="clear" w:color="auto" w:fill="FFFFFF"/>
          </w:tcPr>
          <w:p w14:paraId="1E406664"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27A4C11A" w14:textId="77777777" w:rsidR="00533498" w:rsidRPr="005279AA" w:rsidRDefault="00533498"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.200</w:t>
            </w:r>
            <w:r w:rsidRPr="005279AA">
              <w:rPr>
                <w:rFonts w:asciiTheme="majorBidi" w:hAnsiTheme="majorBidi" w:cstheme="majorBidi"/>
                <w:color w:val="000000"/>
                <w:sz w:val="18"/>
                <w:szCs w:val="18"/>
                <w:vertAlign w:val="superscript"/>
              </w:rPr>
              <w:t>c,d</w:t>
            </w:r>
          </w:p>
        </w:tc>
      </w:tr>
      <w:tr w:rsidR="00533498" w:rsidRPr="005279AA" w14:paraId="7A95A99E" w14:textId="77777777" w:rsidTr="00533498">
        <w:trPr>
          <w:cantSplit/>
        </w:trPr>
        <w:tc>
          <w:tcPr>
            <w:tcW w:w="5365" w:type="dxa"/>
            <w:gridSpan w:val="3"/>
            <w:tcBorders>
              <w:top w:val="nil"/>
              <w:left w:val="nil"/>
              <w:bottom w:val="nil"/>
              <w:right w:val="nil"/>
            </w:tcBorders>
            <w:shd w:val="clear" w:color="auto" w:fill="FFFFFF"/>
          </w:tcPr>
          <w:p w14:paraId="2D1ADCCF"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Test distribution is Normal.</w:t>
            </w:r>
          </w:p>
        </w:tc>
      </w:tr>
      <w:tr w:rsidR="00533498" w:rsidRPr="005279AA" w14:paraId="3C20DE7D" w14:textId="77777777" w:rsidTr="00533498">
        <w:trPr>
          <w:cantSplit/>
        </w:trPr>
        <w:tc>
          <w:tcPr>
            <w:tcW w:w="5365" w:type="dxa"/>
            <w:gridSpan w:val="3"/>
            <w:tcBorders>
              <w:top w:val="nil"/>
              <w:left w:val="nil"/>
              <w:bottom w:val="nil"/>
              <w:right w:val="nil"/>
            </w:tcBorders>
            <w:shd w:val="clear" w:color="auto" w:fill="FFFFFF"/>
          </w:tcPr>
          <w:p w14:paraId="5A9909FC"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b. Calculated from data.</w:t>
            </w:r>
          </w:p>
        </w:tc>
      </w:tr>
      <w:tr w:rsidR="00533498" w:rsidRPr="005279AA" w14:paraId="4358E14A" w14:textId="77777777" w:rsidTr="00533498">
        <w:trPr>
          <w:cantSplit/>
        </w:trPr>
        <w:tc>
          <w:tcPr>
            <w:tcW w:w="5365" w:type="dxa"/>
            <w:gridSpan w:val="3"/>
            <w:tcBorders>
              <w:top w:val="nil"/>
              <w:left w:val="nil"/>
              <w:bottom w:val="nil"/>
              <w:right w:val="nil"/>
            </w:tcBorders>
            <w:shd w:val="clear" w:color="auto" w:fill="FFFFFF"/>
          </w:tcPr>
          <w:p w14:paraId="5404485C"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 Lilliefors Significance Correction.</w:t>
            </w:r>
          </w:p>
        </w:tc>
      </w:tr>
      <w:tr w:rsidR="00533498" w:rsidRPr="005279AA" w14:paraId="5F773755" w14:textId="77777777" w:rsidTr="00533498">
        <w:trPr>
          <w:cantSplit/>
        </w:trPr>
        <w:tc>
          <w:tcPr>
            <w:tcW w:w="5365" w:type="dxa"/>
            <w:gridSpan w:val="3"/>
            <w:tcBorders>
              <w:top w:val="nil"/>
              <w:left w:val="nil"/>
              <w:bottom w:val="nil"/>
              <w:right w:val="nil"/>
            </w:tcBorders>
            <w:shd w:val="clear" w:color="auto" w:fill="FFFFFF"/>
          </w:tcPr>
          <w:p w14:paraId="43C7B4FD" w14:textId="77777777" w:rsidR="00533498" w:rsidRPr="005279AA" w:rsidRDefault="00533498"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 This is a lower bound of the true significance.</w:t>
            </w:r>
          </w:p>
        </w:tc>
      </w:tr>
    </w:tbl>
    <w:p w14:paraId="40D8F391" w14:textId="538DD3E8" w:rsidR="00C96641" w:rsidRPr="005279AA" w:rsidRDefault="00B516F9" w:rsidP="00BF76D1">
      <w:pPr>
        <w:tabs>
          <w:tab w:val="left" w:pos="1701"/>
        </w:tabs>
        <w:spacing w:line="480" w:lineRule="auto"/>
        <w:ind w:left="1843"/>
        <w:jc w:val="both"/>
        <w:rPr>
          <w:rFonts w:asciiTheme="majorBidi" w:eastAsiaTheme="minorEastAsia" w:hAnsiTheme="majorBidi" w:cstheme="majorBidi"/>
          <w:iCs/>
        </w:rPr>
      </w:pPr>
      <w:r w:rsidRPr="005279AA">
        <w:rPr>
          <w:rFonts w:asciiTheme="majorBidi" w:eastAsiaTheme="minorEastAsia" w:hAnsiTheme="majorBidi" w:cstheme="majorBidi"/>
          <w:iCs/>
        </w:rPr>
        <w:t xml:space="preserve">Sumber: </w:t>
      </w:r>
      <w:r w:rsidR="00D974B3">
        <w:rPr>
          <w:rFonts w:asciiTheme="majorBidi" w:eastAsiaTheme="minorEastAsia" w:hAnsiTheme="majorBidi" w:cstheme="majorBidi"/>
          <w:iCs/>
        </w:rPr>
        <w:t xml:space="preserve">Output </w:t>
      </w:r>
      <w:r w:rsidRPr="005279AA">
        <w:rPr>
          <w:rFonts w:asciiTheme="majorBidi" w:eastAsiaTheme="minorEastAsia" w:hAnsiTheme="majorBidi" w:cstheme="majorBidi"/>
          <w:iCs/>
        </w:rPr>
        <w:t>SPSS 22, 2024</w:t>
      </w:r>
    </w:p>
    <w:p w14:paraId="7A4C754C" w14:textId="3DC183FC" w:rsidR="00C96641" w:rsidRPr="005279AA" w:rsidRDefault="00C96641" w:rsidP="00BF76D1">
      <w:pPr>
        <w:pStyle w:val="ListParagraph"/>
        <w:tabs>
          <w:tab w:val="left" w:pos="1701"/>
        </w:tabs>
        <w:spacing w:line="480" w:lineRule="auto"/>
        <w:ind w:left="1440" w:firstLine="545"/>
        <w:jc w:val="both"/>
        <w:rPr>
          <w:rFonts w:asciiTheme="majorBidi" w:eastAsiaTheme="minorEastAsia" w:hAnsiTheme="majorBidi" w:cstheme="majorBidi"/>
          <w:iCs/>
          <w:sz w:val="24"/>
          <w:szCs w:val="24"/>
        </w:rPr>
      </w:pPr>
      <w:r w:rsidRPr="005279AA">
        <w:rPr>
          <w:rFonts w:asciiTheme="majorBidi" w:hAnsiTheme="majorBidi" w:cstheme="majorBidi"/>
          <w:sz w:val="24"/>
          <w:szCs w:val="24"/>
        </w:rPr>
        <w:t xml:space="preserve">Berdasarkan tabel diatas diperoleh nilai signifikan </w:t>
      </w:r>
      <w:r w:rsidRPr="005279AA">
        <w:rPr>
          <w:rFonts w:asciiTheme="majorBidi" w:hAnsiTheme="majorBidi" w:cstheme="majorBidi"/>
          <w:i/>
          <w:iCs/>
          <w:sz w:val="24"/>
          <w:szCs w:val="24"/>
        </w:rPr>
        <w:t>one sampel kolmogrof smirnov test</w:t>
      </w:r>
      <w:r w:rsidRPr="005279AA">
        <w:rPr>
          <w:rFonts w:asciiTheme="majorBidi" w:hAnsiTheme="majorBidi" w:cstheme="majorBidi"/>
          <w:sz w:val="24"/>
          <w:szCs w:val="24"/>
        </w:rPr>
        <w:t xml:space="preserve"> dengan </w:t>
      </w:r>
      <w:r w:rsidRPr="005279AA">
        <w:rPr>
          <w:rFonts w:asciiTheme="majorBidi" w:hAnsiTheme="majorBidi" w:cstheme="majorBidi"/>
          <w:i/>
          <w:iCs/>
          <w:sz w:val="24"/>
          <w:szCs w:val="24"/>
        </w:rPr>
        <w:t>unstandardized</w:t>
      </w:r>
      <w:r w:rsidRPr="005279AA">
        <w:rPr>
          <w:rFonts w:asciiTheme="majorBidi" w:hAnsiTheme="majorBidi" w:cstheme="majorBidi"/>
          <w:sz w:val="24"/>
          <w:szCs w:val="24"/>
        </w:rPr>
        <w:t xml:space="preserve"> residual dip</w:t>
      </w:r>
      <w:r w:rsidR="00BE49DD" w:rsidRPr="005279AA">
        <w:rPr>
          <w:rFonts w:asciiTheme="majorBidi" w:hAnsiTheme="majorBidi" w:cstheme="majorBidi"/>
          <w:sz w:val="24"/>
          <w:szCs w:val="24"/>
        </w:rPr>
        <w:t>e</w:t>
      </w:r>
      <w:r w:rsidRPr="005279AA">
        <w:rPr>
          <w:rFonts w:asciiTheme="majorBidi" w:hAnsiTheme="majorBidi" w:cstheme="majorBidi"/>
          <w:sz w:val="24"/>
          <w:szCs w:val="24"/>
        </w:rPr>
        <w:t>roleh nila</w:t>
      </w:r>
      <w:r w:rsidR="00BE49DD" w:rsidRPr="005279AA">
        <w:rPr>
          <w:rFonts w:asciiTheme="majorBidi" w:hAnsiTheme="majorBidi" w:cstheme="majorBidi"/>
          <w:sz w:val="24"/>
          <w:szCs w:val="24"/>
        </w:rPr>
        <w:t>i 0,</w:t>
      </w:r>
      <w:r w:rsidR="001F6675" w:rsidRPr="005279AA">
        <w:rPr>
          <w:rFonts w:asciiTheme="majorBidi" w:hAnsiTheme="majorBidi" w:cstheme="majorBidi"/>
          <w:sz w:val="24"/>
          <w:szCs w:val="24"/>
        </w:rPr>
        <w:t>200</w:t>
      </w:r>
      <w:r w:rsidR="00BE49DD" w:rsidRPr="005279AA">
        <w:rPr>
          <w:rFonts w:asciiTheme="majorBidi" w:hAnsiTheme="majorBidi" w:cstheme="majorBidi"/>
          <w:sz w:val="24"/>
          <w:szCs w:val="24"/>
        </w:rPr>
        <w:t xml:space="preserve">. Perbandingan antara </w:t>
      </w:r>
      <w:r w:rsidR="00312E8E">
        <w:rPr>
          <w:rFonts w:asciiTheme="majorBidi" w:hAnsiTheme="majorBidi" w:cstheme="majorBidi"/>
          <w:sz w:val="24"/>
          <w:szCs w:val="24"/>
        </w:rPr>
        <w:t xml:space="preserve">nilai asymp sig </w:t>
      </w:r>
      <w:r w:rsidR="00BE49DD" w:rsidRPr="005279AA">
        <w:rPr>
          <w:rFonts w:asciiTheme="majorBidi" w:hAnsiTheme="majorBidi" w:cstheme="majorBidi"/>
          <w:sz w:val="24"/>
          <w:szCs w:val="24"/>
        </w:rPr>
        <w:t xml:space="preserve">dengan standar signifikasi yang sudah ditentukan diketahui bahwa </w:t>
      </w:r>
      <w:r w:rsidR="00312E8E">
        <w:rPr>
          <w:rFonts w:asciiTheme="majorBidi" w:hAnsiTheme="majorBidi" w:cstheme="majorBidi"/>
          <w:sz w:val="24"/>
          <w:szCs w:val="24"/>
        </w:rPr>
        <w:t xml:space="preserve">nilai asymp sig </w:t>
      </w:r>
      <w:r w:rsidR="00BE49DD" w:rsidRPr="005279AA">
        <w:rPr>
          <w:rFonts w:asciiTheme="majorBidi" w:hAnsiTheme="majorBidi" w:cstheme="majorBidi"/>
          <w:sz w:val="24"/>
          <w:szCs w:val="24"/>
        </w:rPr>
        <w:t>0,</w:t>
      </w:r>
      <w:r w:rsidR="001F6675" w:rsidRPr="005279AA">
        <w:rPr>
          <w:rFonts w:asciiTheme="majorBidi" w:hAnsiTheme="majorBidi" w:cstheme="majorBidi"/>
          <w:sz w:val="24"/>
          <w:szCs w:val="24"/>
        </w:rPr>
        <w:t>200</w:t>
      </w:r>
      <w:r w:rsidR="00BE49DD" w:rsidRPr="005279AA">
        <w:rPr>
          <w:rFonts w:asciiTheme="majorBidi" w:hAnsiTheme="majorBidi" w:cstheme="majorBidi"/>
          <w:sz w:val="24"/>
          <w:szCs w:val="24"/>
        </w:rPr>
        <w:t xml:space="preserve"> lebih besar dari nilai </w:t>
      </w:r>
      <w:r w:rsidR="00312E8E" w:rsidRPr="005279AA">
        <w:rPr>
          <w:rFonts w:asciiTheme="majorBidi" w:hAnsiTheme="majorBidi" w:cstheme="majorBidi"/>
          <w:sz w:val="24"/>
          <w:szCs w:val="24"/>
        </w:rPr>
        <w:t xml:space="preserve">standar signifikasi </w:t>
      </w:r>
      <w:r w:rsidR="00BE49DD" w:rsidRPr="005279AA">
        <w:rPr>
          <w:rFonts w:asciiTheme="majorBidi" w:hAnsiTheme="majorBidi" w:cstheme="majorBidi"/>
          <w:sz w:val="24"/>
          <w:szCs w:val="24"/>
        </w:rPr>
        <w:t xml:space="preserve">0,05. Sehingga </w:t>
      </w:r>
      <w:r w:rsidR="00BE49DD" w:rsidRPr="005279AA">
        <w:rPr>
          <w:rFonts w:asciiTheme="majorBidi" w:hAnsiTheme="majorBidi" w:cstheme="majorBidi"/>
          <w:sz w:val="24"/>
          <w:szCs w:val="24"/>
        </w:rPr>
        <w:lastRenderedPageBreak/>
        <w:t>menunjukan bahwa distribusi data dalam penelitian ini adalah normal.</w:t>
      </w:r>
    </w:p>
    <w:p w14:paraId="158B0B89" w14:textId="77777777" w:rsidR="00213366" w:rsidRPr="005279AA" w:rsidRDefault="00503238" w:rsidP="00BF76D1">
      <w:pPr>
        <w:pStyle w:val="ListParagraph"/>
        <w:numPr>
          <w:ilvl w:val="0"/>
          <w:numId w:val="46"/>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Uji Multikolinearitas</w:t>
      </w:r>
    </w:p>
    <w:p w14:paraId="4BB3D69C" w14:textId="787FF974" w:rsidR="00F44BA4" w:rsidRDefault="00213366" w:rsidP="00BF76D1">
      <w:pPr>
        <w:pStyle w:val="ListParagraph"/>
        <w:tabs>
          <w:tab w:val="left" w:pos="1701"/>
          <w:tab w:val="left" w:leader="dot" w:pos="7371"/>
        </w:tabs>
        <w:spacing w:line="480" w:lineRule="auto"/>
        <w:ind w:left="1440" w:firstLine="567"/>
        <w:jc w:val="both"/>
        <w:rPr>
          <w:rFonts w:asciiTheme="majorBidi" w:hAnsiTheme="majorBidi" w:cstheme="majorBidi"/>
          <w:sz w:val="24"/>
          <w:szCs w:val="24"/>
          <w:lang w:val="id-ID"/>
        </w:rPr>
      </w:pPr>
      <w:r w:rsidRPr="005279AA">
        <w:rPr>
          <w:rFonts w:asciiTheme="majorBidi" w:hAnsiTheme="majorBidi" w:cstheme="majorBidi"/>
          <w:sz w:val="24"/>
          <w:szCs w:val="24"/>
        </w:rPr>
        <w:t xml:space="preserve">Uji multikolineriatitas bertujuan mengetahui apakah model regresi mampu mengidentifikasi korelasi antar variabel bebas. </w:t>
      </w:r>
      <w:r w:rsidR="00C96641" w:rsidRPr="005279AA">
        <w:rPr>
          <w:rFonts w:asciiTheme="majorBidi" w:hAnsiTheme="majorBidi" w:cstheme="majorBidi"/>
          <w:sz w:val="24"/>
          <w:szCs w:val="24"/>
        </w:rPr>
        <w:t xml:space="preserve">Ada tidaknya multikolinearitas pada model regresi pada </w:t>
      </w:r>
      <w:r w:rsidR="00580F39">
        <w:rPr>
          <w:rFonts w:asciiTheme="majorBidi" w:hAnsiTheme="majorBidi" w:cstheme="majorBidi"/>
          <w:sz w:val="24"/>
          <w:szCs w:val="24"/>
        </w:rPr>
        <w:t>penelitian</w:t>
      </w:r>
      <w:r w:rsidR="00C96641" w:rsidRPr="005279AA">
        <w:rPr>
          <w:rFonts w:asciiTheme="majorBidi" w:hAnsiTheme="majorBidi" w:cstheme="majorBidi"/>
          <w:sz w:val="24"/>
          <w:szCs w:val="24"/>
        </w:rPr>
        <w:t xml:space="preserve"> ini dapat dipastikan dengan menghitung Nilai </w:t>
      </w:r>
      <w:r w:rsidR="00C96641" w:rsidRPr="005279AA">
        <w:rPr>
          <w:rFonts w:asciiTheme="majorBidi" w:hAnsiTheme="majorBidi" w:cstheme="majorBidi"/>
          <w:i/>
          <w:iCs/>
          <w:sz w:val="24"/>
          <w:szCs w:val="24"/>
        </w:rPr>
        <w:t>Tolerance</w:t>
      </w:r>
      <w:r w:rsidR="00C96641" w:rsidRPr="005279AA">
        <w:rPr>
          <w:rFonts w:asciiTheme="majorBidi" w:hAnsiTheme="majorBidi" w:cstheme="majorBidi"/>
          <w:sz w:val="24"/>
          <w:szCs w:val="24"/>
        </w:rPr>
        <w:t xml:space="preserve"> (TOL) dan </w:t>
      </w:r>
      <w:r w:rsidR="00C96641" w:rsidRPr="005279AA">
        <w:rPr>
          <w:rFonts w:asciiTheme="majorBidi" w:hAnsiTheme="majorBidi" w:cstheme="majorBidi"/>
          <w:i/>
          <w:iCs/>
          <w:sz w:val="24"/>
          <w:szCs w:val="24"/>
        </w:rPr>
        <w:t>Variance Inflation Factor</w:t>
      </w:r>
      <w:r w:rsidR="00C96641" w:rsidRPr="005279AA">
        <w:rPr>
          <w:rFonts w:asciiTheme="majorBidi" w:hAnsiTheme="majorBidi" w:cstheme="majorBidi"/>
          <w:sz w:val="24"/>
          <w:szCs w:val="24"/>
        </w:rPr>
        <w:t xml:space="preserve"> (VIF) untuk setiap variabel independen (Ghozali, 2019:107), dengan dasar pengambilan keputusan adalah </w:t>
      </w:r>
      <w:r w:rsidR="00C96641" w:rsidRPr="005279AA">
        <w:rPr>
          <w:rFonts w:asciiTheme="majorBidi" w:eastAsiaTheme="minorEastAsia" w:hAnsiTheme="majorBidi" w:cstheme="majorBidi"/>
          <w:iCs/>
          <w:sz w:val="24"/>
          <w:szCs w:val="24"/>
        </w:rPr>
        <w:t xml:space="preserve">apabila nilai </w:t>
      </w:r>
      <w:r w:rsidR="00C96641" w:rsidRPr="007F678B">
        <w:rPr>
          <w:rFonts w:asciiTheme="majorBidi" w:eastAsiaTheme="minorEastAsia" w:hAnsiTheme="majorBidi" w:cstheme="majorBidi"/>
          <w:i/>
          <w:sz w:val="24"/>
          <w:szCs w:val="24"/>
        </w:rPr>
        <w:t>tolerance</w:t>
      </w:r>
      <w:r w:rsidR="00C96641" w:rsidRPr="005279AA">
        <w:rPr>
          <w:rFonts w:asciiTheme="majorBidi" w:eastAsiaTheme="minorEastAsia" w:hAnsiTheme="majorBidi" w:cstheme="majorBidi"/>
          <w:iCs/>
          <w:sz w:val="24"/>
          <w:szCs w:val="24"/>
        </w:rPr>
        <w:t xml:space="preserve"> lebih besar dari 0,1 dan nilai VIF kurang dari 10, maka tidak terjadi multikolinearitas. apabila nilai </w:t>
      </w:r>
      <w:r w:rsidR="00C96641" w:rsidRPr="007F678B">
        <w:rPr>
          <w:rFonts w:asciiTheme="majorBidi" w:eastAsiaTheme="minorEastAsia" w:hAnsiTheme="majorBidi" w:cstheme="majorBidi"/>
          <w:i/>
          <w:sz w:val="24"/>
          <w:szCs w:val="24"/>
        </w:rPr>
        <w:t>tolerance</w:t>
      </w:r>
      <w:r w:rsidR="00C96641" w:rsidRPr="005279AA">
        <w:rPr>
          <w:rFonts w:asciiTheme="majorBidi" w:eastAsiaTheme="minorEastAsia" w:hAnsiTheme="majorBidi" w:cstheme="majorBidi"/>
          <w:iCs/>
          <w:sz w:val="24"/>
          <w:szCs w:val="24"/>
        </w:rPr>
        <w:t xml:space="preserve"> kurang dari 0,1 dan VIF lebih dari 10, maka terjadi multikolinearitas.</w:t>
      </w:r>
      <w:r w:rsidR="006C606A" w:rsidRPr="005279AA">
        <w:rPr>
          <w:rFonts w:asciiTheme="majorBidi" w:eastAsiaTheme="minorEastAsia" w:hAnsiTheme="majorBidi" w:cstheme="majorBidi"/>
          <w:iCs/>
          <w:sz w:val="24"/>
          <w:szCs w:val="24"/>
        </w:rPr>
        <w:t xml:space="preserve"> </w:t>
      </w:r>
      <w:r w:rsidR="006C606A" w:rsidRPr="005279AA">
        <w:rPr>
          <w:rFonts w:asciiTheme="majorBidi" w:hAnsiTheme="majorBidi" w:cstheme="majorBidi"/>
          <w:sz w:val="24"/>
          <w:szCs w:val="24"/>
          <w:lang w:val="id-ID"/>
        </w:rPr>
        <w:t>Berikut hasil uji</w:t>
      </w:r>
      <w:r w:rsidR="00BE49DD" w:rsidRPr="005279AA">
        <w:rPr>
          <w:rFonts w:asciiTheme="majorBidi" w:hAnsiTheme="majorBidi" w:cstheme="majorBidi"/>
          <w:sz w:val="24"/>
          <w:szCs w:val="24"/>
        </w:rPr>
        <w:t xml:space="preserve"> </w:t>
      </w:r>
      <w:r w:rsidR="006C606A" w:rsidRPr="005279AA">
        <w:rPr>
          <w:rFonts w:asciiTheme="majorBidi" w:hAnsiTheme="majorBidi" w:cstheme="majorBidi"/>
          <w:sz w:val="24"/>
          <w:szCs w:val="24"/>
        </w:rPr>
        <w:t>multikolinearitas</w:t>
      </w:r>
      <w:r w:rsidR="006C606A" w:rsidRPr="005279AA">
        <w:rPr>
          <w:rFonts w:asciiTheme="majorBidi" w:hAnsiTheme="majorBidi" w:cstheme="majorBidi"/>
          <w:sz w:val="24"/>
          <w:szCs w:val="24"/>
          <w:lang w:val="id-ID"/>
        </w:rPr>
        <w:t>:</w:t>
      </w:r>
    </w:p>
    <w:p w14:paraId="11E9CC8D" w14:textId="12D9137C" w:rsidR="00654B9E" w:rsidRPr="005279AA" w:rsidRDefault="00654B9E" w:rsidP="00BF76D1">
      <w:pPr>
        <w:pStyle w:val="ListParagraph"/>
        <w:tabs>
          <w:tab w:val="left" w:pos="1701"/>
          <w:tab w:val="left" w:leader="dot" w:pos="737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Tabel 2</w:t>
      </w:r>
      <w:r>
        <w:rPr>
          <w:rFonts w:asciiTheme="majorBidi" w:eastAsiaTheme="minorEastAsia" w:hAnsiTheme="majorBidi" w:cstheme="majorBidi"/>
          <w:b/>
          <w:bCs/>
          <w:iCs/>
          <w:sz w:val="24"/>
          <w:szCs w:val="24"/>
        </w:rPr>
        <w:t>0</w:t>
      </w:r>
    </w:p>
    <w:p w14:paraId="4AA5829A" w14:textId="134F7D82" w:rsidR="006C606A" w:rsidRPr="00654B9E" w:rsidRDefault="00654B9E" w:rsidP="00BF76D1">
      <w:pPr>
        <w:pStyle w:val="ListParagraph"/>
        <w:tabs>
          <w:tab w:val="left" w:pos="1701"/>
          <w:tab w:val="left" w:leader="dot" w:pos="7371"/>
        </w:tabs>
        <w:spacing w:line="240" w:lineRule="auto"/>
        <w:ind w:left="1440" w:hanging="22"/>
        <w:jc w:val="center"/>
        <w:rPr>
          <w:rFonts w:asciiTheme="majorBidi" w:hAnsiTheme="majorBidi" w:cstheme="majorBidi"/>
          <w:b/>
          <w:bCs/>
          <w:sz w:val="24"/>
          <w:szCs w:val="24"/>
        </w:rPr>
      </w:pPr>
      <w:r w:rsidRPr="005279AA">
        <w:rPr>
          <w:rFonts w:asciiTheme="majorBidi" w:eastAsiaTheme="minorEastAsia" w:hAnsiTheme="majorBidi" w:cstheme="majorBidi"/>
          <w:b/>
          <w:bCs/>
          <w:iCs/>
          <w:sz w:val="24"/>
          <w:szCs w:val="24"/>
        </w:rPr>
        <w:t xml:space="preserve">Hasil Uji </w:t>
      </w:r>
      <w:r>
        <w:rPr>
          <w:rFonts w:asciiTheme="majorBidi" w:eastAsiaTheme="minorEastAsia" w:hAnsiTheme="majorBidi" w:cstheme="majorBidi"/>
          <w:b/>
          <w:bCs/>
          <w:iCs/>
          <w:sz w:val="24"/>
          <w:szCs w:val="24"/>
        </w:rPr>
        <w:t>Multikolinearitas</w:t>
      </w:r>
    </w:p>
    <w:tbl>
      <w:tblPr>
        <w:tblW w:w="6760" w:type="dxa"/>
        <w:tblInd w:w="1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0"/>
        <w:gridCol w:w="907"/>
        <w:gridCol w:w="555"/>
        <w:gridCol w:w="1104"/>
        <w:gridCol w:w="1359"/>
        <w:gridCol w:w="685"/>
        <w:gridCol w:w="455"/>
        <w:gridCol w:w="861"/>
        <w:gridCol w:w="556"/>
        <w:gridCol w:w="48"/>
      </w:tblGrid>
      <w:tr w:rsidR="008A290E" w:rsidRPr="005279AA" w14:paraId="4A84BDE0" w14:textId="77777777" w:rsidTr="00E450F8">
        <w:trPr>
          <w:cantSplit/>
        </w:trPr>
        <w:tc>
          <w:tcPr>
            <w:tcW w:w="6760" w:type="dxa"/>
            <w:gridSpan w:val="10"/>
            <w:tcBorders>
              <w:top w:val="nil"/>
              <w:left w:val="nil"/>
              <w:bottom w:val="nil"/>
              <w:right w:val="nil"/>
            </w:tcBorders>
            <w:shd w:val="clear" w:color="auto" w:fill="FFFFFF"/>
            <w:vAlign w:val="center"/>
          </w:tcPr>
          <w:p w14:paraId="50FB0F3F"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Coefficients</w:t>
            </w:r>
            <w:r w:rsidRPr="005279AA">
              <w:rPr>
                <w:rFonts w:asciiTheme="majorBidi" w:hAnsiTheme="majorBidi" w:cstheme="majorBidi"/>
                <w:b/>
                <w:bCs/>
                <w:color w:val="000000"/>
                <w:sz w:val="18"/>
                <w:szCs w:val="18"/>
                <w:vertAlign w:val="superscript"/>
              </w:rPr>
              <w:t>a</w:t>
            </w:r>
          </w:p>
        </w:tc>
      </w:tr>
      <w:tr w:rsidR="00E450F8" w:rsidRPr="005279AA" w14:paraId="2A7F7D83" w14:textId="77777777" w:rsidTr="00E450F8">
        <w:trPr>
          <w:gridAfter w:val="1"/>
          <w:wAfter w:w="48" w:type="dxa"/>
          <w:cantSplit/>
        </w:trPr>
        <w:tc>
          <w:tcPr>
            <w:tcW w:w="1136" w:type="dxa"/>
            <w:gridSpan w:val="2"/>
            <w:vMerge w:val="restart"/>
            <w:tcBorders>
              <w:top w:val="single" w:sz="16" w:space="0" w:color="000000"/>
              <w:left w:val="single" w:sz="16" w:space="0" w:color="000000"/>
              <w:bottom w:val="nil"/>
              <w:right w:val="nil"/>
            </w:tcBorders>
            <w:shd w:val="clear" w:color="auto" w:fill="FFFFFF"/>
            <w:vAlign w:val="bottom"/>
          </w:tcPr>
          <w:p w14:paraId="617519FB"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1659" w:type="dxa"/>
            <w:gridSpan w:val="2"/>
            <w:tcBorders>
              <w:top w:val="single" w:sz="16" w:space="0" w:color="000000"/>
              <w:left w:val="single" w:sz="16" w:space="0" w:color="000000"/>
            </w:tcBorders>
            <w:shd w:val="clear" w:color="auto" w:fill="FFFFFF"/>
            <w:vAlign w:val="bottom"/>
          </w:tcPr>
          <w:p w14:paraId="6472A9B1"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Coefficients</w:t>
            </w:r>
          </w:p>
        </w:tc>
        <w:tc>
          <w:tcPr>
            <w:tcW w:w="1358" w:type="dxa"/>
            <w:tcBorders>
              <w:top w:val="single" w:sz="16" w:space="0" w:color="000000"/>
            </w:tcBorders>
            <w:shd w:val="clear" w:color="auto" w:fill="FFFFFF"/>
            <w:vAlign w:val="bottom"/>
          </w:tcPr>
          <w:p w14:paraId="1DE4E0A4"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Standardized Coefficients</w:t>
            </w:r>
          </w:p>
        </w:tc>
        <w:tc>
          <w:tcPr>
            <w:tcW w:w="684" w:type="dxa"/>
            <w:vMerge w:val="restart"/>
            <w:tcBorders>
              <w:top w:val="single" w:sz="16" w:space="0" w:color="000000"/>
            </w:tcBorders>
            <w:shd w:val="clear" w:color="auto" w:fill="FFFFFF"/>
            <w:vAlign w:val="bottom"/>
          </w:tcPr>
          <w:p w14:paraId="708AB849"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w:t>
            </w:r>
          </w:p>
        </w:tc>
        <w:tc>
          <w:tcPr>
            <w:tcW w:w="0" w:type="auto"/>
            <w:vMerge w:val="restart"/>
            <w:tcBorders>
              <w:top w:val="single" w:sz="16" w:space="0" w:color="000000"/>
            </w:tcBorders>
            <w:shd w:val="clear" w:color="auto" w:fill="FFFFFF"/>
            <w:vAlign w:val="bottom"/>
          </w:tcPr>
          <w:p w14:paraId="14CCB804"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Sig.</w:t>
            </w:r>
          </w:p>
        </w:tc>
        <w:tc>
          <w:tcPr>
            <w:tcW w:w="0" w:type="auto"/>
            <w:gridSpan w:val="2"/>
            <w:tcBorders>
              <w:top w:val="single" w:sz="16" w:space="0" w:color="000000"/>
              <w:right w:val="single" w:sz="16" w:space="0" w:color="000000"/>
            </w:tcBorders>
            <w:shd w:val="clear" w:color="auto" w:fill="FFFFFF"/>
            <w:vAlign w:val="bottom"/>
          </w:tcPr>
          <w:p w14:paraId="0CBC2FB9"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Collinearity Statistics</w:t>
            </w:r>
          </w:p>
        </w:tc>
      </w:tr>
      <w:tr w:rsidR="00E450F8" w:rsidRPr="005279AA" w14:paraId="490E6B57" w14:textId="77777777" w:rsidTr="00E450F8">
        <w:trPr>
          <w:gridAfter w:val="1"/>
          <w:wAfter w:w="48" w:type="dxa"/>
          <w:cantSplit/>
        </w:trPr>
        <w:tc>
          <w:tcPr>
            <w:tcW w:w="1136" w:type="dxa"/>
            <w:gridSpan w:val="2"/>
            <w:vMerge/>
            <w:tcBorders>
              <w:top w:val="single" w:sz="16" w:space="0" w:color="000000"/>
              <w:left w:val="single" w:sz="16" w:space="0" w:color="000000"/>
              <w:bottom w:val="nil"/>
              <w:right w:val="nil"/>
            </w:tcBorders>
            <w:shd w:val="clear" w:color="auto" w:fill="FFFFFF"/>
            <w:vAlign w:val="bottom"/>
          </w:tcPr>
          <w:p w14:paraId="77FED1FE"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left w:val="single" w:sz="16" w:space="0" w:color="000000"/>
              <w:bottom w:val="single" w:sz="16" w:space="0" w:color="000000"/>
            </w:tcBorders>
            <w:shd w:val="clear" w:color="auto" w:fill="FFFFFF"/>
            <w:vAlign w:val="bottom"/>
          </w:tcPr>
          <w:p w14:paraId="05CB017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w:t>
            </w:r>
          </w:p>
        </w:tc>
        <w:tc>
          <w:tcPr>
            <w:tcW w:w="1103" w:type="dxa"/>
            <w:tcBorders>
              <w:bottom w:val="single" w:sz="16" w:space="0" w:color="000000"/>
            </w:tcBorders>
            <w:shd w:val="clear" w:color="auto" w:fill="FFFFFF"/>
            <w:vAlign w:val="bottom"/>
          </w:tcPr>
          <w:p w14:paraId="58035C2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w:t>
            </w:r>
          </w:p>
        </w:tc>
        <w:tc>
          <w:tcPr>
            <w:tcW w:w="1358" w:type="dxa"/>
            <w:tcBorders>
              <w:bottom w:val="single" w:sz="16" w:space="0" w:color="000000"/>
            </w:tcBorders>
            <w:shd w:val="clear" w:color="auto" w:fill="FFFFFF"/>
            <w:vAlign w:val="bottom"/>
          </w:tcPr>
          <w:p w14:paraId="13F28FDF"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Beta</w:t>
            </w:r>
          </w:p>
        </w:tc>
        <w:tc>
          <w:tcPr>
            <w:tcW w:w="684" w:type="dxa"/>
            <w:vMerge/>
            <w:tcBorders>
              <w:top w:val="single" w:sz="16" w:space="0" w:color="000000"/>
            </w:tcBorders>
            <w:shd w:val="clear" w:color="auto" w:fill="FFFFFF"/>
            <w:vAlign w:val="bottom"/>
          </w:tcPr>
          <w:p w14:paraId="5B8619BA"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vMerge/>
            <w:tcBorders>
              <w:top w:val="single" w:sz="16" w:space="0" w:color="000000"/>
            </w:tcBorders>
            <w:shd w:val="clear" w:color="auto" w:fill="FFFFFF"/>
            <w:vAlign w:val="bottom"/>
          </w:tcPr>
          <w:p w14:paraId="4295EBDB"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bottom w:val="single" w:sz="16" w:space="0" w:color="000000"/>
            </w:tcBorders>
            <w:shd w:val="clear" w:color="auto" w:fill="FFFFFF"/>
            <w:vAlign w:val="bottom"/>
          </w:tcPr>
          <w:p w14:paraId="0C8610FF"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14:paraId="0E46B159"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VIF</w:t>
            </w:r>
          </w:p>
        </w:tc>
      </w:tr>
      <w:tr w:rsidR="00E450F8" w:rsidRPr="005279AA" w14:paraId="68C8A66B" w14:textId="77777777" w:rsidTr="00E450F8">
        <w:trPr>
          <w:gridAfter w:val="1"/>
          <w:wAfter w:w="48" w:type="dxa"/>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4938B16F"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906" w:type="dxa"/>
            <w:tcBorders>
              <w:top w:val="single" w:sz="16" w:space="0" w:color="000000"/>
              <w:left w:val="nil"/>
              <w:bottom w:val="nil"/>
              <w:right w:val="single" w:sz="16" w:space="0" w:color="000000"/>
            </w:tcBorders>
            <w:shd w:val="clear" w:color="auto" w:fill="FFFFFF"/>
          </w:tcPr>
          <w:p w14:paraId="1EFBDE72"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14:paraId="3F917D3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.553</w:t>
            </w:r>
          </w:p>
        </w:tc>
        <w:tc>
          <w:tcPr>
            <w:tcW w:w="1103" w:type="dxa"/>
            <w:tcBorders>
              <w:top w:val="single" w:sz="16" w:space="0" w:color="000000"/>
              <w:bottom w:val="nil"/>
            </w:tcBorders>
            <w:shd w:val="clear" w:color="auto" w:fill="FFFFFF"/>
            <w:vAlign w:val="center"/>
          </w:tcPr>
          <w:p w14:paraId="4B7CF9CC"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.082</w:t>
            </w:r>
          </w:p>
        </w:tc>
        <w:tc>
          <w:tcPr>
            <w:tcW w:w="1358" w:type="dxa"/>
            <w:tcBorders>
              <w:top w:val="single" w:sz="16" w:space="0" w:color="000000"/>
              <w:bottom w:val="nil"/>
            </w:tcBorders>
            <w:shd w:val="clear" w:color="auto" w:fill="FFFFFF"/>
            <w:vAlign w:val="center"/>
          </w:tcPr>
          <w:p w14:paraId="1487F302"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684" w:type="dxa"/>
            <w:tcBorders>
              <w:top w:val="single" w:sz="16" w:space="0" w:color="000000"/>
              <w:bottom w:val="nil"/>
            </w:tcBorders>
            <w:shd w:val="clear" w:color="auto" w:fill="FFFFFF"/>
            <w:vAlign w:val="center"/>
          </w:tcPr>
          <w:p w14:paraId="3E825CC8"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6.715</w:t>
            </w:r>
          </w:p>
        </w:tc>
        <w:tc>
          <w:tcPr>
            <w:tcW w:w="0" w:type="auto"/>
            <w:tcBorders>
              <w:top w:val="single" w:sz="16" w:space="0" w:color="000000"/>
              <w:bottom w:val="nil"/>
            </w:tcBorders>
            <w:shd w:val="clear" w:color="auto" w:fill="FFFFFF"/>
            <w:vAlign w:val="center"/>
          </w:tcPr>
          <w:p w14:paraId="2A2E4251"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c>
          <w:tcPr>
            <w:tcW w:w="0" w:type="auto"/>
            <w:tcBorders>
              <w:top w:val="single" w:sz="16" w:space="0" w:color="000000"/>
              <w:bottom w:val="nil"/>
            </w:tcBorders>
            <w:shd w:val="clear" w:color="auto" w:fill="FFFFFF"/>
            <w:vAlign w:val="center"/>
          </w:tcPr>
          <w:p w14:paraId="4BB2F936"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0" w:type="auto"/>
            <w:tcBorders>
              <w:top w:val="single" w:sz="16" w:space="0" w:color="000000"/>
              <w:bottom w:val="nil"/>
              <w:right w:val="single" w:sz="16" w:space="0" w:color="000000"/>
            </w:tcBorders>
            <w:shd w:val="clear" w:color="auto" w:fill="FFFFFF"/>
            <w:vAlign w:val="center"/>
          </w:tcPr>
          <w:p w14:paraId="2C0F7A04"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r>
      <w:tr w:rsidR="00E450F8" w:rsidRPr="005279AA" w14:paraId="6036D610" w14:textId="77777777" w:rsidTr="00E450F8">
        <w:trPr>
          <w:gridAfter w:val="1"/>
          <w:wAfter w:w="48"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4A55533"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06" w:type="dxa"/>
            <w:tcBorders>
              <w:top w:val="nil"/>
              <w:left w:val="nil"/>
              <w:bottom w:val="nil"/>
              <w:right w:val="single" w:sz="16" w:space="0" w:color="000000"/>
            </w:tcBorders>
            <w:shd w:val="clear" w:color="auto" w:fill="FFFFFF"/>
          </w:tcPr>
          <w:p w14:paraId="05C268D0"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0" w:type="auto"/>
            <w:tcBorders>
              <w:top w:val="nil"/>
              <w:left w:val="single" w:sz="16" w:space="0" w:color="000000"/>
              <w:bottom w:val="nil"/>
            </w:tcBorders>
            <w:shd w:val="clear" w:color="auto" w:fill="FFFFFF"/>
            <w:vAlign w:val="center"/>
          </w:tcPr>
          <w:p w14:paraId="0E3B9A9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1.348</w:t>
            </w:r>
          </w:p>
        </w:tc>
        <w:tc>
          <w:tcPr>
            <w:tcW w:w="1103" w:type="dxa"/>
            <w:tcBorders>
              <w:top w:val="nil"/>
              <w:bottom w:val="nil"/>
            </w:tcBorders>
            <w:shd w:val="clear" w:color="auto" w:fill="FFFFFF"/>
            <w:vAlign w:val="center"/>
          </w:tcPr>
          <w:p w14:paraId="1FA6D1C6"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.347</w:t>
            </w:r>
          </w:p>
        </w:tc>
        <w:tc>
          <w:tcPr>
            <w:tcW w:w="1358" w:type="dxa"/>
            <w:tcBorders>
              <w:top w:val="nil"/>
              <w:bottom w:val="nil"/>
            </w:tcBorders>
            <w:shd w:val="clear" w:color="auto" w:fill="FFFFFF"/>
            <w:vAlign w:val="center"/>
          </w:tcPr>
          <w:p w14:paraId="5DCA6BE0"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.490</w:t>
            </w:r>
          </w:p>
        </w:tc>
        <w:tc>
          <w:tcPr>
            <w:tcW w:w="684" w:type="dxa"/>
            <w:tcBorders>
              <w:top w:val="nil"/>
              <w:bottom w:val="nil"/>
            </w:tcBorders>
            <w:shd w:val="clear" w:color="auto" w:fill="FFFFFF"/>
            <w:vAlign w:val="center"/>
          </w:tcPr>
          <w:p w14:paraId="39994D2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3.886</w:t>
            </w:r>
          </w:p>
        </w:tc>
        <w:tc>
          <w:tcPr>
            <w:tcW w:w="0" w:type="auto"/>
            <w:tcBorders>
              <w:top w:val="nil"/>
              <w:bottom w:val="nil"/>
            </w:tcBorders>
            <w:shd w:val="clear" w:color="auto" w:fill="FFFFFF"/>
            <w:vAlign w:val="center"/>
          </w:tcPr>
          <w:p w14:paraId="49310C9C"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c>
          <w:tcPr>
            <w:tcW w:w="0" w:type="auto"/>
            <w:tcBorders>
              <w:top w:val="nil"/>
              <w:bottom w:val="nil"/>
            </w:tcBorders>
            <w:shd w:val="clear" w:color="auto" w:fill="FFFFFF"/>
            <w:vAlign w:val="center"/>
          </w:tcPr>
          <w:p w14:paraId="79BD8EC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.522</w:t>
            </w:r>
          </w:p>
        </w:tc>
        <w:tc>
          <w:tcPr>
            <w:tcW w:w="0" w:type="auto"/>
            <w:tcBorders>
              <w:top w:val="nil"/>
              <w:bottom w:val="nil"/>
              <w:right w:val="single" w:sz="16" w:space="0" w:color="000000"/>
            </w:tcBorders>
            <w:shd w:val="clear" w:color="auto" w:fill="FFFFFF"/>
            <w:vAlign w:val="center"/>
          </w:tcPr>
          <w:p w14:paraId="781BDE9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1.915</w:t>
            </w:r>
          </w:p>
        </w:tc>
      </w:tr>
      <w:tr w:rsidR="00E450F8" w:rsidRPr="005279AA" w14:paraId="6F0E2C33" w14:textId="77777777" w:rsidTr="00E450F8">
        <w:trPr>
          <w:gridAfter w:val="1"/>
          <w:wAfter w:w="48"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2BF1F38"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906" w:type="dxa"/>
            <w:tcBorders>
              <w:top w:val="nil"/>
              <w:left w:val="nil"/>
              <w:bottom w:val="nil"/>
              <w:right w:val="single" w:sz="16" w:space="0" w:color="000000"/>
            </w:tcBorders>
            <w:shd w:val="clear" w:color="auto" w:fill="FFFFFF"/>
          </w:tcPr>
          <w:p w14:paraId="691D8766"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0" w:type="auto"/>
            <w:tcBorders>
              <w:top w:val="nil"/>
              <w:left w:val="single" w:sz="16" w:space="0" w:color="000000"/>
              <w:bottom w:val="nil"/>
            </w:tcBorders>
            <w:shd w:val="clear" w:color="auto" w:fill="FFFFFF"/>
            <w:vAlign w:val="center"/>
          </w:tcPr>
          <w:p w14:paraId="2CE04F0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-.032</w:t>
            </w:r>
          </w:p>
        </w:tc>
        <w:tc>
          <w:tcPr>
            <w:tcW w:w="1103" w:type="dxa"/>
            <w:tcBorders>
              <w:top w:val="nil"/>
              <w:bottom w:val="nil"/>
            </w:tcBorders>
            <w:shd w:val="clear" w:color="auto" w:fill="FFFFFF"/>
            <w:vAlign w:val="center"/>
          </w:tcPr>
          <w:p w14:paraId="344402B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.013</w:t>
            </w:r>
          </w:p>
        </w:tc>
        <w:tc>
          <w:tcPr>
            <w:tcW w:w="1358" w:type="dxa"/>
            <w:tcBorders>
              <w:top w:val="nil"/>
              <w:bottom w:val="nil"/>
            </w:tcBorders>
            <w:shd w:val="clear" w:color="auto" w:fill="FFFFFF"/>
            <w:vAlign w:val="center"/>
          </w:tcPr>
          <w:p w14:paraId="30287A59"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-.340</w:t>
            </w:r>
          </w:p>
        </w:tc>
        <w:tc>
          <w:tcPr>
            <w:tcW w:w="684" w:type="dxa"/>
            <w:tcBorders>
              <w:top w:val="nil"/>
              <w:bottom w:val="nil"/>
            </w:tcBorders>
            <w:shd w:val="clear" w:color="auto" w:fill="FFFFFF"/>
            <w:vAlign w:val="center"/>
          </w:tcPr>
          <w:p w14:paraId="1BEA82B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-2.475</w:t>
            </w:r>
          </w:p>
        </w:tc>
        <w:tc>
          <w:tcPr>
            <w:tcW w:w="0" w:type="auto"/>
            <w:tcBorders>
              <w:top w:val="nil"/>
              <w:bottom w:val="nil"/>
            </w:tcBorders>
            <w:shd w:val="clear" w:color="auto" w:fill="FFFFFF"/>
            <w:vAlign w:val="center"/>
          </w:tcPr>
          <w:p w14:paraId="0EA4C2C1"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.016</w:t>
            </w:r>
          </w:p>
        </w:tc>
        <w:tc>
          <w:tcPr>
            <w:tcW w:w="0" w:type="auto"/>
            <w:tcBorders>
              <w:top w:val="nil"/>
              <w:bottom w:val="nil"/>
            </w:tcBorders>
            <w:shd w:val="clear" w:color="auto" w:fill="FFFFFF"/>
            <w:vAlign w:val="center"/>
          </w:tcPr>
          <w:p w14:paraId="61D022A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.439</w:t>
            </w:r>
          </w:p>
        </w:tc>
        <w:tc>
          <w:tcPr>
            <w:tcW w:w="0" w:type="auto"/>
            <w:tcBorders>
              <w:top w:val="nil"/>
              <w:bottom w:val="nil"/>
              <w:right w:val="single" w:sz="16" w:space="0" w:color="000000"/>
            </w:tcBorders>
            <w:shd w:val="clear" w:color="auto" w:fill="FFFFFF"/>
            <w:vAlign w:val="center"/>
          </w:tcPr>
          <w:p w14:paraId="08CE57E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2.275</w:t>
            </w:r>
          </w:p>
        </w:tc>
      </w:tr>
      <w:tr w:rsidR="00E450F8" w:rsidRPr="005279AA" w14:paraId="7600384E" w14:textId="77777777" w:rsidTr="00E450F8">
        <w:trPr>
          <w:gridAfter w:val="1"/>
          <w:wAfter w:w="48"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DC29C16"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906" w:type="dxa"/>
            <w:tcBorders>
              <w:top w:val="nil"/>
              <w:left w:val="nil"/>
              <w:bottom w:val="nil"/>
              <w:right w:val="single" w:sz="16" w:space="0" w:color="000000"/>
            </w:tcBorders>
            <w:shd w:val="clear" w:color="auto" w:fill="FFFFFF"/>
          </w:tcPr>
          <w:p w14:paraId="7DEABFB2"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0" w:type="auto"/>
            <w:tcBorders>
              <w:top w:val="nil"/>
              <w:left w:val="single" w:sz="16" w:space="0" w:color="000000"/>
              <w:bottom w:val="nil"/>
            </w:tcBorders>
            <w:shd w:val="clear" w:color="auto" w:fill="FFFFFF"/>
            <w:vAlign w:val="center"/>
          </w:tcPr>
          <w:p w14:paraId="31C90959"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-.067</w:t>
            </w:r>
          </w:p>
        </w:tc>
        <w:tc>
          <w:tcPr>
            <w:tcW w:w="1103" w:type="dxa"/>
            <w:tcBorders>
              <w:top w:val="nil"/>
              <w:bottom w:val="nil"/>
            </w:tcBorders>
            <w:shd w:val="clear" w:color="auto" w:fill="FFFFFF"/>
            <w:vAlign w:val="center"/>
          </w:tcPr>
          <w:p w14:paraId="0878749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.024</w:t>
            </w:r>
          </w:p>
        </w:tc>
        <w:tc>
          <w:tcPr>
            <w:tcW w:w="1358" w:type="dxa"/>
            <w:tcBorders>
              <w:top w:val="nil"/>
              <w:bottom w:val="nil"/>
            </w:tcBorders>
            <w:shd w:val="clear" w:color="auto" w:fill="FFFFFF"/>
            <w:vAlign w:val="center"/>
          </w:tcPr>
          <w:p w14:paraId="101CEBB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-.381</w:t>
            </w:r>
          </w:p>
        </w:tc>
        <w:tc>
          <w:tcPr>
            <w:tcW w:w="684" w:type="dxa"/>
            <w:tcBorders>
              <w:top w:val="nil"/>
              <w:bottom w:val="nil"/>
            </w:tcBorders>
            <w:shd w:val="clear" w:color="auto" w:fill="FFFFFF"/>
            <w:vAlign w:val="center"/>
          </w:tcPr>
          <w:p w14:paraId="408AB94C"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-2.743</w:t>
            </w:r>
          </w:p>
        </w:tc>
        <w:tc>
          <w:tcPr>
            <w:tcW w:w="0" w:type="auto"/>
            <w:tcBorders>
              <w:top w:val="nil"/>
              <w:bottom w:val="nil"/>
            </w:tcBorders>
            <w:shd w:val="clear" w:color="auto" w:fill="FFFFFF"/>
            <w:vAlign w:val="center"/>
          </w:tcPr>
          <w:p w14:paraId="24F363D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.008</w:t>
            </w:r>
          </w:p>
        </w:tc>
        <w:tc>
          <w:tcPr>
            <w:tcW w:w="0" w:type="auto"/>
            <w:tcBorders>
              <w:top w:val="nil"/>
              <w:bottom w:val="nil"/>
            </w:tcBorders>
            <w:shd w:val="clear" w:color="auto" w:fill="FFFFFF"/>
            <w:vAlign w:val="center"/>
          </w:tcPr>
          <w:p w14:paraId="2849F0A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.429</w:t>
            </w:r>
          </w:p>
        </w:tc>
        <w:tc>
          <w:tcPr>
            <w:tcW w:w="0" w:type="auto"/>
            <w:tcBorders>
              <w:top w:val="nil"/>
              <w:bottom w:val="nil"/>
              <w:right w:val="single" w:sz="16" w:space="0" w:color="000000"/>
            </w:tcBorders>
            <w:shd w:val="clear" w:color="auto" w:fill="FFFFFF"/>
            <w:vAlign w:val="center"/>
          </w:tcPr>
          <w:p w14:paraId="37A2A77D"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2.331</w:t>
            </w:r>
          </w:p>
        </w:tc>
      </w:tr>
      <w:tr w:rsidR="00E450F8" w:rsidRPr="005279AA" w14:paraId="6AA2FDDF" w14:textId="77777777" w:rsidTr="00E450F8">
        <w:trPr>
          <w:gridAfter w:val="1"/>
          <w:wAfter w:w="48"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17CF6A2"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906" w:type="dxa"/>
            <w:tcBorders>
              <w:top w:val="nil"/>
              <w:left w:val="nil"/>
              <w:bottom w:val="nil"/>
              <w:right w:val="single" w:sz="16" w:space="0" w:color="000000"/>
            </w:tcBorders>
            <w:shd w:val="clear" w:color="auto" w:fill="FFFFFF"/>
          </w:tcPr>
          <w:p w14:paraId="320E66B7"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0" w:type="auto"/>
            <w:tcBorders>
              <w:top w:val="nil"/>
              <w:left w:val="single" w:sz="16" w:space="0" w:color="000000"/>
              <w:bottom w:val="nil"/>
            </w:tcBorders>
            <w:shd w:val="clear" w:color="auto" w:fill="FFFFFF"/>
            <w:vAlign w:val="center"/>
          </w:tcPr>
          <w:p w14:paraId="6D87475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.080</w:t>
            </w:r>
          </w:p>
        </w:tc>
        <w:tc>
          <w:tcPr>
            <w:tcW w:w="1103" w:type="dxa"/>
            <w:tcBorders>
              <w:top w:val="nil"/>
              <w:bottom w:val="nil"/>
            </w:tcBorders>
            <w:shd w:val="clear" w:color="auto" w:fill="FFFFFF"/>
            <w:vAlign w:val="center"/>
          </w:tcPr>
          <w:p w14:paraId="79C96155"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.118</w:t>
            </w:r>
          </w:p>
        </w:tc>
        <w:tc>
          <w:tcPr>
            <w:tcW w:w="1358" w:type="dxa"/>
            <w:tcBorders>
              <w:top w:val="nil"/>
              <w:bottom w:val="nil"/>
            </w:tcBorders>
            <w:shd w:val="clear" w:color="auto" w:fill="FFFFFF"/>
            <w:vAlign w:val="center"/>
          </w:tcPr>
          <w:p w14:paraId="3DA7F86F"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.108</w:t>
            </w:r>
          </w:p>
        </w:tc>
        <w:tc>
          <w:tcPr>
            <w:tcW w:w="684" w:type="dxa"/>
            <w:tcBorders>
              <w:top w:val="nil"/>
              <w:bottom w:val="nil"/>
            </w:tcBorders>
            <w:shd w:val="clear" w:color="auto" w:fill="FFFFFF"/>
            <w:vAlign w:val="center"/>
          </w:tcPr>
          <w:p w14:paraId="6FF28C38"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.675</w:t>
            </w:r>
          </w:p>
        </w:tc>
        <w:tc>
          <w:tcPr>
            <w:tcW w:w="0" w:type="auto"/>
            <w:tcBorders>
              <w:top w:val="nil"/>
              <w:bottom w:val="nil"/>
            </w:tcBorders>
            <w:shd w:val="clear" w:color="auto" w:fill="FFFFFF"/>
            <w:vAlign w:val="center"/>
          </w:tcPr>
          <w:p w14:paraId="46FA2EA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.502</w:t>
            </w:r>
          </w:p>
        </w:tc>
        <w:tc>
          <w:tcPr>
            <w:tcW w:w="0" w:type="auto"/>
            <w:tcBorders>
              <w:top w:val="nil"/>
              <w:bottom w:val="nil"/>
            </w:tcBorders>
            <w:shd w:val="clear" w:color="auto" w:fill="FFFFFF"/>
            <w:vAlign w:val="center"/>
          </w:tcPr>
          <w:p w14:paraId="06DC0B7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.326</w:t>
            </w:r>
          </w:p>
        </w:tc>
        <w:tc>
          <w:tcPr>
            <w:tcW w:w="0" w:type="auto"/>
            <w:tcBorders>
              <w:top w:val="nil"/>
              <w:bottom w:val="nil"/>
              <w:right w:val="single" w:sz="16" w:space="0" w:color="000000"/>
            </w:tcBorders>
            <w:shd w:val="clear" w:color="auto" w:fill="FFFFFF"/>
            <w:vAlign w:val="center"/>
          </w:tcPr>
          <w:p w14:paraId="42AFBAED"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3.069</w:t>
            </w:r>
          </w:p>
        </w:tc>
      </w:tr>
      <w:tr w:rsidR="00E450F8" w:rsidRPr="005279AA" w14:paraId="45072F6B" w14:textId="77777777" w:rsidTr="00E450F8">
        <w:trPr>
          <w:gridAfter w:val="1"/>
          <w:wAfter w:w="48"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9F243CF"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906" w:type="dxa"/>
            <w:tcBorders>
              <w:top w:val="nil"/>
              <w:left w:val="nil"/>
              <w:bottom w:val="single" w:sz="16" w:space="0" w:color="000000"/>
              <w:right w:val="single" w:sz="16" w:space="0" w:color="000000"/>
            </w:tcBorders>
            <w:shd w:val="clear" w:color="auto" w:fill="FFFFFF"/>
          </w:tcPr>
          <w:p w14:paraId="2E200FFA"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KI</w:t>
            </w:r>
          </w:p>
        </w:tc>
        <w:tc>
          <w:tcPr>
            <w:tcW w:w="0" w:type="auto"/>
            <w:tcBorders>
              <w:top w:val="nil"/>
              <w:left w:val="single" w:sz="16" w:space="0" w:color="000000"/>
              <w:bottom w:val="single" w:sz="16" w:space="0" w:color="000000"/>
            </w:tcBorders>
            <w:shd w:val="clear" w:color="auto" w:fill="FFFFFF"/>
            <w:vAlign w:val="center"/>
          </w:tcPr>
          <w:p w14:paraId="1F11B101"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.249</w:t>
            </w:r>
          </w:p>
        </w:tc>
        <w:tc>
          <w:tcPr>
            <w:tcW w:w="1103" w:type="dxa"/>
            <w:tcBorders>
              <w:top w:val="nil"/>
              <w:bottom w:val="single" w:sz="16" w:space="0" w:color="000000"/>
            </w:tcBorders>
            <w:shd w:val="clear" w:color="auto" w:fill="FFFFFF"/>
            <w:vAlign w:val="center"/>
          </w:tcPr>
          <w:p w14:paraId="04C03C46"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.145</w:t>
            </w:r>
          </w:p>
        </w:tc>
        <w:tc>
          <w:tcPr>
            <w:tcW w:w="1358" w:type="dxa"/>
            <w:tcBorders>
              <w:top w:val="nil"/>
              <w:bottom w:val="single" w:sz="16" w:space="0" w:color="000000"/>
            </w:tcBorders>
            <w:shd w:val="clear" w:color="auto" w:fill="FFFFFF"/>
            <w:vAlign w:val="center"/>
          </w:tcPr>
          <w:p w14:paraId="5DD4F2C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.197</w:t>
            </w:r>
          </w:p>
        </w:tc>
        <w:tc>
          <w:tcPr>
            <w:tcW w:w="684" w:type="dxa"/>
            <w:tcBorders>
              <w:top w:val="nil"/>
              <w:bottom w:val="single" w:sz="16" w:space="0" w:color="000000"/>
            </w:tcBorders>
            <w:shd w:val="clear" w:color="auto" w:fill="FFFFFF"/>
            <w:vAlign w:val="center"/>
          </w:tcPr>
          <w:p w14:paraId="4D731369"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1.716</w:t>
            </w:r>
          </w:p>
        </w:tc>
        <w:tc>
          <w:tcPr>
            <w:tcW w:w="0" w:type="auto"/>
            <w:tcBorders>
              <w:top w:val="nil"/>
              <w:bottom w:val="single" w:sz="16" w:space="0" w:color="000000"/>
            </w:tcBorders>
            <w:shd w:val="clear" w:color="auto" w:fill="FFFFFF"/>
            <w:vAlign w:val="center"/>
          </w:tcPr>
          <w:p w14:paraId="52BC8FC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.091</w:t>
            </w:r>
          </w:p>
        </w:tc>
        <w:tc>
          <w:tcPr>
            <w:tcW w:w="0" w:type="auto"/>
            <w:tcBorders>
              <w:top w:val="nil"/>
              <w:bottom w:val="single" w:sz="16" w:space="0" w:color="000000"/>
            </w:tcBorders>
            <w:shd w:val="clear" w:color="auto" w:fill="FFFFFF"/>
            <w:vAlign w:val="center"/>
          </w:tcPr>
          <w:p w14:paraId="26E520C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.631</w:t>
            </w:r>
          </w:p>
        </w:tc>
        <w:tc>
          <w:tcPr>
            <w:tcW w:w="0" w:type="auto"/>
            <w:tcBorders>
              <w:top w:val="nil"/>
              <w:bottom w:val="single" w:sz="16" w:space="0" w:color="000000"/>
              <w:right w:val="single" w:sz="16" w:space="0" w:color="000000"/>
            </w:tcBorders>
            <w:shd w:val="clear" w:color="auto" w:fill="FFFFFF"/>
            <w:vAlign w:val="center"/>
          </w:tcPr>
          <w:p w14:paraId="3F268D4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1.585</w:t>
            </w:r>
          </w:p>
        </w:tc>
      </w:tr>
      <w:tr w:rsidR="008A290E" w:rsidRPr="005279AA" w14:paraId="4D3053D1" w14:textId="77777777" w:rsidTr="00E450F8">
        <w:trPr>
          <w:cantSplit/>
        </w:trPr>
        <w:tc>
          <w:tcPr>
            <w:tcW w:w="6760" w:type="dxa"/>
            <w:gridSpan w:val="10"/>
            <w:tcBorders>
              <w:top w:val="nil"/>
              <w:left w:val="nil"/>
              <w:bottom w:val="nil"/>
              <w:right w:val="nil"/>
            </w:tcBorders>
            <w:shd w:val="clear" w:color="auto" w:fill="FFFFFF"/>
          </w:tcPr>
          <w:p w14:paraId="3FB2E60D"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Dependent Variable: DPR</w:t>
            </w:r>
          </w:p>
        </w:tc>
      </w:tr>
    </w:tbl>
    <w:p w14:paraId="77658525" w14:textId="77777777" w:rsidR="00B516F9" w:rsidRPr="005279AA" w:rsidRDefault="00B516F9" w:rsidP="00BF76D1">
      <w:pPr>
        <w:pStyle w:val="ListParagraph"/>
        <w:tabs>
          <w:tab w:val="left" w:pos="1701"/>
        </w:tabs>
        <w:spacing w:line="480" w:lineRule="auto"/>
        <w:ind w:left="1418"/>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4D478882" w14:textId="77777777" w:rsidR="00010E28" w:rsidRPr="005279AA" w:rsidRDefault="00010E28" w:rsidP="00BF76D1">
      <w:pPr>
        <w:pStyle w:val="ListParagraph"/>
        <w:tabs>
          <w:tab w:val="left" w:pos="1701"/>
        </w:tabs>
        <w:rPr>
          <w:rFonts w:asciiTheme="majorBidi" w:eastAsiaTheme="minorEastAsia" w:hAnsiTheme="majorBidi" w:cstheme="majorBidi"/>
          <w:iCs/>
          <w:sz w:val="24"/>
          <w:szCs w:val="24"/>
        </w:rPr>
      </w:pPr>
    </w:p>
    <w:p w14:paraId="32E6E3FC" w14:textId="096AC1C1" w:rsidR="00C05E08" w:rsidRPr="005279AA" w:rsidRDefault="006C606A"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lastRenderedPageBreak/>
        <w:t xml:space="preserve">Berdasarkan tabel diatas diperoleh </w:t>
      </w:r>
      <w:r w:rsidR="00BE49DD" w:rsidRPr="005279AA">
        <w:rPr>
          <w:rFonts w:asciiTheme="majorBidi" w:hAnsiTheme="majorBidi" w:cstheme="majorBidi"/>
          <w:sz w:val="24"/>
          <w:szCs w:val="24"/>
        </w:rPr>
        <w:t>hasil perhitungan uji multikolinieritas, diketahui bahwa angka VIF</w:t>
      </w:r>
      <w:r w:rsidR="002910EE" w:rsidRPr="005279AA">
        <w:rPr>
          <w:rFonts w:asciiTheme="majorBidi" w:hAnsiTheme="majorBidi" w:cstheme="majorBidi"/>
          <w:sz w:val="24"/>
          <w:szCs w:val="24"/>
        </w:rPr>
        <w:t xml:space="preserve"> untuk variabel </w:t>
      </w:r>
      <w:r w:rsidR="002910EE" w:rsidRPr="005279AA">
        <w:rPr>
          <w:rFonts w:asciiTheme="majorBidi" w:hAnsiTheme="majorBidi" w:cstheme="majorBidi"/>
          <w:i/>
          <w:iCs/>
          <w:sz w:val="24"/>
          <w:szCs w:val="24"/>
        </w:rPr>
        <w:t>Re</w:t>
      </w:r>
      <w:r w:rsidR="00735E97" w:rsidRPr="005279AA">
        <w:rPr>
          <w:rFonts w:asciiTheme="majorBidi" w:hAnsiTheme="majorBidi" w:cstheme="majorBidi"/>
          <w:i/>
          <w:iCs/>
          <w:sz w:val="24"/>
          <w:szCs w:val="24"/>
        </w:rPr>
        <w:t>t</w:t>
      </w:r>
      <w:r w:rsidR="002910EE" w:rsidRPr="005279AA">
        <w:rPr>
          <w:rFonts w:asciiTheme="majorBidi" w:hAnsiTheme="majorBidi" w:cstheme="majorBidi"/>
          <w:i/>
          <w:iCs/>
          <w:sz w:val="24"/>
          <w:szCs w:val="24"/>
        </w:rPr>
        <w:t>u</w:t>
      </w:r>
      <w:r w:rsidR="008A290E" w:rsidRPr="005279AA">
        <w:rPr>
          <w:rFonts w:asciiTheme="majorBidi" w:hAnsiTheme="majorBidi" w:cstheme="majorBidi"/>
          <w:i/>
          <w:iCs/>
          <w:sz w:val="24"/>
          <w:szCs w:val="24"/>
        </w:rPr>
        <w:t>r</w:t>
      </w:r>
      <w:r w:rsidR="002910EE" w:rsidRPr="005279AA">
        <w:rPr>
          <w:rFonts w:asciiTheme="majorBidi" w:hAnsiTheme="majorBidi" w:cstheme="majorBidi"/>
          <w:i/>
          <w:iCs/>
          <w:sz w:val="24"/>
          <w:szCs w:val="24"/>
        </w:rPr>
        <w:t>n on Asset</w:t>
      </w:r>
      <w:r w:rsidR="002910EE" w:rsidRPr="005279AA">
        <w:rPr>
          <w:rFonts w:asciiTheme="majorBidi" w:hAnsiTheme="majorBidi" w:cstheme="majorBidi"/>
          <w:sz w:val="24"/>
          <w:szCs w:val="24"/>
        </w:rPr>
        <w:t xml:space="preserve"> (ROA) sebesar </w:t>
      </w:r>
      <w:r w:rsidR="002E6626" w:rsidRPr="005279AA">
        <w:rPr>
          <w:rFonts w:asciiTheme="majorBidi" w:hAnsiTheme="majorBidi" w:cstheme="majorBidi"/>
          <w:sz w:val="24"/>
          <w:szCs w:val="24"/>
        </w:rPr>
        <w:t>1,</w:t>
      </w:r>
      <w:r w:rsidR="008A290E" w:rsidRPr="005279AA">
        <w:rPr>
          <w:rFonts w:asciiTheme="majorBidi" w:hAnsiTheme="majorBidi" w:cstheme="majorBidi"/>
          <w:sz w:val="24"/>
          <w:szCs w:val="24"/>
        </w:rPr>
        <w:t>915</w:t>
      </w:r>
      <w:r w:rsidR="002910EE" w:rsidRPr="005279AA">
        <w:rPr>
          <w:rFonts w:asciiTheme="majorBidi" w:hAnsiTheme="majorBidi" w:cstheme="majorBidi"/>
          <w:sz w:val="24"/>
          <w:szCs w:val="24"/>
        </w:rPr>
        <w:t xml:space="preserve">; untuk variabel </w:t>
      </w:r>
      <w:r w:rsidR="002910EE" w:rsidRPr="005279AA">
        <w:rPr>
          <w:rFonts w:asciiTheme="majorBidi" w:hAnsiTheme="majorBidi" w:cstheme="majorBidi"/>
          <w:i/>
          <w:iCs/>
          <w:sz w:val="24"/>
          <w:szCs w:val="24"/>
        </w:rPr>
        <w:t>Current Ratio</w:t>
      </w:r>
      <w:r w:rsidR="002910EE" w:rsidRPr="005279AA">
        <w:rPr>
          <w:rFonts w:asciiTheme="majorBidi" w:hAnsiTheme="majorBidi" w:cstheme="majorBidi"/>
          <w:sz w:val="24"/>
          <w:szCs w:val="24"/>
        </w:rPr>
        <w:t xml:space="preserve"> (CR) sebesar 2,</w:t>
      </w:r>
      <w:r w:rsidR="008A290E" w:rsidRPr="005279AA">
        <w:rPr>
          <w:rFonts w:asciiTheme="majorBidi" w:hAnsiTheme="majorBidi" w:cstheme="majorBidi"/>
          <w:sz w:val="24"/>
          <w:szCs w:val="24"/>
        </w:rPr>
        <w:t>275</w:t>
      </w:r>
      <w:r w:rsidR="002910EE" w:rsidRPr="005279AA">
        <w:rPr>
          <w:rFonts w:asciiTheme="majorBidi" w:hAnsiTheme="majorBidi" w:cstheme="majorBidi"/>
          <w:sz w:val="24"/>
          <w:szCs w:val="24"/>
        </w:rPr>
        <w:t xml:space="preserve">; untuk </w:t>
      </w:r>
      <w:r w:rsidR="002910EE" w:rsidRPr="005279AA">
        <w:rPr>
          <w:rFonts w:asciiTheme="majorBidi" w:hAnsiTheme="majorBidi" w:cstheme="majorBidi"/>
          <w:i/>
          <w:iCs/>
          <w:sz w:val="24"/>
          <w:szCs w:val="24"/>
        </w:rPr>
        <w:t>variabel Debt to Equity Ratio</w:t>
      </w:r>
      <w:r w:rsidR="002910EE" w:rsidRPr="005279AA">
        <w:rPr>
          <w:rFonts w:asciiTheme="majorBidi" w:hAnsiTheme="majorBidi" w:cstheme="majorBidi"/>
          <w:sz w:val="24"/>
          <w:szCs w:val="24"/>
        </w:rPr>
        <w:t xml:space="preserve"> (DER) sebesar </w:t>
      </w:r>
      <w:r w:rsidR="002E6626" w:rsidRPr="005279AA">
        <w:rPr>
          <w:rFonts w:asciiTheme="majorBidi" w:hAnsiTheme="majorBidi" w:cstheme="majorBidi"/>
          <w:sz w:val="24"/>
          <w:szCs w:val="24"/>
        </w:rPr>
        <w:t>2,</w:t>
      </w:r>
      <w:r w:rsidR="008A290E" w:rsidRPr="005279AA">
        <w:rPr>
          <w:rFonts w:asciiTheme="majorBidi" w:hAnsiTheme="majorBidi" w:cstheme="majorBidi"/>
          <w:sz w:val="24"/>
          <w:szCs w:val="24"/>
        </w:rPr>
        <w:t>331</w:t>
      </w:r>
      <w:r w:rsidR="002910EE" w:rsidRPr="005279AA">
        <w:rPr>
          <w:rFonts w:asciiTheme="majorBidi" w:hAnsiTheme="majorBidi" w:cstheme="majorBidi"/>
          <w:sz w:val="24"/>
          <w:szCs w:val="24"/>
        </w:rPr>
        <w:t xml:space="preserve">; untuk variabel </w:t>
      </w:r>
      <w:r w:rsidR="002910EE" w:rsidRPr="005279AA">
        <w:rPr>
          <w:rFonts w:asciiTheme="majorBidi" w:hAnsiTheme="majorBidi" w:cstheme="majorBidi"/>
          <w:i/>
          <w:iCs/>
          <w:sz w:val="24"/>
          <w:szCs w:val="24"/>
        </w:rPr>
        <w:t>Free Cash Flow</w:t>
      </w:r>
      <w:r w:rsidR="002910EE" w:rsidRPr="005279AA">
        <w:rPr>
          <w:rFonts w:asciiTheme="majorBidi" w:hAnsiTheme="majorBidi" w:cstheme="majorBidi"/>
          <w:sz w:val="24"/>
          <w:szCs w:val="24"/>
        </w:rPr>
        <w:t xml:space="preserve"> (FCF) sebesar </w:t>
      </w:r>
      <w:r w:rsidR="002E6626" w:rsidRPr="005279AA">
        <w:rPr>
          <w:rFonts w:asciiTheme="majorBidi" w:hAnsiTheme="majorBidi" w:cstheme="majorBidi"/>
          <w:sz w:val="24"/>
          <w:szCs w:val="24"/>
        </w:rPr>
        <w:t>3,0</w:t>
      </w:r>
      <w:r w:rsidR="008A290E" w:rsidRPr="005279AA">
        <w:rPr>
          <w:rFonts w:asciiTheme="majorBidi" w:hAnsiTheme="majorBidi" w:cstheme="majorBidi"/>
          <w:sz w:val="24"/>
          <w:szCs w:val="24"/>
        </w:rPr>
        <w:t>69; untuk kepemilikan institusional (KI) sebesar 1,585</w:t>
      </w:r>
      <w:r w:rsidR="002910EE" w:rsidRPr="005279AA">
        <w:rPr>
          <w:rFonts w:asciiTheme="majorBidi" w:hAnsiTheme="majorBidi" w:cstheme="majorBidi"/>
          <w:sz w:val="24"/>
          <w:szCs w:val="24"/>
        </w:rPr>
        <w:t xml:space="preserve"> yang lebih kecil dari 10 sehingga tidak melebihi vatas nilai VIF yang delah ditentukan yaitu maksimal sebesar 10. Dengan demikian dapat disimpulkan bahwa model regresi tersebut tidak terdapat masalah multikolinieritas.</w:t>
      </w:r>
    </w:p>
    <w:p w14:paraId="03E99E05" w14:textId="1FA3F210" w:rsidR="00213366" w:rsidRPr="005279AA" w:rsidRDefault="00503238" w:rsidP="00BF76D1">
      <w:pPr>
        <w:pStyle w:val="ListParagraph"/>
        <w:numPr>
          <w:ilvl w:val="0"/>
          <w:numId w:val="46"/>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Uji Hetero</w:t>
      </w:r>
      <w:r w:rsidR="00585BA0" w:rsidRPr="005279AA">
        <w:rPr>
          <w:rFonts w:asciiTheme="majorBidi" w:eastAsiaTheme="minorEastAsia" w:hAnsiTheme="majorBidi" w:cstheme="majorBidi"/>
          <w:b/>
          <w:bCs/>
          <w:iCs/>
          <w:sz w:val="24"/>
          <w:szCs w:val="24"/>
        </w:rPr>
        <w:t>kedastisitas</w:t>
      </w:r>
    </w:p>
    <w:p w14:paraId="70C4F3B8" w14:textId="0409D654" w:rsidR="000A231A" w:rsidRDefault="00213366" w:rsidP="00BF76D1">
      <w:pPr>
        <w:pStyle w:val="ListParagraph"/>
        <w:tabs>
          <w:tab w:val="left" w:pos="1701"/>
          <w:tab w:val="left" w:leader="dot" w:pos="7371"/>
        </w:tabs>
        <w:spacing w:line="480" w:lineRule="auto"/>
        <w:ind w:left="1440" w:firstLine="567"/>
        <w:jc w:val="both"/>
        <w:rPr>
          <w:rFonts w:asciiTheme="majorBidi" w:hAnsiTheme="majorBidi" w:cstheme="majorBidi"/>
          <w:sz w:val="24"/>
          <w:szCs w:val="24"/>
          <w:lang w:val="id-ID"/>
        </w:rPr>
      </w:pPr>
      <w:r w:rsidRPr="005279AA">
        <w:rPr>
          <w:rFonts w:asciiTheme="majorBidi" w:hAnsiTheme="majorBidi" w:cstheme="majorBidi"/>
          <w:sz w:val="24"/>
          <w:szCs w:val="24"/>
        </w:rPr>
        <w:t xml:space="preserve">Uji heterokedastisitas dimaksudkan untuk mengetahui apakah </w:t>
      </w:r>
      <w:r w:rsidRPr="005279AA">
        <w:rPr>
          <w:rFonts w:asciiTheme="majorBidi" w:hAnsiTheme="majorBidi" w:cstheme="majorBidi"/>
          <w:i/>
          <w:iCs/>
          <w:sz w:val="24"/>
          <w:szCs w:val="24"/>
        </w:rPr>
        <w:t>variance</w:t>
      </w:r>
      <w:r w:rsidRPr="005279AA">
        <w:rPr>
          <w:rFonts w:asciiTheme="majorBidi" w:hAnsiTheme="majorBidi" w:cstheme="majorBidi"/>
          <w:sz w:val="24"/>
          <w:szCs w:val="24"/>
        </w:rPr>
        <w:t xml:space="preserve"> residual suatu observasi yang satu tidak sama dengan </w:t>
      </w:r>
      <w:r w:rsidRPr="005279AA">
        <w:rPr>
          <w:rFonts w:asciiTheme="majorBidi" w:hAnsiTheme="majorBidi" w:cstheme="majorBidi"/>
          <w:i/>
          <w:iCs/>
          <w:sz w:val="24"/>
          <w:szCs w:val="24"/>
        </w:rPr>
        <w:t>variance</w:t>
      </w:r>
      <w:r w:rsidRPr="005279AA">
        <w:rPr>
          <w:rFonts w:asciiTheme="majorBidi" w:hAnsiTheme="majorBidi" w:cstheme="majorBidi"/>
          <w:sz w:val="24"/>
          <w:szCs w:val="24"/>
        </w:rPr>
        <w:t xml:space="preserve"> sisa observasi yang lain dalam </w:t>
      </w:r>
      <w:r w:rsidRPr="005279AA">
        <w:rPr>
          <w:rFonts w:asciiTheme="majorBidi" w:hAnsiTheme="majorBidi" w:cstheme="majorBidi"/>
          <w:i/>
          <w:iCs/>
          <w:sz w:val="24"/>
          <w:szCs w:val="24"/>
        </w:rPr>
        <w:t>regression model</w:t>
      </w:r>
      <w:r w:rsidRPr="005279AA">
        <w:rPr>
          <w:rFonts w:asciiTheme="majorBidi" w:hAnsiTheme="majorBidi" w:cstheme="majorBidi"/>
          <w:sz w:val="24"/>
          <w:szCs w:val="24"/>
        </w:rPr>
        <w:t xml:space="preserve">. Homoskedastisitas adalah istilah yang digunakan ketika </w:t>
      </w:r>
      <w:r w:rsidRPr="005279AA">
        <w:rPr>
          <w:rFonts w:asciiTheme="majorBidi" w:hAnsiTheme="majorBidi" w:cstheme="majorBidi"/>
          <w:i/>
          <w:iCs/>
          <w:sz w:val="24"/>
          <w:szCs w:val="24"/>
        </w:rPr>
        <w:t>variance</w:t>
      </w:r>
      <w:r w:rsidRPr="005279AA">
        <w:rPr>
          <w:rFonts w:asciiTheme="majorBidi" w:hAnsiTheme="majorBidi" w:cstheme="majorBidi"/>
          <w:sz w:val="24"/>
          <w:szCs w:val="24"/>
        </w:rPr>
        <w:t xml:space="preserve"> antara observasi dari residual dan observasi lainnya adalah konstan sebaliknya </w:t>
      </w:r>
      <w:r w:rsidR="00585BA0" w:rsidRPr="005279AA">
        <w:rPr>
          <w:rFonts w:asciiTheme="majorBidi" w:hAnsiTheme="majorBidi" w:cstheme="majorBidi"/>
          <w:sz w:val="24"/>
          <w:szCs w:val="24"/>
        </w:rPr>
        <w:t xml:space="preserve">heterokedastisitas </w:t>
      </w:r>
      <w:r w:rsidRPr="005279AA">
        <w:rPr>
          <w:rFonts w:asciiTheme="majorBidi" w:hAnsiTheme="majorBidi" w:cstheme="majorBidi"/>
          <w:sz w:val="24"/>
          <w:szCs w:val="24"/>
        </w:rPr>
        <w:t>adalah istilah yang digunakan ketika varians antara observasi dengan observasi lainnya tidak konstan (Ghozali, 2018:137).</w:t>
      </w:r>
      <w:r w:rsidR="00EC014F" w:rsidRPr="005279AA">
        <w:rPr>
          <w:rFonts w:asciiTheme="majorBidi" w:hAnsiTheme="majorBidi" w:cstheme="majorBidi"/>
          <w:sz w:val="24"/>
          <w:szCs w:val="24"/>
          <w:lang w:val="id-ID"/>
        </w:rPr>
        <w:t xml:space="preserve"> </w:t>
      </w:r>
      <w:r w:rsidR="006C606A" w:rsidRPr="008661F3">
        <w:rPr>
          <w:rFonts w:asciiTheme="majorBidi" w:hAnsiTheme="majorBidi" w:cstheme="majorBidi"/>
          <w:sz w:val="24"/>
          <w:szCs w:val="24"/>
          <w:lang w:val="id-ID"/>
        </w:rPr>
        <w:t>Uji Glejser merupakan salah satu metode untuk mengetahui ada tidaknya heteroskedastisitas, dasar keputusan dalam uji glejser adalah nilai signifikan yang dihasilkan dari regresi nilai absolut terhadap variabel independen minimal sebesar 0,</w:t>
      </w:r>
      <w:r w:rsidR="008661F3" w:rsidRPr="008661F3">
        <w:rPr>
          <w:rFonts w:asciiTheme="majorBidi" w:hAnsiTheme="majorBidi" w:cstheme="majorBidi"/>
          <w:sz w:val="24"/>
          <w:szCs w:val="24"/>
          <w:lang w:val="id-ID"/>
        </w:rPr>
        <w:t>0</w:t>
      </w:r>
      <w:r w:rsidR="006C606A" w:rsidRPr="008661F3">
        <w:rPr>
          <w:rFonts w:asciiTheme="majorBidi" w:hAnsiTheme="majorBidi" w:cstheme="majorBidi"/>
          <w:sz w:val="24"/>
          <w:szCs w:val="24"/>
          <w:lang w:val="id-ID"/>
        </w:rPr>
        <w:t xml:space="preserve">5. </w:t>
      </w:r>
      <w:r w:rsidR="00EC014F" w:rsidRPr="005279AA">
        <w:rPr>
          <w:rFonts w:asciiTheme="majorBidi" w:hAnsiTheme="majorBidi" w:cstheme="majorBidi"/>
          <w:sz w:val="24"/>
          <w:szCs w:val="24"/>
          <w:lang w:val="id-ID"/>
        </w:rPr>
        <w:t>Berikut hasil uji</w:t>
      </w:r>
      <w:r w:rsidR="00585BA0" w:rsidRPr="008661F3">
        <w:rPr>
          <w:rFonts w:asciiTheme="majorBidi" w:hAnsiTheme="majorBidi" w:cstheme="majorBidi"/>
          <w:sz w:val="24"/>
          <w:szCs w:val="24"/>
          <w:lang w:val="id-ID"/>
        </w:rPr>
        <w:t xml:space="preserve"> heteroskedastisitas</w:t>
      </w:r>
      <w:r w:rsidR="00EC014F" w:rsidRPr="005279AA">
        <w:rPr>
          <w:rFonts w:asciiTheme="majorBidi" w:hAnsiTheme="majorBidi" w:cstheme="majorBidi"/>
          <w:sz w:val="24"/>
          <w:szCs w:val="24"/>
          <w:lang w:val="id-ID"/>
        </w:rPr>
        <w:t>:</w:t>
      </w:r>
    </w:p>
    <w:p w14:paraId="08701170" w14:textId="77777777" w:rsidR="008708E5" w:rsidRPr="00F44BA4" w:rsidRDefault="008708E5" w:rsidP="00BF76D1">
      <w:pPr>
        <w:pStyle w:val="ListParagraph"/>
        <w:tabs>
          <w:tab w:val="left" w:pos="1701"/>
          <w:tab w:val="left" w:leader="dot" w:pos="7371"/>
        </w:tabs>
        <w:spacing w:line="480" w:lineRule="auto"/>
        <w:ind w:left="1440" w:firstLine="567"/>
        <w:jc w:val="both"/>
        <w:rPr>
          <w:rFonts w:asciiTheme="majorBidi" w:hAnsiTheme="majorBidi" w:cstheme="majorBidi"/>
          <w:sz w:val="24"/>
          <w:szCs w:val="24"/>
          <w:lang w:val="id-ID"/>
        </w:rPr>
      </w:pPr>
    </w:p>
    <w:p w14:paraId="731402C3" w14:textId="25983E1E" w:rsidR="006C606A" w:rsidRPr="005279AA" w:rsidRDefault="006C606A" w:rsidP="00BF76D1">
      <w:pPr>
        <w:pStyle w:val="ListParagraph"/>
        <w:tabs>
          <w:tab w:val="left" w:pos="1701"/>
          <w:tab w:val="left" w:leader="dot" w:pos="737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lastRenderedPageBreak/>
        <w:t xml:space="preserve">Tabel </w:t>
      </w:r>
      <w:r w:rsidR="00FC594C" w:rsidRPr="005279AA">
        <w:rPr>
          <w:rFonts w:asciiTheme="majorBidi" w:eastAsiaTheme="minorEastAsia" w:hAnsiTheme="majorBidi" w:cstheme="majorBidi"/>
          <w:b/>
          <w:bCs/>
          <w:iCs/>
          <w:sz w:val="24"/>
          <w:szCs w:val="24"/>
        </w:rPr>
        <w:t>21</w:t>
      </w:r>
    </w:p>
    <w:p w14:paraId="23B0034E" w14:textId="1E687D7F" w:rsidR="00BD4178" w:rsidRPr="005279AA" w:rsidRDefault="006C606A" w:rsidP="00BF76D1">
      <w:pPr>
        <w:pStyle w:val="ListParagraph"/>
        <w:tabs>
          <w:tab w:val="left" w:pos="1701"/>
          <w:tab w:val="left" w:leader="dot" w:pos="737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Hasil Uji </w:t>
      </w:r>
      <w:r w:rsidR="00585BA0" w:rsidRPr="005279AA">
        <w:rPr>
          <w:rFonts w:asciiTheme="majorBidi" w:eastAsiaTheme="minorEastAsia" w:hAnsiTheme="majorBidi" w:cstheme="majorBidi"/>
          <w:b/>
          <w:bCs/>
          <w:iCs/>
          <w:sz w:val="24"/>
          <w:szCs w:val="24"/>
        </w:rPr>
        <w:t>H</w:t>
      </w:r>
      <w:r w:rsidRPr="005279AA">
        <w:rPr>
          <w:rFonts w:asciiTheme="majorBidi" w:eastAsiaTheme="minorEastAsia" w:hAnsiTheme="majorBidi" w:cstheme="majorBidi"/>
          <w:b/>
          <w:bCs/>
          <w:iCs/>
          <w:sz w:val="24"/>
          <w:szCs w:val="24"/>
        </w:rPr>
        <w:t>etero</w:t>
      </w:r>
      <w:r w:rsidR="00585BA0" w:rsidRPr="005279AA">
        <w:rPr>
          <w:rFonts w:asciiTheme="majorBidi" w:eastAsiaTheme="minorEastAsia" w:hAnsiTheme="majorBidi" w:cstheme="majorBidi"/>
          <w:b/>
          <w:bCs/>
          <w:iCs/>
          <w:sz w:val="24"/>
          <w:szCs w:val="24"/>
        </w:rPr>
        <w:t>s</w:t>
      </w:r>
      <w:r w:rsidRPr="005279AA">
        <w:rPr>
          <w:rFonts w:asciiTheme="majorBidi" w:eastAsiaTheme="minorEastAsia" w:hAnsiTheme="majorBidi" w:cstheme="majorBidi"/>
          <w:b/>
          <w:bCs/>
          <w:iCs/>
          <w:sz w:val="24"/>
          <w:szCs w:val="24"/>
        </w:rPr>
        <w:t>kedas</w:t>
      </w:r>
      <w:r w:rsidR="00585BA0" w:rsidRPr="005279AA">
        <w:rPr>
          <w:rFonts w:asciiTheme="majorBidi" w:eastAsiaTheme="minorEastAsia" w:hAnsiTheme="majorBidi" w:cstheme="majorBidi"/>
          <w:b/>
          <w:bCs/>
          <w:iCs/>
          <w:sz w:val="24"/>
          <w:szCs w:val="24"/>
        </w:rPr>
        <w:t>t</w:t>
      </w:r>
      <w:r w:rsidRPr="005279AA">
        <w:rPr>
          <w:rFonts w:asciiTheme="majorBidi" w:eastAsiaTheme="minorEastAsia" w:hAnsiTheme="majorBidi" w:cstheme="majorBidi"/>
          <w:b/>
          <w:bCs/>
          <w:iCs/>
          <w:sz w:val="24"/>
          <w:szCs w:val="24"/>
        </w:rPr>
        <w:t>i</w:t>
      </w:r>
      <w:r w:rsidR="00585BA0" w:rsidRPr="005279AA">
        <w:rPr>
          <w:rFonts w:asciiTheme="majorBidi" w:eastAsiaTheme="minorEastAsia" w:hAnsiTheme="majorBidi" w:cstheme="majorBidi"/>
          <w:b/>
          <w:bCs/>
          <w:iCs/>
          <w:sz w:val="24"/>
          <w:szCs w:val="24"/>
        </w:rPr>
        <w:t>sitas</w:t>
      </w:r>
    </w:p>
    <w:p w14:paraId="0A2C1AC7" w14:textId="5431FD13" w:rsidR="00BD4178" w:rsidRPr="005279AA" w:rsidRDefault="00BD4178" w:rsidP="00BF76D1">
      <w:pPr>
        <w:pStyle w:val="ListParagraph"/>
        <w:tabs>
          <w:tab w:val="left" w:pos="1701"/>
          <w:tab w:val="left" w:leader="dot" w:pos="737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Uji Glejse</w:t>
      </w:r>
      <w:r w:rsidR="002910EE" w:rsidRPr="005279AA">
        <w:rPr>
          <w:rFonts w:asciiTheme="majorBidi" w:hAnsiTheme="majorBidi" w:cstheme="majorBidi"/>
          <w:b/>
          <w:bCs/>
          <w:sz w:val="24"/>
          <w:szCs w:val="24"/>
        </w:rPr>
        <w:t>r</w:t>
      </w:r>
    </w:p>
    <w:tbl>
      <w:tblPr>
        <w:tblW w:w="0" w:type="auto"/>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0"/>
        <w:gridCol w:w="900"/>
        <w:gridCol w:w="842"/>
        <w:gridCol w:w="1363"/>
        <w:gridCol w:w="2005"/>
        <w:gridCol w:w="605"/>
        <w:gridCol w:w="465"/>
      </w:tblGrid>
      <w:tr w:rsidR="008A290E" w:rsidRPr="005279AA" w14:paraId="2290D788" w14:textId="77777777" w:rsidTr="00E450F8">
        <w:trPr>
          <w:cantSplit/>
        </w:trPr>
        <w:tc>
          <w:tcPr>
            <w:tcW w:w="0" w:type="auto"/>
            <w:gridSpan w:val="7"/>
            <w:tcBorders>
              <w:top w:val="nil"/>
              <w:left w:val="nil"/>
              <w:bottom w:val="nil"/>
              <w:right w:val="nil"/>
            </w:tcBorders>
            <w:shd w:val="clear" w:color="auto" w:fill="FFFFFF"/>
            <w:vAlign w:val="center"/>
          </w:tcPr>
          <w:p w14:paraId="0BE9C756"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Coefficients</w:t>
            </w:r>
            <w:r w:rsidRPr="005279AA">
              <w:rPr>
                <w:rFonts w:asciiTheme="majorBidi" w:hAnsiTheme="majorBidi" w:cstheme="majorBidi"/>
                <w:b/>
                <w:bCs/>
                <w:color w:val="000000"/>
                <w:sz w:val="18"/>
                <w:szCs w:val="18"/>
                <w:vertAlign w:val="superscript"/>
              </w:rPr>
              <w:t>a</w:t>
            </w:r>
          </w:p>
        </w:tc>
      </w:tr>
      <w:tr w:rsidR="008A290E" w:rsidRPr="005279AA" w14:paraId="44F07E5C" w14:textId="77777777" w:rsidTr="00E450F8">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29A9331B"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14:paraId="5B1A5D36"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Coefficients</w:t>
            </w:r>
          </w:p>
        </w:tc>
        <w:tc>
          <w:tcPr>
            <w:tcW w:w="0" w:type="auto"/>
            <w:tcBorders>
              <w:top w:val="single" w:sz="16" w:space="0" w:color="000000"/>
            </w:tcBorders>
            <w:shd w:val="clear" w:color="auto" w:fill="FFFFFF"/>
            <w:vAlign w:val="bottom"/>
          </w:tcPr>
          <w:p w14:paraId="1D76C89F"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Standardized Coefficients</w:t>
            </w:r>
          </w:p>
        </w:tc>
        <w:tc>
          <w:tcPr>
            <w:tcW w:w="0" w:type="auto"/>
            <w:vMerge w:val="restart"/>
            <w:tcBorders>
              <w:top w:val="single" w:sz="16" w:space="0" w:color="000000"/>
            </w:tcBorders>
            <w:shd w:val="clear" w:color="auto" w:fill="FFFFFF"/>
            <w:vAlign w:val="bottom"/>
          </w:tcPr>
          <w:p w14:paraId="70FB33BB"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w:t>
            </w:r>
          </w:p>
        </w:tc>
        <w:tc>
          <w:tcPr>
            <w:tcW w:w="0" w:type="auto"/>
            <w:vMerge w:val="restart"/>
            <w:tcBorders>
              <w:top w:val="single" w:sz="16" w:space="0" w:color="000000"/>
              <w:right w:val="single" w:sz="16" w:space="0" w:color="000000"/>
            </w:tcBorders>
            <w:shd w:val="clear" w:color="auto" w:fill="FFFFFF"/>
            <w:vAlign w:val="bottom"/>
          </w:tcPr>
          <w:p w14:paraId="6FFC8112"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Sig.</w:t>
            </w:r>
          </w:p>
        </w:tc>
      </w:tr>
      <w:tr w:rsidR="008A290E" w:rsidRPr="005279AA" w14:paraId="7FE7A3FC" w14:textId="77777777" w:rsidTr="00E450F8">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592C5BC6"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left w:val="single" w:sz="16" w:space="0" w:color="000000"/>
              <w:bottom w:val="single" w:sz="16" w:space="0" w:color="000000"/>
            </w:tcBorders>
            <w:shd w:val="clear" w:color="auto" w:fill="FFFFFF"/>
            <w:vAlign w:val="bottom"/>
          </w:tcPr>
          <w:p w14:paraId="15C9984B"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w:t>
            </w:r>
          </w:p>
        </w:tc>
        <w:tc>
          <w:tcPr>
            <w:tcW w:w="0" w:type="auto"/>
            <w:tcBorders>
              <w:bottom w:val="single" w:sz="16" w:space="0" w:color="000000"/>
            </w:tcBorders>
            <w:shd w:val="clear" w:color="auto" w:fill="FFFFFF"/>
            <w:vAlign w:val="bottom"/>
          </w:tcPr>
          <w:p w14:paraId="71E43528"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w:t>
            </w:r>
          </w:p>
        </w:tc>
        <w:tc>
          <w:tcPr>
            <w:tcW w:w="0" w:type="auto"/>
            <w:tcBorders>
              <w:bottom w:val="single" w:sz="16" w:space="0" w:color="000000"/>
            </w:tcBorders>
            <w:shd w:val="clear" w:color="auto" w:fill="FFFFFF"/>
            <w:vAlign w:val="bottom"/>
          </w:tcPr>
          <w:p w14:paraId="5AD83D69"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Beta</w:t>
            </w:r>
          </w:p>
        </w:tc>
        <w:tc>
          <w:tcPr>
            <w:tcW w:w="0" w:type="auto"/>
            <w:vMerge/>
            <w:tcBorders>
              <w:top w:val="single" w:sz="16" w:space="0" w:color="000000"/>
            </w:tcBorders>
            <w:shd w:val="clear" w:color="auto" w:fill="FFFFFF"/>
            <w:vAlign w:val="bottom"/>
          </w:tcPr>
          <w:p w14:paraId="34B8C4FB"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vMerge/>
            <w:tcBorders>
              <w:top w:val="single" w:sz="16" w:space="0" w:color="000000"/>
              <w:right w:val="single" w:sz="16" w:space="0" w:color="000000"/>
            </w:tcBorders>
            <w:shd w:val="clear" w:color="auto" w:fill="FFFFFF"/>
            <w:vAlign w:val="bottom"/>
          </w:tcPr>
          <w:p w14:paraId="2F6990E0"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r>
      <w:tr w:rsidR="008A290E" w:rsidRPr="005279AA" w14:paraId="5A0E315B" w14:textId="77777777" w:rsidTr="00E450F8">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748AE6BE"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14:paraId="0FC2EBF5"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14:paraId="43E2BCE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.076</w:t>
            </w:r>
          </w:p>
        </w:tc>
        <w:tc>
          <w:tcPr>
            <w:tcW w:w="0" w:type="auto"/>
            <w:tcBorders>
              <w:top w:val="single" w:sz="16" w:space="0" w:color="000000"/>
              <w:bottom w:val="nil"/>
            </w:tcBorders>
            <w:shd w:val="clear" w:color="auto" w:fill="FFFFFF"/>
            <w:vAlign w:val="center"/>
          </w:tcPr>
          <w:p w14:paraId="6C755B1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.047</w:t>
            </w:r>
          </w:p>
        </w:tc>
        <w:tc>
          <w:tcPr>
            <w:tcW w:w="0" w:type="auto"/>
            <w:tcBorders>
              <w:top w:val="single" w:sz="16" w:space="0" w:color="000000"/>
              <w:bottom w:val="nil"/>
            </w:tcBorders>
            <w:shd w:val="clear" w:color="auto" w:fill="FFFFFF"/>
            <w:vAlign w:val="center"/>
          </w:tcPr>
          <w:p w14:paraId="6D340FD0"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0" w:type="auto"/>
            <w:tcBorders>
              <w:top w:val="single" w:sz="16" w:space="0" w:color="000000"/>
              <w:bottom w:val="nil"/>
            </w:tcBorders>
            <w:shd w:val="clear" w:color="auto" w:fill="FFFFFF"/>
            <w:vAlign w:val="center"/>
          </w:tcPr>
          <w:p w14:paraId="014FA10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1.602</w:t>
            </w:r>
          </w:p>
        </w:tc>
        <w:tc>
          <w:tcPr>
            <w:tcW w:w="0" w:type="auto"/>
            <w:tcBorders>
              <w:top w:val="single" w:sz="16" w:space="0" w:color="000000"/>
              <w:bottom w:val="nil"/>
              <w:right w:val="single" w:sz="16" w:space="0" w:color="000000"/>
            </w:tcBorders>
            <w:shd w:val="clear" w:color="auto" w:fill="FFFFFF"/>
            <w:vAlign w:val="center"/>
          </w:tcPr>
          <w:p w14:paraId="66E0D311"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.114</w:t>
            </w:r>
          </w:p>
        </w:tc>
      </w:tr>
      <w:tr w:rsidR="008A290E" w:rsidRPr="005279AA" w14:paraId="3B044C07" w14:textId="77777777" w:rsidTr="00E450F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D8850DD"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21932234"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0" w:type="auto"/>
            <w:tcBorders>
              <w:top w:val="nil"/>
              <w:left w:val="single" w:sz="16" w:space="0" w:color="000000"/>
              <w:bottom w:val="nil"/>
            </w:tcBorders>
            <w:shd w:val="clear" w:color="auto" w:fill="FFFFFF"/>
            <w:vAlign w:val="center"/>
          </w:tcPr>
          <w:p w14:paraId="2493D85E"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-.309</w:t>
            </w:r>
          </w:p>
        </w:tc>
        <w:tc>
          <w:tcPr>
            <w:tcW w:w="0" w:type="auto"/>
            <w:tcBorders>
              <w:top w:val="nil"/>
              <w:bottom w:val="nil"/>
            </w:tcBorders>
            <w:shd w:val="clear" w:color="auto" w:fill="FFFFFF"/>
            <w:vAlign w:val="center"/>
          </w:tcPr>
          <w:p w14:paraId="56E05FD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.199</w:t>
            </w:r>
          </w:p>
        </w:tc>
        <w:tc>
          <w:tcPr>
            <w:tcW w:w="0" w:type="auto"/>
            <w:tcBorders>
              <w:top w:val="nil"/>
              <w:bottom w:val="nil"/>
            </w:tcBorders>
            <w:shd w:val="clear" w:color="auto" w:fill="FFFFFF"/>
            <w:vAlign w:val="center"/>
          </w:tcPr>
          <w:p w14:paraId="78C8D4AD"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-.248</w:t>
            </w:r>
          </w:p>
        </w:tc>
        <w:tc>
          <w:tcPr>
            <w:tcW w:w="0" w:type="auto"/>
            <w:tcBorders>
              <w:top w:val="nil"/>
              <w:bottom w:val="nil"/>
            </w:tcBorders>
            <w:shd w:val="clear" w:color="auto" w:fill="FFFFFF"/>
            <w:vAlign w:val="center"/>
          </w:tcPr>
          <w:p w14:paraId="4B93E570"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-1.554</w:t>
            </w:r>
          </w:p>
        </w:tc>
        <w:tc>
          <w:tcPr>
            <w:tcW w:w="0" w:type="auto"/>
            <w:tcBorders>
              <w:top w:val="nil"/>
              <w:bottom w:val="nil"/>
              <w:right w:val="single" w:sz="16" w:space="0" w:color="000000"/>
            </w:tcBorders>
            <w:shd w:val="clear" w:color="auto" w:fill="FFFFFF"/>
            <w:vAlign w:val="center"/>
          </w:tcPr>
          <w:p w14:paraId="03D5C57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.125</w:t>
            </w:r>
          </w:p>
        </w:tc>
      </w:tr>
      <w:tr w:rsidR="008A290E" w:rsidRPr="005279AA" w14:paraId="78C19C37" w14:textId="77777777" w:rsidTr="00E450F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EE5896D"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36D5EF1E"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0" w:type="auto"/>
            <w:tcBorders>
              <w:top w:val="nil"/>
              <w:left w:val="single" w:sz="16" w:space="0" w:color="000000"/>
              <w:bottom w:val="nil"/>
            </w:tcBorders>
            <w:shd w:val="clear" w:color="auto" w:fill="FFFFFF"/>
            <w:vAlign w:val="center"/>
          </w:tcPr>
          <w:p w14:paraId="4843278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-.002</w:t>
            </w:r>
          </w:p>
        </w:tc>
        <w:tc>
          <w:tcPr>
            <w:tcW w:w="0" w:type="auto"/>
            <w:tcBorders>
              <w:top w:val="nil"/>
              <w:bottom w:val="nil"/>
            </w:tcBorders>
            <w:shd w:val="clear" w:color="auto" w:fill="FFFFFF"/>
            <w:vAlign w:val="center"/>
          </w:tcPr>
          <w:p w14:paraId="5350CA9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.008</w:t>
            </w:r>
          </w:p>
        </w:tc>
        <w:tc>
          <w:tcPr>
            <w:tcW w:w="0" w:type="auto"/>
            <w:tcBorders>
              <w:top w:val="nil"/>
              <w:bottom w:val="nil"/>
            </w:tcBorders>
            <w:shd w:val="clear" w:color="auto" w:fill="FFFFFF"/>
            <w:vAlign w:val="center"/>
          </w:tcPr>
          <w:p w14:paraId="5D78436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-.049</w:t>
            </w:r>
          </w:p>
        </w:tc>
        <w:tc>
          <w:tcPr>
            <w:tcW w:w="0" w:type="auto"/>
            <w:tcBorders>
              <w:top w:val="nil"/>
              <w:bottom w:val="nil"/>
            </w:tcBorders>
            <w:shd w:val="clear" w:color="auto" w:fill="FFFFFF"/>
            <w:vAlign w:val="center"/>
          </w:tcPr>
          <w:p w14:paraId="69BE32EF"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-.280</w:t>
            </w:r>
          </w:p>
        </w:tc>
        <w:tc>
          <w:tcPr>
            <w:tcW w:w="0" w:type="auto"/>
            <w:tcBorders>
              <w:top w:val="nil"/>
              <w:bottom w:val="nil"/>
              <w:right w:val="single" w:sz="16" w:space="0" w:color="000000"/>
            </w:tcBorders>
            <w:shd w:val="clear" w:color="auto" w:fill="FFFFFF"/>
            <w:vAlign w:val="center"/>
          </w:tcPr>
          <w:p w14:paraId="40B4F256"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.781</w:t>
            </w:r>
          </w:p>
        </w:tc>
      </w:tr>
      <w:tr w:rsidR="008A290E" w:rsidRPr="005279AA" w14:paraId="1492281B" w14:textId="77777777" w:rsidTr="00E450F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692D50E"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3A04434B"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0" w:type="auto"/>
            <w:tcBorders>
              <w:top w:val="nil"/>
              <w:left w:val="single" w:sz="16" w:space="0" w:color="000000"/>
              <w:bottom w:val="nil"/>
            </w:tcBorders>
            <w:shd w:val="clear" w:color="auto" w:fill="FFFFFF"/>
            <w:vAlign w:val="center"/>
          </w:tcPr>
          <w:p w14:paraId="5096597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.002</w:t>
            </w:r>
          </w:p>
        </w:tc>
        <w:tc>
          <w:tcPr>
            <w:tcW w:w="0" w:type="auto"/>
            <w:tcBorders>
              <w:top w:val="nil"/>
              <w:bottom w:val="nil"/>
            </w:tcBorders>
            <w:shd w:val="clear" w:color="auto" w:fill="FFFFFF"/>
            <w:vAlign w:val="center"/>
          </w:tcPr>
          <w:p w14:paraId="32F3973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.014</w:t>
            </w:r>
          </w:p>
        </w:tc>
        <w:tc>
          <w:tcPr>
            <w:tcW w:w="0" w:type="auto"/>
            <w:tcBorders>
              <w:top w:val="nil"/>
              <w:bottom w:val="nil"/>
            </w:tcBorders>
            <w:shd w:val="clear" w:color="auto" w:fill="FFFFFF"/>
            <w:vAlign w:val="center"/>
          </w:tcPr>
          <w:p w14:paraId="45FD7A3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.024</w:t>
            </w:r>
          </w:p>
        </w:tc>
        <w:tc>
          <w:tcPr>
            <w:tcW w:w="0" w:type="auto"/>
            <w:tcBorders>
              <w:top w:val="nil"/>
              <w:bottom w:val="nil"/>
            </w:tcBorders>
            <w:shd w:val="clear" w:color="auto" w:fill="FFFFFF"/>
            <w:vAlign w:val="center"/>
          </w:tcPr>
          <w:p w14:paraId="28466A45"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.137</w:t>
            </w:r>
          </w:p>
        </w:tc>
        <w:tc>
          <w:tcPr>
            <w:tcW w:w="0" w:type="auto"/>
            <w:tcBorders>
              <w:top w:val="nil"/>
              <w:bottom w:val="nil"/>
              <w:right w:val="single" w:sz="16" w:space="0" w:color="000000"/>
            </w:tcBorders>
            <w:shd w:val="clear" w:color="auto" w:fill="FFFFFF"/>
            <w:vAlign w:val="center"/>
          </w:tcPr>
          <w:p w14:paraId="3067AE30"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.891</w:t>
            </w:r>
          </w:p>
        </w:tc>
      </w:tr>
      <w:tr w:rsidR="008A290E" w:rsidRPr="005279AA" w14:paraId="15DB1E02" w14:textId="77777777" w:rsidTr="00E450F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6193DEB"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51693D5B"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0" w:type="auto"/>
            <w:tcBorders>
              <w:top w:val="nil"/>
              <w:left w:val="single" w:sz="16" w:space="0" w:color="000000"/>
              <w:bottom w:val="nil"/>
            </w:tcBorders>
            <w:shd w:val="clear" w:color="auto" w:fill="FFFFFF"/>
            <w:vAlign w:val="center"/>
          </w:tcPr>
          <w:p w14:paraId="4D63B5D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-.016</w:t>
            </w:r>
          </w:p>
        </w:tc>
        <w:tc>
          <w:tcPr>
            <w:tcW w:w="0" w:type="auto"/>
            <w:tcBorders>
              <w:top w:val="nil"/>
              <w:bottom w:val="nil"/>
            </w:tcBorders>
            <w:shd w:val="clear" w:color="auto" w:fill="FFFFFF"/>
            <w:vAlign w:val="center"/>
          </w:tcPr>
          <w:p w14:paraId="05447EAF"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.068</w:t>
            </w:r>
          </w:p>
        </w:tc>
        <w:tc>
          <w:tcPr>
            <w:tcW w:w="0" w:type="auto"/>
            <w:tcBorders>
              <w:top w:val="nil"/>
              <w:bottom w:val="nil"/>
            </w:tcBorders>
            <w:shd w:val="clear" w:color="auto" w:fill="FFFFFF"/>
            <w:vAlign w:val="center"/>
          </w:tcPr>
          <w:p w14:paraId="2FBCB72C"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-.047</w:t>
            </w:r>
          </w:p>
        </w:tc>
        <w:tc>
          <w:tcPr>
            <w:tcW w:w="0" w:type="auto"/>
            <w:tcBorders>
              <w:top w:val="nil"/>
              <w:bottom w:val="nil"/>
            </w:tcBorders>
            <w:shd w:val="clear" w:color="auto" w:fill="FFFFFF"/>
            <w:vAlign w:val="center"/>
          </w:tcPr>
          <w:p w14:paraId="75CBE44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-.231</w:t>
            </w:r>
          </w:p>
        </w:tc>
        <w:tc>
          <w:tcPr>
            <w:tcW w:w="0" w:type="auto"/>
            <w:tcBorders>
              <w:top w:val="nil"/>
              <w:bottom w:val="nil"/>
              <w:right w:val="single" w:sz="16" w:space="0" w:color="000000"/>
            </w:tcBorders>
            <w:shd w:val="clear" w:color="auto" w:fill="FFFFFF"/>
            <w:vAlign w:val="center"/>
          </w:tcPr>
          <w:p w14:paraId="2A017B1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.818</w:t>
            </w:r>
          </w:p>
        </w:tc>
      </w:tr>
      <w:tr w:rsidR="008A290E" w:rsidRPr="005279AA" w14:paraId="3FCA63E2" w14:textId="77777777" w:rsidTr="00E450F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21AFC9C"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single" w:sz="16" w:space="0" w:color="000000"/>
              <w:right w:val="single" w:sz="16" w:space="0" w:color="000000"/>
            </w:tcBorders>
            <w:shd w:val="clear" w:color="auto" w:fill="FFFFFF"/>
          </w:tcPr>
          <w:p w14:paraId="3059A3E5"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KI</w:t>
            </w:r>
          </w:p>
        </w:tc>
        <w:tc>
          <w:tcPr>
            <w:tcW w:w="0" w:type="auto"/>
            <w:tcBorders>
              <w:top w:val="nil"/>
              <w:left w:val="single" w:sz="16" w:space="0" w:color="000000"/>
              <w:bottom w:val="single" w:sz="16" w:space="0" w:color="000000"/>
            </w:tcBorders>
            <w:shd w:val="clear" w:color="auto" w:fill="FFFFFF"/>
            <w:vAlign w:val="center"/>
          </w:tcPr>
          <w:p w14:paraId="79F15D0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.123</w:t>
            </w:r>
          </w:p>
        </w:tc>
        <w:tc>
          <w:tcPr>
            <w:tcW w:w="0" w:type="auto"/>
            <w:tcBorders>
              <w:top w:val="nil"/>
              <w:bottom w:val="single" w:sz="16" w:space="0" w:color="000000"/>
            </w:tcBorders>
            <w:shd w:val="clear" w:color="auto" w:fill="FFFFFF"/>
            <w:vAlign w:val="center"/>
          </w:tcPr>
          <w:p w14:paraId="3B8A073E"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.083</w:t>
            </w:r>
          </w:p>
        </w:tc>
        <w:tc>
          <w:tcPr>
            <w:tcW w:w="0" w:type="auto"/>
            <w:tcBorders>
              <w:top w:val="nil"/>
              <w:bottom w:val="single" w:sz="16" w:space="0" w:color="000000"/>
            </w:tcBorders>
            <w:shd w:val="clear" w:color="auto" w:fill="FFFFFF"/>
            <w:vAlign w:val="center"/>
          </w:tcPr>
          <w:p w14:paraId="3944B68E"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.216</w:t>
            </w:r>
          </w:p>
        </w:tc>
        <w:tc>
          <w:tcPr>
            <w:tcW w:w="0" w:type="auto"/>
            <w:tcBorders>
              <w:top w:val="nil"/>
              <w:bottom w:val="single" w:sz="16" w:space="0" w:color="000000"/>
            </w:tcBorders>
            <w:shd w:val="clear" w:color="auto" w:fill="FFFFFF"/>
            <w:vAlign w:val="center"/>
          </w:tcPr>
          <w:p w14:paraId="1C1C480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1.488</w:t>
            </w:r>
          </w:p>
        </w:tc>
        <w:tc>
          <w:tcPr>
            <w:tcW w:w="0" w:type="auto"/>
            <w:tcBorders>
              <w:top w:val="nil"/>
              <w:bottom w:val="single" w:sz="16" w:space="0" w:color="000000"/>
              <w:right w:val="single" w:sz="16" w:space="0" w:color="000000"/>
            </w:tcBorders>
            <w:shd w:val="clear" w:color="auto" w:fill="FFFFFF"/>
            <w:vAlign w:val="center"/>
          </w:tcPr>
          <w:p w14:paraId="04049B6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.141</w:t>
            </w:r>
          </w:p>
        </w:tc>
      </w:tr>
      <w:tr w:rsidR="008A290E" w:rsidRPr="005279AA" w14:paraId="4749B11F" w14:textId="77777777" w:rsidTr="00E450F8">
        <w:trPr>
          <w:cantSplit/>
        </w:trPr>
        <w:tc>
          <w:tcPr>
            <w:tcW w:w="0" w:type="auto"/>
            <w:gridSpan w:val="7"/>
            <w:tcBorders>
              <w:top w:val="nil"/>
              <w:left w:val="nil"/>
              <w:bottom w:val="nil"/>
              <w:right w:val="nil"/>
            </w:tcBorders>
            <w:shd w:val="clear" w:color="auto" w:fill="FFFFFF"/>
          </w:tcPr>
          <w:p w14:paraId="5266A80C"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Dependent Variable: ABS_RES</w:t>
            </w:r>
          </w:p>
        </w:tc>
      </w:tr>
    </w:tbl>
    <w:p w14:paraId="14467D2C" w14:textId="1B731651" w:rsidR="006C606A" w:rsidRPr="005279AA" w:rsidRDefault="00B516F9" w:rsidP="00BF76D1">
      <w:pPr>
        <w:tabs>
          <w:tab w:val="left" w:pos="1701"/>
        </w:tabs>
        <w:spacing w:line="480" w:lineRule="auto"/>
        <w:ind w:left="1418"/>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6CC5B021" w14:textId="5166E99B" w:rsidR="00EC014F" w:rsidRPr="005279AA" w:rsidRDefault="006C606A" w:rsidP="00BF76D1">
      <w:pPr>
        <w:pStyle w:val="ListParagraph"/>
        <w:tabs>
          <w:tab w:val="left" w:pos="1701"/>
        </w:tabs>
        <w:spacing w:line="480" w:lineRule="auto"/>
        <w:ind w:left="1440" w:firstLine="687"/>
        <w:jc w:val="both"/>
        <w:rPr>
          <w:rFonts w:asciiTheme="majorBidi" w:eastAsiaTheme="minorEastAsia" w:hAnsiTheme="majorBidi" w:cstheme="majorBidi"/>
          <w:iCs/>
          <w:sz w:val="24"/>
          <w:szCs w:val="24"/>
          <w:lang w:val="id-ID"/>
        </w:rPr>
      </w:pPr>
      <w:r w:rsidRPr="005279AA">
        <w:rPr>
          <w:rFonts w:asciiTheme="majorBidi" w:hAnsiTheme="majorBidi" w:cstheme="majorBidi"/>
          <w:sz w:val="24"/>
          <w:szCs w:val="24"/>
        </w:rPr>
        <w:t xml:space="preserve">Berdasarkan tabel diatas dapat diketahui bahwa variabel variabel profitabilitas, likuiditas, </w:t>
      </w:r>
      <w:r w:rsidRPr="005279AA">
        <w:rPr>
          <w:rFonts w:asciiTheme="majorBidi" w:hAnsiTheme="majorBidi" w:cstheme="majorBidi"/>
          <w:i/>
          <w:iCs/>
          <w:sz w:val="24"/>
          <w:szCs w:val="24"/>
        </w:rPr>
        <w:t>leverage, free cash flow</w:t>
      </w:r>
      <w:r w:rsidR="008A290E" w:rsidRPr="005279AA">
        <w:rPr>
          <w:rFonts w:asciiTheme="majorBidi" w:hAnsiTheme="majorBidi" w:cstheme="majorBidi"/>
          <w:sz w:val="24"/>
          <w:szCs w:val="24"/>
        </w:rPr>
        <w:t>, kepememilikan institusional</w:t>
      </w:r>
      <w:r w:rsidRPr="005279AA">
        <w:rPr>
          <w:rFonts w:asciiTheme="majorBidi" w:hAnsiTheme="majorBidi" w:cstheme="majorBidi"/>
          <w:sz w:val="24"/>
          <w:szCs w:val="24"/>
        </w:rPr>
        <w:t xml:space="preserve"> mempunyai nilai signifikan</w:t>
      </w:r>
      <w:r w:rsidR="000B119B" w:rsidRPr="005279AA">
        <w:rPr>
          <w:rFonts w:asciiTheme="majorBidi" w:hAnsiTheme="majorBidi" w:cstheme="majorBidi"/>
          <w:sz w:val="24"/>
          <w:szCs w:val="24"/>
        </w:rPr>
        <w:t xml:space="preserve"> diatas 0,05 sehingga dapat disimpulkan model regresi tidak </w:t>
      </w:r>
      <w:r w:rsidR="00247467">
        <w:rPr>
          <w:rFonts w:asciiTheme="majorBidi" w:hAnsiTheme="majorBidi" w:cstheme="majorBidi"/>
          <w:sz w:val="24"/>
          <w:szCs w:val="24"/>
        </w:rPr>
        <w:t xml:space="preserve">terdapat masalah </w:t>
      </w:r>
      <w:r w:rsidR="00585BA0" w:rsidRPr="005279AA">
        <w:rPr>
          <w:rFonts w:asciiTheme="majorBidi" w:hAnsiTheme="majorBidi" w:cstheme="majorBidi"/>
          <w:sz w:val="24"/>
          <w:szCs w:val="24"/>
        </w:rPr>
        <w:t>heteroskedastisitas</w:t>
      </w:r>
      <w:r w:rsidR="000B119B" w:rsidRPr="005279AA">
        <w:rPr>
          <w:rFonts w:asciiTheme="majorBidi" w:hAnsiTheme="majorBidi" w:cstheme="majorBidi"/>
          <w:sz w:val="24"/>
          <w:szCs w:val="24"/>
        </w:rPr>
        <w:t>.</w:t>
      </w:r>
    </w:p>
    <w:p w14:paraId="7EB782BA" w14:textId="77777777" w:rsidR="001851FA" w:rsidRPr="005279AA" w:rsidRDefault="00503238" w:rsidP="00BF76D1">
      <w:pPr>
        <w:pStyle w:val="ListParagraph"/>
        <w:numPr>
          <w:ilvl w:val="0"/>
          <w:numId w:val="46"/>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Uji Autokorelasi</w:t>
      </w:r>
    </w:p>
    <w:p w14:paraId="6D2083D6" w14:textId="220A92DE" w:rsidR="005279AA" w:rsidRPr="00A26354" w:rsidRDefault="001851FA" w:rsidP="00BF76D1">
      <w:pPr>
        <w:pStyle w:val="ListParagraph"/>
        <w:tabs>
          <w:tab w:val="left" w:pos="1701"/>
        </w:tabs>
        <w:spacing w:line="480" w:lineRule="auto"/>
        <w:ind w:left="1440" w:firstLine="545"/>
        <w:jc w:val="both"/>
        <w:rPr>
          <w:rFonts w:asciiTheme="majorBidi" w:hAnsiTheme="majorBidi" w:cstheme="majorBidi"/>
          <w:sz w:val="24"/>
          <w:szCs w:val="24"/>
          <w:lang w:val="id-ID"/>
        </w:rPr>
      </w:pPr>
      <w:r w:rsidRPr="005279AA">
        <w:rPr>
          <w:rFonts w:asciiTheme="majorBidi" w:hAnsiTheme="majorBidi" w:cstheme="majorBidi"/>
          <w:sz w:val="24"/>
          <w:szCs w:val="24"/>
        </w:rPr>
        <w:t xml:space="preserve">Uji autokorelasi bertujuan untuk menguji apakah </w:t>
      </w:r>
      <w:r w:rsidRPr="005279AA">
        <w:rPr>
          <w:rFonts w:asciiTheme="majorBidi" w:hAnsiTheme="majorBidi" w:cstheme="majorBidi"/>
          <w:i/>
          <w:iCs/>
          <w:sz w:val="24"/>
          <w:szCs w:val="24"/>
        </w:rPr>
        <w:t>confounding error</w:t>
      </w:r>
      <w:r w:rsidRPr="005279AA">
        <w:rPr>
          <w:rFonts w:asciiTheme="majorBidi" w:hAnsiTheme="majorBidi" w:cstheme="majorBidi"/>
          <w:sz w:val="24"/>
          <w:szCs w:val="24"/>
        </w:rPr>
        <w:t xml:space="preserve"> pada periode t dengan </w:t>
      </w:r>
      <w:r w:rsidRPr="005279AA">
        <w:rPr>
          <w:rFonts w:asciiTheme="majorBidi" w:hAnsiTheme="majorBidi" w:cstheme="majorBidi"/>
          <w:i/>
          <w:iCs/>
          <w:sz w:val="24"/>
          <w:szCs w:val="24"/>
        </w:rPr>
        <w:t>confinduring error</w:t>
      </w:r>
      <w:r w:rsidRPr="005279AA">
        <w:rPr>
          <w:rFonts w:asciiTheme="majorBidi" w:hAnsiTheme="majorBidi" w:cstheme="majorBidi"/>
          <w:sz w:val="24"/>
          <w:szCs w:val="24"/>
        </w:rPr>
        <w:t xml:space="preserve"> pada periode t-1 (sebelumnya) berkorelasi dalam </w:t>
      </w:r>
      <w:r w:rsidRPr="005279AA">
        <w:rPr>
          <w:rFonts w:asciiTheme="majorBidi" w:hAnsiTheme="majorBidi" w:cstheme="majorBidi"/>
          <w:i/>
          <w:iCs/>
          <w:sz w:val="24"/>
          <w:szCs w:val="24"/>
        </w:rPr>
        <w:t>linear regression model</w:t>
      </w:r>
      <w:r w:rsidRPr="005279AA">
        <w:rPr>
          <w:rFonts w:asciiTheme="majorBidi" w:hAnsiTheme="majorBidi" w:cstheme="majorBidi"/>
          <w:sz w:val="24"/>
          <w:szCs w:val="24"/>
        </w:rPr>
        <w:t>. Masalah autokorelasi ditunjukan dengan adanya korelasi. Autokorelasi timbul karena adanya hubungan antara observasi berturut-turut yang diperoleh dari waktu kewaktu yang saling berkaitan (Ghozali, 2018:111).</w:t>
      </w:r>
      <w:r w:rsidRPr="005279AA">
        <w:rPr>
          <w:rFonts w:asciiTheme="majorBidi" w:hAnsiTheme="majorBidi" w:cstheme="majorBidi"/>
          <w:sz w:val="24"/>
          <w:szCs w:val="24"/>
          <w:lang w:val="id-ID"/>
        </w:rPr>
        <w:t xml:space="preserve"> Cara mendeteksi ada tidaknya autokorelasi dalam </w:t>
      </w:r>
      <w:r w:rsidRPr="005279AA">
        <w:rPr>
          <w:rFonts w:asciiTheme="majorBidi" w:hAnsiTheme="majorBidi" w:cstheme="majorBidi"/>
          <w:sz w:val="24"/>
          <w:szCs w:val="24"/>
          <w:lang w:val="id-ID"/>
        </w:rPr>
        <w:lastRenderedPageBreak/>
        <w:t xml:space="preserve">penelitian ini menggunakan </w:t>
      </w:r>
      <w:r w:rsidRPr="005279AA">
        <w:rPr>
          <w:rFonts w:asciiTheme="majorBidi" w:hAnsiTheme="majorBidi" w:cstheme="majorBidi"/>
          <w:sz w:val="24"/>
          <w:szCs w:val="24"/>
        </w:rPr>
        <w:t>Uji Durbin-Watson (DW Test)</w:t>
      </w:r>
      <w:r w:rsidRPr="005279AA">
        <w:rPr>
          <w:rFonts w:asciiTheme="majorBidi" w:hAnsiTheme="majorBidi" w:cstheme="majorBidi"/>
          <w:sz w:val="24"/>
          <w:szCs w:val="24"/>
          <w:lang w:val="id-ID"/>
        </w:rPr>
        <w:t>.</w:t>
      </w:r>
      <w:r w:rsidR="00EC014F" w:rsidRPr="005279AA">
        <w:rPr>
          <w:rFonts w:asciiTheme="majorBidi" w:hAnsiTheme="majorBidi" w:cstheme="majorBidi"/>
          <w:sz w:val="24"/>
          <w:szCs w:val="24"/>
          <w:lang w:val="id-ID"/>
        </w:rPr>
        <w:t xml:space="preserve"> Berikut hasil uji autokorelasi:</w:t>
      </w:r>
    </w:p>
    <w:p w14:paraId="69F92341" w14:textId="2F64AF61" w:rsidR="006C606A" w:rsidRPr="005279AA" w:rsidRDefault="006C606A" w:rsidP="00BF76D1">
      <w:pPr>
        <w:pStyle w:val="ListParagraph"/>
        <w:tabs>
          <w:tab w:val="left" w:pos="1701"/>
          <w:tab w:val="left" w:leader="dot" w:pos="737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Tabel </w:t>
      </w:r>
      <w:r w:rsidR="00FC594C" w:rsidRPr="005279AA">
        <w:rPr>
          <w:rFonts w:asciiTheme="majorBidi" w:eastAsiaTheme="minorEastAsia" w:hAnsiTheme="majorBidi" w:cstheme="majorBidi"/>
          <w:b/>
          <w:bCs/>
          <w:iCs/>
          <w:sz w:val="24"/>
          <w:szCs w:val="24"/>
        </w:rPr>
        <w:t>22</w:t>
      </w:r>
    </w:p>
    <w:p w14:paraId="15CA5B45" w14:textId="38C8D774" w:rsidR="006C606A" w:rsidRPr="005279AA" w:rsidRDefault="006C606A" w:rsidP="00BF76D1">
      <w:pPr>
        <w:pStyle w:val="ListParagraph"/>
        <w:tabs>
          <w:tab w:val="left" w:pos="1701"/>
          <w:tab w:val="left" w:leader="dot" w:pos="7371"/>
        </w:tabs>
        <w:spacing w:line="240" w:lineRule="auto"/>
        <w:ind w:left="1440" w:hanging="22"/>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Hasil Uji Autokorelasi</w:t>
      </w:r>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0"/>
        <w:gridCol w:w="519"/>
        <w:gridCol w:w="802"/>
        <w:gridCol w:w="1488"/>
        <w:gridCol w:w="1965"/>
        <w:gridCol w:w="1261"/>
      </w:tblGrid>
      <w:tr w:rsidR="008A290E" w:rsidRPr="005279AA" w14:paraId="576C809C" w14:textId="77777777" w:rsidTr="00E450F8">
        <w:trPr>
          <w:cantSplit/>
        </w:trPr>
        <w:tc>
          <w:tcPr>
            <w:tcW w:w="0" w:type="auto"/>
            <w:gridSpan w:val="6"/>
            <w:tcBorders>
              <w:top w:val="nil"/>
              <w:left w:val="nil"/>
              <w:bottom w:val="nil"/>
              <w:right w:val="nil"/>
            </w:tcBorders>
            <w:shd w:val="clear" w:color="auto" w:fill="FFFFFF"/>
            <w:vAlign w:val="center"/>
          </w:tcPr>
          <w:p w14:paraId="34846D9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Model Summary</w:t>
            </w:r>
            <w:r w:rsidRPr="005279AA">
              <w:rPr>
                <w:rFonts w:asciiTheme="majorBidi" w:hAnsiTheme="majorBidi" w:cstheme="majorBidi"/>
                <w:b/>
                <w:bCs/>
                <w:color w:val="000000"/>
                <w:sz w:val="18"/>
                <w:szCs w:val="18"/>
                <w:vertAlign w:val="superscript"/>
              </w:rPr>
              <w:t>b</w:t>
            </w:r>
          </w:p>
        </w:tc>
      </w:tr>
      <w:tr w:rsidR="008A290E" w:rsidRPr="005279AA" w14:paraId="06056FB3" w14:textId="77777777" w:rsidTr="00E450F8">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14:paraId="788EC333"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17E3764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R</w:t>
            </w:r>
          </w:p>
        </w:tc>
        <w:tc>
          <w:tcPr>
            <w:tcW w:w="0" w:type="auto"/>
            <w:tcBorders>
              <w:top w:val="single" w:sz="16" w:space="0" w:color="000000"/>
              <w:bottom w:val="single" w:sz="16" w:space="0" w:color="000000"/>
            </w:tcBorders>
            <w:shd w:val="clear" w:color="auto" w:fill="FFFFFF"/>
            <w:vAlign w:val="bottom"/>
          </w:tcPr>
          <w:p w14:paraId="0C3CB03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R Square</w:t>
            </w:r>
          </w:p>
        </w:tc>
        <w:tc>
          <w:tcPr>
            <w:tcW w:w="0" w:type="auto"/>
            <w:tcBorders>
              <w:top w:val="single" w:sz="16" w:space="0" w:color="000000"/>
              <w:bottom w:val="single" w:sz="16" w:space="0" w:color="000000"/>
            </w:tcBorders>
            <w:shd w:val="clear" w:color="auto" w:fill="FFFFFF"/>
            <w:vAlign w:val="bottom"/>
          </w:tcPr>
          <w:p w14:paraId="0F404F6D"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Adjusted R Square</w:t>
            </w:r>
          </w:p>
        </w:tc>
        <w:tc>
          <w:tcPr>
            <w:tcW w:w="0" w:type="auto"/>
            <w:tcBorders>
              <w:top w:val="single" w:sz="16" w:space="0" w:color="000000"/>
              <w:bottom w:val="single" w:sz="16" w:space="0" w:color="000000"/>
            </w:tcBorders>
            <w:shd w:val="clear" w:color="auto" w:fill="FFFFFF"/>
            <w:vAlign w:val="bottom"/>
          </w:tcPr>
          <w:p w14:paraId="3133B33C"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 of the Estimate</w:t>
            </w:r>
          </w:p>
        </w:tc>
        <w:tc>
          <w:tcPr>
            <w:tcW w:w="0" w:type="auto"/>
            <w:tcBorders>
              <w:top w:val="single" w:sz="16" w:space="0" w:color="000000"/>
              <w:bottom w:val="single" w:sz="16" w:space="0" w:color="000000"/>
              <w:right w:val="single" w:sz="16" w:space="0" w:color="000000"/>
            </w:tcBorders>
            <w:shd w:val="clear" w:color="auto" w:fill="FFFFFF"/>
            <w:vAlign w:val="bottom"/>
          </w:tcPr>
          <w:p w14:paraId="276FC5D6"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Durbin-Watson</w:t>
            </w:r>
          </w:p>
        </w:tc>
      </w:tr>
      <w:tr w:rsidR="008A290E" w:rsidRPr="005279AA" w14:paraId="42CD31DB" w14:textId="77777777" w:rsidTr="00E450F8">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14:paraId="199AC80C"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14:paraId="61F939A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.654</w:t>
            </w:r>
            <w:r w:rsidRPr="005279AA">
              <w:rPr>
                <w:rFonts w:asciiTheme="majorBidi" w:hAnsiTheme="majorBidi" w:cstheme="majorBidi"/>
                <w:color w:val="000000"/>
                <w:sz w:val="18"/>
                <w:szCs w:val="18"/>
                <w:vertAlign w:val="superscript"/>
              </w:rPr>
              <w:t>a</w:t>
            </w:r>
          </w:p>
        </w:tc>
        <w:tc>
          <w:tcPr>
            <w:tcW w:w="0" w:type="auto"/>
            <w:tcBorders>
              <w:top w:val="single" w:sz="16" w:space="0" w:color="000000"/>
              <w:bottom w:val="single" w:sz="16" w:space="0" w:color="000000"/>
            </w:tcBorders>
            <w:shd w:val="clear" w:color="auto" w:fill="FFFFFF"/>
            <w:vAlign w:val="center"/>
          </w:tcPr>
          <w:p w14:paraId="31262FA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.428</w:t>
            </w:r>
          </w:p>
        </w:tc>
        <w:tc>
          <w:tcPr>
            <w:tcW w:w="0" w:type="auto"/>
            <w:tcBorders>
              <w:top w:val="single" w:sz="16" w:space="0" w:color="000000"/>
              <w:bottom w:val="single" w:sz="16" w:space="0" w:color="000000"/>
            </w:tcBorders>
            <w:shd w:val="clear" w:color="auto" w:fill="FFFFFF"/>
            <w:vAlign w:val="center"/>
          </w:tcPr>
          <w:p w14:paraId="20FE43E1"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.387</w:t>
            </w:r>
          </w:p>
        </w:tc>
        <w:tc>
          <w:tcPr>
            <w:tcW w:w="0" w:type="auto"/>
            <w:tcBorders>
              <w:top w:val="single" w:sz="16" w:space="0" w:color="000000"/>
              <w:bottom w:val="single" w:sz="16" w:space="0" w:color="000000"/>
            </w:tcBorders>
            <w:shd w:val="clear" w:color="auto" w:fill="FFFFFF"/>
            <w:vAlign w:val="center"/>
          </w:tcPr>
          <w:p w14:paraId="557EC30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.16486</w:t>
            </w:r>
          </w:p>
        </w:tc>
        <w:tc>
          <w:tcPr>
            <w:tcW w:w="0" w:type="auto"/>
            <w:tcBorders>
              <w:top w:val="single" w:sz="16" w:space="0" w:color="000000"/>
              <w:bottom w:val="single" w:sz="16" w:space="0" w:color="000000"/>
              <w:right w:val="single" w:sz="16" w:space="0" w:color="000000"/>
            </w:tcBorders>
            <w:shd w:val="clear" w:color="auto" w:fill="FFFFFF"/>
            <w:vAlign w:val="center"/>
          </w:tcPr>
          <w:p w14:paraId="7B0D283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1.901</w:t>
            </w:r>
          </w:p>
        </w:tc>
      </w:tr>
      <w:tr w:rsidR="008A290E" w:rsidRPr="005279AA" w14:paraId="403E3FA9" w14:textId="77777777" w:rsidTr="00E450F8">
        <w:trPr>
          <w:cantSplit/>
        </w:trPr>
        <w:tc>
          <w:tcPr>
            <w:tcW w:w="0" w:type="auto"/>
            <w:gridSpan w:val="6"/>
            <w:tcBorders>
              <w:top w:val="nil"/>
              <w:left w:val="nil"/>
              <w:bottom w:val="nil"/>
              <w:right w:val="nil"/>
            </w:tcBorders>
            <w:shd w:val="clear" w:color="auto" w:fill="FFFFFF"/>
          </w:tcPr>
          <w:p w14:paraId="54FE70E7"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Predictors: (Constant), KI, CR, ROA, DER, FCF</w:t>
            </w:r>
          </w:p>
        </w:tc>
      </w:tr>
      <w:tr w:rsidR="008A290E" w:rsidRPr="005279AA" w14:paraId="0777F152" w14:textId="77777777" w:rsidTr="00E450F8">
        <w:trPr>
          <w:cantSplit/>
        </w:trPr>
        <w:tc>
          <w:tcPr>
            <w:tcW w:w="0" w:type="auto"/>
            <w:gridSpan w:val="6"/>
            <w:tcBorders>
              <w:top w:val="nil"/>
              <w:left w:val="nil"/>
              <w:bottom w:val="nil"/>
              <w:right w:val="nil"/>
            </w:tcBorders>
            <w:shd w:val="clear" w:color="auto" w:fill="FFFFFF"/>
          </w:tcPr>
          <w:p w14:paraId="2F1D05E5"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b. Dependent Variable: DPR</w:t>
            </w:r>
          </w:p>
        </w:tc>
      </w:tr>
    </w:tbl>
    <w:p w14:paraId="2895B1B5" w14:textId="43EDB527" w:rsidR="00010E28" w:rsidRPr="005279AA" w:rsidRDefault="00B516F9" w:rsidP="00BF76D1">
      <w:pPr>
        <w:tabs>
          <w:tab w:val="left" w:pos="1701"/>
        </w:tabs>
        <w:spacing w:line="480" w:lineRule="auto"/>
        <w:ind w:left="1276"/>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2AF7C091" w14:textId="795D313C" w:rsidR="006C606A" w:rsidRPr="005279AA" w:rsidRDefault="006C606A" w:rsidP="00BF76D1">
      <w:pPr>
        <w:pStyle w:val="ListParagraph"/>
        <w:tabs>
          <w:tab w:val="left" w:pos="1701"/>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t>Berdasarkan tabel diatas diperoleh hasil perhitungan uji autokorelasi dengan uji Durbin-Witson menunjukan hasil sebesa</w:t>
      </w:r>
      <w:r w:rsidR="000B119B" w:rsidRPr="005279AA">
        <w:rPr>
          <w:rFonts w:asciiTheme="majorBidi" w:hAnsiTheme="majorBidi" w:cstheme="majorBidi"/>
          <w:sz w:val="24"/>
          <w:szCs w:val="24"/>
        </w:rPr>
        <w:t>r 1,</w:t>
      </w:r>
      <w:r w:rsidR="008A290E" w:rsidRPr="005279AA">
        <w:rPr>
          <w:rFonts w:asciiTheme="majorBidi" w:hAnsiTheme="majorBidi" w:cstheme="majorBidi"/>
          <w:sz w:val="24"/>
          <w:szCs w:val="24"/>
        </w:rPr>
        <w:t>90</w:t>
      </w:r>
      <w:r w:rsidR="002E6626" w:rsidRPr="005279AA">
        <w:rPr>
          <w:rFonts w:asciiTheme="majorBidi" w:hAnsiTheme="majorBidi" w:cstheme="majorBidi"/>
          <w:sz w:val="24"/>
          <w:szCs w:val="24"/>
        </w:rPr>
        <w:t>1</w:t>
      </w:r>
      <w:r w:rsidR="000B119B" w:rsidRPr="005279AA">
        <w:rPr>
          <w:rFonts w:asciiTheme="majorBidi" w:hAnsiTheme="majorBidi" w:cstheme="majorBidi"/>
          <w:sz w:val="24"/>
          <w:szCs w:val="24"/>
        </w:rPr>
        <w:t xml:space="preserve"> n= </w:t>
      </w:r>
      <w:r w:rsidR="008A290E" w:rsidRPr="005279AA">
        <w:rPr>
          <w:rFonts w:asciiTheme="majorBidi" w:hAnsiTheme="majorBidi" w:cstheme="majorBidi"/>
          <w:sz w:val="24"/>
          <w:szCs w:val="24"/>
        </w:rPr>
        <w:t>75</w:t>
      </w:r>
      <w:r w:rsidR="002E6626" w:rsidRPr="005279AA">
        <w:rPr>
          <w:rFonts w:asciiTheme="majorBidi" w:hAnsiTheme="majorBidi" w:cstheme="majorBidi"/>
          <w:sz w:val="24"/>
          <w:szCs w:val="24"/>
        </w:rPr>
        <w:t xml:space="preserve"> </w:t>
      </w:r>
      <w:r w:rsidR="000B119B" w:rsidRPr="005279AA">
        <w:rPr>
          <w:rFonts w:asciiTheme="majorBidi" w:hAnsiTheme="majorBidi" w:cstheme="majorBidi"/>
          <w:sz w:val="24"/>
          <w:szCs w:val="24"/>
        </w:rPr>
        <w:t>diketahui du=1,7</w:t>
      </w:r>
      <w:r w:rsidR="008A290E" w:rsidRPr="005279AA">
        <w:rPr>
          <w:rFonts w:asciiTheme="majorBidi" w:hAnsiTheme="majorBidi" w:cstheme="majorBidi"/>
          <w:sz w:val="24"/>
          <w:szCs w:val="24"/>
        </w:rPr>
        <w:t>698</w:t>
      </w:r>
      <w:r w:rsidR="000B119B" w:rsidRPr="005279AA">
        <w:rPr>
          <w:rFonts w:asciiTheme="majorBidi" w:hAnsiTheme="majorBidi" w:cstheme="majorBidi"/>
          <w:sz w:val="24"/>
          <w:szCs w:val="24"/>
        </w:rPr>
        <w:t xml:space="preserve"> sedangkan 4-du (2</w:t>
      </w:r>
      <w:r w:rsidR="008A290E" w:rsidRPr="005279AA">
        <w:rPr>
          <w:rFonts w:asciiTheme="majorBidi" w:hAnsiTheme="majorBidi" w:cstheme="majorBidi"/>
          <w:sz w:val="24"/>
          <w:szCs w:val="24"/>
        </w:rPr>
        <w:t>,2302</w:t>
      </w:r>
      <w:r w:rsidR="000B119B" w:rsidRPr="005279AA">
        <w:rPr>
          <w:rFonts w:asciiTheme="majorBidi" w:hAnsiTheme="majorBidi" w:cstheme="majorBidi"/>
          <w:sz w:val="24"/>
          <w:szCs w:val="24"/>
        </w:rPr>
        <w:t>). Kriteria tidak terjadinya autokorelasi adalah du &lt; Dw &lt; 4-du sehingga hasil penelitian ini adalah 1,</w:t>
      </w:r>
      <w:r w:rsidR="008A290E" w:rsidRPr="005279AA">
        <w:rPr>
          <w:rFonts w:asciiTheme="majorBidi" w:hAnsiTheme="majorBidi" w:cstheme="majorBidi"/>
          <w:sz w:val="24"/>
          <w:szCs w:val="24"/>
        </w:rPr>
        <w:t>7698</w:t>
      </w:r>
      <w:r w:rsidR="000B119B" w:rsidRPr="005279AA">
        <w:rPr>
          <w:rFonts w:asciiTheme="majorBidi" w:hAnsiTheme="majorBidi" w:cstheme="majorBidi"/>
          <w:sz w:val="24"/>
          <w:szCs w:val="24"/>
        </w:rPr>
        <w:t xml:space="preserve"> &lt; 1,</w:t>
      </w:r>
      <w:r w:rsidR="008A290E" w:rsidRPr="005279AA">
        <w:rPr>
          <w:rFonts w:asciiTheme="majorBidi" w:hAnsiTheme="majorBidi" w:cstheme="majorBidi"/>
          <w:sz w:val="24"/>
          <w:szCs w:val="24"/>
        </w:rPr>
        <w:t>901</w:t>
      </w:r>
      <w:r w:rsidR="000B119B" w:rsidRPr="005279AA">
        <w:rPr>
          <w:rFonts w:asciiTheme="majorBidi" w:hAnsiTheme="majorBidi" w:cstheme="majorBidi"/>
          <w:sz w:val="24"/>
          <w:szCs w:val="24"/>
        </w:rPr>
        <w:t xml:space="preserve"> &lt; 2,</w:t>
      </w:r>
      <w:r w:rsidR="008A290E" w:rsidRPr="005279AA">
        <w:rPr>
          <w:rFonts w:asciiTheme="majorBidi" w:hAnsiTheme="majorBidi" w:cstheme="majorBidi"/>
          <w:sz w:val="24"/>
          <w:szCs w:val="24"/>
        </w:rPr>
        <w:t>2302</w:t>
      </w:r>
      <w:r w:rsidR="000B119B" w:rsidRPr="005279AA">
        <w:rPr>
          <w:rFonts w:asciiTheme="majorBidi" w:hAnsiTheme="majorBidi" w:cstheme="majorBidi"/>
          <w:sz w:val="24"/>
          <w:szCs w:val="24"/>
        </w:rPr>
        <w:t xml:space="preserve"> yang artinya model regresi tidak terdapat masalah autokorelasi.</w:t>
      </w:r>
    </w:p>
    <w:p w14:paraId="4F0B58F4" w14:textId="77777777" w:rsidR="00BD4178" w:rsidRPr="005279AA" w:rsidRDefault="00BD4178" w:rsidP="00BF76D1">
      <w:pPr>
        <w:pStyle w:val="ListParagraph"/>
        <w:tabs>
          <w:tab w:val="left" w:pos="1701"/>
        </w:tabs>
        <w:spacing w:line="480" w:lineRule="auto"/>
        <w:ind w:left="1440"/>
        <w:jc w:val="both"/>
        <w:rPr>
          <w:rFonts w:asciiTheme="majorBidi" w:hAnsiTheme="majorBidi" w:cstheme="majorBidi"/>
          <w:sz w:val="24"/>
          <w:szCs w:val="24"/>
        </w:rPr>
      </w:pPr>
    </w:p>
    <w:p w14:paraId="7C1D1EA4" w14:textId="034467C1" w:rsidR="00010E28" w:rsidRPr="005279AA" w:rsidRDefault="00503238" w:rsidP="00BF76D1">
      <w:pPr>
        <w:pStyle w:val="ListParagraph"/>
        <w:numPr>
          <w:ilvl w:val="0"/>
          <w:numId w:val="45"/>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Analisis Regresi Linear Berganda</w:t>
      </w:r>
    </w:p>
    <w:p w14:paraId="79EDF6C1" w14:textId="6337E567" w:rsidR="00BF7148" w:rsidRDefault="001851FA" w:rsidP="00BF76D1">
      <w:pPr>
        <w:pStyle w:val="ListParagraph"/>
        <w:tabs>
          <w:tab w:val="left" w:pos="1701"/>
        </w:tabs>
        <w:spacing w:line="480" w:lineRule="auto"/>
        <w:ind w:left="1080" w:firstLine="621"/>
        <w:jc w:val="both"/>
        <w:rPr>
          <w:rFonts w:asciiTheme="majorBidi" w:hAnsiTheme="majorBidi" w:cstheme="majorBidi"/>
          <w:sz w:val="24"/>
          <w:szCs w:val="24"/>
        </w:rPr>
      </w:pPr>
      <w:r w:rsidRPr="005279AA">
        <w:rPr>
          <w:rFonts w:asciiTheme="majorBidi" w:hAnsiTheme="majorBidi" w:cstheme="majorBidi"/>
          <w:sz w:val="24"/>
          <w:szCs w:val="24"/>
        </w:rPr>
        <w:t xml:space="preserve">Analisis regresi linear berganda di uji guna menganalisis ada tidaknya korelasi antara dua atau lebih variabel bebas (Widarjono, 2017:59). Analisis ini digunakan untuk mengetahui pengaruh antara variabel bebas (X) yaitu profitabilitas, likuiditas, </w:t>
      </w:r>
      <w:r w:rsidRPr="005279AA">
        <w:rPr>
          <w:rFonts w:asciiTheme="majorBidi" w:hAnsiTheme="majorBidi" w:cstheme="majorBidi"/>
          <w:i/>
          <w:sz w:val="24"/>
          <w:szCs w:val="24"/>
        </w:rPr>
        <w:t>leverage</w:t>
      </w:r>
      <w:r w:rsidRPr="005279AA">
        <w:rPr>
          <w:rFonts w:asciiTheme="majorBidi" w:hAnsiTheme="majorBidi" w:cstheme="majorBidi"/>
          <w:sz w:val="24"/>
          <w:szCs w:val="24"/>
        </w:rPr>
        <w:t xml:space="preserve">, </w:t>
      </w:r>
      <w:r w:rsidRPr="005279AA">
        <w:rPr>
          <w:rFonts w:asciiTheme="majorBidi" w:hAnsiTheme="majorBidi" w:cstheme="majorBidi"/>
          <w:i/>
          <w:sz w:val="24"/>
          <w:szCs w:val="24"/>
        </w:rPr>
        <w:t xml:space="preserve">free cash flow </w:t>
      </w:r>
      <w:r w:rsidRPr="005279AA">
        <w:rPr>
          <w:rFonts w:asciiTheme="majorBidi" w:hAnsiTheme="majorBidi" w:cstheme="majorBidi"/>
          <w:sz w:val="24"/>
          <w:szCs w:val="24"/>
        </w:rPr>
        <w:t>terhadap variabel terikat (Y) yaitu kebijakan dividen</w:t>
      </w:r>
      <w:r w:rsidRPr="005279AA">
        <w:rPr>
          <w:rFonts w:asciiTheme="majorBidi" w:hAnsiTheme="majorBidi" w:cstheme="majorBidi"/>
          <w:sz w:val="24"/>
          <w:szCs w:val="24"/>
          <w:lang w:val="id-ID"/>
        </w:rPr>
        <w:t>. P</w:t>
      </w:r>
      <w:r w:rsidRPr="005279AA">
        <w:rPr>
          <w:rFonts w:asciiTheme="majorBidi" w:hAnsiTheme="majorBidi" w:cstheme="majorBidi"/>
          <w:sz w:val="24"/>
          <w:szCs w:val="24"/>
        </w:rPr>
        <w:t>ersamaan regresi yang diformulasikan sebagai berikut:</w:t>
      </w:r>
    </w:p>
    <w:p w14:paraId="72687F0D" w14:textId="77777777" w:rsidR="00BF7148" w:rsidRPr="00BF7148" w:rsidRDefault="00BF7148" w:rsidP="00BF76D1">
      <w:pPr>
        <w:pStyle w:val="ListParagraph"/>
        <w:tabs>
          <w:tab w:val="left" w:pos="1701"/>
        </w:tabs>
        <w:spacing w:line="480" w:lineRule="auto"/>
        <w:ind w:left="1080" w:firstLine="621"/>
        <w:jc w:val="both"/>
        <w:rPr>
          <w:rFonts w:asciiTheme="majorBidi" w:hAnsiTheme="majorBidi" w:cstheme="majorBidi"/>
          <w:sz w:val="24"/>
          <w:szCs w:val="24"/>
        </w:rPr>
      </w:pPr>
    </w:p>
    <w:p w14:paraId="5956B422" w14:textId="578C730B" w:rsidR="001851FA" w:rsidRPr="005279AA" w:rsidRDefault="008661F3" w:rsidP="00BF76D1">
      <w:pPr>
        <w:pStyle w:val="ListParagraph"/>
        <w:tabs>
          <w:tab w:val="left" w:pos="1701"/>
        </w:tabs>
        <w:spacing w:line="480" w:lineRule="auto"/>
        <w:ind w:left="1080"/>
        <w:jc w:val="center"/>
        <w:rPr>
          <w:rFonts w:asciiTheme="majorBidi" w:hAnsiTheme="majorBidi" w:cstheme="majorBidi"/>
          <w:b/>
          <w:bCs/>
          <w:sz w:val="24"/>
          <w:szCs w:val="24"/>
          <w:lang w:val="id-ID"/>
        </w:rPr>
      </w:pPr>
      <w:r>
        <w:rPr>
          <w:rFonts w:asciiTheme="majorBidi" w:hAnsiTheme="majorBidi" w:cstheme="majorBidi"/>
          <w:b/>
          <w:bCs/>
          <w:sz w:val="24"/>
          <w:szCs w:val="24"/>
        </w:rPr>
        <w:lastRenderedPageBreak/>
        <w:t xml:space="preserve">DPR </w:t>
      </w:r>
      <w:r w:rsidR="001851FA" w:rsidRPr="005279AA">
        <w:rPr>
          <w:rFonts w:asciiTheme="majorBidi" w:hAnsiTheme="majorBidi" w:cstheme="majorBidi"/>
          <w:b/>
          <w:bCs/>
          <w:sz w:val="24"/>
          <w:szCs w:val="24"/>
        </w:rPr>
        <w:t>= α + β</w:t>
      </w:r>
      <w:r w:rsidR="001851FA" w:rsidRPr="005279AA">
        <w:rPr>
          <w:rFonts w:asciiTheme="majorBidi" w:hAnsiTheme="majorBidi" w:cstheme="majorBidi"/>
          <w:b/>
          <w:bCs/>
          <w:sz w:val="24"/>
          <w:szCs w:val="24"/>
          <w:vertAlign w:val="subscript"/>
        </w:rPr>
        <w:t>1</w:t>
      </w:r>
      <w:r w:rsidR="000A231A">
        <w:rPr>
          <w:rFonts w:asciiTheme="majorBidi" w:hAnsiTheme="majorBidi" w:cstheme="majorBidi"/>
          <w:b/>
          <w:bCs/>
          <w:sz w:val="24"/>
          <w:szCs w:val="24"/>
        </w:rPr>
        <w:t>ROA</w:t>
      </w:r>
      <w:r w:rsidR="001851FA" w:rsidRPr="005279AA">
        <w:rPr>
          <w:rFonts w:asciiTheme="majorBidi" w:hAnsiTheme="majorBidi" w:cstheme="majorBidi"/>
          <w:b/>
          <w:bCs/>
          <w:sz w:val="24"/>
          <w:szCs w:val="24"/>
        </w:rPr>
        <w:t xml:space="preserve"> + β</w:t>
      </w:r>
      <w:r w:rsidR="001851FA" w:rsidRPr="005279AA">
        <w:rPr>
          <w:rFonts w:asciiTheme="majorBidi" w:hAnsiTheme="majorBidi" w:cstheme="majorBidi"/>
          <w:b/>
          <w:bCs/>
          <w:sz w:val="24"/>
          <w:szCs w:val="24"/>
          <w:vertAlign w:val="subscript"/>
        </w:rPr>
        <w:t>2</w:t>
      </w:r>
      <w:r w:rsidR="000A231A">
        <w:rPr>
          <w:rFonts w:asciiTheme="majorBidi" w:hAnsiTheme="majorBidi" w:cstheme="majorBidi"/>
          <w:b/>
          <w:bCs/>
          <w:sz w:val="24"/>
          <w:szCs w:val="24"/>
        </w:rPr>
        <w:t>CR</w:t>
      </w:r>
      <w:r w:rsidR="001851FA" w:rsidRPr="005279AA">
        <w:rPr>
          <w:rFonts w:asciiTheme="majorBidi" w:hAnsiTheme="majorBidi" w:cstheme="majorBidi"/>
          <w:b/>
          <w:bCs/>
          <w:sz w:val="24"/>
          <w:szCs w:val="24"/>
        </w:rPr>
        <w:t xml:space="preserve"> + β</w:t>
      </w:r>
      <w:r w:rsidR="001851FA" w:rsidRPr="005279AA">
        <w:rPr>
          <w:rFonts w:asciiTheme="majorBidi" w:hAnsiTheme="majorBidi" w:cstheme="majorBidi"/>
          <w:b/>
          <w:bCs/>
          <w:sz w:val="24"/>
          <w:szCs w:val="24"/>
          <w:vertAlign w:val="subscript"/>
        </w:rPr>
        <w:t>3</w:t>
      </w:r>
      <w:r w:rsidR="000A231A">
        <w:rPr>
          <w:rFonts w:asciiTheme="majorBidi" w:hAnsiTheme="majorBidi" w:cstheme="majorBidi"/>
          <w:b/>
          <w:bCs/>
          <w:sz w:val="24"/>
          <w:szCs w:val="24"/>
        </w:rPr>
        <w:t>DER</w:t>
      </w:r>
      <w:r w:rsidR="001851FA" w:rsidRPr="005279AA">
        <w:rPr>
          <w:rFonts w:asciiTheme="majorBidi" w:hAnsiTheme="majorBidi" w:cstheme="majorBidi"/>
          <w:b/>
          <w:bCs/>
          <w:sz w:val="24"/>
          <w:szCs w:val="24"/>
        </w:rPr>
        <w:t>+ β</w:t>
      </w:r>
      <w:r w:rsidR="001851FA" w:rsidRPr="005279AA">
        <w:rPr>
          <w:rFonts w:asciiTheme="majorBidi" w:hAnsiTheme="majorBidi" w:cstheme="majorBidi"/>
          <w:b/>
          <w:bCs/>
          <w:sz w:val="24"/>
          <w:szCs w:val="24"/>
          <w:vertAlign w:val="subscript"/>
        </w:rPr>
        <w:t>4</w:t>
      </w:r>
      <w:r w:rsidR="000A231A">
        <w:rPr>
          <w:rFonts w:asciiTheme="majorBidi" w:hAnsiTheme="majorBidi" w:cstheme="majorBidi"/>
          <w:b/>
          <w:bCs/>
          <w:sz w:val="24"/>
          <w:szCs w:val="24"/>
        </w:rPr>
        <w:t>FCF</w:t>
      </w:r>
      <w:r w:rsidR="001851FA" w:rsidRPr="005279AA">
        <w:rPr>
          <w:rFonts w:asciiTheme="majorBidi" w:hAnsiTheme="majorBidi" w:cstheme="majorBidi"/>
          <w:b/>
          <w:bCs/>
          <w:sz w:val="24"/>
          <w:szCs w:val="24"/>
        </w:rPr>
        <w:t>+ e</w:t>
      </w:r>
    </w:p>
    <w:p w14:paraId="157F92AB" w14:textId="0667C33E" w:rsidR="005279AA" w:rsidRPr="00A26354" w:rsidRDefault="001851FA" w:rsidP="00BF76D1">
      <w:pPr>
        <w:pStyle w:val="ListParagraph"/>
        <w:tabs>
          <w:tab w:val="left" w:pos="1701"/>
        </w:tabs>
        <w:spacing w:line="480" w:lineRule="auto"/>
        <w:ind w:left="1080"/>
        <w:jc w:val="both"/>
        <w:rPr>
          <w:rFonts w:asciiTheme="majorBidi" w:hAnsiTheme="majorBidi" w:cstheme="majorBidi"/>
          <w:sz w:val="24"/>
          <w:szCs w:val="24"/>
          <w:lang w:val="id-ID"/>
        </w:rPr>
      </w:pPr>
      <w:r w:rsidRPr="005279AA">
        <w:rPr>
          <w:rFonts w:asciiTheme="majorBidi" w:hAnsiTheme="majorBidi" w:cstheme="majorBidi"/>
          <w:sz w:val="24"/>
          <w:szCs w:val="24"/>
          <w:lang w:val="id-ID"/>
        </w:rPr>
        <w:t>Berikut hasil analisis regresi linear berganda:</w:t>
      </w:r>
    </w:p>
    <w:p w14:paraId="0464D2BD" w14:textId="1C3B0563" w:rsidR="001851FA" w:rsidRPr="005279AA" w:rsidRDefault="006C606A"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Tabel </w:t>
      </w:r>
      <w:r w:rsidR="00FC594C" w:rsidRPr="005279AA">
        <w:rPr>
          <w:rFonts w:asciiTheme="majorBidi" w:eastAsiaTheme="minorEastAsia" w:hAnsiTheme="majorBidi" w:cstheme="majorBidi"/>
          <w:b/>
          <w:bCs/>
          <w:iCs/>
          <w:sz w:val="24"/>
          <w:szCs w:val="24"/>
        </w:rPr>
        <w:t>23</w:t>
      </w:r>
    </w:p>
    <w:p w14:paraId="249ACBDD" w14:textId="420CC565" w:rsidR="006C606A" w:rsidRPr="005279AA" w:rsidRDefault="006C606A" w:rsidP="00BF76D1">
      <w:pPr>
        <w:pStyle w:val="ListParagraph"/>
        <w:tabs>
          <w:tab w:val="left" w:pos="1701"/>
        </w:tabs>
        <w:spacing w:line="240" w:lineRule="auto"/>
        <w:ind w:left="1080"/>
        <w:jc w:val="center"/>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Hasil Analisis Regresi Linear Berganda</w:t>
      </w:r>
    </w:p>
    <w:tbl>
      <w:tblPr>
        <w:tblW w:w="6832" w:type="dxa"/>
        <w:tblInd w:w="1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5"/>
        <w:gridCol w:w="919"/>
        <w:gridCol w:w="757"/>
        <w:gridCol w:w="1092"/>
        <w:gridCol w:w="1691"/>
        <w:gridCol w:w="1077"/>
        <w:gridCol w:w="1061"/>
      </w:tblGrid>
      <w:tr w:rsidR="008A290E" w:rsidRPr="005279AA" w14:paraId="105F71E0" w14:textId="77777777" w:rsidTr="00F44BA4">
        <w:trPr>
          <w:cantSplit/>
        </w:trPr>
        <w:tc>
          <w:tcPr>
            <w:tcW w:w="6832" w:type="dxa"/>
            <w:gridSpan w:val="7"/>
            <w:tcBorders>
              <w:top w:val="nil"/>
              <w:left w:val="nil"/>
              <w:bottom w:val="nil"/>
              <w:right w:val="nil"/>
            </w:tcBorders>
            <w:shd w:val="clear" w:color="auto" w:fill="FFFFFF"/>
            <w:vAlign w:val="center"/>
          </w:tcPr>
          <w:p w14:paraId="614ADF25"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Coefficients</w:t>
            </w:r>
            <w:r w:rsidRPr="005279AA">
              <w:rPr>
                <w:rFonts w:asciiTheme="majorBidi" w:hAnsiTheme="majorBidi" w:cstheme="majorBidi"/>
                <w:b/>
                <w:bCs/>
                <w:color w:val="000000"/>
                <w:sz w:val="18"/>
                <w:szCs w:val="18"/>
                <w:vertAlign w:val="superscript"/>
              </w:rPr>
              <w:t>a</w:t>
            </w:r>
          </w:p>
        </w:tc>
      </w:tr>
      <w:tr w:rsidR="008A290E" w:rsidRPr="005279AA" w14:paraId="61A6CB0C" w14:textId="77777777" w:rsidTr="00F44BA4">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38A05346"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14:paraId="79A78768"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Coefficients</w:t>
            </w:r>
          </w:p>
        </w:tc>
        <w:tc>
          <w:tcPr>
            <w:tcW w:w="0" w:type="auto"/>
            <w:tcBorders>
              <w:top w:val="single" w:sz="16" w:space="0" w:color="000000"/>
            </w:tcBorders>
            <w:shd w:val="clear" w:color="auto" w:fill="FFFFFF"/>
            <w:vAlign w:val="bottom"/>
          </w:tcPr>
          <w:p w14:paraId="2B029EF6"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Standardized Coefficients</w:t>
            </w:r>
          </w:p>
        </w:tc>
        <w:tc>
          <w:tcPr>
            <w:tcW w:w="1042" w:type="dxa"/>
            <w:vMerge w:val="restart"/>
            <w:tcBorders>
              <w:top w:val="single" w:sz="16" w:space="0" w:color="000000"/>
            </w:tcBorders>
            <w:shd w:val="clear" w:color="auto" w:fill="FFFFFF"/>
            <w:vAlign w:val="bottom"/>
          </w:tcPr>
          <w:p w14:paraId="1E9918B6"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w:t>
            </w:r>
          </w:p>
        </w:tc>
        <w:tc>
          <w:tcPr>
            <w:tcW w:w="1026" w:type="dxa"/>
            <w:vMerge w:val="restart"/>
            <w:tcBorders>
              <w:top w:val="single" w:sz="16" w:space="0" w:color="000000"/>
              <w:right w:val="single" w:sz="16" w:space="0" w:color="000000"/>
            </w:tcBorders>
            <w:shd w:val="clear" w:color="auto" w:fill="FFFFFF"/>
            <w:vAlign w:val="bottom"/>
          </w:tcPr>
          <w:p w14:paraId="7255D3AF"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Sig.</w:t>
            </w:r>
          </w:p>
        </w:tc>
      </w:tr>
      <w:tr w:rsidR="008A290E" w:rsidRPr="005279AA" w14:paraId="11D0E330" w14:textId="77777777" w:rsidTr="00F44BA4">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56C8698B"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left w:val="single" w:sz="16" w:space="0" w:color="000000"/>
              <w:bottom w:val="single" w:sz="16" w:space="0" w:color="000000"/>
            </w:tcBorders>
            <w:shd w:val="clear" w:color="auto" w:fill="FFFFFF"/>
            <w:vAlign w:val="bottom"/>
          </w:tcPr>
          <w:p w14:paraId="6185DFB2"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w:t>
            </w:r>
          </w:p>
        </w:tc>
        <w:tc>
          <w:tcPr>
            <w:tcW w:w="0" w:type="auto"/>
            <w:tcBorders>
              <w:bottom w:val="single" w:sz="16" w:space="0" w:color="000000"/>
            </w:tcBorders>
            <w:shd w:val="clear" w:color="auto" w:fill="FFFFFF"/>
            <w:vAlign w:val="bottom"/>
          </w:tcPr>
          <w:p w14:paraId="67E3A693"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w:t>
            </w:r>
          </w:p>
        </w:tc>
        <w:tc>
          <w:tcPr>
            <w:tcW w:w="0" w:type="auto"/>
            <w:tcBorders>
              <w:bottom w:val="single" w:sz="16" w:space="0" w:color="000000"/>
            </w:tcBorders>
            <w:shd w:val="clear" w:color="auto" w:fill="FFFFFF"/>
            <w:vAlign w:val="bottom"/>
          </w:tcPr>
          <w:p w14:paraId="237A395C" w14:textId="77777777" w:rsidR="008A290E" w:rsidRPr="005279AA" w:rsidRDefault="008A290E"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Beta</w:t>
            </w:r>
          </w:p>
        </w:tc>
        <w:tc>
          <w:tcPr>
            <w:tcW w:w="1042" w:type="dxa"/>
            <w:vMerge/>
            <w:tcBorders>
              <w:top w:val="single" w:sz="16" w:space="0" w:color="000000"/>
            </w:tcBorders>
            <w:shd w:val="clear" w:color="auto" w:fill="FFFFFF"/>
            <w:vAlign w:val="bottom"/>
          </w:tcPr>
          <w:p w14:paraId="22F73DBD"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026" w:type="dxa"/>
            <w:vMerge/>
            <w:tcBorders>
              <w:top w:val="single" w:sz="16" w:space="0" w:color="000000"/>
              <w:right w:val="single" w:sz="16" w:space="0" w:color="000000"/>
            </w:tcBorders>
            <w:shd w:val="clear" w:color="auto" w:fill="FFFFFF"/>
            <w:vAlign w:val="bottom"/>
          </w:tcPr>
          <w:p w14:paraId="020841CC"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r>
      <w:tr w:rsidR="00F44BA4" w:rsidRPr="005279AA" w14:paraId="352849EE" w14:textId="77777777" w:rsidTr="00F44BA4">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15A86522"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14:paraId="783C98C6"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14:paraId="47BDD27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.651</w:t>
            </w:r>
          </w:p>
        </w:tc>
        <w:tc>
          <w:tcPr>
            <w:tcW w:w="0" w:type="auto"/>
            <w:tcBorders>
              <w:top w:val="single" w:sz="16" w:space="0" w:color="000000"/>
              <w:bottom w:val="nil"/>
            </w:tcBorders>
            <w:shd w:val="clear" w:color="auto" w:fill="FFFFFF"/>
            <w:vAlign w:val="center"/>
          </w:tcPr>
          <w:p w14:paraId="583F5C9E"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.060</w:t>
            </w:r>
          </w:p>
        </w:tc>
        <w:tc>
          <w:tcPr>
            <w:tcW w:w="0" w:type="auto"/>
            <w:tcBorders>
              <w:top w:val="single" w:sz="16" w:space="0" w:color="000000"/>
              <w:bottom w:val="nil"/>
            </w:tcBorders>
            <w:shd w:val="clear" w:color="auto" w:fill="FFFFFF"/>
            <w:vAlign w:val="center"/>
          </w:tcPr>
          <w:p w14:paraId="11D1073F"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042" w:type="dxa"/>
            <w:tcBorders>
              <w:top w:val="single" w:sz="16" w:space="0" w:color="000000"/>
              <w:bottom w:val="nil"/>
            </w:tcBorders>
            <w:shd w:val="clear" w:color="auto" w:fill="FFFFFF"/>
            <w:vAlign w:val="center"/>
          </w:tcPr>
          <w:p w14:paraId="1B0FBA4E"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10.830</w:t>
            </w:r>
          </w:p>
        </w:tc>
        <w:tc>
          <w:tcPr>
            <w:tcW w:w="1026" w:type="dxa"/>
            <w:tcBorders>
              <w:top w:val="single" w:sz="16" w:space="0" w:color="000000"/>
              <w:bottom w:val="nil"/>
              <w:right w:val="single" w:sz="16" w:space="0" w:color="000000"/>
            </w:tcBorders>
            <w:shd w:val="clear" w:color="auto" w:fill="FFFFFF"/>
            <w:vAlign w:val="center"/>
          </w:tcPr>
          <w:p w14:paraId="456B019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2B9515A9"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5A90E05"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218BB880"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0" w:type="auto"/>
            <w:tcBorders>
              <w:top w:val="nil"/>
              <w:left w:val="single" w:sz="16" w:space="0" w:color="000000"/>
              <w:bottom w:val="nil"/>
            </w:tcBorders>
            <w:shd w:val="clear" w:color="auto" w:fill="FFFFFF"/>
            <w:vAlign w:val="center"/>
          </w:tcPr>
          <w:p w14:paraId="0831C27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1.634</w:t>
            </w:r>
          </w:p>
        </w:tc>
        <w:tc>
          <w:tcPr>
            <w:tcW w:w="0" w:type="auto"/>
            <w:tcBorders>
              <w:top w:val="nil"/>
              <w:bottom w:val="nil"/>
            </w:tcBorders>
            <w:shd w:val="clear" w:color="auto" w:fill="FFFFFF"/>
            <w:vAlign w:val="center"/>
          </w:tcPr>
          <w:p w14:paraId="77FD4EE0"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.309</w:t>
            </w:r>
          </w:p>
        </w:tc>
        <w:tc>
          <w:tcPr>
            <w:tcW w:w="0" w:type="auto"/>
            <w:tcBorders>
              <w:top w:val="nil"/>
              <w:bottom w:val="nil"/>
            </w:tcBorders>
            <w:shd w:val="clear" w:color="auto" w:fill="FFFFFF"/>
            <w:vAlign w:val="center"/>
          </w:tcPr>
          <w:p w14:paraId="4BC7E1CF"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.593</w:t>
            </w:r>
          </w:p>
        </w:tc>
        <w:tc>
          <w:tcPr>
            <w:tcW w:w="1042" w:type="dxa"/>
            <w:tcBorders>
              <w:top w:val="nil"/>
              <w:bottom w:val="nil"/>
            </w:tcBorders>
            <w:shd w:val="clear" w:color="auto" w:fill="FFFFFF"/>
            <w:vAlign w:val="center"/>
          </w:tcPr>
          <w:p w14:paraId="4E2E948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5.293</w:t>
            </w:r>
          </w:p>
        </w:tc>
        <w:tc>
          <w:tcPr>
            <w:tcW w:w="1026" w:type="dxa"/>
            <w:tcBorders>
              <w:top w:val="nil"/>
              <w:bottom w:val="nil"/>
              <w:right w:val="single" w:sz="16" w:space="0" w:color="000000"/>
            </w:tcBorders>
            <w:shd w:val="clear" w:color="auto" w:fill="FFFFFF"/>
            <w:vAlign w:val="center"/>
          </w:tcPr>
          <w:p w14:paraId="6C058A3C"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72CFB13F"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16CC399"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149877D6"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0" w:type="auto"/>
            <w:tcBorders>
              <w:top w:val="nil"/>
              <w:left w:val="single" w:sz="16" w:space="0" w:color="000000"/>
              <w:bottom w:val="nil"/>
            </w:tcBorders>
            <w:shd w:val="clear" w:color="auto" w:fill="FFFFFF"/>
            <w:vAlign w:val="center"/>
          </w:tcPr>
          <w:p w14:paraId="383A0983"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-.032</w:t>
            </w:r>
          </w:p>
        </w:tc>
        <w:tc>
          <w:tcPr>
            <w:tcW w:w="0" w:type="auto"/>
            <w:tcBorders>
              <w:top w:val="nil"/>
              <w:bottom w:val="nil"/>
            </w:tcBorders>
            <w:shd w:val="clear" w:color="auto" w:fill="FFFFFF"/>
            <w:vAlign w:val="center"/>
          </w:tcPr>
          <w:p w14:paraId="258BA5F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.013</w:t>
            </w:r>
          </w:p>
        </w:tc>
        <w:tc>
          <w:tcPr>
            <w:tcW w:w="0" w:type="auto"/>
            <w:tcBorders>
              <w:top w:val="nil"/>
              <w:bottom w:val="nil"/>
            </w:tcBorders>
            <w:shd w:val="clear" w:color="auto" w:fill="FFFFFF"/>
            <w:vAlign w:val="center"/>
          </w:tcPr>
          <w:p w14:paraId="796B5B48"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-.330</w:t>
            </w:r>
          </w:p>
        </w:tc>
        <w:tc>
          <w:tcPr>
            <w:tcW w:w="1042" w:type="dxa"/>
            <w:tcBorders>
              <w:top w:val="nil"/>
              <w:bottom w:val="nil"/>
            </w:tcBorders>
            <w:shd w:val="clear" w:color="auto" w:fill="FFFFFF"/>
            <w:vAlign w:val="center"/>
          </w:tcPr>
          <w:p w14:paraId="2699D5D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-2.373</w:t>
            </w:r>
          </w:p>
        </w:tc>
        <w:tc>
          <w:tcPr>
            <w:tcW w:w="1026" w:type="dxa"/>
            <w:tcBorders>
              <w:top w:val="nil"/>
              <w:bottom w:val="nil"/>
              <w:right w:val="single" w:sz="16" w:space="0" w:color="000000"/>
            </w:tcBorders>
            <w:shd w:val="clear" w:color="auto" w:fill="FFFFFF"/>
            <w:vAlign w:val="center"/>
          </w:tcPr>
          <w:p w14:paraId="76AD562B"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.020</w:t>
            </w:r>
          </w:p>
        </w:tc>
      </w:tr>
      <w:tr w:rsidR="00F44BA4" w:rsidRPr="005279AA" w14:paraId="6C768848"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4CFA105"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4C60FC48"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0" w:type="auto"/>
            <w:tcBorders>
              <w:top w:val="nil"/>
              <w:left w:val="single" w:sz="16" w:space="0" w:color="000000"/>
              <w:bottom w:val="nil"/>
            </w:tcBorders>
            <w:shd w:val="clear" w:color="auto" w:fill="FFFFFF"/>
            <w:vAlign w:val="center"/>
          </w:tcPr>
          <w:p w14:paraId="3FBB2A3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-.046</w:t>
            </w:r>
          </w:p>
        </w:tc>
        <w:tc>
          <w:tcPr>
            <w:tcW w:w="0" w:type="auto"/>
            <w:tcBorders>
              <w:top w:val="nil"/>
              <w:bottom w:val="nil"/>
            </w:tcBorders>
            <w:shd w:val="clear" w:color="auto" w:fill="FFFFFF"/>
            <w:vAlign w:val="center"/>
          </w:tcPr>
          <w:p w14:paraId="0A4FC545"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.021</w:t>
            </w:r>
          </w:p>
        </w:tc>
        <w:tc>
          <w:tcPr>
            <w:tcW w:w="0" w:type="auto"/>
            <w:tcBorders>
              <w:top w:val="nil"/>
              <w:bottom w:val="nil"/>
            </w:tcBorders>
            <w:shd w:val="clear" w:color="auto" w:fill="FFFFFF"/>
            <w:vAlign w:val="center"/>
          </w:tcPr>
          <w:p w14:paraId="314FA582"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-.262</w:t>
            </w:r>
          </w:p>
        </w:tc>
        <w:tc>
          <w:tcPr>
            <w:tcW w:w="1042" w:type="dxa"/>
            <w:tcBorders>
              <w:top w:val="nil"/>
              <w:bottom w:val="nil"/>
            </w:tcBorders>
            <w:shd w:val="clear" w:color="auto" w:fill="FFFFFF"/>
            <w:vAlign w:val="center"/>
          </w:tcPr>
          <w:p w14:paraId="578D43F7"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-2.148</w:t>
            </w:r>
          </w:p>
        </w:tc>
        <w:tc>
          <w:tcPr>
            <w:tcW w:w="1026" w:type="dxa"/>
            <w:tcBorders>
              <w:top w:val="nil"/>
              <w:bottom w:val="nil"/>
              <w:right w:val="single" w:sz="16" w:space="0" w:color="000000"/>
            </w:tcBorders>
            <w:shd w:val="clear" w:color="auto" w:fill="FFFFFF"/>
            <w:vAlign w:val="center"/>
          </w:tcPr>
          <w:p w14:paraId="61754F78"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.035</w:t>
            </w:r>
          </w:p>
        </w:tc>
      </w:tr>
      <w:tr w:rsidR="00F44BA4" w:rsidRPr="005279AA" w14:paraId="56916EC9"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A571C42" w14:textId="77777777" w:rsidR="008A290E" w:rsidRPr="005279AA" w:rsidRDefault="008A290E"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single" w:sz="16" w:space="0" w:color="000000"/>
              <w:right w:val="single" w:sz="16" w:space="0" w:color="000000"/>
            </w:tcBorders>
            <w:shd w:val="clear" w:color="auto" w:fill="FFFFFF"/>
          </w:tcPr>
          <w:p w14:paraId="1AE3CB3F"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0" w:type="auto"/>
            <w:tcBorders>
              <w:top w:val="nil"/>
              <w:left w:val="single" w:sz="16" w:space="0" w:color="000000"/>
              <w:bottom w:val="single" w:sz="16" w:space="0" w:color="000000"/>
            </w:tcBorders>
            <w:shd w:val="clear" w:color="auto" w:fill="FFFFFF"/>
            <w:vAlign w:val="center"/>
          </w:tcPr>
          <w:p w14:paraId="2FF8FD5D"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.013</w:t>
            </w:r>
          </w:p>
        </w:tc>
        <w:tc>
          <w:tcPr>
            <w:tcW w:w="0" w:type="auto"/>
            <w:tcBorders>
              <w:top w:val="nil"/>
              <w:bottom w:val="single" w:sz="16" w:space="0" w:color="000000"/>
            </w:tcBorders>
            <w:shd w:val="clear" w:color="auto" w:fill="FFFFFF"/>
            <w:vAlign w:val="center"/>
          </w:tcPr>
          <w:p w14:paraId="7E1CAB9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.113</w:t>
            </w:r>
          </w:p>
        </w:tc>
        <w:tc>
          <w:tcPr>
            <w:tcW w:w="0" w:type="auto"/>
            <w:tcBorders>
              <w:top w:val="nil"/>
              <w:bottom w:val="single" w:sz="16" w:space="0" w:color="000000"/>
            </w:tcBorders>
            <w:shd w:val="clear" w:color="auto" w:fill="FFFFFF"/>
            <w:vAlign w:val="center"/>
          </w:tcPr>
          <w:p w14:paraId="2CEF41F4"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.018</w:t>
            </w:r>
          </w:p>
        </w:tc>
        <w:tc>
          <w:tcPr>
            <w:tcW w:w="1042" w:type="dxa"/>
            <w:tcBorders>
              <w:top w:val="nil"/>
              <w:bottom w:val="single" w:sz="16" w:space="0" w:color="000000"/>
            </w:tcBorders>
            <w:shd w:val="clear" w:color="auto" w:fill="FFFFFF"/>
            <w:vAlign w:val="center"/>
          </w:tcPr>
          <w:p w14:paraId="71C20AC6"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.118</w:t>
            </w:r>
          </w:p>
        </w:tc>
        <w:tc>
          <w:tcPr>
            <w:tcW w:w="1026" w:type="dxa"/>
            <w:tcBorders>
              <w:top w:val="nil"/>
              <w:bottom w:val="single" w:sz="16" w:space="0" w:color="000000"/>
              <w:right w:val="single" w:sz="16" w:space="0" w:color="000000"/>
            </w:tcBorders>
            <w:shd w:val="clear" w:color="auto" w:fill="FFFFFF"/>
            <w:vAlign w:val="center"/>
          </w:tcPr>
          <w:p w14:paraId="3C2445AA" w14:textId="77777777" w:rsidR="008A290E" w:rsidRPr="005279AA" w:rsidRDefault="008A290E"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.907</w:t>
            </w:r>
          </w:p>
        </w:tc>
      </w:tr>
      <w:tr w:rsidR="008A290E" w:rsidRPr="005279AA" w14:paraId="45D0BF22" w14:textId="77777777" w:rsidTr="00F44BA4">
        <w:trPr>
          <w:cantSplit/>
        </w:trPr>
        <w:tc>
          <w:tcPr>
            <w:tcW w:w="6832" w:type="dxa"/>
            <w:gridSpan w:val="7"/>
            <w:tcBorders>
              <w:top w:val="nil"/>
              <w:left w:val="nil"/>
              <w:bottom w:val="nil"/>
              <w:right w:val="nil"/>
            </w:tcBorders>
            <w:shd w:val="clear" w:color="auto" w:fill="FFFFFF"/>
          </w:tcPr>
          <w:p w14:paraId="245401AB" w14:textId="77777777" w:rsidR="008A290E" w:rsidRPr="005279AA" w:rsidRDefault="008A290E"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Dependent Variable: DPR</w:t>
            </w:r>
          </w:p>
        </w:tc>
      </w:tr>
    </w:tbl>
    <w:p w14:paraId="69AE7E4C" w14:textId="35599E1A" w:rsidR="006C606A" w:rsidRPr="005279AA" w:rsidRDefault="002F5572" w:rsidP="00BF76D1">
      <w:pPr>
        <w:tabs>
          <w:tab w:val="left" w:pos="1701"/>
        </w:tabs>
        <w:spacing w:line="480" w:lineRule="auto"/>
        <w:ind w:left="1134"/>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362CFA85" w14:textId="77777777" w:rsidR="00AE1415" w:rsidRDefault="006C606A" w:rsidP="00BF76D1">
      <w:pPr>
        <w:pStyle w:val="ListParagraph"/>
        <w:tabs>
          <w:tab w:val="left" w:pos="1701"/>
        </w:tabs>
        <w:spacing w:line="480" w:lineRule="auto"/>
        <w:ind w:left="1080" w:firstLine="621"/>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Berdasarkan hasil analisis regresi linear berganda, estimasi modal regresi linear berganda antara variabel independen</w:t>
      </w:r>
      <w:r w:rsidR="00494056" w:rsidRPr="005279AA">
        <w:rPr>
          <w:rFonts w:asciiTheme="majorBidi" w:eastAsiaTheme="minorEastAsia" w:hAnsiTheme="majorBidi" w:cstheme="majorBidi"/>
          <w:iCs/>
          <w:sz w:val="24"/>
          <w:szCs w:val="24"/>
        </w:rPr>
        <w:t xml:space="preserve"> yaitu profitabilitas</w:t>
      </w:r>
      <w:r w:rsidR="004A5645" w:rsidRPr="005279AA">
        <w:rPr>
          <w:rFonts w:asciiTheme="majorBidi" w:eastAsiaTheme="minorEastAsia" w:hAnsiTheme="majorBidi" w:cstheme="majorBidi"/>
          <w:iCs/>
          <w:sz w:val="24"/>
          <w:szCs w:val="24"/>
        </w:rPr>
        <w:t xml:space="preserve"> </w:t>
      </w:r>
      <w:r w:rsidR="00494056" w:rsidRPr="005279AA">
        <w:rPr>
          <w:rFonts w:asciiTheme="majorBidi" w:eastAsiaTheme="minorEastAsia" w:hAnsiTheme="majorBidi" w:cstheme="majorBidi"/>
          <w:iCs/>
          <w:sz w:val="24"/>
          <w:szCs w:val="24"/>
        </w:rPr>
        <w:t xml:space="preserve">likuiditas, </w:t>
      </w:r>
      <w:r w:rsidR="00494056" w:rsidRPr="005279AA">
        <w:rPr>
          <w:rFonts w:asciiTheme="majorBidi" w:eastAsiaTheme="minorEastAsia" w:hAnsiTheme="majorBidi" w:cstheme="majorBidi"/>
          <w:i/>
          <w:sz w:val="24"/>
          <w:szCs w:val="24"/>
        </w:rPr>
        <w:t>leverage, free cash flow</w:t>
      </w:r>
      <w:r w:rsidR="00494056" w:rsidRPr="005279AA">
        <w:rPr>
          <w:rFonts w:asciiTheme="majorBidi" w:eastAsiaTheme="minorEastAsia" w:hAnsiTheme="majorBidi" w:cstheme="majorBidi"/>
          <w:iCs/>
          <w:sz w:val="24"/>
          <w:szCs w:val="24"/>
        </w:rPr>
        <w:t xml:space="preserve"> terhadap variabel dependen yaitu kebijakan dividen diperoleh persamaan sebagai berikut:</w:t>
      </w:r>
    </w:p>
    <w:p w14:paraId="2A6098E8" w14:textId="71760F76" w:rsidR="00E450F8" w:rsidRPr="00AE1415" w:rsidRDefault="00E450F8" w:rsidP="00BF76D1">
      <w:pPr>
        <w:pStyle w:val="ListParagraph"/>
        <w:tabs>
          <w:tab w:val="left" w:pos="1701"/>
        </w:tabs>
        <w:spacing w:line="480" w:lineRule="auto"/>
        <w:ind w:left="1080" w:firstLine="54"/>
        <w:jc w:val="both"/>
        <w:rPr>
          <w:rFonts w:asciiTheme="majorBidi" w:eastAsiaTheme="minorEastAsia" w:hAnsiTheme="majorBidi" w:cstheme="majorBidi"/>
          <w:iCs/>
          <w:sz w:val="24"/>
          <w:szCs w:val="24"/>
        </w:rPr>
      </w:pPr>
      <w:r w:rsidRPr="00AE1415">
        <w:rPr>
          <w:rFonts w:asciiTheme="majorBidi" w:eastAsiaTheme="minorEastAsia" w:hAnsiTheme="majorBidi" w:cstheme="majorBidi"/>
          <w:b/>
          <w:bCs/>
          <w:iCs/>
          <w:sz w:val="24"/>
          <w:szCs w:val="24"/>
        </w:rPr>
        <w:t>DPR = 0,651</w:t>
      </w:r>
      <w:r w:rsidR="00AE1415" w:rsidRPr="00AE1415">
        <w:rPr>
          <w:rFonts w:asciiTheme="majorBidi" w:eastAsiaTheme="minorEastAsia" w:hAnsiTheme="majorBidi" w:cstheme="majorBidi"/>
          <w:b/>
          <w:bCs/>
          <w:iCs/>
          <w:sz w:val="24"/>
          <w:szCs w:val="24"/>
        </w:rPr>
        <w:t xml:space="preserve"> + 1,634</w:t>
      </w:r>
      <w:r w:rsidRPr="00AE1415">
        <w:rPr>
          <w:rFonts w:asciiTheme="majorBidi" w:eastAsiaTheme="minorEastAsia" w:hAnsiTheme="majorBidi" w:cstheme="majorBidi"/>
          <w:b/>
          <w:bCs/>
          <w:iCs/>
          <w:sz w:val="24"/>
          <w:szCs w:val="24"/>
        </w:rPr>
        <w:t xml:space="preserve"> ROA - 0,03</w:t>
      </w:r>
      <w:r w:rsidR="00AE1415">
        <w:rPr>
          <w:rFonts w:asciiTheme="majorBidi" w:eastAsiaTheme="minorEastAsia" w:hAnsiTheme="majorBidi" w:cstheme="majorBidi"/>
          <w:b/>
          <w:bCs/>
          <w:iCs/>
          <w:sz w:val="24"/>
          <w:szCs w:val="24"/>
        </w:rPr>
        <w:t>2</w:t>
      </w:r>
      <w:r w:rsidRPr="00AE1415">
        <w:rPr>
          <w:rFonts w:asciiTheme="majorBidi" w:eastAsiaTheme="minorEastAsia" w:hAnsiTheme="majorBidi" w:cstheme="majorBidi"/>
          <w:b/>
          <w:bCs/>
          <w:iCs/>
          <w:sz w:val="24"/>
          <w:szCs w:val="24"/>
        </w:rPr>
        <w:t xml:space="preserve"> CR – 0,046 DER + 0,013 FCF</w:t>
      </w:r>
    </w:p>
    <w:p w14:paraId="03EEBA7E" w14:textId="5DE76FF5" w:rsidR="00494056" w:rsidRPr="005279AA" w:rsidRDefault="00494056" w:rsidP="00BF76D1">
      <w:pPr>
        <w:pStyle w:val="ListParagraph"/>
        <w:tabs>
          <w:tab w:val="left" w:pos="1701"/>
        </w:tabs>
        <w:spacing w:line="480" w:lineRule="auto"/>
        <w:ind w:left="1080"/>
        <w:jc w:val="both"/>
        <w:rPr>
          <w:rFonts w:asciiTheme="majorBidi" w:hAnsiTheme="majorBidi" w:cstheme="majorBidi"/>
          <w:sz w:val="24"/>
          <w:szCs w:val="24"/>
          <w:lang w:val="id-ID"/>
        </w:rPr>
      </w:pPr>
      <w:r w:rsidRPr="005279AA">
        <w:rPr>
          <w:rFonts w:asciiTheme="majorBidi" w:eastAsiaTheme="minorEastAsia" w:hAnsiTheme="majorBidi" w:cstheme="majorBidi"/>
          <w:iCs/>
          <w:sz w:val="24"/>
          <w:szCs w:val="24"/>
        </w:rPr>
        <w:t xml:space="preserve">Dari persamaan </w:t>
      </w:r>
      <w:r w:rsidRPr="005279AA">
        <w:rPr>
          <w:rFonts w:asciiTheme="majorBidi" w:hAnsiTheme="majorBidi" w:cstheme="majorBidi"/>
          <w:sz w:val="24"/>
          <w:szCs w:val="24"/>
        </w:rPr>
        <w:t>yang diperoleh diatas maka dapat diartikan bahwa:</w:t>
      </w:r>
    </w:p>
    <w:p w14:paraId="7A0B8EC8" w14:textId="109C7687" w:rsidR="00494056" w:rsidRPr="005279AA" w:rsidRDefault="004A5645" w:rsidP="00BF76D1">
      <w:pPr>
        <w:pStyle w:val="ListParagraph"/>
        <w:numPr>
          <w:ilvl w:val="0"/>
          <w:numId w:val="55"/>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Nilai a (konstanta) sebesar 0,6</w:t>
      </w:r>
      <w:r w:rsidR="00DE007E" w:rsidRPr="005279AA">
        <w:rPr>
          <w:rFonts w:asciiTheme="majorBidi" w:eastAsiaTheme="minorEastAsia" w:hAnsiTheme="majorBidi" w:cstheme="majorBidi"/>
          <w:iCs/>
          <w:sz w:val="24"/>
          <w:szCs w:val="24"/>
        </w:rPr>
        <w:t>51</w:t>
      </w:r>
      <w:r w:rsidRPr="005279AA">
        <w:rPr>
          <w:rFonts w:asciiTheme="majorBidi" w:eastAsiaTheme="minorEastAsia" w:hAnsiTheme="majorBidi" w:cstheme="majorBidi"/>
          <w:iCs/>
          <w:sz w:val="24"/>
          <w:szCs w:val="24"/>
        </w:rPr>
        <w:t xml:space="preserve"> dapat diartikan jika tidak ada profitabilitas, likuiditas,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dan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maka kebijakan dividen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adalah sebesar 0,6</w:t>
      </w:r>
      <w:r w:rsidR="00DE007E" w:rsidRPr="005279AA">
        <w:rPr>
          <w:rFonts w:asciiTheme="majorBidi" w:eastAsiaTheme="minorEastAsia" w:hAnsiTheme="majorBidi" w:cstheme="majorBidi"/>
          <w:iCs/>
          <w:sz w:val="24"/>
          <w:szCs w:val="24"/>
        </w:rPr>
        <w:t>51</w:t>
      </w:r>
      <w:r w:rsidRPr="005279AA">
        <w:rPr>
          <w:rFonts w:asciiTheme="majorBidi" w:eastAsiaTheme="minorEastAsia" w:hAnsiTheme="majorBidi" w:cstheme="majorBidi"/>
          <w:iCs/>
          <w:sz w:val="24"/>
          <w:szCs w:val="24"/>
        </w:rPr>
        <w:t>%.</w:t>
      </w:r>
    </w:p>
    <w:p w14:paraId="186A220A" w14:textId="7406BD8F" w:rsidR="004A5645" w:rsidRPr="005279AA" w:rsidRDefault="004A5645" w:rsidP="00BF76D1">
      <w:pPr>
        <w:pStyle w:val="ListParagraph"/>
        <w:numPr>
          <w:ilvl w:val="0"/>
          <w:numId w:val="55"/>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Nilai </w:t>
      </w:r>
      <w:r w:rsidR="00584F2E">
        <w:rPr>
          <w:rFonts w:asciiTheme="majorBidi" w:eastAsiaTheme="minorEastAsia" w:hAnsiTheme="majorBidi" w:cstheme="majorBidi"/>
          <w:iCs/>
          <w:sz w:val="24"/>
          <w:szCs w:val="24"/>
        </w:rPr>
        <w:t xml:space="preserve">koefisien </w:t>
      </w:r>
      <w:r w:rsidRPr="005279AA">
        <w:rPr>
          <w:rFonts w:asciiTheme="majorBidi" w:eastAsiaTheme="minorEastAsia" w:hAnsiTheme="majorBidi" w:cstheme="majorBidi"/>
          <w:iCs/>
          <w:sz w:val="24"/>
          <w:szCs w:val="24"/>
        </w:rPr>
        <w:t>profitabilitas sebesar 1,6</w:t>
      </w:r>
      <w:r w:rsidR="00DE007E" w:rsidRPr="005279AA">
        <w:rPr>
          <w:rFonts w:asciiTheme="majorBidi" w:eastAsiaTheme="minorEastAsia" w:hAnsiTheme="majorBidi" w:cstheme="majorBidi"/>
          <w:iCs/>
          <w:sz w:val="24"/>
          <w:szCs w:val="24"/>
        </w:rPr>
        <w:t>34</w:t>
      </w:r>
      <w:r w:rsidRPr="005279AA">
        <w:rPr>
          <w:rFonts w:asciiTheme="majorBidi" w:eastAsiaTheme="minorEastAsia" w:hAnsiTheme="majorBidi" w:cstheme="majorBidi"/>
          <w:iCs/>
          <w:sz w:val="24"/>
          <w:szCs w:val="24"/>
        </w:rPr>
        <w:t xml:space="preserve"> menunjukan apabila nilai profitabilitas naik 1% maka kebijakan dividen akan naik sebesar </w:t>
      </w:r>
      <w:r w:rsidRPr="005279AA">
        <w:rPr>
          <w:rFonts w:asciiTheme="majorBidi" w:eastAsiaTheme="minorEastAsia" w:hAnsiTheme="majorBidi" w:cstheme="majorBidi"/>
          <w:iCs/>
          <w:sz w:val="24"/>
          <w:szCs w:val="24"/>
        </w:rPr>
        <w:lastRenderedPageBreak/>
        <w:t>1,6</w:t>
      </w:r>
      <w:r w:rsidR="00DE007E" w:rsidRPr="005279AA">
        <w:rPr>
          <w:rFonts w:asciiTheme="majorBidi" w:eastAsiaTheme="minorEastAsia" w:hAnsiTheme="majorBidi" w:cstheme="majorBidi"/>
          <w:iCs/>
          <w:sz w:val="24"/>
          <w:szCs w:val="24"/>
        </w:rPr>
        <w:t>34</w:t>
      </w:r>
      <w:r w:rsidRPr="005279AA">
        <w:rPr>
          <w:rFonts w:asciiTheme="majorBidi" w:eastAsiaTheme="minorEastAsia" w:hAnsiTheme="majorBidi" w:cstheme="majorBidi"/>
          <w:iCs/>
          <w:sz w:val="24"/>
          <w:szCs w:val="24"/>
        </w:rPr>
        <w:t>% dengan asu</w:t>
      </w:r>
      <w:r w:rsidR="00735E97" w:rsidRPr="005279AA">
        <w:rPr>
          <w:rFonts w:asciiTheme="majorBidi" w:eastAsiaTheme="minorEastAsia" w:hAnsiTheme="majorBidi" w:cstheme="majorBidi"/>
          <w:iCs/>
          <w:sz w:val="24"/>
          <w:szCs w:val="24"/>
        </w:rPr>
        <w:t>msi</w:t>
      </w:r>
      <w:r w:rsidRPr="005279AA">
        <w:rPr>
          <w:rFonts w:asciiTheme="majorBidi" w:eastAsiaTheme="minorEastAsia" w:hAnsiTheme="majorBidi" w:cstheme="majorBidi"/>
          <w:iCs/>
          <w:sz w:val="24"/>
          <w:szCs w:val="24"/>
        </w:rPr>
        <w:t xml:space="preserve"> nilai </w:t>
      </w:r>
      <w:r w:rsidRPr="005279AA">
        <w:rPr>
          <w:rFonts w:asciiTheme="majorBidi" w:eastAsiaTheme="minorEastAsia" w:hAnsiTheme="majorBidi" w:cstheme="majorBidi"/>
          <w:i/>
          <w:sz w:val="24"/>
          <w:szCs w:val="24"/>
        </w:rPr>
        <w:t>Return on Asset</w:t>
      </w:r>
      <w:r w:rsidRPr="005279AA">
        <w:rPr>
          <w:rFonts w:asciiTheme="majorBidi" w:eastAsiaTheme="minorEastAsia" w:hAnsiTheme="majorBidi" w:cstheme="majorBidi"/>
          <w:iCs/>
          <w:sz w:val="24"/>
          <w:szCs w:val="24"/>
        </w:rPr>
        <w:t xml:space="preserve"> </w:t>
      </w:r>
      <w:r w:rsidR="00735E97" w:rsidRPr="005279AA">
        <w:rPr>
          <w:rFonts w:asciiTheme="majorBidi" w:eastAsiaTheme="minorEastAsia" w:hAnsiTheme="majorBidi" w:cstheme="majorBidi"/>
          <w:iCs/>
          <w:sz w:val="24"/>
          <w:szCs w:val="24"/>
        </w:rPr>
        <w:t xml:space="preserve">(ROA) </w:t>
      </w:r>
      <w:r w:rsidRPr="005279AA">
        <w:rPr>
          <w:rFonts w:asciiTheme="majorBidi" w:eastAsiaTheme="minorEastAsia" w:hAnsiTheme="majorBidi" w:cstheme="majorBidi"/>
          <w:iCs/>
          <w:sz w:val="24"/>
          <w:szCs w:val="24"/>
        </w:rPr>
        <w:t>dan kebijakan dividen adalah tetap tidak berubah.</w:t>
      </w:r>
    </w:p>
    <w:p w14:paraId="063BF053" w14:textId="7BA850A1" w:rsidR="004A5645" w:rsidRPr="005279AA" w:rsidRDefault="004A5645" w:rsidP="00BF76D1">
      <w:pPr>
        <w:pStyle w:val="ListParagraph"/>
        <w:numPr>
          <w:ilvl w:val="0"/>
          <w:numId w:val="55"/>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Nilai </w:t>
      </w:r>
      <w:r w:rsidR="00584F2E">
        <w:rPr>
          <w:rFonts w:asciiTheme="majorBidi" w:eastAsiaTheme="minorEastAsia" w:hAnsiTheme="majorBidi" w:cstheme="majorBidi"/>
          <w:iCs/>
          <w:sz w:val="24"/>
          <w:szCs w:val="24"/>
        </w:rPr>
        <w:t xml:space="preserve">koefisien </w:t>
      </w:r>
      <w:r w:rsidRPr="005279AA">
        <w:rPr>
          <w:rFonts w:asciiTheme="majorBidi" w:eastAsiaTheme="minorEastAsia" w:hAnsiTheme="majorBidi" w:cstheme="majorBidi"/>
          <w:iCs/>
          <w:sz w:val="24"/>
          <w:szCs w:val="24"/>
        </w:rPr>
        <w:t>likuiditas sebesar -0,0</w:t>
      </w:r>
      <w:r w:rsidR="00DE007E" w:rsidRPr="005279AA">
        <w:rPr>
          <w:rFonts w:asciiTheme="majorBidi" w:eastAsiaTheme="minorEastAsia" w:hAnsiTheme="majorBidi" w:cstheme="majorBidi"/>
          <w:iCs/>
          <w:sz w:val="24"/>
          <w:szCs w:val="24"/>
        </w:rPr>
        <w:t>32</w:t>
      </w:r>
      <w:r w:rsidRPr="005279AA">
        <w:rPr>
          <w:rFonts w:asciiTheme="majorBidi" w:eastAsiaTheme="minorEastAsia" w:hAnsiTheme="majorBidi" w:cstheme="majorBidi"/>
          <w:iCs/>
          <w:sz w:val="24"/>
          <w:szCs w:val="24"/>
        </w:rPr>
        <w:t xml:space="preserve"> menunjukan apabila nilai likuiditas naik 1% maka kebijakan dividen akan turun sebesar 0,0</w:t>
      </w:r>
      <w:r w:rsidR="00DE007E" w:rsidRPr="005279AA">
        <w:rPr>
          <w:rFonts w:asciiTheme="majorBidi" w:eastAsiaTheme="minorEastAsia" w:hAnsiTheme="majorBidi" w:cstheme="majorBidi"/>
          <w:iCs/>
          <w:sz w:val="24"/>
          <w:szCs w:val="24"/>
        </w:rPr>
        <w:t>32</w:t>
      </w:r>
      <w:r w:rsidRPr="005279AA">
        <w:rPr>
          <w:rFonts w:asciiTheme="majorBidi" w:eastAsiaTheme="minorEastAsia" w:hAnsiTheme="majorBidi" w:cstheme="majorBidi"/>
          <w:iCs/>
          <w:sz w:val="24"/>
          <w:szCs w:val="24"/>
        </w:rPr>
        <w:t xml:space="preserve">% dengan asumsi nilai </w:t>
      </w:r>
      <w:r w:rsidR="00735E97" w:rsidRPr="005279AA">
        <w:rPr>
          <w:rFonts w:asciiTheme="majorBidi" w:eastAsiaTheme="minorEastAsia" w:hAnsiTheme="majorBidi" w:cstheme="majorBidi"/>
          <w:i/>
          <w:sz w:val="24"/>
          <w:szCs w:val="24"/>
        </w:rPr>
        <w:t>Current Ratio</w:t>
      </w:r>
      <w:r w:rsidR="00735E97" w:rsidRPr="005279AA">
        <w:rPr>
          <w:rFonts w:asciiTheme="majorBidi" w:eastAsiaTheme="minorEastAsia" w:hAnsiTheme="majorBidi" w:cstheme="majorBidi"/>
          <w:iCs/>
          <w:sz w:val="24"/>
          <w:szCs w:val="24"/>
        </w:rPr>
        <w:t xml:space="preserve"> (CR) </w:t>
      </w:r>
      <w:r w:rsidRPr="005279AA">
        <w:rPr>
          <w:rFonts w:asciiTheme="majorBidi" w:eastAsiaTheme="minorEastAsia" w:hAnsiTheme="majorBidi" w:cstheme="majorBidi"/>
          <w:iCs/>
          <w:sz w:val="24"/>
          <w:szCs w:val="24"/>
        </w:rPr>
        <w:t>dan kebijakan dividen adalah tetap tidak berubah.</w:t>
      </w:r>
    </w:p>
    <w:p w14:paraId="0A843CE9" w14:textId="058F1CFC" w:rsidR="004A5645" w:rsidRPr="005279AA" w:rsidRDefault="004A5645" w:rsidP="00BF76D1">
      <w:pPr>
        <w:pStyle w:val="ListParagraph"/>
        <w:numPr>
          <w:ilvl w:val="0"/>
          <w:numId w:val="55"/>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Nilai </w:t>
      </w:r>
      <w:r w:rsidR="00584F2E">
        <w:rPr>
          <w:rFonts w:asciiTheme="majorBidi" w:eastAsiaTheme="minorEastAsia" w:hAnsiTheme="majorBidi" w:cstheme="majorBidi"/>
          <w:iCs/>
          <w:sz w:val="24"/>
          <w:szCs w:val="24"/>
        </w:rPr>
        <w:t xml:space="preserve">koefisien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sebesar -0,0</w:t>
      </w:r>
      <w:r w:rsidR="00DE007E" w:rsidRPr="005279AA">
        <w:rPr>
          <w:rFonts w:asciiTheme="majorBidi" w:eastAsiaTheme="minorEastAsia" w:hAnsiTheme="majorBidi" w:cstheme="majorBidi"/>
          <w:iCs/>
          <w:sz w:val="24"/>
          <w:szCs w:val="24"/>
        </w:rPr>
        <w:t>46</w:t>
      </w:r>
      <w:r w:rsidRPr="005279AA">
        <w:rPr>
          <w:rFonts w:asciiTheme="majorBidi" w:eastAsiaTheme="minorEastAsia" w:hAnsiTheme="majorBidi" w:cstheme="majorBidi"/>
          <w:iCs/>
          <w:sz w:val="24"/>
          <w:szCs w:val="24"/>
        </w:rPr>
        <w:t xml:space="preserve"> </w:t>
      </w:r>
      <w:r w:rsidR="000A320A" w:rsidRPr="005279AA">
        <w:rPr>
          <w:rFonts w:asciiTheme="majorBidi" w:eastAsiaTheme="minorEastAsia" w:hAnsiTheme="majorBidi" w:cstheme="majorBidi"/>
          <w:iCs/>
          <w:sz w:val="24"/>
          <w:szCs w:val="24"/>
        </w:rPr>
        <w:t>m</w:t>
      </w:r>
      <w:r w:rsidRPr="005279AA">
        <w:rPr>
          <w:rFonts w:asciiTheme="majorBidi" w:eastAsiaTheme="minorEastAsia" w:hAnsiTheme="majorBidi" w:cstheme="majorBidi"/>
          <w:iCs/>
          <w:sz w:val="24"/>
          <w:szCs w:val="24"/>
        </w:rPr>
        <w:t xml:space="preserve">enunjukan apabila nilai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naik 1% </w:t>
      </w:r>
      <w:r w:rsidR="000A320A" w:rsidRPr="005279AA">
        <w:rPr>
          <w:rFonts w:asciiTheme="majorBidi" w:eastAsiaTheme="minorEastAsia" w:hAnsiTheme="majorBidi" w:cstheme="majorBidi"/>
          <w:iCs/>
          <w:sz w:val="24"/>
          <w:szCs w:val="24"/>
        </w:rPr>
        <w:t>m</w:t>
      </w:r>
      <w:r w:rsidRPr="005279AA">
        <w:rPr>
          <w:rFonts w:asciiTheme="majorBidi" w:eastAsiaTheme="minorEastAsia" w:hAnsiTheme="majorBidi" w:cstheme="majorBidi"/>
          <w:iCs/>
          <w:sz w:val="24"/>
          <w:szCs w:val="24"/>
        </w:rPr>
        <w:t>aka kebijakan dividen akan turun sebesar 0,0</w:t>
      </w:r>
      <w:r w:rsidR="00DE007E" w:rsidRPr="005279AA">
        <w:rPr>
          <w:rFonts w:asciiTheme="majorBidi" w:eastAsiaTheme="minorEastAsia" w:hAnsiTheme="majorBidi" w:cstheme="majorBidi"/>
          <w:iCs/>
          <w:sz w:val="24"/>
          <w:szCs w:val="24"/>
        </w:rPr>
        <w:t>46</w:t>
      </w:r>
      <w:r w:rsidRPr="005279AA">
        <w:rPr>
          <w:rFonts w:asciiTheme="majorBidi" w:eastAsiaTheme="minorEastAsia" w:hAnsiTheme="majorBidi" w:cstheme="majorBidi"/>
          <w:iCs/>
          <w:sz w:val="24"/>
          <w:szCs w:val="24"/>
        </w:rPr>
        <w:t>%</w:t>
      </w:r>
      <w:r w:rsidR="000A320A" w:rsidRPr="005279AA">
        <w:rPr>
          <w:rFonts w:asciiTheme="majorBidi" w:eastAsiaTheme="minorEastAsia" w:hAnsiTheme="majorBidi" w:cstheme="majorBidi"/>
          <w:iCs/>
          <w:sz w:val="24"/>
          <w:szCs w:val="24"/>
        </w:rPr>
        <w:t xml:space="preserve"> dengan asumsi nilai </w:t>
      </w:r>
      <w:r w:rsidR="000A320A" w:rsidRPr="005279AA">
        <w:rPr>
          <w:rFonts w:asciiTheme="majorBidi" w:eastAsiaTheme="minorEastAsia" w:hAnsiTheme="majorBidi" w:cstheme="majorBidi"/>
          <w:i/>
          <w:sz w:val="24"/>
          <w:szCs w:val="24"/>
        </w:rPr>
        <w:t>Debt to Equity Ratio</w:t>
      </w:r>
      <w:r w:rsidR="000A320A" w:rsidRPr="005279AA">
        <w:rPr>
          <w:rFonts w:asciiTheme="majorBidi" w:eastAsiaTheme="minorEastAsia" w:hAnsiTheme="majorBidi" w:cstheme="majorBidi"/>
          <w:iCs/>
          <w:sz w:val="24"/>
          <w:szCs w:val="24"/>
        </w:rPr>
        <w:t xml:space="preserve"> </w:t>
      </w:r>
      <w:r w:rsidR="00735E97" w:rsidRPr="005279AA">
        <w:rPr>
          <w:rFonts w:asciiTheme="majorBidi" w:eastAsiaTheme="minorEastAsia" w:hAnsiTheme="majorBidi" w:cstheme="majorBidi"/>
          <w:iCs/>
          <w:sz w:val="24"/>
          <w:szCs w:val="24"/>
        </w:rPr>
        <w:t xml:space="preserve">(DER) </w:t>
      </w:r>
      <w:r w:rsidR="000A320A" w:rsidRPr="005279AA">
        <w:rPr>
          <w:rFonts w:asciiTheme="majorBidi" w:eastAsiaTheme="minorEastAsia" w:hAnsiTheme="majorBidi" w:cstheme="majorBidi"/>
          <w:iCs/>
          <w:sz w:val="24"/>
          <w:szCs w:val="24"/>
        </w:rPr>
        <w:t>dan kebijakan dividen adalah tetap tidak berubah,</w:t>
      </w:r>
    </w:p>
    <w:p w14:paraId="11DD6381" w14:textId="2DA00E54" w:rsidR="00F44BA4" w:rsidRDefault="000A320A" w:rsidP="00BF76D1">
      <w:pPr>
        <w:pStyle w:val="ListParagraph"/>
        <w:numPr>
          <w:ilvl w:val="0"/>
          <w:numId w:val="55"/>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Nilai </w:t>
      </w:r>
      <w:r w:rsidR="00584F2E">
        <w:rPr>
          <w:rFonts w:asciiTheme="majorBidi" w:eastAsiaTheme="minorEastAsia" w:hAnsiTheme="majorBidi" w:cstheme="majorBidi"/>
          <w:iCs/>
          <w:sz w:val="24"/>
          <w:szCs w:val="24"/>
        </w:rPr>
        <w:t xml:space="preserve">koefisien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sebesar 0,0</w:t>
      </w:r>
      <w:r w:rsidR="00585BA0" w:rsidRPr="005279AA">
        <w:rPr>
          <w:rFonts w:asciiTheme="majorBidi" w:eastAsiaTheme="minorEastAsia" w:hAnsiTheme="majorBidi" w:cstheme="majorBidi"/>
          <w:iCs/>
          <w:sz w:val="24"/>
          <w:szCs w:val="24"/>
        </w:rPr>
        <w:t>13</w:t>
      </w:r>
      <w:r w:rsidRPr="005279AA">
        <w:rPr>
          <w:rFonts w:asciiTheme="majorBidi" w:eastAsiaTheme="minorEastAsia" w:hAnsiTheme="majorBidi" w:cstheme="majorBidi"/>
          <w:iCs/>
          <w:sz w:val="24"/>
          <w:szCs w:val="24"/>
        </w:rPr>
        <w:t xml:space="preserve"> menunjukan apabila nilai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naik 1% maka kebijakan dividen akan naik sebesar 0,0</w:t>
      </w:r>
      <w:r w:rsidR="00DE007E" w:rsidRPr="005279AA">
        <w:rPr>
          <w:rFonts w:asciiTheme="majorBidi" w:eastAsiaTheme="minorEastAsia" w:hAnsiTheme="majorBidi" w:cstheme="majorBidi"/>
          <w:iCs/>
          <w:sz w:val="24"/>
          <w:szCs w:val="24"/>
        </w:rPr>
        <w:t>13</w:t>
      </w:r>
      <w:r w:rsidRPr="005279AA">
        <w:rPr>
          <w:rFonts w:asciiTheme="majorBidi" w:eastAsiaTheme="minorEastAsia" w:hAnsiTheme="majorBidi" w:cstheme="majorBidi"/>
          <w:iCs/>
          <w:sz w:val="24"/>
          <w:szCs w:val="24"/>
        </w:rPr>
        <w:t xml:space="preserve">% dengan asumsi nilai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dan kebijakan dividen adalah tetap tidak berubah.</w:t>
      </w:r>
    </w:p>
    <w:p w14:paraId="70527C29" w14:textId="77777777" w:rsidR="00F44BA4" w:rsidRPr="00F44BA4" w:rsidRDefault="00F44BA4" w:rsidP="00BF76D1">
      <w:pPr>
        <w:pStyle w:val="ListParagraph"/>
        <w:tabs>
          <w:tab w:val="left" w:pos="1701"/>
        </w:tabs>
        <w:spacing w:line="480" w:lineRule="auto"/>
        <w:ind w:left="1440"/>
        <w:jc w:val="both"/>
        <w:rPr>
          <w:rFonts w:asciiTheme="majorBidi" w:eastAsiaTheme="minorEastAsia" w:hAnsiTheme="majorBidi" w:cstheme="majorBidi"/>
          <w:iCs/>
          <w:sz w:val="24"/>
          <w:szCs w:val="24"/>
        </w:rPr>
      </w:pPr>
    </w:p>
    <w:p w14:paraId="1A319982" w14:textId="77777777" w:rsidR="00943362" w:rsidRPr="005279AA" w:rsidRDefault="00943362" w:rsidP="00BF76D1">
      <w:pPr>
        <w:pStyle w:val="ListParagraph"/>
        <w:numPr>
          <w:ilvl w:val="0"/>
          <w:numId w:val="45"/>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 xml:space="preserve">Uji </w:t>
      </w:r>
      <w:r w:rsidRPr="005279AA">
        <w:rPr>
          <w:rFonts w:asciiTheme="majorBidi" w:eastAsiaTheme="minorEastAsia" w:hAnsiTheme="majorBidi" w:cstheme="majorBidi"/>
          <w:b/>
          <w:bCs/>
          <w:iCs/>
          <w:sz w:val="24"/>
          <w:szCs w:val="24"/>
          <w:lang w:val="id-ID"/>
        </w:rPr>
        <w:t>Hipotesis</w:t>
      </w:r>
    </w:p>
    <w:p w14:paraId="7BDAD23C" w14:textId="77777777" w:rsidR="00943362" w:rsidRPr="005279AA" w:rsidRDefault="00943362" w:rsidP="00BF76D1">
      <w:pPr>
        <w:pStyle w:val="ListParagraph"/>
        <w:numPr>
          <w:ilvl w:val="0"/>
          <w:numId w:val="50"/>
        </w:numPr>
        <w:tabs>
          <w:tab w:val="left" w:pos="1701"/>
          <w:tab w:val="left" w:leader="dot" w:pos="7371"/>
        </w:tabs>
        <w:spacing w:line="480" w:lineRule="auto"/>
        <w:jc w:val="both"/>
        <w:rPr>
          <w:rFonts w:asciiTheme="majorBidi" w:hAnsiTheme="majorBidi" w:cstheme="majorBidi"/>
          <w:b/>
          <w:bCs/>
          <w:sz w:val="24"/>
          <w:szCs w:val="24"/>
        </w:rPr>
      </w:pPr>
      <w:r w:rsidRPr="005279AA">
        <w:rPr>
          <w:rFonts w:asciiTheme="majorBidi" w:hAnsiTheme="majorBidi" w:cstheme="majorBidi"/>
          <w:b/>
          <w:bCs/>
          <w:sz w:val="24"/>
          <w:szCs w:val="24"/>
        </w:rPr>
        <w:t>Uji Signifikan Parameter Individual (Uji Statistik t)</w:t>
      </w:r>
    </w:p>
    <w:p w14:paraId="2FBC57FE" w14:textId="04F0CC3E" w:rsidR="00943362" w:rsidRPr="00247467" w:rsidRDefault="00943362" w:rsidP="00BF76D1">
      <w:pPr>
        <w:pStyle w:val="ListParagraph"/>
        <w:tabs>
          <w:tab w:val="left" w:pos="1701"/>
        </w:tabs>
        <w:spacing w:line="480" w:lineRule="auto"/>
        <w:ind w:left="1440" w:firstLine="545"/>
        <w:jc w:val="both"/>
        <w:rPr>
          <w:rFonts w:asciiTheme="majorBidi" w:hAnsiTheme="majorBidi" w:cstheme="majorBidi"/>
          <w:sz w:val="24"/>
          <w:szCs w:val="24"/>
          <w:lang w:val="id-ID"/>
        </w:rPr>
      </w:pPr>
      <w:r w:rsidRPr="005279AA">
        <w:rPr>
          <w:rFonts w:asciiTheme="majorBidi" w:hAnsiTheme="majorBidi" w:cstheme="majorBidi"/>
          <w:sz w:val="24"/>
          <w:szCs w:val="24"/>
        </w:rPr>
        <w:t>Uji statistik t pada intinya menggambarkan kontribusi masing-masing variabel independen yaitu Profitabilitas (X</w:t>
      </w:r>
      <w:r w:rsidRPr="005279AA">
        <w:rPr>
          <w:rFonts w:asciiTheme="majorBidi" w:hAnsiTheme="majorBidi" w:cstheme="majorBidi"/>
          <w:sz w:val="24"/>
          <w:szCs w:val="24"/>
          <w:vertAlign w:val="subscript"/>
        </w:rPr>
        <w:t>1</w:t>
      </w:r>
      <w:r w:rsidRPr="005279AA">
        <w:rPr>
          <w:rFonts w:asciiTheme="majorBidi" w:hAnsiTheme="majorBidi" w:cstheme="majorBidi"/>
          <w:sz w:val="24"/>
          <w:szCs w:val="24"/>
        </w:rPr>
        <w:t>), Likuiditas (X</w:t>
      </w:r>
      <w:r w:rsidRPr="005279AA">
        <w:rPr>
          <w:rFonts w:asciiTheme="majorBidi" w:hAnsiTheme="majorBidi" w:cstheme="majorBidi"/>
          <w:sz w:val="24"/>
          <w:szCs w:val="24"/>
          <w:vertAlign w:val="subscript"/>
        </w:rPr>
        <w:t>2</w:t>
      </w:r>
      <w:r w:rsidRPr="005279AA">
        <w:rPr>
          <w:rFonts w:asciiTheme="majorBidi" w:hAnsiTheme="majorBidi" w:cstheme="majorBidi"/>
          <w:sz w:val="24"/>
          <w:szCs w:val="24"/>
        </w:rPr>
        <w:t xml:space="preserve">), </w:t>
      </w:r>
      <w:r w:rsidRPr="005279AA">
        <w:rPr>
          <w:rFonts w:asciiTheme="majorBidi" w:hAnsiTheme="majorBidi" w:cstheme="majorBidi"/>
          <w:i/>
          <w:sz w:val="24"/>
          <w:szCs w:val="24"/>
        </w:rPr>
        <w:t>Leverage</w:t>
      </w:r>
      <w:r w:rsidRPr="005279AA">
        <w:rPr>
          <w:rFonts w:asciiTheme="majorBidi" w:hAnsiTheme="majorBidi" w:cstheme="majorBidi"/>
          <w:sz w:val="24"/>
          <w:szCs w:val="24"/>
        </w:rPr>
        <w:t xml:space="preserve"> (X</w:t>
      </w:r>
      <w:r w:rsidRPr="005279AA">
        <w:rPr>
          <w:rFonts w:asciiTheme="majorBidi" w:hAnsiTheme="majorBidi" w:cstheme="majorBidi"/>
          <w:sz w:val="24"/>
          <w:szCs w:val="24"/>
          <w:vertAlign w:val="subscript"/>
        </w:rPr>
        <w:t>3</w:t>
      </w:r>
      <w:r w:rsidRPr="005279AA">
        <w:rPr>
          <w:rFonts w:asciiTheme="majorBidi" w:hAnsiTheme="majorBidi" w:cstheme="majorBidi"/>
          <w:sz w:val="24"/>
          <w:szCs w:val="24"/>
        </w:rPr>
        <w:t xml:space="preserve">), </w:t>
      </w:r>
      <w:r w:rsidRPr="005279AA">
        <w:rPr>
          <w:rFonts w:asciiTheme="majorBidi" w:hAnsiTheme="majorBidi" w:cstheme="majorBidi"/>
          <w:i/>
          <w:sz w:val="24"/>
          <w:szCs w:val="24"/>
        </w:rPr>
        <w:t xml:space="preserve">Free Cash Flow </w:t>
      </w:r>
      <w:r w:rsidRPr="005279AA">
        <w:rPr>
          <w:rFonts w:asciiTheme="majorBidi" w:hAnsiTheme="majorBidi" w:cstheme="majorBidi"/>
          <w:sz w:val="24"/>
          <w:szCs w:val="24"/>
        </w:rPr>
        <w:t>(X</w:t>
      </w:r>
      <w:r w:rsidRPr="005279AA">
        <w:rPr>
          <w:rFonts w:asciiTheme="majorBidi" w:hAnsiTheme="majorBidi" w:cstheme="majorBidi"/>
          <w:sz w:val="24"/>
          <w:szCs w:val="24"/>
          <w:vertAlign w:val="subscript"/>
        </w:rPr>
        <w:t>4</w:t>
      </w:r>
      <w:r w:rsidRPr="005279AA">
        <w:rPr>
          <w:rFonts w:asciiTheme="majorBidi" w:hAnsiTheme="majorBidi" w:cstheme="majorBidi"/>
          <w:sz w:val="24"/>
          <w:szCs w:val="24"/>
        </w:rPr>
        <w:t>) secara individual terhadap penjelasan variasi variabel dependen yaitu kebijakan dividen (Y) (Ghozali, 2018:98).</w:t>
      </w:r>
      <w:r w:rsidRPr="005279AA">
        <w:rPr>
          <w:rFonts w:asciiTheme="majorBidi" w:hAnsiTheme="majorBidi" w:cstheme="majorBidi"/>
          <w:sz w:val="24"/>
          <w:szCs w:val="24"/>
          <w:lang w:val="id-ID"/>
        </w:rPr>
        <w:t xml:space="preserve"> </w:t>
      </w:r>
      <w:r w:rsidRPr="00247467">
        <w:rPr>
          <w:rFonts w:asciiTheme="majorBidi" w:hAnsiTheme="majorBidi" w:cstheme="majorBidi"/>
          <w:sz w:val="24"/>
          <w:szCs w:val="24"/>
          <w:lang w:val="id-ID"/>
        </w:rPr>
        <w:t xml:space="preserve">Apabila nilai signifikasi  lebih kecil dari 0,05%, maka hasilnya signifikan artinya terdapat pengaruh dari variabel </w:t>
      </w:r>
      <w:r w:rsidRPr="00247467">
        <w:rPr>
          <w:rFonts w:asciiTheme="majorBidi" w:hAnsiTheme="majorBidi" w:cstheme="majorBidi"/>
          <w:sz w:val="24"/>
          <w:szCs w:val="24"/>
          <w:lang w:val="id-ID"/>
        </w:rPr>
        <w:lastRenderedPageBreak/>
        <w:t xml:space="preserve">independen secara individual terhadap variabel dependen. </w:t>
      </w:r>
      <w:r w:rsidRPr="00247467">
        <w:rPr>
          <w:rFonts w:asciiTheme="majorBidi" w:hAnsiTheme="majorBidi" w:cstheme="majorBidi"/>
          <w:sz w:val="24"/>
          <w:szCs w:val="24"/>
        </w:rPr>
        <w:t>Hasil uji t dapat dilihat pada tabel berikut:</w:t>
      </w:r>
    </w:p>
    <w:p w14:paraId="67887573" w14:textId="77777777" w:rsidR="00943362" w:rsidRPr="005279AA" w:rsidRDefault="00943362" w:rsidP="00BF76D1">
      <w:pPr>
        <w:pStyle w:val="ListParagraph"/>
        <w:tabs>
          <w:tab w:val="left" w:pos="1701"/>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Tabel 25</w:t>
      </w:r>
    </w:p>
    <w:p w14:paraId="790EB63C" w14:textId="77777777" w:rsidR="00943362" w:rsidRPr="005279AA" w:rsidRDefault="00943362" w:rsidP="00BF76D1">
      <w:pPr>
        <w:pStyle w:val="ListParagraph"/>
        <w:tabs>
          <w:tab w:val="left" w:pos="1701"/>
          <w:tab w:val="left" w:leader="dot" w:pos="7371"/>
        </w:tabs>
        <w:spacing w:line="240" w:lineRule="auto"/>
        <w:ind w:left="1440"/>
        <w:jc w:val="center"/>
        <w:rPr>
          <w:rFonts w:asciiTheme="majorBidi" w:hAnsiTheme="majorBidi" w:cstheme="majorBidi"/>
          <w:b/>
          <w:bCs/>
          <w:sz w:val="24"/>
          <w:szCs w:val="24"/>
        </w:rPr>
      </w:pPr>
      <w:r w:rsidRPr="005279AA">
        <w:rPr>
          <w:rFonts w:asciiTheme="majorBidi" w:hAnsiTheme="majorBidi" w:cstheme="majorBidi"/>
          <w:b/>
          <w:bCs/>
          <w:sz w:val="24"/>
          <w:szCs w:val="24"/>
        </w:rPr>
        <w:t>Hasil Uji Signifikan Parameter Individual (Uji Statistik t)</w:t>
      </w:r>
    </w:p>
    <w:tbl>
      <w:tblPr>
        <w:tblW w:w="6832"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2"/>
        <w:gridCol w:w="913"/>
        <w:gridCol w:w="750"/>
        <w:gridCol w:w="1086"/>
        <w:gridCol w:w="1664"/>
        <w:gridCol w:w="1102"/>
        <w:gridCol w:w="1085"/>
      </w:tblGrid>
      <w:tr w:rsidR="00F44BA4" w:rsidRPr="005279AA" w14:paraId="35B7DF55" w14:textId="77777777" w:rsidTr="00F44BA4">
        <w:trPr>
          <w:cantSplit/>
        </w:trPr>
        <w:tc>
          <w:tcPr>
            <w:tcW w:w="6832" w:type="dxa"/>
            <w:gridSpan w:val="7"/>
            <w:tcBorders>
              <w:top w:val="nil"/>
              <w:left w:val="nil"/>
              <w:bottom w:val="nil"/>
              <w:right w:val="nil"/>
            </w:tcBorders>
            <w:shd w:val="clear" w:color="auto" w:fill="FFFFFF"/>
            <w:vAlign w:val="center"/>
          </w:tcPr>
          <w:p w14:paraId="03FDABE3"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Coefficients</w:t>
            </w:r>
            <w:r w:rsidRPr="005279AA">
              <w:rPr>
                <w:rFonts w:asciiTheme="majorBidi" w:hAnsiTheme="majorBidi" w:cstheme="majorBidi"/>
                <w:b/>
                <w:bCs/>
                <w:color w:val="000000"/>
                <w:sz w:val="18"/>
                <w:szCs w:val="18"/>
                <w:vertAlign w:val="superscript"/>
              </w:rPr>
              <w:t>a</w:t>
            </w:r>
          </w:p>
        </w:tc>
      </w:tr>
      <w:tr w:rsidR="00F44BA4" w:rsidRPr="005279AA" w14:paraId="59B3E714" w14:textId="77777777" w:rsidTr="00F44BA4">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69FF9EBC"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14:paraId="0E7990DB"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Coefficients</w:t>
            </w:r>
          </w:p>
        </w:tc>
        <w:tc>
          <w:tcPr>
            <w:tcW w:w="0" w:type="auto"/>
            <w:tcBorders>
              <w:top w:val="single" w:sz="16" w:space="0" w:color="000000"/>
            </w:tcBorders>
            <w:shd w:val="clear" w:color="auto" w:fill="FFFFFF"/>
            <w:vAlign w:val="bottom"/>
          </w:tcPr>
          <w:p w14:paraId="68B6CD04"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Standardized Coefficients</w:t>
            </w:r>
          </w:p>
        </w:tc>
        <w:tc>
          <w:tcPr>
            <w:tcW w:w="1077" w:type="dxa"/>
            <w:vMerge w:val="restart"/>
            <w:tcBorders>
              <w:top w:val="single" w:sz="16" w:space="0" w:color="000000"/>
            </w:tcBorders>
            <w:shd w:val="clear" w:color="auto" w:fill="FFFFFF"/>
            <w:vAlign w:val="bottom"/>
          </w:tcPr>
          <w:p w14:paraId="47E3F9C7"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w:t>
            </w:r>
          </w:p>
        </w:tc>
        <w:tc>
          <w:tcPr>
            <w:tcW w:w="1061" w:type="dxa"/>
            <w:vMerge w:val="restart"/>
            <w:tcBorders>
              <w:top w:val="single" w:sz="16" w:space="0" w:color="000000"/>
              <w:right w:val="single" w:sz="16" w:space="0" w:color="000000"/>
            </w:tcBorders>
            <w:shd w:val="clear" w:color="auto" w:fill="FFFFFF"/>
            <w:vAlign w:val="bottom"/>
          </w:tcPr>
          <w:p w14:paraId="0FF233A4"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Sig.</w:t>
            </w:r>
          </w:p>
        </w:tc>
      </w:tr>
      <w:tr w:rsidR="00F44BA4" w:rsidRPr="005279AA" w14:paraId="65BA02DE" w14:textId="77777777" w:rsidTr="00F44BA4">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65B4D590"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left w:val="single" w:sz="16" w:space="0" w:color="000000"/>
              <w:bottom w:val="single" w:sz="16" w:space="0" w:color="000000"/>
            </w:tcBorders>
            <w:shd w:val="clear" w:color="auto" w:fill="FFFFFF"/>
            <w:vAlign w:val="bottom"/>
          </w:tcPr>
          <w:p w14:paraId="6571D358"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w:t>
            </w:r>
          </w:p>
        </w:tc>
        <w:tc>
          <w:tcPr>
            <w:tcW w:w="0" w:type="auto"/>
            <w:tcBorders>
              <w:bottom w:val="single" w:sz="16" w:space="0" w:color="000000"/>
            </w:tcBorders>
            <w:shd w:val="clear" w:color="auto" w:fill="FFFFFF"/>
            <w:vAlign w:val="bottom"/>
          </w:tcPr>
          <w:p w14:paraId="5AC5D599"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w:t>
            </w:r>
          </w:p>
        </w:tc>
        <w:tc>
          <w:tcPr>
            <w:tcW w:w="0" w:type="auto"/>
            <w:tcBorders>
              <w:bottom w:val="single" w:sz="16" w:space="0" w:color="000000"/>
            </w:tcBorders>
            <w:shd w:val="clear" w:color="auto" w:fill="FFFFFF"/>
            <w:vAlign w:val="bottom"/>
          </w:tcPr>
          <w:p w14:paraId="72A0275F" w14:textId="77777777" w:rsidR="00F44BA4" w:rsidRPr="005279AA" w:rsidRDefault="00F44BA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Beta</w:t>
            </w:r>
          </w:p>
        </w:tc>
        <w:tc>
          <w:tcPr>
            <w:tcW w:w="1077" w:type="dxa"/>
            <w:vMerge/>
            <w:tcBorders>
              <w:top w:val="single" w:sz="16" w:space="0" w:color="000000"/>
            </w:tcBorders>
            <w:shd w:val="clear" w:color="auto" w:fill="FFFFFF"/>
            <w:vAlign w:val="bottom"/>
          </w:tcPr>
          <w:p w14:paraId="05134AB8"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061" w:type="dxa"/>
            <w:vMerge/>
            <w:tcBorders>
              <w:top w:val="single" w:sz="16" w:space="0" w:color="000000"/>
              <w:right w:val="single" w:sz="16" w:space="0" w:color="000000"/>
            </w:tcBorders>
            <w:shd w:val="clear" w:color="auto" w:fill="FFFFFF"/>
            <w:vAlign w:val="bottom"/>
          </w:tcPr>
          <w:p w14:paraId="50263B33"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r>
      <w:tr w:rsidR="00F44BA4" w:rsidRPr="005279AA" w14:paraId="0013FC86" w14:textId="77777777" w:rsidTr="00F44BA4">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C0CFBB5"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14:paraId="0921084D"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14:paraId="534838A1"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.651</w:t>
            </w:r>
          </w:p>
        </w:tc>
        <w:tc>
          <w:tcPr>
            <w:tcW w:w="0" w:type="auto"/>
            <w:tcBorders>
              <w:top w:val="single" w:sz="16" w:space="0" w:color="000000"/>
              <w:bottom w:val="nil"/>
            </w:tcBorders>
            <w:shd w:val="clear" w:color="auto" w:fill="FFFFFF"/>
            <w:vAlign w:val="center"/>
          </w:tcPr>
          <w:p w14:paraId="14B15D58"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.060</w:t>
            </w:r>
          </w:p>
        </w:tc>
        <w:tc>
          <w:tcPr>
            <w:tcW w:w="0" w:type="auto"/>
            <w:tcBorders>
              <w:top w:val="single" w:sz="16" w:space="0" w:color="000000"/>
              <w:bottom w:val="nil"/>
            </w:tcBorders>
            <w:shd w:val="clear" w:color="auto" w:fill="FFFFFF"/>
            <w:vAlign w:val="center"/>
          </w:tcPr>
          <w:p w14:paraId="7356BF2C"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1077" w:type="dxa"/>
            <w:tcBorders>
              <w:top w:val="single" w:sz="16" w:space="0" w:color="000000"/>
              <w:bottom w:val="nil"/>
            </w:tcBorders>
            <w:shd w:val="clear" w:color="auto" w:fill="FFFFFF"/>
            <w:vAlign w:val="center"/>
          </w:tcPr>
          <w:p w14:paraId="61F102C1"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10.830</w:t>
            </w:r>
          </w:p>
        </w:tc>
        <w:tc>
          <w:tcPr>
            <w:tcW w:w="1061" w:type="dxa"/>
            <w:tcBorders>
              <w:top w:val="single" w:sz="16" w:space="0" w:color="000000"/>
              <w:bottom w:val="nil"/>
              <w:right w:val="single" w:sz="16" w:space="0" w:color="000000"/>
            </w:tcBorders>
            <w:shd w:val="clear" w:color="auto" w:fill="FFFFFF"/>
            <w:vAlign w:val="center"/>
          </w:tcPr>
          <w:p w14:paraId="7603850B"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51EF44D9"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9CB482B"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269C68E6"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0" w:type="auto"/>
            <w:tcBorders>
              <w:top w:val="nil"/>
              <w:left w:val="single" w:sz="16" w:space="0" w:color="000000"/>
              <w:bottom w:val="nil"/>
            </w:tcBorders>
            <w:shd w:val="clear" w:color="auto" w:fill="FFFFFF"/>
            <w:vAlign w:val="center"/>
          </w:tcPr>
          <w:p w14:paraId="5971076E"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1.634</w:t>
            </w:r>
          </w:p>
        </w:tc>
        <w:tc>
          <w:tcPr>
            <w:tcW w:w="0" w:type="auto"/>
            <w:tcBorders>
              <w:top w:val="nil"/>
              <w:bottom w:val="nil"/>
            </w:tcBorders>
            <w:shd w:val="clear" w:color="auto" w:fill="FFFFFF"/>
            <w:vAlign w:val="center"/>
          </w:tcPr>
          <w:p w14:paraId="6036E059"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.309</w:t>
            </w:r>
          </w:p>
        </w:tc>
        <w:tc>
          <w:tcPr>
            <w:tcW w:w="0" w:type="auto"/>
            <w:tcBorders>
              <w:top w:val="nil"/>
              <w:bottom w:val="nil"/>
            </w:tcBorders>
            <w:shd w:val="clear" w:color="auto" w:fill="FFFFFF"/>
            <w:vAlign w:val="center"/>
          </w:tcPr>
          <w:p w14:paraId="3449AAEC"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.593</w:t>
            </w:r>
          </w:p>
        </w:tc>
        <w:tc>
          <w:tcPr>
            <w:tcW w:w="1077" w:type="dxa"/>
            <w:tcBorders>
              <w:top w:val="nil"/>
              <w:bottom w:val="nil"/>
            </w:tcBorders>
            <w:shd w:val="clear" w:color="auto" w:fill="FFFFFF"/>
            <w:vAlign w:val="center"/>
          </w:tcPr>
          <w:p w14:paraId="092EEB7E"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5.293</w:t>
            </w:r>
          </w:p>
        </w:tc>
        <w:tc>
          <w:tcPr>
            <w:tcW w:w="1061" w:type="dxa"/>
            <w:tcBorders>
              <w:top w:val="nil"/>
              <w:bottom w:val="nil"/>
              <w:right w:val="single" w:sz="16" w:space="0" w:color="000000"/>
            </w:tcBorders>
            <w:shd w:val="clear" w:color="auto" w:fill="FFFFFF"/>
            <w:vAlign w:val="center"/>
          </w:tcPr>
          <w:p w14:paraId="680CE663"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3FA282B7"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3310D59"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6BDA0B56"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0" w:type="auto"/>
            <w:tcBorders>
              <w:top w:val="nil"/>
              <w:left w:val="single" w:sz="16" w:space="0" w:color="000000"/>
              <w:bottom w:val="nil"/>
            </w:tcBorders>
            <w:shd w:val="clear" w:color="auto" w:fill="FFFFFF"/>
            <w:vAlign w:val="center"/>
          </w:tcPr>
          <w:p w14:paraId="26F1D3AF"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-.032</w:t>
            </w:r>
          </w:p>
        </w:tc>
        <w:tc>
          <w:tcPr>
            <w:tcW w:w="0" w:type="auto"/>
            <w:tcBorders>
              <w:top w:val="nil"/>
              <w:bottom w:val="nil"/>
            </w:tcBorders>
            <w:shd w:val="clear" w:color="auto" w:fill="FFFFFF"/>
            <w:vAlign w:val="center"/>
          </w:tcPr>
          <w:p w14:paraId="2652BAB7"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.013</w:t>
            </w:r>
          </w:p>
        </w:tc>
        <w:tc>
          <w:tcPr>
            <w:tcW w:w="0" w:type="auto"/>
            <w:tcBorders>
              <w:top w:val="nil"/>
              <w:bottom w:val="nil"/>
            </w:tcBorders>
            <w:shd w:val="clear" w:color="auto" w:fill="FFFFFF"/>
            <w:vAlign w:val="center"/>
          </w:tcPr>
          <w:p w14:paraId="4ED1C5A9"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-.330</w:t>
            </w:r>
          </w:p>
        </w:tc>
        <w:tc>
          <w:tcPr>
            <w:tcW w:w="1077" w:type="dxa"/>
            <w:tcBorders>
              <w:top w:val="nil"/>
              <w:bottom w:val="nil"/>
            </w:tcBorders>
            <w:shd w:val="clear" w:color="auto" w:fill="FFFFFF"/>
            <w:vAlign w:val="center"/>
          </w:tcPr>
          <w:p w14:paraId="6098D3A9"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-2.373</w:t>
            </w:r>
          </w:p>
        </w:tc>
        <w:tc>
          <w:tcPr>
            <w:tcW w:w="1061" w:type="dxa"/>
            <w:tcBorders>
              <w:top w:val="nil"/>
              <w:bottom w:val="nil"/>
              <w:right w:val="single" w:sz="16" w:space="0" w:color="000000"/>
            </w:tcBorders>
            <w:shd w:val="clear" w:color="auto" w:fill="FFFFFF"/>
            <w:vAlign w:val="center"/>
          </w:tcPr>
          <w:p w14:paraId="61FCF07B"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.020</w:t>
            </w:r>
          </w:p>
        </w:tc>
      </w:tr>
      <w:tr w:rsidR="00F44BA4" w:rsidRPr="005279AA" w14:paraId="1ADC9513"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87D6CC3"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nil"/>
              <w:right w:val="single" w:sz="16" w:space="0" w:color="000000"/>
            </w:tcBorders>
            <w:shd w:val="clear" w:color="auto" w:fill="FFFFFF"/>
          </w:tcPr>
          <w:p w14:paraId="5EC25D37"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0" w:type="auto"/>
            <w:tcBorders>
              <w:top w:val="nil"/>
              <w:left w:val="single" w:sz="16" w:space="0" w:color="000000"/>
              <w:bottom w:val="nil"/>
            </w:tcBorders>
            <w:shd w:val="clear" w:color="auto" w:fill="FFFFFF"/>
            <w:vAlign w:val="center"/>
          </w:tcPr>
          <w:p w14:paraId="617EE1CB"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-.046</w:t>
            </w:r>
          </w:p>
        </w:tc>
        <w:tc>
          <w:tcPr>
            <w:tcW w:w="0" w:type="auto"/>
            <w:tcBorders>
              <w:top w:val="nil"/>
              <w:bottom w:val="nil"/>
            </w:tcBorders>
            <w:shd w:val="clear" w:color="auto" w:fill="FFFFFF"/>
            <w:vAlign w:val="center"/>
          </w:tcPr>
          <w:p w14:paraId="5BA90847"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.021</w:t>
            </w:r>
          </w:p>
        </w:tc>
        <w:tc>
          <w:tcPr>
            <w:tcW w:w="0" w:type="auto"/>
            <w:tcBorders>
              <w:top w:val="nil"/>
              <w:bottom w:val="nil"/>
            </w:tcBorders>
            <w:shd w:val="clear" w:color="auto" w:fill="FFFFFF"/>
            <w:vAlign w:val="center"/>
          </w:tcPr>
          <w:p w14:paraId="7EAF7C55"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-.262</w:t>
            </w:r>
          </w:p>
        </w:tc>
        <w:tc>
          <w:tcPr>
            <w:tcW w:w="1077" w:type="dxa"/>
            <w:tcBorders>
              <w:top w:val="nil"/>
              <w:bottom w:val="nil"/>
            </w:tcBorders>
            <w:shd w:val="clear" w:color="auto" w:fill="FFFFFF"/>
            <w:vAlign w:val="center"/>
          </w:tcPr>
          <w:p w14:paraId="2D41C257"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-2.148</w:t>
            </w:r>
          </w:p>
        </w:tc>
        <w:tc>
          <w:tcPr>
            <w:tcW w:w="1061" w:type="dxa"/>
            <w:tcBorders>
              <w:top w:val="nil"/>
              <w:bottom w:val="nil"/>
              <w:right w:val="single" w:sz="16" w:space="0" w:color="000000"/>
            </w:tcBorders>
            <w:shd w:val="clear" w:color="auto" w:fill="FFFFFF"/>
            <w:vAlign w:val="center"/>
          </w:tcPr>
          <w:p w14:paraId="4EC94804"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.035</w:t>
            </w:r>
          </w:p>
        </w:tc>
      </w:tr>
      <w:tr w:rsidR="00F44BA4" w:rsidRPr="005279AA" w14:paraId="21C43560" w14:textId="77777777" w:rsidTr="00F44BA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B4FC8A8" w14:textId="77777777" w:rsidR="00F44BA4" w:rsidRPr="005279AA" w:rsidRDefault="00F44BA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0" w:type="auto"/>
            <w:tcBorders>
              <w:top w:val="nil"/>
              <w:left w:val="nil"/>
              <w:bottom w:val="single" w:sz="16" w:space="0" w:color="000000"/>
              <w:right w:val="single" w:sz="16" w:space="0" w:color="000000"/>
            </w:tcBorders>
            <w:shd w:val="clear" w:color="auto" w:fill="FFFFFF"/>
          </w:tcPr>
          <w:p w14:paraId="5ED184D5"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0" w:type="auto"/>
            <w:tcBorders>
              <w:top w:val="nil"/>
              <w:left w:val="single" w:sz="16" w:space="0" w:color="000000"/>
              <w:bottom w:val="single" w:sz="16" w:space="0" w:color="000000"/>
            </w:tcBorders>
            <w:shd w:val="clear" w:color="auto" w:fill="FFFFFF"/>
            <w:vAlign w:val="center"/>
          </w:tcPr>
          <w:p w14:paraId="26E1DB3D"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.013</w:t>
            </w:r>
          </w:p>
        </w:tc>
        <w:tc>
          <w:tcPr>
            <w:tcW w:w="0" w:type="auto"/>
            <w:tcBorders>
              <w:top w:val="nil"/>
              <w:bottom w:val="single" w:sz="16" w:space="0" w:color="000000"/>
            </w:tcBorders>
            <w:shd w:val="clear" w:color="auto" w:fill="FFFFFF"/>
            <w:vAlign w:val="center"/>
          </w:tcPr>
          <w:p w14:paraId="41A4704D"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.113</w:t>
            </w:r>
          </w:p>
        </w:tc>
        <w:tc>
          <w:tcPr>
            <w:tcW w:w="0" w:type="auto"/>
            <w:tcBorders>
              <w:top w:val="nil"/>
              <w:bottom w:val="single" w:sz="16" w:space="0" w:color="000000"/>
            </w:tcBorders>
            <w:shd w:val="clear" w:color="auto" w:fill="FFFFFF"/>
            <w:vAlign w:val="center"/>
          </w:tcPr>
          <w:p w14:paraId="5C751C34"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.018</w:t>
            </w:r>
          </w:p>
        </w:tc>
        <w:tc>
          <w:tcPr>
            <w:tcW w:w="1077" w:type="dxa"/>
            <w:tcBorders>
              <w:top w:val="nil"/>
              <w:bottom w:val="single" w:sz="16" w:space="0" w:color="000000"/>
            </w:tcBorders>
            <w:shd w:val="clear" w:color="auto" w:fill="FFFFFF"/>
            <w:vAlign w:val="center"/>
          </w:tcPr>
          <w:p w14:paraId="13C7D5C1"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.118</w:t>
            </w:r>
          </w:p>
        </w:tc>
        <w:tc>
          <w:tcPr>
            <w:tcW w:w="1061" w:type="dxa"/>
            <w:tcBorders>
              <w:top w:val="nil"/>
              <w:bottom w:val="single" w:sz="16" w:space="0" w:color="000000"/>
              <w:right w:val="single" w:sz="16" w:space="0" w:color="000000"/>
            </w:tcBorders>
            <w:shd w:val="clear" w:color="auto" w:fill="FFFFFF"/>
            <w:vAlign w:val="center"/>
          </w:tcPr>
          <w:p w14:paraId="745FFEF0" w14:textId="77777777" w:rsidR="00F44BA4" w:rsidRPr="005279AA" w:rsidRDefault="00F44BA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.907</w:t>
            </w:r>
          </w:p>
        </w:tc>
      </w:tr>
      <w:tr w:rsidR="00F44BA4" w:rsidRPr="005279AA" w14:paraId="64695216" w14:textId="77777777" w:rsidTr="00F44BA4">
        <w:trPr>
          <w:cantSplit/>
        </w:trPr>
        <w:tc>
          <w:tcPr>
            <w:tcW w:w="6832" w:type="dxa"/>
            <w:gridSpan w:val="7"/>
            <w:tcBorders>
              <w:top w:val="nil"/>
              <w:left w:val="nil"/>
              <w:bottom w:val="nil"/>
              <w:right w:val="nil"/>
            </w:tcBorders>
            <w:shd w:val="clear" w:color="auto" w:fill="FFFFFF"/>
          </w:tcPr>
          <w:p w14:paraId="7F4064D6" w14:textId="77777777" w:rsidR="00F44BA4" w:rsidRPr="005279AA" w:rsidRDefault="00F44BA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Dependent Variable: DPR</w:t>
            </w:r>
          </w:p>
        </w:tc>
      </w:tr>
    </w:tbl>
    <w:p w14:paraId="481AAEEE" w14:textId="77777777" w:rsidR="00943362" w:rsidRPr="005279AA" w:rsidRDefault="00943362" w:rsidP="00BF76D1">
      <w:pPr>
        <w:tabs>
          <w:tab w:val="left" w:pos="1701"/>
        </w:tabs>
        <w:spacing w:line="480" w:lineRule="auto"/>
        <w:ind w:left="1418"/>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42B5C218" w14:textId="77777777" w:rsidR="00943362" w:rsidRPr="005279AA" w:rsidRDefault="00943362" w:rsidP="00BF76D1">
      <w:pPr>
        <w:pStyle w:val="ListParagraph"/>
        <w:tabs>
          <w:tab w:val="left" w:pos="1701"/>
        </w:tabs>
        <w:spacing w:line="480" w:lineRule="auto"/>
        <w:ind w:left="1440" w:firstLine="545"/>
        <w:jc w:val="both"/>
        <w:rPr>
          <w:rFonts w:asciiTheme="majorBidi" w:hAnsiTheme="majorBidi" w:cstheme="majorBidi"/>
          <w:sz w:val="24"/>
          <w:szCs w:val="24"/>
          <w:lang w:val="id-ID"/>
        </w:rPr>
      </w:pPr>
      <w:r w:rsidRPr="005279AA">
        <w:rPr>
          <w:rFonts w:asciiTheme="majorBidi" w:hAnsiTheme="majorBidi" w:cstheme="majorBidi"/>
          <w:sz w:val="24"/>
          <w:szCs w:val="24"/>
          <w:lang w:val="id-ID"/>
        </w:rPr>
        <w:t>Uji hipotesis secara parsial menggunakan uji t memberikan gambaran hasil sebagai berikut:</w:t>
      </w:r>
    </w:p>
    <w:p w14:paraId="51E3E032" w14:textId="7036E96F" w:rsidR="00943362" w:rsidRPr="005279AA" w:rsidRDefault="00943362" w:rsidP="00BF76D1">
      <w:pPr>
        <w:pStyle w:val="ListParagraph"/>
        <w:numPr>
          <w:ilvl w:val="0"/>
          <w:numId w:val="59"/>
        </w:numPr>
        <w:tabs>
          <w:tab w:val="left" w:pos="1701"/>
        </w:tabs>
        <w:spacing w:line="480" w:lineRule="auto"/>
        <w:ind w:left="1843"/>
        <w:jc w:val="both"/>
        <w:rPr>
          <w:rFonts w:asciiTheme="majorBidi" w:hAnsiTheme="majorBidi" w:cstheme="majorBidi"/>
          <w:sz w:val="24"/>
          <w:szCs w:val="24"/>
        </w:rPr>
      </w:pPr>
      <w:r w:rsidRPr="005279AA">
        <w:rPr>
          <w:rFonts w:asciiTheme="majorBidi" w:hAnsiTheme="majorBidi" w:cstheme="majorBidi"/>
          <w:sz w:val="24"/>
          <w:szCs w:val="24"/>
          <w:lang w:val="id-ID"/>
        </w:rPr>
        <w:t>Berdasarkan hasil uji parsial pengaruh profitabilitas terhadap kebijakan dividen maka diperoleh nilai t</w:t>
      </w:r>
      <w:r w:rsidRPr="005279AA">
        <w:rPr>
          <w:rFonts w:asciiTheme="majorBidi" w:hAnsiTheme="majorBidi" w:cstheme="majorBidi"/>
          <w:sz w:val="24"/>
          <w:szCs w:val="24"/>
          <w:vertAlign w:val="subscript"/>
          <w:lang w:val="id-ID"/>
        </w:rPr>
        <w:t>hitung</w:t>
      </w:r>
      <w:r w:rsidRPr="005279AA">
        <w:rPr>
          <w:rFonts w:asciiTheme="majorBidi" w:hAnsiTheme="majorBidi" w:cstheme="majorBidi"/>
          <w:sz w:val="24"/>
          <w:szCs w:val="24"/>
          <w:lang w:val="id-ID"/>
        </w:rPr>
        <w:t xml:space="preserve"> sebesar 5,293 </w:t>
      </w:r>
      <w:r w:rsidR="00674E00" w:rsidRPr="005279AA">
        <w:rPr>
          <w:rFonts w:asciiTheme="majorBidi" w:hAnsiTheme="majorBidi" w:cstheme="majorBidi"/>
          <w:sz w:val="24"/>
          <w:szCs w:val="24"/>
          <w:lang w:val="id-ID"/>
        </w:rPr>
        <w:t>sementara nilai t</w:t>
      </w:r>
      <w:r w:rsidR="00674E00" w:rsidRPr="005279AA">
        <w:rPr>
          <w:rFonts w:asciiTheme="majorBidi" w:hAnsiTheme="majorBidi" w:cstheme="majorBidi"/>
          <w:sz w:val="24"/>
          <w:szCs w:val="24"/>
          <w:vertAlign w:val="subscript"/>
          <w:lang w:val="id-ID"/>
        </w:rPr>
        <w:t>tabel</w:t>
      </w:r>
      <w:r w:rsidR="00674E00" w:rsidRPr="005279AA">
        <w:rPr>
          <w:rFonts w:asciiTheme="majorBidi" w:hAnsiTheme="majorBidi" w:cstheme="majorBidi"/>
          <w:sz w:val="24"/>
          <w:szCs w:val="24"/>
          <w:lang w:val="id-ID"/>
        </w:rPr>
        <w:t xml:space="preserve"> </w:t>
      </w:r>
      <w:r w:rsidR="004B0170" w:rsidRPr="005279AA">
        <w:rPr>
          <w:rFonts w:asciiTheme="majorBidi" w:hAnsiTheme="majorBidi" w:cstheme="majorBidi"/>
          <w:sz w:val="24"/>
          <w:szCs w:val="24"/>
          <w:lang w:val="id-ID"/>
        </w:rPr>
        <w:t>sebesar</w:t>
      </w:r>
      <w:r w:rsidR="00674E00" w:rsidRPr="005279AA">
        <w:rPr>
          <w:rFonts w:asciiTheme="majorBidi" w:hAnsiTheme="majorBidi" w:cstheme="majorBidi"/>
          <w:sz w:val="24"/>
          <w:szCs w:val="24"/>
          <w:lang w:val="id-ID"/>
        </w:rPr>
        <w:t xml:space="preserve"> 1,994 yang artinya bahwa nilai t</w:t>
      </w:r>
      <w:r w:rsidR="00674E00" w:rsidRPr="005279AA">
        <w:rPr>
          <w:rFonts w:asciiTheme="majorBidi" w:hAnsiTheme="majorBidi" w:cstheme="majorBidi"/>
          <w:sz w:val="24"/>
          <w:szCs w:val="24"/>
          <w:vertAlign w:val="subscript"/>
          <w:lang w:val="id-ID"/>
        </w:rPr>
        <w:t>hitung</w:t>
      </w:r>
      <w:r w:rsidR="00674E00" w:rsidRPr="005279AA">
        <w:rPr>
          <w:rFonts w:asciiTheme="majorBidi" w:hAnsiTheme="majorBidi" w:cstheme="majorBidi"/>
          <w:sz w:val="24"/>
          <w:szCs w:val="24"/>
          <w:lang w:val="id-ID"/>
        </w:rPr>
        <w:t xml:space="preserve"> &gt;  t</w:t>
      </w:r>
      <w:r w:rsidR="00674E00" w:rsidRPr="005279AA">
        <w:rPr>
          <w:rFonts w:asciiTheme="majorBidi" w:hAnsiTheme="majorBidi" w:cstheme="majorBidi"/>
          <w:sz w:val="24"/>
          <w:szCs w:val="24"/>
          <w:vertAlign w:val="subscript"/>
          <w:lang w:val="id-ID"/>
        </w:rPr>
        <w:t>tabel</w:t>
      </w:r>
      <w:r w:rsidR="00674E00" w:rsidRPr="005279AA">
        <w:rPr>
          <w:rFonts w:asciiTheme="majorBidi" w:hAnsiTheme="majorBidi" w:cstheme="majorBidi"/>
          <w:sz w:val="24"/>
          <w:szCs w:val="24"/>
          <w:lang w:val="id-ID"/>
        </w:rPr>
        <w:t xml:space="preserve"> atau  5,293 &gt; 1,994 </w:t>
      </w:r>
      <w:r w:rsidRPr="005279AA">
        <w:rPr>
          <w:rFonts w:asciiTheme="majorBidi" w:hAnsiTheme="majorBidi" w:cstheme="majorBidi"/>
          <w:sz w:val="24"/>
          <w:szCs w:val="24"/>
          <w:lang w:val="id-ID"/>
        </w:rPr>
        <w:t xml:space="preserve">dan nilai signifikasi sebesar 0,000. </w:t>
      </w:r>
      <w:r w:rsidRPr="005279AA">
        <w:rPr>
          <w:rFonts w:asciiTheme="majorBidi" w:hAnsiTheme="majorBidi" w:cstheme="majorBidi"/>
          <w:sz w:val="24"/>
          <w:szCs w:val="24"/>
        </w:rPr>
        <w:t>Dengan nilai sig 0,000 &lt; 0,05 dapat diartikan bahwa Ho ditolak dan Ha diterima</w:t>
      </w:r>
      <w:r w:rsidR="000805B5" w:rsidRPr="005279AA">
        <w:rPr>
          <w:rFonts w:asciiTheme="majorBidi" w:hAnsiTheme="majorBidi" w:cstheme="majorBidi"/>
          <w:sz w:val="24"/>
          <w:szCs w:val="24"/>
        </w:rPr>
        <w:t>,</w:t>
      </w:r>
      <w:r w:rsidRPr="005279AA">
        <w:rPr>
          <w:rFonts w:asciiTheme="majorBidi" w:hAnsiTheme="majorBidi" w:cstheme="majorBidi"/>
          <w:sz w:val="24"/>
          <w:szCs w:val="24"/>
        </w:rPr>
        <w:t xml:space="preserve"> </w:t>
      </w:r>
      <w:r w:rsidR="000805B5" w:rsidRPr="005279AA">
        <w:rPr>
          <w:rFonts w:asciiTheme="majorBidi" w:hAnsiTheme="majorBidi" w:cstheme="majorBidi"/>
          <w:sz w:val="24"/>
          <w:szCs w:val="24"/>
        </w:rPr>
        <w:t xml:space="preserve">artinya </w:t>
      </w:r>
      <w:r w:rsidRPr="005279AA">
        <w:rPr>
          <w:rFonts w:asciiTheme="majorBidi" w:hAnsiTheme="majorBidi" w:cstheme="majorBidi"/>
          <w:sz w:val="24"/>
          <w:szCs w:val="24"/>
        </w:rPr>
        <w:t>profitabilitas</w:t>
      </w:r>
      <w:r w:rsidR="00FE76C0" w:rsidRPr="005279AA">
        <w:rPr>
          <w:rFonts w:asciiTheme="majorBidi" w:hAnsiTheme="majorBidi" w:cstheme="majorBidi"/>
          <w:sz w:val="24"/>
          <w:szCs w:val="24"/>
        </w:rPr>
        <w:t xml:space="preserve"> berpengaruh</w:t>
      </w:r>
      <w:r w:rsidR="008708E5">
        <w:rPr>
          <w:rFonts w:asciiTheme="majorBidi" w:hAnsiTheme="majorBidi" w:cstheme="majorBidi"/>
          <w:sz w:val="24"/>
          <w:szCs w:val="24"/>
        </w:rPr>
        <w:t xml:space="preserve"> positif </w:t>
      </w:r>
      <w:r w:rsidRPr="005279AA">
        <w:rPr>
          <w:rFonts w:asciiTheme="majorBidi" w:hAnsiTheme="majorBidi" w:cstheme="majorBidi"/>
          <w:sz w:val="24"/>
          <w:szCs w:val="24"/>
        </w:rPr>
        <w:t xml:space="preserve">terhadap kebijakan dividen pada sektor </w:t>
      </w:r>
      <w:r w:rsidRPr="005279AA">
        <w:rPr>
          <w:rFonts w:asciiTheme="majorBidi" w:hAnsiTheme="majorBidi" w:cstheme="majorBidi"/>
          <w:i/>
          <w:iCs/>
          <w:sz w:val="24"/>
          <w:szCs w:val="24"/>
        </w:rPr>
        <w:t>consu</w:t>
      </w:r>
      <w:r w:rsidR="00735E97" w:rsidRPr="005279AA">
        <w:rPr>
          <w:rFonts w:asciiTheme="majorBidi" w:hAnsiTheme="majorBidi" w:cstheme="majorBidi"/>
          <w:i/>
          <w:iCs/>
          <w:sz w:val="24"/>
          <w:szCs w:val="24"/>
        </w:rPr>
        <w:t>m</w:t>
      </w:r>
      <w:r w:rsidRPr="005279AA">
        <w:rPr>
          <w:rFonts w:asciiTheme="majorBidi" w:hAnsiTheme="majorBidi" w:cstheme="majorBidi"/>
          <w:i/>
          <w:iCs/>
          <w:sz w:val="24"/>
          <w:szCs w:val="24"/>
        </w:rPr>
        <w:t>er non cyclical</w:t>
      </w:r>
      <w:r w:rsidRPr="005279AA">
        <w:rPr>
          <w:rFonts w:asciiTheme="majorBidi" w:hAnsiTheme="majorBidi" w:cstheme="majorBidi"/>
          <w:sz w:val="24"/>
          <w:szCs w:val="24"/>
        </w:rPr>
        <w:t xml:space="preserve"> yang terdaftar pada </w:t>
      </w:r>
      <w:r w:rsidR="00735E97"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Pr="005279AA">
        <w:rPr>
          <w:rFonts w:asciiTheme="majorBidi" w:hAnsiTheme="majorBidi" w:cstheme="majorBidi"/>
          <w:sz w:val="24"/>
          <w:szCs w:val="24"/>
        </w:rPr>
        <w:t>ahun 2019-2023.</w:t>
      </w:r>
    </w:p>
    <w:p w14:paraId="2E1CB0F6" w14:textId="57FE8D2F" w:rsidR="00943362" w:rsidRPr="005279AA" w:rsidRDefault="00943362" w:rsidP="00BF76D1">
      <w:pPr>
        <w:pStyle w:val="ListParagraph"/>
        <w:numPr>
          <w:ilvl w:val="0"/>
          <w:numId w:val="59"/>
        </w:numPr>
        <w:tabs>
          <w:tab w:val="left" w:pos="1701"/>
        </w:tabs>
        <w:spacing w:line="480" w:lineRule="auto"/>
        <w:ind w:left="1843"/>
        <w:jc w:val="both"/>
        <w:rPr>
          <w:rFonts w:asciiTheme="majorBidi" w:hAnsiTheme="majorBidi" w:cstheme="majorBidi"/>
          <w:sz w:val="24"/>
          <w:szCs w:val="24"/>
        </w:rPr>
      </w:pPr>
      <w:r w:rsidRPr="005279AA">
        <w:rPr>
          <w:rFonts w:asciiTheme="majorBidi" w:hAnsiTheme="majorBidi" w:cstheme="majorBidi"/>
          <w:sz w:val="24"/>
          <w:szCs w:val="24"/>
        </w:rPr>
        <w:t>Berdasarkan hasil uji parsial pengaruh likuiditas terhadap kebijakan dividen maka diperoleh nilai t</w:t>
      </w:r>
      <w:r w:rsidRPr="005279AA">
        <w:rPr>
          <w:rFonts w:asciiTheme="majorBidi" w:hAnsiTheme="majorBidi" w:cstheme="majorBidi"/>
          <w:sz w:val="24"/>
          <w:szCs w:val="24"/>
          <w:vertAlign w:val="subscript"/>
        </w:rPr>
        <w:t>hitung</w:t>
      </w:r>
      <w:r w:rsidRPr="005279AA">
        <w:rPr>
          <w:rFonts w:asciiTheme="majorBidi" w:hAnsiTheme="majorBidi" w:cstheme="majorBidi"/>
          <w:sz w:val="24"/>
          <w:szCs w:val="24"/>
        </w:rPr>
        <w:t xml:space="preserve"> sebesar -2,373 </w:t>
      </w:r>
      <w:r w:rsidR="00137804" w:rsidRPr="005279AA">
        <w:rPr>
          <w:rFonts w:asciiTheme="majorBidi" w:hAnsiTheme="majorBidi" w:cstheme="majorBidi"/>
          <w:sz w:val="24"/>
          <w:szCs w:val="24"/>
          <w:lang w:val="id-ID"/>
        </w:rPr>
        <w:lastRenderedPageBreak/>
        <w:t>sementara nilai t</w:t>
      </w:r>
      <w:r w:rsidR="00137804" w:rsidRPr="005279AA">
        <w:rPr>
          <w:rFonts w:asciiTheme="majorBidi" w:hAnsiTheme="majorBidi" w:cstheme="majorBidi"/>
          <w:sz w:val="24"/>
          <w:szCs w:val="24"/>
          <w:vertAlign w:val="subscript"/>
          <w:lang w:val="id-ID"/>
        </w:rPr>
        <w:t>tabel</w:t>
      </w:r>
      <w:r w:rsidR="00137804" w:rsidRPr="005279AA">
        <w:rPr>
          <w:rFonts w:asciiTheme="majorBidi" w:hAnsiTheme="majorBidi" w:cstheme="majorBidi"/>
          <w:sz w:val="24"/>
          <w:szCs w:val="24"/>
          <w:lang w:val="id-ID"/>
        </w:rPr>
        <w:t xml:space="preserve"> </w:t>
      </w:r>
      <w:r w:rsidR="004B0170" w:rsidRPr="005279AA">
        <w:rPr>
          <w:rFonts w:asciiTheme="majorBidi" w:hAnsiTheme="majorBidi" w:cstheme="majorBidi"/>
          <w:sz w:val="24"/>
          <w:szCs w:val="24"/>
          <w:lang w:val="id-ID"/>
        </w:rPr>
        <w:t xml:space="preserve">sebesar </w:t>
      </w:r>
      <w:r w:rsidR="00137804" w:rsidRPr="005279AA">
        <w:rPr>
          <w:rFonts w:asciiTheme="majorBidi" w:hAnsiTheme="majorBidi" w:cstheme="majorBidi"/>
          <w:sz w:val="24"/>
          <w:szCs w:val="24"/>
          <w:lang w:val="id-ID"/>
        </w:rPr>
        <w:t>1,994 yang artinya bahwa nilai t</w:t>
      </w:r>
      <w:r w:rsidR="00137804" w:rsidRPr="005279AA">
        <w:rPr>
          <w:rFonts w:asciiTheme="majorBidi" w:hAnsiTheme="majorBidi" w:cstheme="majorBidi"/>
          <w:sz w:val="24"/>
          <w:szCs w:val="24"/>
          <w:vertAlign w:val="subscript"/>
          <w:lang w:val="id-ID"/>
        </w:rPr>
        <w:t>hitung</w:t>
      </w:r>
      <w:r w:rsidR="00137804" w:rsidRPr="005279AA">
        <w:rPr>
          <w:rFonts w:asciiTheme="majorBidi" w:hAnsiTheme="majorBidi" w:cstheme="majorBidi"/>
          <w:sz w:val="24"/>
          <w:szCs w:val="24"/>
          <w:lang w:val="id-ID"/>
        </w:rPr>
        <w:t xml:space="preserve"> &gt; t</w:t>
      </w:r>
      <w:r w:rsidR="00137804" w:rsidRPr="005279AA">
        <w:rPr>
          <w:rFonts w:asciiTheme="majorBidi" w:hAnsiTheme="majorBidi" w:cstheme="majorBidi"/>
          <w:sz w:val="24"/>
          <w:szCs w:val="24"/>
          <w:vertAlign w:val="subscript"/>
          <w:lang w:val="id-ID"/>
        </w:rPr>
        <w:t xml:space="preserve">tabel </w:t>
      </w:r>
      <w:r w:rsidR="00137804" w:rsidRPr="005279AA">
        <w:rPr>
          <w:rFonts w:asciiTheme="majorBidi" w:hAnsiTheme="majorBidi" w:cstheme="majorBidi"/>
          <w:sz w:val="24"/>
          <w:szCs w:val="24"/>
          <w:lang w:val="id-ID"/>
        </w:rPr>
        <w:t xml:space="preserve">atau </w:t>
      </w:r>
      <w:r w:rsidR="00137804" w:rsidRPr="005279AA">
        <w:rPr>
          <w:rFonts w:asciiTheme="majorBidi" w:hAnsiTheme="majorBidi" w:cstheme="majorBidi"/>
          <w:sz w:val="24"/>
          <w:szCs w:val="24"/>
        </w:rPr>
        <w:t>-2,373 &gt; 1,99</w:t>
      </w:r>
      <w:r w:rsidR="00584F2E">
        <w:rPr>
          <w:rFonts w:asciiTheme="majorBidi" w:hAnsiTheme="majorBidi" w:cstheme="majorBidi"/>
          <w:sz w:val="24"/>
          <w:szCs w:val="24"/>
        </w:rPr>
        <w:t>4</w:t>
      </w:r>
      <w:r w:rsidR="00137804" w:rsidRPr="005279AA">
        <w:rPr>
          <w:rFonts w:asciiTheme="majorBidi" w:hAnsiTheme="majorBidi" w:cstheme="majorBidi"/>
          <w:sz w:val="24"/>
          <w:szCs w:val="24"/>
        </w:rPr>
        <w:t xml:space="preserve"> </w:t>
      </w:r>
      <w:r w:rsidRPr="005279AA">
        <w:rPr>
          <w:rFonts w:asciiTheme="majorBidi" w:hAnsiTheme="majorBidi" w:cstheme="majorBidi"/>
          <w:sz w:val="24"/>
          <w:szCs w:val="24"/>
        </w:rPr>
        <w:t>dan nilai signifikasi sebesar 0,020. Dengan nilai sig 0,020 &lt; 0,05 dapat diartikan bahwa Ho ditolak dan Ha diterima</w:t>
      </w:r>
      <w:r w:rsidR="00724F2D" w:rsidRPr="005279AA">
        <w:rPr>
          <w:rFonts w:asciiTheme="majorBidi" w:hAnsiTheme="majorBidi" w:cstheme="majorBidi"/>
          <w:sz w:val="24"/>
          <w:szCs w:val="24"/>
        </w:rPr>
        <w:t>,</w:t>
      </w:r>
      <w:r w:rsidRPr="005279AA">
        <w:rPr>
          <w:rFonts w:asciiTheme="majorBidi" w:hAnsiTheme="majorBidi" w:cstheme="majorBidi"/>
          <w:sz w:val="24"/>
          <w:szCs w:val="24"/>
        </w:rPr>
        <w:t xml:space="preserve"> likuiditas</w:t>
      </w:r>
      <w:r w:rsidR="00724F2D" w:rsidRPr="005279AA">
        <w:rPr>
          <w:rFonts w:asciiTheme="majorBidi" w:hAnsiTheme="majorBidi" w:cstheme="majorBidi"/>
          <w:sz w:val="24"/>
          <w:szCs w:val="24"/>
        </w:rPr>
        <w:t xml:space="preserve"> berpengaruh</w:t>
      </w:r>
      <w:r w:rsidR="008708E5">
        <w:rPr>
          <w:rFonts w:asciiTheme="majorBidi" w:hAnsiTheme="majorBidi" w:cstheme="majorBidi"/>
          <w:sz w:val="24"/>
          <w:szCs w:val="24"/>
        </w:rPr>
        <w:t xml:space="preserve"> negatif</w:t>
      </w:r>
      <w:r w:rsidRPr="005279AA">
        <w:rPr>
          <w:rFonts w:asciiTheme="majorBidi" w:hAnsiTheme="majorBidi" w:cstheme="majorBidi"/>
          <w:sz w:val="24"/>
          <w:szCs w:val="24"/>
        </w:rPr>
        <w:t xml:space="preserve"> terhadap kebijakan dividen pada sektor </w:t>
      </w:r>
      <w:r w:rsidRPr="005279AA">
        <w:rPr>
          <w:rFonts w:asciiTheme="majorBidi" w:hAnsiTheme="majorBidi" w:cstheme="majorBidi"/>
          <w:i/>
          <w:iCs/>
          <w:sz w:val="24"/>
          <w:szCs w:val="24"/>
        </w:rPr>
        <w:t>consumer non cyclical</w:t>
      </w:r>
      <w:r w:rsidRPr="005279AA">
        <w:rPr>
          <w:rFonts w:asciiTheme="majorBidi" w:hAnsiTheme="majorBidi" w:cstheme="majorBidi"/>
          <w:sz w:val="24"/>
          <w:szCs w:val="24"/>
        </w:rPr>
        <w:t xml:space="preserve"> yang terdaftar pada </w:t>
      </w:r>
      <w:r w:rsidR="00735E97"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Pr="005279AA">
        <w:rPr>
          <w:rFonts w:asciiTheme="majorBidi" w:hAnsiTheme="majorBidi" w:cstheme="majorBidi"/>
          <w:sz w:val="24"/>
          <w:szCs w:val="24"/>
        </w:rPr>
        <w:t>ahun 2019-2023.</w:t>
      </w:r>
    </w:p>
    <w:p w14:paraId="1DBD9C32" w14:textId="1F4B33C2" w:rsidR="00943362" w:rsidRPr="005279AA" w:rsidRDefault="00943362" w:rsidP="00BF76D1">
      <w:pPr>
        <w:pStyle w:val="ListParagraph"/>
        <w:numPr>
          <w:ilvl w:val="0"/>
          <w:numId w:val="59"/>
        </w:numPr>
        <w:tabs>
          <w:tab w:val="left" w:pos="1701"/>
        </w:tabs>
        <w:spacing w:line="480" w:lineRule="auto"/>
        <w:ind w:left="1843"/>
        <w:jc w:val="both"/>
        <w:rPr>
          <w:rFonts w:asciiTheme="majorBidi" w:hAnsiTheme="majorBidi" w:cstheme="majorBidi"/>
          <w:sz w:val="24"/>
          <w:szCs w:val="24"/>
        </w:rPr>
      </w:pPr>
      <w:r w:rsidRPr="005279AA">
        <w:rPr>
          <w:rFonts w:asciiTheme="majorBidi" w:hAnsiTheme="majorBidi" w:cstheme="majorBidi"/>
          <w:sz w:val="24"/>
          <w:szCs w:val="24"/>
        </w:rPr>
        <w:t xml:space="preserve">Berdasarkan hasil uji parsial pengaruh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terhadap kebijakan dividen diperoleh nilai t</w:t>
      </w:r>
      <w:r w:rsidRPr="005279AA">
        <w:rPr>
          <w:rFonts w:asciiTheme="majorBidi" w:hAnsiTheme="majorBidi" w:cstheme="majorBidi"/>
          <w:sz w:val="24"/>
          <w:szCs w:val="24"/>
          <w:vertAlign w:val="subscript"/>
        </w:rPr>
        <w:t>hitung</w:t>
      </w:r>
      <w:r w:rsidRPr="005279AA">
        <w:rPr>
          <w:rFonts w:asciiTheme="majorBidi" w:hAnsiTheme="majorBidi" w:cstheme="majorBidi"/>
          <w:sz w:val="24"/>
          <w:szCs w:val="24"/>
        </w:rPr>
        <w:t xml:space="preserve"> sebesar -2,148 </w:t>
      </w:r>
      <w:r w:rsidR="00137804" w:rsidRPr="005279AA">
        <w:rPr>
          <w:rFonts w:asciiTheme="majorBidi" w:hAnsiTheme="majorBidi" w:cstheme="majorBidi"/>
          <w:sz w:val="24"/>
          <w:szCs w:val="24"/>
          <w:lang w:val="id-ID"/>
        </w:rPr>
        <w:t>sementara nilai t</w:t>
      </w:r>
      <w:r w:rsidR="00137804" w:rsidRPr="005279AA">
        <w:rPr>
          <w:rFonts w:asciiTheme="majorBidi" w:hAnsiTheme="majorBidi" w:cstheme="majorBidi"/>
          <w:sz w:val="24"/>
          <w:szCs w:val="24"/>
          <w:vertAlign w:val="subscript"/>
          <w:lang w:val="id-ID"/>
        </w:rPr>
        <w:t xml:space="preserve">tabel </w:t>
      </w:r>
      <w:r w:rsidR="004B0170" w:rsidRPr="005279AA">
        <w:rPr>
          <w:rFonts w:asciiTheme="majorBidi" w:hAnsiTheme="majorBidi" w:cstheme="majorBidi"/>
          <w:sz w:val="24"/>
          <w:szCs w:val="24"/>
          <w:lang w:val="id-ID"/>
        </w:rPr>
        <w:t>sebesar</w:t>
      </w:r>
      <w:r w:rsidR="00137804" w:rsidRPr="005279AA">
        <w:rPr>
          <w:rFonts w:asciiTheme="majorBidi" w:hAnsiTheme="majorBidi" w:cstheme="majorBidi"/>
          <w:sz w:val="24"/>
          <w:szCs w:val="24"/>
          <w:lang w:val="id-ID"/>
        </w:rPr>
        <w:t xml:space="preserve"> 1,994 yang artinya bahwa nilai t</w:t>
      </w:r>
      <w:r w:rsidR="00137804" w:rsidRPr="005279AA">
        <w:rPr>
          <w:rFonts w:asciiTheme="majorBidi" w:hAnsiTheme="majorBidi" w:cstheme="majorBidi"/>
          <w:sz w:val="24"/>
          <w:szCs w:val="24"/>
          <w:vertAlign w:val="subscript"/>
          <w:lang w:val="id-ID"/>
        </w:rPr>
        <w:t>hitung</w:t>
      </w:r>
      <w:r w:rsidR="00137804" w:rsidRPr="005279AA">
        <w:rPr>
          <w:rFonts w:asciiTheme="majorBidi" w:hAnsiTheme="majorBidi" w:cstheme="majorBidi"/>
          <w:sz w:val="24"/>
          <w:szCs w:val="24"/>
          <w:lang w:val="id-ID"/>
        </w:rPr>
        <w:t xml:space="preserve"> &gt; t</w:t>
      </w:r>
      <w:r w:rsidR="00137804" w:rsidRPr="005279AA">
        <w:rPr>
          <w:rFonts w:asciiTheme="majorBidi" w:hAnsiTheme="majorBidi" w:cstheme="majorBidi"/>
          <w:sz w:val="24"/>
          <w:szCs w:val="24"/>
          <w:vertAlign w:val="subscript"/>
          <w:lang w:val="id-ID"/>
        </w:rPr>
        <w:t>tabel</w:t>
      </w:r>
      <w:r w:rsidR="00137804" w:rsidRPr="005279AA">
        <w:rPr>
          <w:rFonts w:asciiTheme="majorBidi" w:hAnsiTheme="majorBidi" w:cstheme="majorBidi"/>
          <w:sz w:val="24"/>
          <w:szCs w:val="24"/>
          <w:lang w:val="id-ID"/>
        </w:rPr>
        <w:t xml:space="preserve"> atau </w:t>
      </w:r>
      <w:r w:rsidR="00137804" w:rsidRPr="005279AA">
        <w:rPr>
          <w:rFonts w:asciiTheme="majorBidi" w:hAnsiTheme="majorBidi" w:cstheme="majorBidi"/>
          <w:sz w:val="24"/>
          <w:szCs w:val="24"/>
        </w:rPr>
        <w:t xml:space="preserve">-2,148 &gt; 1,994 </w:t>
      </w:r>
      <w:r w:rsidRPr="005279AA">
        <w:rPr>
          <w:rFonts w:asciiTheme="majorBidi" w:hAnsiTheme="majorBidi" w:cstheme="majorBidi"/>
          <w:sz w:val="24"/>
          <w:szCs w:val="24"/>
        </w:rPr>
        <w:t>dan nilai signifikasi sebesar 0,035. Dengan nilai sig 0,035 &gt; 0,05 dapat diartikan Ho ditolak dan Ha diterima</w:t>
      </w:r>
      <w:r w:rsidR="00724F2D" w:rsidRPr="005279AA">
        <w:rPr>
          <w:rFonts w:asciiTheme="majorBidi" w:hAnsiTheme="majorBidi" w:cstheme="majorBidi"/>
          <w:sz w:val="24"/>
          <w:szCs w:val="24"/>
        </w:rPr>
        <w:t>,</w:t>
      </w:r>
      <w:r w:rsidRPr="005279AA">
        <w:rPr>
          <w:rFonts w:asciiTheme="majorBidi" w:hAnsiTheme="majorBidi" w:cstheme="majorBidi"/>
          <w:sz w:val="24"/>
          <w:szCs w:val="24"/>
        </w:rPr>
        <w:t xml:space="preserve">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w:t>
      </w:r>
      <w:r w:rsidR="00724F2D" w:rsidRPr="005279AA">
        <w:rPr>
          <w:rFonts w:asciiTheme="majorBidi" w:hAnsiTheme="majorBidi" w:cstheme="majorBidi"/>
          <w:sz w:val="24"/>
          <w:szCs w:val="24"/>
        </w:rPr>
        <w:t>berpengaruh</w:t>
      </w:r>
      <w:r w:rsidR="008708E5">
        <w:rPr>
          <w:rFonts w:asciiTheme="majorBidi" w:hAnsiTheme="majorBidi" w:cstheme="majorBidi"/>
          <w:sz w:val="24"/>
          <w:szCs w:val="24"/>
        </w:rPr>
        <w:t xml:space="preserve"> negatif</w:t>
      </w:r>
      <w:r w:rsidR="00724F2D" w:rsidRPr="005279AA">
        <w:rPr>
          <w:rFonts w:asciiTheme="majorBidi" w:hAnsiTheme="majorBidi" w:cstheme="majorBidi"/>
          <w:sz w:val="24"/>
          <w:szCs w:val="24"/>
        </w:rPr>
        <w:t xml:space="preserve"> </w:t>
      </w:r>
      <w:r w:rsidRPr="005279AA">
        <w:rPr>
          <w:rFonts w:asciiTheme="majorBidi" w:hAnsiTheme="majorBidi" w:cstheme="majorBidi"/>
          <w:sz w:val="24"/>
          <w:szCs w:val="24"/>
        </w:rPr>
        <w:t xml:space="preserve">terhadap kebijakan dividen pada sektor </w:t>
      </w:r>
      <w:r w:rsidRPr="005279AA">
        <w:rPr>
          <w:rFonts w:asciiTheme="majorBidi" w:hAnsiTheme="majorBidi" w:cstheme="majorBidi"/>
          <w:i/>
          <w:iCs/>
          <w:sz w:val="24"/>
          <w:szCs w:val="24"/>
        </w:rPr>
        <w:t>consumer non cyclical</w:t>
      </w:r>
      <w:r w:rsidRPr="005279AA">
        <w:rPr>
          <w:rFonts w:asciiTheme="majorBidi" w:hAnsiTheme="majorBidi" w:cstheme="majorBidi"/>
          <w:sz w:val="24"/>
          <w:szCs w:val="24"/>
        </w:rPr>
        <w:t xml:space="preserve"> yang terdaftar pada </w:t>
      </w:r>
      <w:r w:rsidR="00735E97"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735E97" w:rsidRPr="005279AA">
        <w:rPr>
          <w:rFonts w:asciiTheme="majorBidi" w:hAnsiTheme="majorBidi" w:cstheme="majorBidi"/>
          <w:sz w:val="24"/>
          <w:szCs w:val="24"/>
        </w:rPr>
        <w:t>ahun</w:t>
      </w:r>
      <w:r w:rsidRPr="005279AA">
        <w:rPr>
          <w:rFonts w:asciiTheme="majorBidi" w:hAnsiTheme="majorBidi" w:cstheme="majorBidi"/>
          <w:sz w:val="24"/>
          <w:szCs w:val="24"/>
        </w:rPr>
        <w:t xml:space="preserve"> 2019-2023.</w:t>
      </w:r>
    </w:p>
    <w:p w14:paraId="0F8FA561" w14:textId="50F796AE" w:rsidR="000A231A" w:rsidRDefault="00943362" w:rsidP="00BF76D1">
      <w:pPr>
        <w:pStyle w:val="ListParagraph"/>
        <w:numPr>
          <w:ilvl w:val="0"/>
          <w:numId w:val="59"/>
        </w:numPr>
        <w:tabs>
          <w:tab w:val="left" w:pos="1701"/>
        </w:tabs>
        <w:spacing w:line="480" w:lineRule="auto"/>
        <w:ind w:left="1843"/>
        <w:jc w:val="both"/>
        <w:rPr>
          <w:rFonts w:asciiTheme="majorBidi" w:hAnsiTheme="majorBidi" w:cstheme="majorBidi"/>
          <w:sz w:val="24"/>
          <w:szCs w:val="24"/>
        </w:rPr>
      </w:pPr>
      <w:r w:rsidRPr="005279AA">
        <w:rPr>
          <w:rFonts w:asciiTheme="majorBidi" w:hAnsiTheme="majorBidi" w:cstheme="majorBidi"/>
          <w:sz w:val="24"/>
          <w:szCs w:val="24"/>
        </w:rPr>
        <w:t xml:space="preserve">Berdasarkan hasil uji parsial pengaruh </w:t>
      </w:r>
      <w:r w:rsidRPr="005279AA">
        <w:rPr>
          <w:rFonts w:asciiTheme="majorBidi" w:hAnsiTheme="majorBidi" w:cstheme="majorBidi"/>
          <w:i/>
          <w:iCs/>
          <w:sz w:val="24"/>
          <w:szCs w:val="24"/>
        </w:rPr>
        <w:t>free cash flow</w:t>
      </w:r>
      <w:r w:rsidRPr="005279AA">
        <w:rPr>
          <w:rFonts w:asciiTheme="majorBidi" w:hAnsiTheme="majorBidi" w:cstheme="majorBidi"/>
          <w:sz w:val="24"/>
          <w:szCs w:val="24"/>
        </w:rPr>
        <w:t xml:space="preserve"> terhadap kebijakan dividen diperoleh nilai t</w:t>
      </w:r>
      <w:r w:rsidRPr="005279AA">
        <w:rPr>
          <w:rFonts w:asciiTheme="majorBidi" w:hAnsiTheme="majorBidi" w:cstheme="majorBidi"/>
          <w:sz w:val="24"/>
          <w:szCs w:val="24"/>
          <w:vertAlign w:val="subscript"/>
        </w:rPr>
        <w:t>hitung</w:t>
      </w:r>
      <w:r w:rsidRPr="005279AA">
        <w:rPr>
          <w:rFonts w:asciiTheme="majorBidi" w:hAnsiTheme="majorBidi" w:cstheme="majorBidi"/>
          <w:sz w:val="24"/>
          <w:szCs w:val="24"/>
        </w:rPr>
        <w:t xml:space="preserve"> sebesar 0,118</w:t>
      </w:r>
      <w:r w:rsidR="00137804" w:rsidRPr="005279AA">
        <w:rPr>
          <w:rFonts w:asciiTheme="majorBidi" w:hAnsiTheme="majorBidi" w:cstheme="majorBidi"/>
          <w:sz w:val="24"/>
          <w:szCs w:val="24"/>
        </w:rPr>
        <w:t xml:space="preserve"> </w:t>
      </w:r>
      <w:r w:rsidR="00137804" w:rsidRPr="005279AA">
        <w:rPr>
          <w:rFonts w:asciiTheme="majorBidi" w:hAnsiTheme="majorBidi" w:cstheme="majorBidi"/>
          <w:sz w:val="24"/>
          <w:szCs w:val="24"/>
          <w:lang w:val="id-ID"/>
        </w:rPr>
        <w:t>sementara nilai t</w:t>
      </w:r>
      <w:r w:rsidR="00137804" w:rsidRPr="005279AA">
        <w:rPr>
          <w:rFonts w:asciiTheme="majorBidi" w:hAnsiTheme="majorBidi" w:cstheme="majorBidi"/>
          <w:sz w:val="24"/>
          <w:szCs w:val="24"/>
          <w:vertAlign w:val="subscript"/>
          <w:lang w:val="id-ID"/>
        </w:rPr>
        <w:t xml:space="preserve">tabel </w:t>
      </w:r>
      <w:r w:rsidR="004B0170" w:rsidRPr="005279AA">
        <w:rPr>
          <w:rFonts w:asciiTheme="majorBidi" w:hAnsiTheme="majorBidi" w:cstheme="majorBidi"/>
          <w:sz w:val="24"/>
          <w:szCs w:val="24"/>
          <w:vertAlign w:val="subscript"/>
          <w:lang w:val="id-ID"/>
        </w:rPr>
        <w:t>el</w:t>
      </w:r>
      <w:r w:rsidR="004B0170" w:rsidRPr="005279AA">
        <w:rPr>
          <w:rFonts w:asciiTheme="majorBidi" w:hAnsiTheme="majorBidi" w:cstheme="majorBidi"/>
          <w:sz w:val="24"/>
          <w:szCs w:val="24"/>
          <w:lang w:val="id-ID"/>
        </w:rPr>
        <w:t xml:space="preserve"> sebesar</w:t>
      </w:r>
      <w:r w:rsidR="00137804" w:rsidRPr="005279AA">
        <w:rPr>
          <w:rFonts w:asciiTheme="majorBidi" w:hAnsiTheme="majorBidi" w:cstheme="majorBidi"/>
          <w:sz w:val="24"/>
          <w:szCs w:val="24"/>
          <w:lang w:val="id-ID"/>
        </w:rPr>
        <w:t xml:space="preserve"> 1,994 yang artinya bahwa nilai t</w:t>
      </w:r>
      <w:r w:rsidR="00137804" w:rsidRPr="005279AA">
        <w:rPr>
          <w:rFonts w:asciiTheme="majorBidi" w:hAnsiTheme="majorBidi" w:cstheme="majorBidi"/>
          <w:sz w:val="24"/>
          <w:szCs w:val="24"/>
          <w:vertAlign w:val="subscript"/>
          <w:lang w:val="id-ID"/>
        </w:rPr>
        <w:t>hitung</w:t>
      </w:r>
      <w:r w:rsidR="00137804" w:rsidRPr="005279AA">
        <w:rPr>
          <w:rFonts w:asciiTheme="majorBidi" w:hAnsiTheme="majorBidi" w:cstheme="majorBidi"/>
          <w:sz w:val="24"/>
          <w:szCs w:val="24"/>
          <w:lang w:val="id-ID"/>
        </w:rPr>
        <w:t xml:space="preserve"> </w:t>
      </w:r>
      <w:r w:rsidR="00137804" w:rsidRPr="005279AA">
        <w:rPr>
          <w:rFonts w:asciiTheme="majorBidi" w:hAnsiTheme="majorBidi" w:cstheme="majorBidi"/>
          <w:sz w:val="24"/>
          <w:szCs w:val="24"/>
        </w:rPr>
        <w:t>&lt;</w:t>
      </w:r>
      <w:r w:rsidR="00137804" w:rsidRPr="005279AA">
        <w:rPr>
          <w:rFonts w:asciiTheme="majorBidi" w:hAnsiTheme="majorBidi" w:cstheme="majorBidi"/>
          <w:sz w:val="24"/>
          <w:szCs w:val="24"/>
          <w:lang w:val="id-ID"/>
        </w:rPr>
        <w:t xml:space="preserve"> t</w:t>
      </w:r>
      <w:r w:rsidR="00137804" w:rsidRPr="005279AA">
        <w:rPr>
          <w:rFonts w:asciiTheme="majorBidi" w:hAnsiTheme="majorBidi" w:cstheme="majorBidi"/>
          <w:sz w:val="24"/>
          <w:szCs w:val="24"/>
          <w:vertAlign w:val="subscript"/>
          <w:lang w:val="id-ID"/>
        </w:rPr>
        <w:t xml:space="preserve">tabel </w:t>
      </w:r>
      <w:r w:rsidR="00137804" w:rsidRPr="005279AA">
        <w:rPr>
          <w:rFonts w:asciiTheme="majorBidi" w:hAnsiTheme="majorBidi" w:cstheme="majorBidi"/>
          <w:sz w:val="24"/>
          <w:szCs w:val="24"/>
          <w:lang w:val="id-ID"/>
        </w:rPr>
        <w:t xml:space="preserve">atau </w:t>
      </w:r>
      <w:r w:rsidR="00137804" w:rsidRPr="005279AA">
        <w:rPr>
          <w:rFonts w:asciiTheme="majorBidi" w:hAnsiTheme="majorBidi" w:cstheme="majorBidi"/>
          <w:sz w:val="24"/>
          <w:szCs w:val="24"/>
        </w:rPr>
        <w:t>0,118 &lt; 1,994</w:t>
      </w:r>
      <w:r w:rsidRPr="005279AA">
        <w:rPr>
          <w:rFonts w:asciiTheme="majorBidi" w:hAnsiTheme="majorBidi" w:cstheme="majorBidi"/>
          <w:sz w:val="24"/>
          <w:szCs w:val="24"/>
        </w:rPr>
        <w:t xml:space="preserve"> dan nilai signifikasi sebesar 0,907. Dengan nilai sig 0,907 &gt; 0,05 dapat diartikan Ho diterima dan Ha di tolak</w:t>
      </w:r>
      <w:r w:rsidR="00724F2D" w:rsidRPr="005279AA">
        <w:rPr>
          <w:rFonts w:asciiTheme="majorBidi" w:hAnsiTheme="majorBidi" w:cstheme="majorBidi"/>
          <w:sz w:val="24"/>
          <w:szCs w:val="24"/>
        </w:rPr>
        <w:t>,</w:t>
      </w:r>
      <w:r w:rsidRPr="005279AA">
        <w:rPr>
          <w:rFonts w:asciiTheme="majorBidi" w:hAnsiTheme="majorBidi" w:cstheme="majorBidi"/>
          <w:sz w:val="24"/>
          <w:szCs w:val="24"/>
        </w:rPr>
        <w:t xml:space="preserve"> </w:t>
      </w:r>
      <w:r w:rsidRPr="005279AA">
        <w:rPr>
          <w:rFonts w:asciiTheme="majorBidi" w:hAnsiTheme="majorBidi" w:cstheme="majorBidi"/>
          <w:i/>
          <w:iCs/>
          <w:sz w:val="24"/>
          <w:szCs w:val="24"/>
        </w:rPr>
        <w:t>free cash flow</w:t>
      </w:r>
      <w:r w:rsidR="00724F2D" w:rsidRPr="005279AA">
        <w:rPr>
          <w:rFonts w:asciiTheme="majorBidi" w:hAnsiTheme="majorBidi" w:cstheme="majorBidi"/>
          <w:i/>
          <w:iCs/>
          <w:sz w:val="24"/>
          <w:szCs w:val="24"/>
        </w:rPr>
        <w:t xml:space="preserve"> </w:t>
      </w:r>
      <w:r w:rsidR="00724F2D" w:rsidRPr="005279AA">
        <w:rPr>
          <w:rFonts w:asciiTheme="majorBidi" w:hAnsiTheme="majorBidi" w:cstheme="majorBidi"/>
          <w:sz w:val="24"/>
          <w:szCs w:val="24"/>
        </w:rPr>
        <w:t>tidak berpengaruh</w:t>
      </w:r>
      <w:r w:rsidRPr="005279AA">
        <w:rPr>
          <w:rFonts w:asciiTheme="majorBidi" w:hAnsiTheme="majorBidi" w:cstheme="majorBidi"/>
          <w:sz w:val="24"/>
          <w:szCs w:val="24"/>
        </w:rPr>
        <w:t xml:space="preserve"> terhadap kebijakan dividen pada sektor </w:t>
      </w:r>
      <w:r w:rsidRPr="005279AA">
        <w:rPr>
          <w:rFonts w:asciiTheme="majorBidi" w:hAnsiTheme="majorBidi" w:cstheme="majorBidi"/>
          <w:i/>
          <w:iCs/>
          <w:sz w:val="24"/>
          <w:szCs w:val="24"/>
        </w:rPr>
        <w:t>consumer non cyclical</w:t>
      </w:r>
      <w:r w:rsidRPr="005279AA">
        <w:rPr>
          <w:rFonts w:asciiTheme="majorBidi" w:hAnsiTheme="majorBidi" w:cstheme="majorBidi"/>
          <w:sz w:val="24"/>
          <w:szCs w:val="24"/>
        </w:rPr>
        <w:t xml:space="preserve"> yang terdaftar pada </w:t>
      </w:r>
      <w:r w:rsidR="00735E97"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735E97" w:rsidRPr="005279AA">
        <w:rPr>
          <w:rFonts w:asciiTheme="majorBidi" w:hAnsiTheme="majorBidi" w:cstheme="majorBidi"/>
          <w:sz w:val="24"/>
          <w:szCs w:val="24"/>
        </w:rPr>
        <w:t xml:space="preserve">ahun </w:t>
      </w:r>
      <w:r w:rsidRPr="005279AA">
        <w:rPr>
          <w:rFonts w:asciiTheme="majorBidi" w:hAnsiTheme="majorBidi" w:cstheme="majorBidi"/>
          <w:sz w:val="24"/>
          <w:szCs w:val="24"/>
        </w:rPr>
        <w:t>2019-2023.</w:t>
      </w:r>
    </w:p>
    <w:p w14:paraId="6797DAC2" w14:textId="77777777" w:rsidR="005E7284" w:rsidRPr="00F44BA4" w:rsidRDefault="005E7284" w:rsidP="00BF76D1">
      <w:pPr>
        <w:pStyle w:val="ListParagraph"/>
        <w:tabs>
          <w:tab w:val="left" w:pos="1701"/>
        </w:tabs>
        <w:spacing w:line="480" w:lineRule="auto"/>
        <w:ind w:left="1843"/>
        <w:jc w:val="both"/>
        <w:rPr>
          <w:rFonts w:asciiTheme="majorBidi" w:hAnsiTheme="majorBidi" w:cstheme="majorBidi"/>
          <w:sz w:val="24"/>
          <w:szCs w:val="24"/>
        </w:rPr>
      </w:pPr>
    </w:p>
    <w:p w14:paraId="7D5FD9D3" w14:textId="77777777" w:rsidR="00943362" w:rsidRPr="005279AA" w:rsidRDefault="00943362" w:rsidP="00BF76D1">
      <w:pPr>
        <w:pStyle w:val="ListParagraph"/>
        <w:numPr>
          <w:ilvl w:val="0"/>
          <w:numId w:val="50"/>
        </w:numPr>
        <w:tabs>
          <w:tab w:val="left" w:pos="1701"/>
          <w:tab w:val="left" w:leader="dot" w:pos="7513"/>
        </w:tabs>
        <w:spacing w:line="480" w:lineRule="auto"/>
        <w:jc w:val="both"/>
        <w:rPr>
          <w:rFonts w:asciiTheme="majorBidi" w:hAnsiTheme="majorBidi" w:cstheme="majorBidi"/>
          <w:b/>
          <w:bCs/>
          <w:sz w:val="24"/>
          <w:szCs w:val="24"/>
        </w:rPr>
      </w:pPr>
      <w:r w:rsidRPr="005279AA">
        <w:rPr>
          <w:rFonts w:asciiTheme="majorBidi" w:eastAsiaTheme="minorEastAsia" w:hAnsiTheme="majorBidi" w:cstheme="majorBidi"/>
          <w:b/>
          <w:bCs/>
          <w:iCs/>
          <w:sz w:val="24"/>
          <w:szCs w:val="24"/>
          <w:lang w:val="id-ID"/>
        </w:rPr>
        <w:lastRenderedPageBreak/>
        <w:t xml:space="preserve">Uji </w:t>
      </w:r>
      <w:r w:rsidRPr="005279AA">
        <w:rPr>
          <w:rFonts w:asciiTheme="majorBidi" w:hAnsiTheme="majorBidi" w:cstheme="majorBidi"/>
          <w:b/>
          <w:bCs/>
          <w:sz w:val="24"/>
          <w:szCs w:val="24"/>
        </w:rPr>
        <w:t>Koefesien Determinasi (R</w:t>
      </w:r>
      <w:r w:rsidRPr="005279AA">
        <w:rPr>
          <w:rFonts w:asciiTheme="majorBidi" w:hAnsiTheme="majorBidi" w:cstheme="majorBidi"/>
          <w:b/>
          <w:bCs/>
          <w:sz w:val="24"/>
          <w:szCs w:val="24"/>
          <w:vertAlign w:val="superscript"/>
        </w:rPr>
        <w:t>2</w:t>
      </w:r>
      <w:r w:rsidRPr="005279AA">
        <w:rPr>
          <w:rFonts w:asciiTheme="majorBidi" w:hAnsiTheme="majorBidi" w:cstheme="majorBidi"/>
          <w:b/>
          <w:bCs/>
          <w:sz w:val="24"/>
          <w:szCs w:val="24"/>
        </w:rPr>
        <w:t>)</w:t>
      </w:r>
    </w:p>
    <w:p w14:paraId="1FCE3441" w14:textId="4D168AF1" w:rsidR="00B40746" w:rsidRPr="005279AA" w:rsidRDefault="00943362" w:rsidP="00BF76D1">
      <w:pPr>
        <w:pStyle w:val="ListParagraph"/>
        <w:tabs>
          <w:tab w:val="left" w:pos="1701"/>
          <w:tab w:val="left" w:leader="dot" w:pos="7513"/>
        </w:tabs>
        <w:spacing w:line="480" w:lineRule="auto"/>
        <w:ind w:left="1440" w:firstLine="545"/>
        <w:jc w:val="both"/>
        <w:rPr>
          <w:rFonts w:asciiTheme="majorBidi" w:hAnsiTheme="majorBidi" w:cstheme="majorBidi"/>
          <w:sz w:val="24"/>
          <w:szCs w:val="24"/>
          <w:lang w:val="id-ID"/>
        </w:rPr>
      </w:pPr>
      <w:r w:rsidRPr="005279AA">
        <w:rPr>
          <w:rFonts w:asciiTheme="majorBidi" w:hAnsiTheme="majorBidi" w:cstheme="majorBidi"/>
          <w:sz w:val="24"/>
          <w:szCs w:val="24"/>
        </w:rPr>
        <w:t>Dalam model regresi, koefesien determinasi (R</w:t>
      </w:r>
      <w:r w:rsidRPr="005279AA">
        <w:rPr>
          <w:rFonts w:asciiTheme="majorBidi" w:hAnsiTheme="majorBidi" w:cstheme="majorBidi"/>
          <w:sz w:val="24"/>
          <w:szCs w:val="24"/>
          <w:vertAlign w:val="superscript"/>
        </w:rPr>
        <w:t>2</w:t>
      </w:r>
      <w:r w:rsidRPr="005279AA">
        <w:rPr>
          <w:rFonts w:asciiTheme="majorBidi" w:hAnsiTheme="majorBidi" w:cstheme="majorBidi"/>
          <w:sz w:val="24"/>
          <w:szCs w:val="24"/>
        </w:rPr>
        <w:t xml:space="preserve">) digunakan untuk menghitung persentase korelasi antara variabel bebas terhadap variabel terikat. Hasil pengujian yang rendah menunjukkan terbatasnya kemampuan pengaruh variabel bebas terhadap variabel terikat. Apabila hasilnya mendekati satu, artinya hampir seluruh varians variabel terikat dijelaskan oleh variabel bebas (Ghozali, 2018:97). </w:t>
      </w:r>
      <w:r w:rsidRPr="005279AA">
        <w:rPr>
          <w:rFonts w:asciiTheme="majorBidi" w:hAnsiTheme="majorBidi" w:cstheme="majorBidi"/>
          <w:sz w:val="24"/>
          <w:szCs w:val="24"/>
          <w:lang w:val="id-ID"/>
        </w:rPr>
        <w:t>Berikut adalah hasil koefesien determinasi:</w:t>
      </w:r>
    </w:p>
    <w:p w14:paraId="350841D3" w14:textId="77777777" w:rsidR="00943362" w:rsidRPr="005279AA" w:rsidRDefault="00943362" w:rsidP="00BF76D1">
      <w:pPr>
        <w:pStyle w:val="ListParagraph"/>
        <w:tabs>
          <w:tab w:val="left" w:pos="1701"/>
          <w:tab w:val="left" w:leader="dot" w:pos="7513"/>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Tabel 26</w:t>
      </w:r>
    </w:p>
    <w:p w14:paraId="18D215B8" w14:textId="77777777" w:rsidR="00943362" w:rsidRPr="005279AA" w:rsidRDefault="00943362" w:rsidP="00BF76D1">
      <w:pPr>
        <w:pStyle w:val="ListParagraph"/>
        <w:tabs>
          <w:tab w:val="left" w:pos="1701"/>
          <w:tab w:val="left" w:leader="dot" w:pos="7513"/>
        </w:tabs>
        <w:spacing w:line="240" w:lineRule="auto"/>
        <w:ind w:left="1440" w:hanging="22"/>
        <w:jc w:val="center"/>
        <w:rPr>
          <w:rFonts w:asciiTheme="majorBidi" w:hAnsiTheme="majorBidi" w:cstheme="majorBidi"/>
          <w:b/>
          <w:bCs/>
          <w:sz w:val="24"/>
          <w:szCs w:val="24"/>
        </w:rPr>
      </w:pPr>
      <w:r w:rsidRPr="005279AA">
        <w:rPr>
          <w:rFonts w:asciiTheme="majorBidi" w:hAnsiTheme="majorBidi" w:cstheme="majorBidi"/>
          <w:b/>
          <w:bCs/>
          <w:sz w:val="24"/>
          <w:szCs w:val="24"/>
        </w:rPr>
        <w:t>Hasil Uji Koefesien Determinasi</w:t>
      </w:r>
    </w:p>
    <w:tbl>
      <w:tblPr>
        <w:tblW w:w="5872"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43362" w:rsidRPr="005279AA" w14:paraId="367AB07A" w14:textId="77777777" w:rsidTr="00920D3E">
        <w:trPr>
          <w:cantSplit/>
        </w:trPr>
        <w:tc>
          <w:tcPr>
            <w:tcW w:w="5872" w:type="dxa"/>
            <w:gridSpan w:val="5"/>
            <w:tcBorders>
              <w:top w:val="nil"/>
              <w:left w:val="nil"/>
              <w:bottom w:val="nil"/>
              <w:right w:val="nil"/>
            </w:tcBorders>
            <w:shd w:val="clear" w:color="auto" w:fill="FFFFFF"/>
            <w:vAlign w:val="center"/>
          </w:tcPr>
          <w:p w14:paraId="4E97F40F" w14:textId="77777777" w:rsidR="00943362" w:rsidRPr="005279AA" w:rsidRDefault="0094336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b/>
                <w:bCs/>
                <w:color w:val="000000"/>
                <w:sz w:val="18"/>
                <w:szCs w:val="18"/>
              </w:rPr>
              <w:t>Model Summary</w:t>
            </w:r>
            <w:r w:rsidRPr="005279AA">
              <w:rPr>
                <w:rFonts w:asciiTheme="majorBidi" w:hAnsiTheme="majorBidi" w:cstheme="majorBidi"/>
                <w:b/>
                <w:bCs/>
                <w:color w:val="000000"/>
                <w:sz w:val="18"/>
                <w:szCs w:val="18"/>
                <w:vertAlign w:val="superscript"/>
              </w:rPr>
              <w:t>b</w:t>
            </w:r>
          </w:p>
        </w:tc>
      </w:tr>
      <w:tr w:rsidR="00943362" w:rsidRPr="005279AA" w14:paraId="50314A0F" w14:textId="77777777" w:rsidTr="00920D3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BD107AC" w14:textId="77777777" w:rsidR="00943362" w:rsidRPr="005279AA" w:rsidRDefault="0094336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D2012AC" w14:textId="77777777" w:rsidR="00943362" w:rsidRPr="005279AA" w:rsidRDefault="0094336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12792B60" w14:textId="77777777" w:rsidR="00943362" w:rsidRPr="005279AA" w:rsidRDefault="0094336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4D81C203" w14:textId="77777777" w:rsidR="00943362" w:rsidRPr="005279AA" w:rsidRDefault="0094336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05FCD984" w14:textId="77777777" w:rsidR="00943362" w:rsidRPr="005279AA" w:rsidRDefault="00943362"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 of the Estimate</w:t>
            </w:r>
          </w:p>
        </w:tc>
      </w:tr>
      <w:tr w:rsidR="00943362" w:rsidRPr="005279AA" w14:paraId="253F75DC" w14:textId="77777777" w:rsidTr="00920D3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0DF308A1" w14:textId="77777777" w:rsidR="00943362" w:rsidRPr="005279AA" w:rsidRDefault="0094336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F9EC089" w14:textId="77777777" w:rsidR="00943362" w:rsidRPr="005279AA" w:rsidRDefault="0094336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.636</w:t>
            </w:r>
            <w:r w:rsidRPr="005279AA">
              <w:rPr>
                <w:rFonts w:asciiTheme="majorBidi" w:hAnsiTheme="majorBidi" w:cstheme="majorBidi"/>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484D1C83" w14:textId="77777777" w:rsidR="00943362" w:rsidRPr="005279AA" w:rsidRDefault="0094336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.404</w:t>
            </w:r>
          </w:p>
        </w:tc>
        <w:tc>
          <w:tcPr>
            <w:tcW w:w="1476" w:type="dxa"/>
            <w:tcBorders>
              <w:top w:val="single" w:sz="16" w:space="0" w:color="000000"/>
              <w:bottom w:val="single" w:sz="16" w:space="0" w:color="000000"/>
            </w:tcBorders>
            <w:shd w:val="clear" w:color="auto" w:fill="FFFFFF"/>
            <w:vAlign w:val="center"/>
          </w:tcPr>
          <w:p w14:paraId="514BB823" w14:textId="77777777" w:rsidR="00943362" w:rsidRPr="005279AA" w:rsidRDefault="0094336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.370</w:t>
            </w:r>
          </w:p>
        </w:tc>
        <w:tc>
          <w:tcPr>
            <w:tcW w:w="1476" w:type="dxa"/>
            <w:tcBorders>
              <w:top w:val="single" w:sz="16" w:space="0" w:color="000000"/>
              <w:bottom w:val="single" w:sz="16" w:space="0" w:color="000000"/>
              <w:right w:val="single" w:sz="16" w:space="0" w:color="000000"/>
            </w:tcBorders>
            <w:shd w:val="clear" w:color="auto" w:fill="FFFFFF"/>
            <w:vAlign w:val="center"/>
          </w:tcPr>
          <w:p w14:paraId="60E3FBCB" w14:textId="77777777" w:rsidR="00943362" w:rsidRPr="005279AA" w:rsidRDefault="00943362"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.16713</w:t>
            </w:r>
          </w:p>
        </w:tc>
      </w:tr>
      <w:tr w:rsidR="00943362" w:rsidRPr="005279AA" w14:paraId="2A50DCCA" w14:textId="77777777" w:rsidTr="00920D3E">
        <w:trPr>
          <w:cantSplit/>
        </w:trPr>
        <w:tc>
          <w:tcPr>
            <w:tcW w:w="5872" w:type="dxa"/>
            <w:gridSpan w:val="5"/>
            <w:tcBorders>
              <w:top w:val="nil"/>
              <w:left w:val="nil"/>
              <w:bottom w:val="nil"/>
              <w:right w:val="nil"/>
            </w:tcBorders>
            <w:shd w:val="clear" w:color="auto" w:fill="FFFFFF"/>
          </w:tcPr>
          <w:p w14:paraId="0E994DF8" w14:textId="77777777" w:rsidR="00943362" w:rsidRPr="005279AA" w:rsidRDefault="0094336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Predictors: (Constant), FCF, ROA, DER, CR</w:t>
            </w:r>
          </w:p>
        </w:tc>
      </w:tr>
      <w:tr w:rsidR="00943362" w:rsidRPr="005279AA" w14:paraId="6F79246E" w14:textId="77777777" w:rsidTr="00920D3E">
        <w:trPr>
          <w:cantSplit/>
        </w:trPr>
        <w:tc>
          <w:tcPr>
            <w:tcW w:w="5872" w:type="dxa"/>
            <w:gridSpan w:val="5"/>
            <w:tcBorders>
              <w:top w:val="nil"/>
              <w:left w:val="nil"/>
              <w:bottom w:val="nil"/>
              <w:right w:val="nil"/>
            </w:tcBorders>
            <w:shd w:val="clear" w:color="auto" w:fill="FFFFFF"/>
          </w:tcPr>
          <w:p w14:paraId="7B3305F9" w14:textId="77777777" w:rsidR="00943362" w:rsidRPr="005279AA" w:rsidRDefault="00943362"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b. Dependent Variable: DPR</w:t>
            </w:r>
          </w:p>
        </w:tc>
      </w:tr>
    </w:tbl>
    <w:p w14:paraId="15777D49" w14:textId="77777777" w:rsidR="00943362" w:rsidRPr="005279AA" w:rsidRDefault="00943362" w:rsidP="00BF76D1">
      <w:pPr>
        <w:tabs>
          <w:tab w:val="left" w:pos="1701"/>
        </w:tabs>
        <w:spacing w:line="480" w:lineRule="auto"/>
        <w:ind w:left="1701"/>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634DF857" w14:textId="267B464D" w:rsidR="00F44BA4" w:rsidRDefault="00943362" w:rsidP="00BF76D1">
      <w:pPr>
        <w:pStyle w:val="ListParagraph"/>
        <w:tabs>
          <w:tab w:val="left" w:pos="1701"/>
          <w:tab w:val="left" w:leader="dot" w:pos="7513"/>
        </w:tabs>
        <w:spacing w:line="480" w:lineRule="auto"/>
        <w:ind w:left="1440" w:firstLine="545"/>
        <w:jc w:val="both"/>
        <w:rPr>
          <w:rFonts w:asciiTheme="majorBidi" w:hAnsiTheme="majorBidi" w:cstheme="majorBidi"/>
          <w:sz w:val="24"/>
          <w:szCs w:val="24"/>
        </w:rPr>
      </w:pPr>
      <w:r w:rsidRPr="005279AA">
        <w:rPr>
          <w:rFonts w:asciiTheme="majorBidi" w:hAnsiTheme="majorBidi" w:cstheme="majorBidi"/>
          <w:sz w:val="24"/>
          <w:szCs w:val="24"/>
        </w:rPr>
        <w:t xml:space="preserve">Berdasarkan tabel diatas dapat diketahui nilai koefesien determinasi sebesar 0,370 atau 37%. Hal ini menunjukan bahwa variabel independen yang terdiri dari profitabilitas, likuiditas,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dan </w:t>
      </w:r>
      <w:r w:rsidRPr="005279AA">
        <w:rPr>
          <w:rFonts w:asciiTheme="majorBidi" w:hAnsiTheme="majorBidi" w:cstheme="majorBidi"/>
          <w:i/>
          <w:iCs/>
          <w:sz w:val="24"/>
          <w:szCs w:val="24"/>
        </w:rPr>
        <w:t>free cash flow</w:t>
      </w:r>
      <w:r w:rsidRPr="005279AA">
        <w:rPr>
          <w:rFonts w:asciiTheme="majorBidi" w:hAnsiTheme="majorBidi" w:cstheme="majorBidi"/>
          <w:sz w:val="24"/>
          <w:szCs w:val="24"/>
        </w:rPr>
        <w:t xml:space="preserve"> secara simultan memberikan pengaruh terhadap kebijakan dividen sebesar 37% dan sisanya yaitu sebesar 63% dipengaruhi oleh faktor lain</w:t>
      </w:r>
      <w:r w:rsidR="00E450F8">
        <w:rPr>
          <w:rFonts w:asciiTheme="majorBidi" w:hAnsiTheme="majorBidi" w:cstheme="majorBidi"/>
          <w:sz w:val="24"/>
          <w:szCs w:val="24"/>
        </w:rPr>
        <w:t xml:space="preserve"> yang tidak dapat </w:t>
      </w:r>
      <w:r w:rsidR="00E450F8" w:rsidRPr="005E7284">
        <w:rPr>
          <w:rFonts w:asciiTheme="majorBidi" w:hAnsiTheme="majorBidi" w:cstheme="majorBidi"/>
          <w:sz w:val="24"/>
          <w:szCs w:val="24"/>
        </w:rPr>
        <w:t>dijelaskan.</w:t>
      </w:r>
    </w:p>
    <w:p w14:paraId="6244B4AA" w14:textId="00D3BC8C" w:rsidR="005E7284" w:rsidRDefault="005E7284" w:rsidP="00BF76D1">
      <w:pPr>
        <w:pStyle w:val="ListParagraph"/>
        <w:tabs>
          <w:tab w:val="left" w:pos="1701"/>
          <w:tab w:val="left" w:leader="dot" w:pos="7513"/>
        </w:tabs>
        <w:spacing w:line="480" w:lineRule="auto"/>
        <w:ind w:left="1440" w:firstLine="545"/>
        <w:jc w:val="both"/>
        <w:rPr>
          <w:rFonts w:asciiTheme="majorBidi" w:hAnsiTheme="majorBidi" w:cstheme="majorBidi"/>
          <w:sz w:val="24"/>
          <w:szCs w:val="24"/>
        </w:rPr>
      </w:pPr>
    </w:p>
    <w:p w14:paraId="55F4F1B8" w14:textId="30E9F5CA" w:rsidR="005E7284" w:rsidRDefault="005E7284" w:rsidP="00BF76D1">
      <w:pPr>
        <w:pStyle w:val="ListParagraph"/>
        <w:tabs>
          <w:tab w:val="left" w:pos="1701"/>
          <w:tab w:val="left" w:leader="dot" w:pos="7513"/>
        </w:tabs>
        <w:spacing w:line="480" w:lineRule="auto"/>
        <w:ind w:left="1440" w:firstLine="545"/>
        <w:jc w:val="both"/>
        <w:rPr>
          <w:rFonts w:asciiTheme="majorBidi" w:hAnsiTheme="majorBidi" w:cstheme="majorBidi"/>
          <w:sz w:val="24"/>
          <w:szCs w:val="24"/>
        </w:rPr>
      </w:pPr>
    </w:p>
    <w:p w14:paraId="1A871270" w14:textId="77777777" w:rsidR="005E7284" w:rsidRPr="005E7284" w:rsidRDefault="005E7284" w:rsidP="00BF76D1">
      <w:pPr>
        <w:pStyle w:val="ListParagraph"/>
        <w:tabs>
          <w:tab w:val="left" w:pos="1701"/>
          <w:tab w:val="left" w:leader="dot" w:pos="7513"/>
        </w:tabs>
        <w:spacing w:line="480" w:lineRule="auto"/>
        <w:ind w:left="1440" w:firstLine="545"/>
        <w:jc w:val="both"/>
        <w:rPr>
          <w:rFonts w:asciiTheme="majorBidi" w:hAnsiTheme="majorBidi" w:cstheme="majorBidi"/>
          <w:sz w:val="24"/>
          <w:szCs w:val="24"/>
        </w:rPr>
      </w:pPr>
    </w:p>
    <w:p w14:paraId="74EAECFD" w14:textId="387E045D" w:rsidR="00010E28" w:rsidRPr="005279AA" w:rsidRDefault="00503238" w:rsidP="00BF76D1">
      <w:pPr>
        <w:pStyle w:val="ListParagraph"/>
        <w:numPr>
          <w:ilvl w:val="0"/>
          <w:numId w:val="45"/>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lastRenderedPageBreak/>
        <w:t>Moderated Regres</w:t>
      </w:r>
      <w:r w:rsidR="00013FCF" w:rsidRPr="005279AA">
        <w:rPr>
          <w:rFonts w:asciiTheme="majorBidi" w:eastAsiaTheme="minorEastAsia" w:hAnsiTheme="majorBidi" w:cstheme="majorBidi"/>
          <w:b/>
          <w:bCs/>
          <w:iCs/>
          <w:sz w:val="24"/>
          <w:szCs w:val="24"/>
        </w:rPr>
        <w:t>s</w:t>
      </w:r>
      <w:r w:rsidRPr="005279AA">
        <w:rPr>
          <w:rFonts w:asciiTheme="majorBidi" w:eastAsiaTheme="minorEastAsia" w:hAnsiTheme="majorBidi" w:cstheme="majorBidi"/>
          <w:b/>
          <w:bCs/>
          <w:iCs/>
          <w:sz w:val="24"/>
          <w:szCs w:val="24"/>
        </w:rPr>
        <w:t>ion Analys</w:t>
      </w:r>
      <w:r w:rsidR="00013FCF" w:rsidRPr="005279AA">
        <w:rPr>
          <w:rFonts w:asciiTheme="majorBidi" w:eastAsiaTheme="minorEastAsia" w:hAnsiTheme="majorBidi" w:cstheme="majorBidi"/>
          <w:b/>
          <w:bCs/>
          <w:iCs/>
          <w:sz w:val="24"/>
          <w:szCs w:val="24"/>
        </w:rPr>
        <w:t>is</w:t>
      </w:r>
      <w:r w:rsidRPr="005279AA">
        <w:rPr>
          <w:rFonts w:asciiTheme="majorBidi" w:eastAsiaTheme="minorEastAsia" w:hAnsiTheme="majorBidi" w:cstheme="majorBidi"/>
          <w:b/>
          <w:bCs/>
          <w:iCs/>
          <w:sz w:val="24"/>
          <w:szCs w:val="24"/>
        </w:rPr>
        <w:t xml:space="preserve"> (MRA)</w:t>
      </w:r>
    </w:p>
    <w:p w14:paraId="72D10CF9" w14:textId="1910DC4D" w:rsidR="00585BA0" w:rsidRPr="005279AA" w:rsidRDefault="001851FA" w:rsidP="00BF76D1">
      <w:pPr>
        <w:pStyle w:val="ListParagraph"/>
        <w:tabs>
          <w:tab w:val="left" w:pos="1701"/>
        </w:tabs>
        <w:spacing w:line="480" w:lineRule="auto"/>
        <w:ind w:left="1080" w:firstLine="621"/>
        <w:jc w:val="both"/>
        <w:rPr>
          <w:rFonts w:asciiTheme="majorBidi" w:hAnsiTheme="majorBidi" w:cstheme="majorBidi"/>
          <w:sz w:val="24"/>
          <w:szCs w:val="24"/>
        </w:rPr>
      </w:pPr>
      <w:r w:rsidRPr="005279AA">
        <w:rPr>
          <w:rFonts w:asciiTheme="majorBidi" w:hAnsiTheme="majorBidi" w:cstheme="majorBidi"/>
          <w:sz w:val="24"/>
          <w:szCs w:val="24"/>
        </w:rPr>
        <w:t>Metode pengujian</w:t>
      </w:r>
      <w:r w:rsidRPr="005279AA">
        <w:rPr>
          <w:rFonts w:asciiTheme="majorBidi" w:hAnsiTheme="majorBidi" w:cstheme="majorBidi"/>
          <w:i/>
          <w:iCs/>
          <w:sz w:val="24"/>
          <w:szCs w:val="24"/>
        </w:rPr>
        <w:t xml:space="preserve"> Moderated Regre</w:t>
      </w:r>
      <w:r w:rsidR="00013FCF" w:rsidRPr="005279AA">
        <w:rPr>
          <w:rFonts w:asciiTheme="majorBidi" w:hAnsiTheme="majorBidi" w:cstheme="majorBidi"/>
          <w:i/>
          <w:iCs/>
          <w:sz w:val="24"/>
          <w:szCs w:val="24"/>
        </w:rPr>
        <w:t>s</w:t>
      </w:r>
      <w:r w:rsidRPr="005279AA">
        <w:rPr>
          <w:rFonts w:asciiTheme="majorBidi" w:hAnsiTheme="majorBidi" w:cstheme="majorBidi"/>
          <w:i/>
          <w:iCs/>
          <w:sz w:val="24"/>
          <w:szCs w:val="24"/>
        </w:rPr>
        <w:t>sion Analysis</w:t>
      </w:r>
      <w:r w:rsidRPr="005279AA">
        <w:rPr>
          <w:rFonts w:asciiTheme="majorBidi" w:hAnsiTheme="majorBidi" w:cstheme="majorBidi"/>
          <w:sz w:val="24"/>
          <w:szCs w:val="24"/>
        </w:rPr>
        <w:t xml:space="preserve"> (MRA)</w:t>
      </w:r>
      <w:r w:rsidRPr="005279AA">
        <w:rPr>
          <w:rFonts w:asciiTheme="majorBidi" w:hAnsiTheme="majorBidi" w:cstheme="majorBidi"/>
          <w:sz w:val="24"/>
          <w:szCs w:val="24"/>
          <w:lang w:val="id-ID"/>
        </w:rPr>
        <w:t xml:space="preserve"> bertujuan untuk </w:t>
      </w:r>
      <w:r w:rsidRPr="005279AA">
        <w:rPr>
          <w:rFonts w:asciiTheme="majorBidi" w:hAnsiTheme="majorBidi" w:cstheme="majorBidi"/>
          <w:sz w:val="24"/>
          <w:szCs w:val="24"/>
        </w:rPr>
        <w:t>mengetahui apakah variabel moderasi (Z) mempengaruhi hubungan variabel independen (X) terhadap variabel dependen (Y).</w:t>
      </w:r>
      <w:r w:rsidR="00494056" w:rsidRPr="005279AA">
        <w:rPr>
          <w:rFonts w:asciiTheme="majorBidi" w:hAnsiTheme="majorBidi" w:cstheme="majorBidi"/>
          <w:sz w:val="24"/>
          <w:szCs w:val="24"/>
        </w:rPr>
        <w:t xml:space="preserve"> </w:t>
      </w:r>
      <w:r w:rsidR="00585BA0" w:rsidRPr="005279AA">
        <w:rPr>
          <w:rFonts w:asciiTheme="majorBidi" w:hAnsiTheme="majorBidi" w:cstheme="majorBidi"/>
          <w:sz w:val="24"/>
          <w:szCs w:val="24"/>
        </w:rPr>
        <w:t xml:space="preserve">Hasil uji </w:t>
      </w:r>
      <w:r w:rsidR="00013FCF" w:rsidRPr="005279AA">
        <w:rPr>
          <w:rFonts w:asciiTheme="majorBidi" w:hAnsiTheme="majorBidi" w:cstheme="majorBidi"/>
          <w:i/>
          <w:iCs/>
          <w:sz w:val="24"/>
          <w:szCs w:val="24"/>
        </w:rPr>
        <w:t>Moderated Regression Analysis</w:t>
      </w:r>
      <w:r w:rsidR="00013FCF" w:rsidRPr="005279AA">
        <w:rPr>
          <w:rFonts w:asciiTheme="majorBidi" w:hAnsiTheme="majorBidi" w:cstheme="majorBidi"/>
          <w:sz w:val="24"/>
          <w:szCs w:val="24"/>
        </w:rPr>
        <w:t xml:space="preserve"> </w:t>
      </w:r>
      <w:r w:rsidR="00585BA0" w:rsidRPr="005279AA">
        <w:rPr>
          <w:rFonts w:asciiTheme="majorBidi" w:hAnsiTheme="majorBidi" w:cstheme="majorBidi"/>
          <w:sz w:val="24"/>
          <w:szCs w:val="24"/>
        </w:rPr>
        <w:t>(MRA) dapat dilihat pada tabel berikut:</w:t>
      </w:r>
    </w:p>
    <w:p w14:paraId="6B647174" w14:textId="6F4512AD" w:rsidR="00494056" w:rsidRPr="005279AA" w:rsidRDefault="00494056" w:rsidP="00BF76D1">
      <w:pPr>
        <w:pStyle w:val="ListParagraph"/>
        <w:tabs>
          <w:tab w:val="left" w:pos="1701"/>
        </w:tabs>
        <w:spacing w:line="240" w:lineRule="auto"/>
        <w:ind w:left="1080"/>
        <w:jc w:val="center"/>
        <w:rPr>
          <w:rFonts w:asciiTheme="majorBidi" w:hAnsiTheme="majorBidi" w:cstheme="majorBidi"/>
          <w:b/>
          <w:bCs/>
          <w:sz w:val="24"/>
          <w:szCs w:val="24"/>
        </w:rPr>
      </w:pPr>
      <w:r w:rsidRPr="005279AA">
        <w:rPr>
          <w:rFonts w:asciiTheme="majorBidi" w:hAnsiTheme="majorBidi" w:cstheme="majorBidi"/>
          <w:b/>
          <w:bCs/>
          <w:sz w:val="24"/>
          <w:szCs w:val="24"/>
        </w:rPr>
        <w:t>Tabel</w:t>
      </w:r>
      <w:r w:rsidR="00FC594C" w:rsidRPr="005279AA">
        <w:rPr>
          <w:rFonts w:asciiTheme="majorBidi" w:hAnsiTheme="majorBidi" w:cstheme="majorBidi"/>
          <w:b/>
          <w:bCs/>
          <w:sz w:val="24"/>
          <w:szCs w:val="24"/>
        </w:rPr>
        <w:t xml:space="preserve"> 24</w:t>
      </w:r>
    </w:p>
    <w:p w14:paraId="5988E8F9" w14:textId="2D6E0EBF" w:rsidR="00494056" w:rsidRPr="005279AA" w:rsidRDefault="00494056" w:rsidP="00BF76D1">
      <w:pPr>
        <w:pStyle w:val="ListParagraph"/>
        <w:tabs>
          <w:tab w:val="left" w:pos="1701"/>
        </w:tabs>
        <w:spacing w:line="240" w:lineRule="auto"/>
        <w:ind w:left="1080"/>
        <w:jc w:val="center"/>
        <w:rPr>
          <w:rFonts w:asciiTheme="majorBidi" w:hAnsiTheme="majorBidi" w:cstheme="majorBidi"/>
          <w:b/>
          <w:bCs/>
          <w:sz w:val="24"/>
          <w:szCs w:val="24"/>
        </w:rPr>
      </w:pPr>
      <w:r w:rsidRPr="005279AA">
        <w:rPr>
          <w:rFonts w:asciiTheme="majorBidi" w:hAnsiTheme="majorBidi" w:cstheme="majorBidi"/>
          <w:b/>
          <w:bCs/>
          <w:sz w:val="24"/>
          <w:szCs w:val="24"/>
        </w:rPr>
        <w:t>Uji Moderated Regre</w:t>
      </w:r>
      <w:r w:rsidR="00013FCF" w:rsidRPr="005279AA">
        <w:rPr>
          <w:rFonts w:asciiTheme="majorBidi" w:hAnsiTheme="majorBidi" w:cstheme="majorBidi"/>
          <w:b/>
          <w:bCs/>
          <w:sz w:val="24"/>
          <w:szCs w:val="24"/>
        </w:rPr>
        <w:t>s</w:t>
      </w:r>
      <w:r w:rsidRPr="005279AA">
        <w:rPr>
          <w:rFonts w:asciiTheme="majorBidi" w:hAnsiTheme="majorBidi" w:cstheme="majorBidi"/>
          <w:b/>
          <w:bCs/>
          <w:sz w:val="24"/>
          <w:szCs w:val="24"/>
        </w:rPr>
        <w:t>sion Analys</w:t>
      </w:r>
      <w:r w:rsidR="00013FCF" w:rsidRPr="005279AA">
        <w:rPr>
          <w:rFonts w:asciiTheme="majorBidi" w:hAnsiTheme="majorBidi" w:cstheme="majorBidi"/>
          <w:b/>
          <w:bCs/>
          <w:sz w:val="24"/>
          <w:szCs w:val="24"/>
        </w:rPr>
        <w:t>is</w:t>
      </w:r>
    </w:p>
    <w:tbl>
      <w:tblPr>
        <w:tblW w:w="711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0"/>
        <w:gridCol w:w="1625"/>
        <w:gridCol w:w="980"/>
        <w:gridCol w:w="839"/>
        <w:gridCol w:w="1570"/>
        <w:gridCol w:w="924"/>
        <w:gridCol w:w="871"/>
        <w:gridCol w:w="76"/>
      </w:tblGrid>
      <w:tr w:rsidR="00FF11D4" w:rsidRPr="005279AA" w14:paraId="3DBC65ED" w14:textId="77777777" w:rsidTr="001004F8">
        <w:trPr>
          <w:cantSplit/>
        </w:trPr>
        <w:tc>
          <w:tcPr>
            <w:tcW w:w="7115" w:type="dxa"/>
            <w:gridSpan w:val="8"/>
            <w:tcBorders>
              <w:top w:val="nil"/>
              <w:left w:val="nil"/>
              <w:bottom w:val="nil"/>
              <w:right w:val="nil"/>
            </w:tcBorders>
            <w:shd w:val="clear" w:color="auto" w:fill="FFFFFF"/>
            <w:vAlign w:val="center"/>
          </w:tcPr>
          <w:p w14:paraId="280AB487"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bookmarkStart w:id="0" w:name="_Hlk166044504"/>
            <w:r w:rsidRPr="005279AA">
              <w:rPr>
                <w:rFonts w:asciiTheme="majorBidi" w:hAnsiTheme="majorBidi" w:cstheme="majorBidi"/>
                <w:b/>
                <w:bCs/>
                <w:color w:val="000000"/>
                <w:sz w:val="18"/>
                <w:szCs w:val="18"/>
              </w:rPr>
              <w:t>Coefficients</w:t>
            </w:r>
            <w:r w:rsidRPr="005279AA">
              <w:rPr>
                <w:rFonts w:asciiTheme="majorBidi" w:hAnsiTheme="majorBidi" w:cstheme="majorBidi"/>
                <w:b/>
                <w:bCs/>
                <w:color w:val="000000"/>
                <w:sz w:val="18"/>
                <w:szCs w:val="18"/>
                <w:vertAlign w:val="superscript"/>
              </w:rPr>
              <w:t>a</w:t>
            </w:r>
          </w:p>
        </w:tc>
      </w:tr>
      <w:tr w:rsidR="00F44BA4" w:rsidRPr="005279AA" w14:paraId="175A8F3E" w14:textId="77777777" w:rsidTr="001004F8">
        <w:trPr>
          <w:gridAfter w:val="1"/>
          <w:wAfter w:w="76" w:type="dxa"/>
          <w:cantSplit/>
        </w:trPr>
        <w:tc>
          <w:tcPr>
            <w:tcW w:w="1855" w:type="dxa"/>
            <w:gridSpan w:val="2"/>
            <w:vMerge w:val="restart"/>
            <w:tcBorders>
              <w:top w:val="single" w:sz="16" w:space="0" w:color="000000"/>
              <w:left w:val="single" w:sz="16" w:space="0" w:color="000000"/>
              <w:bottom w:val="nil"/>
              <w:right w:val="nil"/>
            </w:tcBorders>
            <w:shd w:val="clear" w:color="auto" w:fill="FFFFFF"/>
            <w:vAlign w:val="bottom"/>
          </w:tcPr>
          <w:p w14:paraId="7F9F087D"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Model</w:t>
            </w:r>
          </w:p>
        </w:tc>
        <w:tc>
          <w:tcPr>
            <w:tcW w:w="1819" w:type="dxa"/>
            <w:gridSpan w:val="2"/>
            <w:tcBorders>
              <w:top w:val="single" w:sz="16" w:space="0" w:color="000000"/>
              <w:left w:val="single" w:sz="16" w:space="0" w:color="000000"/>
            </w:tcBorders>
            <w:shd w:val="clear" w:color="auto" w:fill="FFFFFF"/>
            <w:vAlign w:val="bottom"/>
          </w:tcPr>
          <w:p w14:paraId="1315A9FC"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Unstandardized Coefficients</w:t>
            </w:r>
          </w:p>
        </w:tc>
        <w:tc>
          <w:tcPr>
            <w:tcW w:w="1570" w:type="dxa"/>
            <w:tcBorders>
              <w:top w:val="single" w:sz="16" w:space="0" w:color="000000"/>
            </w:tcBorders>
            <w:shd w:val="clear" w:color="auto" w:fill="FFFFFF"/>
            <w:vAlign w:val="bottom"/>
          </w:tcPr>
          <w:p w14:paraId="4126E4B7"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Standardized Coefficients</w:t>
            </w:r>
          </w:p>
        </w:tc>
        <w:tc>
          <w:tcPr>
            <w:tcW w:w="924" w:type="dxa"/>
            <w:vMerge w:val="restart"/>
            <w:tcBorders>
              <w:top w:val="single" w:sz="16" w:space="0" w:color="000000"/>
            </w:tcBorders>
            <w:shd w:val="clear" w:color="auto" w:fill="FFFFFF"/>
            <w:vAlign w:val="bottom"/>
          </w:tcPr>
          <w:p w14:paraId="0C2114DA"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t</w:t>
            </w:r>
          </w:p>
        </w:tc>
        <w:tc>
          <w:tcPr>
            <w:tcW w:w="871" w:type="dxa"/>
            <w:vMerge w:val="restart"/>
            <w:tcBorders>
              <w:top w:val="single" w:sz="16" w:space="0" w:color="000000"/>
              <w:right w:val="single" w:sz="16" w:space="0" w:color="000000"/>
            </w:tcBorders>
            <w:shd w:val="clear" w:color="auto" w:fill="FFFFFF"/>
            <w:vAlign w:val="bottom"/>
          </w:tcPr>
          <w:p w14:paraId="6C29B6E6"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Sig.</w:t>
            </w:r>
          </w:p>
        </w:tc>
      </w:tr>
      <w:tr w:rsidR="00F44BA4" w:rsidRPr="005279AA" w14:paraId="29419029" w14:textId="77777777" w:rsidTr="001004F8">
        <w:trPr>
          <w:gridAfter w:val="1"/>
          <w:wAfter w:w="76" w:type="dxa"/>
          <w:cantSplit/>
        </w:trPr>
        <w:tc>
          <w:tcPr>
            <w:tcW w:w="1855" w:type="dxa"/>
            <w:gridSpan w:val="2"/>
            <w:vMerge/>
            <w:tcBorders>
              <w:top w:val="single" w:sz="16" w:space="0" w:color="000000"/>
              <w:left w:val="single" w:sz="16" w:space="0" w:color="000000"/>
              <w:bottom w:val="nil"/>
              <w:right w:val="nil"/>
            </w:tcBorders>
            <w:shd w:val="clear" w:color="auto" w:fill="FFFFFF"/>
            <w:vAlign w:val="bottom"/>
          </w:tcPr>
          <w:p w14:paraId="0835F067"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980" w:type="dxa"/>
            <w:tcBorders>
              <w:left w:val="single" w:sz="16" w:space="0" w:color="000000"/>
              <w:bottom w:val="single" w:sz="16" w:space="0" w:color="000000"/>
            </w:tcBorders>
            <w:shd w:val="clear" w:color="auto" w:fill="FFFFFF"/>
            <w:vAlign w:val="bottom"/>
          </w:tcPr>
          <w:p w14:paraId="18545FB6"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w:t>
            </w:r>
          </w:p>
        </w:tc>
        <w:tc>
          <w:tcPr>
            <w:tcW w:w="839" w:type="dxa"/>
            <w:tcBorders>
              <w:bottom w:val="single" w:sz="16" w:space="0" w:color="000000"/>
            </w:tcBorders>
            <w:shd w:val="clear" w:color="auto" w:fill="FFFFFF"/>
            <w:vAlign w:val="bottom"/>
          </w:tcPr>
          <w:p w14:paraId="77E876BF"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Std. Error</w:t>
            </w:r>
          </w:p>
        </w:tc>
        <w:tc>
          <w:tcPr>
            <w:tcW w:w="1570" w:type="dxa"/>
            <w:tcBorders>
              <w:bottom w:val="single" w:sz="16" w:space="0" w:color="000000"/>
            </w:tcBorders>
            <w:shd w:val="clear" w:color="auto" w:fill="FFFFFF"/>
            <w:vAlign w:val="bottom"/>
          </w:tcPr>
          <w:p w14:paraId="2C206EFB" w14:textId="77777777" w:rsidR="00FF11D4" w:rsidRPr="005279AA" w:rsidRDefault="00FF11D4" w:rsidP="00BF76D1">
            <w:pPr>
              <w:tabs>
                <w:tab w:val="left" w:pos="1701"/>
              </w:tabs>
              <w:autoSpaceDE w:val="0"/>
              <w:autoSpaceDN w:val="0"/>
              <w:adjustRightInd w:val="0"/>
              <w:spacing w:after="0" w:line="320" w:lineRule="atLeast"/>
              <w:ind w:left="60" w:right="60"/>
              <w:jc w:val="center"/>
              <w:rPr>
                <w:rFonts w:asciiTheme="majorBidi" w:hAnsiTheme="majorBidi" w:cstheme="majorBidi"/>
                <w:color w:val="000000"/>
                <w:sz w:val="18"/>
                <w:szCs w:val="18"/>
              </w:rPr>
            </w:pPr>
            <w:r w:rsidRPr="005279AA">
              <w:rPr>
                <w:rFonts w:asciiTheme="majorBidi" w:hAnsiTheme="majorBidi" w:cstheme="majorBidi"/>
                <w:color w:val="000000"/>
                <w:sz w:val="18"/>
                <w:szCs w:val="18"/>
              </w:rPr>
              <w:t>Beta</w:t>
            </w:r>
          </w:p>
        </w:tc>
        <w:tc>
          <w:tcPr>
            <w:tcW w:w="924" w:type="dxa"/>
            <w:vMerge/>
            <w:tcBorders>
              <w:top w:val="single" w:sz="16" w:space="0" w:color="000000"/>
            </w:tcBorders>
            <w:shd w:val="clear" w:color="auto" w:fill="FFFFFF"/>
            <w:vAlign w:val="bottom"/>
          </w:tcPr>
          <w:p w14:paraId="734E54BE"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871" w:type="dxa"/>
            <w:vMerge/>
            <w:tcBorders>
              <w:top w:val="single" w:sz="16" w:space="0" w:color="000000"/>
              <w:right w:val="single" w:sz="16" w:space="0" w:color="000000"/>
            </w:tcBorders>
            <w:shd w:val="clear" w:color="auto" w:fill="FFFFFF"/>
            <w:vAlign w:val="bottom"/>
          </w:tcPr>
          <w:p w14:paraId="1F15FAC1"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r>
      <w:tr w:rsidR="00F44BA4" w:rsidRPr="005279AA" w14:paraId="3297D9E8" w14:textId="77777777" w:rsidTr="001004F8">
        <w:trPr>
          <w:gridAfter w:val="1"/>
          <w:wAfter w:w="76" w:type="dxa"/>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53444AC3"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1</w:t>
            </w:r>
          </w:p>
        </w:tc>
        <w:tc>
          <w:tcPr>
            <w:tcW w:w="1625" w:type="dxa"/>
            <w:tcBorders>
              <w:top w:val="single" w:sz="16" w:space="0" w:color="000000"/>
              <w:left w:val="nil"/>
              <w:bottom w:val="nil"/>
              <w:right w:val="single" w:sz="16" w:space="0" w:color="000000"/>
            </w:tcBorders>
            <w:shd w:val="clear" w:color="auto" w:fill="FFFFFF"/>
          </w:tcPr>
          <w:p w14:paraId="7DF4FAD2"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(Constant)</w:t>
            </w:r>
          </w:p>
        </w:tc>
        <w:tc>
          <w:tcPr>
            <w:tcW w:w="980" w:type="dxa"/>
            <w:tcBorders>
              <w:top w:val="single" w:sz="16" w:space="0" w:color="000000"/>
              <w:left w:val="single" w:sz="16" w:space="0" w:color="000000"/>
              <w:bottom w:val="nil"/>
            </w:tcBorders>
            <w:shd w:val="clear" w:color="auto" w:fill="FFFFFF"/>
            <w:vAlign w:val="center"/>
          </w:tcPr>
          <w:p w14:paraId="3A473E47"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.853</w:t>
            </w:r>
          </w:p>
        </w:tc>
        <w:tc>
          <w:tcPr>
            <w:tcW w:w="839" w:type="dxa"/>
            <w:tcBorders>
              <w:top w:val="single" w:sz="16" w:space="0" w:color="000000"/>
              <w:bottom w:val="nil"/>
            </w:tcBorders>
            <w:shd w:val="clear" w:color="auto" w:fill="FFFFFF"/>
            <w:vAlign w:val="center"/>
          </w:tcPr>
          <w:p w14:paraId="5A2D0A86"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.076</w:t>
            </w:r>
          </w:p>
        </w:tc>
        <w:tc>
          <w:tcPr>
            <w:tcW w:w="1570" w:type="dxa"/>
            <w:tcBorders>
              <w:top w:val="single" w:sz="16" w:space="0" w:color="000000"/>
              <w:bottom w:val="nil"/>
            </w:tcBorders>
            <w:shd w:val="clear" w:color="auto" w:fill="FFFFFF"/>
            <w:vAlign w:val="center"/>
          </w:tcPr>
          <w:p w14:paraId="0CF9A3A1"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sz w:val="24"/>
                <w:szCs w:val="24"/>
              </w:rPr>
            </w:pPr>
          </w:p>
        </w:tc>
        <w:tc>
          <w:tcPr>
            <w:tcW w:w="924" w:type="dxa"/>
            <w:tcBorders>
              <w:top w:val="single" w:sz="16" w:space="0" w:color="000000"/>
              <w:bottom w:val="nil"/>
            </w:tcBorders>
            <w:shd w:val="clear" w:color="auto" w:fill="FFFFFF"/>
            <w:vAlign w:val="center"/>
          </w:tcPr>
          <w:p w14:paraId="60070F02"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11.175</w:t>
            </w:r>
          </w:p>
        </w:tc>
        <w:tc>
          <w:tcPr>
            <w:tcW w:w="871" w:type="dxa"/>
            <w:tcBorders>
              <w:top w:val="single" w:sz="16" w:space="0" w:color="000000"/>
              <w:bottom w:val="nil"/>
              <w:right w:val="single" w:sz="16" w:space="0" w:color="000000"/>
            </w:tcBorders>
            <w:shd w:val="clear" w:color="auto" w:fill="FFFFFF"/>
            <w:vAlign w:val="center"/>
          </w:tcPr>
          <w:p w14:paraId="09D7B06C"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476C057A"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68F5561"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43CB1147"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ROA</w:t>
            </w:r>
          </w:p>
        </w:tc>
        <w:tc>
          <w:tcPr>
            <w:tcW w:w="980" w:type="dxa"/>
            <w:tcBorders>
              <w:top w:val="nil"/>
              <w:left w:val="single" w:sz="16" w:space="0" w:color="000000"/>
              <w:bottom w:val="nil"/>
            </w:tcBorders>
            <w:shd w:val="clear" w:color="auto" w:fill="FFFFFF"/>
            <w:vAlign w:val="center"/>
          </w:tcPr>
          <w:p w14:paraId="60629C9E"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-6.610</w:t>
            </w:r>
          </w:p>
        </w:tc>
        <w:tc>
          <w:tcPr>
            <w:tcW w:w="839" w:type="dxa"/>
            <w:tcBorders>
              <w:top w:val="nil"/>
              <w:bottom w:val="nil"/>
            </w:tcBorders>
            <w:shd w:val="clear" w:color="auto" w:fill="FFFFFF"/>
            <w:vAlign w:val="center"/>
          </w:tcPr>
          <w:p w14:paraId="421F52B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1.803</w:t>
            </w:r>
          </w:p>
        </w:tc>
        <w:tc>
          <w:tcPr>
            <w:tcW w:w="1570" w:type="dxa"/>
            <w:tcBorders>
              <w:top w:val="nil"/>
              <w:bottom w:val="nil"/>
            </w:tcBorders>
            <w:shd w:val="clear" w:color="auto" w:fill="FFFFFF"/>
            <w:vAlign w:val="center"/>
          </w:tcPr>
          <w:p w14:paraId="46B4C684"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-2.400</w:t>
            </w:r>
          </w:p>
        </w:tc>
        <w:tc>
          <w:tcPr>
            <w:tcW w:w="924" w:type="dxa"/>
            <w:tcBorders>
              <w:top w:val="nil"/>
              <w:bottom w:val="nil"/>
            </w:tcBorders>
            <w:shd w:val="clear" w:color="auto" w:fill="FFFFFF"/>
            <w:vAlign w:val="center"/>
          </w:tcPr>
          <w:p w14:paraId="20308AD9"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-3.667</w:t>
            </w:r>
          </w:p>
        </w:tc>
        <w:tc>
          <w:tcPr>
            <w:tcW w:w="871" w:type="dxa"/>
            <w:tcBorders>
              <w:top w:val="nil"/>
              <w:bottom w:val="nil"/>
              <w:right w:val="single" w:sz="16" w:space="0" w:color="000000"/>
            </w:tcBorders>
            <w:shd w:val="clear" w:color="auto" w:fill="FFFFFF"/>
            <w:vAlign w:val="center"/>
          </w:tcPr>
          <w:p w14:paraId="014B78F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1ABDE6CB"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61AF530"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233CE58A"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CR</w:t>
            </w:r>
          </w:p>
        </w:tc>
        <w:tc>
          <w:tcPr>
            <w:tcW w:w="980" w:type="dxa"/>
            <w:tcBorders>
              <w:top w:val="nil"/>
              <w:left w:val="single" w:sz="16" w:space="0" w:color="000000"/>
              <w:bottom w:val="nil"/>
            </w:tcBorders>
            <w:shd w:val="clear" w:color="auto" w:fill="FFFFFF"/>
            <w:vAlign w:val="center"/>
          </w:tcPr>
          <w:p w14:paraId="723EB453"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-.005</w:t>
            </w:r>
          </w:p>
        </w:tc>
        <w:tc>
          <w:tcPr>
            <w:tcW w:w="839" w:type="dxa"/>
            <w:tcBorders>
              <w:top w:val="nil"/>
              <w:bottom w:val="nil"/>
            </w:tcBorders>
            <w:shd w:val="clear" w:color="auto" w:fill="FFFFFF"/>
            <w:vAlign w:val="center"/>
          </w:tcPr>
          <w:p w14:paraId="6A98C22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.054</w:t>
            </w:r>
          </w:p>
        </w:tc>
        <w:tc>
          <w:tcPr>
            <w:tcW w:w="1570" w:type="dxa"/>
            <w:tcBorders>
              <w:top w:val="nil"/>
              <w:bottom w:val="nil"/>
            </w:tcBorders>
            <w:shd w:val="clear" w:color="auto" w:fill="FFFFFF"/>
            <w:vAlign w:val="center"/>
          </w:tcPr>
          <w:p w14:paraId="015CF829"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-.055</w:t>
            </w:r>
          </w:p>
        </w:tc>
        <w:tc>
          <w:tcPr>
            <w:tcW w:w="924" w:type="dxa"/>
            <w:tcBorders>
              <w:top w:val="nil"/>
              <w:bottom w:val="nil"/>
            </w:tcBorders>
            <w:shd w:val="clear" w:color="auto" w:fill="FFFFFF"/>
            <w:vAlign w:val="center"/>
          </w:tcPr>
          <w:p w14:paraId="66A8F3E4"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-.096</w:t>
            </w:r>
          </w:p>
        </w:tc>
        <w:tc>
          <w:tcPr>
            <w:tcW w:w="871" w:type="dxa"/>
            <w:tcBorders>
              <w:top w:val="nil"/>
              <w:bottom w:val="nil"/>
              <w:right w:val="single" w:sz="16" w:space="0" w:color="000000"/>
            </w:tcBorders>
            <w:shd w:val="clear" w:color="auto" w:fill="FFFFFF"/>
            <w:vAlign w:val="center"/>
          </w:tcPr>
          <w:p w14:paraId="7AA1581A"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.924</w:t>
            </w:r>
          </w:p>
        </w:tc>
      </w:tr>
      <w:tr w:rsidR="00F44BA4" w:rsidRPr="005279AA" w14:paraId="7564B05C"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24BAB47"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2BF678BE"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DER</w:t>
            </w:r>
          </w:p>
        </w:tc>
        <w:tc>
          <w:tcPr>
            <w:tcW w:w="980" w:type="dxa"/>
            <w:tcBorders>
              <w:top w:val="nil"/>
              <w:left w:val="single" w:sz="16" w:space="0" w:color="000000"/>
              <w:bottom w:val="nil"/>
            </w:tcBorders>
            <w:shd w:val="clear" w:color="auto" w:fill="FFFFFF"/>
            <w:vAlign w:val="center"/>
          </w:tcPr>
          <w:p w14:paraId="2982E279"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-.108</w:t>
            </w:r>
          </w:p>
        </w:tc>
        <w:tc>
          <w:tcPr>
            <w:tcW w:w="839" w:type="dxa"/>
            <w:tcBorders>
              <w:top w:val="nil"/>
              <w:bottom w:val="nil"/>
            </w:tcBorders>
            <w:shd w:val="clear" w:color="auto" w:fill="FFFFFF"/>
            <w:vAlign w:val="center"/>
          </w:tcPr>
          <w:p w14:paraId="1D371772"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.084</w:t>
            </w:r>
          </w:p>
        </w:tc>
        <w:tc>
          <w:tcPr>
            <w:tcW w:w="1570" w:type="dxa"/>
            <w:tcBorders>
              <w:top w:val="nil"/>
              <w:bottom w:val="nil"/>
            </w:tcBorders>
            <w:shd w:val="clear" w:color="auto" w:fill="FFFFFF"/>
            <w:vAlign w:val="center"/>
          </w:tcPr>
          <w:p w14:paraId="658B41EF"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-.612</w:t>
            </w:r>
          </w:p>
        </w:tc>
        <w:tc>
          <w:tcPr>
            <w:tcW w:w="924" w:type="dxa"/>
            <w:tcBorders>
              <w:top w:val="nil"/>
              <w:bottom w:val="nil"/>
            </w:tcBorders>
            <w:shd w:val="clear" w:color="auto" w:fill="FFFFFF"/>
            <w:vAlign w:val="center"/>
          </w:tcPr>
          <w:p w14:paraId="2A6D5FA4"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-1.285</w:t>
            </w:r>
          </w:p>
        </w:tc>
        <w:tc>
          <w:tcPr>
            <w:tcW w:w="871" w:type="dxa"/>
            <w:tcBorders>
              <w:top w:val="nil"/>
              <w:bottom w:val="nil"/>
              <w:right w:val="single" w:sz="16" w:space="0" w:color="000000"/>
            </w:tcBorders>
            <w:shd w:val="clear" w:color="auto" w:fill="FFFFFF"/>
            <w:vAlign w:val="center"/>
          </w:tcPr>
          <w:p w14:paraId="40FAED0C"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.203</w:t>
            </w:r>
          </w:p>
        </w:tc>
      </w:tr>
      <w:tr w:rsidR="00F44BA4" w:rsidRPr="005279AA" w14:paraId="119E2F67"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2CEB2CF"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3EAE6C91"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FCF</w:t>
            </w:r>
          </w:p>
        </w:tc>
        <w:tc>
          <w:tcPr>
            <w:tcW w:w="980" w:type="dxa"/>
            <w:tcBorders>
              <w:top w:val="nil"/>
              <w:left w:val="single" w:sz="16" w:space="0" w:color="000000"/>
              <w:bottom w:val="nil"/>
            </w:tcBorders>
            <w:shd w:val="clear" w:color="auto" w:fill="FFFFFF"/>
            <w:vAlign w:val="center"/>
          </w:tcPr>
          <w:p w14:paraId="4487C773"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-1.423</w:t>
            </w:r>
          </w:p>
        </w:tc>
        <w:tc>
          <w:tcPr>
            <w:tcW w:w="839" w:type="dxa"/>
            <w:tcBorders>
              <w:top w:val="nil"/>
              <w:bottom w:val="nil"/>
            </w:tcBorders>
            <w:shd w:val="clear" w:color="auto" w:fill="FFFFFF"/>
            <w:vAlign w:val="center"/>
          </w:tcPr>
          <w:p w14:paraId="27FB5946"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.566</w:t>
            </w:r>
          </w:p>
        </w:tc>
        <w:tc>
          <w:tcPr>
            <w:tcW w:w="1570" w:type="dxa"/>
            <w:tcBorders>
              <w:top w:val="nil"/>
              <w:bottom w:val="nil"/>
            </w:tcBorders>
            <w:shd w:val="clear" w:color="auto" w:fill="FFFFFF"/>
            <w:vAlign w:val="center"/>
          </w:tcPr>
          <w:p w14:paraId="709CABBE"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-1.923</w:t>
            </w:r>
          </w:p>
        </w:tc>
        <w:tc>
          <w:tcPr>
            <w:tcW w:w="924" w:type="dxa"/>
            <w:tcBorders>
              <w:top w:val="nil"/>
              <w:bottom w:val="nil"/>
            </w:tcBorders>
            <w:shd w:val="clear" w:color="auto" w:fill="FFFFFF"/>
            <w:vAlign w:val="center"/>
          </w:tcPr>
          <w:p w14:paraId="457585A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-2.512</w:t>
            </w:r>
          </w:p>
        </w:tc>
        <w:tc>
          <w:tcPr>
            <w:tcW w:w="871" w:type="dxa"/>
            <w:tcBorders>
              <w:top w:val="nil"/>
              <w:bottom w:val="nil"/>
              <w:right w:val="single" w:sz="16" w:space="0" w:color="000000"/>
            </w:tcBorders>
            <w:shd w:val="clear" w:color="auto" w:fill="FFFFFF"/>
            <w:vAlign w:val="center"/>
          </w:tcPr>
          <w:p w14:paraId="4894DAE4"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.014</w:t>
            </w:r>
          </w:p>
        </w:tc>
      </w:tr>
      <w:tr w:rsidR="00F44BA4" w:rsidRPr="005279AA" w14:paraId="7BEB6730"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C8D3C56"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515098BE"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Interaksi ROA_Kepemilikan Institusional</w:t>
            </w:r>
          </w:p>
        </w:tc>
        <w:tc>
          <w:tcPr>
            <w:tcW w:w="980" w:type="dxa"/>
            <w:tcBorders>
              <w:top w:val="nil"/>
              <w:left w:val="single" w:sz="16" w:space="0" w:color="000000"/>
              <w:bottom w:val="nil"/>
            </w:tcBorders>
            <w:shd w:val="clear" w:color="auto" w:fill="FFFFFF"/>
            <w:vAlign w:val="center"/>
          </w:tcPr>
          <w:p w14:paraId="1C008146"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9.127</w:t>
            </w:r>
          </w:p>
        </w:tc>
        <w:tc>
          <w:tcPr>
            <w:tcW w:w="839" w:type="dxa"/>
            <w:tcBorders>
              <w:top w:val="nil"/>
              <w:bottom w:val="nil"/>
            </w:tcBorders>
            <w:shd w:val="clear" w:color="auto" w:fill="FFFFFF"/>
            <w:vAlign w:val="center"/>
          </w:tcPr>
          <w:p w14:paraId="5A6C2282"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2.116</w:t>
            </w:r>
          </w:p>
        </w:tc>
        <w:tc>
          <w:tcPr>
            <w:tcW w:w="1570" w:type="dxa"/>
            <w:tcBorders>
              <w:top w:val="nil"/>
              <w:bottom w:val="nil"/>
            </w:tcBorders>
            <w:shd w:val="clear" w:color="auto" w:fill="FFFFFF"/>
            <w:vAlign w:val="center"/>
          </w:tcPr>
          <w:p w14:paraId="0174CB6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2.996</w:t>
            </w:r>
          </w:p>
        </w:tc>
        <w:tc>
          <w:tcPr>
            <w:tcW w:w="924" w:type="dxa"/>
            <w:tcBorders>
              <w:top w:val="nil"/>
              <w:bottom w:val="nil"/>
            </w:tcBorders>
            <w:shd w:val="clear" w:color="auto" w:fill="FFFFFF"/>
            <w:vAlign w:val="center"/>
          </w:tcPr>
          <w:p w14:paraId="78AB7FF6"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4.315</w:t>
            </w:r>
          </w:p>
        </w:tc>
        <w:tc>
          <w:tcPr>
            <w:tcW w:w="871" w:type="dxa"/>
            <w:tcBorders>
              <w:top w:val="nil"/>
              <w:bottom w:val="nil"/>
              <w:right w:val="single" w:sz="16" w:space="0" w:color="000000"/>
            </w:tcBorders>
            <w:shd w:val="clear" w:color="auto" w:fill="FFFFFF"/>
            <w:vAlign w:val="center"/>
          </w:tcPr>
          <w:p w14:paraId="6658E8E4"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.000</w:t>
            </w:r>
          </w:p>
        </w:tc>
      </w:tr>
      <w:tr w:rsidR="00F44BA4" w:rsidRPr="005279AA" w14:paraId="729F0865"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0E2A004"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61216B6E"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Interaksi CR_Kepemilkan Institusional</w:t>
            </w:r>
          </w:p>
        </w:tc>
        <w:tc>
          <w:tcPr>
            <w:tcW w:w="980" w:type="dxa"/>
            <w:tcBorders>
              <w:top w:val="nil"/>
              <w:left w:val="single" w:sz="16" w:space="0" w:color="000000"/>
              <w:bottom w:val="nil"/>
            </w:tcBorders>
            <w:shd w:val="clear" w:color="auto" w:fill="FFFFFF"/>
            <w:vAlign w:val="center"/>
          </w:tcPr>
          <w:p w14:paraId="5A233AB8"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-.048</w:t>
            </w:r>
          </w:p>
        </w:tc>
        <w:tc>
          <w:tcPr>
            <w:tcW w:w="839" w:type="dxa"/>
            <w:tcBorders>
              <w:top w:val="nil"/>
              <w:bottom w:val="nil"/>
            </w:tcBorders>
            <w:shd w:val="clear" w:color="auto" w:fill="FFFFFF"/>
            <w:vAlign w:val="center"/>
          </w:tcPr>
          <w:p w14:paraId="149083EE"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.079</w:t>
            </w:r>
          </w:p>
        </w:tc>
        <w:tc>
          <w:tcPr>
            <w:tcW w:w="1570" w:type="dxa"/>
            <w:tcBorders>
              <w:top w:val="nil"/>
              <w:bottom w:val="nil"/>
            </w:tcBorders>
            <w:shd w:val="clear" w:color="auto" w:fill="FFFFFF"/>
            <w:vAlign w:val="center"/>
          </w:tcPr>
          <w:p w14:paraId="07220832"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-.353</w:t>
            </w:r>
          </w:p>
        </w:tc>
        <w:tc>
          <w:tcPr>
            <w:tcW w:w="924" w:type="dxa"/>
            <w:tcBorders>
              <w:top w:val="nil"/>
              <w:bottom w:val="nil"/>
            </w:tcBorders>
            <w:shd w:val="clear" w:color="auto" w:fill="FFFFFF"/>
            <w:vAlign w:val="center"/>
          </w:tcPr>
          <w:p w14:paraId="3FA12B9F"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-.602</w:t>
            </w:r>
          </w:p>
        </w:tc>
        <w:tc>
          <w:tcPr>
            <w:tcW w:w="871" w:type="dxa"/>
            <w:tcBorders>
              <w:top w:val="nil"/>
              <w:bottom w:val="nil"/>
              <w:right w:val="single" w:sz="16" w:space="0" w:color="000000"/>
            </w:tcBorders>
            <w:shd w:val="clear" w:color="auto" w:fill="FFFFFF"/>
            <w:vAlign w:val="center"/>
          </w:tcPr>
          <w:p w14:paraId="25135B37"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.549</w:t>
            </w:r>
          </w:p>
        </w:tc>
      </w:tr>
      <w:tr w:rsidR="00F44BA4" w:rsidRPr="005279AA" w14:paraId="53F27AEB"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A120C77"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nil"/>
              <w:right w:val="single" w:sz="16" w:space="0" w:color="000000"/>
            </w:tcBorders>
            <w:shd w:val="clear" w:color="auto" w:fill="FFFFFF"/>
          </w:tcPr>
          <w:p w14:paraId="01752227"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Interaksi DER_Kepemilikan Institusional</w:t>
            </w:r>
          </w:p>
        </w:tc>
        <w:tc>
          <w:tcPr>
            <w:tcW w:w="980" w:type="dxa"/>
            <w:tcBorders>
              <w:top w:val="nil"/>
              <w:left w:val="single" w:sz="16" w:space="0" w:color="000000"/>
              <w:bottom w:val="nil"/>
            </w:tcBorders>
            <w:shd w:val="clear" w:color="auto" w:fill="FFFFFF"/>
            <w:vAlign w:val="center"/>
          </w:tcPr>
          <w:p w14:paraId="05ABDB62"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.031</w:t>
            </w:r>
          </w:p>
        </w:tc>
        <w:tc>
          <w:tcPr>
            <w:tcW w:w="839" w:type="dxa"/>
            <w:tcBorders>
              <w:top w:val="nil"/>
              <w:bottom w:val="nil"/>
            </w:tcBorders>
            <w:shd w:val="clear" w:color="auto" w:fill="FFFFFF"/>
            <w:vAlign w:val="center"/>
          </w:tcPr>
          <w:p w14:paraId="2D0BEE55"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.089</w:t>
            </w:r>
          </w:p>
        </w:tc>
        <w:tc>
          <w:tcPr>
            <w:tcW w:w="1570" w:type="dxa"/>
            <w:tcBorders>
              <w:top w:val="nil"/>
              <w:bottom w:val="nil"/>
            </w:tcBorders>
            <w:shd w:val="clear" w:color="auto" w:fill="FFFFFF"/>
            <w:vAlign w:val="center"/>
          </w:tcPr>
          <w:p w14:paraId="3DC30CE7"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.156</w:t>
            </w:r>
          </w:p>
        </w:tc>
        <w:tc>
          <w:tcPr>
            <w:tcW w:w="924" w:type="dxa"/>
            <w:tcBorders>
              <w:top w:val="nil"/>
              <w:bottom w:val="nil"/>
            </w:tcBorders>
            <w:shd w:val="clear" w:color="auto" w:fill="FFFFFF"/>
            <w:vAlign w:val="center"/>
          </w:tcPr>
          <w:p w14:paraId="7ED2C22F"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.348</w:t>
            </w:r>
          </w:p>
        </w:tc>
        <w:tc>
          <w:tcPr>
            <w:tcW w:w="871" w:type="dxa"/>
            <w:tcBorders>
              <w:top w:val="nil"/>
              <w:bottom w:val="nil"/>
              <w:right w:val="single" w:sz="16" w:space="0" w:color="000000"/>
            </w:tcBorders>
            <w:shd w:val="clear" w:color="auto" w:fill="FFFFFF"/>
            <w:vAlign w:val="center"/>
          </w:tcPr>
          <w:p w14:paraId="76707983"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.729</w:t>
            </w:r>
          </w:p>
        </w:tc>
      </w:tr>
      <w:tr w:rsidR="00F44BA4" w:rsidRPr="005279AA" w14:paraId="3CC20C1E" w14:textId="77777777" w:rsidTr="001004F8">
        <w:trPr>
          <w:gridAfter w:val="1"/>
          <w:wAfter w:w="76" w:type="dxa"/>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8626B9B" w14:textId="77777777" w:rsidR="00FF11D4" w:rsidRPr="005279AA" w:rsidRDefault="00FF11D4" w:rsidP="00BF76D1">
            <w:pPr>
              <w:tabs>
                <w:tab w:val="left" w:pos="1701"/>
              </w:tabs>
              <w:autoSpaceDE w:val="0"/>
              <w:autoSpaceDN w:val="0"/>
              <w:adjustRightInd w:val="0"/>
              <w:spacing w:after="0" w:line="240" w:lineRule="auto"/>
              <w:rPr>
                <w:rFonts w:asciiTheme="majorBidi" w:hAnsiTheme="majorBidi" w:cstheme="majorBidi"/>
                <w:color w:val="000000"/>
                <w:sz w:val="18"/>
                <w:szCs w:val="18"/>
              </w:rPr>
            </w:pPr>
          </w:p>
        </w:tc>
        <w:tc>
          <w:tcPr>
            <w:tcW w:w="1625" w:type="dxa"/>
            <w:tcBorders>
              <w:top w:val="nil"/>
              <w:left w:val="nil"/>
              <w:bottom w:val="single" w:sz="16" w:space="0" w:color="000000"/>
              <w:right w:val="single" w:sz="16" w:space="0" w:color="000000"/>
            </w:tcBorders>
            <w:shd w:val="clear" w:color="auto" w:fill="FFFFFF"/>
          </w:tcPr>
          <w:p w14:paraId="12C6D1CF"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Interaksi FCF_Kepemilikan Institusional</w:t>
            </w:r>
          </w:p>
        </w:tc>
        <w:tc>
          <w:tcPr>
            <w:tcW w:w="980" w:type="dxa"/>
            <w:tcBorders>
              <w:top w:val="nil"/>
              <w:left w:val="single" w:sz="16" w:space="0" w:color="000000"/>
              <w:bottom w:val="single" w:sz="16" w:space="0" w:color="000000"/>
            </w:tcBorders>
            <w:shd w:val="clear" w:color="auto" w:fill="FFFFFF"/>
            <w:vAlign w:val="center"/>
          </w:tcPr>
          <w:p w14:paraId="706BA406"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1.893</w:t>
            </w:r>
          </w:p>
        </w:tc>
        <w:tc>
          <w:tcPr>
            <w:tcW w:w="839" w:type="dxa"/>
            <w:tcBorders>
              <w:top w:val="nil"/>
              <w:bottom w:val="single" w:sz="16" w:space="0" w:color="000000"/>
            </w:tcBorders>
            <w:shd w:val="clear" w:color="auto" w:fill="FFFFFF"/>
            <w:vAlign w:val="center"/>
          </w:tcPr>
          <w:p w14:paraId="6C80725D"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.770</w:t>
            </w:r>
          </w:p>
        </w:tc>
        <w:tc>
          <w:tcPr>
            <w:tcW w:w="1570" w:type="dxa"/>
            <w:tcBorders>
              <w:top w:val="nil"/>
              <w:bottom w:val="single" w:sz="16" w:space="0" w:color="000000"/>
            </w:tcBorders>
            <w:shd w:val="clear" w:color="auto" w:fill="FFFFFF"/>
            <w:vAlign w:val="center"/>
          </w:tcPr>
          <w:p w14:paraId="16B0411D"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1.999</w:t>
            </w:r>
          </w:p>
        </w:tc>
        <w:tc>
          <w:tcPr>
            <w:tcW w:w="924" w:type="dxa"/>
            <w:tcBorders>
              <w:top w:val="nil"/>
              <w:bottom w:val="single" w:sz="16" w:space="0" w:color="000000"/>
            </w:tcBorders>
            <w:shd w:val="clear" w:color="auto" w:fill="FFFFFF"/>
            <w:vAlign w:val="center"/>
          </w:tcPr>
          <w:p w14:paraId="02BEBB99"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2.458</w:t>
            </w:r>
          </w:p>
        </w:tc>
        <w:tc>
          <w:tcPr>
            <w:tcW w:w="871" w:type="dxa"/>
            <w:tcBorders>
              <w:top w:val="nil"/>
              <w:bottom w:val="single" w:sz="16" w:space="0" w:color="000000"/>
              <w:right w:val="single" w:sz="16" w:space="0" w:color="000000"/>
            </w:tcBorders>
            <w:shd w:val="clear" w:color="auto" w:fill="FFFFFF"/>
            <w:vAlign w:val="center"/>
          </w:tcPr>
          <w:p w14:paraId="6A2F89B0" w14:textId="77777777" w:rsidR="00FF11D4" w:rsidRPr="005279AA" w:rsidRDefault="00FF11D4" w:rsidP="00BF76D1">
            <w:pPr>
              <w:tabs>
                <w:tab w:val="left" w:pos="1701"/>
              </w:tabs>
              <w:autoSpaceDE w:val="0"/>
              <w:autoSpaceDN w:val="0"/>
              <w:adjustRightInd w:val="0"/>
              <w:spacing w:after="0" w:line="320" w:lineRule="atLeast"/>
              <w:ind w:left="60" w:right="60"/>
              <w:jc w:val="right"/>
              <w:rPr>
                <w:rFonts w:asciiTheme="majorBidi" w:hAnsiTheme="majorBidi" w:cstheme="majorBidi"/>
                <w:color w:val="000000"/>
                <w:sz w:val="18"/>
                <w:szCs w:val="18"/>
              </w:rPr>
            </w:pPr>
            <w:r w:rsidRPr="005279AA">
              <w:rPr>
                <w:rFonts w:asciiTheme="majorBidi" w:hAnsiTheme="majorBidi" w:cstheme="majorBidi"/>
                <w:color w:val="000000"/>
                <w:sz w:val="18"/>
                <w:szCs w:val="18"/>
              </w:rPr>
              <w:t>.017</w:t>
            </w:r>
          </w:p>
        </w:tc>
      </w:tr>
      <w:tr w:rsidR="00FF11D4" w:rsidRPr="005279AA" w14:paraId="6D1F9AF4" w14:textId="77777777" w:rsidTr="001004F8">
        <w:trPr>
          <w:cantSplit/>
        </w:trPr>
        <w:tc>
          <w:tcPr>
            <w:tcW w:w="7115" w:type="dxa"/>
            <w:gridSpan w:val="8"/>
            <w:tcBorders>
              <w:top w:val="nil"/>
              <w:left w:val="nil"/>
              <w:bottom w:val="nil"/>
              <w:right w:val="nil"/>
            </w:tcBorders>
            <w:shd w:val="clear" w:color="auto" w:fill="FFFFFF"/>
          </w:tcPr>
          <w:p w14:paraId="7B57A9F2" w14:textId="77777777" w:rsidR="00FF11D4" w:rsidRPr="005279AA" w:rsidRDefault="00FF11D4" w:rsidP="00BF76D1">
            <w:pPr>
              <w:tabs>
                <w:tab w:val="left" w:pos="1701"/>
              </w:tabs>
              <w:autoSpaceDE w:val="0"/>
              <w:autoSpaceDN w:val="0"/>
              <w:adjustRightInd w:val="0"/>
              <w:spacing w:after="0" w:line="320" w:lineRule="atLeast"/>
              <w:ind w:left="60" w:right="60"/>
              <w:rPr>
                <w:rFonts w:asciiTheme="majorBidi" w:hAnsiTheme="majorBidi" w:cstheme="majorBidi"/>
                <w:color w:val="000000"/>
                <w:sz w:val="18"/>
                <w:szCs w:val="18"/>
              </w:rPr>
            </w:pPr>
            <w:r w:rsidRPr="005279AA">
              <w:rPr>
                <w:rFonts w:asciiTheme="majorBidi" w:hAnsiTheme="majorBidi" w:cstheme="majorBidi"/>
                <w:color w:val="000000"/>
                <w:sz w:val="18"/>
                <w:szCs w:val="18"/>
              </w:rPr>
              <w:t>a. Dependent Variable: DPR</w:t>
            </w:r>
          </w:p>
        </w:tc>
      </w:tr>
    </w:tbl>
    <w:bookmarkEnd w:id="0"/>
    <w:p w14:paraId="576C18CE" w14:textId="24D82A8F" w:rsidR="00A26354" w:rsidRPr="005279AA" w:rsidRDefault="002F5572" w:rsidP="00BF76D1">
      <w:pPr>
        <w:tabs>
          <w:tab w:val="left" w:pos="1701"/>
        </w:tabs>
        <w:spacing w:line="480" w:lineRule="auto"/>
        <w:ind w:left="993"/>
        <w:jc w:val="both"/>
        <w:rPr>
          <w:rFonts w:asciiTheme="majorBidi" w:eastAsiaTheme="minorEastAsia" w:hAnsiTheme="majorBidi" w:cstheme="majorBidi"/>
          <w:iCs/>
          <w:sz w:val="20"/>
          <w:szCs w:val="20"/>
        </w:rPr>
      </w:pPr>
      <w:r w:rsidRPr="005279AA">
        <w:rPr>
          <w:rFonts w:asciiTheme="majorBidi" w:eastAsiaTheme="minorEastAsia" w:hAnsiTheme="majorBidi" w:cstheme="majorBidi"/>
          <w:iCs/>
          <w:sz w:val="20"/>
          <w:szCs w:val="20"/>
        </w:rPr>
        <w:t>Sumber: Data yang diolah SPSS 22, 2024</w:t>
      </w:r>
    </w:p>
    <w:p w14:paraId="5FBD0596" w14:textId="77777777" w:rsidR="00F44BA4" w:rsidRDefault="00F44BA4" w:rsidP="00BF76D1">
      <w:pPr>
        <w:pStyle w:val="ListParagraph"/>
        <w:tabs>
          <w:tab w:val="left" w:pos="1701"/>
        </w:tabs>
        <w:spacing w:line="480" w:lineRule="auto"/>
        <w:ind w:left="1080"/>
        <w:jc w:val="both"/>
        <w:rPr>
          <w:rFonts w:asciiTheme="majorBidi" w:hAnsiTheme="majorBidi" w:cstheme="majorBidi"/>
          <w:sz w:val="24"/>
          <w:szCs w:val="24"/>
        </w:rPr>
      </w:pPr>
    </w:p>
    <w:p w14:paraId="6354C7AA" w14:textId="413D178B" w:rsidR="00494056" w:rsidRPr="005279AA" w:rsidRDefault="00494056" w:rsidP="00BF76D1">
      <w:pPr>
        <w:pStyle w:val="ListParagraph"/>
        <w:tabs>
          <w:tab w:val="left" w:pos="1701"/>
        </w:tabs>
        <w:spacing w:line="480" w:lineRule="auto"/>
        <w:ind w:left="1080"/>
        <w:jc w:val="both"/>
        <w:rPr>
          <w:rFonts w:asciiTheme="majorBidi" w:hAnsiTheme="majorBidi" w:cstheme="majorBidi"/>
          <w:sz w:val="24"/>
          <w:szCs w:val="24"/>
        </w:rPr>
      </w:pPr>
      <w:r w:rsidRPr="005279AA">
        <w:rPr>
          <w:rFonts w:asciiTheme="majorBidi" w:hAnsiTheme="majorBidi" w:cstheme="majorBidi"/>
          <w:sz w:val="24"/>
          <w:szCs w:val="24"/>
        </w:rPr>
        <w:lastRenderedPageBreak/>
        <w:t>Berdasarkan tabel diatas maka diperoleh persamaan regresi:</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5804"/>
      </w:tblGrid>
      <w:tr w:rsidR="00542C26" w:rsidRPr="005279AA" w14:paraId="44D0446D" w14:textId="77777777" w:rsidTr="0017064C">
        <w:tc>
          <w:tcPr>
            <w:tcW w:w="1139" w:type="dxa"/>
          </w:tcPr>
          <w:p w14:paraId="28492AB0" w14:textId="413388A7" w:rsidR="00542C26" w:rsidRPr="005279AA" w:rsidRDefault="0017064C" w:rsidP="00BF76D1">
            <w:pPr>
              <w:pStyle w:val="ListParagraph"/>
              <w:tabs>
                <w:tab w:val="left" w:pos="1701"/>
              </w:tabs>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DPR</w:t>
            </w:r>
            <w:r w:rsidR="00542C26" w:rsidRPr="005279AA">
              <w:rPr>
                <w:rFonts w:asciiTheme="majorBidi" w:hAnsiTheme="majorBidi" w:cstheme="majorBidi"/>
                <w:b/>
                <w:bCs/>
                <w:sz w:val="24"/>
                <w:szCs w:val="24"/>
              </w:rPr>
              <w:t xml:space="preserve">     =</w:t>
            </w:r>
          </w:p>
        </w:tc>
        <w:tc>
          <w:tcPr>
            <w:tcW w:w="5804" w:type="dxa"/>
          </w:tcPr>
          <w:p w14:paraId="19F771AA" w14:textId="36998811" w:rsidR="00542C26" w:rsidRPr="000A1EE3" w:rsidRDefault="00FF11D4" w:rsidP="00BF76D1">
            <w:pPr>
              <w:pStyle w:val="ListParagraph"/>
              <w:tabs>
                <w:tab w:val="left" w:pos="1701"/>
              </w:tabs>
              <w:spacing w:line="480" w:lineRule="auto"/>
              <w:ind w:left="28"/>
              <w:jc w:val="both"/>
              <w:rPr>
                <w:rFonts w:asciiTheme="majorBidi" w:hAnsiTheme="majorBidi" w:cstheme="majorBidi"/>
                <w:b/>
                <w:bCs/>
                <w:sz w:val="24"/>
                <w:szCs w:val="24"/>
              </w:rPr>
            </w:pPr>
            <w:r w:rsidRPr="005279AA">
              <w:rPr>
                <w:rFonts w:asciiTheme="majorBidi" w:hAnsiTheme="majorBidi" w:cstheme="majorBidi"/>
                <w:b/>
                <w:bCs/>
                <w:sz w:val="24"/>
                <w:szCs w:val="24"/>
              </w:rPr>
              <w:t>0,853</w:t>
            </w:r>
            <w:r w:rsidR="00E450F8">
              <w:rPr>
                <w:rFonts w:asciiTheme="majorBidi" w:hAnsiTheme="majorBidi" w:cstheme="majorBidi"/>
                <w:b/>
                <w:bCs/>
                <w:sz w:val="24"/>
                <w:szCs w:val="24"/>
              </w:rPr>
              <w:t xml:space="preserve"> </w:t>
            </w:r>
            <w:r w:rsidR="00542C26" w:rsidRPr="005279AA">
              <w:rPr>
                <w:rFonts w:asciiTheme="majorBidi" w:hAnsiTheme="majorBidi" w:cstheme="majorBidi"/>
                <w:b/>
                <w:bCs/>
                <w:sz w:val="24"/>
                <w:szCs w:val="24"/>
              </w:rPr>
              <w:t>-</w:t>
            </w:r>
            <w:r w:rsidR="00E450F8">
              <w:rPr>
                <w:rFonts w:asciiTheme="majorBidi" w:hAnsiTheme="majorBidi" w:cstheme="majorBidi"/>
                <w:b/>
                <w:bCs/>
                <w:sz w:val="24"/>
                <w:szCs w:val="24"/>
              </w:rPr>
              <w:t xml:space="preserve"> </w:t>
            </w:r>
            <w:r w:rsidRPr="005279AA">
              <w:rPr>
                <w:rFonts w:asciiTheme="majorBidi" w:hAnsiTheme="majorBidi" w:cstheme="majorBidi"/>
                <w:b/>
                <w:bCs/>
                <w:sz w:val="24"/>
                <w:szCs w:val="24"/>
              </w:rPr>
              <w:t>6,610</w:t>
            </w:r>
            <w:r w:rsidR="00E450F8">
              <w:rPr>
                <w:rFonts w:asciiTheme="majorBidi" w:hAnsiTheme="majorBidi" w:cstheme="majorBidi"/>
                <w:b/>
                <w:bCs/>
                <w:sz w:val="24"/>
                <w:szCs w:val="24"/>
              </w:rPr>
              <w:t xml:space="preserve"> ROA </w:t>
            </w:r>
            <w:r w:rsidR="00542C26" w:rsidRPr="005279AA">
              <w:rPr>
                <w:rFonts w:asciiTheme="majorBidi" w:hAnsiTheme="majorBidi" w:cstheme="majorBidi"/>
                <w:b/>
                <w:bCs/>
                <w:sz w:val="24"/>
                <w:szCs w:val="24"/>
              </w:rPr>
              <w:t>-</w:t>
            </w:r>
            <w:r w:rsidR="00E450F8">
              <w:rPr>
                <w:rFonts w:asciiTheme="majorBidi" w:hAnsiTheme="majorBidi" w:cstheme="majorBidi"/>
                <w:b/>
                <w:bCs/>
                <w:sz w:val="24"/>
                <w:szCs w:val="24"/>
              </w:rPr>
              <w:t xml:space="preserve"> </w:t>
            </w:r>
            <w:r w:rsidR="00542C26" w:rsidRPr="005279AA">
              <w:rPr>
                <w:rFonts w:asciiTheme="majorBidi" w:hAnsiTheme="majorBidi" w:cstheme="majorBidi"/>
                <w:b/>
                <w:bCs/>
                <w:sz w:val="24"/>
                <w:szCs w:val="24"/>
              </w:rPr>
              <w:t>0,</w:t>
            </w:r>
            <w:r w:rsidR="00DE007E" w:rsidRPr="005279AA">
              <w:rPr>
                <w:rFonts w:asciiTheme="majorBidi" w:hAnsiTheme="majorBidi" w:cstheme="majorBidi"/>
                <w:b/>
                <w:bCs/>
                <w:sz w:val="24"/>
                <w:szCs w:val="24"/>
              </w:rPr>
              <w:t>0</w:t>
            </w:r>
            <w:r w:rsidRPr="005279AA">
              <w:rPr>
                <w:rFonts w:asciiTheme="majorBidi" w:hAnsiTheme="majorBidi" w:cstheme="majorBidi"/>
                <w:b/>
                <w:bCs/>
                <w:sz w:val="24"/>
                <w:szCs w:val="24"/>
              </w:rPr>
              <w:t>05</w:t>
            </w:r>
            <w:r w:rsidR="00E450F8">
              <w:rPr>
                <w:rFonts w:asciiTheme="majorBidi" w:hAnsiTheme="majorBidi" w:cstheme="majorBidi"/>
                <w:b/>
                <w:bCs/>
                <w:sz w:val="24"/>
                <w:szCs w:val="24"/>
              </w:rPr>
              <w:t xml:space="preserve"> CR </w:t>
            </w:r>
            <w:r w:rsidR="00542C26" w:rsidRPr="005279AA">
              <w:rPr>
                <w:rFonts w:asciiTheme="majorBidi" w:hAnsiTheme="majorBidi" w:cstheme="majorBidi"/>
                <w:b/>
                <w:bCs/>
                <w:sz w:val="24"/>
                <w:szCs w:val="24"/>
              </w:rPr>
              <w:t>-</w:t>
            </w:r>
            <w:r w:rsidR="00E450F8">
              <w:rPr>
                <w:rFonts w:asciiTheme="majorBidi" w:hAnsiTheme="majorBidi" w:cstheme="majorBidi"/>
                <w:b/>
                <w:bCs/>
                <w:sz w:val="24"/>
                <w:szCs w:val="24"/>
              </w:rPr>
              <w:t xml:space="preserve"> </w:t>
            </w:r>
            <w:r w:rsidR="00542C26" w:rsidRPr="005279AA">
              <w:rPr>
                <w:rFonts w:asciiTheme="majorBidi" w:hAnsiTheme="majorBidi" w:cstheme="majorBidi"/>
                <w:b/>
                <w:bCs/>
                <w:sz w:val="24"/>
                <w:szCs w:val="24"/>
              </w:rPr>
              <w:t>0,1</w:t>
            </w:r>
            <w:r w:rsidRPr="005279AA">
              <w:rPr>
                <w:rFonts w:asciiTheme="majorBidi" w:hAnsiTheme="majorBidi" w:cstheme="majorBidi"/>
                <w:b/>
                <w:bCs/>
                <w:sz w:val="24"/>
                <w:szCs w:val="24"/>
              </w:rPr>
              <w:t>08</w:t>
            </w:r>
            <w:r w:rsidR="00E450F8">
              <w:rPr>
                <w:rFonts w:asciiTheme="majorBidi" w:hAnsiTheme="majorBidi" w:cstheme="majorBidi"/>
                <w:b/>
                <w:bCs/>
                <w:sz w:val="24"/>
                <w:szCs w:val="24"/>
              </w:rPr>
              <w:t xml:space="preserve"> DER </w:t>
            </w:r>
            <w:r w:rsidR="00542C26" w:rsidRPr="005279AA">
              <w:rPr>
                <w:rFonts w:asciiTheme="majorBidi" w:hAnsiTheme="majorBidi" w:cstheme="majorBidi"/>
                <w:b/>
                <w:bCs/>
                <w:sz w:val="24"/>
                <w:szCs w:val="24"/>
              </w:rPr>
              <w:t>-</w:t>
            </w:r>
            <w:r w:rsidR="00E450F8">
              <w:rPr>
                <w:rFonts w:asciiTheme="majorBidi" w:hAnsiTheme="majorBidi" w:cstheme="majorBidi"/>
                <w:b/>
                <w:bCs/>
                <w:sz w:val="24"/>
                <w:szCs w:val="24"/>
              </w:rPr>
              <w:t xml:space="preserve"> </w:t>
            </w:r>
            <w:r w:rsidR="00542C26" w:rsidRPr="005279AA">
              <w:rPr>
                <w:rFonts w:asciiTheme="majorBidi" w:hAnsiTheme="majorBidi" w:cstheme="majorBidi"/>
                <w:b/>
                <w:bCs/>
                <w:sz w:val="24"/>
                <w:szCs w:val="24"/>
              </w:rPr>
              <w:t>1</w:t>
            </w:r>
            <w:r w:rsidR="002E6626" w:rsidRPr="005279AA">
              <w:rPr>
                <w:rFonts w:asciiTheme="majorBidi" w:hAnsiTheme="majorBidi" w:cstheme="majorBidi"/>
                <w:b/>
                <w:bCs/>
                <w:sz w:val="24"/>
                <w:szCs w:val="24"/>
              </w:rPr>
              <w:t>,</w:t>
            </w:r>
            <w:r w:rsidRPr="005279AA">
              <w:rPr>
                <w:rFonts w:asciiTheme="majorBidi" w:hAnsiTheme="majorBidi" w:cstheme="majorBidi"/>
                <w:b/>
                <w:bCs/>
                <w:sz w:val="24"/>
                <w:szCs w:val="24"/>
              </w:rPr>
              <w:t>423</w:t>
            </w:r>
            <w:r w:rsidR="00E450F8">
              <w:rPr>
                <w:rFonts w:asciiTheme="majorBidi" w:hAnsiTheme="majorBidi" w:cstheme="majorBidi"/>
                <w:b/>
                <w:bCs/>
                <w:sz w:val="24"/>
                <w:szCs w:val="24"/>
              </w:rPr>
              <w:t xml:space="preserve"> FCF </w:t>
            </w:r>
            <w:r w:rsidR="00542C26" w:rsidRPr="005279AA">
              <w:rPr>
                <w:rFonts w:asciiTheme="majorBidi" w:hAnsiTheme="majorBidi" w:cstheme="majorBidi"/>
                <w:b/>
                <w:bCs/>
                <w:sz w:val="24"/>
                <w:szCs w:val="24"/>
              </w:rPr>
              <w:t>+</w:t>
            </w:r>
            <w:r w:rsidR="000A1EE3">
              <w:rPr>
                <w:rFonts w:asciiTheme="majorBidi" w:hAnsiTheme="majorBidi" w:cstheme="majorBidi"/>
                <w:b/>
                <w:bCs/>
                <w:sz w:val="24"/>
                <w:szCs w:val="24"/>
              </w:rPr>
              <w:t xml:space="preserve"> </w:t>
            </w:r>
            <w:r w:rsidRPr="005279AA">
              <w:rPr>
                <w:rFonts w:asciiTheme="majorBidi" w:hAnsiTheme="majorBidi" w:cstheme="majorBidi"/>
                <w:b/>
                <w:bCs/>
                <w:sz w:val="24"/>
                <w:szCs w:val="24"/>
              </w:rPr>
              <w:t>9,127</w:t>
            </w:r>
            <w:r w:rsidR="000A1EE3">
              <w:rPr>
                <w:rFonts w:asciiTheme="majorBidi" w:hAnsiTheme="majorBidi" w:cstheme="majorBidi"/>
                <w:b/>
                <w:bCs/>
                <w:sz w:val="24"/>
                <w:szCs w:val="24"/>
              </w:rPr>
              <w:t xml:space="preserve"> ROA</w:t>
            </w:r>
            <w:r w:rsidR="00542C26" w:rsidRPr="005279AA">
              <w:rPr>
                <w:rFonts w:asciiTheme="majorBidi" w:hAnsiTheme="majorBidi" w:cstheme="majorBidi"/>
                <w:b/>
                <w:bCs/>
                <w:sz w:val="24"/>
                <w:szCs w:val="24"/>
              </w:rPr>
              <w:t>*</w:t>
            </w:r>
            <w:r w:rsidR="000A1EE3">
              <w:rPr>
                <w:rFonts w:asciiTheme="majorBidi" w:hAnsiTheme="majorBidi" w:cstheme="majorBidi"/>
                <w:b/>
                <w:bCs/>
                <w:sz w:val="24"/>
                <w:szCs w:val="24"/>
              </w:rPr>
              <w:t xml:space="preserve">KI - </w:t>
            </w:r>
            <w:r w:rsidR="00542C26" w:rsidRPr="000A1EE3">
              <w:rPr>
                <w:rFonts w:asciiTheme="majorBidi" w:hAnsiTheme="majorBidi" w:cstheme="majorBidi"/>
                <w:b/>
                <w:bCs/>
                <w:sz w:val="24"/>
                <w:szCs w:val="24"/>
              </w:rPr>
              <w:t>0,0</w:t>
            </w:r>
            <w:r w:rsidR="002E6626" w:rsidRPr="000A1EE3">
              <w:rPr>
                <w:rFonts w:asciiTheme="majorBidi" w:hAnsiTheme="majorBidi" w:cstheme="majorBidi"/>
                <w:b/>
                <w:bCs/>
                <w:sz w:val="24"/>
                <w:szCs w:val="24"/>
              </w:rPr>
              <w:t>48</w:t>
            </w:r>
            <w:r w:rsidR="000A1EE3">
              <w:rPr>
                <w:rFonts w:asciiTheme="majorBidi" w:hAnsiTheme="majorBidi" w:cstheme="majorBidi"/>
                <w:b/>
                <w:bCs/>
                <w:sz w:val="24"/>
                <w:szCs w:val="24"/>
              </w:rPr>
              <w:t xml:space="preserve"> CR</w:t>
            </w:r>
            <w:r w:rsidR="00542C26" w:rsidRPr="000A1EE3">
              <w:rPr>
                <w:rFonts w:asciiTheme="majorBidi" w:hAnsiTheme="majorBidi" w:cstheme="majorBidi"/>
                <w:b/>
                <w:bCs/>
                <w:sz w:val="24"/>
                <w:szCs w:val="24"/>
              </w:rPr>
              <w:t>*</w:t>
            </w:r>
            <w:r w:rsidR="000A1EE3">
              <w:rPr>
                <w:rFonts w:asciiTheme="majorBidi" w:hAnsiTheme="majorBidi" w:cstheme="majorBidi"/>
                <w:b/>
                <w:bCs/>
                <w:sz w:val="24"/>
                <w:szCs w:val="24"/>
              </w:rPr>
              <w:t xml:space="preserve">KI </w:t>
            </w:r>
            <w:r w:rsidR="00542C26" w:rsidRPr="000A1EE3">
              <w:rPr>
                <w:rFonts w:asciiTheme="majorBidi" w:hAnsiTheme="majorBidi" w:cstheme="majorBidi"/>
                <w:b/>
                <w:bCs/>
                <w:sz w:val="24"/>
                <w:szCs w:val="24"/>
              </w:rPr>
              <w:t>+</w:t>
            </w:r>
            <w:r w:rsidR="000A1EE3">
              <w:rPr>
                <w:rFonts w:asciiTheme="majorBidi" w:hAnsiTheme="majorBidi" w:cstheme="majorBidi"/>
                <w:b/>
                <w:bCs/>
                <w:sz w:val="24"/>
                <w:szCs w:val="24"/>
              </w:rPr>
              <w:t xml:space="preserve"> </w:t>
            </w:r>
            <w:r w:rsidR="00542C26" w:rsidRPr="000A1EE3">
              <w:rPr>
                <w:rFonts w:asciiTheme="majorBidi" w:hAnsiTheme="majorBidi" w:cstheme="majorBidi"/>
                <w:b/>
                <w:bCs/>
                <w:sz w:val="24"/>
                <w:szCs w:val="24"/>
              </w:rPr>
              <w:t>0,0</w:t>
            </w:r>
            <w:r w:rsidRPr="000A1EE3">
              <w:rPr>
                <w:rFonts w:asciiTheme="majorBidi" w:hAnsiTheme="majorBidi" w:cstheme="majorBidi"/>
                <w:b/>
                <w:bCs/>
                <w:sz w:val="24"/>
                <w:szCs w:val="24"/>
              </w:rPr>
              <w:t>31</w:t>
            </w:r>
            <w:r w:rsidR="000A1EE3">
              <w:rPr>
                <w:rFonts w:asciiTheme="majorBidi" w:hAnsiTheme="majorBidi" w:cstheme="majorBidi"/>
                <w:b/>
                <w:bCs/>
                <w:sz w:val="24"/>
                <w:szCs w:val="24"/>
              </w:rPr>
              <w:t xml:space="preserve"> DER</w:t>
            </w:r>
            <w:r w:rsidR="00542C26" w:rsidRPr="000A1EE3">
              <w:rPr>
                <w:rFonts w:asciiTheme="majorBidi" w:hAnsiTheme="majorBidi" w:cstheme="majorBidi"/>
                <w:b/>
                <w:bCs/>
                <w:sz w:val="24"/>
                <w:szCs w:val="24"/>
              </w:rPr>
              <w:t>*</w:t>
            </w:r>
            <w:r w:rsidR="000A1EE3">
              <w:rPr>
                <w:rFonts w:asciiTheme="majorBidi" w:hAnsiTheme="majorBidi" w:cstheme="majorBidi"/>
                <w:b/>
                <w:bCs/>
                <w:sz w:val="24"/>
                <w:szCs w:val="24"/>
              </w:rPr>
              <w:t xml:space="preserve">KI </w:t>
            </w:r>
            <w:r w:rsidR="00542C26" w:rsidRPr="000A1EE3">
              <w:rPr>
                <w:rFonts w:asciiTheme="majorBidi" w:hAnsiTheme="majorBidi" w:cstheme="majorBidi"/>
                <w:b/>
                <w:bCs/>
                <w:sz w:val="24"/>
                <w:szCs w:val="24"/>
              </w:rPr>
              <w:t>+</w:t>
            </w:r>
            <w:r w:rsidR="000A1EE3">
              <w:rPr>
                <w:rFonts w:asciiTheme="majorBidi" w:hAnsiTheme="majorBidi" w:cstheme="majorBidi"/>
                <w:b/>
                <w:bCs/>
                <w:sz w:val="24"/>
                <w:szCs w:val="24"/>
              </w:rPr>
              <w:t xml:space="preserve"> </w:t>
            </w:r>
            <w:r w:rsidR="002E6626" w:rsidRPr="000A1EE3">
              <w:rPr>
                <w:rFonts w:asciiTheme="majorBidi" w:hAnsiTheme="majorBidi" w:cstheme="majorBidi"/>
                <w:b/>
                <w:bCs/>
                <w:sz w:val="24"/>
                <w:szCs w:val="24"/>
              </w:rPr>
              <w:t>1,</w:t>
            </w:r>
            <w:r w:rsidRPr="000A1EE3">
              <w:rPr>
                <w:rFonts w:asciiTheme="majorBidi" w:hAnsiTheme="majorBidi" w:cstheme="majorBidi"/>
                <w:b/>
                <w:bCs/>
                <w:sz w:val="24"/>
                <w:szCs w:val="24"/>
              </w:rPr>
              <w:t>893</w:t>
            </w:r>
            <w:r w:rsidR="000A1EE3">
              <w:rPr>
                <w:rFonts w:asciiTheme="majorBidi" w:hAnsiTheme="majorBidi" w:cstheme="majorBidi"/>
                <w:b/>
                <w:bCs/>
                <w:sz w:val="24"/>
                <w:szCs w:val="24"/>
              </w:rPr>
              <w:t xml:space="preserve"> FCF</w:t>
            </w:r>
            <w:r w:rsidR="00542C26" w:rsidRPr="000A1EE3">
              <w:rPr>
                <w:rFonts w:asciiTheme="majorBidi" w:hAnsiTheme="majorBidi" w:cstheme="majorBidi"/>
                <w:b/>
                <w:bCs/>
                <w:sz w:val="24"/>
                <w:szCs w:val="24"/>
              </w:rPr>
              <w:t>*</w:t>
            </w:r>
            <w:r w:rsidR="000A1EE3">
              <w:rPr>
                <w:rFonts w:asciiTheme="majorBidi" w:hAnsiTheme="majorBidi" w:cstheme="majorBidi"/>
                <w:b/>
                <w:bCs/>
                <w:sz w:val="24"/>
                <w:szCs w:val="24"/>
              </w:rPr>
              <w:t>KI</w:t>
            </w:r>
          </w:p>
        </w:tc>
      </w:tr>
    </w:tbl>
    <w:p w14:paraId="50274158" w14:textId="56B022B4" w:rsidR="001851FA" w:rsidRPr="005279AA" w:rsidRDefault="00494056" w:rsidP="00BF76D1">
      <w:pPr>
        <w:pStyle w:val="ListParagraph"/>
        <w:tabs>
          <w:tab w:val="left" w:pos="1701"/>
        </w:tabs>
        <w:spacing w:line="480" w:lineRule="auto"/>
        <w:ind w:left="1080" w:firstLine="621"/>
        <w:jc w:val="both"/>
        <w:rPr>
          <w:rFonts w:asciiTheme="majorBidi" w:hAnsiTheme="majorBidi" w:cstheme="majorBidi"/>
          <w:sz w:val="24"/>
          <w:szCs w:val="24"/>
          <w:lang w:val="id-ID"/>
        </w:rPr>
      </w:pPr>
      <w:r w:rsidRPr="005279AA">
        <w:rPr>
          <w:rFonts w:asciiTheme="majorBidi" w:hAnsiTheme="majorBidi" w:cstheme="majorBidi"/>
          <w:sz w:val="24"/>
          <w:szCs w:val="24"/>
        </w:rPr>
        <w:t>Dari persamaan regresi yang diperoleh diatas maka dapat diartikan bahwa:</w:t>
      </w:r>
    </w:p>
    <w:p w14:paraId="64D2578B" w14:textId="0698CE61" w:rsidR="00943362" w:rsidRPr="005279AA" w:rsidRDefault="00723312" w:rsidP="00BF76D1">
      <w:pPr>
        <w:pStyle w:val="ListParagraph"/>
        <w:numPr>
          <w:ilvl w:val="0"/>
          <w:numId w:val="60"/>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rPr>
        <w:t xml:space="preserve">Pengujian signifikasi koefesien regresi moderasi pengaruh profitabilitas terhadap kebijakan dividen dengan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sebagai variabel moderasi pada perusahaan sektor </w:t>
      </w:r>
      <w:r w:rsidR="00247467"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diperoleh</w:t>
      </w:r>
      <w:r w:rsidR="004A4F02">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nilai sig 0,000.</w:t>
      </w:r>
      <w:r w:rsidR="004A4F02">
        <w:rPr>
          <w:rFonts w:asciiTheme="majorBidi" w:eastAsiaTheme="minorEastAsia" w:hAnsiTheme="majorBidi" w:cstheme="majorBidi"/>
          <w:iCs/>
          <w:sz w:val="24"/>
          <w:szCs w:val="24"/>
        </w:rPr>
        <w:t xml:space="preserve"> Dengan demikian nilai sig 0,000 &lt; 0,05, m</w:t>
      </w:r>
      <w:r w:rsidRPr="005279AA">
        <w:rPr>
          <w:rFonts w:asciiTheme="majorBidi" w:eastAsiaTheme="minorEastAsia" w:hAnsiTheme="majorBidi" w:cstheme="majorBidi"/>
          <w:iCs/>
          <w:sz w:val="24"/>
          <w:szCs w:val="24"/>
        </w:rPr>
        <w:t xml:space="preserve">aka dapat diartikan bahwa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w:t>
      </w:r>
      <w:r w:rsidR="003C01A4">
        <w:rPr>
          <w:rFonts w:asciiTheme="majorBidi" w:eastAsiaTheme="minorEastAsia" w:hAnsiTheme="majorBidi" w:cstheme="majorBidi"/>
          <w:iCs/>
          <w:sz w:val="24"/>
          <w:szCs w:val="24"/>
        </w:rPr>
        <w:t xml:space="preserve">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rPr>
        <w:t xml:space="preserve">memoderasi pengaruh profitabilitas terhadap kebijakan dividen pada perusahaan sektor </w:t>
      </w:r>
      <w:r w:rsidR="00247467" w:rsidRPr="005279AA">
        <w:rPr>
          <w:rFonts w:asciiTheme="majorBidi" w:eastAsiaTheme="minorEastAsia" w:hAnsiTheme="majorBidi" w:cstheme="majorBidi"/>
          <w:i/>
          <w:sz w:val="24"/>
          <w:szCs w:val="24"/>
        </w:rPr>
        <w:t>consumer non cyclical</w:t>
      </w:r>
      <w:r w:rsidR="00247467"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w:t>
      </w:r>
    </w:p>
    <w:p w14:paraId="6CD448FA" w14:textId="4E71E7DD" w:rsidR="00723312" w:rsidRPr="005279AA" w:rsidRDefault="00723312" w:rsidP="00BF76D1">
      <w:pPr>
        <w:pStyle w:val="ListParagraph"/>
        <w:numPr>
          <w:ilvl w:val="0"/>
          <w:numId w:val="60"/>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rPr>
        <w:t xml:space="preserve">Pengujian signifikasi koefesien regresi moderasi pengaruh likuiditas terhadap kebijakan dividen dengan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sebagai variabel moderasi pada perusahaan sektor </w:t>
      </w:r>
      <w:r w:rsidR="00247467" w:rsidRPr="005279AA">
        <w:rPr>
          <w:rFonts w:asciiTheme="majorBidi" w:eastAsiaTheme="minorEastAsia" w:hAnsiTheme="majorBidi" w:cstheme="majorBidi"/>
          <w:i/>
          <w:sz w:val="24"/>
          <w:szCs w:val="24"/>
        </w:rPr>
        <w:t>consumer non cyclical</w:t>
      </w:r>
      <w:r w:rsidR="00247467"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 diperoleh nilai sig 0,549</w:t>
      </w:r>
      <w:r w:rsidR="004A4F02">
        <w:rPr>
          <w:rFonts w:asciiTheme="majorBidi" w:eastAsiaTheme="minorEastAsia" w:hAnsiTheme="majorBidi" w:cstheme="majorBidi"/>
          <w:iCs/>
          <w:sz w:val="24"/>
          <w:szCs w:val="24"/>
        </w:rPr>
        <w:t>. Dengan demikian nilai sig 0,549 &gt; 0,05, m</w:t>
      </w:r>
      <w:r w:rsidRPr="005279AA">
        <w:rPr>
          <w:rFonts w:asciiTheme="majorBidi" w:eastAsiaTheme="minorEastAsia" w:hAnsiTheme="majorBidi" w:cstheme="majorBidi"/>
          <w:iCs/>
          <w:sz w:val="24"/>
          <w:szCs w:val="24"/>
        </w:rPr>
        <w:t xml:space="preserve">aka dapat diartikan bahwa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tidak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rPr>
        <w:t xml:space="preserve">memoderasi pengaruh likuiditas terhadap kebijakan dividen pada perusahaan sektor </w:t>
      </w:r>
      <w:r w:rsidR="00B54430"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w:t>
      </w:r>
    </w:p>
    <w:p w14:paraId="26C0727F" w14:textId="045790E3" w:rsidR="00723312" w:rsidRPr="005279AA" w:rsidRDefault="00723312" w:rsidP="00BF76D1">
      <w:pPr>
        <w:pStyle w:val="ListParagraph"/>
        <w:numPr>
          <w:ilvl w:val="0"/>
          <w:numId w:val="60"/>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rPr>
        <w:lastRenderedPageBreak/>
        <w:t xml:space="preserve">Pengujian signifikasi koefesien regresi moderasi pengaruh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terhadap kebijakan dividen dengan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sebagai variabel moderasi pada perusahaan sektor </w:t>
      </w:r>
      <w:r w:rsidR="004A4F02" w:rsidRPr="005279AA">
        <w:rPr>
          <w:rFonts w:asciiTheme="majorBidi" w:eastAsiaTheme="minorEastAsia" w:hAnsiTheme="majorBidi" w:cstheme="majorBidi"/>
          <w:i/>
          <w:sz w:val="24"/>
          <w:szCs w:val="24"/>
        </w:rPr>
        <w:t>consumer non cyclical</w:t>
      </w:r>
      <w:r w:rsidR="004A4F02"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 xml:space="preserve">ahun 2019-2023 diperoleh nilai sig 0,729. </w:t>
      </w:r>
      <w:r w:rsidR="004A4F02">
        <w:rPr>
          <w:rFonts w:asciiTheme="majorBidi" w:eastAsiaTheme="minorEastAsia" w:hAnsiTheme="majorBidi" w:cstheme="majorBidi"/>
          <w:iCs/>
          <w:sz w:val="24"/>
          <w:szCs w:val="24"/>
        </w:rPr>
        <w:t>Dengan demikian nilai sig 0,729 &gt; 0,05, m</w:t>
      </w:r>
      <w:r w:rsidRPr="005279AA">
        <w:rPr>
          <w:rFonts w:asciiTheme="majorBidi" w:eastAsiaTheme="minorEastAsia" w:hAnsiTheme="majorBidi" w:cstheme="majorBidi"/>
          <w:iCs/>
          <w:sz w:val="24"/>
          <w:szCs w:val="24"/>
        </w:rPr>
        <w:t xml:space="preserve">aka dapat diartikan bahwa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w:t>
      </w:r>
      <w:r w:rsidR="003C01A4">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tidak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rPr>
        <w:t xml:space="preserve">memoderasi pengaruh </w:t>
      </w:r>
      <w:r w:rsidR="007A6644" w:rsidRPr="005279AA">
        <w:rPr>
          <w:rFonts w:asciiTheme="majorBidi" w:eastAsiaTheme="minorEastAsia" w:hAnsiTheme="majorBidi" w:cstheme="majorBidi"/>
          <w:i/>
          <w:sz w:val="24"/>
          <w:szCs w:val="24"/>
        </w:rPr>
        <w:t>leverage</w:t>
      </w:r>
      <w:r w:rsidR="007A6644"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terhadap kebijakan dividen pada perusahaan sektor </w:t>
      </w:r>
      <w:r w:rsidR="00B54430" w:rsidRPr="00B54430">
        <w:rPr>
          <w:rFonts w:asciiTheme="majorBidi" w:eastAsiaTheme="minorEastAsia" w:hAnsiTheme="majorBidi" w:cstheme="majorBidi"/>
          <w:i/>
          <w:sz w:val="24"/>
          <w:szCs w:val="24"/>
        </w:rPr>
        <w:t>consumer non cyclical</w:t>
      </w:r>
      <w:r w:rsidR="00B54430"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w:t>
      </w:r>
    </w:p>
    <w:p w14:paraId="2C8EB0DE" w14:textId="409FAE8D" w:rsidR="00F44BA4" w:rsidRPr="00522632" w:rsidRDefault="007A6644" w:rsidP="00BF76D1">
      <w:pPr>
        <w:pStyle w:val="ListParagraph"/>
        <w:numPr>
          <w:ilvl w:val="0"/>
          <w:numId w:val="60"/>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rPr>
        <w:t xml:space="preserve">Pengujian signifikasi koefesien regresi moderasi pengaruh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(FCF) terhadap kebijakan dividen dengan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sebagai variabel moderasi pada perusahaan sektor </w:t>
      </w:r>
      <w:r w:rsidR="004A4F02" w:rsidRPr="005279AA">
        <w:rPr>
          <w:rFonts w:asciiTheme="majorBidi" w:eastAsiaTheme="minorEastAsia" w:hAnsiTheme="majorBidi" w:cstheme="majorBidi"/>
          <w:i/>
          <w:sz w:val="24"/>
          <w:szCs w:val="24"/>
        </w:rPr>
        <w:t>consumer non cyclical</w:t>
      </w:r>
      <w:r w:rsidR="004A4F02"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 xml:space="preserve">ahun 2019-2023 diperoleh nilai sig 0,017. </w:t>
      </w:r>
      <w:r w:rsidR="004A4F02">
        <w:rPr>
          <w:rFonts w:asciiTheme="majorBidi" w:eastAsiaTheme="minorEastAsia" w:hAnsiTheme="majorBidi" w:cstheme="majorBidi"/>
          <w:iCs/>
          <w:sz w:val="24"/>
          <w:szCs w:val="24"/>
        </w:rPr>
        <w:t>Dengan demikian nilai sig 0,017 &lt; 0,05, m</w:t>
      </w:r>
      <w:r w:rsidRPr="005279AA">
        <w:rPr>
          <w:rFonts w:asciiTheme="majorBidi" w:eastAsiaTheme="minorEastAsia" w:hAnsiTheme="majorBidi" w:cstheme="majorBidi"/>
          <w:iCs/>
          <w:sz w:val="24"/>
          <w:szCs w:val="24"/>
        </w:rPr>
        <w:t xml:space="preserve">aka dapat diartikan bahwa </w:t>
      </w:r>
      <w:r w:rsidRPr="005279AA">
        <w:rPr>
          <w:rFonts w:asciiTheme="majorBidi" w:eastAsiaTheme="minorEastAsia" w:hAnsiTheme="majorBidi" w:cstheme="majorBidi"/>
          <w:i/>
          <w:sz w:val="24"/>
          <w:szCs w:val="24"/>
        </w:rPr>
        <w:t>Good Corporate Governance</w:t>
      </w:r>
      <w:r w:rsidRPr="005279AA">
        <w:rPr>
          <w:rFonts w:asciiTheme="majorBidi" w:eastAsiaTheme="minorEastAsia" w:hAnsiTheme="majorBidi" w:cstheme="majorBidi"/>
          <w:iCs/>
          <w:sz w:val="24"/>
          <w:szCs w:val="24"/>
        </w:rPr>
        <w:t xml:space="preserve"> (GCG) </w:t>
      </w:r>
      <w:r w:rsidR="00522632">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rPr>
        <w:t xml:space="preserve">memoderasi pengaruh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(FCF) terhadap kebijakan dividen pada perusahaan sektor </w:t>
      </w:r>
      <w:r w:rsidR="00B54430" w:rsidRPr="005279AA">
        <w:rPr>
          <w:rFonts w:asciiTheme="majorBidi" w:eastAsiaTheme="minorEastAsia" w:hAnsiTheme="majorBidi" w:cstheme="majorBidi"/>
          <w:i/>
          <w:sz w:val="24"/>
          <w:szCs w:val="24"/>
        </w:rPr>
        <w:t>consumer non cyclical</w:t>
      </w:r>
      <w:r w:rsidR="00B54430" w:rsidRPr="005279AA">
        <w:rPr>
          <w:rFonts w:asciiTheme="majorBidi" w:eastAsiaTheme="minorEastAsia" w:hAnsiTheme="majorBidi" w:cstheme="majorBidi"/>
          <w:iCs/>
          <w:sz w:val="24"/>
          <w:szCs w:val="24"/>
        </w:rPr>
        <w:t xml:space="preserve">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ahun 2019-2023</w:t>
      </w:r>
      <w:r w:rsidR="00526FE3" w:rsidRPr="005279AA">
        <w:rPr>
          <w:rFonts w:asciiTheme="majorBidi" w:eastAsiaTheme="minorEastAsia" w:hAnsiTheme="majorBidi" w:cstheme="majorBidi"/>
          <w:iCs/>
          <w:sz w:val="24"/>
          <w:szCs w:val="24"/>
        </w:rPr>
        <w:t>.</w:t>
      </w:r>
    </w:p>
    <w:p w14:paraId="2DF02214" w14:textId="77777777" w:rsidR="00522632" w:rsidRPr="00522632" w:rsidRDefault="00522632" w:rsidP="00BF76D1">
      <w:pPr>
        <w:pStyle w:val="ListParagraph"/>
        <w:tabs>
          <w:tab w:val="left" w:pos="1701"/>
        </w:tabs>
        <w:spacing w:line="480" w:lineRule="auto"/>
        <w:ind w:left="1440"/>
        <w:jc w:val="both"/>
        <w:rPr>
          <w:rFonts w:asciiTheme="majorBidi" w:eastAsiaTheme="minorEastAsia" w:hAnsiTheme="majorBidi" w:cstheme="majorBidi"/>
          <w:iCs/>
          <w:sz w:val="24"/>
          <w:szCs w:val="24"/>
          <w:lang w:val="id-ID"/>
        </w:rPr>
      </w:pPr>
    </w:p>
    <w:p w14:paraId="1E5EC5BE" w14:textId="7702D1EE" w:rsidR="001C66FF" w:rsidRPr="00906F1F" w:rsidRDefault="001C66FF" w:rsidP="00BF76D1">
      <w:pPr>
        <w:pStyle w:val="ListParagraph"/>
        <w:numPr>
          <w:ilvl w:val="0"/>
          <w:numId w:val="41"/>
        </w:numPr>
        <w:tabs>
          <w:tab w:val="left" w:pos="1701"/>
        </w:tabs>
        <w:spacing w:line="480" w:lineRule="auto"/>
        <w:jc w:val="both"/>
        <w:rPr>
          <w:rFonts w:asciiTheme="majorBidi" w:eastAsiaTheme="minorEastAsia" w:hAnsiTheme="majorBidi" w:cstheme="majorBidi"/>
          <w:b/>
          <w:bCs/>
          <w:iCs/>
          <w:sz w:val="24"/>
          <w:szCs w:val="24"/>
        </w:rPr>
      </w:pPr>
      <w:r w:rsidRPr="00906F1F">
        <w:rPr>
          <w:rFonts w:asciiTheme="majorBidi" w:eastAsiaTheme="minorEastAsia" w:hAnsiTheme="majorBidi" w:cstheme="majorBidi"/>
          <w:b/>
          <w:bCs/>
          <w:iCs/>
          <w:sz w:val="24"/>
          <w:szCs w:val="24"/>
        </w:rPr>
        <w:t>Pembahasan</w:t>
      </w:r>
    </w:p>
    <w:p w14:paraId="745F6683" w14:textId="1C0D3ABE" w:rsidR="003969A3" w:rsidRPr="003969A3" w:rsidRDefault="00645511" w:rsidP="00BF76D1">
      <w:pPr>
        <w:pStyle w:val="ListParagraph"/>
        <w:numPr>
          <w:ilvl w:val="0"/>
          <w:numId w:val="51"/>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t>Pengaruh Profitabilitas Terhadap Kebijakan Dividen</w:t>
      </w:r>
    </w:p>
    <w:p w14:paraId="4B21DA6D" w14:textId="77777777" w:rsidR="003969A3" w:rsidRPr="002E07F5"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t>Profitabilitas merupakan rasio yang digunakan untuk melihat k</w:t>
      </w:r>
      <w:r w:rsidRPr="002E07F5">
        <w:rPr>
          <w:rFonts w:ascii="Times New Roman" w:eastAsia="SimSun" w:hAnsi="Times New Roman" w:cs="Times New Roman"/>
          <w:iCs/>
          <w:sz w:val="24"/>
          <w:szCs w:val="24"/>
        </w:rPr>
        <w:t>emampuan suatu perusahaan dalam menghasilkan laba untuk menunjang operasionalnya</w:t>
      </w:r>
      <w:r>
        <w:rPr>
          <w:rFonts w:ascii="Times New Roman" w:eastAsia="SimSun" w:hAnsi="Times New Roman" w:cs="Times New Roman"/>
          <w:iCs/>
          <w:sz w:val="24"/>
          <w:szCs w:val="24"/>
        </w:rPr>
        <w:t xml:space="preserve">. </w:t>
      </w:r>
      <w:r w:rsidRPr="002E07F5">
        <w:rPr>
          <w:rFonts w:ascii="Times New Roman" w:eastAsia="SimSun" w:hAnsi="Times New Roman" w:cs="Times New Roman"/>
          <w:iCs/>
          <w:sz w:val="24"/>
          <w:szCs w:val="24"/>
        </w:rPr>
        <w:t>Penjualan dan aset operasional perusahaan</w:t>
      </w:r>
      <w:r>
        <w:rPr>
          <w:rFonts w:ascii="Times New Roman" w:eastAsia="SimSun" w:hAnsi="Times New Roman" w:cs="Times New Roman"/>
          <w:iCs/>
          <w:sz w:val="24"/>
          <w:szCs w:val="24"/>
        </w:rPr>
        <w:t xml:space="preserve"> </w:t>
      </w:r>
      <w:r w:rsidRPr="002E07F5">
        <w:rPr>
          <w:rFonts w:ascii="Times New Roman" w:eastAsia="SimSun" w:hAnsi="Times New Roman" w:cs="Times New Roman"/>
          <w:iCs/>
          <w:sz w:val="24"/>
          <w:szCs w:val="24"/>
        </w:rPr>
        <w:t xml:space="preserve">dapat digunakan </w:t>
      </w:r>
      <w:r w:rsidRPr="002E07F5">
        <w:rPr>
          <w:rFonts w:ascii="Times New Roman" w:eastAsia="SimSun" w:hAnsi="Times New Roman" w:cs="Times New Roman"/>
          <w:iCs/>
          <w:sz w:val="24"/>
          <w:szCs w:val="24"/>
        </w:rPr>
        <w:lastRenderedPageBreak/>
        <w:t>untuk menghitung rasio profitabilitas</w:t>
      </w:r>
      <w:r>
        <w:rPr>
          <w:rFonts w:ascii="Times New Roman" w:eastAsia="SimSun" w:hAnsi="Times New Roman" w:cs="Times New Roman"/>
          <w:iCs/>
          <w:sz w:val="24"/>
          <w:szCs w:val="24"/>
        </w:rPr>
        <w:t xml:space="preserve"> </w:t>
      </w:r>
      <w:r w:rsidRPr="002E07F5">
        <w:rPr>
          <w:rFonts w:ascii="Times New Roman" w:eastAsia="SimSun" w:hAnsi="Times New Roman" w:cs="Times New Roman"/>
          <w:iCs/>
          <w:sz w:val="24"/>
          <w:szCs w:val="24"/>
        </w:rPr>
        <w:fldChar w:fldCharType="begin" w:fldLock="1"/>
      </w:r>
      <w:r w:rsidRPr="002E07F5">
        <w:rPr>
          <w:rFonts w:ascii="Times New Roman" w:eastAsia="SimSun" w:hAnsi="Times New Roman" w:cs="Times New Roman"/>
          <w:iCs/>
          <w:sz w:val="24"/>
          <w:szCs w:val="24"/>
        </w:rPr>
        <w:instrText>ADDIN CSL_CITATION {"citationItems":[{"id":"ITEM-1","itemData":{"author":[{"dropping-particle":"","family":"Noviyana","given":"Nabilla","non-dropping-particle":"","parse-names":false,"suffix":""},{"dropping-particle":"","family":"Rahayu","given":"Yuliastuti","non-dropping-particle":"","parse-names":false,"suffix":""}],"container-title":"Jurnal Ilmu dan Riset Akuntansi","id":"ITEM-1","issued":{"date-parts":[["2021"]]},"title":"PENGARUH FIRM SIZE, INVESTMENT OPPORTUNITY SET (IOS), PROFITABILITAS, DAN LIKUIDITAS TERHADAP KEBIJAKAN DIVIDEN PERUSAHAAN","type":"article-journal","volume":"Volume 10,"},"uris":["http://www.mendeley.com/documents/?uuid=f41b686f-1f44-4597-b67f-ab5ba2486f33"]}],"mendeley":{"formattedCitation":"(Noviyana &amp; Rahayu, 2021)","manualFormatting":"(Noviyana &amp; Rahayu, 2021:7)","plainTextFormattedCitation":"(Noviyana &amp; Rahayu, 2021)","previouslyFormattedCitation":"(Noviyana &amp; Rahayu, 2021)"},"properties":{"noteIndex":0},"schema":"https://github.com/citation-style-language/schema/raw/master/csl-citation.json"}</w:instrText>
      </w:r>
      <w:r w:rsidRPr="002E07F5">
        <w:rPr>
          <w:rFonts w:ascii="Times New Roman" w:eastAsia="SimSun" w:hAnsi="Times New Roman" w:cs="Times New Roman"/>
          <w:iCs/>
          <w:sz w:val="24"/>
          <w:szCs w:val="24"/>
        </w:rPr>
        <w:fldChar w:fldCharType="separate"/>
      </w:r>
      <w:r w:rsidRPr="002E07F5">
        <w:rPr>
          <w:rFonts w:ascii="Times New Roman" w:eastAsia="SimSun" w:hAnsi="Times New Roman" w:cs="Times New Roman"/>
          <w:iCs/>
          <w:noProof/>
          <w:sz w:val="24"/>
          <w:szCs w:val="24"/>
        </w:rPr>
        <w:t>(Noviyana &amp; Rahayu, 2021:7)</w:t>
      </w:r>
      <w:r w:rsidRPr="002E07F5">
        <w:rPr>
          <w:rFonts w:ascii="Times New Roman" w:eastAsia="SimSun" w:hAnsi="Times New Roman" w:cs="Times New Roman"/>
          <w:iCs/>
          <w:sz w:val="24"/>
          <w:szCs w:val="24"/>
        </w:rPr>
        <w:fldChar w:fldCharType="end"/>
      </w:r>
      <w:r w:rsidRPr="002E07F5">
        <w:rPr>
          <w:rFonts w:ascii="Times New Roman" w:eastAsia="SimSun" w:hAnsi="Times New Roman" w:cs="Times New Roman"/>
          <w:iCs/>
          <w:sz w:val="24"/>
          <w:szCs w:val="24"/>
        </w:rPr>
        <w:t xml:space="preserve">. Dalam penelitian ini menggunakan proksi </w:t>
      </w:r>
      <w:r w:rsidRPr="002E07F5">
        <w:rPr>
          <w:rFonts w:ascii="Times New Roman" w:eastAsia="SimSun" w:hAnsi="Times New Roman" w:cs="Times New Roman"/>
          <w:i/>
          <w:sz w:val="24"/>
          <w:szCs w:val="24"/>
        </w:rPr>
        <w:t>Return on Asset</w:t>
      </w:r>
      <w:r w:rsidRPr="002E07F5">
        <w:rPr>
          <w:rFonts w:ascii="Times New Roman" w:eastAsia="SimSun" w:hAnsi="Times New Roman" w:cs="Times New Roman"/>
          <w:iCs/>
          <w:sz w:val="24"/>
          <w:szCs w:val="24"/>
        </w:rPr>
        <w:t xml:space="preserve"> (ROA), ROA dapat digunakan untuk menilai seberapa baik suatu </w:t>
      </w:r>
      <w:r>
        <w:rPr>
          <w:rFonts w:ascii="Times New Roman" w:eastAsia="SimSun" w:hAnsi="Times New Roman" w:cs="Times New Roman"/>
          <w:iCs/>
          <w:sz w:val="24"/>
          <w:szCs w:val="24"/>
        </w:rPr>
        <w:t xml:space="preserve">usaha </w:t>
      </w:r>
      <w:r w:rsidRPr="002E07F5">
        <w:rPr>
          <w:rFonts w:ascii="Times New Roman" w:eastAsia="SimSun" w:hAnsi="Times New Roman" w:cs="Times New Roman"/>
          <w:iCs/>
          <w:sz w:val="24"/>
          <w:szCs w:val="24"/>
        </w:rPr>
        <w:t xml:space="preserve">menggunakan seluruh sumber dayanya untuk menghasilkan keuntungan. </w:t>
      </w:r>
      <w:r w:rsidRPr="002E07F5">
        <w:rPr>
          <w:rFonts w:ascii="Times New Roman" w:eastAsia="SimSun" w:hAnsi="Times New Roman" w:cs="Times New Roman"/>
          <w:i/>
          <w:sz w:val="24"/>
          <w:szCs w:val="24"/>
        </w:rPr>
        <w:t>Return on Asset</w:t>
      </w:r>
      <w:r w:rsidRPr="002E07F5">
        <w:rPr>
          <w:rFonts w:ascii="Times New Roman" w:eastAsia="SimSun" w:hAnsi="Times New Roman" w:cs="Times New Roman"/>
          <w:iCs/>
          <w:sz w:val="24"/>
          <w:szCs w:val="24"/>
        </w:rPr>
        <w:t xml:space="preserve"> (ROA) sangat membantu manajemen perusahaan dalam mengevaluasi efisiensi dan produktivitas manajemen dalam mengelola seluruh sumber daya perusahaan </w:t>
      </w:r>
      <w:r w:rsidRPr="002E07F5">
        <w:rPr>
          <w:rFonts w:ascii="Times New Roman" w:eastAsia="SimSun" w:hAnsi="Times New Roman" w:cs="Times New Roman"/>
          <w:iCs/>
          <w:sz w:val="24"/>
          <w:szCs w:val="24"/>
        </w:rPr>
        <w:fldChar w:fldCharType="begin" w:fldLock="1"/>
      </w:r>
      <w:r w:rsidRPr="002E07F5">
        <w:rPr>
          <w:rFonts w:ascii="Times New Roman" w:eastAsia="SimSun" w:hAnsi="Times New Roman" w:cs="Times New Roman"/>
          <w:iCs/>
          <w:sz w:val="24"/>
          <w:szCs w:val="24"/>
        </w:rPr>
        <w:instrText>ADDIN CSL_CITATION {"citationItems":[{"id":"ITEM-1","itemData":{"DOI":"10.47467/alkharaj.v4i3.749","author":[{"dropping-particle":"","family":"Hidayat","given":"Dicky","non-dropping-particle":"","parse-names":false,"suffix":""},{"dropping-particle":"","family":"Hermuningsih","given":"Sri","non-dropping-particle":"","parse-names":false,"suffix":""},{"dropping-particle":"","family":"Maulida","given":"Alfiatul","non-dropping-particle":"","parse-names":false,"suffix":""}],"container-title":"Al-Kharaj: Jurnal Ekonomi, Keuangan &amp; Bisnis Syariah","id":"ITEM-1","issue":"3","issued":{"date-parts":[["2022"]]},"page":"895-913","title":"Pengaruh Profitabilitas, Likuiditas, Leverage, dan Ukuran Perusahaan terhadap Kebijakan Dividen: Studi Kasus pada Perusahaan Sub Sektor Consumer Goods Industry yang terdaftar di BEI Periode 2016-2020","type":"article-journal","volume":"4"},"uris":["http://www.mendeley.com/documents/?uuid=0bc3d95d-dbd5-47b2-8afe-c47f9b971174"]}],"mendeley":{"formattedCitation":"(Hidayat et al., 2022)","manualFormatting":"(Hidayat et al., 2022:897)","plainTextFormattedCitation":"(Hidayat et al., 2022)","previouslyFormattedCitation":"(Hidayat et al., 2022)"},"properties":{"noteIndex":0},"schema":"https://github.com/citation-style-language/schema/raw/master/csl-citation.json"}</w:instrText>
      </w:r>
      <w:r w:rsidRPr="002E07F5">
        <w:rPr>
          <w:rFonts w:ascii="Times New Roman" w:eastAsia="SimSun" w:hAnsi="Times New Roman" w:cs="Times New Roman"/>
          <w:iCs/>
          <w:sz w:val="24"/>
          <w:szCs w:val="24"/>
        </w:rPr>
        <w:fldChar w:fldCharType="separate"/>
      </w:r>
      <w:r w:rsidRPr="002E07F5">
        <w:rPr>
          <w:rFonts w:ascii="Times New Roman" w:eastAsia="SimSun" w:hAnsi="Times New Roman" w:cs="Times New Roman"/>
          <w:iCs/>
          <w:noProof/>
          <w:sz w:val="24"/>
          <w:szCs w:val="24"/>
        </w:rPr>
        <w:t>(Hidayat et al., 2022:897)</w:t>
      </w:r>
      <w:r w:rsidRPr="002E07F5">
        <w:rPr>
          <w:rFonts w:ascii="Times New Roman" w:eastAsia="SimSun" w:hAnsi="Times New Roman" w:cs="Times New Roman"/>
          <w:iCs/>
          <w:sz w:val="24"/>
          <w:szCs w:val="24"/>
        </w:rPr>
        <w:fldChar w:fldCharType="end"/>
      </w:r>
      <w:r w:rsidRPr="002E07F5">
        <w:rPr>
          <w:rFonts w:ascii="Times New Roman" w:eastAsia="SimSun" w:hAnsi="Times New Roman" w:cs="Times New Roman"/>
          <w:iCs/>
          <w:sz w:val="24"/>
          <w:szCs w:val="24"/>
        </w:rPr>
        <w:t xml:space="preserve">. </w:t>
      </w:r>
    </w:p>
    <w:p w14:paraId="5DCAE0E0" w14:textId="2CBED91E" w:rsidR="003969A3" w:rsidRPr="003969A3"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Perusahaan akan menghasilkan laba yang optimum jika dapat meningkatkan profitabilitasnya, kemampuan suatu usaha untuk menghasilkan laba akan meningkat seiring dengan semakin tingginya rasio </w:t>
      </w:r>
      <w:r>
        <w:rPr>
          <w:rFonts w:ascii="Times New Roman" w:eastAsia="SimSun" w:hAnsi="Times New Roman" w:cs="Times New Roman"/>
          <w:i/>
          <w:sz w:val="24"/>
          <w:szCs w:val="24"/>
        </w:rPr>
        <w:t>Return on Asset</w:t>
      </w:r>
      <w:r>
        <w:rPr>
          <w:rFonts w:ascii="Times New Roman" w:eastAsia="SimSun" w:hAnsi="Times New Roman" w:cs="Times New Roman"/>
          <w:iCs/>
          <w:sz w:val="24"/>
          <w:szCs w:val="24"/>
        </w:rPr>
        <w:t xml:space="preserve"> (ROA). </w:t>
      </w:r>
      <w:r w:rsidRPr="002E07F5">
        <w:rPr>
          <w:rFonts w:ascii="Times New Roman" w:eastAsia="SimSun" w:hAnsi="Times New Roman" w:cs="Times New Roman"/>
          <w:iCs/>
          <w:sz w:val="24"/>
          <w:szCs w:val="24"/>
        </w:rPr>
        <w:t xml:space="preserve">Kebijakan dividen suatu perusahaan cenderung </w:t>
      </w:r>
      <w:r>
        <w:rPr>
          <w:rFonts w:ascii="Times New Roman" w:eastAsia="SimSun" w:hAnsi="Times New Roman" w:cs="Times New Roman"/>
          <w:iCs/>
          <w:sz w:val="24"/>
          <w:szCs w:val="24"/>
        </w:rPr>
        <w:t xml:space="preserve">meningkat </w:t>
      </w:r>
      <w:r w:rsidRPr="002E07F5">
        <w:rPr>
          <w:rFonts w:ascii="Times New Roman" w:eastAsia="SimSun" w:hAnsi="Times New Roman" w:cs="Times New Roman"/>
          <w:iCs/>
          <w:sz w:val="24"/>
          <w:szCs w:val="24"/>
        </w:rPr>
        <w:t xml:space="preserve">sebagai respons terhadap peningkatan profitabilitas yang terlihat dari peningkatan rasio </w:t>
      </w:r>
      <w:r w:rsidRPr="002E07F5">
        <w:rPr>
          <w:rFonts w:ascii="Times New Roman" w:eastAsia="SimSun" w:hAnsi="Times New Roman" w:cs="Times New Roman"/>
          <w:i/>
          <w:sz w:val="24"/>
          <w:szCs w:val="24"/>
        </w:rPr>
        <w:t>Return on Asset</w:t>
      </w:r>
      <w:r w:rsidRPr="002E07F5">
        <w:rPr>
          <w:rFonts w:ascii="Times New Roman" w:eastAsia="SimSun" w:hAnsi="Times New Roman" w:cs="Times New Roman"/>
          <w:iCs/>
          <w:sz w:val="24"/>
          <w:szCs w:val="24"/>
        </w:rPr>
        <w:t xml:space="preserve"> (ROA) dan peningkatan </w:t>
      </w:r>
      <w:r w:rsidRPr="002E07F5">
        <w:rPr>
          <w:rFonts w:ascii="Times New Roman" w:eastAsia="SimSun" w:hAnsi="Times New Roman" w:cs="Times New Roman"/>
          <w:i/>
          <w:sz w:val="24"/>
          <w:szCs w:val="24"/>
        </w:rPr>
        <w:t>Dividend Payout Ratio</w:t>
      </w:r>
      <w:r w:rsidRPr="002E07F5">
        <w:rPr>
          <w:rFonts w:ascii="Times New Roman" w:eastAsia="SimSun" w:hAnsi="Times New Roman" w:cs="Times New Roman"/>
          <w:iCs/>
          <w:sz w:val="24"/>
          <w:szCs w:val="24"/>
        </w:rPr>
        <w:t xml:space="preserve"> (DPR)</w:t>
      </w:r>
      <w:r>
        <w:rPr>
          <w:rFonts w:ascii="Times New Roman" w:eastAsia="SimSun" w:hAnsi="Times New Roman" w:cs="Times New Roman"/>
          <w:iCs/>
          <w:sz w:val="24"/>
          <w:szCs w:val="24"/>
        </w:rPr>
        <w:t xml:space="preserve">. Sehingga dana yang tersedia dalam perusahaan cenderung akan meningkat, serta dapat mengurangi fluktuatif dividen ataupun menjaga stabilitas pendistribusian dividen kepada pemegang saham perusahaan </w:t>
      </w:r>
      <w:r>
        <w:rPr>
          <w:rFonts w:ascii="Times New Roman" w:eastAsia="SimSun" w:hAnsi="Times New Roman" w:cs="Times New Roman"/>
          <w:iCs/>
          <w:sz w:val="24"/>
          <w:szCs w:val="24"/>
        </w:rPr>
        <w:fldChar w:fldCharType="begin" w:fldLock="1"/>
      </w:r>
      <w:r>
        <w:rPr>
          <w:rFonts w:ascii="Times New Roman" w:eastAsia="SimSun" w:hAnsi="Times New Roman" w:cs="Times New Roman"/>
          <w:iCs/>
          <w:sz w:val="24"/>
          <w:szCs w:val="24"/>
        </w:rPr>
        <w:instrText>ADDIN CSL_CITATION {"citationItems":[{"id":"ITEM-1","itemData":{"abstract":"Volatility of dividend policy in the Primary Consumer Goods sector companies even though their profitability levels tend to be stable, indicates that there are several other factors that influence management in determining the company's dividend policy. This study was conducted to analyze the effect of the independent variables, namely profitability, leverage, liquidity, and firm risk against the dependent variable, namely dividend policy in the IDX Primary Consumer Goods sector companies. Ordinary Least Square (OLS) Method was used to test the hypothesis with the IBM SPSS Statistics 25 program. The results showed that the ratio of return on assets (ROA) which is a proxy of the profitability variable and the Price/Earnings Ratio (PER) which is an inverse proxy of the firm’s business risk variable, has a significant positive effect on dividend policy which is proxied by the dividend payout ratio (DPR). The leverage variable as proxied by the debt-to-total-asset ratio (DAR) has a significant negative effect on the dividend payout ratio (DPR). The liquidity variable which is proxied by the current ratio (CR) has a positive and insignificant effect on the dividend payout ratio (DPR). Thus, it can be concluded that an increase in profitability in a company will have an effect on increasing the company's dividend policy. On the other hand, the increase in leverage and the firm risk will affect the decrease in the company's dividend policy","author":[{"dropping-particle":"","family":"Aghnitama","given":"Rivan Dwi","non-dropping-particle":"","parse-names":false,"suffix":""},{"dropping-particle":"","family":"Widyarti","given":"Endang Tri","non-dropping-particle":"","parse-names":false,"suffix":""}],"container-title":"Diponegoro Journal of Management","id":"ITEM-1","issued":{"date-parts":[["2023"]]},"page":"1-15","title":"Analisis Pengaruh Profitabilitas, Leverage, Likuiditas, dan Risiko Bisnis Perusahaan Terhadap Kebijakan Dividen","type":"article-journal","volume":"12"},"uris":["http://www.mendeley.com/documents/?uuid=6c3d39c9-a5f9-4f9e-8aef-71b505e6e92c"]}],"mendeley":{"formattedCitation":"(Aghnitama &amp; Widyarti, 2023)","manualFormatting":"(Aghnitama &amp; Widyarti, 2023:5)","plainTextFormattedCitation":"(Aghnitama &amp; Widyarti, 2023)","previouslyFormattedCitation":"(Aghnitama &amp; Widyarti, 2023)"},"properties":{"noteIndex":0},"schema":"https://github.com/citation-style-language/schema/raw/master/csl-citation.json"}</w:instrText>
      </w:r>
      <w:r>
        <w:rPr>
          <w:rFonts w:ascii="Times New Roman" w:eastAsia="SimSun" w:hAnsi="Times New Roman" w:cs="Times New Roman"/>
          <w:iCs/>
          <w:sz w:val="24"/>
          <w:szCs w:val="24"/>
        </w:rPr>
        <w:fldChar w:fldCharType="separate"/>
      </w:r>
      <w:r>
        <w:rPr>
          <w:rFonts w:ascii="Times New Roman" w:eastAsia="SimSun" w:hAnsi="Times New Roman" w:cs="Times New Roman"/>
          <w:iCs/>
          <w:noProof/>
          <w:sz w:val="24"/>
          <w:szCs w:val="24"/>
        </w:rPr>
        <w:t>(Aghnitama &amp; Widyarti, 2023:5)</w:t>
      </w:r>
      <w:r>
        <w:rPr>
          <w:rFonts w:ascii="Times New Roman" w:eastAsia="SimSun" w:hAnsi="Times New Roman" w:cs="Times New Roman"/>
          <w:iCs/>
          <w:sz w:val="24"/>
          <w:szCs w:val="24"/>
        </w:rPr>
        <w:fldChar w:fldCharType="end"/>
      </w:r>
      <w:r>
        <w:rPr>
          <w:rFonts w:ascii="Times New Roman" w:eastAsia="SimSun" w:hAnsi="Times New Roman" w:cs="Times New Roman"/>
          <w:iCs/>
          <w:sz w:val="24"/>
          <w:szCs w:val="24"/>
        </w:rPr>
        <w:t xml:space="preserve">. </w:t>
      </w:r>
    </w:p>
    <w:p w14:paraId="326ADAE9" w14:textId="6E950204" w:rsidR="006162D4" w:rsidRDefault="006373E9"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menunjukan bahwa rasio profitabilitas yang di proksikan menggunakan </w:t>
      </w:r>
      <w:r w:rsidRPr="005279AA">
        <w:rPr>
          <w:rFonts w:asciiTheme="majorBidi" w:eastAsiaTheme="minorEastAsia" w:hAnsiTheme="majorBidi" w:cstheme="majorBidi"/>
          <w:i/>
          <w:sz w:val="24"/>
          <w:szCs w:val="24"/>
        </w:rPr>
        <w:t>Return on Asset</w:t>
      </w:r>
      <w:r w:rsidRPr="005279AA">
        <w:rPr>
          <w:rFonts w:asciiTheme="majorBidi" w:eastAsiaTheme="minorEastAsia" w:hAnsiTheme="majorBidi" w:cstheme="majorBidi"/>
          <w:iCs/>
          <w:sz w:val="24"/>
          <w:szCs w:val="24"/>
        </w:rPr>
        <w:t xml:space="preserve"> </w:t>
      </w:r>
      <w:r w:rsidR="00177DF3" w:rsidRPr="005279AA">
        <w:rPr>
          <w:rFonts w:asciiTheme="majorBidi" w:eastAsiaTheme="minorEastAsia" w:hAnsiTheme="majorBidi" w:cstheme="majorBidi"/>
          <w:iCs/>
          <w:sz w:val="24"/>
          <w:szCs w:val="24"/>
        </w:rPr>
        <w:t xml:space="preserve">(ROA) </w:t>
      </w:r>
      <w:r w:rsidRPr="005279AA">
        <w:rPr>
          <w:rFonts w:asciiTheme="majorBidi" w:eastAsiaTheme="minorEastAsia" w:hAnsiTheme="majorBidi" w:cstheme="majorBidi"/>
          <w:iCs/>
          <w:sz w:val="24"/>
          <w:szCs w:val="24"/>
        </w:rPr>
        <w:t>berpengaruh</w:t>
      </w:r>
      <w:r w:rsidR="002C59C4">
        <w:rPr>
          <w:rFonts w:asciiTheme="majorBidi" w:eastAsiaTheme="minorEastAsia" w:hAnsiTheme="majorBidi" w:cstheme="majorBidi"/>
          <w:iCs/>
          <w:sz w:val="24"/>
          <w:szCs w:val="24"/>
        </w:rPr>
        <w:t xml:space="preserve"> positif</w:t>
      </w:r>
      <w:r w:rsidR="00AE1415">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terhadap kebijakan dividen pada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pada </w:t>
      </w:r>
      <w:r w:rsidR="004E6A54" w:rsidRPr="005279AA">
        <w:rPr>
          <w:rFonts w:asciiTheme="majorBidi" w:eastAsiaTheme="minorEastAsia" w:hAnsiTheme="majorBidi" w:cstheme="majorBidi"/>
          <w:iCs/>
          <w:sz w:val="24"/>
          <w:szCs w:val="24"/>
        </w:rPr>
        <w:t xml:space="preserve">Bursa Efek Indonesia </w:t>
      </w:r>
      <w:r w:rsidR="00C34EDF">
        <w:rPr>
          <w:rFonts w:asciiTheme="majorBidi" w:eastAsiaTheme="minorEastAsia" w:hAnsiTheme="majorBidi" w:cstheme="majorBidi"/>
          <w:iCs/>
          <w:sz w:val="24"/>
          <w:szCs w:val="24"/>
        </w:rPr>
        <w:t>t</w:t>
      </w:r>
      <w:r w:rsidRPr="005279AA">
        <w:rPr>
          <w:rFonts w:asciiTheme="majorBidi" w:eastAsiaTheme="minorEastAsia" w:hAnsiTheme="majorBidi" w:cstheme="majorBidi"/>
          <w:iCs/>
          <w:sz w:val="24"/>
          <w:szCs w:val="24"/>
        </w:rPr>
        <w:t xml:space="preserve">ahun 2019-2023. Hasil tersebut dibuktikan pada hasil pengujian secara parsial dimana </w:t>
      </w:r>
      <w:r w:rsidR="00434459" w:rsidRPr="005279AA">
        <w:rPr>
          <w:rFonts w:asciiTheme="majorBidi" w:hAnsiTheme="majorBidi" w:cstheme="majorBidi"/>
          <w:sz w:val="24"/>
          <w:szCs w:val="24"/>
        </w:rPr>
        <w:t>nilai t</w:t>
      </w:r>
      <w:r w:rsidR="00434459" w:rsidRPr="005279AA">
        <w:rPr>
          <w:rFonts w:asciiTheme="majorBidi" w:hAnsiTheme="majorBidi" w:cstheme="majorBidi"/>
          <w:sz w:val="24"/>
          <w:szCs w:val="24"/>
          <w:vertAlign w:val="subscript"/>
        </w:rPr>
        <w:t>hitung</w:t>
      </w:r>
      <w:r w:rsidR="00434459" w:rsidRPr="005279AA">
        <w:rPr>
          <w:rFonts w:asciiTheme="majorBidi" w:hAnsiTheme="majorBidi" w:cstheme="majorBidi"/>
          <w:sz w:val="24"/>
          <w:szCs w:val="24"/>
        </w:rPr>
        <w:t xml:space="preserve"> sebesar 5,293</w:t>
      </w:r>
      <w:r w:rsidR="004B0170" w:rsidRPr="005279AA">
        <w:rPr>
          <w:rFonts w:asciiTheme="majorBidi" w:hAnsiTheme="majorBidi" w:cstheme="majorBidi"/>
          <w:sz w:val="24"/>
          <w:szCs w:val="24"/>
        </w:rPr>
        <w:t xml:space="preserve"> </w:t>
      </w:r>
      <w:r w:rsidR="004B0170" w:rsidRPr="005279AA">
        <w:rPr>
          <w:rFonts w:asciiTheme="majorBidi" w:hAnsiTheme="majorBidi" w:cstheme="majorBidi"/>
          <w:sz w:val="24"/>
          <w:szCs w:val="24"/>
          <w:lang w:val="id-ID"/>
        </w:rPr>
        <w:t>sementara nilai t</w:t>
      </w:r>
      <w:r w:rsidR="004B0170" w:rsidRPr="005279AA">
        <w:rPr>
          <w:rFonts w:asciiTheme="majorBidi" w:hAnsiTheme="majorBidi" w:cstheme="majorBidi"/>
          <w:sz w:val="24"/>
          <w:szCs w:val="24"/>
          <w:vertAlign w:val="subscript"/>
          <w:lang w:val="id-ID"/>
        </w:rPr>
        <w:t>tabel</w:t>
      </w:r>
      <w:r w:rsidR="004B0170" w:rsidRPr="005279AA">
        <w:rPr>
          <w:rFonts w:asciiTheme="majorBidi" w:hAnsiTheme="majorBidi" w:cstheme="majorBidi"/>
          <w:sz w:val="24"/>
          <w:szCs w:val="24"/>
          <w:lang w:val="id-ID"/>
        </w:rPr>
        <w:t xml:space="preserve"> sebesar 1,994 yang artinya bahwa nilai t</w:t>
      </w:r>
      <w:r w:rsidR="004B0170" w:rsidRPr="005279AA">
        <w:rPr>
          <w:rFonts w:asciiTheme="majorBidi" w:hAnsiTheme="majorBidi" w:cstheme="majorBidi"/>
          <w:sz w:val="24"/>
          <w:szCs w:val="24"/>
          <w:vertAlign w:val="subscript"/>
          <w:lang w:val="id-ID"/>
        </w:rPr>
        <w:t>hitung</w:t>
      </w:r>
      <w:r w:rsidR="004B0170" w:rsidRPr="005279AA">
        <w:rPr>
          <w:rFonts w:asciiTheme="majorBidi" w:hAnsiTheme="majorBidi" w:cstheme="majorBidi"/>
          <w:sz w:val="24"/>
          <w:szCs w:val="24"/>
          <w:lang w:val="id-ID"/>
        </w:rPr>
        <w:t xml:space="preserve"> &gt; </w:t>
      </w:r>
      <w:r w:rsidR="004B0170" w:rsidRPr="005279AA">
        <w:rPr>
          <w:rFonts w:asciiTheme="majorBidi" w:hAnsiTheme="majorBidi" w:cstheme="majorBidi"/>
          <w:sz w:val="24"/>
          <w:szCs w:val="24"/>
          <w:lang w:val="id-ID"/>
        </w:rPr>
        <w:lastRenderedPageBreak/>
        <w:t>t</w:t>
      </w:r>
      <w:r w:rsidR="004B0170" w:rsidRPr="005279AA">
        <w:rPr>
          <w:rFonts w:asciiTheme="majorBidi" w:hAnsiTheme="majorBidi" w:cstheme="majorBidi"/>
          <w:sz w:val="24"/>
          <w:szCs w:val="24"/>
          <w:vertAlign w:val="subscript"/>
          <w:lang w:val="id-ID"/>
        </w:rPr>
        <w:t>tabel</w:t>
      </w:r>
      <w:r w:rsidR="004B0170" w:rsidRPr="005279AA">
        <w:rPr>
          <w:rFonts w:asciiTheme="majorBidi" w:hAnsiTheme="majorBidi" w:cstheme="majorBidi"/>
          <w:sz w:val="24"/>
          <w:szCs w:val="24"/>
          <w:lang w:val="id-ID"/>
        </w:rPr>
        <w:t xml:space="preserve"> atau 5,293 &gt; 1,994</w:t>
      </w:r>
      <w:r w:rsidR="00434459" w:rsidRPr="005279AA">
        <w:rPr>
          <w:rFonts w:asciiTheme="majorBidi" w:hAnsiTheme="majorBidi" w:cstheme="majorBidi"/>
          <w:sz w:val="24"/>
          <w:szCs w:val="24"/>
        </w:rPr>
        <w:t xml:space="preserve"> dan nilai signifikasi sebesar 0,000. Dengan nilai sig 0,000 &lt; 0,05 dapat diartikan bahwa Ho ditolak dan Ha diterima</w:t>
      </w:r>
      <w:r w:rsidR="00F81757" w:rsidRPr="005279AA">
        <w:rPr>
          <w:rFonts w:asciiTheme="majorBidi" w:hAnsiTheme="majorBidi" w:cstheme="majorBidi"/>
          <w:sz w:val="24"/>
          <w:szCs w:val="24"/>
        </w:rPr>
        <w:t xml:space="preserve">, </w:t>
      </w:r>
      <w:r w:rsidR="00434459" w:rsidRPr="005279AA">
        <w:rPr>
          <w:rFonts w:asciiTheme="majorBidi" w:hAnsiTheme="majorBidi" w:cstheme="majorBidi"/>
          <w:sz w:val="24"/>
          <w:szCs w:val="24"/>
        </w:rPr>
        <w:t>profitabilitas</w:t>
      </w:r>
      <w:r w:rsidR="00F81757" w:rsidRPr="005279AA">
        <w:rPr>
          <w:rFonts w:asciiTheme="majorBidi" w:hAnsiTheme="majorBidi" w:cstheme="majorBidi"/>
          <w:sz w:val="24"/>
          <w:szCs w:val="24"/>
        </w:rPr>
        <w:t xml:space="preserve"> berpengaruh</w:t>
      </w:r>
      <w:r w:rsidR="00522632">
        <w:rPr>
          <w:rFonts w:asciiTheme="majorBidi" w:hAnsiTheme="majorBidi" w:cstheme="majorBidi"/>
          <w:sz w:val="24"/>
          <w:szCs w:val="24"/>
        </w:rPr>
        <w:t xml:space="preserve"> positif</w:t>
      </w:r>
      <w:r w:rsidR="00434459" w:rsidRPr="005279AA">
        <w:rPr>
          <w:rFonts w:asciiTheme="majorBidi" w:hAnsiTheme="majorBidi" w:cstheme="majorBidi"/>
          <w:sz w:val="24"/>
          <w:szCs w:val="24"/>
        </w:rPr>
        <w:t xml:space="preserve"> terhadap kebijakan dividen pada </w:t>
      </w:r>
      <w:r w:rsidR="00434459" w:rsidRPr="005279AA">
        <w:rPr>
          <w:rFonts w:asciiTheme="majorBidi" w:hAnsiTheme="majorBidi" w:cstheme="majorBidi"/>
          <w:i/>
          <w:iCs/>
          <w:sz w:val="24"/>
          <w:szCs w:val="24"/>
        </w:rPr>
        <w:t>sektor consu</w:t>
      </w:r>
      <w:r w:rsidR="006162D4" w:rsidRPr="005279AA">
        <w:rPr>
          <w:rFonts w:asciiTheme="majorBidi" w:hAnsiTheme="majorBidi" w:cstheme="majorBidi"/>
          <w:i/>
          <w:iCs/>
          <w:sz w:val="24"/>
          <w:szCs w:val="24"/>
        </w:rPr>
        <w:t>m</w:t>
      </w:r>
      <w:r w:rsidR="00434459" w:rsidRPr="005279AA">
        <w:rPr>
          <w:rFonts w:asciiTheme="majorBidi" w:hAnsiTheme="majorBidi" w:cstheme="majorBidi"/>
          <w:i/>
          <w:iCs/>
          <w:sz w:val="24"/>
          <w:szCs w:val="24"/>
        </w:rPr>
        <w:t>er non cyclical</w:t>
      </w:r>
      <w:r w:rsidR="00434459" w:rsidRPr="005279AA">
        <w:rPr>
          <w:rFonts w:asciiTheme="majorBidi" w:hAnsiTheme="majorBidi" w:cstheme="majorBidi"/>
          <w:sz w:val="24"/>
          <w:szCs w:val="24"/>
        </w:rPr>
        <w:t xml:space="preserve"> yang terdaftar pada </w:t>
      </w:r>
      <w:r w:rsidR="005C6CE5"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5C6CE5" w:rsidRPr="005279AA">
        <w:rPr>
          <w:rFonts w:asciiTheme="majorBidi" w:hAnsiTheme="majorBidi" w:cstheme="majorBidi"/>
          <w:sz w:val="24"/>
          <w:szCs w:val="24"/>
        </w:rPr>
        <w:t xml:space="preserve">ahun </w:t>
      </w:r>
      <w:r w:rsidR="00434459" w:rsidRPr="005279AA">
        <w:rPr>
          <w:rFonts w:asciiTheme="majorBidi" w:hAnsiTheme="majorBidi" w:cstheme="majorBidi"/>
          <w:sz w:val="24"/>
          <w:szCs w:val="24"/>
        </w:rPr>
        <w:t>2019-2023.</w:t>
      </w:r>
    </w:p>
    <w:p w14:paraId="54A6FBCF" w14:textId="57B5B4C1" w:rsidR="003969A3" w:rsidRPr="003969A3"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t>Pada hasil pengujian diperoleh kesimpulan bahwa rasio profitabilitas berpengaruh positif terhadap kebijakan dividen.</w:t>
      </w:r>
      <w:r>
        <w:rPr>
          <w:rFonts w:ascii="Times New Roman" w:hAnsi="Times New Roman" w:cs="Times New Roman"/>
        </w:rPr>
        <w:t xml:space="preserve"> </w:t>
      </w:r>
      <w:r>
        <w:rPr>
          <w:rFonts w:ascii="Times New Roman" w:eastAsia="SimSun" w:hAnsi="Times New Roman" w:cs="Times New Roman"/>
          <w:iCs/>
          <w:sz w:val="24"/>
          <w:szCs w:val="24"/>
        </w:rPr>
        <w:t xml:space="preserve">Hasil yang diperoleh konsisten dengan teori sinyal, yang menyatakan bahwa perusahaan mendistribusikan dividen kepada pemegang saham sebagai indikasi positif bahwa mereka memperoleh keuntungan. Berdasarkan sinyal tersebut, dapat disimpulkan bahwa tingkat profitabilitas suatu perusahaan dapat menentukan kemampuan atau kapasitasnya dalam mendistribusikan dividen </w:t>
      </w:r>
      <w:r>
        <w:rPr>
          <w:rFonts w:ascii="Times New Roman" w:eastAsia="SimSun" w:hAnsi="Times New Roman" w:cs="Times New Roman"/>
          <w:iCs/>
          <w:sz w:val="24"/>
          <w:szCs w:val="24"/>
        </w:rPr>
        <w:fldChar w:fldCharType="begin" w:fldLock="1"/>
      </w:r>
      <w:r>
        <w:rPr>
          <w:rFonts w:ascii="Times New Roman" w:eastAsia="SimSun" w:hAnsi="Times New Roman" w:cs="Times New Roman"/>
          <w:iCs/>
          <w:sz w:val="24"/>
          <w:szCs w:val="24"/>
        </w:rPr>
        <w:instrText>ADDIN CSL_CITATION {"citationItems":[{"id":"ITEM-1","itemData":{"abstract":"Penelitian ini bertujuan untuk membuktikan pengaruh ukuran perusahaan, likuiditas, profitabilitas dan leverage terhadap kebijakan dividen. Penelitian ini menggunakan pendekatan kuantitatif. Populasi dalam penelitian adalah perusahaan manufaktur industri barang konsumsi yang terdaftar di Bursa Efek Indonesia (BEI) pada periode 2016-2018. Sampel yang dikumpulkan menggunakan metode purposive sampling. Total 31 perusahaan manufaktur industri barang konsumsi ditentukan sebagai sampel. Metode analisis data yang digunakan dalam penelitian ini adalah analisis regresi linier berganda dengan menggunakan program SPSS versi 20. Hasil penelitian ini menunjukkan bahwa ukuran perusahaan (X1) dan profitabilitas (X3) berpengaruh positif dan signifikan terhadap kebijakan dividen. Sementara itu, likuiditas (X2) dan leverage (X4) tidak berpengaruh signifikan terhadap kebijakan dividen. Hal ini berarti bahwa semakin tinggi ukuran perusahaan dan profitabilitas, maka semakin tinggi pula kemampuan perusahaan untuk membayar dividen kepada pemegang sahamnya. Sedangkan kenaikan atau penurunan pada likuiditas dan leverage tidak akan berpengaruh signifikan terhadap kemampuan perusahaan dalam membayarkan dividen kepada pemegang saham.","author":[{"dropping-particle":"","family":"Sudiartana","given":"I Gede Pande","non-dropping-particle":"","parse-names":false,"suffix":""},{"dropping-particle":"","family":"Yudantara","given":"I Gede Agus Pertama","non-dropping-particle":"","parse-names":false,"suffix":""}],"container-title":"Jurnal Ilmiah Mahasiswa Akuntansi","id":"ITEM-1","issue":"2","issued":{"date-parts":[["2020"]]},"page":"287-298","title":"Pengaruh Ukuran, Likuiditas, Profitabilitas dan Leverage terhadap Kebijakan Dividen","type":"article-journal","volume":"11"},"uris":["http://www.mendeley.com/documents/?uuid=14bfa639-f8ea-43d0-9566-5369d25949d1"]}],"mendeley":{"formattedCitation":"(Sudiartana &amp; Yudantara, 2020)","manualFormatting":"(Sudiartana &amp; Yudantara, 2020:295)","plainTextFormattedCitation":"(Sudiartana &amp; Yudantara, 2020)","previouslyFormattedCitation":"(Sudiartana &amp; Yudantara, 2020)"},"properties":{"noteIndex":0},"schema":"https://github.com/citation-style-language/schema/raw/master/csl-citation.json"}</w:instrText>
      </w:r>
      <w:r>
        <w:rPr>
          <w:rFonts w:ascii="Times New Roman" w:eastAsia="SimSun" w:hAnsi="Times New Roman" w:cs="Times New Roman"/>
          <w:iCs/>
          <w:sz w:val="24"/>
          <w:szCs w:val="24"/>
        </w:rPr>
        <w:fldChar w:fldCharType="separate"/>
      </w:r>
      <w:r>
        <w:rPr>
          <w:rFonts w:ascii="Times New Roman" w:eastAsia="SimSun" w:hAnsi="Times New Roman" w:cs="Times New Roman"/>
          <w:iCs/>
          <w:noProof/>
          <w:sz w:val="24"/>
          <w:szCs w:val="24"/>
        </w:rPr>
        <w:t>(Sudiartana &amp; Yudantara, 2020:295)</w:t>
      </w:r>
      <w:r>
        <w:rPr>
          <w:rFonts w:ascii="Times New Roman" w:eastAsia="SimSun" w:hAnsi="Times New Roman" w:cs="Times New Roman"/>
          <w:iCs/>
          <w:sz w:val="24"/>
          <w:szCs w:val="24"/>
        </w:rPr>
        <w:fldChar w:fldCharType="end"/>
      </w:r>
      <w:r>
        <w:rPr>
          <w:rFonts w:ascii="Times New Roman" w:eastAsia="SimSun" w:hAnsi="Times New Roman" w:cs="Times New Roman"/>
          <w:iCs/>
          <w:sz w:val="24"/>
          <w:szCs w:val="24"/>
        </w:rPr>
        <w:t>.</w:t>
      </w:r>
    </w:p>
    <w:p w14:paraId="6B14BBDA" w14:textId="3ED15268" w:rsidR="003C01A4" w:rsidRDefault="003951EB"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selaras dengan hasil penelitian yang dilakukan oleh </w:t>
      </w:r>
      <w:r w:rsidR="00BF0247" w:rsidRPr="005279AA">
        <w:rPr>
          <w:rFonts w:asciiTheme="majorBidi" w:hAnsiTheme="majorBidi" w:cstheme="majorBidi"/>
          <w:sz w:val="24"/>
          <w:szCs w:val="24"/>
        </w:rPr>
        <w:fldChar w:fldCharType="begin" w:fldLock="1"/>
      </w:r>
      <w:r w:rsidR="002C59C4">
        <w:rPr>
          <w:rFonts w:asciiTheme="majorBidi" w:hAnsiTheme="majorBidi" w:cstheme="majorBidi"/>
          <w:sz w:val="24"/>
          <w:szCs w:val="24"/>
        </w:rPr>
        <w:instrText>ADDIN CSL_CITATION {"citationItems":[{"id":"ITEM-1","itemData":{"DOI":"DOI: https://doi.org/10.24843/EJMUNUD.2019.v08.i07.p20 ISSN","author":[{"dropping-particle":"","family":"Sari","given":"Ni Putu Sinta Pradnya","non-dropping-particle":"","parse-names":false,"suffix":""},{"dropping-particle":"","family":"Suryantini","given":"Ni Putu Santi","non-dropping-particle":"","parse-names":false,"suffix":""}],"container-title":"E-Jurnal Manajemen","id":"ITEM-1","issue":"7","issued":{"date-parts":[["2019"]]},"page":"4559-4588","title":"PENGARUH PROFITABILITAS, LIKUIDITAS, DAN TINGKAT PERTUMBUHAN TERHADAP KEBIJAKAN DIVIDEN PADA PERUSAHAAN MANUFAKTUR","type":"article-journal","volume":"8"},"uris":["http://www.mendeley.com/documents/?uuid=43318686-a266-470f-8a1d-57536d1dcd19"]}],"mendeley":{"formattedCitation":"(N. P. S. P. Sari &amp; Suryantini, 2019)","manualFormatting":"(Sari &amp; Suryantini, 2019)","plainTextFormattedCitation":"(N. P. S. P. Sari &amp; Suryantini, 2019)","previouslyFormattedCitation":"(N. P. S. P. Sari &amp; Suryantini, 2019)"},"properties":{"noteIndex":0},"schema":"https://github.com/citation-style-language/schema/raw/master/csl-citation.json"}</w:instrText>
      </w:r>
      <w:r w:rsidR="00BF0247" w:rsidRPr="005279AA">
        <w:rPr>
          <w:rFonts w:asciiTheme="majorBidi" w:hAnsiTheme="majorBidi" w:cstheme="majorBidi"/>
          <w:sz w:val="24"/>
          <w:szCs w:val="24"/>
        </w:rPr>
        <w:fldChar w:fldCharType="separate"/>
      </w:r>
      <w:r w:rsidR="00BF0247" w:rsidRPr="00BF0247">
        <w:rPr>
          <w:rFonts w:asciiTheme="majorBidi" w:hAnsiTheme="majorBidi" w:cstheme="majorBidi"/>
          <w:noProof/>
          <w:sz w:val="24"/>
          <w:szCs w:val="24"/>
        </w:rPr>
        <w:t>(Sari &amp; Suryantini, 2019)</w:t>
      </w:r>
      <w:r w:rsidR="00BF0247" w:rsidRPr="005279AA">
        <w:rPr>
          <w:rFonts w:asciiTheme="majorBidi" w:hAnsiTheme="majorBidi" w:cstheme="majorBidi"/>
          <w:sz w:val="24"/>
          <w:szCs w:val="24"/>
        </w:rPr>
        <w:fldChar w:fldCharType="end"/>
      </w:r>
      <w:r w:rsidR="00BF0247">
        <w:rPr>
          <w:rFonts w:asciiTheme="majorBidi" w:hAnsiTheme="majorBidi" w:cstheme="majorBidi"/>
          <w:sz w:val="24"/>
          <w:szCs w:val="24"/>
        </w:rPr>
        <w:t xml:space="preserve">; </w:t>
      </w:r>
      <w:r w:rsidRPr="00F54A61">
        <w:rPr>
          <w:rFonts w:asciiTheme="majorBidi" w:hAnsiTheme="majorBidi" w:cstheme="majorBidi"/>
          <w:sz w:val="24"/>
          <w:szCs w:val="24"/>
        </w:rPr>
        <w:fldChar w:fldCharType="begin" w:fldLock="1"/>
      </w:r>
      <w:r w:rsidR="00E96154" w:rsidRPr="00F54A61">
        <w:rPr>
          <w:rFonts w:asciiTheme="majorBidi" w:hAnsiTheme="majorBidi" w:cstheme="majorBidi"/>
          <w:sz w:val="24"/>
          <w:szCs w:val="24"/>
        </w:rPr>
        <w:instrText>ADDIN CSL_CITATION {"citationItems":[{"id":"ITEM-1","itemData":{"DOI":"http://dx.doi.org/10.24036/jmpe.v2i4.7843","author":[{"dropping-particle":"","family":"Evant","given":"Tiara Saumy","non-dropping-particle":"","parse-names":false,"suffix":""},{"dropping-particle":"","family":"Zulvia","given":"Yolandafitri","non-dropping-particle":"","parse-names":false,"suffix":""}],"container-title":"Jurnal EcoGen","id":"ITEM-1","issued":{"date-parts":[["2019"]]},"page":"654-665","title":"Pengaruh Profitabilitas , Pertumbuhan Penjualan dan Ukuran Perusahaan Terhadap Kebijakan Dividen Pada Perusahaan Manufaktur Sektor Industri Barang Konsumsi Yang Terdaftar Di Bursa Efek Indonesia ( BEI ) Periode 2012-2017","type":"article-journal","volume":"2"},"uris":["http://www.mendeley.com/documents/?uuid=d55be108-8c77-4dcd-b45c-490b620ea947"]}],"mendeley":{"formattedCitation":"(Evant &amp; Zulvia, 2019)","plainTextFormattedCitation":"(Evant &amp; Zulvia, 2019)","previouslyFormattedCitation":"(Evant &amp; Zulvia, 2019)"},"properties":{"noteIndex":0},"schema":"https://github.com/citation-style-language/schema/raw/master/csl-citation.json"}</w:instrText>
      </w:r>
      <w:r w:rsidRPr="00F54A61">
        <w:rPr>
          <w:rFonts w:asciiTheme="majorBidi" w:hAnsiTheme="majorBidi" w:cstheme="majorBidi"/>
          <w:sz w:val="24"/>
          <w:szCs w:val="24"/>
        </w:rPr>
        <w:fldChar w:fldCharType="separate"/>
      </w:r>
      <w:r w:rsidRPr="00F54A61">
        <w:rPr>
          <w:rFonts w:asciiTheme="majorBidi" w:hAnsiTheme="majorBidi" w:cstheme="majorBidi"/>
          <w:noProof/>
          <w:sz w:val="24"/>
          <w:szCs w:val="24"/>
        </w:rPr>
        <w:t>(Evant &amp; Zulvia, 2019)</w:t>
      </w:r>
      <w:r w:rsidRPr="00F54A61">
        <w:rPr>
          <w:rFonts w:asciiTheme="majorBidi" w:hAnsiTheme="majorBidi" w:cstheme="majorBidi"/>
          <w:sz w:val="24"/>
          <w:szCs w:val="24"/>
        </w:rPr>
        <w:fldChar w:fldCharType="end"/>
      </w:r>
      <w:r w:rsidRPr="00F54A61">
        <w:rPr>
          <w:rFonts w:asciiTheme="majorBidi" w:hAnsiTheme="majorBidi" w:cstheme="majorBidi"/>
          <w:sz w:val="24"/>
          <w:szCs w:val="24"/>
        </w:rPr>
        <w:t xml:space="preserve">; </w:t>
      </w:r>
      <w:r w:rsidR="00BF0247" w:rsidRPr="00F54A61">
        <w:rPr>
          <w:rFonts w:asciiTheme="majorBidi" w:hAnsiTheme="majorBidi" w:cstheme="majorBidi"/>
          <w:sz w:val="24"/>
          <w:szCs w:val="24"/>
        </w:rPr>
        <w:fldChar w:fldCharType="begin" w:fldLock="1"/>
      </w:r>
      <w:r w:rsidR="00BF0247" w:rsidRPr="00F54A61">
        <w:rPr>
          <w:rFonts w:asciiTheme="majorBidi" w:hAnsiTheme="majorBidi" w:cstheme="majorBidi"/>
          <w:sz w:val="24"/>
          <w:szCs w:val="24"/>
        </w:rPr>
        <w:instrText>ADDIN CSL_CITATION {"citationItems":[{"id":"ITEM-1","itemData":{"abstract":"This research aimed to find out the effect of free cash flow, profitability, and debt policy on dividend policy. While, profitability was measured by Return On Asset. Meanwhile, debt policy was measured by Debt to Equity Ratio. The research was quantitative. Moreover, the population was 10 Property and Real Estate companies which were listed on Indonesia Stock Exchange (IDX) during 2014-2018. Furthermore, the data collection technique used purposive sampling, in which the sample was based on criteria given. In line with, there were 50 samples. Additionally, the data analysis technique used multiple linear regression. The research result concluded free cash flow had positive and significant effect on dividend policy. It meant, the higher free cash flow, the greater supply of cash rest in increasing its dividend payment. Likewise, profitability had positive and significant effect on dividend policy. In other word, when companies produce maximum profit, it will increase dividend share. On the other hand, debt policy had positive but insignificant effect on dividend policy. It meant, as companies have their higher ability to pay all their liabilities, their ability of sharing the dividend was lower.","author":[{"dropping-particle":"","family":"Kresna","given":"Heriska Sri","non-dropping-particle":"","parse-names":false,"suffix":""},{"dropping-particle":"","family":"Ardini","given":"Lilis","non-dropping-particle":"","parse-names":false,"suffix":""}],"container-title":"Jurnal Ilmu dan Riset Akuntansi","id":"ITEM-1","issue":"3","issued":{"date-parts":[["2020"]]},"page":"1-22","title":"Pengaruh Free Cash Flow, Profitabiltas, Kebijakan Hutang Terhadap Kebijakan Dividen","type":"article-journal","volume":"9"},"uris":["http://www.mendeley.com/documents/?uuid=eec32016-144f-438f-8090-f005955c4821"]}],"mendeley":{"formattedCitation":"(Kresna &amp; Ardini, 2020)","plainTextFormattedCitation":"(Kresna &amp; Ardini, 2020)","previouslyFormattedCitation":"(Kresna &amp; Ardini, 2020)"},"properties":{"noteIndex":0},"schema":"https://github.com/citation-style-language/schema/raw/master/csl-citation.json"}</w:instrText>
      </w:r>
      <w:r w:rsidR="00BF0247" w:rsidRPr="00F54A61">
        <w:rPr>
          <w:rFonts w:asciiTheme="majorBidi" w:hAnsiTheme="majorBidi" w:cstheme="majorBidi"/>
          <w:sz w:val="24"/>
          <w:szCs w:val="24"/>
        </w:rPr>
        <w:fldChar w:fldCharType="separate"/>
      </w:r>
      <w:r w:rsidR="00BF0247" w:rsidRPr="00F54A61">
        <w:rPr>
          <w:rFonts w:asciiTheme="majorBidi" w:hAnsiTheme="majorBidi" w:cstheme="majorBidi"/>
          <w:noProof/>
          <w:sz w:val="24"/>
          <w:szCs w:val="24"/>
        </w:rPr>
        <w:t>(Kresna &amp; Ardini, 2020)</w:t>
      </w:r>
      <w:r w:rsidR="00BF0247" w:rsidRPr="00F54A61">
        <w:rPr>
          <w:rFonts w:asciiTheme="majorBidi" w:hAnsiTheme="majorBidi" w:cstheme="majorBidi"/>
          <w:sz w:val="24"/>
          <w:szCs w:val="24"/>
        </w:rPr>
        <w:fldChar w:fldCharType="end"/>
      </w:r>
      <w:r w:rsidR="00BF0247" w:rsidRPr="00F54A61">
        <w:rPr>
          <w:rFonts w:asciiTheme="majorBidi" w:hAnsiTheme="majorBidi" w:cstheme="majorBidi"/>
          <w:sz w:val="24"/>
          <w:szCs w:val="24"/>
        </w:rPr>
        <w:t xml:space="preserve">; </w:t>
      </w:r>
      <w:r w:rsidR="00BF0247" w:rsidRPr="00F54A61">
        <w:rPr>
          <w:rFonts w:asciiTheme="majorBidi" w:hAnsiTheme="majorBidi" w:cstheme="majorBidi"/>
          <w:sz w:val="24"/>
          <w:szCs w:val="24"/>
        </w:rPr>
        <w:fldChar w:fldCharType="begin" w:fldLock="1"/>
      </w:r>
      <w:r w:rsidR="00BF0247" w:rsidRPr="00F54A61">
        <w:rPr>
          <w:rFonts w:asciiTheme="majorBidi" w:hAnsiTheme="majorBidi" w:cstheme="majorBidi"/>
          <w:sz w:val="24"/>
          <w:szCs w:val="24"/>
        </w:rPr>
        <w:instrText>ADDIN CSL_CITATION {"citationItems":[{"id":"ITEM-1","itemData":{"author":[{"dropping-particle":"","family":"Prastya","given":"Andre Hand","non-dropping-particle":"","parse-names":false,"suffix":""},{"dropping-particle":"","family":"Jalil","given":"Fitri Yani","non-dropping-particle":"","parse-names":false,"suffix":""}],"container-title":"Jurnal Kajian Akuntansi dan Bisnis Terkini","id":"ITEM-1","issue":"1","issued":{"date-parts":[["2020"]]},"page":"131-148","title":"PENGARUH FREE CASHFLOW, LEVERAGE, PROFITABILITAS, LIKUIDITAS DAN UKURAN PERUSAHAAN TERHADAP KEBIJAKAN DIVIDEN","type":"article-journal","volume":"1"},"uris":["http://www.mendeley.com/documents/?uuid=cc498795-b88e-4b47-b3bf-e654dffe2e72"]}],"mendeley":{"formattedCitation":"(Prastya &amp; Jalil, 2020)","plainTextFormattedCitation":"(Prastya &amp; Jalil, 2020)","previouslyFormattedCitation":"(Prastya &amp; Jalil, 2020)"},"properties":{"noteIndex":0},"schema":"https://github.com/citation-style-language/schema/raw/master/csl-citation.json"}</w:instrText>
      </w:r>
      <w:r w:rsidR="00BF0247" w:rsidRPr="00F54A61">
        <w:rPr>
          <w:rFonts w:asciiTheme="majorBidi" w:hAnsiTheme="majorBidi" w:cstheme="majorBidi"/>
          <w:sz w:val="24"/>
          <w:szCs w:val="24"/>
        </w:rPr>
        <w:fldChar w:fldCharType="separate"/>
      </w:r>
      <w:r w:rsidR="00BF0247" w:rsidRPr="00F54A61">
        <w:rPr>
          <w:rFonts w:asciiTheme="majorBidi" w:hAnsiTheme="majorBidi" w:cstheme="majorBidi"/>
          <w:noProof/>
          <w:sz w:val="24"/>
          <w:szCs w:val="24"/>
        </w:rPr>
        <w:t>(Prastya &amp; Jalil, 2020)</w:t>
      </w:r>
      <w:r w:rsidR="00BF0247" w:rsidRPr="00F54A61">
        <w:rPr>
          <w:rFonts w:asciiTheme="majorBidi" w:hAnsiTheme="majorBidi" w:cstheme="majorBidi"/>
          <w:sz w:val="24"/>
          <w:szCs w:val="24"/>
        </w:rPr>
        <w:fldChar w:fldCharType="end"/>
      </w:r>
      <w:r w:rsidR="00BF0247" w:rsidRPr="00F54A61">
        <w:rPr>
          <w:rFonts w:asciiTheme="majorBidi" w:hAnsiTheme="majorBidi" w:cstheme="majorBidi"/>
          <w:sz w:val="24"/>
          <w:szCs w:val="24"/>
        </w:rPr>
        <w:t>;</w:t>
      </w:r>
      <w:r w:rsidR="002C59C4" w:rsidRPr="00F54A61">
        <w:rPr>
          <w:rFonts w:asciiTheme="majorBidi" w:hAnsiTheme="majorBidi" w:cstheme="majorBidi"/>
          <w:sz w:val="24"/>
          <w:szCs w:val="24"/>
        </w:rPr>
        <w:t xml:space="preserve"> </w:t>
      </w:r>
      <w:r w:rsidR="002C59C4" w:rsidRPr="00F54A61">
        <w:rPr>
          <w:rFonts w:asciiTheme="majorBidi" w:hAnsiTheme="majorBidi" w:cstheme="majorBidi"/>
          <w:sz w:val="24"/>
          <w:szCs w:val="24"/>
        </w:rPr>
        <w:fldChar w:fldCharType="begin" w:fldLock="1"/>
      </w:r>
      <w:r w:rsidR="002C59C4" w:rsidRPr="00F54A61">
        <w:rPr>
          <w:rFonts w:asciiTheme="majorBidi" w:hAnsiTheme="majorBidi" w:cstheme="majorBidi"/>
          <w:sz w:val="24"/>
          <w:szCs w:val="24"/>
        </w:rPr>
        <w:instrText>ADDIN CSL_CITATION {"citationItems":[{"id":"ITEM-1","itemData":{"ISBN":"0217408443","abstract":"Kebijakan dividen penting bagi manajemen untuk memutuskan apakah laba yang diperoleh perusahaan selama satu periode akan dibagi semua atau sebagaian dibagikan untuk dividen, kemudian sebagian lagi tidak dibagi dalam bentuk laba ditahan, adapun Penelitian ini bertujuan untuk mengetahui pengaruh Profitabilitas Terhadap Kebijakan Dividen, pengaruh Likuiditas Terhadap Kebijakan Dividen, dan pengaruh Ukuran Perusahaan Terhadap Kebijakan Dividen. Populasi dalam penelitian ini adalah 144 perusahaan manufaktur yang terdaftar di bursa efek Indonesia untuk periode 2014-2016. Penentuan sampel mengunakan metode purposive sampling dimana jumlah sampel yang digunakan adalah sebanyak 54. Alat analisis yang digunakan pada penelitian ini adalah analisis regresi linier berganda. Dari hasil penelitian ini diketahui bahwa profitabilitas berpengaruh positif dan signifikan terhadap kebijakan dividen. Kemudian likuiditas diketahui berpengaruh negative dan signifikan terhadap kebijakan dividen, dan ukuran Perusahaan tidak berpengaruh signifikan terhadap kebijakan dividen.","author":[{"dropping-particle":"","family":"Firmansyah","given":"M Alfian","non-dropping-particle":"","parse-names":false,"suffix":""},{"dropping-particle":"","family":"Gama","given":"Agus Wahyudi Salasa","non-dropping-particle":"","parse-names":false,"suffix":""},{"dropping-particle":"","family":"Astiti","given":"Ni Putu Yeni","non-dropping-particle":"","parse-names":false,"suffix":""}],"container-title":"Jurnal Ilmu Akuntansi","id":"ITEM-1","issue":"2","issued":{"date-parts":[["2020"]]},"page":"1-10","title":"Pengaruh Profitabilitas, Likuiditas Dan Ukuran Perusahaan Terhadap Kebijakan Dividen Perusahaan Manufaktur Yang Terdaftar Di Bursa Efek Indonesia","type":"article-journal","volume":"1"},"uris":["http://www.mendeley.com/documents/?uuid=9d049efb-7b8f-4eeb-9570-90be3880ccc3"]}],"mendeley":{"formattedCitation":"(Firmansyah et al., 2020)","plainTextFormattedCitation":"(Firmansyah et al., 2020)","previouslyFormattedCitation":"(Firmansyah et al., 2020)"},"properties":{"noteIndex":0},"schema":"https://github.com/citation-style-language/schema/raw/master/csl-citation.json"}</w:instrText>
      </w:r>
      <w:r w:rsidR="002C59C4" w:rsidRPr="00F54A61">
        <w:rPr>
          <w:rFonts w:asciiTheme="majorBidi" w:hAnsiTheme="majorBidi" w:cstheme="majorBidi"/>
          <w:sz w:val="24"/>
          <w:szCs w:val="24"/>
        </w:rPr>
        <w:fldChar w:fldCharType="separate"/>
      </w:r>
      <w:r w:rsidR="002C59C4" w:rsidRPr="00F54A61">
        <w:rPr>
          <w:rFonts w:asciiTheme="majorBidi" w:hAnsiTheme="majorBidi" w:cstheme="majorBidi"/>
          <w:noProof/>
          <w:sz w:val="24"/>
          <w:szCs w:val="24"/>
        </w:rPr>
        <w:t>(Firmansyah et al., 2020)</w:t>
      </w:r>
      <w:r w:rsidR="002C59C4" w:rsidRPr="00F54A61">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D6449E">
        <w:rPr>
          <w:rFonts w:asciiTheme="majorBidi" w:hAnsiTheme="majorBidi" w:cstheme="majorBidi"/>
          <w:sz w:val="24"/>
          <w:szCs w:val="24"/>
        </w:rPr>
        <w:instrText>ADDIN CSL_CITATION {"citationItems":[{"id":"ITEM-1","itemData":{"abstract":"Penelitian ini bertujuan untuk menentukan dan menganalisa pengaruh profitabilitas, leverage, ukuran perusahaan, pertumbuhan dan likuiditas terhadap kebijakan dividen pada perusahaan manufaktur yang terdaftar di bursa Efek Indonesia dalam tahun amatan 2013-2017. Populasi penelitian adalah semua perusahaan manufaktur yang terdaftar di BEI, dengan sampel yang diperoleh 37 perusahaan yang sesuai dengan kriteria yang ditetapkan. Data tersebut dianalisa dengan menggunakan pengujian asumsi klasik dan analisa berganda dengan menggunakan SPSS 25. Simpulan dari peneliian ini menyatakan bahwa profitabilitas berpengaruh signifikan terhadap kebijakan dividen, Pertumbuhan berpengaruh negatif signifikan terhadap kebijakan dividen. Sementara itu, leverage tidak berpengaruh negatif signifikan, ukuran","author":[{"dropping-particle":"","family":"Sundari Retno Ika","given":"Fitri Budhiani","non-dropping-particle":"","parse-names":false,"suffix":""}],"container-title":"JRAK","id":"ITEM-1","issued":{"date-parts":[["2021"]]},"page":"72","title":"KEBIJAKAN DIVIDEN PADA PERUSAHAAN MANUFAKTUR YANG TERDAFTAR DI BURSA EFEK","type":"article-journal","volume":"17"},"uris":["http://www.mendeley.com/documents/?uuid=6a7cbb7f-2ec0-4712-a625-ba8cc944d1ac"]}],"mendeley":{"formattedCitation":"(Sundari Retno Ika, 2021)","plainTextFormattedCitation":"(Sundari Retno Ika, 2021)","previouslyFormattedCitation":"(Sundari Retno Ika, 2021)"},"properties":{"noteIndex":0},"schema":"https://github.com/citation-style-language/schema/raw/master/csl-citation.json"}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(Sundari Retno Ika, 2021)</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w:t>
      </w:r>
      <w:r w:rsidR="00F54A61">
        <w:rPr>
          <w:rFonts w:asciiTheme="majorBidi" w:hAnsiTheme="majorBidi" w:cstheme="majorBidi"/>
          <w:sz w:val="24"/>
          <w:szCs w:val="24"/>
        </w:rPr>
        <w:t xml:space="preserve"> </w:t>
      </w:r>
      <w:r w:rsidR="00F54A61" w:rsidRPr="002853CC">
        <w:rPr>
          <w:rFonts w:asciiTheme="majorBidi" w:hAnsiTheme="majorBidi" w:cstheme="majorBidi"/>
          <w:sz w:val="24"/>
          <w:szCs w:val="24"/>
        </w:rPr>
        <w:fldChar w:fldCharType="begin" w:fldLock="1"/>
      </w:r>
      <w:r w:rsidR="00F54A61" w:rsidRPr="002853CC">
        <w:rPr>
          <w:rFonts w:asciiTheme="majorBidi" w:hAnsiTheme="majorBidi" w:cstheme="majorBidi"/>
          <w:sz w:val="24"/>
          <w:szCs w:val="24"/>
        </w:rPr>
        <w:instrText>ADDIN CSL_CITATION {"citationItems":[{"id":"ITEM-1","itemData":{"DOI":"10.47467/alkharaj.v4i3.749","author":[{"dropping-particle":"","family":"Hidayat","given":"Dicky","non-dropping-particle":"","parse-names":false,"suffix":""},{"dropping-particle":"","family":"Hermuningsih","given":"Sri","non-dropping-particle":"","parse-names":false,"suffix":""},{"dropping-particle":"","family":"Maulida","given":"Alfiatul","non-dropping-particle":"","parse-names":false,"suffix":""}],"container-title":"Al-Kharaj: Jurnal Ekonomi, Keuangan &amp; Bisnis Syariah","id":"ITEM-1","issue":"3","issued":{"date-parts":[["2022"]]},"page":"895-913","title":"Pengaruh Profitabilitas, Likuiditas, Leverage, dan Ukuran Perusahaan terhadap Kebijakan Dividen: Studi Kasus pada Perusahaan Sub Sektor Consumer Goods Industry yang terdaftar di BEI Periode 2016-2020","type":"article-journal","volume":"4"},"uris":["http://www.mendeley.com/documents/?uuid=0bc3d95d-dbd5-47b2-8afe-c47f9b971174"]}],"mendeley":{"formattedCitation":"(Hidayat et al., 2022)","plainTextFormattedCitation":"(Hidayat et al., 2022)","previouslyFormattedCitation":"(Hidayat et al., 2022)"},"properties":{"noteIndex":0},"schema":"https://github.com/citation-style-language/schema/raw/master/csl-citation.json"}</w:instrText>
      </w:r>
      <w:r w:rsidR="00F54A61" w:rsidRPr="002853CC">
        <w:rPr>
          <w:rFonts w:asciiTheme="majorBidi" w:hAnsiTheme="majorBidi" w:cstheme="majorBidi"/>
          <w:sz w:val="24"/>
          <w:szCs w:val="24"/>
        </w:rPr>
        <w:fldChar w:fldCharType="separate"/>
      </w:r>
      <w:r w:rsidR="00F54A61" w:rsidRPr="002853CC">
        <w:rPr>
          <w:rFonts w:asciiTheme="majorBidi" w:hAnsiTheme="majorBidi" w:cstheme="majorBidi"/>
          <w:noProof/>
          <w:sz w:val="24"/>
          <w:szCs w:val="24"/>
        </w:rPr>
        <w:t>(Hidayat et al., 2022)</w:t>
      </w:r>
      <w:r w:rsidR="00F54A61" w:rsidRPr="002853CC">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{"citationItems":[{"id":"ITEM-1","itemData":{"abstract":"Volatility of dividend policy in the Primary Consumer Goods sector companies even though their profitability levels tend to be stable, indicates that there are several other factors that influence management in determining the company's dividend policy. This study was conducted to analyze the effect of the independent variables, namely profitability, leverage, liquidity, and firm risk against the dependent variable, namely dividend policy in the IDX Primary Consumer Goods sector companies. Ordinary Least Square (OLS) Method was used to test the hypothesis with the IBM SPSS Statistics 25 program. The results showed that the ratio of return on assets (ROA) which is a proxy of the profitability variable and the Price/Earnings Ratio (PER) which is an inverse proxy of the firm’s business risk variable, has a significant positive effect on dividend policy which is proxied by the dividend payout ratio (DPR). The leverage variable as proxied by the debt-to-total-asset ratio (DAR) has a significant negative effect on the dividend payout ratio (DPR). The liquidity variable which is proxied by the current ratio (CR) has a positive and insignificant effect on the dividend payout ratio (DPR). Thus, it can be concluded that an increase in profitability in a company will have an effect on increasing the company's dividend policy. On the other hand, the increase in leverage and the firm risk will affect the decrease in the company's dividend policy","author":[{"dropping-particle":"","family":"Aghnitama","given":"Rivan Dwi","non-dropping-particle":"","parse-names":false,"suffix":""},{"dropping-particle":"","family":"Widyarti","given":"Endang Tri","non-dropping-particle":"","parse-names":false,"suffix":""}],"container-title":"Diponegoro Journal of Management","id":"ITEM-1","issued":{"date-parts":[["2023"]]},"page":"1-15","title":"Analisis Pengaruh Profitabilitas, Leverage, Likuiditas, dan Risiko Bisnis Perusahaan Terhadap Kebijakan Dividen","type":"article-journal","volume":"12"},"uris":["http://www.mendeley.com/documents/?uuid=6c3d39c9-a5f9-4f9e-8aef-71b505e6e92c"]}],"mendeley":{"formattedCitation":"(Aghnitama &amp; Widyarti, 2023)","plainTextFormattedCitation":"(Aghnitama &amp; Widyarti, 2023)","previouslyFormattedCitation":"(Aghnitama &amp; Widyarti, 2023)"},"properties":{"noteIndex":0},"schema":"https://github.com/citation-style-language/schema/raw/master/csl-citation.json"}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(Aghnitama &amp; Widyarti, 2023)</w:t>
      </w:r>
      <w:r w:rsidRPr="005279AA">
        <w:rPr>
          <w:rFonts w:asciiTheme="majorBidi" w:hAnsiTheme="majorBidi" w:cstheme="majorBidi"/>
          <w:sz w:val="24"/>
          <w:szCs w:val="24"/>
        </w:rPr>
        <w:fldChar w:fldCharType="end"/>
      </w:r>
      <w:r w:rsidR="00BF0247">
        <w:rPr>
          <w:rFonts w:asciiTheme="majorBidi" w:hAnsiTheme="majorBidi" w:cstheme="majorBidi"/>
          <w:sz w:val="24"/>
          <w:szCs w:val="24"/>
        </w:rPr>
        <w:t xml:space="preserve">; </w:t>
      </w:r>
      <w:r w:rsidRPr="005279AA">
        <w:rPr>
          <w:rFonts w:asciiTheme="majorBidi" w:hAnsiTheme="majorBidi" w:cstheme="majorBidi"/>
          <w:sz w:val="24"/>
          <w:szCs w:val="24"/>
        </w:rPr>
        <w:t xml:space="preserve">yang menyatakan bahwa profitabilitas berpengaruh </w:t>
      </w:r>
      <w:r w:rsidR="002C59C4">
        <w:rPr>
          <w:rFonts w:asciiTheme="majorBidi" w:hAnsiTheme="majorBidi" w:cstheme="majorBidi"/>
          <w:sz w:val="24"/>
          <w:szCs w:val="24"/>
        </w:rPr>
        <w:t>positif</w:t>
      </w:r>
      <w:r w:rsidR="00AE1415">
        <w:rPr>
          <w:rFonts w:asciiTheme="majorBidi" w:hAnsiTheme="majorBidi" w:cstheme="majorBidi"/>
          <w:sz w:val="24"/>
          <w:szCs w:val="24"/>
        </w:rPr>
        <w:t xml:space="preserve"> </w:t>
      </w:r>
      <w:r w:rsidRPr="005279AA">
        <w:rPr>
          <w:rFonts w:asciiTheme="majorBidi" w:hAnsiTheme="majorBidi" w:cstheme="majorBidi"/>
          <w:sz w:val="24"/>
          <w:szCs w:val="24"/>
        </w:rPr>
        <w:t>terhadap kebijakan dividen.</w:t>
      </w:r>
      <w:r w:rsidR="00944468" w:rsidRPr="005279AA">
        <w:rPr>
          <w:rFonts w:asciiTheme="majorBidi" w:hAnsiTheme="majorBidi" w:cstheme="majorBidi"/>
          <w:sz w:val="24"/>
          <w:szCs w:val="24"/>
        </w:rPr>
        <w:t xml:space="preserve"> Namun hasil tersebut bertolak belakang dengan penelitian </w:t>
      </w:r>
      <w:r w:rsidR="00944468" w:rsidRPr="005279AA">
        <w:rPr>
          <w:rFonts w:asciiTheme="majorBidi" w:hAnsiTheme="majorBidi" w:cstheme="majorBidi"/>
          <w:sz w:val="24"/>
          <w:szCs w:val="24"/>
        </w:rPr>
        <w:fldChar w:fldCharType="begin" w:fldLock="1"/>
      </w:r>
      <w:r w:rsidR="00944468" w:rsidRPr="005279AA">
        <w:rPr>
          <w:rFonts w:asciiTheme="majorBidi" w:hAnsiTheme="majorBidi" w:cstheme="majorBidi"/>
          <w:sz w:val="24"/>
          <w:szCs w:val="24"/>
        </w:rPr>
        <w:instrText>ADDIN CSL_CITATION {"citationItems":[{"id":"ITEM-1","itemData":{"DOI":"10.20473/baki.v5i2.21480","ISSN":"2459-9581","abstract":"The purpose of this study was to examine the effect of Free Cash Flow, Debt Policy, Return On Assets, Company Growth on Dividend Policy. The sample of this study was using 10 companies in the Consumer Goods Industry Sector on the Indonesia Stock Exchange (IDX) in 2015-2018 met all the criteria. Empirical evidence suggests that Free Cash Flow has a Significant Effect on Dividend Policy. Debt Policy Has Negative and Significant Impact on Dividend Policy. Whereas Return On Assets and Company Growth Have No Significant Effect on Dividend Policy.","author":[{"dropping-particle":"","family":"Sejati","given":"Fajar Rina","non-dropping-particle":"","parse-names":false,"suffix":""},{"dropping-particle":"","family":"Ponto","given":"Sahrul","non-dropping-particle":"","parse-names":false,"suffix":""},{"dropping-particle":"","family":"Prasetianingrum","given":"Septyana","non-dropping-particle":"","parse-names":false,"suffix":""},{"dropping-particle":"","family":"Sumartono","given":"Sumartono","non-dropping-particle":"","parse-names":false,"suffix":""},{"dropping-particle":"","family":"Sumbari","given":"Nona Naomi","non-dropping-particle":"","parse-names":false,"suffix":""}],"container-title":"Berkala Akuntansi dan Keuangan Indonesia","id":"ITEM-1","issue":"2","issued":{"date-parts":[["2020"]]},"page":"110","title":"Faktor-Faktor Yang Mempengaruhi Kebijakan Dividen","type":"article-journal","volume":"5"},"uris":["http://www.mendeley.com/documents/?uuid=b9145fe1-ecbd-458c-8727-0645cceca82a"]}],"mendeley":{"formattedCitation":"(Sejati et al., 2020)","plainTextFormattedCitation":"(Sejati et al., 2020)","previouslyFormattedCitation":"(Sejati et al., 2020)"},"properties":{"noteIndex":0},"schema":"https://github.com/citation-style-language/schema/raw/master/csl-citation.json"}</w:instrText>
      </w:r>
      <w:r w:rsidR="00944468" w:rsidRPr="005279AA">
        <w:rPr>
          <w:rFonts w:asciiTheme="majorBidi" w:hAnsiTheme="majorBidi" w:cstheme="majorBidi"/>
          <w:sz w:val="24"/>
          <w:szCs w:val="24"/>
        </w:rPr>
        <w:fldChar w:fldCharType="separate"/>
      </w:r>
      <w:r w:rsidR="00944468" w:rsidRPr="005279AA">
        <w:rPr>
          <w:rFonts w:asciiTheme="majorBidi" w:hAnsiTheme="majorBidi" w:cstheme="majorBidi"/>
          <w:noProof/>
          <w:sz w:val="24"/>
          <w:szCs w:val="24"/>
        </w:rPr>
        <w:t>(Sejati et al., 2020)</w:t>
      </w:r>
      <w:r w:rsidR="00944468" w:rsidRPr="005279AA">
        <w:rPr>
          <w:rFonts w:asciiTheme="majorBidi" w:hAnsiTheme="majorBidi" w:cstheme="majorBidi"/>
          <w:sz w:val="24"/>
          <w:szCs w:val="24"/>
        </w:rPr>
        <w:fldChar w:fldCharType="end"/>
      </w:r>
      <w:r w:rsidR="00944468" w:rsidRPr="005279AA">
        <w:rPr>
          <w:rFonts w:asciiTheme="majorBidi" w:hAnsiTheme="majorBidi" w:cstheme="majorBidi"/>
          <w:sz w:val="24"/>
          <w:szCs w:val="24"/>
        </w:rPr>
        <w:t xml:space="preserve"> yang menyatakan bahwa profitabilitas tidak berpengaruh signifikan terhadap kebijakan dividen.</w:t>
      </w:r>
    </w:p>
    <w:p w14:paraId="7DA5B63D" w14:textId="594D3B2B" w:rsidR="003969A3" w:rsidRDefault="003969A3" w:rsidP="00BF76D1">
      <w:pPr>
        <w:pStyle w:val="ListParagraph"/>
        <w:tabs>
          <w:tab w:val="left" w:pos="1701"/>
        </w:tabs>
        <w:spacing w:line="480" w:lineRule="auto"/>
        <w:ind w:firstLine="556"/>
        <w:jc w:val="both"/>
        <w:rPr>
          <w:rFonts w:asciiTheme="majorBidi" w:hAnsiTheme="majorBidi" w:cstheme="majorBidi"/>
          <w:sz w:val="24"/>
          <w:szCs w:val="24"/>
        </w:rPr>
      </w:pPr>
    </w:p>
    <w:p w14:paraId="02E3C7F4" w14:textId="77777777" w:rsidR="003969A3" w:rsidRPr="00BF0247" w:rsidRDefault="003969A3" w:rsidP="00BF76D1">
      <w:pPr>
        <w:pStyle w:val="ListParagraph"/>
        <w:tabs>
          <w:tab w:val="left" w:pos="1701"/>
        </w:tabs>
        <w:spacing w:line="480" w:lineRule="auto"/>
        <w:ind w:firstLine="556"/>
        <w:jc w:val="both"/>
        <w:rPr>
          <w:rFonts w:asciiTheme="majorBidi" w:hAnsiTheme="majorBidi" w:cstheme="majorBidi"/>
          <w:sz w:val="24"/>
          <w:szCs w:val="24"/>
        </w:rPr>
      </w:pPr>
    </w:p>
    <w:p w14:paraId="1FAA43D8" w14:textId="4DC7DDDC" w:rsidR="003969A3" w:rsidRPr="003969A3" w:rsidRDefault="00645511" w:rsidP="00BF76D1">
      <w:pPr>
        <w:pStyle w:val="ListParagraph"/>
        <w:numPr>
          <w:ilvl w:val="0"/>
          <w:numId w:val="51"/>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lastRenderedPageBreak/>
        <w:t>Pengaruh Likuiditas Terhadap Kebijakan Dividen</w:t>
      </w:r>
    </w:p>
    <w:p w14:paraId="75906885" w14:textId="0C52FBC9" w:rsidR="003969A3"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Rasio likuiditas merupakan rasio yang digunakan untuk menilai kemampuan perusahaan dalam memenuhi komitmen (hutang) jangka pendeknya </w:t>
      </w:r>
      <w:r>
        <w:rPr>
          <w:rFonts w:ascii="Times New Roman" w:eastAsia="SimSun" w:hAnsi="Times New Roman" w:cs="Times New Roman"/>
          <w:iCs/>
          <w:sz w:val="24"/>
          <w:szCs w:val="24"/>
        </w:rPr>
        <w:fldChar w:fldCharType="begin" w:fldLock="1"/>
      </w:r>
      <w:r>
        <w:rPr>
          <w:rFonts w:ascii="Times New Roman" w:eastAsia="SimSun" w:hAnsi="Times New Roman" w:cs="Times New Roman"/>
          <w:iCs/>
          <w:sz w:val="24"/>
          <w:szCs w:val="24"/>
        </w:rPr>
        <w:instrText>ADDIN CSL_CITATION {"citationItems":[{"id":"ITEM-1","itemData":{"abstract":"Penelitian ini bertujuan untuk membuktikan pengaruh ukuran perusahaan, likuiditas, profitabilitas dan leverage terhadap kebijakan dividen. Penelitian ini menggunakan pendekatan kuantitatif. Populasi dalam penelitian adalah perusahaan manufaktur industri barang konsumsi yang terdaftar di Bursa Efek Indonesia (BEI) pada periode 2016-2018. Sampel yang dikumpulkan menggunakan metode purposive sampling. Total 31 perusahaan manufaktur industri barang konsumsi ditentukan sebagai sampel. Metode analisis data yang digunakan dalam penelitian ini adalah analisis regresi linier berganda dengan menggunakan program SPSS versi 20. Hasil penelitian ini menunjukkan bahwa ukuran perusahaan (X1) dan profitabilitas (X3) berpengaruh positif dan signifikan terhadap kebijakan dividen. Sementara itu, likuiditas (X2) dan leverage (X4) tidak berpengaruh signifikan terhadap kebijakan dividen. Hal ini berarti bahwa semakin tinggi ukuran perusahaan dan profitabilitas, maka semakin tinggi pula kemampuan perusahaan untuk membayar dividen kepada pemegang sahamnya. Sedangkan kenaikan atau penurunan pada likuiditas dan leverage tidak akan berpengaruh signifikan terhadap kemampuan perusahaan dalam membayarkan dividen kepada pemegang saham.","author":[{"dropping-particle":"","family":"Sudiartana","given":"I Gede Pande","non-dropping-particle":"","parse-names":false,"suffix":""},{"dropping-particle":"","family":"Yudantara","given":"I Gede Agus Pertama","non-dropping-particle":"","parse-names":false,"suffix":""}],"container-title":"Jurnal Ilmiah Mahasiswa Akuntansi","id":"ITEM-1","issue":"2","issued":{"date-parts":[["2020"]]},"page":"287-298","title":"Pengaruh Ukuran, Likuiditas, Profitabilitas dan Leverage terhadap Kebijakan Dividen","type":"article-journal","volume":"11"},"uris":["http://www.mendeley.com/documents/?uuid=14bfa639-f8ea-43d0-9566-5369d25949d1"]}],"mendeley":{"formattedCitation":"(Sudiartana &amp; Yudantara, 2020)","manualFormatting":"(Sudiartana &amp; Yudantara, 2020:294)","plainTextFormattedCitation":"(Sudiartana &amp; Yudantara, 2020)","previouslyFormattedCitation":"(Sudiartana &amp; Yudantara, 2020)"},"properties":{"noteIndex":0},"schema":"https://github.com/citation-style-language/schema/raw/master/csl-citation.json"}</w:instrText>
      </w:r>
      <w:r>
        <w:rPr>
          <w:rFonts w:ascii="Times New Roman" w:eastAsia="SimSun" w:hAnsi="Times New Roman" w:cs="Times New Roman"/>
          <w:iCs/>
          <w:sz w:val="24"/>
          <w:szCs w:val="24"/>
        </w:rPr>
        <w:fldChar w:fldCharType="separate"/>
      </w:r>
      <w:r>
        <w:rPr>
          <w:rFonts w:ascii="Times New Roman" w:eastAsia="SimSun" w:hAnsi="Times New Roman" w:cs="Times New Roman"/>
          <w:iCs/>
          <w:noProof/>
          <w:sz w:val="24"/>
          <w:szCs w:val="24"/>
        </w:rPr>
        <w:t>(Sudiartana &amp; Yudantara, 2020:294)</w:t>
      </w:r>
      <w:r>
        <w:rPr>
          <w:rFonts w:ascii="Times New Roman" w:eastAsia="SimSun" w:hAnsi="Times New Roman" w:cs="Times New Roman"/>
          <w:iCs/>
          <w:sz w:val="24"/>
          <w:szCs w:val="24"/>
        </w:rPr>
        <w:fldChar w:fldCharType="end"/>
      </w:r>
      <w:r>
        <w:rPr>
          <w:rFonts w:ascii="Times New Roman" w:eastAsia="SimSun" w:hAnsi="Times New Roman" w:cs="Times New Roman"/>
          <w:iCs/>
          <w:sz w:val="24"/>
          <w:szCs w:val="24"/>
        </w:rPr>
        <w:t xml:space="preserve">. </w:t>
      </w:r>
      <w:r w:rsidRPr="00AD1692">
        <w:rPr>
          <w:rFonts w:ascii="Times New Roman" w:eastAsia="SimSun" w:hAnsi="Times New Roman" w:cs="Times New Roman"/>
          <w:iCs/>
          <w:sz w:val="24"/>
          <w:szCs w:val="24"/>
        </w:rPr>
        <w:t>Suatu usaha dikatakan likuid jika mampu membayar utang-utangnya tepat waktu. Namun, suatu usaha dikatakan tidak likuid jika tidak mampu membayar utang-utangnya pada saat jatuh tempo atau ditagih.</w:t>
      </w:r>
    </w:p>
    <w:p w14:paraId="6B9857DB" w14:textId="178DFBFA" w:rsidR="00283119" w:rsidRPr="00AA4F81" w:rsidRDefault="0057636C"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sidRPr="0057636C">
        <w:rPr>
          <w:rFonts w:ascii="Times New Roman" w:eastAsia="SimSun" w:hAnsi="Times New Roman" w:cs="Times New Roman"/>
          <w:iCs/>
          <w:sz w:val="24"/>
          <w:szCs w:val="24"/>
        </w:rPr>
        <w:t xml:space="preserve">Perusahaan dengan likuiditas rendah lebih cenderung membagikan dividen besar kepada pemegang sahamnya, dan sebaliknya. Situasi tersebut dapat dijelaskan dengan teori sinyal, yang menyatakan bahwa ketika likuiditas rendah tetapi profitabilitas </w:t>
      </w:r>
      <w:r w:rsidR="00AA4F81">
        <w:rPr>
          <w:rFonts w:ascii="Times New Roman" w:eastAsia="SimSun" w:hAnsi="Times New Roman" w:cs="Times New Roman"/>
          <w:iCs/>
          <w:sz w:val="24"/>
          <w:szCs w:val="24"/>
        </w:rPr>
        <w:t xml:space="preserve">yang dimiliki perusahaan </w:t>
      </w:r>
      <w:r w:rsidRPr="0057636C">
        <w:rPr>
          <w:rFonts w:ascii="Times New Roman" w:eastAsia="SimSun" w:hAnsi="Times New Roman" w:cs="Times New Roman"/>
          <w:iCs/>
          <w:sz w:val="24"/>
          <w:szCs w:val="24"/>
        </w:rPr>
        <w:t>tinggi, maka perusahaan tidak memiliki cukup uang tunai untuk membayar dividen tunai</w:t>
      </w:r>
      <w:r>
        <w:rPr>
          <w:rFonts w:ascii="Times New Roman" w:eastAsia="SimSun" w:hAnsi="Times New Roman" w:cs="Times New Roman"/>
          <w:iCs/>
          <w:sz w:val="24"/>
          <w:szCs w:val="24"/>
        </w:rPr>
        <w:t xml:space="preserve"> sehingga perusahaan </w:t>
      </w:r>
      <w:r w:rsidRPr="0057636C">
        <w:rPr>
          <w:rFonts w:ascii="Times New Roman" w:eastAsia="SimSun" w:hAnsi="Times New Roman" w:cs="Times New Roman"/>
          <w:iCs/>
          <w:sz w:val="24"/>
          <w:szCs w:val="24"/>
        </w:rPr>
        <w:t>akan membagikan dividen dalam bentuk saham (</w:t>
      </w:r>
      <w:r w:rsidRPr="0057636C">
        <w:rPr>
          <w:rFonts w:ascii="Times New Roman" w:eastAsia="SimSun" w:hAnsi="Times New Roman" w:cs="Times New Roman"/>
          <w:i/>
          <w:sz w:val="24"/>
          <w:szCs w:val="24"/>
        </w:rPr>
        <w:t>stock d</w:t>
      </w:r>
      <w:r>
        <w:rPr>
          <w:rFonts w:ascii="Times New Roman" w:eastAsia="SimSun" w:hAnsi="Times New Roman" w:cs="Times New Roman"/>
          <w:i/>
          <w:sz w:val="24"/>
          <w:szCs w:val="24"/>
        </w:rPr>
        <w:t>i</w:t>
      </w:r>
      <w:r w:rsidRPr="0057636C">
        <w:rPr>
          <w:rFonts w:ascii="Times New Roman" w:eastAsia="SimSun" w:hAnsi="Times New Roman" w:cs="Times New Roman"/>
          <w:i/>
          <w:sz w:val="24"/>
          <w:szCs w:val="24"/>
        </w:rPr>
        <w:t>viden</w:t>
      </w:r>
      <w:r w:rsidR="008E6CF5">
        <w:rPr>
          <w:rFonts w:ascii="Times New Roman" w:eastAsia="SimSun" w:hAnsi="Times New Roman" w:cs="Times New Roman"/>
          <w:iCs/>
          <w:sz w:val="24"/>
          <w:szCs w:val="24"/>
        </w:rPr>
        <w:t xml:space="preserve">). </w:t>
      </w:r>
      <w:r w:rsidR="008E6CF5" w:rsidRPr="008E6CF5">
        <w:rPr>
          <w:rFonts w:ascii="Times New Roman" w:eastAsia="SimSun" w:hAnsi="Times New Roman" w:cs="Times New Roman"/>
          <w:iCs/>
          <w:sz w:val="24"/>
          <w:szCs w:val="24"/>
        </w:rPr>
        <w:t>H</w:t>
      </w:r>
      <w:r w:rsidR="00AA4F81" w:rsidRPr="008E6CF5">
        <w:rPr>
          <w:rFonts w:ascii="Times New Roman" w:eastAsia="SimSun" w:hAnsi="Times New Roman" w:cs="Times New Roman"/>
          <w:iCs/>
          <w:sz w:val="24"/>
          <w:szCs w:val="24"/>
        </w:rPr>
        <w:t xml:space="preserve">al ini digunakan perusahaan untuk menunjukkan kepada pemegang saham terkait keberhasilan berkelanjutan perusahaan dalam menghasilkan keuntungan </w:t>
      </w:r>
      <w:r w:rsidR="008510E2" w:rsidRPr="008E6CF5">
        <w:rPr>
          <w:rFonts w:ascii="Times New Roman" w:eastAsia="SimSun" w:hAnsi="Times New Roman" w:cs="Times New Roman"/>
          <w:iCs/>
          <w:sz w:val="24"/>
          <w:szCs w:val="24"/>
        </w:rPr>
        <w:fldChar w:fldCharType="begin" w:fldLock="1"/>
      </w:r>
      <w:r w:rsidR="008510E2" w:rsidRPr="008E6CF5">
        <w:rPr>
          <w:rFonts w:ascii="Times New Roman" w:eastAsia="SimSun" w:hAnsi="Times New Roman" w:cs="Times New Roman"/>
          <w:iCs/>
          <w:sz w:val="24"/>
          <w:szCs w:val="24"/>
        </w:rPr>
        <w:instrText>ADDIN CSL_CITATION {"citationItems":[{"id":"ITEM-1","itemData":{"DOI":"10.52160/ejmm.v3i11.294","ISSN":"2502-5430","abstract":"Faktor-Faktor yang Mempengaruhi Kebijakan Dividen. Investor memerlukan informasi yang dapat mendukung keputusannya untuk melakukan investasi, salah satunya melakukan analisis terhadap faktor yang mempengaruhi keputusan perusahaan dalam melakukan pembagian dividen. Tujuan dari penelitian melakukan analisis terhadap faktor–faktor yang mempengaruhi kebijakan dividen yaitu likuiditas, profitabilitas dan ukuran perusahaan. Populasi yang digunakan dalam penelitian ini adalah perusahaan manufaktur sektor industri makanan dan minuman yang terdaftar di Bursa Efek Indonesia (BEI) pada periode 2015-2017. Sampel penelitian berjumlah 12 perusahaan dengan menggunakan metode purposive sampling. Pengujian hipotesis, dianalisis dengan menggunakan metode regresi berganda. Hasil penelitian menunjukkan bahwa profitabilitas dan ukuran perusahaan berpengaruh positif signifikan terhadap kebijakan dividen, sedangkan likuiditas berpengaruh negatif signifikan. Kata","author":[{"dropping-particle":"","family":"Meidawati","given":"Neni","non-dropping-particle":"","parse-names":false,"suffix":""},{"dropping-particle":"","family":"Nurfauziya","given":"Ahada","non-dropping-particle":"","parse-names":false,"suffix":""},{"dropping-particle":"","family":"Chasanah","given":"Uswatun","non-dropping-particle":"","parse-names":false,"suffix":""}],"container-title":"Nominal Barometer Riset Akuntansi dan Manajemen","id":"ITEM-1","issued":{"date-parts":[["2020"]]},"page":"321-322","title":"Faktor – Faktor Yang Mempengaruhi Kebijakan Dividen","type":"article-journal","volume":"9"},"uris":["http://www.mendeley.com/documents/?uuid=5eee0bb0-76f1-48b9-a14c-aaf6d19fed55"]}],"mendeley":{"formattedCitation":"(Meidawati et al., 2020)","manualFormatting":"(Meidawati et al., 2020:321)","plainTextFormattedCitation":"(Meidawati et al., 2020)"},"properties":{"noteIndex":0},"schema":"https://github.com/citation-style-language/schema/raw/master/csl-citation.json"}</w:instrText>
      </w:r>
      <w:r w:rsidR="008510E2" w:rsidRPr="008E6CF5">
        <w:rPr>
          <w:rFonts w:ascii="Times New Roman" w:eastAsia="SimSun" w:hAnsi="Times New Roman" w:cs="Times New Roman"/>
          <w:iCs/>
          <w:sz w:val="24"/>
          <w:szCs w:val="24"/>
        </w:rPr>
        <w:fldChar w:fldCharType="separate"/>
      </w:r>
      <w:r w:rsidR="008510E2" w:rsidRPr="008E6CF5">
        <w:rPr>
          <w:rFonts w:ascii="Times New Roman" w:eastAsia="SimSun" w:hAnsi="Times New Roman" w:cs="Times New Roman"/>
          <w:iCs/>
          <w:noProof/>
          <w:sz w:val="24"/>
          <w:szCs w:val="24"/>
        </w:rPr>
        <w:t>(Meidawati et al., 2020:321)</w:t>
      </w:r>
      <w:r w:rsidR="008510E2" w:rsidRPr="008E6CF5">
        <w:rPr>
          <w:rFonts w:ascii="Times New Roman" w:eastAsia="SimSun" w:hAnsi="Times New Roman" w:cs="Times New Roman"/>
          <w:iCs/>
          <w:sz w:val="24"/>
          <w:szCs w:val="24"/>
        </w:rPr>
        <w:fldChar w:fldCharType="end"/>
      </w:r>
      <w:r w:rsidR="00283119" w:rsidRPr="008E6CF5">
        <w:rPr>
          <w:rFonts w:ascii="Times New Roman" w:eastAsia="SimSun" w:hAnsi="Times New Roman" w:cs="Times New Roman"/>
          <w:iCs/>
          <w:sz w:val="24"/>
          <w:szCs w:val="24"/>
        </w:rPr>
        <w:t xml:space="preserve">. </w:t>
      </w:r>
      <w:r w:rsidR="008E6CF5" w:rsidRPr="008E6CF5">
        <w:rPr>
          <w:rFonts w:ascii="Times New Roman" w:eastAsia="SimSun" w:hAnsi="Times New Roman" w:cs="Times New Roman"/>
          <w:iCs/>
          <w:sz w:val="24"/>
          <w:szCs w:val="24"/>
        </w:rPr>
        <w:t xml:space="preserve"> Dengan demikian perusahaan dengan likuiditas yang tinggi tidak selalu mampu membayar dividen dalam jumlah besar karena dana yang ada dalam perusahan cenderung akan digunakan untuk mendanai ekspansi dan operasional perusahaan, sehingga perusahaan akan menunda pendistribusian dividen tunai kepada pemegang saham </w:t>
      </w:r>
      <w:r w:rsidR="00283119" w:rsidRPr="008E6CF5">
        <w:rPr>
          <w:rFonts w:ascii="Times New Roman" w:eastAsia="SimSun" w:hAnsi="Times New Roman" w:cs="Times New Roman"/>
          <w:iCs/>
          <w:sz w:val="24"/>
          <w:szCs w:val="24"/>
        </w:rPr>
        <w:fldChar w:fldCharType="begin" w:fldLock="1"/>
      </w:r>
      <w:r w:rsidR="00283119" w:rsidRPr="008E6CF5">
        <w:rPr>
          <w:rFonts w:ascii="Times New Roman" w:eastAsia="SimSun" w:hAnsi="Times New Roman" w:cs="Times New Roman"/>
          <w:iCs/>
          <w:sz w:val="24"/>
          <w:szCs w:val="24"/>
        </w:rPr>
        <w:instrText>ADDIN CSL_CITATION {"citationItems":[{"id":"ITEM-1","itemData":{"abstract":"Tujuan dari penelitian ini yaitu untuk menganalisis pengaruh profitabilitas, firm size, likuiditas dan leverage terhadap kebijakan deviden. Sampel penelitian menggunakan metode purposive sampling, yaitu menggunakan sebanyak 8 perusahaan dengan periode pengamatan selama empat tahun yakni dari tahun 2016-2019. Jenis data yang digunakan yaitu data kuantitatif. Berdasarkan sumber data yang digunakan dalam penelitian ini semuanya adalah data sekunder. Pengumpulan data menggunakan metode dokumentasi. Teknik analisis data yang digunakan ialah model regresi linier berganda. Hasil yang diperoleh menunjukkan variabel profitabilitas dan firm size yang terdaftar di Bursa Efek Indonesia (BEI) periode 2016-2019 berpengaruh positif dan signifikan terhadap kebijakan deviden. Sedangkan variabel likuiditas dan leverage berpengaruh negatif dan signifikan terhadap kebijakan deviden dalam perusahaan LQ45 yang terdaftar di Bursa Efek Indonesia (BEI) tahun 2016-2019. Variabel independen yang dapat menjelaskan pengaruh kebijakan deviden sebanyak 63,20% sedangkan sisanya sebanyak 36,80% lagi dipengaruhi oleh faktor-faktor yang lainnya yang tidak dimasukkan didalam penelitian ini","author":[{"dropping-particle":"","family":"Dhumawati","given":"A A Ayu Made","non-dropping-particle":"","parse-names":false,"suffix":""},{"dropping-particle":"","family":"Erna","given":"A A Ayu","non-dropping-particle":"","parse-names":false,"suffix":""},{"dropping-particle":"","family":"Putra","given":"I B Made","non-dropping-particle":"","parse-names":false,"suffix":""}],"container-title":"Jurnal Riset Akuntansi Warmadewa Pengaruh","id":"ITEM-1","issue":"2","issued":{"date-parts":[["2021"]]},"page":"101","title":"Pengaruh Profitabilitas , Firm Size , Likuiditas dan Leverage Terhadap Kebijakan Deviden","type":"article-journal","volume":"2"},"uris":["http://www.mendeley.com/documents/?uuid=b1b49729-8259-459a-81ac-6dea549969d5"]}],"mendeley":{"formattedCitation":"(Dhumawati et al., 2021)","manualFormatting":"(Dhumawati et al., 2021:101)","plainTextFormattedCitation":"(Dhumawati et al., 2021)","previouslyFormattedCitation":"(Dhumawati et al., 2021)"},"properties":{"noteIndex":0},"schema":"https://github.com/citation-style-language/schema/raw/master/csl-citation.json"}</w:instrText>
      </w:r>
      <w:r w:rsidR="00283119" w:rsidRPr="008E6CF5">
        <w:rPr>
          <w:rFonts w:ascii="Times New Roman" w:eastAsia="SimSun" w:hAnsi="Times New Roman" w:cs="Times New Roman"/>
          <w:iCs/>
          <w:sz w:val="24"/>
          <w:szCs w:val="24"/>
        </w:rPr>
        <w:fldChar w:fldCharType="separate"/>
      </w:r>
      <w:r w:rsidR="00283119" w:rsidRPr="008E6CF5">
        <w:rPr>
          <w:rFonts w:ascii="Times New Roman" w:eastAsia="SimSun" w:hAnsi="Times New Roman" w:cs="Times New Roman"/>
          <w:iCs/>
          <w:noProof/>
          <w:sz w:val="24"/>
          <w:szCs w:val="24"/>
        </w:rPr>
        <w:t>(Dhumawati et al., 2021:101)</w:t>
      </w:r>
      <w:r w:rsidR="00283119" w:rsidRPr="008E6CF5">
        <w:rPr>
          <w:rFonts w:ascii="Times New Roman" w:eastAsia="SimSun" w:hAnsi="Times New Roman" w:cs="Times New Roman"/>
          <w:iCs/>
          <w:sz w:val="24"/>
          <w:szCs w:val="24"/>
        </w:rPr>
        <w:fldChar w:fldCharType="end"/>
      </w:r>
      <w:r w:rsidR="00283119" w:rsidRPr="008E6CF5">
        <w:rPr>
          <w:rFonts w:ascii="Times New Roman" w:eastAsia="SimSun" w:hAnsi="Times New Roman" w:cs="Times New Roman"/>
          <w:iCs/>
          <w:sz w:val="24"/>
          <w:szCs w:val="24"/>
        </w:rPr>
        <w:t>.</w:t>
      </w:r>
    </w:p>
    <w:p w14:paraId="1CDAFB73" w14:textId="47581D66" w:rsidR="008510E2" w:rsidRDefault="008510E2" w:rsidP="00BF76D1">
      <w:pPr>
        <w:pStyle w:val="ListParagraph"/>
        <w:tabs>
          <w:tab w:val="left" w:pos="1701"/>
        </w:tabs>
        <w:spacing w:line="480" w:lineRule="auto"/>
        <w:ind w:firstLine="556"/>
        <w:jc w:val="both"/>
        <w:rPr>
          <w:rFonts w:ascii="Times New Roman" w:eastAsia="SimSun" w:hAnsi="Times New Roman" w:cs="Times New Roman"/>
          <w:iCs/>
          <w:sz w:val="24"/>
          <w:szCs w:val="24"/>
        </w:rPr>
      </w:pPr>
    </w:p>
    <w:p w14:paraId="159AF96E" w14:textId="1EC872B9" w:rsidR="007A0606" w:rsidRDefault="006373E9"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lastRenderedPageBreak/>
        <w:t xml:space="preserve">Hasil penelitian ini menunjukan bahwa rasio likuiditas yang di proksikan menggunakan </w:t>
      </w:r>
      <w:r w:rsidRPr="005279AA">
        <w:rPr>
          <w:rFonts w:asciiTheme="majorBidi" w:eastAsiaTheme="minorEastAsia" w:hAnsiTheme="majorBidi" w:cstheme="majorBidi"/>
          <w:i/>
          <w:sz w:val="24"/>
          <w:szCs w:val="24"/>
        </w:rPr>
        <w:t>current ratio</w:t>
      </w:r>
      <w:r w:rsidRPr="005279AA">
        <w:rPr>
          <w:rFonts w:asciiTheme="majorBidi" w:eastAsiaTheme="minorEastAsia" w:hAnsiTheme="majorBidi" w:cstheme="majorBidi"/>
          <w:iCs/>
          <w:sz w:val="24"/>
          <w:szCs w:val="24"/>
        </w:rPr>
        <w:t xml:space="preserve"> berpengaruh </w:t>
      </w:r>
      <w:r w:rsidR="00AE1415">
        <w:rPr>
          <w:rFonts w:asciiTheme="majorBidi" w:eastAsiaTheme="minorEastAsia" w:hAnsiTheme="majorBidi" w:cstheme="majorBidi"/>
          <w:iCs/>
          <w:sz w:val="24"/>
          <w:szCs w:val="24"/>
        </w:rPr>
        <w:t xml:space="preserve">negatif </w:t>
      </w:r>
      <w:r w:rsidRPr="005279AA">
        <w:rPr>
          <w:rFonts w:asciiTheme="majorBidi" w:eastAsiaTheme="minorEastAsia" w:hAnsiTheme="majorBidi" w:cstheme="majorBidi"/>
          <w:iCs/>
          <w:sz w:val="24"/>
          <w:szCs w:val="24"/>
        </w:rPr>
        <w:t xml:space="preserve">terhadap kebijakan dividen pada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pada </w:t>
      </w:r>
      <w:r w:rsidR="004E6A54" w:rsidRPr="005279AA">
        <w:rPr>
          <w:rFonts w:asciiTheme="majorBidi" w:eastAsiaTheme="minorEastAsia" w:hAnsiTheme="majorBidi" w:cstheme="majorBidi"/>
          <w:iCs/>
          <w:sz w:val="24"/>
          <w:szCs w:val="24"/>
        </w:rPr>
        <w:t xml:space="preserve">Bursa Efek Indonesia </w:t>
      </w:r>
      <w:r w:rsidR="00C34EDF">
        <w:rPr>
          <w:rFonts w:asciiTheme="majorBidi" w:eastAsiaTheme="minorEastAsia" w:hAnsiTheme="majorBidi" w:cstheme="majorBidi"/>
          <w:iCs/>
          <w:sz w:val="24"/>
          <w:szCs w:val="24"/>
        </w:rPr>
        <w:t>t</w:t>
      </w:r>
      <w:r w:rsidR="004E6A54" w:rsidRPr="005279AA">
        <w:rPr>
          <w:rFonts w:asciiTheme="majorBidi" w:eastAsiaTheme="minorEastAsia" w:hAnsiTheme="majorBidi" w:cstheme="majorBidi"/>
          <w:iCs/>
          <w:sz w:val="24"/>
          <w:szCs w:val="24"/>
        </w:rPr>
        <w:t xml:space="preserve">ahun </w:t>
      </w:r>
      <w:r w:rsidRPr="005279AA">
        <w:rPr>
          <w:rFonts w:asciiTheme="majorBidi" w:eastAsiaTheme="minorEastAsia" w:hAnsiTheme="majorBidi" w:cstheme="majorBidi"/>
          <w:iCs/>
          <w:sz w:val="24"/>
          <w:szCs w:val="24"/>
        </w:rPr>
        <w:t xml:space="preserve">2019-2023. Hasil tersebut dibuktikan pada hasil pengujian secara parsial dimana </w:t>
      </w:r>
      <w:r w:rsidR="00434459" w:rsidRPr="005279AA">
        <w:rPr>
          <w:rFonts w:asciiTheme="majorBidi" w:hAnsiTheme="majorBidi" w:cstheme="majorBidi"/>
          <w:sz w:val="24"/>
          <w:szCs w:val="24"/>
        </w:rPr>
        <w:t>nilai t</w:t>
      </w:r>
      <w:r w:rsidR="00434459" w:rsidRPr="005279AA">
        <w:rPr>
          <w:rFonts w:asciiTheme="majorBidi" w:hAnsiTheme="majorBidi" w:cstheme="majorBidi"/>
          <w:sz w:val="24"/>
          <w:szCs w:val="24"/>
          <w:vertAlign w:val="subscript"/>
        </w:rPr>
        <w:t>hitung</w:t>
      </w:r>
      <w:r w:rsidR="00434459" w:rsidRPr="005279AA">
        <w:rPr>
          <w:rFonts w:asciiTheme="majorBidi" w:hAnsiTheme="majorBidi" w:cstheme="majorBidi"/>
          <w:sz w:val="24"/>
          <w:szCs w:val="24"/>
        </w:rPr>
        <w:t xml:space="preserve"> sebesar -2,373 </w:t>
      </w:r>
      <w:r w:rsidR="004B0170" w:rsidRPr="005279AA">
        <w:rPr>
          <w:rFonts w:asciiTheme="majorBidi" w:hAnsiTheme="majorBidi" w:cstheme="majorBidi"/>
          <w:sz w:val="24"/>
          <w:szCs w:val="24"/>
          <w:lang w:val="id-ID"/>
        </w:rPr>
        <w:t>sementara nilai t</w:t>
      </w:r>
      <w:r w:rsidR="004B0170" w:rsidRPr="005279AA">
        <w:rPr>
          <w:rFonts w:asciiTheme="majorBidi" w:hAnsiTheme="majorBidi" w:cstheme="majorBidi"/>
          <w:sz w:val="24"/>
          <w:szCs w:val="24"/>
          <w:vertAlign w:val="subscript"/>
          <w:lang w:val="id-ID"/>
        </w:rPr>
        <w:t>tabel</w:t>
      </w:r>
      <w:r w:rsidR="004B0170" w:rsidRPr="005279AA">
        <w:rPr>
          <w:rFonts w:asciiTheme="majorBidi" w:hAnsiTheme="majorBidi" w:cstheme="majorBidi"/>
          <w:sz w:val="24"/>
          <w:szCs w:val="24"/>
          <w:lang w:val="id-ID"/>
        </w:rPr>
        <w:t xml:space="preserve"> sebesar 1,994 yang artinya bahwa nilai t</w:t>
      </w:r>
      <w:r w:rsidR="004B0170" w:rsidRPr="005279AA">
        <w:rPr>
          <w:rFonts w:asciiTheme="majorBidi" w:hAnsiTheme="majorBidi" w:cstheme="majorBidi"/>
          <w:sz w:val="24"/>
          <w:szCs w:val="24"/>
          <w:vertAlign w:val="subscript"/>
          <w:lang w:val="id-ID"/>
        </w:rPr>
        <w:t>hitung</w:t>
      </w:r>
      <w:r w:rsidR="004B0170" w:rsidRPr="005279AA">
        <w:rPr>
          <w:rFonts w:asciiTheme="majorBidi" w:hAnsiTheme="majorBidi" w:cstheme="majorBidi"/>
          <w:sz w:val="24"/>
          <w:szCs w:val="24"/>
          <w:lang w:val="id-ID"/>
        </w:rPr>
        <w:t xml:space="preserve"> &gt; t</w:t>
      </w:r>
      <w:r w:rsidR="004B0170" w:rsidRPr="005279AA">
        <w:rPr>
          <w:rFonts w:asciiTheme="majorBidi" w:hAnsiTheme="majorBidi" w:cstheme="majorBidi"/>
          <w:sz w:val="24"/>
          <w:szCs w:val="24"/>
          <w:vertAlign w:val="subscript"/>
          <w:lang w:val="id-ID"/>
        </w:rPr>
        <w:t xml:space="preserve">tabel </w:t>
      </w:r>
      <w:r w:rsidR="004B0170" w:rsidRPr="005279AA">
        <w:rPr>
          <w:rFonts w:asciiTheme="majorBidi" w:hAnsiTheme="majorBidi" w:cstheme="majorBidi"/>
          <w:sz w:val="24"/>
          <w:szCs w:val="24"/>
          <w:lang w:val="id-ID"/>
        </w:rPr>
        <w:t xml:space="preserve">atau </w:t>
      </w:r>
      <w:r w:rsidR="004B0170" w:rsidRPr="005279AA">
        <w:rPr>
          <w:rFonts w:asciiTheme="majorBidi" w:hAnsiTheme="majorBidi" w:cstheme="majorBidi"/>
          <w:sz w:val="24"/>
          <w:szCs w:val="24"/>
        </w:rPr>
        <w:t xml:space="preserve">-2,373 &gt; 1,994 </w:t>
      </w:r>
      <w:r w:rsidR="00434459" w:rsidRPr="005279AA">
        <w:rPr>
          <w:rFonts w:asciiTheme="majorBidi" w:hAnsiTheme="majorBidi" w:cstheme="majorBidi"/>
          <w:sz w:val="24"/>
          <w:szCs w:val="24"/>
        </w:rPr>
        <w:t>dan nilai signifikasi sebesar 0,020. Dengan nilai sig 0,020 &lt; 0,05 dapat diartikan bahwa Ho ditolak dan Ha diterima</w:t>
      </w:r>
      <w:r w:rsidR="00F81757" w:rsidRPr="005279AA">
        <w:rPr>
          <w:rFonts w:asciiTheme="majorBidi" w:hAnsiTheme="majorBidi" w:cstheme="majorBidi"/>
          <w:sz w:val="24"/>
          <w:szCs w:val="24"/>
        </w:rPr>
        <w:t xml:space="preserve">, </w:t>
      </w:r>
      <w:r w:rsidR="00434459" w:rsidRPr="005279AA">
        <w:rPr>
          <w:rFonts w:asciiTheme="majorBidi" w:hAnsiTheme="majorBidi" w:cstheme="majorBidi"/>
          <w:sz w:val="24"/>
          <w:szCs w:val="24"/>
        </w:rPr>
        <w:t xml:space="preserve">likuiditas </w:t>
      </w:r>
      <w:r w:rsidR="00F81757" w:rsidRPr="005279AA">
        <w:rPr>
          <w:rFonts w:asciiTheme="majorBidi" w:hAnsiTheme="majorBidi" w:cstheme="majorBidi"/>
          <w:sz w:val="24"/>
          <w:szCs w:val="24"/>
        </w:rPr>
        <w:t>berpengaruh</w:t>
      </w:r>
      <w:r w:rsidR="00522632">
        <w:rPr>
          <w:rFonts w:asciiTheme="majorBidi" w:hAnsiTheme="majorBidi" w:cstheme="majorBidi"/>
          <w:sz w:val="24"/>
          <w:szCs w:val="24"/>
        </w:rPr>
        <w:t xml:space="preserve"> negatif</w:t>
      </w:r>
      <w:r w:rsidR="00F81757" w:rsidRPr="005279AA">
        <w:rPr>
          <w:rFonts w:asciiTheme="majorBidi" w:hAnsiTheme="majorBidi" w:cstheme="majorBidi"/>
          <w:sz w:val="24"/>
          <w:szCs w:val="24"/>
        </w:rPr>
        <w:t xml:space="preserve"> </w:t>
      </w:r>
      <w:r w:rsidR="00434459" w:rsidRPr="005279AA">
        <w:rPr>
          <w:rFonts w:asciiTheme="majorBidi" w:hAnsiTheme="majorBidi" w:cstheme="majorBidi"/>
          <w:sz w:val="24"/>
          <w:szCs w:val="24"/>
        </w:rPr>
        <w:t xml:space="preserve">terhadap kebijakan dividen pada sektor </w:t>
      </w:r>
      <w:r w:rsidR="00434459" w:rsidRPr="005279AA">
        <w:rPr>
          <w:rFonts w:asciiTheme="majorBidi" w:hAnsiTheme="majorBidi" w:cstheme="majorBidi"/>
          <w:i/>
          <w:iCs/>
          <w:sz w:val="24"/>
          <w:szCs w:val="24"/>
        </w:rPr>
        <w:t>consumer non cyclical</w:t>
      </w:r>
      <w:r w:rsidR="00434459" w:rsidRPr="005279AA">
        <w:rPr>
          <w:rFonts w:asciiTheme="majorBidi" w:hAnsiTheme="majorBidi" w:cstheme="majorBidi"/>
          <w:sz w:val="24"/>
          <w:szCs w:val="24"/>
        </w:rPr>
        <w:t xml:space="preserve"> yang terdaftar pada </w:t>
      </w:r>
      <w:r w:rsidR="004E6A54"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4E6A54" w:rsidRPr="005279AA">
        <w:rPr>
          <w:rFonts w:asciiTheme="majorBidi" w:hAnsiTheme="majorBidi" w:cstheme="majorBidi"/>
          <w:sz w:val="24"/>
          <w:szCs w:val="24"/>
        </w:rPr>
        <w:t xml:space="preserve">ahun </w:t>
      </w:r>
      <w:r w:rsidR="00434459" w:rsidRPr="005279AA">
        <w:rPr>
          <w:rFonts w:asciiTheme="majorBidi" w:hAnsiTheme="majorBidi" w:cstheme="majorBidi"/>
          <w:sz w:val="24"/>
          <w:szCs w:val="24"/>
        </w:rPr>
        <w:t>2019-2023.</w:t>
      </w:r>
    </w:p>
    <w:p w14:paraId="514A70BC" w14:textId="039E65B2" w:rsidR="00522632" w:rsidRPr="003969A3" w:rsidRDefault="00944468" w:rsidP="00BF76D1">
      <w:pPr>
        <w:pStyle w:val="ListParagraph"/>
        <w:tabs>
          <w:tab w:val="left" w:pos="1701"/>
        </w:tabs>
        <w:spacing w:line="480" w:lineRule="auto"/>
        <w:ind w:firstLine="556"/>
        <w:jc w:val="both"/>
        <w:rPr>
          <w:rFonts w:asciiTheme="majorBidi" w:hAnsiTheme="majorBidi" w:cstheme="majorBidi"/>
          <w:sz w:val="24"/>
          <w:szCs w:val="24"/>
        </w:rPr>
      </w:pPr>
      <w:r w:rsidRPr="001B0541">
        <w:rPr>
          <w:rFonts w:asciiTheme="majorBidi" w:eastAsiaTheme="minorEastAsia" w:hAnsiTheme="majorBidi" w:cstheme="majorBidi"/>
          <w:iCs/>
          <w:sz w:val="24"/>
          <w:szCs w:val="24"/>
        </w:rPr>
        <w:t xml:space="preserve">Hasil penelitian ini selaras dengan hasil penelitian yang dilakukan oleh </w:t>
      </w:r>
      <w:r w:rsidRPr="001B0541">
        <w:rPr>
          <w:rFonts w:asciiTheme="majorBidi" w:hAnsiTheme="majorBidi" w:cstheme="majorBidi"/>
          <w:sz w:val="24"/>
          <w:szCs w:val="24"/>
        </w:rPr>
        <w:fldChar w:fldCharType="begin" w:fldLock="1"/>
      </w:r>
      <w:r w:rsidRPr="001B0541">
        <w:rPr>
          <w:rFonts w:asciiTheme="majorBidi" w:hAnsiTheme="majorBidi" w:cstheme="majorBidi"/>
          <w:sz w:val="24"/>
          <w:szCs w:val="24"/>
        </w:rPr>
        <w:instrText>ADDIN CSL_CITATION {"citationItems":[{"id":"ITEM-1","itemData":{"ISBN":"0217408443","abstract":"Kebijakan dividen penting bagi manajemen untuk memutuskan apakah laba yang diperoleh perusahaan selama satu periode akan dibagi semua atau sebagaian dibagikan untuk dividen, kemudian sebagian lagi tidak dibagi dalam bentuk laba ditahan, adapun Penelitian ini bertujuan untuk mengetahui pengaruh Profitabilitas Terhadap Kebijakan Dividen, pengaruh Likuiditas Terhadap Kebijakan Dividen, dan pengaruh Ukuran Perusahaan Terhadap Kebijakan Dividen. Populasi dalam penelitian ini adalah 144 perusahaan manufaktur yang terdaftar di bursa efek Indonesia untuk periode 2014-2016. Penentuan sampel mengunakan metode purposive sampling dimana jumlah sampel yang digunakan adalah sebanyak 54. Alat analisis yang digunakan pada penelitian ini adalah analisis regresi linier berganda. Dari hasil penelitian ini diketahui bahwa profitabilitas berpengaruh positif dan signifikan terhadap kebijakan dividen. Kemudian likuiditas diketahui berpengaruh negative dan signifikan terhadap kebijakan dividen, dan ukuran Perusahaan tidak berpengaruh signifikan terhadap kebijakan dividen.","author":[{"dropping-particle":"","family":"Firmansyah","given":"M Alfian","non-dropping-particle":"","parse-names":false,"suffix":""},{"dropping-particle":"","family":"Gama","given":"Agus Wahyudi Salasa","non-dropping-particle":"","parse-names":false,"suffix":""},{"dropping-particle":"","family":"Astiti","given":"Ni Putu Yeni","non-dropping-particle":"","parse-names":false,"suffix":""}],"container-title":"Jurnal Ilmu Akuntansi","id":"ITEM-1","issue":"2","issued":{"date-parts":[["2020"]]},"page":"1-10","title":"Pengaruh Profitabilitas, Likuiditas Dan Ukuran Perusahaan Terhadap Kebijakan Dividen Perusahaan Manufaktur Yang Terdaftar Di Bursa Efek Indonesia","type":"article-journal","volume":"1"},"uris":["http://www.mendeley.com/documents/?uuid=9d049efb-7b8f-4eeb-9570-90be3880ccc3"]}],"mendeley":{"formattedCitation":"(Firmansyah et al., 2020)","plainTextFormattedCitation":"(Firmansyah et al., 2020)","previouslyFormattedCitation":"(Firmansyah et al., 2020)"},"properties":{"noteIndex":0},"schema":"https://github.com/citation-style-language/schema/raw/master/csl-citation.json"}</w:instrText>
      </w:r>
      <w:r w:rsidRPr="001B0541">
        <w:rPr>
          <w:rFonts w:asciiTheme="majorBidi" w:hAnsiTheme="majorBidi" w:cstheme="majorBidi"/>
          <w:sz w:val="24"/>
          <w:szCs w:val="24"/>
        </w:rPr>
        <w:fldChar w:fldCharType="separate"/>
      </w:r>
      <w:r w:rsidRPr="001B0541">
        <w:rPr>
          <w:rFonts w:asciiTheme="majorBidi" w:hAnsiTheme="majorBidi" w:cstheme="majorBidi"/>
          <w:noProof/>
          <w:sz w:val="24"/>
          <w:szCs w:val="24"/>
        </w:rPr>
        <w:t>(Firmansyah et al., 2020)</w:t>
      </w:r>
      <w:r w:rsidRPr="001B0541">
        <w:rPr>
          <w:rFonts w:asciiTheme="majorBidi" w:hAnsiTheme="majorBidi" w:cstheme="majorBidi"/>
          <w:sz w:val="24"/>
          <w:szCs w:val="24"/>
        </w:rPr>
        <w:fldChar w:fldCharType="end"/>
      </w:r>
      <w:r w:rsidRPr="001B0541">
        <w:rPr>
          <w:rFonts w:asciiTheme="majorBidi" w:hAnsiTheme="majorBidi" w:cstheme="majorBidi"/>
          <w:sz w:val="24"/>
          <w:szCs w:val="24"/>
        </w:rPr>
        <w:t>;</w:t>
      </w:r>
      <w:r w:rsidR="008510E2">
        <w:rPr>
          <w:rFonts w:asciiTheme="majorBidi" w:hAnsiTheme="majorBidi" w:cstheme="majorBidi"/>
          <w:sz w:val="24"/>
          <w:szCs w:val="24"/>
        </w:rPr>
        <w:t xml:space="preserve"> </w:t>
      </w:r>
      <w:r w:rsidR="008510E2">
        <w:rPr>
          <w:rFonts w:asciiTheme="majorBidi" w:hAnsiTheme="majorBidi" w:cstheme="majorBidi"/>
          <w:sz w:val="24"/>
          <w:szCs w:val="24"/>
        </w:rPr>
        <w:fldChar w:fldCharType="begin" w:fldLock="1"/>
      </w:r>
      <w:r w:rsidR="008510E2">
        <w:rPr>
          <w:rFonts w:asciiTheme="majorBidi" w:hAnsiTheme="majorBidi" w:cstheme="majorBidi"/>
          <w:sz w:val="24"/>
          <w:szCs w:val="24"/>
        </w:rPr>
        <w:instrText>ADDIN CSL_CITATION {"citationItems":[{"id":"ITEM-1","itemData":{"DOI":"10.52160/ejmm.v3i11.294","ISSN":"2502-5430","abstract":"Faktor-Faktor yang Mempengaruhi Kebijakan Dividen. Investor memerlukan informasi yang dapat mendukung keputusannya untuk melakukan investasi, salah satunya melakukan analisis terhadap faktor yang mempengaruhi keputusan perusahaan dalam melakukan pembagian dividen. Tujuan dari penelitian melakukan analisis terhadap faktor–faktor yang mempengaruhi kebijakan dividen yaitu likuiditas, profitabilitas dan ukuran perusahaan. Populasi yang digunakan dalam penelitian ini adalah perusahaan manufaktur sektor industri makanan dan minuman yang terdaftar di Bursa Efek Indonesia (BEI) pada periode 2015-2017. Sampel penelitian berjumlah 12 perusahaan dengan menggunakan metode purposive sampling. Pengujian hipotesis, dianalisis dengan menggunakan metode regresi berganda. Hasil penelitian menunjukkan bahwa profitabilitas dan ukuran perusahaan berpengaruh positif signifikan terhadap kebijakan dividen, sedangkan likuiditas berpengaruh negatif signifikan. Kata","author":[{"dropping-particle":"","family":"Meidawati","given":"Neni","non-dropping-particle":"","parse-names":false,"suffix":""},{"dropping-particle":"","family":"Nurfauziya","given":"Ahada","non-dropping-particle":"","parse-names":false,"suffix":""},{"dropping-particle":"","family":"Chasanah","given":"Uswatun","non-dropping-particle":"","parse-names":false,"suffix":""}],"container-title":"Nominal Barometer Riset Akuntansi dan Manajemen","id":"ITEM-1","issued":{"date-parts":[["2020"]]},"page":"321-322","title":"Faktor – Faktor Yang Mempengaruhi Kebijakan Dividen","type":"article-journal","volume":"9"},"uris":["http://www.mendeley.com/documents/?uuid=5eee0bb0-76f1-48b9-a14c-aaf6d19fed55"]}],"mendeley":{"formattedCitation":"(Meidawati et al., 2020)","plainTextFormattedCitation":"(Meidawati et al., 2020)","previouslyFormattedCitation":"(Meidawati et al., 2020)"},"properties":{"noteIndex":0},"schema":"https://github.com/citation-style-language/schema/raw/master/csl-citation.json"}</w:instrText>
      </w:r>
      <w:r w:rsidR="008510E2">
        <w:rPr>
          <w:rFonts w:asciiTheme="majorBidi" w:hAnsiTheme="majorBidi" w:cstheme="majorBidi"/>
          <w:sz w:val="24"/>
          <w:szCs w:val="24"/>
        </w:rPr>
        <w:fldChar w:fldCharType="separate"/>
      </w:r>
      <w:r w:rsidR="008510E2" w:rsidRPr="008510E2">
        <w:rPr>
          <w:rFonts w:asciiTheme="majorBidi" w:hAnsiTheme="majorBidi" w:cstheme="majorBidi"/>
          <w:noProof/>
          <w:sz w:val="24"/>
          <w:szCs w:val="24"/>
        </w:rPr>
        <w:t>(Meidawati et al., 2020)</w:t>
      </w:r>
      <w:r w:rsidR="008510E2">
        <w:rPr>
          <w:rFonts w:asciiTheme="majorBidi" w:hAnsiTheme="majorBidi" w:cstheme="majorBidi"/>
          <w:sz w:val="24"/>
          <w:szCs w:val="24"/>
        </w:rPr>
        <w:fldChar w:fldCharType="end"/>
      </w:r>
      <w:r w:rsidR="008510E2">
        <w:rPr>
          <w:rFonts w:asciiTheme="majorBidi" w:hAnsiTheme="majorBidi" w:cstheme="majorBidi"/>
          <w:sz w:val="24"/>
          <w:szCs w:val="24"/>
        </w:rPr>
        <w:t xml:space="preserve">; </w:t>
      </w:r>
      <w:r w:rsidR="008510E2">
        <w:rPr>
          <w:rFonts w:asciiTheme="majorBidi" w:hAnsiTheme="majorBidi" w:cstheme="majorBidi"/>
          <w:sz w:val="24"/>
          <w:szCs w:val="24"/>
        </w:rPr>
        <w:fldChar w:fldCharType="begin" w:fldLock="1"/>
      </w:r>
      <w:r w:rsidR="008510E2">
        <w:rPr>
          <w:rFonts w:asciiTheme="majorBidi" w:hAnsiTheme="majorBidi" w:cstheme="majorBidi"/>
          <w:sz w:val="24"/>
          <w:szCs w:val="24"/>
        </w:rPr>
        <w:instrText>ADDIN CSL_CITATION {"citationItems":[{"id":"ITEM-1","itemData":{"abstract":"Tujuan dari penelitian ini yaitu untuk menganalisis pengaruh profitabilitas, firm size, likuiditas dan leverage terhadap kebijakan deviden. Sampel penelitian menggunakan metode purposive sampling, yaitu menggunakan sebanyak 8 perusahaan dengan periode pengamatan selama empat tahun yakni dari tahun 2016-2019. Jenis data yang digunakan yaitu data kuantitatif. Berdasarkan sumber data yang digunakan dalam penelitian ini semuanya adalah data sekunder. Pengumpulan data menggunakan metode dokumentasi. Teknik analisis data yang digunakan ialah model regresi linier berganda. Hasil yang diperoleh menunjukkan variabel profitabilitas dan firm size yang terdaftar di Bursa Efek Indonesia (BEI) periode 2016-2019 berpengaruh positif dan signifikan terhadap kebijakan deviden. Sedangkan variabel likuiditas dan leverage berpengaruh negatif dan signifikan terhadap kebijakan deviden dalam perusahaan LQ45 yang terdaftar di Bursa Efek Indonesia (BEI) tahun 2016-2019. Variabel independen yang dapat menjelaskan pengaruh kebijakan deviden sebanyak 63,20% sedangkan sisanya sebanyak 36,80% lagi dipengaruhi oleh faktor-faktor yang lainnya yang tidak dimasukkan didalam penelitian ini","author":[{"dropping-particle":"","family":"Dhumawati","given":"A A Ayu Made","non-dropping-particle":"","parse-names":false,"suffix":""},{"dropping-particle":"","family":"Erna","given":"A A Ayu","non-dropping-particle":"","parse-names":false,"suffix":""},{"dropping-particle":"","family":"Putra","given":"I B Made","non-dropping-particle":"","parse-names":false,"suffix":""}],"container-title":"Jurnal Riset Akuntansi Warmadewa Pengaruh","id":"ITEM-1","issue":"2","issued":{"date-parts":[["2021"]]},"page":"101","title":"Pengaruh Profitabilitas , Firm Size , Likuiditas dan Leverage Terhadap Kebijakan Deviden","type":"article-journal","volume":"2"},"uris":["http://www.mendeley.com/documents/?uuid=b1b49729-8259-459a-81ac-6dea549969d5"]}],"mendeley":{"formattedCitation":"(Dhumawati et al., 2021)","plainTextFormattedCitation":"(Dhumawati et al., 2021)","previouslyFormattedCitation":"(Dhumawati et al., 2021)"},"properties":{"noteIndex":0},"schema":"https://github.com/citation-style-language/schema/raw/master/csl-citation.json"}</w:instrText>
      </w:r>
      <w:r w:rsidR="008510E2">
        <w:rPr>
          <w:rFonts w:asciiTheme="majorBidi" w:hAnsiTheme="majorBidi" w:cstheme="majorBidi"/>
          <w:sz w:val="24"/>
          <w:szCs w:val="24"/>
        </w:rPr>
        <w:fldChar w:fldCharType="separate"/>
      </w:r>
      <w:r w:rsidR="008510E2" w:rsidRPr="008510E2">
        <w:rPr>
          <w:rFonts w:asciiTheme="majorBidi" w:hAnsiTheme="majorBidi" w:cstheme="majorBidi"/>
          <w:noProof/>
          <w:sz w:val="24"/>
          <w:szCs w:val="24"/>
        </w:rPr>
        <w:t>(Dhumawati et al., 2021)</w:t>
      </w:r>
      <w:r w:rsidR="008510E2">
        <w:rPr>
          <w:rFonts w:asciiTheme="majorBidi" w:hAnsiTheme="majorBidi" w:cstheme="majorBidi"/>
          <w:sz w:val="24"/>
          <w:szCs w:val="24"/>
        </w:rPr>
        <w:fldChar w:fldCharType="end"/>
      </w:r>
      <w:r w:rsidRPr="001B0541">
        <w:rPr>
          <w:rFonts w:asciiTheme="majorBidi" w:hAnsiTheme="majorBidi" w:cstheme="majorBidi"/>
          <w:sz w:val="24"/>
          <w:szCs w:val="24"/>
        </w:rPr>
        <w:t xml:space="preserve"> yang menyatakan bahwa likuiditas berpengaruh </w:t>
      </w:r>
      <w:r w:rsidR="002C59C4" w:rsidRPr="001B0541">
        <w:rPr>
          <w:rFonts w:asciiTheme="majorBidi" w:hAnsiTheme="majorBidi" w:cstheme="majorBidi"/>
          <w:sz w:val="24"/>
          <w:szCs w:val="24"/>
        </w:rPr>
        <w:t>negatif</w:t>
      </w:r>
      <w:r w:rsidR="00AE1415" w:rsidRPr="001B0541">
        <w:rPr>
          <w:rFonts w:asciiTheme="majorBidi" w:hAnsiTheme="majorBidi" w:cstheme="majorBidi"/>
          <w:sz w:val="24"/>
          <w:szCs w:val="24"/>
        </w:rPr>
        <w:t xml:space="preserve"> </w:t>
      </w:r>
      <w:r w:rsidRPr="001B0541">
        <w:rPr>
          <w:rFonts w:asciiTheme="majorBidi" w:hAnsiTheme="majorBidi" w:cstheme="majorBidi"/>
          <w:sz w:val="24"/>
          <w:szCs w:val="24"/>
        </w:rPr>
        <w:t>terhadap kebijakan dividen. Namun</w:t>
      </w:r>
      <w:r w:rsidRPr="005279AA">
        <w:rPr>
          <w:rFonts w:asciiTheme="majorBidi" w:hAnsiTheme="majorBidi" w:cstheme="majorBidi"/>
          <w:sz w:val="24"/>
          <w:szCs w:val="24"/>
        </w:rPr>
        <w:t xml:space="preserve"> hasil tersebut bertolak belakang dengan penelitian </w:t>
      </w:r>
      <w:r w:rsidRPr="005279AA">
        <w:rPr>
          <w:rFonts w:asciiTheme="majorBidi" w:hAnsiTheme="majorBidi" w:cstheme="majorBidi"/>
          <w:sz w:val="24"/>
          <w:szCs w:val="24"/>
        </w:rPr>
        <w:fldChar w:fldCharType="begin" w:fldLock="1"/>
      </w:r>
      <w:r w:rsidR="00D6449E">
        <w:rPr>
          <w:rFonts w:asciiTheme="majorBidi" w:hAnsiTheme="majorBidi" w:cstheme="majorBidi"/>
          <w:sz w:val="24"/>
          <w:szCs w:val="24"/>
        </w:rPr>
        <w:instrText>ADDIN CSL_CITATION {"citationItems":[{"id":"ITEM-1","itemData":{"abstract":"Penelitian ini bertujuan untuk menentukan dan menganalisa pengaruh profitabilitas, leverage, ukuran perusahaan, pertumbuhan dan likuiditas terhadap kebijakan dividen pada perusahaan manufaktur yang terdaftar di bursa Efek Indonesia dalam tahun amatan 2013-2017. Populasi penelitian adalah semua perusahaan manufaktur yang terdaftar di BEI, dengan sampel yang diperoleh 37 perusahaan yang sesuai dengan kriteria yang ditetapkan. Data tersebut dianalisa dengan menggunakan pengujian asumsi klasik dan analisa berganda dengan menggunakan SPSS 25. Simpulan dari peneliian ini menyatakan bahwa profitabilitas berpengaruh signifikan terhadap kebijakan dividen, Pertumbuhan berpengaruh negatif signifikan terhadap kebijakan dividen. Sementara itu, leverage tidak berpengaruh negatif signifikan, ukuran","author":[{"dropping-particle":"","family":"Sundari Retno Ika","given":"Fitri Budhiani","non-dropping-particle":"","parse-names":false,"suffix":""}],"container-title":"JRAK","id":"ITEM-1","issued":{"date-parts":[["2021"]]},"page":"72","title":"KEBIJAKAN DIVIDEN PADA PERUSAHAAN MANUFAKTUR YANG TERDAFTAR DI BURSA EFEK","type":"article-journal","volume":"17"},"uris":["http://www.mendeley.com/documents/?uuid=6a7cbb7f-2ec0-4712-a625-ba8cc944d1ac"]}],"mendeley":{"formattedCitation":"(Sundari Retno Ika, 2021)","plainTextFormattedCitation":"(Sundari Retno Ika, 2021)","previouslyFormattedCitation":"(Sundari Retno Ika, 2021)"},"properties":{"noteIndex":0},"schema":"https://github.com/citation-style-language/schema/raw/master/csl-citation.json"}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(Sundari Retno Ika, 2021)</w:t>
      </w:r>
      <w:r w:rsidRPr="005279AA">
        <w:rPr>
          <w:rFonts w:asciiTheme="majorBidi" w:hAnsiTheme="majorBidi" w:cstheme="majorBidi"/>
          <w:sz w:val="24"/>
          <w:szCs w:val="24"/>
        </w:rPr>
        <w:fldChar w:fldCharType="end"/>
      </w:r>
      <w:r w:rsidR="00077B32">
        <w:rPr>
          <w:rFonts w:asciiTheme="majorBidi" w:hAnsiTheme="majorBidi" w:cstheme="majorBidi"/>
          <w:sz w:val="24"/>
          <w:szCs w:val="24"/>
        </w:rPr>
        <w:t xml:space="preserve"> </w:t>
      </w:r>
      <w:r w:rsidRPr="005279AA">
        <w:rPr>
          <w:rFonts w:asciiTheme="majorBidi" w:hAnsiTheme="majorBidi" w:cstheme="majorBidi"/>
          <w:sz w:val="24"/>
          <w:szCs w:val="24"/>
        </w:rPr>
        <w:t>yang menyatakan bahwa likuiditas tidak berpengaruh signifikan terhadap kebijakan dividen.</w:t>
      </w:r>
    </w:p>
    <w:p w14:paraId="31011F3A" w14:textId="670C89D8" w:rsidR="003969A3" w:rsidRPr="003969A3" w:rsidRDefault="00645511" w:rsidP="00BF76D1">
      <w:pPr>
        <w:pStyle w:val="ListParagraph"/>
        <w:numPr>
          <w:ilvl w:val="0"/>
          <w:numId w:val="51"/>
        </w:numPr>
        <w:tabs>
          <w:tab w:val="left" w:pos="1701"/>
        </w:tabs>
        <w:spacing w:line="480" w:lineRule="auto"/>
        <w:jc w:val="both"/>
        <w:rPr>
          <w:rFonts w:asciiTheme="majorBidi" w:eastAsiaTheme="minorEastAsia" w:hAnsiTheme="majorBidi" w:cstheme="majorBidi"/>
          <w:b/>
          <w:bCs/>
          <w:iCs/>
          <w:sz w:val="24"/>
          <w:szCs w:val="24"/>
        </w:rPr>
      </w:pPr>
      <w:r w:rsidRPr="00906F1F">
        <w:rPr>
          <w:rFonts w:asciiTheme="majorBidi" w:eastAsiaTheme="minorEastAsia" w:hAnsiTheme="majorBidi" w:cstheme="majorBidi"/>
          <w:b/>
          <w:bCs/>
          <w:iCs/>
          <w:sz w:val="24"/>
          <w:szCs w:val="24"/>
          <w:lang w:val="id-ID"/>
        </w:rPr>
        <w:t>Pengaruh Leverage Terhadap Kebijakan Dividen</w:t>
      </w:r>
    </w:p>
    <w:p w14:paraId="5B287925" w14:textId="77777777" w:rsidR="003969A3" w:rsidRPr="00724F1A"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sidRPr="00724F1A">
        <w:rPr>
          <w:rFonts w:ascii="Times New Roman" w:eastAsia="SimSun" w:hAnsi="Times New Roman" w:cs="Times New Roman"/>
          <w:i/>
          <w:sz w:val="24"/>
          <w:szCs w:val="24"/>
        </w:rPr>
        <w:t>Leverage</w:t>
      </w:r>
      <w:r w:rsidRPr="00724F1A">
        <w:rPr>
          <w:rFonts w:ascii="Times New Roman" w:eastAsia="SimSun" w:hAnsi="Times New Roman" w:cs="Times New Roman"/>
          <w:iCs/>
          <w:sz w:val="24"/>
          <w:szCs w:val="24"/>
        </w:rPr>
        <w:t xml:space="preserve"> adalah ukuran kemampuan perusahaan untuk membayar utang jangka panjangnya. </w:t>
      </w:r>
      <w:r>
        <w:rPr>
          <w:rFonts w:ascii="Times New Roman" w:eastAsia="SimSun" w:hAnsi="Times New Roman" w:cs="Times New Roman"/>
          <w:iCs/>
          <w:sz w:val="24"/>
          <w:szCs w:val="24"/>
        </w:rPr>
        <w:t xml:space="preserve">Usaha </w:t>
      </w:r>
      <w:r w:rsidRPr="00724F1A">
        <w:rPr>
          <w:rFonts w:ascii="Times New Roman" w:eastAsia="SimSun" w:hAnsi="Times New Roman" w:cs="Times New Roman"/>
          <w:iCs/>
          <w:sz w:val="24"/>
          <w:szCs w:val="24"/>
        </w:rPr>
        <w:t xml:space="preserve">yang mempunyai utang jangka panjang lebih banyak daripada modal yang tersedia dianggap </w:t>
      </w:r>
      <w:r>
        <w:rPr>
          <w:rFonts w:ascii="Times New Roman" w:eastAsia="SimSun" w:hAnsi="Times New Roman" w:cs="Times New Roman"/>
          <w:iCs/>
          <w:sz w:val="24"/>
          <w:szCs w:val="24"/>
        </w:rPr>
        <w:t xml:space="preserve">sebagai perusahaan yang tidak solvabel </w:t>
      </w:r>
      <w:r w:rsidRPr="00724F1A">
        <w:rPr>
          <w:rFonts w:ascii="Times New Roman" w:eastAsia="SimSun" w:hAnsi="Times New Roman" w:cs="Times New Roman"/>
          <w:iCs/>
          <w:sz w:val="24"/>
          <w:szCs w:val="24"/>
        </w:rPr>
        <w:fldChar w:fldCharType="begin" w:fldLock="1"/>
      </w:r>
      <w:r w:rsidRPr="00724F1A">
        <w:rPr>
          <w:rFonts w:ascii="Times New Roman" w:eastAsia="SimSun" w:hAnsi="Times New Roman" w:cs="Times New Roman"/>
          <w:iCs/>
          <w:sz w:val="24"/>
          <w:szCs w:val="24"/>
        </w:rPr>
        <w:instrText>ADDIN CSL_CITATION {"citationItems":[{"id":"ITEM-1","itemData":{"DOI":"10.47467/alkharaj.v4i3.749","author":[{"dropping-particle":"","family":"Hidayat","given":"Dicky","non-dropping-particle":"","parse-names":false,"suffix":""},{"dropping-particle":"","family":"Hermuningsih","given":"Sri","non-dropping-particle":"","parse-names":false,"suffix":""},{"dropping-particle":"","family":"Maulida","given":"Alfiatul","non-dropping-particle":"","parse-names":false,"suffix":""}],"container-title":"Al-Kharaj: Jurnal Ekonomi, Keuangan &amp; Bisnis Syariah","id":"ITEM-1","issue":"3","issued":{"date-parts":[["2022"]]},"page":"895-913","title":"Pengaruh Profitabilitas, Likuiditas, Leverage, dan Ukuran Perusahaan terhadap Kebijakan Dividen: Studi Kasus pada Perusahaan Sub Sektor Consumer Goods Industry yang terdaftar di BEI Periode 2016-2020","type":"article-journal","volume":"4"},"uris":["http://www.mendeley.com/documents/?uuid=0bc3d95d-dbd5-47b2-8afe-c47f9b971174"]}],"mendeley":{"formattedCitation":"(Hidayat et al., 2022)","manualFormatting":"(Hidayat et al., 2022:898)","plainTextFormattedCitation":"(Hidayat et al., 2022)","previouslyFormattedCitation":"(Hidayat et al., 2022)"},"properties":{"noteIndex":0},"schema":"https://github.com/citation-style-language/schema/raw/master/csl-citation.json"}</w:instrText>
      </w:r>
      <w:r w:rsidRPr="00724F1A">
        <w:rPr>
          <w:rFonts w:ascii="Times New Roman" w:eastAsia="SimSun" w:hAnsi="Times New Roman" w:cs="Times New Roman"/>
          <w:iCs/>
          <w:sz w:val="24"/>
          <w:szCs w:val="24"/>
        </w:rPr>
        <w:fldChar w:fldCharType="separate"/>
      </w:r>
      <w:r w:rsidRPr="00724F1A">
        <w:rPr>
          <w:rFonts w:ascii="Times New Roman" w:eastAsia="SimSun" w:hAnsi="Times New Roman" w:cs="Times New Roman"/>
          <w:iCs/>
          <w:noProof/>
          <w:sz w:val="24"/>
          <w:szCs w:val="24"/>
        </w:rPr>
        <w:t>(Hidayat et al., 2022:898)</w:t>
      </w:r>
      <w:r w:rsidRPr="00724F1A">
        <w:rPr>
          <w:rFonts w:ascii="Times New Roman" w:eastAsia="SimSun" w:hAnsi="Times New Roman" w:cs="Times New Roman"/>
          <w:iCs/>
          <w:sz w:val="24"/>
          <w:szCs w:val="24"/>
        </w:rPr>
        <w:fldChar w:fldCharType="end"/>
      </w:r>
      <w:r w:rsidRPr="00724F1A">
        <w:rPr>
          <w:rFonts w:ascii="Times New Roman" w:eastAsia="SimSun" w:hAnsi="Times New Roman" w:cs="Times New Roman"/>
          <w:iCs/>
          <w:sz w:val="24"/>
          <w:szCs w:val="24"/>
        </w:rPr>
        <w:t>. Rasio hutang terhadap ekuitas yang lebih besar akan menghasilkan peningkatan modal pinjaman dan tingkat suku bunga yang lebih tinggi bag</w:t>
      </w:r>
      <w:r>
        <w:rPr>
          <w:rFonts w:ascii="Times New Roman" w:eastAsia="SimSun" w:hAnsi="Times New Roman" w:cs="Times New Roman"/>
          <w:iCs/>
          <w:sz w:val="24"/>
          <w:szCs w:val="24"/>
        </w:rPr>
        <w:t>i perusahaan</w:t>
      </w:r>
      <w:r w:rsidRPr="00724F1A">
        <w:rPr>
          <w:rFonts w:ascii="Times New Roman" w:eastAsia="SimSun" w:hAnsi="Times New Roman" w:cs="Times New Roman"/>
          <w:iCs/>
          <w:sz w:val="24"/>
          <w:szCs w:val="24"/>
        </w:rPr>
        <w:t>.</w:t>
      </w:r>
    </w:p>
    <w:p w14:paraId="4BF10BC2" w14:textId="77777777" w:rsidR="00B25E75"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lastRenderedPageBreak/>
        <w:t xml:space="preserve">Pendistribusian dividen yang nominalnya lebih besar dapat memberikan lebih banyak peluang bagi berusahaan untuk meningkatkan kebutuhan dana ekternalnya salah satunya adalah hutang. </w:t>
      </w:r>
      <w:r w:rsidRPr="00724F1A">
        <w:rPr>
          <w:rFonts w:ascii="Times New Roman" w:eastAsia="SimSun" w:hAnsi="Times New Roman" w:cs="Times New Roman"/>
          <w:iCs/>
          <w:sz w:val="24"/>
          <w:szCs w:val="24"/>
        </w:rPr>
        <w:t>Investor mendapat informasi tentang potensi kemungkinan investasi di masa depan melalui sinyal positif dari manajemen, yang dikirimkan melalui pembagian dividen</w:t>
      </w:r>
      <w:r>
        <w:rPr>
          <w:rFonts w:ascii="Times New Roman" w:eastAsia="SimSun" w:hAnsi="Times New Roman" w:cs="Times New Roman"/>
          <w:iCs/>
          <w:sz w:val="24"/>
          <w:szCs w:val="24"/>
        </w:rPr>
        <w:t xml:space="preserve">. Persentase </w:t>
      </w:r>
      <w:r>
        <w:rPr>
          <w:rFonts w:ascii="Times New Roman" w:eastAsia="SimSun" w:hAnsi="Times New Roman" w:cs="Times New Roman"/>
          <w:i/>
          <w:sz w:val="24"/>
          <w:szCs w:val="24"/>
        </w:rPr>
        <w:t>Debt to Equity Ratio</w:t>
      </w:r>
      <w:r>
        <w:rPr>
          <w:rFonts w:ascii="Times New Roman" w:eastAsia="SimSun" w:hAnsi="Times New Roman" w:cs="Times New Roman"/>
          <w:iCs/>
          <w:sz w:val="24"/>
          <w:szCs w:val="24"/>
        </w:rPr>
        <w:t xml:space="preserve"> (DER) dapat digunakan untuk menunjukan struktur modal usaha apakah lebih banyak memanfaatkan hutang-hutang relatif terhadap ekuitas atau menggunakan dana internalnya. Semakin tinggi rasio </w:t>
      </w:r>
      <w:r>
        <w:rPr>
          <w:rFonts w:ascii="Times New Roman" w:eastAsia="SimSun" w:hAnsi="Times New Roman" w:cs="Times New Roman"/>
          <w:i/>
          <w:sz w:val="24"/>
          <w:szCs w:val="24"/>
        </w:rPr>
        <w:t>leverage</w:t>
      </w:r>
      <w:r>
        <w:rPr>
          <w:rFonts w:ascii="Times New Roman" w:eastAsia="SimSun" w:hAnsi="Times New Roman" w:cs="Times New Roman"/>
          <w:iCs/>
          <w:sz w:val="24"/>
          <w:szCs w:val="24"/>
        </w:rPr>
        <w:t xml:space="preserve">, mengindikasikan semakin banyak utang dalam struktur modal perusahaan, dengan demikian semakin besar pula bahaya serta tantangan finansial yang dihadapi perusahaan. </w:t>
      </w:r>
    </w:p>
    <w:p w14:paraId="3ABC6585" w14:textId="4A767E84" w:rsidR="003969A3" w:rsidRPr="00B25E75"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Penggunaan hutang yang berlebihan akan berdampak struktur modal perusahaan serta beban bunga dan hutang yang pada akhirnya mempengaruhi laba bersih perusahaan. Semakin tinggi </w:t>
      </w:r>
      <w:r>
        <w:rPr>
          <w:rFonts w:ascii="Times New Roman" w:eastAsia="SimSun" w:hAnsi="Times New Roman" w:cs="Times New Roman"/>
          <w:i/>
          <w:sz w:val="24"/>
          <w:szCs w:val="24"/>
        </w:rPr>
        <w:t>leverage</w:t>
      </w:r>
      <w:r>
        <w:rPr>
          <w:rFonts w:ascii="Times New Roman" w:eastAsia="SimSun" w:hAnsi="Times New Roman" w:cs="Times New Roman"/>
          <w:iCs/>
          <w:sz w:val="24"/>
          <w:szCs w:val="24"/>
        </w:rPr>
        <w:t xml:space="preserve"> akan berdampak pula terhadap dividen yang dibayarkan kepada pemegang saham.</w:t>
      </w:r>
      <w:r w:rsidR="00B25E75">
        <w:rPr>
          <w:rFonts w:ascii="Times New Roman" w:eastAsia="SimSun" w:hAnsi="Times New Roman" w:cs="Times New Roman"/>
          <w:iCs/>
          <w:sz w:val="24"/>
          <w:szCs w:val="24"/>
        </w:rPr>
        <w:t xml:space="preserve"> </w:t>
      </w:r>
      <w:r w:rsidR="00BA4CD3" w:rsidRPr="00BA4CD3">
        <w:rPr>
          <w:rFonts w:ascii="Times New Roman" w:eastAsia="SimSun" w:hAnsi="Times New Roman" w:cs="Times New Roman"/>
          <w:iCs/>
          <w:sz w:val="24"/>
          <w:szCs w:val="24"/>
        </w:rPr>
        <w:t xml:space="preserve">Beban hutang yang berlebihan akan berdampak negatif terhadap persepsi investor terhadap perusahaan. Ketika hutang perusahaan melebihi modalnya, perusahaan </w:t>
      </w:r>
      <w:r w:rsidR="00BA4CD3">
        <w:rPr>
          <w:rFonts w:ascii="Times New Roman" w:eastAsia="SimSun" w:hAnsi="Times New Roman" w:cs="Times New Roman"/>
          <w:iCs/>
          <w:sz w:val="24"/>
          <w:szCs w:val="24"/>
        </w:rPr>
        <w:t xml:space="preserve">cenderung </w:t>
      </w:r>
      <w:r w:rsidR="00BA4CD3" w:rsidRPr="00BA4CD3">
        <w:rPr>
          <w:rFonts w:ascii="Times New Roman" w:eastAsia="SimSun" w:hAnsi="Times New Roman" w:cs="Times New Roman"/>
          <w:iCs/>
          <w:sz w:val="24"/>
          <w:szCs w:val="24"/>
        </w:rPr>
        <w:t xml:space="preserve">menyimpan keuntungannya untuk melunasi hutangnya sebelum membaginya dengan pemegang saham. </w:t>
      </w:r>
      <w:r w:rsidR="00B25E75">
        <w:rPr>
          <w:rFonts w:ascii="Times New Roman" w:eastAsia="SimSun" w:hAnsi="Times New Roman" w:cs="Times New Roman"/>
          <w:iCs/>
          <w:sz w:val="24"/>
          <w:szCs w:val="24"/>
        </w:rPr>
        <w:fldChar w:fldCharType="begin" w:fldLock="1"/>
      </w:r>
      <w:r w:rsidR="00573ABD">
        <w:rPr>
          <w:rFonts w:ascii="Times New Roman" w:eastAsia="SimSun" w:hAnsi="Times New Roman" w:cs="Times New Roman"/>
          <w:iCs/>
          <w:sz w:val="24"/>
          <w:szCs w:val="24"/>
        </w:rPr>
        <w:instrText>ADDIN CSL_CITATION {"citationItems":[{"id":"ITEM-1","itemData":{"DOI":"https://doi.org/10.55681/sentri.v3i2.2334","author":[{"dropping-particle":"","family":"Arimbi","given":"Anandita","non-dropping-particle":"","parse-names":false,"suffix":""},{"dropping-particle":"","family":"Pangaribuan","given":"David","non-dropping-particle":"","parse-names":false,"suffix":""},{"dropping-particle":"","family":"Yuniati","given":"Triana","non-dropping-particle":"","parse-names":false,"suffix":""}],"container-title":"SENTRI: Jurnal Riset Ilmiah","id":"ITEM-1","issue":"2","issued":{"date-parts":[["2024"]]},"page":"897","title":"PENGARUH KEPEMILIKAN MANAJERIAL, LEVERAGE, DAN PERTUMBUHAN LABA TERHADAP KEBIJAKAN DIVIDEN PADA PERUSAHAAN SEKTOR CONSUMER NON-CYCLICALS","type":"article-journal","volume":"3"},"uris":["http://www.mendeley.com/documents/?uuid=6042521f-9157-4702-a5a8-0510091c2df7"]}],"mendeley":{"formattedCitation":"(Arimbi et al., 2024)","manualFormatting":"(Arimbi et al., 2024:897)","plainTextFormattedCitation":"(Arimbi et al., 2024)","previouslyFormattedCitation":"(Arimbi et al., 2024)"},"properties":{"noteIndex":0},"schema":"https://github.com/citation-style-language/schema/raw/master/csl-citation.json"}</w:instrText>
      </w:r>
      <w:r w:rsidR="00B25E75">
        <w:rPr>
          <w:rFonts w:ascii="Times New Roman" w:eastAsia="SimSun" w:hAnsi="Times New Roman" w:cs="Times New Roman"/>
          <w:iCs/>
          <w:sz w:val="24"/>
          <w:szCs w:val="24"/>
        </w:rPr>
        <w:fldChar w:fldCharType="separate"/>
      </w:r>
      <w:r w:rsidR="00B25E75" w:rsidRPr="00B25E75">
        <w:rPr>
          <w:rFonts w:ascii="Times New Roman" w:eastAsia="SimSun" w:hAnsi="Times New Roman" w:cs="Times New Roman"/>
          <w:iCs/>
          <w:noProof/>
          <w:sz w:val="24"/>
          <w:szCs w:val="24"/>
        </w:rPr>
        <w:t>(Arimbi et al., 2024</w:t>
      </w:r>
      <w:r w:rsidR="00B25E75">
        <w:rPr>
          <w:rFonts w:ascii="Times New Roman" w:eastAsia="SimSun" w:hAnsi="Times New Roman" w:cs="Times New Roman"/>
          <w:iCs/>
          <w:noProof/>
          <w:sz w:val="24"/>
          <w:szCs w:val="24"/>
        </w:rPr>
        <w:t>:897</w:t>
      </w:r>
      <w:r w:rsidR="00B25E75" w:rsidRPr="00B25E75">
        <w:rPr>
          <w:rFonts w:ascii="Times New Roman" w:eastAsia="SimSun" w:hAnsi="Times New Roman" w:cs="Times New Roman"/>
          <w:iCs/>
          <w:noProof/>
          <w:sz w:val="24"/>
          <w:szCs w:val="24"/>
        </w:rPr>
        <w:t>)</w:t>
      </w:r>
      <w:r w:rsidR="00B25E75">
        <w:rPr>
          <w:rFonts w:ascii="Times New Roman" w:eastAsia="SimSun" w:hAnsi="Times New Roman" w:cs="Times New Roman"/>
          <w:iCs/>
          <w:sz w:val="24"/>
          <w:szCs w:val="24"/>
        </w:rPr>
        <w:fldChar w:fldCharType="end"/>
      </w:r>
      <w:r w:rsidR="00B25E75">
        <w:rPr>
          <w:rFonts w:ascii="Times New Roman" w:eastAsia="SimSun" w:hAnsi="Times New Roman" w:cs="Times New Roman"/>
          <w:iCs/>
          <w:sz w:val="24"/>
          <w:szCs w:val="24"/>
        </w:rPr>
        <w:t>.</w:t>
      </w:r>
    </w:p>
    <w:p w14:paraId="13F28D6E" w14:textId="5A969A48" w:rsidR="003969A3" w:rsidRPr="003969A3" w:rsidRDefault="001A2D9E"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sidRPr="005279AA">
        <w:rPr>
          <w:rFonts w:asciiTheme="majorBidi" w:hAnsiTheme="majorBidi" w:cstheme="majorBidi"/>
          <w:sz w:val="24"/>
          <w:szCs w:val="24"/>
        </w:rPr>
        <w:t>Menurut (Jensen &amp; Meckling, 1976:</w:t>
      </w:r>
      <w:r>
        <w:rPr>
          <w:rFonts w:asciiTheme="majorBidi" w:hAnsiTheme="majorBidi" w:cstheme="majorBidi"/>
          <w:sz w:val="24"/>
          <w:szCs w:val="24"/>
        </w:rPr>
        <w:t>40</w:t>
      </w:r>
      <w:r w:rsidRPr="005279AA">
        <w:rPr>
          <w:rFonts w:asciiTheme="majorBidi" w:hAnsiTheme="majorBidi" w:cstheme="majorBidi"/>
          <w:sz w:val="24"/>
          <w:szCs w:val="24"/>
        </w:rPr>
        <w:t>)</w:t>
      </w:r>
      <w:r>
        <w:rPr>
          <w:rFonts w:asciiTheme="majorBidi" w:hAnsiTheme="majorBidi" w:cstheme="majorBidi"/>
          <w:sz w:val="24"/>
          <w:szCs w:val="24"/>
        </w:rPr>
        <w:t xml:space="preserve">, </w:t>
      </w:r>
      <w:r w:rsidR="003969A3" w:rsidRPr="001A2D9E">
        <w:rPr>
          <w:rFonts w:ascii="Times New Roman" w:eastAsia="SimSun" w:hAnsi="Times New Roman" w:cs="Times New Roman"/>
          <w:iCs/>
          <w:sz w:val="24"/>
          <w:szCs w:val="24"/>
        </w:rPr>
        <w:t>bahwa</w:t>
      </w:r>
      <w:r w:rsidR="003969A3">
        <w:rPr>
          <w:rFonts w:ascii="Times New Roman" w:eastAsia="SimSun" w:hAnsi="Times New Roman" w:cs="Times New Roman"/>
          <w:iCs/>
          <w:sz w:val="24"/>
          <w:szCs w:val="24"/>
        </w:rPr>
        <w:t xml:space="preserve"> ada beberapa pendekatan untuk mengurangi masalah agensi. Perusahaan dengan rasio utang terhadap modal yang tinggi sering kali menggunakan arus kas internal </w:t>
      </w:r>
      <w:r w:rsidR="003969A3">
        <w:rPr>
          <w:rFonts w:ascii="Times New Roman" w:eastAsia="SimSun" w:hAnsi="Times New Roman" w:cs="Times New Roman"/>
          <w:iCs/>
          <w:sz w:val="24"/>
          <w:szCs w:val="24"/>
        </w:rPr>
        <w:lastRenderedPageBreak/>
        <w:t>untuk mendanai investasinya. K</w:t>
      </w:r>
      <w:r w:rsidR="003969A3" w:rsidRPr="006B56D3">
        <w:rPr>
          <w:rFonts w:ascii="Times New Roman" w:eastAsia="SimSun" w:hAnsi="Times New Roman" w:cs="Times New Roman"/>
          <w:iCs/>
          <w:sz w:val="24"/>
          <w:szCs w:val="24"/>
        </w:rPr>
        <w:t>elebihan arus kas dan kapasitas pengeluaran berlebihan suatu perusahaan dapat dibatasi oleh utang.</w:t>
      </w:r>
      <w:r w:rsidR="003969A3">
        <w:rPr>
          <w:rFonts w:ascii="Times New Roman" w:eastAsia="SimSun" w:hAnsi="Times New Roman" w:cs="Times New Roman"/>
          <w:iCs/>
          <w:sz w:val="24"/>
          <w:szCs w:val="24"/>
        </w:rPr>
        <w:t xml:space="preserve"> Pelaporan akuntabilitas mengurangi permasalahan agensi antara manajer dan prinsipal, serta memungkinkan manajer perusahaan untuk beroperasi lebih produktif </w:t>
      </w:r>
      <w:r w:rsidR="003969A3">
        <w:rPr>
          <w:rFonts w:ascii="Times New Roman" w:eastAsia="SimSun" w:hAnsi="Times New Roman" w:cs="Times New Roman"/>
          <w:iCs/>
          <w:sz w:val="24"/>
          <w:szCs w:val="24"/>
        </w:rPr>
        <w:fldChar w:fldCharType="begin" w:fldLock="1"/>
      </w:r>
      <w:r w:rsidR="003969A3">
        <w:rPr>
          <w:rFonts w:ascii="Times New Roman" w:eastAsia="SimSun" w:hAnsi="Times New Roman" w:cs="Times New Roman"/>
          <w:iCs/>
          <w:sz w:val="24"/>
          <w:szCs w:val="24"/>
        </w:rPr>
        <w:instrText>ADDIN CSL_CITATION {"citationItems":[{"id":"ITEM-1","itemData":{"DOI":"https://doi.org/10.54443/sinomika.v1i6.772","author":[{"dropping-particle":"","family":"Syahirah","given":"Nazma","non-dropping-particle":"","parse-names":false,"suffix":""},{"dropping-particle":"","family":"Ahmad","given":"Gatot Nazir","non-dropping-particle":"","parse-names":false,"suffix":""},{"dropping-particle":"","family":"Dalimunthe","given":"Sholatia","non-dropping-particle":"","parse-names":false,"suffix":""}],"container-title":"Sinomika Journal","id":"ITEM-1","issue":"6","issued":{"date-parts":[["2023"]]},"page":"1539-1554","title":"Pengaruh Likuiditas dan Leverage terhadap Kebijakan Dividen dengan Ukuran Perusahaan sebagai Variabel Kontrol ( Studi Kasus pada Perusahaan Sektor Infrastruktur yang Terdaftar di BEI Tahun 2015-2020 )","type":"article-journal","volume":"1"},"uris":["http://www.mendeley.com/documents/?uuid=6c831e05-d366-408c-8d2f-a1e17f3a6718"]}],"mendeley":{"formattedCitation":"(Syahirah et al., 2023)","manualFormatting":"(Syahirah et al., 2023:1548)","plainTextFormattedCitation":"(Syahirah et al., 2023)","previouslyFormattedCitation":"(Syahirah et al., 2023)"},"properties":{"noteIndex":0},"schema":"https://github.com/citation-style-language/schema/raw/master/csl-citation.json"}</w:instrText>
      </w:r>
      <w:r w:rsidR="003969A3">
        <w:rPr>
          <w:rFonts w:ascii="Times New Roman" w:eastAsia="SimSun" w:hAnsi="Times New Roman" w:cs="Times New Roman"/>
          <w:iCs/>
          <w:sz w:val="24"/>
          <w:szCs w:val="24"/>
        </w:rPr>
        <w:fldChar w:fldCharType="separate"/>
      </w:r>
      <w:r w:rsidR="003969A3">
        <w:rPr>
          <w:rFonts w:ascii="Times New Roman" w:eastAsia="SimSun" w:hAnsi="Times New Roman" w:cs="Times New Roman"/>
          <w:iCs/>
          <w:noProof/>
          <w:sz w:val="24"/>
          <w:szCs w:val="24"/>
        </w:rPr>
        <w:t>(Syahirah et al., 2023:1548)</w:t>
      </w:r>
      <w:r w:rsidR="003969A3">
        <w:rPr>
          <w:rFonts w:ascii="Times New Roman" w:eastAsia="SimSun" w:hAnsi="Times New Roman" w:cs="Times New Roman"/>
          <w:iCs/>
          <w:sz w:val="24"/>
          <w:szCs w:val="24"/>
        </w:rPr>
        <w:fldChar w:fldCharType="end"/>
      </w:r>
      <w:r w:rsidR="003969A3">
        <w:rPr>
          <w:rFonts w:ascii="Times New Roman" w:eastAsia="SimSun" w:hAnsi="Times New Roman" w:cs="Times New Roman"/>
          <w:iCs/>
          <w:sz w:val="24"/>
          <w:szCs w:val="24"/>
        </w:rPr>
        <w:t>.</w:t>
      </w:r>
    </w:p>
    <w:p w14:paraId="1F35B2B2" w14:textId="48421C30" w:rsidR="007A0606" w:rsidRPr="005279AA" w:rsidRDefault="006373E9"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menunjukan bahwa rasio </w:t>
      </w:r>
      <w:r w:rsidRPr="005279AA">
        <w:rPr>
          <w:rFonts w:asciiTheme="majorBidi" w:eastAsiaTheme="minorEastAsia" w:hAnsiTheme="majorBidi" w:cstheme="majorBidi"/>
          <w:i/>
          <w:sz w:val="24"/>
          <w:szCs w:val="24"/>
        </w:rPr>
        <w:t>leverage</w:t>
      </w:r>
      <w:r w:rsidRPr="005279AA">
        <w:rPr>
          <w:rFonts w:asciiTheme="majorBidi" w:eastAsiaTheme="minorEastAsia" w:hAnsiTheme="majorBidi" w:cstheme="majorBidi"/>
          <w:iCs/>
          <w:sz w:val="24"/>
          <w:szCs w:val="24"/>
        </w:rPr>
        <w:t xml:space="preserve"> yang di proksikan menggunakan </w:t>
      </w:r>
      <w:r w:rsidR="004E6A54" w:rsidRPr="005279AA">
        <w:rPr>
          <w:rFonts w:asciiTheme="majorBidi" w:eastAsiaTheme="minorEastAsia" w:hAnsiTheme="majorBidi" w:cstheme="majorBidi"/>
          <w:i/>
          <w:sz w:val="24"/>
          <w:szCs w:val="24"/>
        </w:rPr>
        <w:t>Debt to Equity Ratio</w:t>
      </w:r>
      <w:r w:rsidR="004E6A54" w:rsidRPr="005279AA">
        <w:rPr>
          <w:rFonts w:asciiTheme="majorBidi" w:eastAsiaTheme="minorEastAsia" w:hAnsiTheme="majorBidi" w:cstheme="majorBidi"/>
          <w:iCs/>
          <w:sz w:val="24"/>
          <w:szCs w:val="24"/>
        </w:rPr>
        <w:t xml:space="preserve"> (DER) </w:t>
      </w:r>
      <w:r w:rsidRPr="005279AA">
        <w:rPr>
          <w:rFonts w:asciiTheme="majorBidi" w:eastAsiaTheme="minorEastAsia" w:hAnsiTheme="majorBidi" w:cstheme="majorBidi"/>
          <w:iCs/>
          <w:sz w:val="24"/>
          <w:szCs w:val="24"/>
        </w:rPr>
        <w:t xml:space="preserve">berpengaruh </w:t>
      </w:r>
      <w:r w:rsidR="00077B32">
        <w:rPr>
          <w:rFonts w:asciiTheme="majorBidi" w:eastAsiaTheme="minorEastAsia" w:hAnsiTheme="majorBidi" w:cstheme="majorBidi"/>
          <w:iCs/>
          <w:sz w:val="24"/>
          <w:szCs w:val="24"/>
        </w:rPr>
        <w:t>negatif</w:t>
      </w:r>
      <w:r w:rsidR="00AE1415">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terhadap kebijakan dividen pada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pada </w:t>
      </w:r>
      <w:r w:rsidR="005C6CE5" w:rsidRPr="005279AA">
        <w:rPr>
          <w:rFonts w:asciiTheme="majorBidi" w:eastAsiaTheme="minorEastAsia" w:hAnsiTheme="majorBidi" w:cstheme="majorBidi"/>
          <w:iCs/>
          <w:sz w:val="24"/>
          <w:szCs w:val="24"/>
        </w:rPr>
        <w:t xml:space="preserve">Bursa Efek Indonesia </w:t>
      </w:r>
      <w:r w:rsidR="00C34EDF">
        <w:rPr>
          <w:rFonts w:asciiTheme="majorBidi" w:eastAsiaTheme="minorEastAsia" w:hAnsiTheme="majorBidi" w:cstheme="majorBidi"/>
          <w:iCs/>
          <w:sz w:val="24"/>
          <w:szCs w:val="24"/>
        </w:rPr>
        <w:t>t</w:t>
      </w:r>
      <w:r w:rsidR="005C6CE5" w:rsidRPr="005279AA">
        <w:rPr>
          <w:rFonts w:asciiTheme="majorBidi" w:eastAsiaTheme="minorEastAsia" w:hAnsiTheme="majorBidi" w:cstheme="majorBidi"/>
          <w:iCs/>
          <w:sz w:val="24"/>
          <w:szCs w:val="24"/>
        </w:rPr>
        <w:t xml:space="preserve">ahun </w:t>
      </w:r>
      <w:r w:rsidRPr="005279AA">
        <w:rPr>
          <w:rFonts w:asciiTheme="majorBidi" w:eastAsiaTheme="minorEastAsia" w:hAnsiTheme="majorBidi" w:cstheme="majorBidi"/>
          <w:iCs/>
          <w:sz w:val="24"/>
          <w:szCs w:val="24"/>
        </w:rPr>
        <w:t xml:space="preserve">2019-2023. Hasil tersebut dibuktikan pada hasil pengujian secara parsial dimana </w:t>
      </w:r>
      <w:r w:rsidR="00434459" w:rsidRPr="005279AA">
        <w:rPr>
          <w:rFonts w:asciiTheme="majorBidi" w:hAnsiTheme="majorBidi" w:cstheme="majorBidi"/>
          <w:sz w:val="24"/>
          <w:szCs w:val="24"/>
        </w:rPr>
        <w:t>nilai t</w:t>
      </w:r>
      <w:r w:rsidR="00434459" w:rsidRPr="005279AA">
        <w:rPr>
          <w:rFonts w:asciiTheme="majorBidi" w:hAnsiTheme="majorBidi" w:cstheme="majorBidi"/>
          <w:sz w:val="24"/>
          <w:szCs w:val="24"/>
          <w:vertAlign w:val="subscript"/>
        </w:rPr>
        <w:t>hitung</w:t>
      </w:r>
      <w:r w:rsidR="00434459" w:rsidRPr="005279AA">
        <w:rPr>
          <w:rFonts w:asciiTheme="majorBidi" w:hAnsiTheme="majorBidi" w:cstheme="majorBidi"/>
          <w:sz w:val="24"/>
          <w:szCs w:val="24"/>
        </w:rPr>
        <w:t xml:space="preserve"> sebesar -2,148 </w:t>
      </w:r>
      <w:r w:rsidR="004B0170" w:rsidRPr="005279AA">
        <w:rPr>
          <w:rFonts w:asciiTheme="majorBidi" w:hAnsiTheme="majorBidi" w:cstheme="majorBidi"/>
          <w:sz w:val="24"/>
          <w:szCs w:val="24"/>
          <w:lang w:val="id-ID"/>
        </w:rPr>
        <w:t>sementara nilai t</w:t>
      </w:r>
      <w:r w:rsidR="004B0170" w:rsidRPr="005279AA">
        <w:rPr>
          <w:rFonts w:asciiTheme="majorBidi" w:hAnsiTheme="majorBidi" w:cstheme="majorBidi"/>
          <w:sz w:val="24"/>
          <w:szCs w:val="24"/>
          <w:vertAlign w:val="subscript"/>
          <w:lang w:val="id-ID"/>
        </w:rPr>
        <w:t xml:space="preserve">tabel </w:t>
      </w:r>
      <w:r w:rsidR="004B0170" w:rsidRPr="005279AA">
        <w:rPr>
          <w:rFonts w:asciiTheme="majorBidi" w:hAnsiTheme="majorBidi" w:cstheme="majorBidi"/>
          <w:sz w:val="24"/>
          <w:szCs w:val="24"/>
          <w:lang w:val="id-ID"/>
        </w:rPr>
        <w:t>sebesar 1,994 yang artinya bahwa nilai t</w:t>
      </w:r>
      <w:r w:rsidR="004B0170" w:rsidRPr="005279AA">
        <w:rPr>
          <w:rFonts w:asciiTheme="majorBidi" w:hAnsiTheme="majorBidi" w:cstheme="majorBidi"/>
          <w:sz w:val="24"/>
          <w:szCs w:val="24"/>
          <w:vertAlign w:val="subscript"/>
          <w:lang w:val="id-ID"/>
        </w:rPr>
        <w:t>hitung</w:t>
      </w:r>
      <w:r w:rsidR="004B0170" w:rsidRPr="005279AA">
        <w:rPr>
          <w:rFonts w:asciiTheme="majorBidi" w:hAnsiTheme="majorBidi" w:cstheme="majorBidi"/>
          <w:sz w:val="24"/>
          <w:szCs w:val="24"/>
          <w:lang w:val="id-ID"/>
        </w:rPr>
        <w:t xml:space="preserve"> &gt; t</w:t>
      </w:r>
      <w:r w:rsidR="004B0170" w:rsidRPr="005279AA">
        <w:rPr>
          <w:rFonts w:asciiTheme="majorBidi" w:hAnsiTheme="majorBidi" w:cstheme="majorBidi"/>
          <w:sz w:val="24"/>
          <w:szCs w:val="24"/>
          <w:vertAlign w:val="subscript"/>
          <w:lang w:val="id-ID"/>
        </w:rPr>
        <w:t>tabel</w:t>
      </w:r>
      <w:r w:rsidR="004B0170" w:rsidRPr="005279AA">
        <w:rPr>
          <w:rFonts w:asciiTheme="majorBidi" w:hAnsiTheme="majorBidi" w:cstheme="majorBidi"/>
          <w:sz w:val="24"/>
          <w:szCs w:val="24"/>
          <w:lang w:val="id-ID"/>
        </w:rPr>
        <w:t xml:space="preserve"> atau </w:t>
      </w:r>
      <w:r w:rsidR="004B0170" w:rsidRPr="005279AA">
        <w:rPr>
          <w:rFonts w:asciiTheme="majorBidi" w:hAnsiTheme="majorBidi" w:cstheme="majorBidi"/>
          <w:sz w:val="24"/>
          <w:szCs w:val="24"/>
        </w:rPr>
        <w:t xml:space="preserve">-2,148 &gt; 1,994 </w:t>
      </w:r>
      <w:r w:rsidR="00434459" w:rsidRPr="005279AA">
        <w:rPr>
          <w:rFonts w:asciiTheme="majorBidi" w:hAnsiTheme="majorBidi" w:cstheme="majorBidi"/>
          <w:sz w:val="24"/>
          <w:szCs w:val="24"/>
        </w:rPr>
        <w:t>dan nilai signifikasi sebesar 0,035. Dengan nilai sig 0,035 &gt; 0,05 dapat diartikan Ho ditolak dan Ha diterima</w:t>
      </w:r>
      <w:r w:rsidR="00F81757" w:rsidRPr="005279AA">
        <w:rPr>
          <w:rFonts w:asciiTheme="majorBidi" w:hAnsiTheme="majorBidi" w:cstheme="majorBidi"/>
          <w:sz w:val="24"/>
          <w:szCs w:val="24"/>
        </w:rPr>
        <w:t xml:space="preserve">, </w:t>
      </w:r>
      <w:r w:rsidR="00434459" w:rsidRPr="005279AA">
        <w:rPr>
          <w:rFonts w:asciiTheme="majorBidi" w:hAnsiTheme="majorBidi" w:cstheme="majorBidi"/>
          <w:i/>
          <w:iCs/>
          <w:sz w:val="24"/>
          <w:szCs w:val="24"/>
        </w:rPr>
        <w:t>leverage</w:t>
      </w:r>
      <w:r w:rsidR="00434459" w:rsidRPr="005279AA">
        <w:rPr>
          <w:rFonts w:asciiTheme="majorBidi" w:hAnsiTheme="majorBidi" w:cstheme="majorBidi"/>
          <w:sz w:val="24"/>
          <w:szCs w:val="24"/>
        </w:rPr>
        <w:t xml:space="preserve"> </w:t>
      </w:r>
      <w:r w:rsidR="00F81757" w:rsidRPr="005279AA">
        <w:rPr>
          <w:rFonts w:asciiTheme="majorBidi" w:hAnsiTheme="majorBidi" w:cstheme="majorBidi"/>
          <w:sz w:val="24"/>
          <w:szCs w:val="24"/>
        </w:rPr>
        <w:t xml:space="preserve">berpengaruh </w:t>
      </w:r>
      <w:r w:rsidR="00522632">
        <w:rPr>
          <w:rFonts w:asciiTheme="majorBidi" w:hAnsiTheme="majorBidi" w:cstheme="majorBidi"/>
          <w:sz w:val="24"/>
          <w:szCs w:val="24"/>
        </w:rPr>
        <w:t xml:space="preserve">negatif </w:t>
      </w:r>
      <w:r w:rsidR="00F81757" w:rsidRPr="005279AA">
        <w:rPr>
          <w:rFonts w:asciiTheme="majorBidi" w:hAnsiTheme="majorBidi" w:cstheme="majorBidi"/>
          <w:sz w:val="24"/>
          <w:szCs w:val="24"/>
        </w:rPr>
        <w:t>te</w:t>
      </w:r>
      <w:r w:rsidR="00434459" w:rsidRPr="005279AA">
        <w:rPr>
          <w:rFonts w:asciiTheme="majorBidi" w:hAnsiTheme="majorBidi" w:cstheme="majorBidi"/>
          <w:sz w:val="24"/>
          <w:szCs w:val="24"/>
        </w:rPr>
        <w:t xml:space="preserve">rhadap kebijakan dividen pada sektor </w:t>
      </w:r>
      <w:r w:rsidR="00434459" w:rsidRPr="005279AA">
        <w:rPr>
          <w:rFonts w:asciiTheme="majorBidi" w:hAnsiTheme="majorBidi" w:cstheme="majorBidi"/>
          <w:i/>
          <w:iCs/>
          <w:sz w:val="24"/>
          <w:szCs w:val="24"/>
        </w:rPr>
        <w:t>consumer non cyclical</w:t>
      </w:r>
      <w:r w:rsidR="00434459" w:rsidRPr="005279AA">
        <w:rPr>
          <w:rFonts w:asciiTheme="majorBidi" w:hAnsiTheme="majorBidi" w:cstheme="majorBidi"/>
          <w:sz w:val="24"/>
          <w:szCs w:val="24"/>
        </w:rPr>
        <w:t xml:space="preserve"> yang terdaftar pada </w:t>
      </w:r>
      <w:r w:rsidR="005C6CE5"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5C6CE5" w:rsidRPr="005279AA">
        <w:rPr>
          <w:rFonts w:asciiTheme="majorBidi" w:hAnsiTheme="majorBidi" w:cstheme="majorBidi"/>
          <w:sz w:val="24"/>
          <w:szCs w:val="24"/>
        </w:rPr>
        <w:t xml:space="preserve">ahun </w:t>
      </w:r>
      <w:r w:rsidR="00434459" w:rsidRPr="005279AA">
        <w:rPr>
          <w:rFonts w:asciiTheme="majorBidi" w:hAnsiTheme="majorBidi" w:cstheme="majorBidi"/>
          <w:sz w:val="24"/>
          <w:szCs w:val="24"/>
        </w:rPr>
        <w:t>2019-2023.</w:t>
      </w:r>
    </w:p>
    <w:p w14:paraId="4DDEF920" w14:textId="60DE1BC0" w:rsidR="00310C45" w:rsidRDefault="0040248F"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selaras dengan hasil penelitian yang dilakukan oleh </w:t>
      </w:r>
      <w:r w:rsidR="00BF0247" w:rsidRPr="00077B32">
        <w:rPr>
          <w:rFonts w:asciiTheme="majorBidi" w:hAnsiTheme="majorBidi" w:cstheme="majorBidi"/>
          <w:sz w:val="24"/>
          <w:szCs w:val="24"/>
        </w:rPr>
        <w:fldChar w:fldCharType="begin" w:fldLock="1"/>
      </w:r>
      <w:r w:rsidR="00BF0247" w:rsidRPr="00077B32">
        <w:rPr>
          <w:rFonts w:asciiTheme="majorBidi" w:hAnsiTheme="majorBidi" w:cstheme="majorBidi"/>
          <w:sz w:val="24"/>
          <w:szCs w:val="24"/>
        </w:rPr>
        <w:instrText>ADDIN CSL_CITATION {"citationItems":[{"id":"ITEM-1","itemData":{"DOI":"https://doi.org/10.31258/jc.1.1.132-149","ISSN":"2721-2416","abstract":"The purpose of this research is to find the effects of free cash flow, leverage, profitability, liquidity and firm size to dividend policy. This research using a sample of 21 LQ 45 companies registered in BEI 2015-2017. The method used is purposive sampling. Hypothesis testing in this research using multiple linear regression analysis. The result of this research show leverage, profitability, and firm size significantly affect the dividend policy. While free cash flow and liquidity have no effect on dividend policy","author":[{"dropping-particle":"","family":"Hand Prastya","given":"Andre","non-dropping-particle":"","parse-names":false,"suffix":""},{"dropping-particle":"","family":"Jalil","given":"Fitri Yani","non-dropping-particle":"","parse-names":false,"suffix":""}],"container-title":"CURRENT: Jurnal Kajian Akuntansi dan Bisnis Terkini","id":"ITEM-1","issue":"1","issued":{"date-parts":[["2020"]]},"page":"131-148","title":"Pengaruh Free Cash Flow, Leverage, Profitabilitas, Likuiditas Dan Ukuran Perusahaan Terhadap Kebijakan Dividen","type":"article-journal","volume":"1"},"uris":["http://www.mendeley.com/documents/?uuid=8990d4da-96ef-4f7a-a8bd-7bdd968b46c4"]}],"mendeley":{"formattedCitation":"(Hand Prastya &amp; Jalil, 2020)","plainTextFormattedCitation":"(Hand Prastya &amp; Jalil, 2020)","previouslyFormattedCitation":"(Hand Prastya &amp; Jalil, 2020)"},"properties":{"noteIndex":0},"schema":"https://github.com/citation-style-language/schema/raw/master/csl-citation.json"}</w:instrText>
      </w:r>
      <w:r w:rsidR="00BF0247" w:rsidRPr="00077B32">
        <w:rPr>
          <w:rFonts w:asciiTheme="majorBidi" w:hAnsiTheme="majorBidi" w:cstheme="majorBidi"/>
          <w:sz w:val="24"/>
          <w:szCs w:val="24"/>
        </w:rPr>
        <w:fldChar w:fldCharType="separate"/>
      </w:r>
      <w:r w:rsidR="00BF0247" w:rsidRPr="00077B32">
        <w:rPr>
          <w:rFonts w:asciiTheme="majorBidi" w:hAnsiTheme="majorBidi" w:cstheme="majorBidi"/>
          <w:noProof/>
          <w:sz w:val="24"/>
          <w:szCs w:val="24"/>
        </w:rPr>
        <w:t>(Hand Prastya &amp; Jalil, 2020)</w:t>
      </w:r>
      <w:r w:rsidR="00BF0247" w:rsidRPr="00077B32">
        <w:rPr>
          <w:rFonts w:asciiTheme="majorBidi" w:hAnsiTheme="majorBidi" w:cstheme="majorBidi"/>
          <w:sz w:val="24"/>
          <w:szCs w:val="24"/>
        </w:rPr>
        <w:fldChar w:fldCharType="end"/>
      </w:r>
      <w:r w:rsidR="00BF0247" w:rsidRPr="00077B32">
        <w:rPr>
          <w:rFonts w:asciiTheme="majorBidi" w:hAnsiTheme="majorBidi" w:cstheme="majorBidi"/>
          <w:sz w:val="24"/>
          <w:szCs w:val="24"/>
        </w:rPr>
        <w:t xml:space="preserve">; </w:t>
      </w:r>
      <w:r w:rsidRPr="00077B32">
        <w:rPr>
          <w:rFonts w:asciiTheme="majorBidi" w:hAnsiTheme="majorBidi" w:cstheme="majorBidi"/>
          <w:sz w:val="24"/>
          <w:szCs w:val="24"/>
        </w:rPr>
        <w:fldChar w:fldCharType="begin" w:fldLock="1"/>
      </w:r>
      <w:r w:rsidRPr="00077B32">
        <w:rPr>
          <w:rFonts w:asciiTheme="majorBidi" w:hAnsiTheme="majorBidi" w:cstheme="majorBidi"/>
          <w:sz w:val="24"/>
          <w:szCs w:val="24"/>
        </w:rPr>
        <w:instrText>ADDIN CSL_CITATION {"citationItems":[{"id":"ITEM-1","itemData":{"DOI":"10.47467/alkharaj.v4i3.749","author":[{"dropping-particle":"","family":"Hidayat","given":"Dicky","non-dropping-particle":"","parse-names":false,"suffix":""},{"dropping-particle":"","family":"Hermuningsih","given":"Sri","non-dropping-particle":"","parse-names":false,"suffix":""},{"dropping-particle":"","family":"Maulida","given":"Alfiatul","non-dropping-particle":"","parse-names":false,"suffix":""}],"container-title":"Al-Kharaj: Jurnal Ekonomi, Keuangan &amp; Bisnis Syariah","id":"ITEM-1","issue":"3","issued":{"date-parts":[["2022"]]},"page":"895-913","title":"Pengaruh Profitabilitas, Likuiditas, Leverage, dan Ukuran Perusahaan terhadap Kebijakan Dividen: Studi Kasus pada Perusahaan Sub Sektor Consumer Goods Industry yang terdaftar di BEI Periode 2016-2020","type":"article-journal","volume":"4"},"uris":["http://www.mendeley.com/documents/?uuid=0bc3d95d-dbd5-47b2-8afe-c47f9b971174"]}],"mendeley":{"formattedCitation":"(Hidayat et al., 2022)","plainTextFormattedCitation":"(Hidayat et al., 2022)","previouslyFormattedCitation":"(Hidayat et al., 2022)"},"properties":{"noteIndex":0},"schema":"https://github.com/citation-style-language/schema/raw/master/csl-citation.json"}</w:instrText>
      </w:r>
      <w:r w:rsidRPr="00077B32">
        <w:rPr>
          <w:rFonts w:asciiTheme="majorBidi" w:hAnsiTheme="majorBidi" w:cstheme="majorBidi"/>
          <w:sz w:val="24"/>
          <w:szCs w:val="24"/>
        </w:rPr>
        <w:fldChar w:fldCharType="separate"/>
      </w:r>
      <w:r w:rsidRPr="00077B32">
        <w:rPr>
          <w:rFonts w:asciiTheme="majorBidi" w:hAnsiTheme="majorBidi" w:cstheme="majorBidi"/>
          <w:noProof/>
          <w:sz w:val="24"/>
          <w:szCs w:val="24"/>
        </w:rPr>
        <w:t>(Hidayat et al., 2022)</w:t>
      </w:r>
      <w:r w:rsidRPr="00077B32">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DOI":"10.29264/jfor.v24i2.10726","author":[{"dropping-particle":"","family":"Eka","given":"Auliya","non-dropping-particle":"","parse-names":false,"suffix":""},{"dropping-particle":"","family":"Lestari","given":"Puji","non-dropping-particle":"","parse-names":false,"suffix":""},{"dropping-particle":"","family":"Pangestuti","given":"Dewi Cahyani","non-dropping-particle":"","parse-names":false,"suffix":""}],"container-title":"FORUM EKONOMI: Jurnal Ekonomi, Manajemen dan Akuntansi","id":"ITEM-1","issue":"2","issued":{"date-parts":[["2022"]]},"page":"335-345","title":"Analisis faktor yang mempengaruhi kebijakan dividen pada sektor consumer and goods","type":"article-journal","volume":"2"},"uris":["http://www.mendeley.com/documents/?uuid=6db73d84-ef56-4801-877e-8fd0b0d35756"]}],"mendeley":{"formattedCitation":"(Eka et al., 2022)","plainTextFormattedCitation":"(Eka et al., 2022)","previouslyFormattedCitation":"(Eka et al., 2022)"},"properties":{"noteIndex":0},"schema":"https://github.com/citation-style-language/schema/raw/master/csl-citation.json"}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(Eka et al., 2022)</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E96154" w:rsidRPr="005279AA">
        <w:rPr>
          <w:rFonts w:asciiTheme="majorBidi" w:hAnsiTheme="majorBidi" w:cstheme="majorBidi"/>
          <w:sz w:val="24"/>
          <w:szCs w:val="24"/>
        </w:rPr>
        <w:instrText>ADDIN CSL_CITATION {"citationItems":[{"id":"ITEM-1","itemData":{"DOI":"https://doi.org/10.54443/sinomika.v1i6.772","author":[{"dropping-particle":"","family":"Syahirah","given":"Nazma","non-dropping-particle":"","parse-names":false,"suffix":""},{"dropping-particle":"","family":"Ahmad","given":"Gatot Nazir","non-dropping-particle":"","parse-names":false,"suffix":""},{"dropping-particle":"","family":"Dalimunthe","given":"Sholatia","non-dropping-particle":"","parse-names":false,"suffix":""}],"container-title":"Sinomika Journal","id":"ITEM-1","issue":"6","issued":{"date-parts":[["2023"]]},"page":"1539-1554","title":"Pengaruh Likuiditas dan Leverage terhadap Kebijakan Dividen dengan Ukuran Perusahaan sebagai Variabel Kontrol ( Studi Kasus pada Perusahaan Sektor Infrastruktur yang Terdaftar di BEI Tahun 2015-2020 )","type":"article-journal","volume":"1"},"uris":["http://www.mendeley.com/documents/?uuid=6c831e05-d366-408c-8d2f-a1e17f3a6718"]}],"mendeley":{"formattedCitation":"(Syahirah et al., 2023)","plainTextFormattedCitation":"(Syahirah et al., 2023)","previouslyFormattedCitation":"(Syahirah et al., 2023)"},"properties":{"noteIndex":0},"schema":"https://github.com/citation-style-language/schema/raw/master/csl-citation.json"}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(Syahirah et al., 2023)</w:t>
      </w:r>
      <w:r w:rsidRPr="005279AA">
        <w:rPr>
          <w:rFonts w:asciiTheme="majorBidi" w:hAnsiTheme="majorBidi" w:cstheme="majorBidi"/>
          <w:sz w:val="24"/>
          <w:szCs w:val="24"/>
        </w:rPr>
        <w:fldChar w:fldCharType="end"/>
      </w:r>
      <w:r w:rsidR="00BF0247">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B25E75">
        <w:rPr>
          <w:rFonts w:asciiTheme="majorBidi" w:hAnsiTheme="majorBidi" w:cstheme="majorBidi"/>
          <w:sz w:val="24"/>
          <w:szCs w:val="24"/>
        </w:rPr>
        <w:instrText>ADDIN CSL_CITATION {"citationItems":[{"id":"ITEM-1","itemData":{"DOI":"https://doi.org/10.55681/sentri.v3i2.2334","author":[{"dropping-particle":"","family":"Arimbi","given":"Anandita","non-dropping-particle":"","parse-names":false,"suffix":""},{"dropping-particle":"","family":"Pangaribuan","given":"David","non-dropping-particle":"","parse-names":false,"suffix":""},{"dropping-particle":"","family":"Yuniati","given":"Triana","non-dropping-particle":"","parse-names":false,"suffix":""}],"container-title":"SENTRI: Jurnal Riset Ilmiah","id":"ITEM-1","issue":"2","issued":{"date-parts":[["2024"]]},"page":"897","title":"PENGARUH KEPEMILIKAN MANAJERIAL, LEVERAGE, DAN PERTUMBUHAN LABA TERHADAP KEBIJAKAN DIVIDEN PADA PERUSAHAAN SEKTOR CONSUMER NON-CYCLICALS","type":"article-journal","volume":"3"},"uris":["http://www.mendeley.com/documents/?uuid=6042521f-9157-4702-a5a8-0510091c2df7"]}],"mendeley":{"formattedCitation":"(Arimbi et al., 2024)","plainTextFormattedCitation":"(Arimbi et al., 2024)","previouslyFormattedCitation":"(Arimbi et al., 2024)"},"properties":{"noteIndex":0},"schema":"https://github.com/citation-style-language/schema/raw/master/csl-citation.json"}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(Arimbi et al., 2024)</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yang menyatakan bahwa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berpengaruh </w:t>
      </w:r>
      <w:r w:rsidR="00077B32">
        <w:rPr>
          <w:rFonts w:asciiTheme="majorBidi" w:hAnsiTheme="majorBidi" w:cstheme="majorBidi"/>
          <w:sz w:val="24"/>
          <w:szCs w:val="24"/>
        </w:rPr>
        <w:t xml:space="preserve">negatif </w:t>
      </w:r>
      <w:r w:rsidRPr="005279AA">
        <w:rPr>
          <w:rFonts w:asciiTheme="majorBidi" w:hAnsiTheme="majorBidi" w:cstheme="majorBidi"/>
          <w:sz w:val="24"/>
          <w:szCs w:val="24"/>
        </w:rPr>
        <w:t xml:space="preserve">terhadap kebijakan dividen. Namun hasil tersebut bertolak belakang dengan penelitian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{"citationItems":[{"id":"ITEM-1","itemData":{"abstract":"Penelitian ini bertujuan untuk membuktikan pengaruh ukuran perusahaan, likuiditas, profitabilitas dan leverage terhadap kebijakan dividen. Penelitian ini menggunakan pendekatan kuantitatif. Populasi dalam penelitian adalah perusahaan manufaktur industri barang konsumsi yang terdaftar di Bursa Efek Indonesia (BEI) pada periode 2016-2018. Sampel yang dikumpulkan menggunakan metode purposive sampling. Total 31 perusahaan manufaktur industri barang konsumsi ditentukan sebagai sampel. Metode analisis data yang digunakan dalam penelitian ini adalah analisis regresi linier berganda dengan menggunakan program SPSS versi 20. Hasil penelitian ini menunjukkan bahwa ukuran perusahaan (X1) dan profitabilitas (X3) berpengaruh positif dan signifikan terhadap kebijakan dividen. Sementara itu, likuiditas (X2) dan leverage (X4) tidak berpengaruh signifikan terhadap kebijakan dividen. Hal ini berarti bahwa semakin tinggi ukuran perusahaan dan profitabilitas, maka semakin tinggi pula kemampuan perusahaan untuk membayar dividen kepada pemegang sahamnya. Sedangkan kenaikan atau penurunan pada likuiditas dan leverage tidak akan berpengaruh signifikan terhadap kemampuan perusahaan dalam membayarkan dividen kepada pemegang saham.","author":[{"dropping-particle":"","family":"Sudiartana","given":"I Gede Pande","non-dropping-particle":"","parse-names":false,"suffix":""},{"dropping-particle":"","family":"Yudantara","given":"I Gede Agus Pertama","non-dropping-particle":"","parse-names":false,"suffix":""}],"container-title":"Jurnal Ilmiah Mahasiswa Akuntansi","id":"ITEM-1","issue":"2","issued":{"date-parts":[["2020"]]},"page":"287-298","title":"Pengaruh Ukuran, Likuiditas, Profitabilitas dan Leverage terhadap Kebijakan Dividen","type":"article-journal","volume":"11"},"uris":["http://www.mendeley.com/documents/?uuid=14bfa639-f8ea-43d0-9566-5369d25949d1"]}],"mendeley":{"formattedCitation":"(Sudiartana &amp; Yudantara, 2020)","plainTextFormattedCitation":"(Sudiartana &amp; Yudantara, 2020)","previouslyFormattedCitation":"(Sudiartana &amp; Yudantara, 2020)"},"properties":{"noteIndex":0},"schema":"https://github.com/citation-style-language/schema/raw/master/csl-citation.json"}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(Sudiartana &amp; Yudantara, 2020)</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E96154" w:rsidRPr="005279AA">
        <w:rPr>
          <w:rFonts w:asciiTheme="majorBidi" w:hAnsiTheme="majorBidi" w:cstheme="majorBidi"/>
          <w:sz w:val="24"/>
          <w:szCs w:val="24"/>
        </w:rPr>
        <w:instrText>ADDIN CSL_CITATION {"citationItems":[{"id":"ITEM-1","itemData":{"DOI":"https://doi.org/10.31294/jp.v17i2","author":[{"dropping-particle":"","family":"Prasetyo","given":"Galih","non-dropping-particle":"","parse-names":false,"suffix":""},{"dropping-particle":"","family":"Alawiyah","given":"Al","non-dropping-particle":"","parse-names":false,"suffix":""},{"dropping-particle":"","family":"Fatimah","given":"Siti","non-dropping-particle":"","parse-names":false,"suffix":""}],"container-title":"Perspektif: Jurnal ekonomi dan manajemen Universitas Bina Sarana Informatika","id":"ITEM-1","issue":"2","issued":{"date-parts":[["2021"]]},"page":"175-183","title":"Pengaruh Leverage dan Likuiditas Terhadap Kebijakan Deviden","type":"article-journal","volume":"19"},"uris":["http://www.mendeley.com/documents/?uuid=edad4eea-a53c-4120-9aab-3cd0a5cfed45"]}],"mendeley":{"formattedCitation":"(Prasetyo et al., 2021)","plainTextFormattedCitation":"(Prasetyo et al., 2021)","previouslyFormattedCitation":"(Prasetyo et al., 2021)"},"properties":{"noteIndex":0},"schema":"https://github.com/citation-style-language/schema/raw/master/csl-citation.json"}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(Prasetyo et al., 2021)</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D6449E">
        <w:rPr>
          <w:rFonts w:asciiTheme="majorBidi" w:hAnsiTheme="majorBidi" w:cstheme="majorBidi"/>
          <w:sz w:val="24"/>
          <w:szCs w:val="24"/>
        </w:rPr>
        <w:instrText>ADDIN CSL_CITATION {"citationItems":[{"id":"ITEM-1","itemData":{"abstract":"Penelitian ini bertujuan untuk menentukan dan menganalisa pengaruh profitabilitas, leverage, ukuran perusahaan, pertumbuhan dan likuiditas terhadap kebijakan dividen pada perusahaan manufaktur yang terdaftar di bursa Efek Indonesia dalam tahun amatan 2013-2017. Populasi penelitian adalah semua perusahaan manufaktur yang terdaftar di BEI, dengan sampel yang diperoleh 37 perusahaan yang sesuai dengan kriteria yang ditetapkan. Data tersebut dianalisa dengan menggunakan pengujian asumsi klasik dan analisa berganda dengan menggunakan SPSS 25. Simpulan dari peneliian ini menyatakan bahwa profitabilitas berpengaruh signifikan terhadap kebijakan dividen, Pertumbuhan berpengaruh negatif signifikan terhadap kebijakan dividen. Sementara itu, leverage tidak berpengaruh negatif signifikan, ukuran","author":[{"dropping-particle":"","family":"Sundari Retno Ika","given":"Fitri Budhiani","non-dropping-particle":"","parse-names":false,"suffix":""}],"container-title":"JRAK","id":"ITEM-1","issued":{"date-parts":[["2021"]]},"page":"72","title":"KEBIJAKAN DIVIDEN PADA PERUSAHAAN MANUFAKTUR YANG TERDAFTAR DI BURSA EFEK","type":"article-journal","volume":"17"},"uris":["http://www.mendeley.com/documents/?uuid=6a7cbb7f-2ec0-4712-a625-ba8cc944d1ac"]}],"mendeley":{"formattedCitation":"(Sundari Retno Ika, 2021)","plainTextFormattedCitation":"(Sundari Retno Ika, 2021)","previouslyFormattedCitation":"(Sundari Retno Ika, 2021)"},"properties":{"noteIndex":0},"schema":"https://github.com/citation-style-language/schema/raw/master/csl-citation.json"}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(Sundari Retno Ika, 2021)</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yang menyatakan bahwa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tidak berpengaruh signifikan terhadap kebijakan dividen.</w:t>
      </w:r>
    </w:p>
    <w:p w14:paraId="50545AEF" w14:textId="77777777" w:rsidR="00BA4CD3" w:rsidRPr="005279AA" w:rsidRDefault="00BA4CD3" w:rsidP="00BF76D1">
      <w:pPr>
        <w:pStyle w:val="ListParagraph"/>
        <w:tabs>
          <w:tab w:val="left" w:pos="1701"/>
        </w:tabs>
        <w:spacing w:line="480" w:lineRule="auto"/>
        <w:ind w:firstLine="556"/>
        <w:jc w:val="both"/>
        <w:rPr>
          <w:rFonts w:asciiTheme="majorBidi" w:hAnsiTheme="majorBidi" w:cstheme="majorBidi"/>
          <w:sz w:val="24"/>
          <w:szCs w:val="24"/>
        </w:rPr>
      </w:pPr>
    </w:p>
    <w:p w14:paraId="71744555" w14:textId="610A57BF" w:rsidR="003969A3" w:rsidRPr="003969A3" w:rsidRDefault="00645511" w:rsidP="00BF76D1">
      <w:pPr>
        <w:pStyle w:val="ListParagraph"/>
        <w:numPr>
          <w:ilvl w:val="0"/>
          <w:numId w:val="51"/>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lang w:val="id-ID"/>
        </w:rPr>
        <w:lastRenderedPageBreak/>
        <w:t>Pengaruh Free Cash Flow Terhadap Kebijakan Dividen</w:t>
      </w:r>
    </w:p>
    <w:p w14:paraId="28F0E874" w14:textId="77777777" w:rsidR="003969A3" w:rsidRDefault="003969A3" w:rsidP="00BF76D1">
      <w:pPr>
        <w:pStyle w:val="ListParagraph"/>
        <w:tabs>
          <w:tab w:val="left" w:pos="1701"/>
        </w:tabs>
        <w:spacing w:line="480" w:lineRule="auto"/>
        <w:ind w:firstLine="556"/>
        <w:jc w:val="both"/>
        <w:rPr>
          <w:rFonts w:ascii="Times New Roman" w:eastAsia="SimSun" w:hAnsi="Times New Roman" w:cs="Times New Roman"/>
          <w:iCs/>
          <w:sz w:val="24"/>
          <w:szCs w:val="24"/>
        </w:rPr>
      </w:pPr>
      <w:r>
        <w:rPr>
          <w:rFonts w:ascii="Times New Roman" w:eastAsia="SimSun" w:hAnsi="Times New Roman" w:cs="Times New Roman"/>
          <w:i/>
          <w:sz w:val="24"/>
          <w:szCs w:val="24"/>
        </w:rPr>
        <w:t>Free Cash Flow</w:t>
      </w:r>
      <w:r>
        <w:rPr>
          <w:rFonts w:ascii="Times New Roman" w:eastAsia="SimSun" w:hAnsi="Times New Roman" w:cs="Times New Roman"/>
          <w:iCs/>
          <w:sz w:val="24"/>
          <w:szCs w:val="24"/>
        </w:rPr>
        <w:t xml:space="preserve"> adalah arus kas yang tersedia bagi perusahaan setelah dikurangi pengeluaran modal dan pembayaran dividen. </w:t>
      </w:r>
      <w:r>
        <w:rPr>
          <w:rFonts w:ascii="Times New Roman" w:eastAsia="SimSun" w:hAnsi="Times New Roman" w:cs="Times New Roman"/>
          <w:i/>
          <w:sz w:val="24"/>
          <w:szCs w:val="24"/>
        </w:rPr>
        <w:t>Free cash flow</w:t>
      </w:r>
      <w:r>
        <w:rPr>
          <w:rFonts w:ascii="Times New Roman" w:eastAsia="SimSun" w:hAnsi="Times New Roman" w:cs="Times New Roman"/>
          <w:iCs/>
          <w:sz w:val="24"/>
          <w:szCs w:val="24"/>
        </w:rPr>
        <w:t xml:space="preserve"> dapat diartikan sebagai u</w:t>
      </w:r>
      <w:r w:rsidRPr="006B56D3">
        <w:rPr>
          <w:rFonts w:ascii="Times New Roman" w:eastAsia="SimSun" w:hAnsi="Times New Roman" w:cs="Times New Roman"/>
          <w:iCs/>
          <w:sz w:val="24"/>
          <w:szCs w:val="24"/>
        </w:rPr>
        <w:t>ang tunai yang diperoleh dari selisih antara pengeluaran modal suatu organisasi, yang dilakukan untuk memenuhi kapasitas produksi, dan operasi operasinya dikenal sebagai arus kas bebas</w:t>
      </w:r>
      <w:r>
        <w:rPr>
          <w:rFonts w:ascii="Times New Roman" w:eastAsia="SimSun" w:hAnsi="Times New Roman" w:cs="Times New Roman"/>
          <w:iCs/>
          <w:sz w:val="24"/>
          <w:szCs w:val="24"/>
        </w:rPr>
        <w:t xml:space="preserve"> </w:t>
      </w:r>
      <w:r>
        <w:rPr>
          <w:rFonts w:ascii="Times New Roman" w:eastAsia="SimSun" w:hAnsi="Times New Roman" w:cs="Times New Roman"/>
          <w:iCs/>
          <w:sz w:val="24"/>
          <w:szCs w:val="24"/>
        </w:rPr>
        <w:fldChar w:fldCharType="begin" w:fldLock="1"/>
      </w:r>
      <w:r>
        <w:rPr>
          <w:rFonts w:ascii="Times New Roman" w:eastAsia="SimSun" w:hAnsi="Times New Roman" w:cs="Times New Roman"/>
          <w:iCs/>
          <w:sz w:val="24"/>
          <w:szCs w:val="24"/>
        </w:rPr>
        <w:instrText>ADDIN CSL_CITATION {"citationItems":[{"id":"ITEM-1","itemData":{"DOI":"https://doi.org/10.31258/jc.1.1.132-149","ISSN":"2721-2416","abstract":"The purpose of this research is to find the effects of free cash flow, leverage, profitability, liquidity and firm size to dividend policy. This research using a sample of 21 LQ 45 companies registered in BEI 2015-2017. The method used is purposive sampling. Hypothesis testing in this research using multiple linear regression analysis. The result of this research show leverage, profitability, and firm size significantly affect the dividend policy. While free cash flow and liquidity have no effect on dividend policy","author":[{"dropping-particle":"","family":"Hand Prastya","given":"Andre","non-dropping-particle":"","parse-names":false,"suffix":""},{"dropping-particle":"","family":"Jalil","given":"Fitri Yani","non-dropping-particle":"","parse-names":false,"suffix":""}],"container-title":"CURRENT: Jurnal Kajian Akuntansi dan Bisnis Terkini","id":"ITEM-1","issue":"1","issued":{"date-parts":[["2020"]]},"page":"131-148","title":"Pengaruh Free Cash Flow, Leverage, Profitabilitas, Likuiditas Dan Ukuran Perusahaan Terhadap Kebijakan Dividen","type":"article-journal","volume":"1"},"uris":["http://www.mendeley.com/documents/?uuid=8990d4da-96ef-4f7a-a8bd-7bdd968b46c4"]}],"mendeley":{"formattedCitation":"(Hand Prastya &amp; Jalil, 2020)","manualFormatting":"(Hand Prastya &amp; Jalil, 2020:138)","plainTextFormattedCitation":"(Hand Prastya &amp; Jalil, 2020)","previouslyFormattedCitation":"(Hand Prastya &amp; Jalil, 2020)"},"properties":{"noteIndex":0},"schema":"https://github.com/citation-style-language/schema/raw/master/csl-citation.json"}</w:instrText>
      </w:r>
      <w:r>
        <w:rPr>
          <w:rFonts w:ascii="Times New Roman" w:eastAsia="SimSun" w:hAnsi="Times New Roman" w:cs="Times New Roman"/>
          <w:iCs/>
          <w:sz w:val="24"/>
          <w:szCs w:val="24"/>
        </w:rPr>
        <w:fldChar w:fldCharType="separate"/>
      </w:r>
      <w:r>
        <w:rPr>
          <w:rFonts w:ascii="Times New Roman" w:eastAsia="SimSun" w:hAnsi="Times New Roman" w:cs="Times New Roman"/>
          <w:iCs/>
          <w:noProof/>
          <w:sz w:val="24"/>
          <w:szCs w:val="24"/>
        </w:rPr>
        <w:t>(Hand Prastya &amp; Jalil, 2020:138)</w:t>
      </w:r>
      <w:r>
        <w:rPr>
          <w:rFonts w:ascii="Times New Roman" w:eastAsia="SimSun" w:hAnsi="Times New Roman" w:cs="Times New Roman"/>
          <w:iCs/>
          <w:sz w:val="24"/>
          <w:szCs w:val="24"/>
        </w:rPr>
        <w:fldChar w:fldCharType="end"/>
      </w:r>
      <w:r>
        <w:rPr>
          <w:rFonts w:ascii="Times New Roman" w:eastAsia="SimSun" w:hAnsi="Times New Roman" w:cs="Times New Roman"/>
          <w:iCs/>
          <w:sz w:val="24"/>
          <w:szCs w:val="24"/>
        </w:rPr>
        <w:t>.</w:t>
      </w:r>
    </w:p>
    <w:p w14:paraId="2BAD0DA3" w14:textId="6AAD93D4" w:rsidR="003969A3" w:rsidRPr="003969A3" w:rsidRDefault="001A2D9E" w:rsidP="00BF76D1">
      <w:pPr>
        <w:pStyle w:val="ListParagraph"/>
        <w:tabs>
          <w:tab w:val="left" w:pos="1701"/>
        </w:tabs>
        <w:spacing w:line="480" w:lineRule="auto"/>
        <w:ind w:firstLine="556"/>
        <w:jc w:val="both"/>
        <w:rPr>
          <w:rFonts w:ascii="Times New Roman" w:hAnsi="Times New Roman" w:cs="Times New Roman"/>
          <w:sz w:val="24"/>
          <w:szCs w:val="24"/>
        </w:rPr>
      </w:pPr>
      <w:r w:rsidRPr="005279AA">
        <w:rPr>
          <w:rFonts w:asciiTheme="majorBidi" w:hAnsiTheme="majorBidi" w:cstheme="majorBidi"/>
          <w:sz w:val="24"/>
          <w:szCs w:val="24"/>
        </w:rPr>
        <w:t>Menurut (Jensen &amp; Meckling, 1976:</w:t>
      </w:r>
      <w:r>
        <w:rPr>
          <w:rFonts w:asciiTheme="majorBidi" w:hAnsiTheme="majorBidi" w:cstheme="majorBidi"/>
          <w:sz w:val="24"/>
          <w:szCs w:val="24"/>
        </w:rPr>
        <w:t>9</w:t>
      </w:r>
      <w:r w:rsidRPr="005279AA">
        <w:rPr>
          <w:rFonts w:asciiTheme="majorBidi" w:hAnsiTheme="majorBidi" w:cstheme="majorBidi"/>
          <w:sz w:val="24"/>
          <w:szCs w:val="24"/>
        </w:rPr>
        <w:t>)</w:t>
      </w:r>
      <w:r w:rsidR="003969A3" w:rsidRPr="001A2D9E">
        <w:rPr>
          <w:rFonts w:ascii="Times New Roman" w:hAnsi="Times New Roman" w:cs="Times New Roman"/>
          <w:sz w:val="24"/>
          <w:szCs w:val="24"/>
        </w:rPr>
        <w:t xml:space="preserve">, arus kas bebas adalah arus kas yang tersisa setelah seluruh proyek mempunyai </w:t>
      </w:r>
      <w:r w:rsidR="003969A3" w:rsidRPr="001A2D9E">
        <w:rPr>
          <w:rFonts w:ascii="Times New Roman" w:hAnsi="Times New Roman" w:cs="Times New Roman"/>
          <w:i/>
          <w:iCs/>
          <w:sz w:val="24"/>
          <w:szCs w:val="24"/>
        </w:rPr>
        <w:t>Net Present Value</w:t>
      </w:r>
      <w:r w:rsidR="003969A3" w:rsidRPr="001A2D9E">
        <w:rPr>
          <w:rFonts w:ascii="Times New Roman" w:hAnsi="Times New Roman" w:cs="Times New Roman"/>
          <w:sz w:val="24"/>
          <w:szCs w:val="24"/>
        </w:rPr>
        <w:t xml:space="preserve"> (NPV) positif dan telah didiskontokan pada tingkat biaya modal yang</w:t>
      </w:r>
      <w:r w:rsidR="003969A3">
        <w:rPr>
          <w:rFonts w:ascii="Times New Roman" w:hAnsi="Times New Roman" w:cs="Times New Roman"/>
          <w:sz w:val="24"/>
          <w:szCs w:val="24"/>
        </w:rPr>
        <w:t xml:space="preserve"> sesuai. Arus kas bebas seringkali menimbulkan konflik kepentingan antara manajemen dan pemegang saham, karena kecenderungan perusahaan yang lebih memilih pendanaan internal untuk pembayaran dividen, namun dana eksternal digunakan jika kebutuhan keuangan perusahaan tidak terpenuhi. </w:t>
      </w:r>
      <w:r w:rsidR="003969A3" w:rsidRPr="002A2377">
        <w:rPr>
          <w:rFonts w:ascii="Times New Roman" w:hAnsi="Times New Roman" w:cs="Times New Roman"/>
          <w:sz w:val="24"/>
          <w:szCs w:val="24"/>
        </w:rPr>
        <w:t xml:space="preserve">Dengan demikian, dapat disimpulkan bahwa arus kas bebas tidak berpengaruh terhadap besar kecilnya pembagian dividen, karena jika tujuan perusahaan adalah memaksimalkan kekayaan pemegang saham melalui pembagian dividen namun </w:t>
      </w:r>
      <w:r w:rsidR="003969A3">
        <w:rPr>
          <w:rFonts w:ascii="Times New Roman" w:hAnsi="Times New Roman" w:cs="Times New Roman"/>
          <w:sz w:val="24"/>
          <w:szCs w:val="24"/>
        </w:rPr>
        <w:t xml:space="preserve">persentase </w:t>
      </w:r>
      <w:r w:rsidR="003969A3" w:rsidRPr="002A2377">
        <w:rPr>
          <w:rFonts w:ascii="Times New Roman" w:hAnsi="Times New Roman" w:cs="Times New Roman"/>
          <w:sz w:val="24"/>
          <w:szCs w:val="24"/>
        </w:rPr>
        <w:t xml:space="preserve">arus kas bebasnya rendah, maka perusahaan dapat memilih untuk meningkatkan pendanaan </w:t>
      </w:r>
      <w:r w:rsidR="003969A3">
        <w:rPr>
          <w:rFonts w:ascii="Times New Roman" w:hAnsi="Times New Roman" w:cs="Times New Roman"/>
          <w:sz w:val="24"/>
          <w:szCs w:val="24"/>
        </w:rPr>
        <w:t xml:space="preserve">dari pihak eksternal </w:t>
      </w:r>
      <w:r w:rsidR="003969A3" w:rsidRPr="002A2377">
        <w:rPr>
          <w:rFonts w:ascii="Times New Roman" w:hAnsi="Times New Roman" w:cs="Times New Roman"/>
          <w:sz w:val="24"/>
          <w:szCs w:val="24"/>
        </w:rPr>
        <w:t xml:space="preserve">sebagai </w:t>
      </w:r>
      <w:r w:rsidR="003969A3">
        <w:rPr>
          <w:rFonts w:ascii="Times New Roman" w:hAnsi="Times New Roman" w:cs="Times New Roman"/>
          <w:sz w:val="24"/>
          <w:szCs w:val="24"/>
        </w:rPr>
        <w:t xml:space="preserve">alternatif yang dapat dipilih oleh perusahaan </w:t>
      </w:r>
      <w:r w:rsidR="003969A3">
        <w:rPr>
          <w:rFonts w:ascii="Times New Roman" w:hAnsi="Times New Roman" w:cs="Times New Roman"/>
          <w:sz w:val="24"/>
          <w:szCs w:val="24"/>
        </w:rPr>
        <w:fldChar w:fldCharType="begin" w:fldLock="1"/>
      </w:r>
      <w:r w:rsidR="003969A3">
        <w:rPr>
          <w:rFonts w:ascii="Times New Roman" w:hAnsi="Times New Roman" w:cs="Times New Roman"/>
          <w:sz w:val="24"/>
          <w:szCs w:val="24"/>
        </w:rPr>
        <w:instrText>ADDIN CSL_CITATION {"citationItems":[{"id":"ITEM-1","itemData":{"DOI":"10.24034/jiaku.v2i1.5","abstract":"Penelitian ini bertujuan untuk menguji dan menganalisis pengaruh profitabilitas, free cash flow, likuiditas dan investment opportunity set terhadap kebijakan dividen. Profitabilitas dihitung menggunakan return on asset, dihitung menggunakan nilai bersih dari kenaikan atau penurunan arus kas dari aktivitas operasi perusahaan dibagi dengan total aset pada periode yang sama likuiditas dihitung dengan current ratio, sedangkan investment opportunity set dihitung dengan indicator market value Assets to book value Assets. Pendekatan penelitian ini adalah jenis pendekatan kuantitatif. Sampel dalam penelitian ini diperoleh dengan menggunakan metode purposive sampling. Berdasarkan metode purposive sampling tersebut didapatkan 15 peru-sahaan sektor food and beverage yang terdaftar di Bursa Efek Indonesia tahun 2015-2019 sehingga diperoleh sebanyak 51 data. Metode analisis yang digunakan adalah analisis regresi linier berganda diolah menggunakan program SPSS. Hasil dari pe-nelitian menunjukkan bahwa free cash flow, likuiditas, dan investment opportunity set tidak berpengaruh terhadap kebijakan dividen, sedangkan profitabilitas ber-pengaruh positif terhadap kebijakan","author":[{"dropping-particle":"","family":"Yunita","given":"Erlinda Vira","non-dropping-particle":"","parse-names":false,"suffix":""},{"dropping-particle":"","family":"Subardjo","given":"Anang","non-dropping-particle":"","parse-names":false,"suffix":""}],"container-title":"Jurnal Ilmiah Akutansi dan Keuangan","id":"ITEM-1","issued":{"date-parts":[["2018"]]},"page":"80-96","title":"PENGARUH PROFITABILITAS, FREE CASH FLOW, LIKUIDITAS, DAN INVESTMENT OPPORTUNITY SET TERHADAP KEBIJAKAN DIVIDEN","type":"article-journal","volume":"2"},"uris":["http://www.mendeley.com/documents/?uuid=389aa54f-8326-4f50-b72f-f6bd9d321849"]}],"mendeley":{"formattedCitation":"(Yunita &amp; Subardjo, 2018)","manualFormatting":"(Yunita &amp; Subardjo, 2018:92)","plainTextFormattedCitation":"(Yunita &amp; Subardjo, 2018)","previouslyFormattedCitation":"(Yunita &amp; Subardjo, 2018)"},"properties":{"noteIndex":0},"schema":"https://github.com/citation-style-language/schema/raw/master/csl-citation.json"}</w:instrText>
      </w:r>
      <w:r w:rsidR="003969A3">
        <w:rPr>
          <w:rFonts w:ascii="Times New Roman" w:hAnsi="Times New Roman" w:cs="Times New Roman"/>
          <w:sz w:val="24"/>
          <w:szCs w:val="24"/>
        </w:rPr>
        <w:fldChar w:fldCharType="separate"/>
      </w:r>
      <w:r w:rsidR="003969A3">
        <w:rPr>
          <w:rFonts w:ascii="Times New Roman" w:hAnsi="Times New Roman" w:cs="Times New Roman"/>
          <w:noProof/>
          <w:sz w:val="24"/>
          <w:szCs w:val="24"/>
        </w:rPr>
        <w:t>(Yunita &amp; Subardjo, 2018:92)</w:t>
      </w:r>
      <w:r w:rsidR="003969A3">
        <w:rPr>
          <w:rFonts w:ascii="Times New Roman" w:hAnsi="Times New Roman" w:cs="Times New Roman"/>
          <w:sz w:val="24"/>
          <w:szCs w:val="24"/>
        </w:rPr>
        <w:fldChar w:fldCharType="end"/>
      </w:r>
      <w:r w:rsidR="003969A3">
        <w:rPr>
          <w:rFonts w:ascii="Times New Roman" w:hAnsi="Times New Roman" w:cs="Times New Roman"/>
          <w:sz w:val="24"/>
          <w:szCs w:val="24"/>
        </w:rPr>
        <w:t xml:space="preserve"> </w:t>
      </w:r>
    </w:p>
    <w:p w14:paraId="0C9874D8" w14:textId="7508E2C5" w:rsidR="006373E9" w:rsidRPr="005279AA" w:rsidRDefault="006373E9"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menunjukan bahwa rasio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yang di proksikan menggunakan </w:t>
      </w:r>
      <w:r w:rsidRPr="005279AA">
        <w:rPr>
          <w:rFonts w:asciiTheme="majorBidi" w:eastAsiaTheme="minorEastAsia" w:hAnsiTheme="majorBidi" w:cstheme="majorBidi"/>
          <w:i/>
          <w:sz w:val="24"/>
          <w:szCs w:val="24"/>
        </w:rPr>
        <w:t>Free Cash Flow</w:t>
      </w:r>
      <w:r w:rsidRPr="005279AA">
        <w:rPr>
          <w:rFonts w:asciiTheme="majorBidi" w:eastAsiaTheme="minorEastAsia" w:hAnsiTheme="majorBidi" w:cstheme="majorBidi"/>
          <w:iCs/>
          <w:sz w:val="24"/>
          <w:szCs w:val="24"/>
        </w:rPr>
        <w:t xml:space="preserve"> (FCF) tidak berpengaruh terhadap </w:t>
      </w:r>
      <w:r w:rsidRPr="005279AA">
        <w:rPr>
          <w:rFonts w:asciiTheme="majorBidi" w:eastAsiaTheme="minorEastAsia" w:hAnsiTheme="majorBidi" w:cstheme="majorBidi"/>
          <w:iCs/>
          <w:sz w:val="24"/>
          <w:szCs w:val="24"/>
        </w:rPr>
        <w:lastRenderedPageBreak/>
        <w:t xml:space="preserve">kebijakan dividen pada sektor </w:t>
      </w:r>
      <w:r w:rsidRPr="005279AA">
        <w:rPr>
          <w:rFonts w:asciiTheme="majorBidi" w:eastAsiaTheme="minorEastAsia" w:hAnsiTheme="majorBidi" w:cstheme="majorBidi"/>
          <w:i/>
          <w:sz w:val="24"/>
          <w:szCs w:val="24"/>
        </w:rPr>
        <w:t>consumer non cyclical</w:t>
      </w:r>
      <w:r w:rsidRPr="005279AA">
        <w:rPr>
          <w:rFonts w:asciiTheme="majorBidi" w:eastAsiaTheme="minorEastAsia" w:hAnsiTheme="majorBidi" w:cstheme="majorBidi"/>
          <w:iCs/>
          <w:sz w:val="24"/>
          <w:szCs w:val="24"/>
        </w:rPr>
        <w:t xml:space="preserve"> yang terdaftar pada </w:t>
      </w:r>
      <w:r w:rsidR="005C6CE5" w:rsidRPr="005279AA">
        <w:rPr>
          <w:rFonts w:asciiTheme="majorBidi" w:eastAsiaTheme="minorEastAsia" w:hAnsiTheme="majorBidi" w:cstheme="majorBidi"/>
          <w:iCs/>
          <w:sz w:val="24"/>
          <w:szCs w:val="24"/>
        </w:rPr>
        <w:t xml:space="preserve">Bursa Efek Indonesia </w:t>
      </w:r>
      <w:r w:rsidR="00C34EDF">
        <w:rPr>
          <w:rFonts w:asciiTheme="majorBidi" w:eastAsiaTheme="minorEastAsia" w:hAnsiTheme="majorBidi" w:cstheme="majorBidi"/>
          <w:iCs/>
          <w:sz w:val="24"/>
          <w:szCs w:val="24"/>
        </w:rPr>
        <w:t>t</w:t>
      </w:r>
      <w:r w:rsidR="005C6CE5" w:rsidRPr="005279AA">
        <w:rPr>
          <w:rFonts w:asciiTheme="majorBidi" w:eastAsiaTheme="minorEastAsia" w:hAnsiTheme="majorBidi" w:cstheme="majorBidi"/>
          <w:iCs/>
          <w:sz w:val="24"/>
          <w:szCs w:val="24"/>
        </w:rPr>
        <w:t xml:space="preserve">ahun </w:t>
      </w:r>
      <w:r w:rsidRPr="005279AA">
        <w:rPr>
          <w:rFonts w:asciiTheme="majorBidi" w:eastAsiaTheme="minorEastAsia" w:hAnsiTheme="majorBidi" w:cstheme="majorBidi"/>
          <w:iCs/>
          <w:sz w:val="24"/>
          <w:szCs w:val="24"/>
        </w:rPr>
        <w:t xml:space="preserve">2019-2023. Hasil tersebut dibuktikan pada hasil pengujian secara parsial dimana </w:t>
      </w:r>
      <w:r w:rsidR="00434459" w:rsidRPr="005279AA">
        <w:rPr>
          <w:rFonts w:asciiTheme="majorBidi" w:hAnsiTheme="majorBidi" w:cstheme="majorBidi"/>
          <w:sz w:val="24"/>
          <w:szCs w:val="24"/>
        </w:rPr>
        <w:t>nilai t</w:t>
      </w:r>
      <w:r w:rsidR="00434459" w:rsidRPr="005279AA">
        <w:rPr>
          <w:rFonts w:asciiTheme="majorBidi" w:hAnsiTheme="majorBidi" w:cstheme="majorBidi"/>
          <w:sz w:val="24"/>
          <w:szCs w:val="24"/>
          <w:vertAlign w:val="subscript"/>
        </w:rPr>
        <w:t>hitung</w:t>
      </w:r>
      <w:r w:rsidR="00434459" w:rsidRPr="005279AA">
        <w:rPr>
          <w:rFonts w:asciiTheme="majorBidi" w:hAnsiTheme="majorBidi" w:cstheme="majorBidi"/>
          <w:sz w:val="24"/>
          <w:szCs w:val="24"/>
        </w:rPr>
        <w:t xml:space="preserve"> sebesar 0,118</w:t>
      </w:r>
      <w:r w:rsidR="004B0170" w:rsidRPr="005279AA">
        <w:rPr>
          <w:rFonts w:asciiTheme="majorBidi" w:hAnsiTheme="majorBidi" w:cstheme="majorBidi"/>
          <w:sz w:val="24"/>
          <w:szCs w:val="24"/>
        </w:rPr>
        <w:t xml:space="preserve"> </w:t>
      </w:r>
      <w:r w:rsidR="004B0170" w:rsidRPr="005279AA">
        <w:rPr>
          <w:rFonts w:asciiTheme="majorBidi" w:hAnsiTheme="majorBidi" w:cstheme="majorBidi"/>
          <w:sz w:val="24"/>
          <w:szCs w:val="24"/>
          <w:lang w:val="id-ID"/>
        </w:rPr>
        <w:t>sementara nilai t</w:t>
      </w:r>
      <w:r w:rsidR="004B0170" w:rsidRPr="005279AA">
        <w:rPr>
          <w:rFonts w:asciiTheme="majorBidi" w:hAnsiTheme="majorBidi" w:cstheme="majorBidi"/>
          <w:sz w:val="24"/>
          <w:szCs w:val="24"/>
          <w:vertAlign w:val="subscript"/>
          <w:lang w:val="id-ID"/>
        </w:rPr>
        <w:t>tabel el</w:t>
      </w:r>
      <w:r w:rsidR="004B0170" w:rsidRPr="005279AA">
        <w:rPr>
          <w:rFonts w:asciiTheme="majorBidi" w:hAnsiTheme="majorBidi" w:cstheme="majorBidi"/>
          <w:sz w:val="24"/>
          <w:szCs w:val="24"/>
          <w:lang w:val="id-ID"/>
        </w:rPr>
        <w:t xml:space="preserve"> sebesar 1,994 yang artinya bahwa nilai t</w:t>
      </w:r>
      <w:r w:rsidR="004B0170" w:rsidRPr="005279AA">
        <w:rPr>
          <w:rFonts w:asciiTheme="majorBidi" w:hAnsiTheme="majorBidi" w:cstheme="majorBidi"/>
          <w:sz w:val="24"/>
          <w:szCs w:val="24"/>
          <w:vertAlign w:val="subscript"/>
          <w:lang w:val="id-ID"/>
        </w:rPr>
        <w:t>hitung</w:t>
      </w:r>
      <w:r w:rsidR="004B0170" w:rsidRPr="005279AA">
        <w:rPr>
          <w:rFonts w:asciiTheme="majorBidi" w:hAnsiTheme="majorBidi" w:cstheme="majorBidi"/>
          <w:sz w:val="24"/>
          <w:szCs w:val="24"/>
          <w:lang w:val="id-ID"/>
        </w:rPr>
        <w:t xml:space="preserve"> </w:t>
      </w:r>
      <w:r w:rsidR="004B0170" w:rsidRPr="005279AA">
        <w:rPr>
          <w:rFonts w:asciiTheme="majorBidi" w:hAnsiTheme="majorBidi" w:cstheme="majorBidi"/>
          <w:sz w:val="24"/>
          <w:szCs w:val="24"/>
        </w:rPr>
        <w:t>&lt;</w:t>
      </w:r>
      <w:r w:rsidR="004B0170" w:rsidRPr="005279AA">
        <w:rPr>
          <w:rFonts w:asciiTheme="majorBidi" w:hAnsiTheme="majorBidi" w:cstheme="majorBidi"/>
          <w:sz w:val="24"/>
          <w:szCs w:val="24"/>
          <w:lang w:val="id-ID"/>
        </w:rPr>
        <w:t xml:space="preserve"> t</w:t>
      </w:r>
      <w:r w:rsidR="004B0170" w:rsidRPr="005279AA">
        <w:rPr>
          <w:rFonts w:asciiTheme="majorBidi" w:hAnsiTheme="majorBidi" w:cstheme="majorBidi"/>
          <w:sz w:val="24"/>
          <w:szCs w:val="24"/>
          <w:vertAlign w:val="subscript"/>
          <w:lang w:val="id-ID"/>
        </w:rPr>
        <w:t xml:space="preserve">tabel </w:t>
      </w:r>
      <w:r w:rsidR="004B0170" w:rsidRPr="005279AA">
        <w:rPr>
          <w:rFonts w:asciiTheme="majorBidi" w:hAnsiTheme="majorBidi" w:cstheme="majorBidi"/>
          <w:sz w:val="24"/>
          <w:szCs w:val="24"/>
          <w:lang w:val="id-ID"/>
        </w:rPr>
        <w:t xml:space="preserve">atau </w:t>
      </w:r>
      <w:r w:rsidR="004B0170" w:rsidRPr="005279AA">
        <w:rPr>
          <w:rFonts w:asciiTheme="majorBidi" w:hAnsiTheme="majorBidi" w:cstheme="majorBidi"/>
          <w:sz w:val="24"/>
          <w:szCs w:val="24"/>
        </w:rPr>
        <w:t>0,118 &lt; 1,994</w:t>
      </w:r>
      <w:r w:rsidR="00434459" w:rsidRPr="005279AA">
        <w:rPr>
          <w:rFonts w:asciiTheme="majorBidi" w:hAnsiTheme="majorBidi" w:cstheme="majorBidi"/>
          <w:sz w:val="24"/>
          <w:szCs w:val="24"/>
        </w:rPr>
        <w:t xml:space="preserve"> dan nilai signifikasi sebesar 0,907. Dengan nilai sig 0,907 &gt; 0,05 dapat diartikan Ho diterima dan Ha di tolak</w:t>
      </w:r>
      <w:r w:rsidR="00F81757" w:rsidRPr="005279AA">
        <w:rPr>
          <w:rFonts w:asciiTheme="majorBidi" w:hAnsiTheme="majorBidi" w:cstheme="majorBidi"/>
          <w:sz w:val="24"/>
          <w:szCs w:val="24"/>
        </w:rPr>
        <w:t xml:space="preserve">, </w:t>
      </w:r>
      <w:r w:rsidR="00434459" w:rsidRPr="005279AA">
        <w:rPr>
          <w:rFonts w:asciiTheme="majorBidi" w:hAnsiTheme="majorBidi" w:cstheme="majorBidi"/>
          <w:i/>
          <w:iCs/>
          <w:sz w:val="24"/>
          <w:szCs w:val="24"/>
        </w:rPr>
        <w:t>free cash flow</w:t>
      </w:r>
      <w:r w:rsidR="00434459" w:rsidRPr="005279AA">
        <w:rPr>
          <w:rFonts w:asciiTheme="majorBidi" w:hAnsiTheme="majorBidi" w:cstheme="majorBidi"/>
          <w:sz w:val="24"/>
          <w:szCs w:val="24"/>
        </w:rPr>
        <w:t xml:space="preserve"> </w:t>
      </w:r>
      <w:r w:rsidR="00F81757" w:rsidRPr="005279AA">
        <w:rPr>
          <w:rFonts w:asciiTheme="majorBidi" w:hAnsiTheme="majorBidi" w:cstheme="majorBidi"/>
          <w:sz w:val="24"/>
          <w:szCs w:val="24"/>
        </w:rPr>
        <w:t xml:space="preserve">tidak berpengaruh </w:t>
      </w:r>
      <w:r w:rsidR="00434459" w:rsidRPr="005279AA">
        <w:rPr>
          <w:rFonts w:asciiTheme="majorBidi" w:hAnsiTheme="majorBidi" w:cstheme="majorBidi"/>
          <w:sz w:val="24"/>
          <w:szCs w:val="24"/>
        </w:rPr>
        <w:t xml:space="preserve">terhadap kebijakan dividen pada sektor </w:t>
      </w:r>
      <w:r w:rsidR="00434459" w:rsidRPr="005279AA">
        <w:rPr>
          <w:rFonts w:asciiTheme="majorBidi" w:hAnsiTheme="majorBidi" w:cstheme="majorBidi"/>
          <w:i/>
          <w:iCs/>
          <w:sz w:val="24"/>
          <w:szCs w:val="24"/>
        </w:rPr>
        <w:t>consumer non cyclical</w:t>
      </w:r>
      <w:r w:rsidR="00434459" w:rsidRPr="005279AA">
        <w:rPr>
          <w:rFonts w:asciiTheme="majorBidi" w:hAnsiTheme="majorBidi" w:cstheme="majorBidi"/>
          <w:sz w:val="24"/>
          <w:szCs w:val="24"/>
        </w:rPr>
        <w:t xml:space="preserve"> yang terdaftar pada </w:t>
      </w:r>
      <w:r w:rsidR="005C6CE5" w:rsidRPr="005279AA">
        <w:rPr>
          <w:rFonts w:asciiTheme="majorBidi" w:hAnsiTheme="majorBidi" w:cstheme="majorBidi"/>
          <w:sz w:val="24"/>
          <w:szCs w:val="24"/>
        </w:rPr>
        <w:t xml:space="preserve">Bursa Efek Indonesia </w:t>
      </w:r>
      <w:r w:rsidR="00C34EDF">
        <w:rPr>
          <w:rFonts w:asciiTheme="majorBidi" w:hAnsiTheme="majorBidi" w:cstheme="majorBidi"/>
          <w:sz w:val="24"/>
          <w:szCs w:val="24"/>
        </w:rPr>
        <w:t>t</w:t>
      </w:r>
      <w:r w:rsidR="005C6CE5" w:rsidRPr="005279AA">
        <w:rPr>
          <w:rFonts w:asciiTheme="majorBidi" w:hAnsiTheme="majorBidi" w:cstheme="majorBidi"/>
          <w:sz w:val="24"/>
          <w:szCs w:val="24"/>
        </w:rPr>
        <w:t xml:space="preserve">ahun </w:t>
      </w:r>
      <w:r w:rsidR="00434459" w:rsidRPr="005279AA">
        <w:rPr>
          <w:rFonts w:asciiTheme="majorBidi" w:hAnsiTheme="majorBidi" w:cstheme="majorBidi"/>
          <w:sz w:val="24"/>
          <w:szCs w:val="24"/>
        </w:rPr>
        <w:t>2019-2023</w:t>
      </w:r>
      <w:r w:rsidR="00E62B78" w:rsidRPr="005279AA">
        <w:rPr>
          <w:rFonts w:asciiTheme="majorBidi" w:hAnsiTheme="majorBidi" w:cstheme="majorBidi"/>
          <w:sz w:val="24"/>
          <w:szCs w:val="24"/>
        </w:rPr>
        <w:t>.</w:t>
      </w:r>
    </w:p>
    <w:p w14:paraId="0257248F" w14:textId="013913AD" w:rsidR="005C6CE5" w:rsidRPr="005279AA" w:rsidRDefault="00D03FB6"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hAnsiTheme="majorBidi" w:cstheme="majorBidi"/>
          <w:i/>
          <w:iCs/>
          <w:sz w:val="24"/>
          <w:szCs w:val="24"/>
        </w:rPr>
        <w:t>Free cash flow</w:t>
      </w:r>
      <w:r w:rsidRPr="005279AA">
        <w:rPr>
          <w:rFonts w:asciiTheme="majorBidi" w:hAnsiTheme="majorBidi" w:cstheme="majorBidi"/>
          <w:sz w:val="24"/>
          <w:szCs w:val="24"/>
        </w:rPr>
        <w:t xml:space="preserve"> tidak berpengaruh terhadap kebijakan dividen k</w:t>
      </w:r>
      <w:r w:rsidR="00E62B78" w:rsidRPr="005279AA">
        <w:rPr>
          <w:rFonts w:asciiTheme="majorBidi" w:hAnsiTheme="majorBidi" w:cstheme="majorBidi"/>
          <w:sz w:val="24"/>
          <w:szCs w:val="24"/>
        </w:rPr>
        <w:t xml:space="preserve">arena </w:t>
      </w:r>
      <w:r w:rsidR="00124A37" w:rsidRPr="005279AA">
        <w:rPr>
          <w:rFonts w:asciiTheme="majorBidi" w:hAnsiTheme="majorBidi" w:cstheme="majorBidi"/>
          <w:sz w:val="24"/>
          <w:szCs w:val="24"/>
        </w:rPr>
        <w:t xml:space="preserve">berdasarkan sampel perusahaan </w:t>
      </w:r>
      <w:r w:rsidR="005C6CE5" w:rsidRPr="005279AA">
        <w:rPr>
          <w:rFonts w:asciiTheme="majorBidi" w:hAnsiTheme="majorBidi" w:cstheme="majorBidi"/>
          <w:sz w:val="24"/>
          <w:szCs w:val="24"/>
        </w:rPr>
        <w:t xml:space="preserve">sektor </w:t>
      </w:r>
      <w:r w:rsidR="005C6CE5" w:rsidRPr="005279AA">
        <w:rPr>
          <w:rFonts w:asciiTheme="majorBidi" w:hAnsiTheme="majorBidi" w:cstheme="majorBidi"/>
          <w:i/>
          <w:iCs/>
          <w:sz w:val="24"/>
          <w:szCs w:val="24"/>
        </w:rPr>
        <w:t>consumer non cyclical</w:t>
      </w:r>
      <w:r w:rsidR="005C6CE5" w:rsidRPr="005279AA">
        <w:rPr>
          <w:rFonts w:asciiTheme="majorBidi" w:hAnsiTheme="majorBidi" w:cstheme="majorBidi"/>
          <w:sz w:val="24"/>
          <w:szCs w:val="24"/>
        </w:rPr>
        <w:t xml:space="preserve"> </w:t>
      </w:r>
      <w:r w:rsidR="00124A37" w:rsidRPr="005279AA">
        <w:rPr>
          <w:rFonts w:asciiTheme="majorBidi" w:hAnsiTheme="majorBidi" w:cstheme="majorBidi"/>
          <w:sz w:val="24"/>
          <w:szCs w:val="24"/>
        </w:rPr>
        <w:t xml:space="preserve">tahun 2019-2023 mayoritas nilai </w:t>
      </w:r>
      <w:r w:rsidR="00124A37" w:rsidRPr="005279AA">
        <w:rPr>
          <w:rFonts w:asciiTheme="majorBidi" w:hAnsiTheme="majorBidi" w:cstheme="majorBidi"/>
          <w:i/>
          <w:iCs/>
          <w:sz w:val="24"/>
          <w:szCs w:val="24"/>
        </w:rPr>
        <w:t>free cash flow</w:t>
      </w:r>
      <w:r w:rsidR="00124A37" w:rsidRPr="005279AA">
        <w:rPr>
          <w:rFonts w:asciiTheme="majorBidi" w:hAnsiTheme="majorBidi" w:cstheme="majorBidi"/>
          <w:sz w:val="24"/>
          <w:szCs w:val="24"/>
        </w:rPr>
        <w:t xml:space="preserve"> perusahaan negatif (-). variabilitas </w:t>
      </w:r>
      <w:r w:rsidR="00124A37" w:rsidRPr="005279AA">
        <w:rPr>
          <w:rFonts w:asciiTheme="majorBidi" w:hAnsiTheme="majorBidi" w:cstheme="majorBidi"/>
          <w:i/>
          <w:iCs/>
          <w:sz w:val="24"/>
          <w:szCs w:val="24"/>
        </w:rPr>
        <w:t>free cash flow</w:t>
      </w:r>
      <w:r w:rsidR="00124A37" w:rsidRPr="005279AA">
        <w:rPr>
          <w:rFonts w:asciiTheme="majorBidi" w:hAnsiTheme="majorBidi" w:cstheme="majorBidi"/>
          <w:sz w:val="24"/>
          <w:szCs w:val="24"/>
        </w:rPr>
        <w:t xml:space="preserve"> akan menyebabkan </w:t>
      </w:r>
      <w:r w:rsidR="00124A37" w:rsidRPr="005279AA">
        <w:rPr>
          <w:rFonts w:asciiTheme="majorBidi" w:hAnsiTheme="majorBidi" w:cstheme="majorBidi"/>
          <w:i/>
          <w:iCs/>
          <w:sz w:val="24"/>
          <w:szCs w:val="24"/>
        </w:rPr>
        <w:t>free cash flow</w:t>
      </w:r>
      <w:r w:rsidR="00124A37" w:rsidRPr="005279AA">
        <w:rPr>
          <w:rFonts w:asciiTheme="majorBidi" w:hAnsiTheme="majorBidi" w:cstheme="majorBidi"/>
          <w:sz w:val="24"/>
          <w:szCs w:val="24"/>
        </w:rPr>
        <w:t xml:space="preserve"> tidak mempengaruhi kebijakan dividen. Hal ini sesuai dengan teori </w:t>
      </w:r>
      <w:r w:rsidR="00124A37" w:rsidRPr="005279AA">
        <w:rPr>
          <w:rFonts w:asciiTheme="majorBidi" w:hAnsiTheme="majorBidi" w:cstheme="majorBidi"/>
          <w:i/>
          <w:iCs/>
          <w:sz w:val="24"/>
          <w:szCs w:val="24"/>
        </w:rPr>
        <w:t>signaling</w:t>
      </w:r>
      <w:r w:rsidR="00124A37" w:rsidRPr="005279AA">
        <w:rPr>
          <w:rFonts w:asciiTheme="majorBidi" w:hAnsiTheme="majorBidi" w:cstheme="majorBidi"/>
          <w:sz w:val="24"/>
          <w:szCs w:val="24"/>
        </w:rPr>
        <w:t xml:space="preserve"> yang menyatakan bahwa pembayaran dividen tunai perusahaan tidak didasarkan pada jumlah arus kas bebas, yang ditentukan dengan mengurangkan belanja modal dari beban aktivitas operasi sebagai persentase dari total aset yang dimiliki </w:t>
      </w:r>
      <w:r w:rsidRPr="005279AA">
        <w:rPr>
          <w:rFonts w:asciiTheme="majorBidi" w:hAnsiTheme="majorBidi" w:cstheme="majorBidi"/>
          <w:sz w:val="24"/>
          <w:szCs w:val="24"/>
        </w:rPr>
        <w:fldChar w:fldCharType="begin" w:fldLock="1"/>
      </w:r>
      <w:r w:rsidR="005A6727" w:rsidRPr="005279AA">
        <w:rPr>
          <w:rFonts w:asciiTheme="majorBidi" w:hAnsiTheme="majorBidi" w:cstheme="majorBidi"/>
          <w:sz w:val="24"/>
          <w:szCs w:val="24"/>
        </w:rPr>
        <w:instrText>ADDIN CSL_CITATION {"citationItems":[{"id":"ITEM-1","itemData":{"DOI":"https://doi.org/10.30640/digital.v2i2.1075","abstract":"Penelitian ini bertujuan untuk melihat pengaruh profitabilitas yang di proksikan dengan return on asset dan free cash flow terhadap kebijakan dividen pada perusahaan yang terdaftar di Bursa Efek Indonesia (BEI) periode 2017 – 2021. Dengan jumlah populasi 810 peusahaan maka diperoleh sampel penelitian sebanyak 32 perusahaan menggunakan teknik purposive sampling. Metode penelitian yang digunakan dalam penelitian ini adalah kuantitatif. Teknik analisis data menggunakan analisis regresi data panel dengan model regresi yang digunakan adalah fixed effect model yang diolah dengan perangkat lunak Eviews8. Berdasarkan hasil analisis data yang telah dilakukan menggunakan pengujian hipotesis (uji-t), membuktikan bahwa rasio profiabilitas yang di proksikan dengan return on asset berpengaruh secara signifikan terhadap kebijakan dividen, dan variabel free cash flow tidak berpengaruh secara signifikan terhadap kebijakan dividen pada perusahaan yang terdaftar di BEI.","author":[{"dropping-particle":"","family":"Agustin","given":"Melly Azahra","non-dropping-particle":"","parse-names":false,"suffix":""},{"dropping-particle":"","family":"Martha","given":"Lidya","non-dropping-particle":"","parse-names":false,"suffix":""}],"container-title":"Jurnal Publikasi Ilmu Manajamen dan E-Commerce","id":"ITEM-1","issue":"2","issued":{"date-parts":[["2023"]]},"page":"226-247","title":"Peningkatan Profitabilitas Dan Free Cash Flow Terhadap Kebijakan Dividen","type":"article-journal","volume":"2"},"uris":["http://www.mendeley.com/documents/?uuid=82c29a0d-e73c-44e2-8447-f3c9de85cb7a"]}],"mendeley":{"formattedCitation":"(Agustin &amp; Martha, 2023)","manualFormatting":"(Agustin &amp; Martha, 2023:243)","plainTextFormattedCitation":"(Agustin &amp; Martha, 2023)","previouslyFormattedCitation":"(Agustin &amp; Martha, 2023)"},"properties":{"noteIndex":0},"schema":"https://github.com/citation-style-language/schema/raw/master/csl-citation.json"}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(Agustin &amp; Martha, 2023</w:t>
      </w:r>
      <w:r w:rsidR="005A6727" w:rsidRPr="005279AA">
        <w:rPr>
          <w:rFonts w:asciiTheme="majorBidi" w:hAnsiTheme="majorBidi" w:cstheme="majorBidi"/>
          <w:noProof/>
          <w:sz w:val="24"/>
          <w:szCs w:val="24"/>
        </w:rPr>
        <w:t>:243</w:t>
      </w:r>
      <w:r w:rsidRPr="005279AA">
        <w:rPr>
          <w:rFonts w:asciiTheme="majorBidi" w:hAnsiTheme="majorBidi" w:cstheme="majorBidi"/>
          <w:noProof/>
          <w:sz w:val="24"/>
          <w:szCs w:val="24"/>
        </w:rPr>
        <w:t>)</w:t>
      </w:r>
      <w:r w:rsidRPr="005279AA">
        <w:rPr>
          <w:rFonts w:asciiTheme="majorBidi" w:hAnsiTheme="majorBidi" w:cstheme="majorBidi"/>
          <w:sz w:val="24"/>
          <w:szCs w:val="24"/>
        </w:rPr>
        <w:fldChar w:fldCharType="end"/>
      </w:r>
      <w:r w:rsidR="00124A37" w:rsidRPr="005279AA">
        <w:rPr>
          <w:rFonts w:asciiTheme="majorBidi" w:hAnsiTheme="majorBidi" w:cstheme="majorBidi"/>
          <w:sz w:val="24"/>
          <w:szCs w:val="24"/>
        </w:rPr>
        <w:t>.</w:t>
      </w:r>
    </w:p>
    <w:p w14:paraId="574B1321" w14:textId="4A6CF258" w:rsidR="00DA4B6E" w:rsidRPr="005279AA" w:rsidRDefault="0040248F"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 xml:space="preserve">Hasil penelitian ini selaras dengan hasil penelitian yang dilakukan oleh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{"citationItems":[{"id":"ITEM-1","itemData":{"author":[{"dropping-particle":"","family":"Prastya","given":"Andre Hand","non-dropping-particle":"","parse-names":false,"suffix":""},{"dropping-particle":"","family":"Jalil","given":"Fitri Yani","non-dropping-particle":"","parse-names":false,"suffix":""}],"container-title":"Jurnal Kajian Akuntansi dan Bisnis Terkini","id":"ITEM-1","issue":"1","issued":{"date-parts":[["2020"]]},"page":"131-148","title":"PENGARUH FREE CASHFLOW, LEVERAGE, PROFITABILITAS, LIKUIDITAS DAN UKURAN PERUSAHAAN TERHADAP KEBIJAKAN DIVIDEN","type":"article-journal","volume":"1"},"uris":["http://www.mendeley.com/documents/?uuid=cc498795-b88e-4b47-b3bf-e654dffe2e72"]}],"mendeley":{"formattedCitation":"(Prastya &amp; Jalil, 2020)","plainTextFormattedCitation":"(Prastya &amp; Jalil, 2020)","previouslyFormattedCitation":"(Prastya &amp; Jalil, 2020)"},"properties":{"noteIndex":0},"schema":"https://github.com/citation-style-language/schema/raw/master/csl-citation.json"}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(Prastya &amp; Jalil, 2020)</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{"citationItems":[{"id":"ITEM-1","itemData":{"author":[{"dropping-particle":"","family":"Maria","given":"Ulfa","non-dropping-particle":"","parse-names":false,"suffix":""},{"dropping-particle":"","family":"Wijaya","given":"anggita langgeng","non-dropping-particle":"","parse-names":false,"suffix":""},{"dropping-particle":"","family":"Ubaidillah","given":"Moh","non-dropping-particle":"","parse-names":false,"suffix":""}],"container-title":"eminar Inovasi Manajemen Bisnis dan Akuntansi","id":"ITEM-1","issued":{"date-parts":[["2018"]]},"title":"PENGARUH PROFITABILITAS, LIKUIDITAS, KEBIJAKAN HUTANG, FREE CASH FLOW TERHADAP KEBIJAKAN DIVIDEN DENGAN UKURAN PERUSAHAAN SEBAGAI MODERASI (Studi Kasus Pada Sektor Perusahaan Industri Barang Konsumsi yang Terdaftar di BEI 2015-2018)","type":"article-journal"},"uris":["http://www.mendeley.com/documents/?uuid=e0978342-efe0-4a3a-9063-267a8cf51db2"]}],"mendeley":{"formattedCitation":"(Maria et al., 2018)","plainTextFormattedCitation":"(Maria et al., 2018)","previouslyFormattedCitation":"(Maria et al., 2018)"},"properties":{"noteIndex":0},"schema":"https://github.com/citation-style-language/schema/raw/master/csl-citation.json"}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(Maria et al., 2018)</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{"citationItems":[{"id":"ITEM-1","itemData":{"DOI":"10.24034/jiaku.v2i1.5","abstract":"Penelitian ini bertujuan untuk menguji dan menganalisis pengaruh profitabilitas, free cash flow, likuiditas dan investment opportunity set terhadap kebijakan dividen. Profitabilitas dihitung menggunakan return on asset, dihitung menggunakan nilai bersih dari kenaikan atau penurunan arus kas dari aktivitas operasi perusahaan dibagi dengan total aset pada periode yang sama likuiditas dihitung dengan current ratio, sedangkan investment opportunity set dihitung dengan indicator market value Assets to book value Assets. Pendekatan penelitian ini adalah jenis pendekatan kuantitatif. Sampel dalam penelitian ini diperoleh dengan menggunakan metode purposive sampling. Berdasarkan metode purposive sampling tersebut didapatkan 15 peru-sahaan sektor food and beverage yang terdaftar di Bursa Efek Indonesia tahun 2015-2019 sehingga diperoleh sebanyak 51 data. Metode analisis yang digunakan adalah analisis regresi linier berganda diolah menggunakan program SPSS. Hasil dari pe-nelitian menunjukkan bahwa free cash flow, likuiditas, dan investment opportunity set tidak berpengaruh terhadap kebijakan dividen, sedangkan profitabilitas ber-pengaruh positif terhadap kebijakan","author":[{"dropping-particle":"","family":"Yunita","given":"Erlinda Vira","non-dropping-particle":"","parse-names":false,"suffix":""},{"dropping-particle":"","family":"Subardjo","given":"Anang","non-dropping-particle":"","parse-names":false,"suffix":""}],"container-title":"Jurnal Ilmiah Akutansi dan Keuangan","id":"ITEM-1","issued":{"date-parts":[["2018"]]},"page":"80-96","title":"PENGARUH PROFITABILITAS, FREE CASH FLOW, LIKUIDITAS, DAN INVESTMENT OPPORTUNITY SET TERHADAP KEBIJAKAN DIVIDEN","type":"article-journal","volume":"2"},"uris":["http://www.mendeley.com/documents/?uuid=389aa54f-8326-4f50-b72f-f6bd9d321849"]}],"mendeley":{"formattedCitation":"(Yunita &amp; Subardjo, 2018)","plainTextFormattedCitation":"(Yunita &amp; Subardjo, 2018)","previouslyFormattedCitation":"(Yunita &amp; Subardjo, 2018)"},"properties":{"noteIndex":0},"schema":"https://github.com/citation-style-language/schema/raw/master/csl-citation.json"}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(Yunita &amp; Subardjo, 2018)</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Pr="005279AA">
        <w:rPr>
          <w:rFonts w:asciiTheme="majorBidi" w:hAnsiTheme="majorBidi" w:cstheme="majorBidi"/>
          <w:sz w:val="24"/>
          <w:szCs w:val="24"/>
        </w:rPr>
        <w:instrText>ADDIN CSL_CITATION {"citationItems":[{"id":"ITEM-1","itemData":{"DOI":"https://doi.org/10.30640/digital.v2i2.1075","abstract":"Penelitian ini bertujuan untuk melihat pengaruh profitabilitas yang di proksikan dengan return on asset dan free cash flow terhadap kebijakan dividen pada perusahaan yang terdaftar di Bursa Efek Indonesia (BEI) periode 2017 – 2021. Dengan jumlah populasi 810 peusahaan maka diperoleh sampel penelitian sebanyak 32 perusahaan menggunakan teknik purposive sampling. Metode penelitian yang digunakan dalam penelitian ini adalah kuantitatif. Teknik analisis data menggunakan analisis regresi data panel dengan model regresi yang digunakan adalah fixed effect model yang diolah dengan perangkat lunak Eviews8. Berdasarkan hasil analisis data yang telah dilakukan menggunakan pengujian hipotesis (uji-t), membuktikan bahwa rasio profiabilitas yang di proksikan dengan return on asset berpengaruh secara signifikan terhadap kebijakan dividen, dan variabel free cash flow tidak berpengaruh secara signifikan terhadap kebijakan dividen pada perusahaan yang terdaftar di BEI.","author":[{"dropping-particle":"","family":"Agustin","given":"Melly Azahra","non-dropping-particle":"","parse-names":false,"suffix":""},{"dropping-particle":"","family":"Martha","given":"Lidya","non-dropping-particle":"","parse-names":false,"suffix":""}],"container-title":"Jurnal Publikasi Ilmu Manajamen dan E-Commerce","id":"ITEM-1","issue":"2","issued":{"date-parts":[["2023"]]},"page":"226-247","title":"Peningkatan Profitabilitas Dan Free Cash Flow Terhadap Kebijakan Dividen","type":"article-journal","volume":"2"},"uris":["http://www.mendeley.com/documents/?uuid=82c29a0d-e73c-44e2-8447-f3c9de85cb7a"]}],"mendeley":{"formattedCitation":"(Agustin &amp; Martha, 2023)","plainTextFormattedCitation":"(Agustin &amp; Martha, 2023)","previouslyFormattedCitation":"(Agustin &amp; Martha, 2023)"},"properties":{"noteIndex":0},"schema":"https://github.com/citation-style-language/schema/raw/master/csl-citation.json"}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(Agustin &amp; Martha, 2023)</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yang menyatakan bahwa </w:t>
      </w:r>
      <w:r w:rsidRPr="005279AA">
        <w:rPr>
          <w:rFonts w:asciiTheme="majorBidi" w:hAnsiTheme="majorBidi" w:cstheme="majorBidi"/>
          <w:i/>
          <w:iCs/>
          <w:sz w:val="24"/>
          <w:szCs w:val="24"/>
        </w:rPr>
        <w:t>free cash flow</w:t>
      </w:r>
      <w:r w:rsidRPr="005279AA">
        <w:rPr>
          <w:rFonts w:asciiTheme="majorBidi" w:hAnsiTheme="majorBidi" w:cstheme="majorBidi"/>
          <w:sz w:val="24"/>
          <w:szCs w:val="24"/>
        </w:rPr>
        <w:t xml:space="preserve"> tidak berpengaruh signifikan terhadap kebijakan dividen. Namun hasil tersebut bertolak belakang dengan penelitian </w:t>
      </w:r>
      <w:r w:rsidR="00BF0247" w:rsidRPr="005279AA">
        <w:rPr>
          <w:rFonts w:asciiTheme="majorBidi" w:hAnsiTheme="majorBidi" w:cstheme="majorBidi"/>
          <w:sz w:val="24"/>
          <w:szCs w:val="24"/>
        </w:rPr>
        <w:fldChar w:fldCharType="begin" w:fldLock="1"/>
      </w:r>
      <w:r w:rsidR="00BF0247" w:rsidRPr="005279AA">
        <w:rPr>
          <w:rFonts w:asciiTheme="majorBidi" w:hAnsiTheme="majorBidi" w:cstheme="majorBidi"/>
          <w:sz w:val="24"/>
          <w:szCs w:val="24"/>
        </w:rPr>
        <w:instrText>ADDIN CSL_CITATION {"citationItems":[{"id":"ITEM-1","itemData":{"abstract":"This research aimed to find out the effect of free cash flow, profitability, and debt policy on dividend policy. While, profitability was measured by Return On Asset. Meanwhile, debt policy was measured by Debt to Equity Ratio. The research was quantitative. Moreover, the population was 10 Property and Real Estate companies which were listed on Indonesia Stock Exchange (IDX) during 2014-2018. Furthermore, the data collection technique used purposive sampling, in which the sample was based on criteria given. In line with, there were 50 samples. Additionally, the data analysis technique used multiple linear regression. The research result concluded free cash flow had positive and significant effect on dividend policy. It meant, the higher free cash flow, the greater supply of cash rest in increasing its dividend payment. Likewise, profitability had positive and significant effect on dividend policy. In other word, when companies produce maximum profit, it will increase dividend share. On the other hand, debt policy had positive but insignificant effect on dividend policy. It meant, as companies have their higher ability to pay all their liabilities, their ability of sharing the dividend was lower.","author":[{"dropping-particle":"","family":"Kresna","given":"Heriska Sri","non-dropping-particle":"","parse-names":false,"suffix":""},{"dropping-particle":"","family":"Ardini","given":"Lilis","non-dropping-particle":"","parse-names":false,"suffix":""}],"container-title":"Jurnal Ilmu dan Riset Akuntansi","id":"ITEM-1","issue":"3","issued":{"date-parts":[["2020"]]},"page":"1-22","title":"Pengaruh Free Cash Flow, Profitabiltas, Kebijakan Hutang Terhadap Kebijakan Dividen","type":"article-journal","volume":"9"},"uris":["http://www.mendeley.com/documents/?uuid=eec32016-144f-438f-8090-f005955c4821"]}],"mendeley":{"formattedCitation":"(Kresna &amp; Ardini, 2020)","plainTextFormattedCitation":"(Kresna &amp; Ardini, 2020)","previouslyFormattedCitation":"(Kresna &amp; Ardini, 2020)"},"properties":{"noteIndex":0},"schema":"https://github.com/citation-style-language/schema/raw/master/csl-citation.json"}</w:instrText>
      </w:r>
      <w:r w:rsidR="00BF0247" w:rsidRPr="005279AA">
        <w:rPr>
          <w:rFonts w:asciiTheme="majorBidi" w:hAnsiTheme="majorBidi" w:cstheme="majorBidi"/>
          <w:sz w:val="24"/>
          <w:szCs w:val="24"/>
        </w:rPr>
        <w:fldChar w:fldCharType="separate"/>
      </w:r>
      <w:r w:rsidR="00BF0247" w:rsidRPr="005279AA">
        <w:rPr>
          <w:rFonts w:asciiTheme="majorBidi" w:hAnsiTheme="majorBidi" w:cstheme="majorBidi"/>
          <w:noProof/>
          <w:sz w:val="24"/>
          <w:szCs w:val="24"/>
        </w:rPr>
        <w:t>(Kresna &amp; Ardini, 2020)</w:t>
      </w:r>
      <w:r w:rsidR="00BF0247" w:rsidRPr="005279AA">
        <w:rPr>
          <w:rFonts w:asciiTheme="majorBidi" w:hAnsiTheme="majorBidi" w:cstheme="majorBidi"/>
          <w:sz w:val="24"/>
          <w:szCs w:val="24"/>
        </w:rPr>
        <w:fldChar w:fldCharType="end"/>
      </w:r>
      <w:r w:rsidR="00BF0247" w:rsidRPr="005279AA">
        <w:rPr>
          <w:rFonts w:asciiTheme="majorBidi" w:hAnsiTheme="majorBidi" w:cstheme="majorBidi"/>
          <w:sz w:val="24"/>
          <w:szCs w:val="24"/>
        </w:rPr>
        <w:t xml:space="preserve">, </w:t>
      </w:r>
      <w:r w:rsidR="00BF0247" w:rsidRPr="005279AA">
        <w:rPr>
          <w:rFonts w:asciiTheme="majorBidi" w:hAnsiTheme="majorBidi" w:cstheme="majorBidi"/>
          <w:sz w:val="24"/>
          <w:szCs w:val="24"/>
        </w:rPr>
        <w:fldChar w:fldCharType="begin" w:fldLock="1"/>
      </w:r>
      <w:r w:rsidR="00BF0247" w:rsidRPr="005279AA">
        <w:rPr>
          <w:rFonts w:asciiTheme="majorBidi" w:hAnsiTheme="majorBidi" w:cstheme="majorBidi"/>
          <w:sz w:val="24"/>
          <w:szCs w:val="24"/>
        </w:rPr>
        <w:instrText>ADDIN CSL_CITATION {"citationItems":[{"id":"ITEM-1","itemData":{"abstract":"Dividend is one determinant factor level of shareholder. In determining dividend policy, the average company uses the free cash flow. On the other hand, when a company does not distribute dividends in that year, it is likely that the company will choose the long-term investment option in the form of investment opportunity set. Agency conflicts that arise between shareholders and managers to determine dividend policy can be overcome by increasing the level of company ownership. One of them is to increase the level of institutional ownership. The purpose of this study is to determine the effect of free cash flow and investment opportunity set on dividend policy with institutional ownership as a moderating variable. This research uses descriptive quantitative method. The object of this research is manufacturing companies listed on the Indonesia Stock Exchange and which distributed dividends in a row from 2014 to 2018. The sampling method used in this study was the purposive sampling method and the resulting sample of this research were 24 companies. The data analysis of this research was processed using themethod Moderate Regression Analysis (MRA) with the help of SPSS software. The results showed that free cash flow had a significant positive effect on dividend policy. In addition, the investment opportunity set variable has a significant negative effect on dividend policy. While the level of corporate institutional ownership is not significant in moderating the relationship between the free cash flow variable and the investment opportunity set partially on dividend policy. Nevertheless, institutional ownership variables can have a strengthening effect in partially affecting the variable free cash flow and investment opportunity set on dividend policy.","author":[{"dropping-particle":"","family":"Fahmi","given":"Much. Maftuhul","non-dropping-particle":"","parse-names":false,"suffix":""},{"dropping-particle":"","family":"Sulhan","given":"Muhammad","non-dropping-particle":"","parse-names":false,"suffix":""}],"container-title":"JIMUPB Jurnal Ilmiah Manajemen","id":"ITEM-1","issue":"2","issued":{"date-parts":[["2020"]]},"title":"Pengaruh Free Cash Flow Dan Investment Opportunity Set Terhadap Kebijakan Dividen Dengan Kepemilikan Institusional Sebagai Variabel Pemoderasi","type":"article-journal","volume":"8"},"uris":["http://www.mendeley.com/documents/?uuid=4979e3c7-bf47-4be1-abe0-53c7b184ba88"]}],"mendeley":{"formattedCitation":"(Fahmi &amp; Sulhan, 2020)","plainTextFormattedCitation":"(Fahmi &amp; Sulhan, 2020)","previouslyFormattedCitation":"(Fahmi &amp; Sulhan, 2020)"},"properties":{"noteIndex":0},"schema":"https://github.com/citation-style-language/schema/raw/master/csl-citation.json"}</w:instrText>
      </w:r>
      <w:r w:rsidR="00BF0247" w:rsidRPr="005279AA">
        <w:rPr>
          <w:rFonts w:asciiTheme="majorBidi" w:hAnsiTheme="majorBidi" w:cstheme="majorBidi"/>
          <w:sz w:val="24"/>
          <w:szCs w:val="24"/>
        </w:rPr>
        <w:fldChar w:fldCharType="separate"/>
      </w:r>
      <w:r w:rsidR="00BF0247" w:rsidRPr="005279AA">
        <w:rPr>
          <w:rFonts w:asciiTheme="majorBidi" w:hAnsiTheme="majorBidi" w:cstheme="majorBidi"/>
          <w:noProof/>
          <w:sz w:val="24"/>
          <w:szCs w:val="24"/>
        </w:rPr>
        <w:t>(Fahmi &amp; Sulhan, 2020)</w:t>
      </w:r>
      <w:r w:rsidR="00BF0247" w:rsidRPr="005279AA">
        <w:rPr>
          <w:rFonts w:asciiTheme="majorBidi" w:hAnsiTheme="majorBidi" w:cstheme="majorBidi"/>
          <w:sz w:val="24"/>
          <w:szCs w:val="24"/>
        </w:rPr>
        <w:fldChar w:fldCharType="end"/>
      </w:r>
      <w:r w:rsidR="00BF0247">
        <w:rPr>
          <w:rFonts w:asciiTheme="majorBidi" w:hAnsiTheme="majorBidi" w:cstheme="majorBidi"/>
          <w:sz w:val="24"/>
          <w:szCs w:val="24"/>
        </w:rPr>
        <w:t xml:space="preserve">; </w:t>
      </w:r>
      <w:r w:rsidR="00BF0247" w:rsidRPr="005279AA">
        <w:rPr>
          <w:rFonts w:asciiTheme="majorBidi" w:hAnsiTheme="majorBidi" w:cstheme="majorBidi"/>
          <w:sz w:val="24"/>
          <w:szCs w:val="24"/>
        </w:rPr>
        <w:fldChar w:fldCharType="begin" w:fldLock="1"/>
      </w:r>
      <w:r w:rsidR="00BF0247" w:rsidRPr="005279AA">
        <w:rPr>
          <w:rFonts w:asciiTheme="majorBidi" w:hAnsiTheme="majorBidi" w:cstheme="majorBidi"/>
          <w:sz w:val="24"/>
          <w:szCs w:val="24"/>
        </w:rPr>
        <w:instrText>ADDIN CSL_CITATION {"citationItems":[{"id":"ITEM-1","itemData":{"abstract":"The purpose of this study is to obtain empirical evidence regarding the effect of profitability, liquidity, leverage, free cash flow, and good corporate governance on divide","author":[{"dropping-particle":"","family":"Widyasti","given":"I Gusti Ayu Vera","non-dropping-particle":"","parse-names":false,"suffix":""},{"dropping-particle":"","family":"Putri","given":"I.G.A.M. Asri Dwija","non-dropping-particle":"","parse-names":false,"suffix":""}],"container-title":"American Journal of Humanities and Social Sciences Research (AJHSSR)","id":"ITEM-1","issue":"1","issued":{"date-parts":[["2021"]]},"page":"269-278","title":"The Effect of Profitability, Liquidity, Leverage, Free Cash Flow, and Good Corporate Governance on Dividend Policies (Empirical Study on Manufacturing Companies Listed in Indonesia Stock Exchange 2017-2019)","type":"article-journal","volume":"5"},"uris":["http://www.mendeley.com/documents/?uuid=3c01f654-15a6-4058-b4af-3e623e4e85ae"]}],"mendeley":{"formattedCitation":"(Widyasti &amp; Putri, 2021b)","plainTextFormattedCitation":"(Widyasti &amp; Putri, 2021b)","previouslyFormattedCitation":"(Widyasti &amp; Putri, 2021b)"},"properties":{"noteIndex":0},"schema":"https://github.com/citation-style-language/schema/raw/master/csl-citation.json"}</w:instrText>
      </w:r>
      <w:r w:rsidR="00BF0247" w:rsidRPr="005279AA">
        <w:rPr>
          <w:rFonts w:asciiTheme="majorBidi" w:hAnsiTheme="majorBidi" w:cstheme="majorBidi"/>
          <w:sz w:val="24"/>
          <w:szCs w:val="24"/>
        </w:rPr>
        <w:fldChar w:fldCharType="separate"/>
      </w:r>
      <w:r w:rsidR="00BF0247" w:rsidRPr="00BF0247">
        <w:rPr>
          <w:rFonts w:asciiTheme="majorBidi" w:hAnsiTheme="majorBidi" w:cstheme="majorBidi"/>
          <w:noProof/>
          <w:sz w:val="24"/>
          <w:szCs w:val="24"/>
        </w:rPr>
        <w:t>(Widyasti &amp; Putri, 2021b)</w:t>
      </w:r>
      <w:r w:rsidR="00BF0247" w:rsidRPr="005279AA">
        <w:rPr>
          <w:rFonts w:asciiTheme="majorBidi" w:hAnsiTheme="majorBidi" w:cstheme="majorBidi"/>
          <w:sz w:val="24"/>
          <w:szCs w:val="24"/>
        </w:rPr>
        <w:fldChar w:fldCharType="end"/>
      </w:r>
      <w:r w:rsidR="00BF0247">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D1050C" w:rsidRPr="005279AA">
        <w:rPr>
          <w:rFonts w:asciiTheme="majorBidi" w:hAnsiTheme="majorBidi" w:cstheme="majorBidi"/>
          <w:sz w:val="24"/>
          <w:szCs w:val="24"/>
        </w:rPr>
        <w:instrText>ADDIN CSL_CITATION {"citationItems":[{"id":"ITEM-1","itemData":{"author":[{"dropping-particle":"","family":"Susanto","given":"Dimas trinanda","non-dropping-particle":"","parse-names":false,"suffix":""},{"dropping-particle":"","family":"Wijaya","given":"Erric","non-dropping-particle":"","parse-names":false,"suffix":""}],"container-title":"Jurnal of Accounting, Management, and Islamic Economics","id":"ITEM-1","issued":{"date-parts":[["2023"]]},"page":"531-542","title":"PENGARUH FREE CASH FLOW, PROFITABILITAS, LIKUIDITAS DAN LEVERAGE TERHADAP KEBIJAKAN DIVIDEN PADA PERUSAHAAN SUB SEKTOR CONSUMER GOODS INDUSTRY DI INDONESIA PERIODE 2015-2018","type":"article-journal","volume":"Vol 01, No"},"uris":["http://www.mendeley.com/documents/?uuid=a046ef78-3911-4f5c-829f-586923995176"]}],"mendeley":{"formattedCitation":"(Susanto &amp; Wijaya, 2023)","plainTextFormattedCitation":"(Susanto &amp; Wijaya, 2023)","previouslyFormattedCitation":"(Susanto &amp; Wijaya, 2023)"},"properties":{"noteIndex":0},"schema":"https://github.com/citation-style-language/schema/raw/master/csl-citation.json"}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 xml:space="preserve">(Susanto &amp; Wijaya, </w:t>
      </w:r>
      <w:r w:rsidRPr="005279AA">
        <w:rPr>
          <w:rFonts w:asciiTheme="majorBidi" w:hAnsiTheme="majorBidi" w:cstheme="majorBidi"/>
          <w:noProof/>
          <w:sz w:val="24"/>
          <w:szCs w:val="24"/>
        </w:rPr>
        <w:lastRenderedPageBreak/>
        <w:t>2023)</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w:t>
      </w:r>
      <w:r w:rsidRPr="005279AA">
        <w:rPr>
          <w:rFonts w:asciiTheme="majorBidi" w:hAnsiTheme="majorBidi" w:cstheme="majorBidi"/>
          <w:sz w:val="24"/>
          <w:szCs w:val="24"/>
        </w:rPr>
        <w:fldChar w:fldCharType="begin" w:fldLock="1"/>
      </w:r>
      <w:r w:rsidR="00E96154" w:rsidRPr="005279AA">
        <w:rPr>
          <w:rFonts w:asciiTheme="majorBidi" w:hAnsiTheme="majorBidi" w:cstheme="majorBidi"/>
          <w:sz w:val="24"/>
          <w:szCs w:val="24"/>
        </w:rPr>
        <w:instrText>ADDIN CSL_CITATION {"citationItems":[{"id":"ITEM-1","itemData":{"DOI":"https://doi.org/10.22437/jmk.v11i01.15864","author":[{"dropping-particle":"","family":"Wulandari","given":"Bayu","non-dropping-particle":"","parse-names":false,"suffix":""},{"dropping-particle":"","family":"Siahaan","given":"Aidah","non-dropping-particle":"","parse-names":false,"suffix":""},{"dropping-particle":"","family":"Sitinjak","given":"Clara Vaudiana","non-dropping-particle":"","parse-names":false,"suffix":""},{"dropping-particle":"","family":"Purba","given":"Ima Rohotni","non-dropping-particle":"","parse-names":false,"suffix":""}],"container-title":"Jurnal Manajemen Terapan dan Keuangan (Mankeu)","id":"ITEM-1","issue":"01","issued":{"date-parts":[["2022"]]},"page":"211-224","title":"KEBIJAKAN DEVIDEN PADA PERUSAHAAN MANUFAKTUR","type":"article-journal","volume":"11"},"uris":["http://www.mendeley.com/documents/?uuid=1e25cb0e-f342-47cb-aa08-f284d0dcb93b"]}],"mendeley":{"formattedCitation":"(Wulandari et al., 2022)","plainTextFormattedCitation":"(Wulandari et al., 2022)","previouslyFormattedCitation":"(Wulandari et al., 2022)"},"properties":{"noteIndex":0},"schema":"https://github.com/citation-style-language/schema/raw/master/csl-citation.json"}</w:instrText>
      </w:r>
      <w:r w:rsidRPr="005279AA">
        <w:rPr>
          <w:rFonts w:asciiTheme="majorBidi" w:hAnsiTheme="majorBidi" w:cstheme="majorBidi"/>
          <w:sz w:val="24"/>
          <w:szCs w:val="24"/>
        </w:rPr>
        <w:fldChar w:fldCharType="separate"/>
      </w:r>
      <w:r w:rsidRPr="005279AA">
        <w:rPr>
          <w:rFonts w:asciiTheme="majorBidi" w:hAnsiTheme="majorBidi" w:cstheme="majorBidi"/>
          <w:noProof/>
          <w:sz w:val="24"/>
          <w:szCs w:val="24"/>
        </w:rPr>
        <w:t>(Wulandari et al., 2022)</w:t>
      </w:r>
      <w:r w:rsidRPr="005279AA">
        <w:rPr>
          <w:rFonts w:asciiTheme="majorBidi" w:hAnsiTheme="majorBidi" w:cstheme="majorBidi"/>
          <w:sz w:val="24"/>
          <w:szCs w:val="24"/>
        </w:rPr>
        <w:fldChar w:fldCharType="end"/>
      </w:r>
      <w:r w:rsidRPr="005279AA">
        <w:rPr>
          <w:rFonts w:asciiTheme="majorBidi" w:hAnsiTheme="majorBidi" w:cstheme="majorBidi"/>
          <w:sz w:val="24"/>
          <w:szCs w:val="24"/>
        </w:rPr>
        <w:t xml:space="preserve">  yang menyatakan bahwa </w:t>
      </w:r>
      <w:r w:rsidRPr="005279AA">
        <w:rPr>
          <w:rFonts w:asciiTheme="majorBidi" w:hAnsiTheme="majorBidi" w:cstheme="majorBidi"/>
          <w:i/>
          <w:iCs/>
          <w:sz w:val="24"/>
          <w:szCs w:val="24"/>
        </w:rPr>
        <w:t>free cash flow</w:t>
      </w:r>
      <w:r w:rsidRPr="005279AA">
        <w:rPr>
          <w:rFonts w:asciiTheme="majorBidi" w:hAnsiTheme="majorBidi" w:cstheme="majorBidi"/>
          <w:sz w:val="24"/>
          <w:szCs w:val="24"/>
        </w:rPr>
        <w:t xml:space="preserve"> berpengaruh signifikan terhadap kebijakan dividen.</w:t>
      </w:r>
    </w:p>
    <w:p w14:paraId="0317557B" w14:textId="6CB4DE57" w:rsidR="00584F2E" w:rsidRDefault="00645511" w:rsidP="00BF76D1">
      <w:pPr>
        <w:pStyle w:val="ListParagraph"/>
        <w:numPr>
          <w:ilvl w:val="0"/>
          <w:numId w:val="51"/>
        </w:numPr>
        <w:tabs>
          <w:tab w:val="left" w:pos="1701"/>
        </w:tabs>
        <w:spacing w:line="240" w:lineRule="auto"/>
        <w:jc w:val="both"/>
        <w:rPr>
          <w:rFonts w:asciiTheme="majorBidi" w:hAnsiTheme="majorBidi" w:cstheme="majorBidi"/>
          <w:b/>
          <w:bCs/>
          <w:sz w:val="24"/>
          <w:szCs w:val="24"/>
        </w:rPr>
      </w:pPr>
      <w:r w:rsidRPr="005279AA">
        <w:rPr>
          <w:rFonts w:asciiTheme="majorBidi" w:hAnsiTheme="majorBidi" w:cstheme="majorBidi"/>
          <w:b/>
          <w:bCs/>
          <w:sz w:val="24"/>
          <w:szCs w:val="24"/>
        </w:rPr>
        <w:t>Kepemilikan Institusional dapat memoderasi pengaruh Profitabilitas Terhadap Kebijakan Dividen</w:t>
      </w:r>
    </w:p>
    <w:p w14:paraId="71C2A89D" w14:textId="77777777" w:rsidR="00584F2E" w:rsidRPr="00584F2E" w:rsidRDefault="00584F2E" w:rsidP="00BF76D1">
      <w:pPr>
        <w:pStyle w:val="ListParagraph"/>
        <w:tabs>
          <w:tab w:val="left" w:pos="1701"/>
        </w:tabs>
        <w:spacing w:line="240" w:lineRule="auto"/>
        <w:jc w:val="both"/>
        <w:rPr>
          <w:rFonts w:asciiTheme="majorBidi" w:hAnsiTheme="majorBidi" w:cstheme="majorBidi"/>
          <w:b/>
          <w:bCs/>
          <w:sz w:val="24"/>
          <w:szCs w:val="24"/>
        </w:rPr>
      </w:pPr>
    </w:p>
    <w:p w14:paraId="05C8B6AD" w14:textId="713B98A9" w:rsidR="004A4F02" w:rsidRDefault="00156058"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Hasil penelitian menunjukkan bahwa </w:t>
      </w:r>
      <w:r w:rsidR="003B4E6F" w:rsidRPr="005279AA">
        <w:rPr>
          <w:rFonts w:asciiTheme="majorBidi" w:eastAsiaTheme="minorEastAsia" w:hAnsiTheme="majorBidi" w:cstheme="majorBidi"/>
          <w:i/>
          <w:sz w:val="24"/>
          <w:szCs w:val="24"/>
        </w:rPr>
        <w:t>Good Corporate Governance</w:t>
      </w:r>
      <w:r w:rsidR="003B4E6F" w:rsidRPr="005279AA">
        <w:rPr>
          <w:rFonts w:asciiTheme="majorBidi" w:eastAsiaTheme="minorEastAsia" w:hAnsiTheme="majorBidi" w:cstheme="majorBidi"/>
          <w:iCs/>
          <w:sz w:val="24"/>
          <w:szCs w:val="24"/>
        </w:rPr>
        <w:t xml:space="preserve"> (GCG) </w:t>
      </w:r>
      <w:r w:rsidR="003B4E6F">
        <w:rPr>
          <w:rFonts w:asciiTheme="majorBidi" w:eastAsiaTheme="minorEastAsia" w:hAnsiTheme="majorBidi" w:cstheme="majorBidi"/>
          <w:iCs/>
          <w:sz w:val="24"/>
          <w:szCs w:val="24"/>
        </w:rPr>
        <w:t xml:space="preserve">dapat </w:t>
      </w:r>
      <w:r w:rsidR="003B4E6F" w:rsidRPr="00B54430">
        <w:rPr>
          <w:rFonts w:asciiTheme="majorBidi" w:eastAsiaTheme="minorEastAsia" w:hAnsiTheme="majorBidi" w:cstheme="majorBidi"/>
          <w:iCs/>
          <w:sz w:val="24"/>
          <w:szCs w:val="24"/>
        </w:rPr>
        <w:t xml:space="preserve">memoderasi pengaruh </w:t>
      </w:r>
      <w:r w:rsidR="003B4E6F">
        <w:rPr>
          <w:rFonts w:asciiTheme="majorBidi" w:eastAsiaTheme="minorEastAsia" w:hAnsiTheme="majorBidi" w:cstheme="majorBidi"/>
          <w:iCs/>
          <w:sz w:val="24"/>
          <w:szCs w:val="24"/>
        </w:rPr>
        <w:t xml:space="preserve">profitabilitas </w:t>
      </w:r>
      <w:r w:rsidR="003B4E6F" w:rsidRPr="00B54430">
        <w:rPr>
          <w:rFonts w:asciiTheme="majorBidi" w:eastAsiaTheme="minorEastAsia" w:hAnsiTheme="majorBidi" w:cstheme="majorBidi"/>
          <w:iCs/>
          <w:sz w:val="24"/>
          <w:szCs w:val="24"/>
        </w:rPr>
        <w:t xml:space="preserve">terhadap kebijakan dividen pada perusahaan sektor </w:t>
      </w:r>
      <w:r w:rsidR="003B4E6F" w:rsidRPr="00B54430">
        <w:rPr>
          <w:rFonts w:asciiTheme="majorBidi" w:eastAsiaTheme="minorEastAsia" w:hAnsiTheme="majorBidi" w:cstheme="majorBidi"/>
          <w:i/>
          <w:sz w:val="24"/>
          <w:szCs w:val="24"/>
        </w:rPr>
        <w:t>consumer non cyclical</w:t>
      </w:r>
      <w:r w:rsidR="003B4E6F"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3B4E6F" w:rsidRPr="00B54430">
        <w:rPr>
          <w:rFonts w:asciiTheme="majorBidi" w:eastAsiaTheme="minorEastAsia" w:hAnsiTheme="majorBidi" w:cstheme="majorBidi"/>
          <w:iCs/>
          <w:sz w:val="24"/>
          <w:szCs w:val="24"/>
        </w:rPr>
        <w:t>ahun 2019-2023</w:t>
      </w:r>
      <w:r w:rsidR="003B4E6F">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Hasil tersebut dibuktikan pada hasil pengujian </w:t>
      </w:r>
      <w:r w:rsidR="002D4602" w:rsidRPr="005279AA">
        <w:rPr>
          <w:rFonts w:asciiTheme="majorBidi" w:eastAsiaTheme="minorEastAsia" w:hAnsiTheme="majorBidi" w:cstheme="majorBidi"/>
          <w:i/>
          <w:sz w:val="24"/>
          <w:szCs w:val="24"/>
        </w:rPr>
        <w:t>Moderated Resgresion Analys</w:t>
      </w:r>
      <w:r w:rsidR="00906F1F">
        <w:rPr>
          <w:rFonts w:asciiTheme="majorBidi" w:eastAsiaTheme="minorEastAsia" w:hAnsiTheme="majorBidi" w:cstheme="majorBidi"/>
          <w:i/>
          <w:sz w:val="24"/>
          <w:szCs w:val="24"/>
        </w:rPr>
        <w:t>is</w:t>
      </w:r>
      <w:r w:rsidR="002D4602"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(MRA) dimana</w:t>
      </w:r>
      <w:r w:rsidR="00B54430">
        <w:rPr>
          <w:rFonts w:asciiTheme="majorBidi" w:eastAsiaTheme="minorEastAsia" w:hAnsiTheme="majorBidi" w:cstheme="majorBidi"/>
          <w:iCs/>
          <w:sz w:val="24"/>
          <w:szCs w:val="24"/>
        </w:rPr>
        <w:t xml:space="preserve"> diperoleh</w:t>
      </w:r>
      <w:r w:rsidRPr="005279AA">
        <w:rPr>
          <w:rFonts w:asciiTheme="majorBidi" w:eastAsiaTheme="minorEastAsia" w:hAnsiTheme="majorBidi" w:cstheme="majorBidi"/>
          <w:iCs/>
          <w:sz w:val="24"/>
          <w:szCs w:val="24"/>
        </w:rPr>
        <w:t xml:space="preserve"> </w:t>
      </w:r>
      <w:r w:rsidR="004A4F02" w:rsidRPr="004A4F02">
        <w:rPr>
          <w:rFonts w:asciiTheme="majorBidi" w:eastAsiaTheme="minorEastAsia" w:hAnsiTheme="majorBidi" w:cstheme="majorBidi"/>
          <w:iCs/>
          <w:sz w:val="24"/>
          <w:szCs w:val="24"/>
        </w:rPr>
        <w:t xml:space="preserve">nilai sig 0,000. Dengan demikian nilai sig 0,000 &lt; 0,05, maka dapat diartikan bahwa </w:t>
      </w:r>
      <w:r w:rsidR="003C01A4" w:rsidRPr="005279AA">
        <w:rPr>
          <w:rFonts w:asciiTheme="majorBidi" w:eastAsiaTheme="minorEastAsia" w:hAnsiTheme="majorBidi" w:cstheme="majorBidi"/>
          <w:i/>
          <w:sz w:val="24"/>
          <w:szCs w:val="24"/>
        </w:rPr>
        <w:t>Good Corporate Governance</w:t>
      </w:r>
      <w:r w:rsidR="003C01A4" w:rsidRPr="005279AA">
        <w:rPr>
          <w:rFonts w:asciiTheme="majorBidi" w:eastAsiaTheme="minorEastAsia" w:hAnsiTheme="majorBidi" w:cstheme="majorBidi"/>
          <w:iCs/>
          <w:sz w:val="24"/>
          <w:szCs w:val="24"/>
        </w:rPr>
        <w:t xml:space="preserve"> (GCG) </w:t>
      </w:r>
      <w:r w:rsidR="00B37A18">
        <w:rPr>
          <w:rFonts w:asciiTheme="majorBidi" w:eastAsiaTheme="minorEastAsia" w:hAnsiTheme="majorBidi" w:cstheme="majorBidi"/>
          <w:iCs/>
          <w:sz w:val="24"/>
          <w:szCs w:val="24"/>
        </w:rPr>
        <w:t xml:space="preserve">dapat </w:t>
      </w:r>
      <w:r w:rsidR="004A4F02" w:rsidRPr="004A4F02">
        <w:rPr>
          <w:rFonts w:asciiTheme="majorBidi" w:eastAsiaTheme="minorEastAsia" w:hAnsiTheme="majorBidi" w:cstheme="majorBidi"/>
          <w:iCs/>
          <w:sz w:val="24"/>
          <w:szCs w:val="24"/>
        </w:rPr>
        <w:t xml:space="preserve">memoderasi pengaruh profitabilitas terhadap kebijakan dividen pada perusahaan sektor </w:t>
      </w:r>
      <w:r w:rsidR="004A4F02" w:rsidRPr="004A4F02">
        <w:rPr>
          <w:rFonts w:asciiTheme="majorBidi" w:eastAsiaTheme="minorEastAsia" w:hAnsiTheme="majorBidi" w:cstheme="majorBidi"/>
          <w:i/>
          <w:sz w:val="24"/>
          <w:szCs w:val="24"/>
        </w:rPr>
        <w:t>consumer non cyclical</w:t>
      </w:r>
      <w:r w:rsidR="004A4F02" w:rsidRPr="004A4F02">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4A4F02" w:rsidRPr="004A4F02">
        <w:rPr>
          <w:rFonts w:asciiTheme="majorBidi" w:eastAsiaTheme="minorEastAsia" w:hAnsiTheme="majorBidi" w:cstheme="majorBidi"/>
          <w:iCs/>
          <w:sz w:val="24"/>
          <w:szCs w:val="24"/>
        </w:rPr>
        <w:t>ahun 2019-2023.</w:t>
      </w:r>
    </w:p>
    <w:p w14:paraId="1E816FA3" w14:textId="746A80AC" w:rsidR="00FB187E" w:rsidRPr="00573ABD" w:rsidRDefault="002A2AAC"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K</w:t>
      </w:r>
      <w:r w:rsidRPr="002A2AAC">
        <w:rPr>
          <w:rFonts w:asciiTheme="majorBidi" w:eastAsiaTheme="minorEastAsia" w:hAnsiTheme="majorBidi" w:cstheme="majorBidi"/>
          <w:iCs/>
          <w:sz w:val="24"/>
          <w:szCs w:val="24"/>
        </w:rPr>
        <w:t>epemilikan institusional mempunyai kekuatan untuk melakukan kontrol terhadap pemantauan manajemen terhadap laba</w:t>
      </w:r>
      <w:r>
        <w:rPr>
          <w:rFonts w:asciiTheme="majorBidi" w:eastAsiaTheme="minorEastAsia" w:hAnsiTheme="majorBidi" w:cstheme="majorBidi"/>
          <w:iCs/>
          <w:sz w:val="24"/>
          <w:szCs w:val="24"/>
        </w:rPr>
        <w:t xml:space="preserve"> perusahaan</w:t>
      </w:r>
      <w:r w:rsidRPr="002A2AAC">
        <w:rPr>
          <w:rFonts w:asciiTheme="majorBidi" w:eastAsiaTheme="minorEastAsia" w:hAnsiTheme="majorBidi" w:cstheme="majorBidi"/>
          <w:iCs/>
          <w:sz w:val="24"/>
          <w:szCs w:val="24"/>
        </w:rPr>
        <w:t>.</w:t>
      </w:r>
      <w:r>
        <w:rPr>
          <w:rFonts w:asciiTheme="majorBidi" w:eastAsiaTheme="minorEastAsia" w:hAnsiTheme="majorBidi" w:cstheme="majorBidi"/>
          <w:iCs/>
          <w:sz w:val="24"/>
          <w:szCs w:val="24"/>
        </w:rPr>
        <w:t>Oleh karena itu</w:t>
      </w:r>
      <w:r w:rsidRPr="002A2AAC">
        <w:rPr>
          <w:rFonts w:asciiTheme="majorBidi" w:eastAsiaTheme="minorEastAsia" w:hAnsiTheme="majorBidi" w:cstheme="majorBidi"/>
          <w:iCs/>
          <w:sz w:val="24"/>
          <w:szCs w:val="24"/>
        </w:rPr>
        <w:t>, kepemilikan institusional memainkan peran penting dalam mengawasi strategi pembagian dividen</w:t>
      </w:r>
      <w:r>
        <w:rPr>
          <w:rFonts w:asciiTheme="majorBidi" w:eastAsiaTheme="minorEastAsia" w:hAnsiTheme="majorBidi" w:cstheme="majorBidi"/>
          <w:iCs/>
          <w:sz w:val="24"/>
          <w:szCs w:val="24"/>
        </w:rPr>
        <w:t xml:space="preserve"> perusahaan</w:t>
      </w:r>
      <w:r w:rsidR="00573ABD">
        <w:rPr>
          <w:rFonts w:asciiTheme="majorBidi" w:eastAsiaTheme="minorEastAsia" w:hAnsiTheme="majorBidi" w:cstheme="majorBidi"/>
          <w:iCs/>
          <w:sz w:val="24"/>
          <w:szCs w:val="24"/>
        </w:rPr>
        <w:t xml:space="preserve"> </w:t>
      </w:r>
      <w:r w:rsidR="00573ABD">
        <w:rPr>
          <w:rFonts w:asciiTheme="majorBidi" w:eastAsiaTheme="minorEastAsia" w:hAnsiTheme="majorBidi" w:cstheme="majorBidi"/>
          <w:iCs/>
          <w:sz w:val="24"/>
          <w:szCs w:val="24"/>
        </w:rPr>
        <w:fldChar w:fldCharType="begin" w:fldLock="1"/>
      </w:r>
      <w:r w:rsidR="00D6449E">
        <w:rPr>
          <w:rFonts w:asciiTheme="majorBidi" w:eastAsiaTheme="minorEastAsia" w:hAnsiTheme="majorBidi" w:cstheme="majorBidi"/>
          <w:iCs/>
          <w:sz w:val="24"/>
          <w:szCs w:val="24"/>
        </w:rPr>
        <w:instrText>ADDIN CSL_CITATION {"citationItems":[{"id":"ITEM-1","itemData":{"DOI":"DOI: https://doi.org/10.47007/jeko.v10i2.2805","abstract":"Penelitian ini bertujuan untuk mengetahui struktur kepemilikan memoderasi pengaruh profitabilitas terhadap kebijakan dividen. Dividend Payout Ratio digunakan sebagai proksi untuk kebijakan dividen. Data untuk penelitian ini diperoleh dari data sekunder dengan metode purposive sampling. Ada 65 perusahaan termasuk kategori LQ45 secara berturut- turut terdaftar di Bursa Efek Indonesia selama periode 2013-2017 yang digunakan sebagai sampel. Penelitian ini menggunakan teknik regresi linier berganda dengan Moderated Regression Analysis (MRA) sebagai metode analisis. Hasil penelitian ini menunjukkan bahwa profitabilitas memiliki pengaruh positif terhadap kebijakan dividen. Hasil pengujian pada variabel moderasi menunjukkan bahwa struktur kepemilikan menggunakan proksi adalah kepemilikan institusional dapat memoderasi hubungan antara profitabilitas dan kebijakan dividen, sedangkan kepemilikan manajerial dan kepemilikan asing tidak memoderasi hubungan antara profitabilitas dan kebijakan dividen.","author":[{"dropping-particle":"","family":"Purwaningsih","given":"Eny","non-dropping-particle":"","parse-names":false,"suffix":""}],"container-title":"Jurnal of Economic","id":"ITEM-1","issue":"2","issued":{"date-parts":[["2019"]]},"page":"114","title":"Struktur Kepemilikan Memoderasi Pengaruh Profitabilitas Terhadap Kebijakan Dividen","type":"article-journal","volume":"10"},"uris":["http://www.mendeley.com/documents/?uuid=feccb035-0555-4f73-a7aa-0fbc2909ebca"]}],"mendeley":{"formattedCitation":"(Purwaningsih, 2019)","manualFormatting":"(Purwaningsih, 2019:114)","plainTextFormattedCitation":"(Purwaningsih, 2019)","previouslyFormattedCitation":"(Purwaningsih, 2019)"},"properties":{"noteIndex":0},"schema":"https://github.com/citation-style-language/schema/raw/master/csl-citation.json"}</w:instrText>
      </w:r>
      <w:r w:rsidR="00573ABD">
        <w:rPr>
          <w:rFonts w:asciiTheme="majorBidi" w:eastAsiaTheme="minorEastAsia" w:hAnsiTheme="majorBidi" w:cstheme="majorBidi"/>
          <w:iCs/>
          <w:sz w:val="24"/>
          <w:szCs w:val="24"/>
        </w:rPr>
        <w:fldChar w:fldCharType="separate"/>
      </w:r>
      <w:r w:rsidR="00573ABD" w:rsidRPr="00573ABD">
        <w:rPr>
          <w:rFonts w:asciiTheme="majorBidi" w:eastAsiaTheme="minorEastAsia" w:hAnsiTheme="majorBidi" w:cstheme="majorBidi"/>
          <w:iCs/>
          <w:noProof/>
          <w:sz w:val="24"/>
          <w:szCs w:val="24"/>
        </w:rPr>
        <w:t>(Purwaningsih, 201</w:t>
      </w:r>
      <w:r w:rsidR="00573ABD">
        <w:rPr>
          <w:rFonts w:asciiTheme="majorBidi" w:eastAsiaTheme="minorEastAsia" w:hAnsiTheme="majorBidi" w:cstheme="majorBidi"/>
          <w:iCs/>
          <w:noProof/>
          <w:sz w:val="24"/>
          <w:szCs w:val="24"/>
        </w:rPr>
        <w:t>9:114</w:t>
      </w:r>
      <w:r w:rsidR="00573ABD" w:rsidRPr="00573ABD">
        <w:rPr>
          <w:rFonts w:asciiTheme="majorBidi" w:eastAsiaTheme="minorEastAsia" w:hAnsiTheme="majorBidi" w:cstheme="majorBidi"/>
          <w:iCs/>
          <w:noProof/>
          <w:sz w:val="24"/>
          <w:szCs w:val="24"/>
        </w:rPr>
        <w:t>)</w:t>
      </w:r>
      <w:r w:rsidR="00573ABD">
        <w:rPr>
          <w:rFonts w:asciiTheme="majorBidi" w:eastAsiaTheme="minorEastAsia" w:hAnsiTheme="majorBidi" w:cstheme="majorBidi"/>
          <w:iCs/>
          <w:sz w:val="24"/>
          <w:szCs w:val="24"/>
        </w:rPr>
        <w:fldChar w:fldCharType="end"/>
      </w:r>
      <w:r w:rsidR="00573ABD">
        <w:rPr>
          <w:rFonts w:asciiTheme="majorBidi" w:eastAsiaTheme="minorEastAsia" w:hAnsiTheme="majorBidi" w:cstheme="majorBidi"/>
          <w:iCs/>
          <w:sz w:val="24"/>
          <w:szCs w:val="24"/>
        </w:rPr>
        <w:t xml:space="preserve">. </w:t>
      </w:r>
      <w:r w:rsidR="00131383" w:rsidRPr="00573ABD">
        <w:rPr>
          <w:rFonts w:asciiTheme="majorBidi" w:hAnsiTheme="majorBidi" w:cstheme="majorBidi"/>
          <w:sz w:val="24"/>
          <w:szCs w:val="24"/>
        </w:rPr>
        <w:t xml:space="preserve">Berdasarkan data profitabilitas </w:t>
      </w:r>
      <w:r w:rsidR="00131383" w:rsidRPr="00573ABD">
        <w:rPr>
          <w:rFonts w:asciiTheme="majorBidi" w:eastAsiaTheme="minorEastAsia" w:hAnsiTheme="majorBidi" w:cstheme="majorBidi"/>
          <w:iCs/>
          <w:sz w:val="24"/>
          <w:szCs w:val="24"/>
        </w:rPr>
        <w:t xml:space="preserve">perusahaan sektor </w:t>
      </w:r>
      <w:r w:rsidR="00131383" w:rsidRPr="00573ABD">
        <w:rPr>
          <w:rFonts w:asciiTheme="majorBidi" w:eastAsiaTheme="minorEastAsia" w:hAnsiTheme="majorBidi" w:cstheme="majorBidi"/>
          <w:i/>
          <w:sz w:val="24"/>
          <w:szCs w:val="24"/>
        </w:rPr>
        <w:t>consumer non cyclical</w:t>
      </w:r>
      <w:r w:rsidR="00131383" w:rsidRPr="00573ABD">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131383" w:rsidRPr="00573ABD">
        <w:rPr>
          <w:rFonts w:asciiTheme="majorBidi" w:eastAsiaTheme="minorEastAsia" w:hAnsiTheme="majorBidi" w:cstheme="majorBidi"/>
          <w:iCs/>
          <w:sz w:val="24"/>
          <w:szCs w:val="24"/>
        </w:rPr>
        <w:t xml:space="preserve">ahun 2019-2023 </w:t>
      </w:r>
      <w:r w:rsidR="00FB187E" w:rsidRPr="00573ABD">
        <w:rPr>
          <w:rFonts w:asciiTheme="majorBidi" w:hAnsiTheme="majorBidi" w:cstheme="majorBidi"/>
          <w:sz w:val="24"/>
          <w:szCs w:val="24"/>
        </w:rPr>
        <w:t xml:space="preserve">yang diproksikan menggunakan </w:t>
      </w:r>
      <w:r w:rsidR="004A4F02" w:rsidRPr="00573ABD">
        <w:rPr>
          <w:rFonts w:asciiTheme="majorBidi" w:hAnsiTheme="majorBidi" w:cstheme="majorBidi"/>
          <w:i/>
          <w:iCs/>
          <w:sz w:val="24"/>
          <w:szCs w:val="24"/>
        </w:rPr>
        <w:t>Return on Asset</w:t>
      </w:r>
      <w:r w:rsidR="004A4F02" w:rsidRPr="00573ABD">
        <w:rPr>
          <w:rFonts w:asciiTheme="majorBidi" w:hAnsiTheme="majorBidi" w:cstheme="majorBidi"/>
          <w:sz w:val="24"/>
          <w:szCs w:val="24"/>
        </w:rPr>
        <w:t xml:space="preserve"> (ROA) </w:t>
      </w:r>
      <w:r w:rsidR="00FB187E" w:rsidRPr="00573ABD">
        <w:rPr>
          <w:rFonts w:asciiTheme="majorBidi" w:hAnsiTheme="majorBidi" w:cstheme="majorBidi"/>
          <w:sz w:val="24"/>
          <w:szCs w:val="24"/>
        </w:rPr>
        <w:t xml:space="preserve">menunjukan bahwa perusahaan sektor </w:t>
      </w:r>
      <w:r w:rsidR="00FB187E" w:rsidRPr="00573ABD">
        <w:rPr>
          <w:rFonts w:asciiTheme="majorBidi" w:hAnsiTheme="majorBidi" w:cstheme="majorBidi"/>
          <w:i/>
          <w:iCs/>
          <w:sz w:val="24"/>
          <w:szCs w:val="24"/>
        </w:rPr>
        <w:t>consumer non cyclical</w:t>
      </w:r>
      <w:r w:rsidR="00FB187E" w:rsidRPr="00573ABD">
        <w:rPr>
          <w:rFonts w:asciiTheme="majorBidi" w:hAnsiTheme="majorBidi" w:cstheme="majorBidi"/>
          <w:sz w:val="24"/>
          <w:szCs w:val="24"/>
        </w:rPr>
        <w:t xml:space="preserve"> cenderung memiliki profitabilitas yang rendah. </w:t>
      </w:r>
      <w:r w:rsidR="00293901" w:rsidRPr="00573ABD">
        <w:rPr>
          <w:rFonts w:asciiTheme="majorBidi" w:hAnsiTheme="majorBidi" w:cstheme="majorBidi"/>
          <w:sz w:val="24"/>
          <w:szCs w:val="24"/>
        </w:rPr>
        <w:t xml:space="preserve">Perusahaan yang cenderung memiliki profitabilitas kecil lebih dominan </w:t>
      </w:r>
      <w:r w:rsidR="00FB187E" w:rsidRPr="00573ABD">
        <w:rPr>
          <w:rFonts w:asciiTheme="majorBidi" w:hAnsiTheme="majorBidi" w:cstheme="majorBidi"/>
          <w:sz w:val="24"/>
          <w:szCs w:val="24"/>
        </w:rPr>
        <w:t>menerapkan prinsip-prinsip tata kelola perusahaan yang baik untuk mengurangi tekanan pasar</w:t>
      </w:r>
      <w:r w:rsidR="009F10A1" w:rsidRPr="00573ABD">
        <w:rPr>
          <w:rFonts w:asciiTheme="majorBidi" w:hAnsiTheme="majorBidi" w:cstheme="majorBidi"/>
          <w:sz w:val="24"/>
          <w:szCs w:val="24"/>
        </w:rPr>
        <w:t xml:space="preserve">. </w:t>
      </w:r>
      <w:r w:rsidR="00FB187E" w:rsidRPr="00573ABD">
        <w:rPr>
          <w:rFonts w:asciiTheme="majorBidi" w:hAnsiTheme="majorBidi" w:cstheme="majorBidi"/>
          <w:sz w:val="24"/>
          <w:szCs w:val="24"/>
        </w:rPr>
        <w:t xml:space="preserve">Kepercayaan investor akan meningkat jika suatu perusahaan berdedikasi dan konsisten dalam menerapkan prinsip-prinsip </w:t>
      </w:r>
      <w:r w:rsidR="00131383" w:rsidRPr="00573ABD">
        <w:rPr>
          <w:rFonts w:asciiTheme="majorBidi" w:eastAsiaTheme="minorEastAsia" w:hAnsiTheme="majorBidi" w:cstheme="majorBidi"/>
          <w:i/>
          <w:sz w:val="24"/>
          <w:szCs w:val="24"/>
        </w:rPr>
        <w:t>Good Corporate Governance</w:t>
      </w:r>
      <w:r w:rsidR="00131383" w:rsidRPr="00573ABD">
        <w:rPr>
          <w:rFonts w:asciiTheme="majorBidi" w:hAnsiTheme="majorBidi" w:cstheme="majorBidi"/>
          <w:sz w:val="24"/>
          <w:szCs w:val="24"/>
        </w:rPr>
        <w:t xml:space="preserve"> (GCG) </w:t>
      </w:r>
      <w:r w:rsidR="00FB187E" w:rsidRPr="00573ABD">
        <w:rPr>
          <w:rFonts w:asciiTheme="majorBidi" w:hAnsiTheme="majorBidi" w:cstheme="majorBidi"/>
          <w:sz w:val="24"/>
          <w:szCs w:val="24"/>
        </w:rPr>
        <w:lastRenderedPageBreak/>
        <w:t>dalam operasionalnya.</w:t>
      </w:r>
      <w:r w:rsidR="00573ABD" w:rsidRPr="00573ABD">
        <w:rPr>
          <w:rFonts w:asciiTheme="majorBidi" w:hAnsiTheme="majorBidi" w:cstheme="majorBidi"/>
          <w:sz w:val="24"/>
          <w:szCs w:val="24"/>
        </w:rPr>
        <w:t xml:space="preserve"> </w:t>
      </w:r>
      <w:r w:rsidRPr="002A2AAC">
        <w:rPr>
          <w:rFonts w:asciiTheme="majorBidi" w:hAnsiTheme="majorBidi" w:cstheme="majorBidi"/>
          <w:sz w:val="24"/>
          <w:szCs w:val="24"/>
        </w:rPr>
        <w:t xml:space="preserve">Hal ini menunjukkan bahwa kepemilikan institusional dapat meningkatkan kesejahteraan </w:t>
      </w:r>
      <w:r>
        <w:rPr>
          <w:rFonts w:asciiTheme="majorBidi" w:hAnsiTheme="majorBidi" w:cstheme="majorBidi"/>
          <w:sz w:val="24"/>
          <w:szCs w:val="24"/>
        </w:rPr>
        <w:t>pemegang</w:t>
      </w:r>
      <w:r w:rsidRPr="002A2AAC">
        <w:rPr>
          <w:rFonts w:asciiTheme="majorBidi" w:hAnsiTheme="majorBidi" w:cstheme="majorBidi"/>
          <w:sz w:val="24"/>
          <w:szCs w:val="24"/>
        </w:rPr>
        <w:t xml:space="preserve"> saham dengan memaksimalkan pemanfaatan aset perusahaan, yang meningkat seiring dengan </w:t>
      </w:r>
      <w:r>
        <w:rPr>
          <w:rFonts w:asciiTheme="majorBidi" w:hAnsiTheme="majorBidi" w:cstheme="majorBidi"/>
          <w:sz w:val="24"/>
          <w:szCs w:val="24"/>
        </w:rPr>
        <w:t xml:space="preserve">persentase </w:t>
      </w:r>
      <w:r w:rsidRPr="002A2AAC">
        <w:rPr>
          <w:rFonts w:asciiTheme="majorBidi" w:hAnsiTheme="majorBidi" w:cstheme="majorBidi"/>
          <w:sz w:val="24"/>
          <w:szCs w:val="24"/>
        </w:rPr>
        <w:t>kepemilikan institusional</w:t>
      </w:r>
      <w:r>
        <w:rPr>
          <w:rFonts w:asciiTheme="majorBidi" w:hAnsiTheme="majorBidi" w:cstheme="majorBidi"/>
          <w:sz w:val="24"/>
          <w:szCs w:val="24"/>
        </w:rPr>
        <w:t xml:space="preserve"> </w:t>
      </w:r>
      <w:r w:rsidR="00573ABD" w:rsidRPr="00573ABD">
        <w:rPr>
          <w:rFonts w:asciiTheme="majorBidi" w:hAnsiTheme="majorBidi" w:cstheme="majorBidi"/>
          <w:sz w:val="24"/>
          <w:szCs w:val="24"/>
        </w:rPr>
        <w:fldChar w:fldCharType="begin" w:fldLock="1"/>
      </w:r>
      <w:r w:rsidR="00573ABD" w:rsidRPr="00573ABD">
        <w:rPr>
          <w:rFonts w:asciiTheme="majorBidi" w:hAnsiTheme="majorBidi" w:cstheme="majorBidi"/>
          <w:sz w:val="24"/>
          <w:szCs w:val="24"/>
        </w:rPr>
        <w:instrText>ADDIN CSL_CITATION {"citationItems":[{"id":"ITEM-1","itemData":{"DOI":"DOI: https://doi.org/10.47007/jeko.v10i2.2805","abstract":"Penelitian ini bertujuan untuk mengetahui struktur kepemilikan memoderasi pengaruh profitabilitas terhadap kebijakan dividen. Dividend Payout Ratio digunakan sebagai proksi untuk kebijakan dividen. Data untuk penelitian ini diperoleh dari data sekunder dengan metode purposive sampling. Ada 65 perusahaan termasuk kategori LQ45 secara berturut- turut terdaftar di Bursa Efek Indonesia selama periode 2013-2017 yang digunakan sebagai sampel. Penelitian ini menggunakan teknik regresi linier berganda dengan Moderated Regression Analysis (MRA) sebagai metode analisis. Hasil penelitian ini menunjukkan bahwa profitabilitas memiliki pengaruh positif terhadap kebijakan dividen. Hasil pengujian pada variabel moderasi menunjukkan bahwa struktur kepemilikan menggunakan proksi adalah kepemilikan institusional dapat memoderasi hubungan antara profitabilitas dan kebijakan dividen, sedangkan kepemilikan manajerial dan kepemilikan asing tidak memoderasi hubungan antara profitabilitas dan kebijakan dividen.","author":[{"dropping-particle":"","family":"Purwaningsih","given":"Eny","non-dropping-particle":"","parse-names":false,"suffix":""}],"container-title":"Jurnal of Economic","id":"ITEM-1","issue":"2","issued":{"date-parts":[["2019"]]},"page":"114","title":"Struktur Kepemilikan Memoderasi Pengaruh Profitabilitas Terhadap Kebijakan Dividen","type":"article-journal","volume":"10"},"uris":["http://www.mendeley.com/documents/?uuid=feccb035-0555-4f73-a7aa-0fbc2909ebca"]}],"mendeley":{"formattedCitation":"(Purwaningsih, 2019)","manualFormatting":"(Purwaningsih, 2019:114)","plainTextFormattedCitation":"(Purwaningsih, 2019)","previouslyFormattedCitation":"(Purwaningsih, 2019)"},"properties":{"noteIndex":0},"schema":"https://github.com/citation-style-language/schema/raw/master/csl-citation.json"}</w:instrText>
      </w:r>
      <w:r w:rsidR="00573ABD" w:rsidRPr="00573ABD">
        <w:rPr>
          <w:rFonts w:asciiTheme="majorBidi" w:hAnsiTheme="majorBidi" w:cstheme="majorBidi"/>
          <w:sz w:val="24"/>
          <w:szCs w:val="24"/>
        </w:rPr>
        <w:fldChar w:fldCharType="separate"/>
      </w:r>
      <w:r w:rsidR="00573ABD" w:rsidRPr="00573ABD">
        <w:rPr>
          <w:rFonts w:asciiTheme="majorBidi" w:hAnsiTheme="majorBidi" w:cstheme="majorBidi"/>
          <w:noProof/>
          <w:sz w:val="24"/>
          <w:szCs w:val="24"/>
        </w:rPr>
        <w:t>(Purwaningsih, 2019:114)</w:t>
      </w:r>
      <w:r w:rsidR="00573ABD" w:rsidRPr="00573ABD">
        <w:rPr>
          <w:rFonts w:asciiTheme="majorBidi" w:hAnsiTheme="majorBidi" w:cstheme="majorBidi"/>
          <w:sz w:val="24"/>
          <w:szCs w:val="24"/>
        </w:rPr>
        <w:fldChar w:fldCharType="end"/>
      </w:r>
      <w:r w:rsidR="00573ABD" w:rsidRPr="00573ABD">
        <w:rPr>
          <w:rFonts w:asciiTheme="majorBidi" w:hAnsiTheme="majorBidi" w:cstheme="majorBidi"/>
          <w:sz w:val="24"/>
          <w:szCs w:val="24"/>
        </w:rPr>
        <w:t>.</w:t>
      </w:r>
    </w:p>
    <w:p w14:paraId="4EB34148" w14:textId="16E4645D" w:rsidR="003969A3" w:rsidRPr="003969A3" w:rsidRDefault="003969A3" w:rsidP="00BF76D1">
      <w:pPr>
        <w:pStyle w:val="ListParagraph"/>
        <w:tabs>
          <w:tab w:val="left" w:pos="1701"/>
        </w:tabs>
        <w:spacing w:line="480" w:lineRule="auto"/>
        <w:ind w:firstLine="556"/>
        <w:jc w:val="both"/>
        <w:rPr>
          <w:rFonts w:ascii="Times New Roman" w:hAnsi="Times New Roman" w:cs="Times New Roman"/>
          <w:sz w:val="24"/>
          <w:szCs w:val="24"/>
        </w:rPr>
      </w:pPr>
      <w:r>
        <w:rPr>
          <w:rFonts w:ascii="Times New Roman" w:eastAsia="SimSun" w:hAnsi="Times New Roman" w:cs="Times New Roman"/>
          <w:i/>
          <w:sz w:val="24"/>
          <w:szCs w:val="24"/>
        </w:rPr>
        <w:t>Good Corporate Governance</w:t>
      </w:r>
      <w:r>
        <w:rPr>
          <w:rFonts w:ascii="Times New Roman" w:hAnsi="Times New Roman" w:cs="Times New Roman"/>
          <w:sz w:val="24"/>
          <w:szCs w:val="24"/>
        </w:rPr>
        <w:t xml:space="preserve"> (GCG) akan meningkatkan hubungan antara profitabilitas dan kebijakan dividen melalui kepentingan perusahaan dalam menjaga nilai dan reputasi perusahaan sehingga perusahaan dengan profit tinggi akan menggunakan keuntungan tersebut untuk operasional perusahaan atau investasi. Selain itu, akan dialokasikan untuk pembagian dividen. Perusahaan dengan keuntungan besar cenderung membayar dividen yang signifikan kepada investor untuk mempertahankan reputasi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2024)","manualFormatting":"(Gumelar &amp; Setijaningsih, 2024:55)","plainTextFormattedCitation":"(Gumelar &amp; Setijaningsih, 2024)","previouslyFormattedCitation":"(Gumelar &amp; Setijaningsih,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(Gumelar &amp; Setijaningsih, 2024:55)</w:t>
      </w:r>
      <w:r>
        <w:rPr>
          <w:rFonts w:ascii="Times New Roman" w:hAnsi="Times New Roman" w:cs="Times New Roman"/>
          <w:sz w:val="24"/>
          <w:szCs w:val="24"/>
        </w:rPr>
        <w:fldChar w:fldCharType="end"/>
      </w:r>
      <w:r>
        <w:rPr>
          <w:rFonts w:ascii="Times New Roman" w:hAnsi="Times New Roman" w:cs="Times New Roman"/>
          <w:sz w:val="24"/>
          <w:szCs w:val="24"/>
        </w:rPr>
        <w:t>.</w:t>
      </w:r>
    </w:p>
    <w:p w14:paraId="215567F1" w14:textId="0D0B8732" w:rsidR="0027441B" w:rsidRPr="009D25BC" w:rsidRDefault="00B773F8"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Hasil penelitian ini selaras dengan hasil penelitian yang dilakukan oleh</w:t>
      </w:r>
      <w:r w:rsidRPr="005279AA">
        <w:rPr>
          <w:rFonts w:asciiTheme="majorBidi" w:hAnsiTheme="majorBidi" w:cstheme="majorBidi"/>
          <w:b/>
          <w:bCs/>
          <w:sz w:val="24"/>
          <w:szCs w:val="24"/>
        </w:rPr>
        <w:t xml:space="preserve"> </w:t>
      </w:r>
      <w:r w:rsidRPr="005279AA">
        <w:rPr>
          <w:rFonts w:asciiTheme="majorBidi" w:hAnsiTheme="majorBidi" w:cstheme="majorBidi"/>
          <w:b/>
          <w:bCs/>
          <w:sz w:val="24"/>
          <w:szCs w:val="24"/>
        </w:rPr>
        <w:fldChar w:fldCharType="begin" w:fldLock="1"/>
      </w:r>
      <w:r w:rsidR="00573ABD">
        <w:rPr>
          <w:rFonts w:asciiTheme="majorBidi" w:hAnsiTheme="majorBidi" w:cstheme="majorBidi"/>
          <w:b/>
          <w:bCs/>
          <w:sz w:val="24"/>
          <w:szCs w:val="24"/>
        </w:rPr>
        <w:instrText>ADDIN CSL_CITATION {"citationItems":[{"id":"ITEM-1","itemData":{"DOI":"DOI: https://doi.org/10.47007/jeko.v10i2.2805","abstract":"Penelitian ini bertujuan untuk mengetahui struktur kepemilikan memoderasi pengaruh profitabilitas terhadap kebijakan dividen. Dividend Payout Ratio digunakan sebagai proksi untuk kebijakan dividen. Data untuk penelitian ini diperoleh dari data sekunder dengan metode purposive sampling. Ada 65 perusahaan termasuk kategori LQ45 secara berturut- turut terdaftar di Bursa Efek Indonesia selama periode 2013-2017 yang digunakan sebagai sampel. Penelitian ini menggunakan teknik regresi linier berganda dengan Moderated Regression Analysis (MRA) sebagai metode analisis. Hasil penelitian ini menunjukkan bahwa profitabilitas memiliki pengaruh positif terhadap kebijakan dividen. Hasil pengujian pada variabel moderasi menunjukkan bahwa struktur kepemilikan menggunakan proksi adalah kepemilikan institusional dapat memoderasi hubungan antara profitabilitas dan kebijakan dividen, sedangkan kepemilikan manajerial dan kepemilikan asing tidak memoderasi hubungan antara profitabilitas dan kebijakan dividen.","author":[{"dropping-particle":"","family":"Purwaningsih","given":"Eny","non-dropping-particle":"","parse-names":false,"suffix":""}],"container-title":"Jurnal of Economic","id":"ITEM-1","issue":"2","issued":{"date-parts":[["2019"]]},"page":"114","title":"Struktur Kepemilikan Memoderasi Pengaruh Profitabilitas Terhadap Kebijakan Dividen","type":"article-journal","volume":"10"},"uris":["http://www.mendeley.com/documents/?uuid=feccb035-0555-4f73-a7aa-0fbc2909ebca"]}],"mendeley":{"formattedCitation":"(Purwaningsih, 2019)","plainTextFormattedCitation":"(Purwaningsih, 2019)","previouslyFormattedCitation":"(Purwaningsih, 2019)"},"properties":{"noteIndex":0},"schema":"https://github.com/citation-style-language/schema/raw/master/csl-citation.json"}</w:instrText>
      </w:r>
      <w:r w:rsidRPr="005279AA">
        <w:rPr>
          <w:rFonts w:asciiTheme="majorBidi" w:hAnsiTheme="majorBidi" w:cstheme="majorBidi"/>
          <w:b/>
          <w:bCs/>
          <w:sz w:val="24"/>
          <w:szCs w:val="24"/>
        </w:rPr>
        <w:fldChar w:fldCharType="separate"/>
      </w:r>
      <w:r w:rsidRPr="005279AA">
        <w:rPr>
          <w:rFonts w:asciiTheme="majorBidi" w:hAnsiTheme="majorBidi" w:cstheme="majorBidi"/>
          <w:bCs/>
          <w:noProof/>
          <w:sz w:val="24"/>
          <w:szCs w:val="24"/>
        </w:rPr>
        <w:t>(Purwaningsih, 2019)</w:t>
      </w:r>
      <w:r w:rsidRPr="005279AA">
        <w:rPr>
          <w:rFonts w:asciiTheme="majorBidi" w:hAnsiTheme="majorBidi" w:cstheme="majorBidi"/>
          <w:b/>
          <w:bCs/>
          <w:sz w:val="24"/>
          <w:szCs w:val="24"/>
        </w:rPr>
        <w:fldChar w:fldCharType="end"/>
      </w:r>
      <w:r w:rsidR="00D1050C" w:rsidRPr="005279AA">
        <w:rPr>
          <w:rFonts w:asciiTheme="majorBidi" w:hAnsiTheme="majorBidi" w:cstheme="majorBidi"/>
          <w:b/>
          <w:bCs/>
          <w:sz w:val="24"/>
          <w:szCs w:val="24"/>
        </w:rPr>
        <w:t xml:space="preserve">; </w:t>
      </w:r>
      <w:r w:rsidR="00D1050C" w:rsidRPr="005279AA">
        <w:rPr>
          <w:rFonts w:asciiTheme="majorBidi" w:hAnsiTheme="majorBidi" w:cstheme="majorBidi"/>
          <w:b/>
          <w:bCs/>
          <w:sz w:val="24"/>
          <w:szCs w:val="24"/>
        </w:rPr>
        <w:fldChar w:fldCharType="begin" w:fldLock="1"/>
      </w:r>
      <w:r w:rsidR="00E96154" w:rsidRPr="005279AA">
        <w:rPr>
          <w:rFonts w:asciiTheme="majorBidi" w:hAnsiTheme="majorBidi" w:cstheme="majorBidi"/>
          <w:b/>
          <w:bCs/>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2024)","plainTextFormattedCitation":"(Gumelar &amp; Setijaningsih, 2024)","previouslyFormattedCitation":"(Gumelar &amp; Setijaningsih, 2024)"},"properties":{"noteIndex":0},"schema":"https://github.com/citation-style-language/schema/raw/master/csl-citation.json"}</w:instrText>
      </w:r>
      <w:r w:rsidR="00D1050C" w:rsidRPr="005279AA">
        <w:rPr>
          <w:rFonts w:asciiTheme="majorBidi" w:hAnsiTheme="majorBidi" w:cstheme="majorBidi"/>
          <w:b/>
          <w:bCs/>
          <w:sz w:val="24"/>
          <w:szCs w:val="24"/>
        </w:rPr>
        <w:fldChar w:fldCharType="separate"/>
      </w:r>
      <w:r w:rsidR="00D1050C" w:rsidRPr="005279AA">
        <w:rPr>
          <w:rFonts w:asciiTheme="majorBidi" w:hAnsiTheme="majorBidi" w:cstheme="majorBidi"/>
          <w:bCs/>
          <w:noProof/>
          <w:sz w:val="24"/>
          <w:szCs w:val="24"/>
        </w:rPr>
        <w:t>(Gumelar &amp; Setijaningsih, 2024)</w:t>
      </w:r>
      <w:r w:rsidR="00D1050C" w:rsidRPr="005279AA">
        <w:rPr>
          <w:rFonts w:asciiTheme="majorBidi" w:hAnsiTheme="majorBidi" w:cstheme="majorBidi"/>
          <w:b/>
          <w:bCs/>
          <w:sz w:val="24"/>
          <w:szCs w:val="24"/>
        </w:rPr>
        <w:fldChar w:fldCharType="end"/>
      </w:r>
      <w:r w:rsidR="00D1050C" w:rsidRPr="005279AA">
        <w:rPr>
          <w:rFonts w:asciiTheme="majorBidi" w:hAnsiTheme="majorBidi" w:cstheme="majorBidi"/>
          <w:b/>
          <w:bCs/>
          <w:sz w:val="24"/>
          <w:szCs w:val="24"/>
        </w:rPr>
        <w:t xml:space="preserve"> </w:t>
      </w:r>
      <w:r w:rsidRPr="005279AA">
        <w:rPr>
          <w:rFonts w:asciiTheme="majorBidi" w:hAnsiTheme="majorBidi" w:cstheme="majorBidi"/>
          <w:sz w:val="24"/>
          <w:szCs w:val="24"/>
        </w:rPr>
        <w:t xml:space="preserve">yang menyatakan bahwa </w:t>
      </w:r>
      <w:r w:rsidR="009F10A1" w:rsidRPr="005279AA">
        <w:rPr>
          <w:rFonts w:asciiTheme="majorBidi" w:eastAsiaTheme="minorEastAsia" w:hAnsiTheme="majorBidi" w:cstheme="majorBidi"/>
          <w:i/>
          <w:sz w:val="24"/>
          <w:szCs w:val="24"/>
        </w:rPr>
        <w:t>Good Corporate Governance</w:t>
      </w:r>
      <w:r w:rsidR="009F10A1" w:rsidRPr="005279AA">
        <w:rPr>
          <w:rFonts w:asciiTheme="majorBidi" w:hAnsiTheme="majorBidi" w:cstheme="majorBidi"/>
          <w:sz w:val="24"/>
          <w:szCs w:val="24"/>
        </w:rPr>
        <w:t xml:space="preserve"> (GCG) </w:t>
      </w:r>
      <w:r w:rsidRPr="005279AA">
        <w:rPr>
          <w:rFonts w:asciiTheme="majorBidi" w:hAnsiTheme="majorBidi" w:cstheme="majorBidi"/>
          <w:sz w:val="24"/>
          <w:szCs w:val="24"/>
        </w:rPr>
        <w:t>dapat memoderasi untuk memperkuat pengaruh profitabilitas terhadap kebijakan divid</w:t>
      </w:r>
      <w:r w:rsidR="00BF0247">
        <w:rPr>
          <w:rFonts w:asciiTheme="majorBidi" w:hAnsiTheme="majorBidi" w:cstheme="majorBidi"/>
          <w:sz w:val="24"/>
          <w:szCs w:val="24"/>
        </w:rPr>
        <w:t>en.</w:t>
      </w:r>
    </w:p>
    <w:p w14:paraId="61DC13CF" w14:textId="4A56D133" w:rsidR="00156058" w:rsidRDefault="00645511" w:rsidP="00BF76D1">
      <w:pPr>
        <w:pStyle w:val="ListParagraph"/>
        <w:numPr>
          <w:ilvl w:val="0"/>
          <w:numId w:val="51"/>
        </w:numPr>
        <w:tabs>
          <w:tab w:val="left" w:pos="1701"/>
        </w:tabs>
        <w:spacing w:line="240" w:lineRule="auto"/>
        <w:jc w:val="both"/>
        <w:rPr>
          <w:rFonts w:asciiTheme="majorBidi" w:hAnsiTheme="majorBidi" w:cstheme="majorBidi"/>
          <w:b/>
          <w:bCs/>
          <w:sz w:val="24"/>
          <w:szCs w:val="24"/>
        </w:rPr>
      </w:pPr>
      <w:r w:rsidRPr="005279AA">
        <w:rPr>
          <w:rFonts w:asciiTheme="majorBidi" w:hAnsiTheme="majorBidi" w:cstheme="majorBidi"/>
          <w:b/>
          <w:bCs/>
          <w:sz w:val="24"/>
          <w:szCs w:val="24"/>
        </w:rPr>
        <w:t xml:space="preserve">Kepemilikan Institusional dapat memoderasi pengaruh </w:t>
      </w:r>
      <w:r w:rsidRPr="005279AA">
        <w:rPr>
          <w:rFonts w:asciiTheme="majorBidi" w:hAnsiTheme="majorBidi" w:cstheme="majorBidi"/>
          <w:b/>
          <w:bCs/>
          <w:sz w:val="24"/>
          <w:szCs w:val="24"/>
          <w:lang w:val="id-ID"/>
        </w:rPr>
        <w:t xml:space="preserve">Likuiditas </w:t>
      </w:r>
      <w:r w:rsidRPr="005279AA">
        <w:rPr>
          <w:rFonts w:asciiTheme="majorBidi" w:hAnsiTheme="majorBidi" w:cstheme="majorBidi"/>
          <w:b/>
          <w:bCs/>
          <w:sz w:val="24"/>
          <w:szCs w:val="24"/>
        </w:rPr>
        <w:t>Terhadap Kebijakan Dividen</w:t>
      </w:r>
    </w:p>
    <w:p w14:paraId="7FA47853" w14:textId="77777777" w:rsidR="00584F2E" w:rsidRPr="005279AA" w:rsidRDefault="00584F2E" w:rsidP="00BF76D1">
      <w:pPr>
        <w:pStyle w:val="ListParagraph"/>
        <w:tabs>
          <w:tab w:val="left" w:pos="1701"/>
        </w:tabs>
        <w:spacing w:line="240" w:lineRule="auto"/>
        <w:jc w:val="both"/>
        <w:rPr>
          <w:rFonts w:asciiTheme="majorBidi" w:hAnsiTheme="majorBidi" w:cstheme="majorBidi"/>
          <w:b/>
          <w:bCs/>
          <w:sz w:val="24"/>
          <w:szCs w:val="24"/>
        </w:rPr>
      </w:pPr>
    </w:p>
    <w:p w14:paraId="652461C2" w14:textId="3A7ECDF6" w:rsidR="00B54430" w:rsidRDefault="00156058"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Hasil penelitian menunjukkan bahwa</w:t>
      </w:r>
      <w:r w:rsidR="003B4E6F">
        <w:rPr>
          <w:rFonts w:asciiTheme="majorBidi" w:eastAsiaTheme="minorEastAsia" w:hAnsiTheme="majorBidi" w:cstheme="majorBidi"/>
          <w:iCs/>
          <w:sz w:val="24"/>
          <w:szCs w:val="24"/>
        </w:rPr>
        <w:t xml:space="preserve"> </w:t>
      </w:r>
      <w:r w:rsidR="003B4E6F" w:rsidRPr="005279AA">
        <w:rPr>
          <w:rFonts w:asciiTheme="majorBidi" w:eastAsiaTheme="minorEastAsia" w:hAnsiTheme="majorBidi" w:cstheme="majorBidi"/>
          <w:i/>
          <w:sz w:val="24"/>
          <w:szCs w:val="24"/>
        </w:rPr>
        <w:t>Good Corporate Governance</w:t>
      </w:r>
      <w:r w:rsidR="003B4E6F" w:rsidRPr="005279AA">
        <w:rPr>
          <w:rFonts w:asciiTheme="majorBidi" w:eastAsiaTheme="minorEastAsia" w:hAnsiTheme="majorBidi" w:cstheme="majorBidi"/>
          <w:iCs/>
          <w:sz w:val="24"/>
          <w:szCs w:val="24"/>
        </w:rPr>
        <w:t xml:space="preserve"> (GCG) </w:t>
      </w:r>
      <w:r w:rsidR="003B4E6F" w:rsidRPr="00B54430">
        <w:rPr>
          <w:rFonts w:asciiTheme="majorBidi" w:eastAsiaTheme="minorEastAsia" w:hAnsiTheme="majorBidi" w:cstheme="majorBidi"/>
          <w:iCs/>
          <w:sz w:val="24"/>
          <w:szCs w:val="24"/>
        </w:rPr>
        <w:t xml:space="preserve">tidak </w:t>
      </w:r>
      <w:r w:rsidR="003B4E6F">
        <w:rPr>
          <w:rFonts w:asciiTheme="majorBidi" w:eastAsiaTheme="minorEastAsia" w:hAnsiTheme="majorBidi" w:cstheme="majorBidi"/>
          <w:iCs/>
          <w:sz w:val="24"/>
          <w:szCs w:val="24"/>
        </w:rPr>
        <w:t xml:space="preserve">dapat </w:t>
      </w:r>
      <w:r w:rsidR="003B4E6F" w:rsidRPr="00B54430">
        <w:rPr>
          <w:rFonts w:asciiTheme="majorBidi" w:eastAsiaTheme="minorEastAsia" w:hAnsiTheme="majorBidi" w:cstheme="majorBidi"/>
          <w:iCs/>
          <w:sz w:val="24"/>
          <w:szCs w:val="24"/>
        </w:rPr>
        <w:t xml:space="preserve">memoderasi pengaruh likuiditas terhadap kebijakan dividen pada perusahaan sektor </w:t>
      </w:r>
      <w:r w:rsidR="003B4E6F" w:rsidRPr="00B54430">
        <w:rPr>
          <w:rFonts w:asciiTheme="majorBidi" w:eastAsiaTheme="minorEastAsia" w:hAnsiTheme="majorBidi" w:cstheme="majorBidi"/>
          <w:i/>
          <w:sz w:val="24"/>
          <w:szCs w:val="24"/>
        </w:rPr>
        <w:t>consumer non cyclical</w:t>
      </w:r>
      <w:r w:rsidR="003B4E6F"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3B4E6F" w:rsidRPr="00B54430">
        <w:rPr>
          <w:rFonts w:asciiTheme="majorBidi" w:eastAsiaTheme="minorEastAsia" w:hAnsiTheme="majorBidi" w:cstheme="majorBidi"/>
          <w:iCs/>
          <w:sz w:val="24"/>
          <w:szCs w:val="24"/>
        </w:rPr>
        <w:t>ahun 2019-2023</w:t>
      </w:r>
      <w:r w:rsidRPr="005279AA">
        <w:rPr>
          <w:rFonts w:asciiTheme="majorBidi" w:eastAsiaTheme="minorEastAsia" w:hAnsiTheme="majorBidi" w:cstheme="majorBidi"/>
          <w:iCs/>
          <w:sz w:val="24"/>
          <w:szCs w:val="24"/>
          <w:lang w:val="id-ID"/>
        </w:rPr>
        <w:t xml:space="preserve">. </w:t>
      </w:r>
      <w:r w:rsidRPr="005279AA">
        <w:rPr>
          <w:rFonts w:asciiTheme="majorBidi" w:eastAsiaTheme="minorEastAsia" w:hAnsiTheme="majorBidi" w:cstheme="majorBidi"/>
          <w:iCs/>
          <w:sz w:val="24"/>
          <w:szCs w:val="24"/>
        </w:rPr>
        <w:t xml:space="preserve">Hasil tersebut dibuktikan pada hasil pengujian </w:t>
      </w:r>
      <w:r w:rsidR="00232E91" w:rsidRPr="005279AA">
        <w:rPr>
          <w:rFonts w:asciiTheme="majorBidi" w:eastAsiaTheme="minorEastAsia" w:hAnsiTheme="majorBidi" w:cstheme="majorBidi"/>
          <w:i/>
          <w:sz w:val="24"/>
          <w:szCs w:val="24"/>
        </w:rPr>
        <w:t>Moderated Resgresion Analys</w:t>
      </w:r>
      <w:r w:rsidR="00906F1F">
        <w:rPr>
          <w:rFonts w:asciiTheme="majorBidi" w:eastAsiaTheme="minorEastAsia" w:hAnsiTheme="majorBidi" w:cstheme="majorBidi"/>
          <w:i/>
          <w:sz w:val="24"/>
          <w:szCs w:val="24"/>
        </w:rPr>
        <w:t>is</w:t>
      </w:r>
      <w:r w:rsidR="00232E91"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(MRA) dimana </w:t>
      </w:r>
      <w:r w:rsidR="00B54430">
        <w:rPr>
          <w:rFonts w:asciiTheme="majorBidi" w:eastAsiaTheme="minorEastAsia" w:hAnsiTheme="majorBidi" w:cstheme="majorBidi"/>
          <w:iCs/>
          <w:sz w:val="24"/>
          <w:szCs w:val="24"/>
        </w:rPr>
        <w:t xml:space="preserve">diperoleh </w:t>
      </w:r>
      <w:r w:rsidR="00B54430" w:rsidRPr="00B54430">
        <w:rPr>
          <w:rFonts w:asciiTheme="majorBidi" w:eastAsiaTheme="minorEastAsia" w:hAnsiTheme="majorBidi" w:cstheme="majorBidi"/>
          <w:iCs/>
          <w:sz w:val="24"/>
          <w:szCs w:val="24"/>
        </w:rPr>
        <w:t xml:space="preserve">nilai sig 0,549. Dengan demikian nilai sig 0,549 &gt; 0,05, maka dapat diartikan bahwa </w:t>
      </w:r>
      <w:r w:rsidR="003C01A4" w:rsidRPr="005279AA">
        <w:rPr>
          <w:rFonts w:asciiTheme="majorBidi" w:eastAsiaTheme="minorEastAsia" w:hAnsiTheme="majorBidi" w:cstheme="majorBidi"/>
          <w:i/>
          <w:sz w:val="24"/>
          <w:szCs w:val="24"/>
        </w:rPr>
        <w:t>Good Corporate Governance</w:t>
      </w:r>
      <w:r w:rsidR="003C01A4" w:rsidRPr="005279AA">
        <w:rPr>
          <w:rFonts w:asciiTheme="majorBidi" w:eastAsiaTheme="minorEastAsia" w:hAnsiTheme="majorBidi" w:cstheme="majorBidi"/>
          <w:iCs/>
          <w:sz w:val="24"/>
          <w:szCs w:val="24"/>
        </w:rPr>
        <w:t xml:space="preserve"> </w:t>
      </w:r>
      <w:r w:rsidR="003C01A4" w:rsidRPr="005279AA">
        <w:rPr>
          <w:rFonts w:asciiTheme="majorBidi" w:eastAsiaTheme="minorEastAsia" w:hAnsiTheme="majorBidi" w:cstheme="majorBidi"/>
          <w:iCs/>
          <w:sz w:val="24"/>
          <w:szCs w:val="24"/>
        </w:rPr>
        <w:lastRenderedPageBreak/>
        <w:t xml:space="preserve">(GCG) </w:t>
      </w:r>
      <w:r w:rsidR="00B54430" w:rsidRPr="00B54430">
        <w:rPr>
          <w:rFonts w:asciiTheme="majorBidi" w:eastAsiaTheme="minorEastAsia" w:hAnsiTheme="majorBidi" w:cstheme="majorBidi"/>
          <w:iCs/>
          <w:sz w:val="24"/>
          <w:szCs w:val="24"/>
        </w:rPr>
        <w:t xml:space="preserve">tidak </w:t>
      </w:r>
      <w:r w:rsidR="00B37A18">
        <w:rPr>
          <w:rFonts w:asciiTheme="majorBidi" w:eastAsiaTheme="minorEastAsia" w:hAnsiTheme="majorBidi" w:cstheme="majorBidi"/>
          <w:iCs/>
          <w:sz w:val="24"/>
          <w:szCs w:val="24"/>
        </w:rPr>
        <w:t xml:space="preserve">dapat </w:t>
      </w:r>
      <w:r w:rsidR="00B54430" w:rsidRPr="00B54430">
        <w:rPr>
          <w:rFonts w:asciiTheme="majorBidi" w:eastAsiaTheme="minorEastAsia" w:hAnsiTheme="majorBidi" w:cstheme="majorBidi"/>
          <w:iCs/>
          <w:sz w:val="24"/>
          <w:szCs w:val="24"/>
        </w:rPr>
        <w:t xml:space="preserve">memoderasi pengaruh likuiditas terhadap kebijakan dividen pada perusahaan sektor </w:t>
      </w:r>
      <w:r w:rsidR="00B54430" w:rsidRPr="00B54430">
        <w:rPr>
          <w:rFonts w:asciiTheme="majorBidi" w:eastAsiaTheme="minorEastAsia" w:hAnsiTheme="majorBidi" w:cstheme="majorBidi"/>
          <w:i/>
          <w:sz w:val="24"/>
          <w:szCs w:val="24"/>
        </w:rPr>
        <w:t>consumer non cyclical</w:t>
      </w:r>
      <w:r w:rsidR="00B54430"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B54430" w:rsidRPr="00B54430">
        <w:rPr>
          <w:rFonts w:asciiTheme="majorBidi" w:eastAsiaTheme="minorEastAsia" w:hAnsiTheme="majorBidi" w:cstheme="majorBidi"/>
          <w:iCs/>
          <w:sz w:val="24"/>
          <w:szCs w:val="24"/>
        </w:rPr>
        <w:t>ahun 2019-2023.</w:t>
      </w:r>
    </w:p>
    <w:p w14:paraId="489D3CFA" w14:textId="19AB9F28" w:rsidR="003969A3" w:rsidRPr="00F6425B" w:rsidRDefault="003969A3" w:rsidP="00BF76D1">
      <w:pPr>
        <w:pStyle w:val="ListParagraph"/>
        <w:tabs>
          <w:tab w:val="left" w:pos="1701"/>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R</w:t>
      </w:r>
      <w:r w:rsidRPr="00815D96">
        <w:rPr>
          <w:rFonts w:ascii="Times New Roman" w:hAnsi="Times New Roman" w:cs="Times New Roman"/>
          <w:sz w:val="24"/>
          <w:szCs w:val="24"/>
        </w:rPr>
        <w:t xml:space="preserve">asio likuiditas </w:t>
      </w:r>
      <w:r>
        <w:rPr>
          <w:rFonts w:ascii="Times New Roman" w:hAnsi="Times New Roman" w:cs="Times New Roman"/>
          <w:sz w:val="24"/>
          <w:szCs w:val="24"/>
        </w:rPr>
        <w:t>adalah s</w:t>
      </w:r>
      <w:r w:rsidRPr="00815D96">
        <w:rPr>
          <w:rFonts w:ascii="Times New Roman" w:hAnsi="Times New Roman" w:cs="Times New Roman"/>
          <w:sz w:val="24"/>
          <w:szCs w:val="24"/>
        </w:rPr>
        <w:t>alah satu ukuran yang menggambarkan kemampuan suatu perusahaan untuk segera memenuhi kewajiban jangka pendeknya</w:t>
      </w:r>
      <w:r>
        <w:rPr>
          <w:rFonts w:ascii="Times New Roman" w:hAnsi="Times New Roman" w:cs="Times New Roman"/>
          <w:sz w:val="24"/>
          <w:szCs w:val="24"/>
        </w:rPr>
        <w:t xml:space="preserve">. </w:t>
      </w:r>
      <w:r w:rsidRPr="00CD6CD9">
        <w:rPr>
          <w:rFonts w:ascii="Times New Roman" w:eastAsia="SimSun" w:hAnsi="Times New Roman" w:cs="Times New Roman"/>
          <w:iCs/>
          <w:sz w:val="24"/>
          <w:szCs w:val="24"/>
        </w:rPr>
        <w:t xml:space="preserve">Hasil penelitian menunjukkan bahwa </w:t>
      </w:r>
      <w:r w:rsidRPr="00CD6CD9">
        <w:rPr>
          <w:rFonts w:ascii="Times New Roman" w:eastAsia="SimSun" w:hAnsi="Times New Roman" w:cs="Times New Roman"/>
          <w:i/>
          <w:sz w:val="24"/>
          <w:szCs w:val="24"/>
        </w:rPr>
        <w:t>Good Corporate Governance</w:t>
      </w:r>
      <w:r w:rsidRPr="00CD6CD9">
        <w:rPr>
          <w:rFonts w:ascii="Times New Roman" w:eastAsia="SimSun" w:hAnsi="Times New Roman" w:cs="Times New Roman"/>
          <w:iCs/>
          <w:sz w:val="24"/>
          <w:szCs w:val="24"/>
        </w:rPr>
        <w:t xml:space="preserve"> (GCG) tidak dapat memoderasi pengaruh likuiditas terhadap kebijakan dividen</w:t>
      </w:r>
      <w:r w:rsidRPr="00CD6CD9">
        <w:rPr>
          <w:rFonts w:ascii="Times New Roman" w:hAnsi="Times New Roman" w:cs="Times New Roman"/>
          <w:sz w:val="24"/>
          <w:szCs w:val="24"/>
        </w:rPr>
        <w:t xml:space="preserve">, dapat diartikan bahwa penerapan </w:t>
      </w:r>
      <w:r w:rsidRPr="00CD6CD9">
        <w:rPr>
          <w:rFonts w:ascii="Times New Roman" w:eastAsia="SimSun" w:hAnsi="Times New Roman" w:cs="Times New Roman"/>
          <w:i/>
          <w:sz w:val="24"/>
          <w:szCs w:val="24"/>
        </w:rPr>
        <w:t>Good Corporate Governance</w:t>
      </w:r>
      <w:r w:rsidRPr="00CD6CD9">
        <w:rPr>
          <w:rFonts w:ascii="Times New Roman" w:eastAsia="SimSun" w:hAnsi="Times New Roman" w:cs="Times New Roman"/>
          <w:iCs/>
          <w:sz w:val="24"/>
          <w:szCs w:val="24"/>
        </w:rPr>
        <w:t xml:space="preserve"> (GCG) </w:t>
      </w:r>
      <w:r w:rsidRPr="00CD6CD9">
        <w:rPr>
          <w:rFonts w:ascii="Times New Roman" w:hAnsi="Times New Roman" w:cs="Times New Roman"/>
          <w:sz w:val="24"/>
          <w:szCs w:val="24"/>
        </w:rPr>
        <w:t xml:space="preserve">tidak dapat dijadikan sebagai alternatif karena pengambilan keputusan apakah perusahaan akan mendistribusikan dividennya tidak memerlukan tata kelola perusahaan atau prosedur lain yang berhubungan dengan pemangku kepentingan yang terlibat dalam tujuan pengelolaan perusahaan </w:t>
      </w:r>
      <w:r w:rsidRPr="00CD6CD9">
        <w:rPr>
          <w:rFonts w:ascii="Times New Roman" w:hAnsi="Times New Roman" w:cs="Times New Roman"/>
          <w:sz w:val="24"/>
          <w:szCs w:val="24"/>
        </w:rPr>
        <w:fldChar w:fldCharType="begin" w:fldLock="1"/>
      </w:r>
      <w:r w:rsidRPr="00CD6CD9">
        <w:rPr>
          <w:rFonts w:ascii="Times New Roman" w:hAnsi="Times New Roman" w:cs="Times New Roman"/>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2024)","manualFormatting":"(Gumelar &amp; Setijaningsih, 2024:56)","plainTextFormattedCitation":"(Gumelar &amp; Setijaningsih, 2024)","previouslyFormattedCitation":"(Gumelar &amp; Setijaningsih, 2024)"},"properties":{"noteIndex":0},"schema":"https://github.com/citation-style-language/schema/raw/master/csl-citation.json"}</w:instrText>
      </w:r>
      <w:r w:rsidRPr="00CD6CD9">
        <w:rPr>
          <w:rFonts w:ascii="Times New Roman" w:hAnsi="Times New Roman" w:cs="Times New Roman"/>
          <w:sz w:val="24"/>
          <w:szCs w:val="24"/>
        </w:rPr>
        <w:fldChar w:fldCharType="separate"/>
      </w:r>
      <w:r w:rsidRPr="00CD6CD9">
        <w:rPr>
          <w:rFonts w:ascii="Times New Roman" w:hAnsi="Times New Roman" w:cs="Times New Roman"/>
          <w:noProof/>
          <w:sz w:val="24"/>
          <w:szCs w:val="24"/>
        </w:rPr>
        <w:t>(Gumelar &amp; Setijaningsih, 2024:56)</w:t>
      </w:r>
      <w:r w:rsidRPr="00CD6CD9">
        <w:rPr>
          <w:rFonts w:ascii="Times New Roman" w:hAnsi="Times New Roman" w:cs="Times New Roman"/>
          <w:sz w:val="24"/>
          <w:szCs w:val="24"/>
        </w:rPr>
        <w:fldChar w:fldCharType="end"/>
      </w:r>
      <w:r w:rsidRPr="00CD6CD9">
        <w:rPr>
          <w:rFonts w:ascii="Times New Roman" w:hAnsi="Times New Roman" w:cs="Times New Roman"/>
          <w:sz w:val="24"/>
          <w:szCs w:val="24"/>
        </w:rPr>
        <w:t>.</w:t>
      </w:r>
      <w:r w:rsidR="00CD6CD9">
        <w:rPr>
          <w:rFonts w:ascii="Times New Roman" w:hAnsi="Times New Roman" w:cs="Times New Roman"/>
          <w:sz w:val="24"/>
          <w:szCs w:val="24"/>
        </w:rPr>
        <w:t xml:space="preserve"> </w:t>
      </w:r>
      <w:r w:rsidR="00F6425B" w:rsidRPr="00F6425B">
        <w:rPr>
          <w:rFonts w:ascii="Times New Roman" w:hAnsi="Times New Roman" w:cs="Times New Roman"/>
          <w:sz w:val="24"/>
          <w:szCs w:val="24"/>
        </w:rPr>
        <w:t xml:space="preserve">Hal ini disebabkan karena perusahaan dengan cadangan kas yang besar tidak selalu menggunakan kas tersebut untuk membagikan dividen kepada pemegang saham. Perusahan cenderung menggunakan kas yang dimilikinya untuk memenuhi kebutuhan jangka pendek perusahaan. Hal ini dapat dimanfaatkan untuk memenuhi kemungkinan investasi jangka pendek perusahaan selain komitmen jangka pendeknya </w:t>
      </w:r>
      <w:r w:rsidR="00D6449E" w:rsidRPr="00F6425B">
        <w:rPr>
          <w:rFonts w:ascii="Times New Roman" w:hAnsi="Times New Roman" w:cs="Times New Roman"/>
          <w:sz w:val="24"/>
          <w:szCs w:val="24"/>
        </w:rPr>
        <w:fldChar w:fldCharType="begin" w:fldLock="1"/>
      </w:r>
      <w:r w:rsidR="008510E2" w:rsidRPr="00F6425B">
        <w:rPr>
          <w:rFonts w:ascii="Times New Roman" w:hAnsi="Times New Roman" w:cs="Times New Roman"/>
          <w:sz w:val="24"/>
          <w:szCs w:val="24"/>
        </w:rPr>
        <w:instrText>ADDIN CSL_CITATION {"citationItems":[{"id":"ITEM-1","itemData":{"abstract":"Penelitian ini bertujuan untuk menentukan dan menganalisa pengaruh profitabilitas, leverage, ukuran perusahaan, pertumbuhan dan likuiditas terhadap kebijakan dividen pada perusahaan manufaktur yang terdaftar di bursa Efek Indonesia dalam tahun amatan 2013-2017. Populasi penelitian adalah semua perusahaan manufaktur yang terdaftar di BEI, dengan sampel yang diperoleh 37 perusahaan yang sesuai dengan kriteria yang ditetapkan. Data tersebut dianalisa dengan menggunakan pengujian asumsi klasik dan analisa berganda dengan menggunakan SPSS 25. Simpulan dari peneliian ini menyatakan bahwa profitabilitas berpengaruh signifikan terhadap kebijakan dividen, Pertumbuhan berpengaruh negatif signifikan terhadap kebijakan dividen. Sementara itu, leverage tidak berpengaruh negatif signifikan, ukuran","author":[{"dropping-particle":"","family":"Sundari Retno Ika","given":"Fitri Budhiani","non-dropping-particle":"","parse-names":false,"suffix":""}],"container-title":"JRAK","id":"ITEM-1","issued":{"date-parts":[["2021"]]},"page":"72","title":"KEBIJAKAN DIVIDEN PADA PERUSAHAAN MANUFAKTUR YANG TERDAFTAR DI BURSA EFEK","type":"article-journal","volume":"17"},"uris":["http://www.mendeley.com/documents/?uuid=6a7cbb7f-2ec0-4712-a625-ba8cc944d1ac"]}],"mendeley":{"formattedCitation":"(Sundari Retno Ika, 2021)","manualFormatting":"(Sundari Retno Ika, 2021:72)","plainTextFormattedCitation":"(Sundari Retno Ika, 2021)","previouslyFormattedCitation":"(Sundari Retno Ika, 2021)"},"properties":{"noteIndex":0},"schema":"https://github.com/citation-style-language/schema/raw/master/csl-citation.json"}</w:instrText>
      </w:r>
      <w:r w:rsidR="00D6449E" w:rsidRPr="00F6425B">
        <w:rPr>
          <w:rFonts w:ascii="Times New Roman" w:hAnsi="Times New Roman" w:cs="Times New Roman"/>
          <w:sz w:val="24"/>
          <w:szCs w:val="24"/>
        </w:rPr>
        <w:fldChar w:fldCharType="separate"/>
      </w:r>
      <w:r w:rsidR="00D6449E" w:rsidRPr="00F6425B">
        <w:rPr>
          <w:rFonts w:ascii="Times New Roman" w:hAnsi="Times New Roman" w:cs="Times New Roman"/>
          <w:noProof/>
          <w:sz w:val="24"/>
          <w:szCs w:val="24"/>
        </w:rPr>
        <w:t>(Sundari Retno Ika, 2021:72)</w:t>
      </w:r>
      <w:r w:rsidR="00D6449E" w:rsidRPr="00F6425B">
        <w:rPr>
          <w:rFonts w:ascii="Times New Roman" w:hAnsi="Times New Roman" w:cs="Times New Roman"/>
          <w:sz w:val="24"/>
          <w:szCs w:val="24"/>
        </w:rPr>
        <w:fldChar w:fldCharType="end"/>
      </w:r>
      <w:r w:rsidR="00D6449E" w:rsidRPr="00F6425B">
        <w:rPr>
          <w:rFonts w:ascii="Times New Roman" w:hAnsi="Times New Roman" w:cs="Times New Roman"/>
          <w:sz w:val="24"/>
          <w:szCs w:val="24"/>
        </w:rPr>
        <w:t>.</w:t>
      </w:r>
      <w:r w:rsidR="005F57E3" w:rsidRPr="00F6425B">
        <w:rPr>
          <w:rFonts w:ascii="Times New Roman" w:hAnsi="Times New Roman" w:cs="Times New Roman"/>
          <w:sz w:val="24"/>
          <w:szCs w:val="24"/>
        </w:rPr>
        <w:t xml:space="preserve"> </w:t>
      </w:r>
    </w:p>
    <w:p w14:paraId="25119B60" w14:textId="6A22F521" w:rsidR="00131A37" w:rsidRPr="00E4291B" w:rsidRDefault="00D1050C"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t>Hasil penelitian ini selaras dengan hasil penelitian yang dilakukan oleh</w:t>
      </w:r>
      <w:r w:rsidRPr="005279AA">
        <w:rPr>
          <w:rFonts w:asciiTheme="majorBidi" w:hAnsiTheme="majorBidi" w:cstheme="majorBidi"/>
          <w:b/>
          <w:bCs/>
          <w:sz w:val="24"/>
          <w:szCs w:val="24"/>
        </w:rPr>
        <w:t xml:space="preserve">  </w:t>
      </w:r>
      <w:r w:rsidRPr="005279AA">
        <w:rPr>
          <w:rFonts w:asciiTheme="majorBidi" w:hAnsiTheme="majorBidi" w:cstheme="majorBidi"/>
          <w:b/>
          <w:bCs/>
          <w:sz w:val="24"/>
          <w:szCs w:val="24"/>
        </w:rPr>
        <w:fldChar w:fldCharType="begin" w:fldLock="1"/>
      </w:r>
      <w:r w:rsidR="00E96154" w:rsidRPr="005279AA">
        <w:rPr>
          <w:rFonts w:asciiTheme="majorBidi" w:hAnsiTheme="majorBidi" w:cstheme="majorBidi"/>
          <w:b/>
          <w:bCs/>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2024)","plainTextFormattedCitation":"(Gumelar &amp; Setijaningsih, 2024)","previouslyFormattedCitation":"(Gumelar &amp; Setijaningsih, 2024)"},"properties":{"noteIndex":0},"schema":"https://github.com/citation-style-language/schema/raw/master/csl-citation.json"}</w:instrText>
      </w:r>
      <w:r w:rsidRPr="005279AA">
        <w:rPr>
          <w:rFonts w:asciiTheme="majorBidi" w:hAnsiTheme="majorBidi" w:cstheme="majorBidi"/>
          <w:b/>
          <w:bCs/>
          <w:sz w:val="24"/>
          <w:szCs w:val="24"/>
        </w:rPr>
        <w:fldChar w:fldCharType="separate"/>
      </w:r>
      <w:r w:rsidRPr="005279AA">
        <w:rPr>
          <w:rFonts w:asciiTheme="majorBidi" w:hAnsiTheme="majorBidi" w:cstheme="majorBidi"/>
          <w:bCs/>
          <w:noProof/>
          <w:sz w:val="24"/>
          <w:szCs w:val="24"/>
        </w:rPr>
        <w:t>(Gumelar &amp; Setijaningsih, 2024)</w:t>
      </w:r>
      <w:r w:rsidRPr="005279AA">
        <w:rPr>
          <w:rFonts w:asciiTheme="majorBidi" w:hAnsiTheme="majorBidi" w:cstheme="majorBidi"/>
          <w:b/>
          <w:bCs/>
          <w:sz w:val="24"/>
          <w:szCs w:val="24"/>
        </w:rPr>
        <w:fldChar w:fldCharType="end"/>
      </w:r>
      <w:r w:rsidRPr="005279AA">
        <w:rPr>
          <w:rFonts w:asciiTheme="majorBidi" w:hAnsiTheme="majorBidi" w:cstheme="majorBidi"/>
          <w:b/>
          <w:bCs/>
          <w:sz w:val="24"/>
          <w:szCs w:val="24"/>
        </w:rPr>
        <w:t xml:space="preserve"> </w:t>
      </w:r>
      <w:r w:rsidRPr="005279AA">
        <w:rPr>
          <w:rFonts w:asciiTheme="majorBidi" w:hAnsiTheme="majorBidi" w:cstheme="majorBidi"/>
          <w:sz w:val="24"/>
          <w:szCs w:val="24"/>
        </w:rPr>
        <w:t xml:space="preserve">yang menyatakan bahwa </w:t>
      </w:r>
      <w:r w:rsidR="009F10A1" w:rsidRPr="005279AA">
        <w:rPr>
          <w:rFonts w:asciiTheme="majorBidi" w:eastAsiaTheme="minorEastAsia" w:hAnsiTheme="majorBidi" w:cstheme="majorBidi"/>
          <w:i/>
          <w:sz w:val="24"/>
          <w:szCs w:val="24"/>
        </w:rPr>
        <w:t>Good Corporate Governance</w:t>
      </w:r>
      <w:r w:rsidR="009F10A1" w:rsidRPr="005279AA">
        <w:rPr>
          <w:rFonts w:asciiTheme="majorBidi" w:hAnsiTheme="majorBidi" w:cstheme="majorBidi"/>
          <w:sz w:val="24"/>
          <w:szCs w:val="24"/>
        </w:rPr>
        <w:t xml:space="preserve"> (GCG) </w:t>
      </w:r>
      <w:r w:rsidR="00445651" w:rsidRPr="005279AA">
        <w:rPr>
          <w:rFonts w:asciiTheme="majorBidi" w:hAnsiTheme="majorBidi" w:cstheme="majorBidi"/>
          <w:sz w:val="24"/>
          <w:szCs w:val="24"/>
        </w:rPr>
        <w:t xml:space="preserve">tidak </w:t>
      </w:r>
      <w:r w:rsidRPr="005279AA">
        <w:rPr>
          <w:rFonts w:asciiTheme="majorBidi" w:hAnsiTheme="majorBidi" w:cstheme="majorBidi"/>
          <w:sz w:val="24"/>
          <w:szCs w:val="24"/>
        </w:rPr>
        <w:t>dapat memoderasi untuk pengaruh likuiditas terhadap kebijakan dividen.</w:t>
      </w:r>
      <w:r w:rsidR="00445651" w:rsidRPr="005279AA">
        <w:rPr>
          <w:rFonts w:asciiTheme="majorBidi" w:hAnsiTheme="majorBidi" w:cstheme="majorBidi"/>
          <w:sz w:val="24"/>
          <w:szCs w:val="24"/>
        </w:rPr>
        <w:t xml:space="preserve"> Namun hasil tersebut bertolak </w:t>
      </w:r>
      <w:r w:rsidR="00445651" w:rsidRPr="005279AA">
        <w:rPr>
          <w:rFonts w:asciiTheme="majorBidi" w:hAnsiTheme="majorBidi" w:cstheme="majorBidi"/>
          <w:sz w:val="24"/>
          <w:szCs w:val="24"/>
        </w:rPr>
        <w:lastRenderedPageBreak/>
        <w:t xml:space="preserve">belakang dengan penelitian </w:t>
      </w:r>
      <w:r w:rsidR="00445651" w:rsidRPr="005279AA">
        <w:rPr>
          <w:rFonts w:asciiTheme="majorBidi" w:hAnsiTheme="majorBidi" w:cstheme="majorBidi"/>
          <w:sz w:val="24"/>
          <w:szCs w:val="24"/>
        </w:rPr>
        <w:fldChar w:fldCharType="begin" w:fldLock="1"/>
      </w:r>
      <w:r w:rsidR="00DA5346" w:rsidRPr="005279AA">
        <w:rPr>
          <w:rFonts w:asciiTheme="majorBidi" w:hAnsiTheme="majorBidi" w:cstheme="majorBidi"/>
          <w:sz w:val="24"/>
          <w:szCs w:val="24"/>
        </w:rPr>
        <w:instrText>ADDIN CSL_CITATION {"citationItems":[{"id":"ITEM-1","itemData":{"DOI":"https://doi.org/10.57178/atestasi.v5i2.370","author":[{"dropping-particle":"","family":"Opu","given":"Nur Vita","non-dropping-particle":"","parse-names":false,"suffix":""},{"dropping-particle":"","family":"Indriakati","given":"Andi Jenni","non-dropping-particle":"","parse-names":false,"suffix":""}],"container-title":"ATESTASI: JURNAL ILMIAH AKUNTANSI","id":"ITEM-1","issue":"2","issued":{"date-parts":[["2022"]]},"page":"393-408","title":"Moderation of Good Corporate Governance : Agency Cost , Liquidity Ratio , and Leverage on Dividend Policy","type":"article-journal","volume":"5"},"uris":["http://www.mendeley.com/documents/?uuid=4f2966f2-55d2-4ad1-97e6-57086863c181"]}],"mendeley":{"formattedCitation":"(Opu &amp; Indriakati, 2022)","plainTextFormattedCitation":"(Opu &amp; Indriakati, 2022)","previouslyFormattedCitation":"(Opu &amp; Indriakati, 2022)"},"properties":{"noteIndex":0},"schema":"https://github.com/citation-style-language/schema/raw/master/csl-citation.json"}</w:instrText>
      </w:r>
      <w:r w:rsidR="00445651" w:rsidRPr="005279AA">
        <w:rPr>
          <w:rFonts w:asciiTheme="majorBidi" w:hAnsiTheme="majorBidi" w:cstheme="majorBidi"/>
          <w:sz w:val="24"/>
          <w:szCs w:val="24"/>
        </w:rPr>
        <w:fldChar w:fldCharType="separate"/>
      </w:r>
      <w:r w:rsidR="00445651" w:rsidRPr="005279AA">
        <w:rPr>
          <w:rFonts w:asciiTheme="majorBidi" w:hAnsiTheme="majorBidi" w:cstheme="majorBidi"/>
          <w:noProof/>
          <w:sz w:val="24"/>
          <w:szCs w:val="24"/>
        </w:rPr>
        <w:t>(Opu &amp; Indriakati, 2022)</w:t>
      </w:r>
      <w:r w:rsidR="00445651" w:rsidRPr="005279AA">
        <w:rPr>
          <w:rFonts w:asciiTheme="majorBidi" w:hAnsiTheme="majorBidi" w:cstheme="majorBidi"/>
          <w:sz w:val="24"/>
          <w:szCs w:val="24"/>
        </w:rPr>
        <w:fldChar w:fldCharType="end"/>
      </w:r>
      <w:r w:rsidR="00445651" w:rsidRPr="005279AA">
        <w:rPr>
          <w:rFonts w:asciiTheme="majorBidi" w:hAnsiTheme="majorBidi" w:cstheme="majorBidi"/>
          <w:sz w:val="24"/>
          <w:szCs w:val="24"/>
        </w:rPr>
        <w:t xml:space="preserve"> yang menyatakan bahwa </w:t>
      </w:r>
      <w:r w:rsidR="009F10A1" w:rsidRPr="005279AA">
        <w:rPr>
          <w:rFonts w:asciiTheme="majorBidi" w:eastAsiaTheme="minorEastAsia" w:hAnsiTheme="majorBidi" w:cstheme="majorBidi"/>
          <w:i/>
          <w:sz w:val="24"/>
          <w:szCs w:val="24"/>
        </w:rPr>
        <w:t>Good Corporate Governance</w:t>
      </w:r>
      <w:r w:rsidR="009F10A1" w:rsidRPr="005279AA">
        <w:rPr>
          <w:rFonts w:asciiTheme="majorBidi" w:hAnsiTheme="majorBidi" w:cstheme="majorBidi"/>
          <w:sz w:val="24"/>
          <w:szCs w:val="24"/>
        </w:rPr>
        <w:t xml:space="preserve"> (GCG) </w:t>
      </w:r>
      <w:r w:rsidR="00445651" w:rsidRPr="005279AA">
        <w:rPr>
          <w:rFonts w:asciiTheme="majorBidi" w:hAnsiTheme="majorBidi" w:cstheme="majorBidi"/>
          <w:sz w:val="24"/>
          <w:szCs w:val="24"/>
        </w:rPr>
        <w:t>dapat memoderasi pengaruh likuiditas terhadap kebijakan dividen.</w:t>
      </w:r>
    </w:p>
    <w:p w14:paraId="5CCC091A" w14:textId="7EACA34D" w:rsidR="00156058" w:rsidRPr="00BF0247" w:rsidRDefault="00645511" w:rsidP="00BF76D1">
      <w:pPr>
        <w:pStyle w:val="ListParagraph"/>
        <w:numPr>
          <w:ilvl w:val="0"/>
          <w:numId w:val="51"/>
        </w:numPr>
        <w:tabs>
          <w:tab w:val="left" w:pos="1701"/>
        </w:tabs>
        <w:spacing w:line="240" w:lineRule="auto"/>
        <w:jc w:val="both"/>
        <w:rPr>
          <w:rFonts w:asciiTheme="majorBidi" w:hAnsiTheme="majorBidi" w:cstheme="majorBidi"/>
          <w:b/>
          <w:bCs/>
          <w:sz w:val="24"/>
          <w:szCs w:val="24"/>
        </w:rPr>
      </w:pPr>
      <w:r w:rsidRPr="00BF0247">
        <w:rPr>
          <w:rFonts w:asciiTheme="majorBidi" w:hAnsiTheme="majorBidi" w:cstheme="majorBidi"/>
          <w:b/>
          <w:bCs/>
          <w:sz w:val="24"/>
          <w:szCs w:val="24"/>
        </w:rPr>
        <w:t xml:space="preserve">Kepemilikan Institusional dapat memoderasi pengaruh </w:t>
      </w:r>
      <w:r w:rsidRPr="00BF0247">
        <w:rPr>
          <w:rFonts w:asciiTheme="majorBidi" w:hAnsiTheme="majorBidi" w:cstheme="majorBidi"/>
          <w:b/>
          <w:bCs/>
          <w:i/>
          <w:iCs/>
          <w:sz w:val="24"/>
          <w:szCs w:val="24"/>
          <w:lang w:val="id-ID"/>
        </w:rPr>
        <w:t>Leverage</w:t>
      </w:r>
      <w:r w:rsidRPr="00BF0247">
        <w:rPr>
          <w:rFonts w:asciiTheme="majorBidi" w:hAnsiTheme="majorBidi" w:cstheme="majorBidi"/>
          <w:b/>
          <w:bCs/>
          <w:sz w:val="24"/>
          <w:szCs w:val="24"/>
          <w:lang w:val="id-ID"/>
        </w:rPr>
        <w:t xml:space="preserve"> </w:t>
      </w:r>
      <w:r w:rsidRPr="00BF0247">
        <w:rPr>
          <w:rFonts w:asciiTheme="majorBidi" w:hAnsiTheme="majorBidi" w:cstheme="majorBidi"/>
          <w:b/>
          <w:bCs/>
          <w:sz w:val="24"/>
          <w:szCs w:val="24"/>
        </w:rPr>
        <w:t>Terhadap Kebijakan Dividen</w:t>
      </w:r>
    </w:p>
    <w:p w14:paraId="4001C4D9" w14:textId="77777777" w:rsidR="00584F2E" w:rsidRPr="005279AA" w:rsidRDefault="00584F2E" w:rsidP="00BF76D1">
      <w:pPr>
        <w:pStyle w:val="ListParagraph"/>
        <w:tabs>
          <w:tab w:val="left" w:pos="1701"/>
        </w:tabs>
        <w:spacing w:line="240" w:lineRule="auto"/>
        <w:jc w:val="both"/>
        <w:rPr>
          <w:rFonts w:asciiTheme="majorBidi" w:hAnsiTheme="majorBidi" w:cstheme="majorBidi"/>
          <w:b/>
          <w:bCs/>
          <w:sz w:val="24"/>
          <w:szCs w:val="24"/>
        </w:rPr>
      </w:pPr>
    </w:p>
    <w:p w14:paraId="42838473" w14:textId="57E0F84D" w:rsidR="00B54430" w:rsidRDefault="00156058"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Hasil penelitian menunjukkan bahwa</w:t>
      </w:r>
      <w:r w:rsidR="003B4E6F">
        <w:rPr>
          <w:rFonts w:asciiTheme="majorBidi" w:eastAsiaTheme="minorEastAsia" w:hAnsiTheme="majorBidi" w:cstheme="majorBidi"/>
          <w:iCs/>
          <w:sz w:val="24"/>
          <w:szCs w:val="24"/>
        </w:rPr>
        <w:t xml:space="preserve"> </w:t>
      </w:r>
      <w:r w:rsidR="003B4E6F" w:rsidRPr="005279AA">
        <w:rPr>
          <w:rFonts w:asciiTheme="majorBidi" w:eastAsiaTheme="minorEastAsia" w:hAnsiTheme="majorBidi" w:cstheme="majorBidi"/>
          <w:i/>
          <w:sz w:val="24"/>
          <w:szCs w:val="24"/>
        </w:rPr>
        <w:t>Good Corporate Governance</w:t>
      </w:r>
      <w:r w:rsidR="003B4E6F" w:rsidRPr="005279AA">
        <w:rPr>
          <w:rFonts w:asciiTheme="majorBidi" w:eastAsiaTheme="minorEastAsia" w:hAnsiTheme="majorBidi" w:cstheme="majorBidi"/>
          <w:iCs/>
          <w:sz w:val="24"/>
          <w:szCs w:val="24"/>
        </w:rPr>
        <w:t xml:space="preserve"> (GCG) </w:t>
      </w:r>
      <w:r w:rsidR="003B4E6F" w:rsidRPr="00B54430">
        <w:rPr>
          <w:rFonts w:asciiTheme="majorBidi" w:eastAsiaTheme="minorEastAsia" w:hAnsiTheme="majorBidi" w:cstheme="majorBidi"/>
          <w:iCs/>
          <w:sz w:val="24"/>
          <w:szCs w:val="24"/>
        </w:rPr>
        <w:t xml:space="preserve">tidak </w:t>
      </w:r>
      <w:r w:rsidR="003B4E6F">
        <w:rPr>
          <w:rFonts w:asciiTheme="majorBidi" w:eastAsiaTheme="minorEastAsia" w:hAnsiTheme="majorBidi" w:cstheme="majorBidi"/>
          <w:iCs/>
          <w:sz w:val="24"/>
          <w:szCs w:val="24"/>
        </w:rPr>
        <w:t xml:space="preserve">dapat </w:t>
      </w:r>
      <w:r w:rsidR="003B4E6F" w:rsidRPr="00B54430">
        <w:rPr>
          <w:rFonts w:asciiTheme="majorBidi" w:eastAsiaTheme="minorEastAsia" w:hAnsiTheme="majorBidi" w:cstheme="majorBidi"/>
          <w:iCs/>
          <w:sz w:val="24"/>
          <w:szCs w:val="24"/>
        </w:rPr>
        <w:t xml:space="preserve">memoderasi pengaruh </w:t>
      </w:r>
      <w:r w:rsidR="003B4E6F">
        <w:rPr>
          <w:rFonts w:asciiTheme="majorBidi" w:eastAsiaTheme="minorEastAsia" w:hAnsiTheme="majorBidi" w:cstheme="majorBidi"/>
          <w:iCs/>
          <w:sz w:val="24"/>
          <w:szCs w:val="24"/>
        </w:rPr>
        <w:t xml:space="preserve">leverage </w:t>
      </w:r>
      <w:r w:rsidR="003B4E6F" w:rsidRPr="00B54430">
        <w:rPr>
          <w:rFonts w:asciiTheme="majorBidi" w:eastAsiaTheme="minorEastAsia" w:hAnsiTheme="majorBidi" w:cstheme="majorBidi"/>
          <w:iCs/>
          <w:sz w:val="24"/>
          <w:szCs w:val="24"/>
        </w:rPr>
        <w:t xml:space="preserve">terhadap kebijakan dividen pada perusahaan sektor </w:t>
      </w:r>
      <w:r w:rsidR="003B4E6F" w:rsidRPr="00B54430">
        <w:rPr>
          <w:rFonts w:asciiTheme="majorBidi" w:eastAsiaTheme="minorEastAsia" w:hAnsiTheme="majorBidi" w:cstheme="majorBidi"/>
          <w:i/>
          <w:sz w:val="24"/>
          <w:szCs w:val="24"/>
        </w:rPr>
        <w:t>consumer non cyclical</w:t>
      </w:r>
      <w:r w:rsidR="003B4E6F"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3B4E6F" w:rsidRPr="00B54430">
        <w:rPr>
          <w:rFonts w:asciiTheme="majorBidi" w:eastAsiaTheme="minorEastAsia" w:hAnsiTheme="majorBidi" w:cstheme="majorBidi"/>
          <w:iCs/>
          <w:sz w:val="24"/>
          <w:szCs w:val="24"/>
        </w:rPr>
        <w:t>ahun 2019-2023</w:t>
      </w:r>
      <w:r w:rsidRPr="005279AA">
        <w:rPr>
          <w:rFonts w:asciiTheme="majorBidi" w:eastAsiaTheme="minorEastAsia" w:hAnsiTheme="majorBidi" w:cstheme="majorBidi"/>
          <w:iCs/>
          <w:sz w:val="24"/>
          <w:szCs w:val="24"/>
          <w:lang w:val="id-ID"/>
        </w:rPr>
        <w:t xml:space="preserve">. </w:t>
      </w:r>
      <w:r w:rsidRPr="005279AA">
        <w:rPr>
          <w:rFonts w:asciiTheme="majorBidi" w:eastAsiaTheme="minorEastAsia" w:hAnsiTheme="majorBidi" w:cstheme="majorBidi"/>
          <w:iCs/>
          <w:sz w:val="24"/>
          <w:szCs w:val="24"/>
        </w:rPr>
        <w:t xml:space="preserve">Hasil tersebut dibuktikan pada hasil pengujian </w:t>
      </w:r>
      <w:r w:rsidR="003D3640" w:rsidRPr="005279AA">
        <w:rPr>
          <w:rFonts w:asciiTheme="majorBidi" w:eastAsiaTheme="minorEastAsia" w:hAnsiTheme="majorBidi" w:cstheme="majorBidi"/>
          <w:i/>
          <w:sz w:val="24"/>
          <w:szCs w:val="24"/>
        </w:rPr>
        <w:t>Moderated Resgresion Analys</w:t>
      </w:r>
      <w:r w:rsidR="00906F1F">
        <w:rPr>
          <w:rFonts w:asciiTheme="majorBidi" w:eastAsiaTheme="minorEastAsia" w:hAnsiTheme="majorBidi" w:cstheme="majorBidi"/>
          <w:i/>
          <w:sz w:val="24"/>
          <w:szCs w:val="24"/>
        </w:rPr>
        <w:t>is</w:t>
      </w:r>
      <w:r w:rsidR="003D3640"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(MRA) dimana </w:t>
      </w:r>
      <w:r w:rsidR="00B54430" w:rsidRPr="00B54430">
        <w:rPr>
          <w:rFonts w:asciiTheme="majorBidi" w:eastAsiaTheme="minorEastAsia" w:hAnsiTheme="majorBidi" w:cstheme="majorBidi"/>
          <w:iCs/>
          <w:sz w:val="24"/>
          <w:szCs w:val="24"/>
        </w:rPr>
        <w:t>diperoleh nilai sig 0,729. Dengan demikian nilai sig 0,729 &gt; 0,05, maka dapat diartikan bahwa</w:t>
      </w:r>
      <w:r w:rsidR="003C01A4">
        <w:rPr>
          <w:rFonts w:asciiTheme="majorBidi" w:eastAsiaTheme="minorEastAsia" w:hAnsiTheme="majorBidi" w:cstheme="majorBidi"/>
          <w:iCs/>
          <w:sz w:val="24"/>
          <w:szCs w:val="24"/>
        </w:rPr>
        <w:t xml:space="preserve"> </w:t>
      </w:r>
      <w:r w:rsidR="003C01A4" w:rsidRPr="005279AA">
        <w:rPr>
          <w:rFonts w:asciiTheme="majorBidi" w:eastAsiaTheme="minorEastAsia" w:hAnsiTheme="majorBidi" w:cstheme="majorBidi"/>
          <w:i/>
          <w:sz w:val="24"/>
          <w:szCs w:val="24"/>
        </w:rPr>
        <w:t>Good Corporate Governance</w:t>
      </w:r>
      <w:r w:rsidR="003C01A4" w:rsidRPr="005279AA">
        <w:rPr>
          <w:rFonts w:asciiTheme="majorBidi" w:eastAsiaTheme="minorEastAsia" w:hAnsiTheme="majorBidi" w:cstheme="majorBidi"/>
          <w:iCs/>
          <w:sz w:val="24"/>
          <w:szCs w:val="24"/>
        </w:rPr>
        <w:t xml:space="preserve"> (GCG) </w:t>
      </w:r>
      <w:r w:rsidR="00B54430" w:rsidRPr="00B54430">
        <w:rPr>
          <w:rFonts w:asciiTheme="majorBidi" w:eastAsiaTheme="minorEastAsia" w:hAnsiTheme="majorBidi" w:cstheme="majorBidi"/>
          <w:iCs/>
          <w:sz w:val="24"/>
          <w:szCs w:val="24"/>
        </w:rPr>
        <w:t xml:space="preserve">tidak </w:t>
      </w:r>
      <w:r w:rsidR="00B37A18">
        <w:rPr>
          <w:rFonts w:asciiTheme="majorBidi" w:eastAsiaTheme="minorEastAsia" w:hAnsiTheme="majorBidi" w:cstheme="majorBidi"/>
          <w:iCs/>
          <w:sz w:val="24"/>
          <w:szCs w:val="24"/>
        </w:rPr>
        <w:t xml:space="preserve">dapat </w:t>
      </w:r>
      <w:r w:rsidR="00B54430" w:rsidRPr="00B54430">
        <w:rPr>
          <w:rFonts w:asciiTheme="majorBidi" w:eastAsiaTheme="minorEastAsia" w:hAnsiTheme="majorBidi" w:cstheme="majorBidi"/>
          <w:iCs/>
          <w:sz w:val="24"/>
          <w:szCs w:val="24"/>
        </w:rPr>
        <w:t xml:space="preserve">memoderasi pengaruh </w:t>
      </w:r>
      <w:r w:rsidR="00B54430" w:rsidRPr="00B54430">
        <w:rPr>
          <w:rFonts w:asciiTheme="majorBidi" w:eastAsiaTheme="minorEastAsia" w:hAnsiTheme="majorBidi" w:cstheme="majorBidi"/>
          <w:i/>
          <w:sz w:val="24"/>
          <w:szCs w:val="24"/>
        </w:rPr>
        <w:t>leverage</w:t>
      </w:r>
      <w:r w:rsidR="00B54430" w:rsidRPr="00B54430">
        <w:rPr>
          <w:rFonts w:asciiTheme="majorBidi" w:eastAsiaTheme="minorEastAsia" w:hAnsiTheme="majorBidi" w:cstheme="majorBidi"/>
          <w:iCs/>
          <w:sz w:val="24"/>
          <w:szCs w:val="24"/>
        </w:rPr>
        <w:t xml:space="preserve"> terhadap kebijakan dividen pada perusahaan sektor </w:t>
      </w:r>
      <w:r w:rsidR="00B54430" w:rsidRPr="00B54430">
        <w:rPr>
          <w:rFonts w:asciiTheme="majorBidi" w:eastAsiaTheme="minorEastAsia" w:hAnsiTheme="majorBidi" w:cstheme="majorBidi"/>
          <w:i/>
          <w:sz w:val="24"/>
          <w:szCs w:val="24"/>
        </w:rPr>
        <w:t>consumer non cyclical</w:t>
      </w:r>
      <w:r w:rsidR="00B54430"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B54430" w:rsidRPr="00B54430">
        <w:rPr>
          <w:rFonts w:asciiTheme="majorBidi" w:eastAsiaTheme="minorEastAsia" w:hAnsiTheme="majorBidi" w:cstheme="majorBidi"/>
          <w:iCs/>
          <w:sz w:val="24"/>
          <w:szCs w:val="24"/>
        </w:rPr>
        <w:t>ahun 2019-2023.</w:t>
      </w:r>
    </w:p>
    <w:p w14:paraId="7A045107" w14:textId="47307A8B" w:rsidR="003969A3" w:rsidRPr="003969A3" w:rsidRDefault="003969A3" w:rsidP="00BF76D1">
      <w:pPr>
        <w:pStyle w:val="ListParagraph"/>
        <w:tabs>
          <w:tab w:val="left" w:pos="1701"/>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Menurut teori keagenan, masalah agensi </w:t>
      </w:r>
      <w:r w:rsidRPr="0083194C">
        <w:rPr>
          <w:rFonts w:ascii="Times New Roman" w:hAnsi="Times New Roman" w:cs="Times New Roman"/>
          <w:sz w:val="24"/>
          <w:szCs w:val="24"/>
        </w:rPr>
        <w:t xml:space="preserve">disebabkan oleh konflik kepentingan antara dua pihak, seperti antara manajer dan prinsipal atau antara pemegang saham mayoritas dan minoritas. (Jensen dan Meckling, 1976). Mekanisme tata kelola menjadi </w:t>
      </w:r>
      <w:r>
        <w:rPr>
          <w:rFonts w:ascii="Times New Roman" w:hAnsi="Times New Roman" w:cs="Times New Roman"/>
          <w:sz w:val="24"/>
          <w:szCs w:val="24"/>
        </w:rPr>
        <w:t xml:space="preserve">alternatif </w:t>
      </w:r>
      <w:r w:rsidRPr="0083194C">
        <w:rPr>
          <w:rFonts w:ascii="Times New Roman" w:hAnsi="Times New Roman" w:cs="Times New Roman"/>
          <w:sz w:val="24"/>
          <w:szCs w:val="24"/>
        </w:rPr>
        <w:t xml:space="preserve">untuk mengurangi konflik kepentingan antar pemangku kepentingan </w:t>
      </w:r>
      <w:r w:rsidRPr="0083194C">
        <w:rPr>
          <w:rFonts w:ascii="Times New Roman" w:hAnsi="Times New Roman" w:cs="Times New Roman"/>
          <w:sz w:val="24"/>
          <w:szCs w:val="24"/>
        </w:rPr>
        <w:fldChar w:fldCharType="begin" w:fldLock="1"/>
      </w:r>
      <w:r w:rsidRPr="0083194C">
        <w:rPr>
          <w:rFonts w:ascii="Times New Roman" w:hAnsi="Times New Roman" w:cs="Times New Roman"/>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2024)","manualFormatting":"(Gumelar &amp; Setijaningsih, 2024:56)","plainTextFormattedCitation":"(Gumelar &amp; Setijaningsih, 2024)","previouslyFormattedCitation":"(Gumelar &amp; Setijaningsih, 2024)"},"properties":{"noteIndex":0},"schema":"https://github.com/citation-style-language/schema/raw/master/csl-citation.json"}</w:instrText>
      </w:r>
      <w:r w:rsidRPr="0083194C">
        <w:rPr>
          <w:rFonts w:ascii="Times New Roman" w:hAnsi="Times New Roman" w:cs="Times New Roman"/>
          <w:sz w:val="24"/>
          <w:szCs w:val="24"/>
        </w:rPr>
        <w:fldChar w:fldCharType="separate"/>
      </w:r>
      <w:r w:rsidRPr="0083194C">
        <w:rPr>
          <w:rFonts w:ascii="Times New Roman" w:hAnsi="Times New Roman" w:cs="Times New Roman"/>
          <w:noProof/>
          <w:sz w:val="24"/>
          <w:szCs w:val="24"/>
        </w:rPr>
        <w:t>(Gumelar &amp; Setijaningsih, 2024:56)</w:t>
      </w:r>
      <w:r w:rsidRPr="0083194C">
        <w:rPr>
          <w:rFonts w:ascii="Times New Roman" w:hAnsi="Times New Roman" w:cs="Times New Roman"/>
          <w:sz w:val="24"/>
          <w:szCs w:val="24"/>
        </w:rPr>
        <w:fldChar w:fldCharType="end"/>
      </w:r>
      <w:r w:rsidRPr="0083194C">
        <w:rPr>
          <w:rFonts w:ascii="Times New Roman" w:hAnsi="Times New Roman" w:cs="Times New Roman"/>
          <w:sz w:val="24"/>
          <w:szCs w:val="24"/>
        </w:rPr>
        <w:t xml:space="preserve">. </w:t>
      </w:r>
      <w:r w:rsidRPr="0083194C">
        <w:rPr>
          <w:rFonts w:ascii="Times New Roman" w:eastAsia="SimSun" w:hAnsi="Times New Roman" w:cs="Times New Roman"/>
          <w:i/>
          <w:sz w:val="24"/>
          <w:szCs w:val="24"/>
        </w:rPr>
        <w:t>Good Corporate Governance</w:t>
      </w:r>
      <w:r w:rsidRPr="0083194C">
        <w:rPr>
          <w:rFonts w:ascii="Times New Roman" w:hAnsi="Times New Roman" w:cs="Times New Roman"/>
          <w:sz w:val="24"/>
          <w:szCs w:val="24"/>
        </w:rPr>
        <w:t xml:space="preserve"> (GCG) tidak dapat memoderasi pengaruh </w:t>
      </w:r>
      <w:r w:rsidRPr="0083194C">
        <w:rPr>
          <w:rFonts w:ascii="Times New Roman" w:hAnsi="Times New Roman" w:cs="Times New Roman"/>
          <w:i/>
          <w:iCs/>
          <w:sz w:val="24"/>
          <w:szCs w:val="24"/>
        </w:rPr>
        <w:t>leverage</w:t>
      </w:r>
      <w:r w:rsidRPr="0083194C">
        <w:rPr>
          <w:rFonts w:ascii="Times New Roman" w:hAnsi="Times New Roman" w:cs="Times New Roman"/>
          <w:sz w:val="24"/>
          <w:szCs w:val="24"/>
        </w:rPr>
        <w:t xml:space="preserve"> terhadap kebijakan dividen pada sektor </w:t>
      </w:r>
      <w:r w:rsidRPr="0083194C">
        <w:rPr>
          <w:rFonts w:ascii="Times New Roman" w:hAnsi="Times New Roman" w:cs="Times New Roman"/>
          <w:i/>
          <w:iCs/>
          <w:sz w:val="24"/>
          <w:szCs w:val="24"/>
        </w:rPr>
        <w:t>consumer non cyclical</w:t>
      </w:r>
      <w:r w:rsidRPr="0083194C">
        <w:rPr>
          <w:rFonts w:ascii="Times New Roman" w:hAnsi="Times New Roman" w:cs="Times New Roman"/>
          <w:sz w:val="24"/>
          <w:szCs w:val="24"/>
        </w:rPr>
        <w:t xml:space="preserve">. </w:t>
      </w:r>
      <w:r w:rsidRPr="0083194C">
        <w:rPr>
          <w:rFonts w:ascii="Times New Roman" w:eastAsia="SimSun" w:hAnsi="Times New Roman" w:cs="Times New Roman"/>
          <w:i/>
          <w:sz w:val="24"/>
          <w:szCs w:val="24"/>
        </w:rPr>
        <w:t>Good Corporate Governance</w:t>
      </w:r>
      <w:r w:rsidRPr="0083194C">
        <w:rPr>
          <w:rFonts w:ascii="Times New Roman" w:hAnsi="Times New Roman" w:cs="Times New Roman"/>
          <w:sz w:val="24"/>
          <w:szCs w:val="24"/>
        </w:rPr>
        <w:t xml:space="preserve"> (GCG) yang dimiliki perusahaan belum mampu mengendalikan rasio </w:t>
      </w:r>
      <w:r w:rsidRPr="0083194C">
        <w:rPr>
          <w:rFonts w:ascii="Times New Roman" w:hAnsi="Times New Roman" w:cs="Times New Roman"/>
          <w:i/>
          <w:iCs/>
          <w:sz w:val="24"/>
          <w:szCs w:val="24"/>
        </w:rPr>
        <w:t>leverage</w:t>
      </w:r>
      <w:r w:rsidRPr="0083194C">
        <w:rPr>
          <w:rFonts w:ascii="Times New Roman" w:hAnsi="Times New Roman" w:cs="Times New Roman"/>
          <w:sz w:val="24"/>
          <w:szCs w:val="24"/>
        </w:rPr>
        <w:t xml:space="preserve">, artinya </w:t>
      </w:r>
      <w:r w:rsidRPr="0083194C">
        <w:rPr>
          <w:rFonts w:ascii="Times New Roman" w:eastAsia="SimSun" w:hAnsi="Times New Roman" w:cs="Times New Roman"/>
          <w:i/>
          <w:sz w:val="24"/>
          <w:szCs w:val="24"/>
        </w:rPr>
        <w:t>Good Corporate Governance</w:t>
      </w:r>
      <w:r w:rsidRPr="0083194C">
        <w:rPr>
          <w:rFonts w:ascii="Times New Roman" w:hAnsi="Times New Roman" w:cs="Times New Roman"/>
          <w:sz w:val="24"/>
          <w:szCs w:val="24"/>
        </w:rPr>
        <w:t xml:space="preserve"> (GCG) bukan menjadi salah satu faktor penentu pengaruh </w:t>
      </w:r>
      <w:r w:rsidRPr="0083194C">
        <w:rPr>
          <w:rFonts w:ascii="Times New Roman" w:hAnsi="Times New Roman" w:cs="Times New Roman"/>
          <w:i/>
          <w:iCs/>
          <w:sz w:val="24"/>
          <w:szCs w:val="24"/>
        </w:rPr>
        <w:t>leverage</w:t>
      </w:r>
      <w:r w:rsidRPr="0083194C">
        <w:rPr>
          <w:rFonts w:ascii="Times New Roman" w:hAnsi="Times New Roman" w:cs="Times New Roman"/>
          <w:sz w:val="24"/>
          <w:szCs w:val="24"/>
        </w:rPr>
        <w:t xml:space="preserve"> terhadap kebijakan dividen. </w:t>
      </w:r>
    </w:p>
    <w:p w14:paraId="680D9A15" w14:textId="054F24B9" w:rsidR="003C01A4" w:rsidRPr="00584F2E" w:rsidRDefault="00D1050C" w:rsidP="00BF76D1">
      <w:pPr>
        <w:pStyle w:val="ListParagraph"/>
        <w:tabs>
          <w:tab w:val="left" w:pos="1701"/>
        </w:tabs>
        <w:spacing w:line="480" w:lineRule="auto"/>
        <w:ind w:firstLine="556"/>
        <w:jc w:val="both"/>
        <w:rPr>
          <w:rFonts w:asciiTheme="majorBidi" w:hAnsiTheme="majorBidi" w:cstheme="majorBidi"/>
          <w:sz w:val="24"/>
          <w:szCs w:val="24"/>
        </w:rPr>
      </w:pPr>
      <w:r w:rsidRPr="005279AA">
        <w:rPr>
          <w:rFonts w:asciiTheme="majorBidi" w:eastAsiaTheme="minorEastAsia" w:hAnsiTheme="majorBidi" w:cstheme="majorBidi"/>
          <w:iCs/>
          <w:sz w:val="24"/>
          <w:szCs w:val="24"/>
        </w:rPr>
        <w:lastRenderedPageBreak/>
        <w:t>Hasil penelitian ini selaras dengan hasil penelitian yang dilakukan oleh</w:t>
      </w:r>
      <w:r w:rsidRPr="005279AA">
        <w:rPr>
          <w:rFonts w:asciiTheme="majorBidi" w:hAnsiTheme="majorBidi" w:cstheme="majorBidi"/>
          <w:b/>
          <w:bCs/>
          <w:sz w:val="24"/>
          <w:szCs w:val="24"/>
        </w:rPr>
        <w:t xml:space="preserve"> </w:t>
      </w:r>
      <w:r w:rsidRPr="005279AA">
        <w:rPr>
          <w:rFonts w:asciiTheme="majorBidi" w:hAnsiTheme="majorBidi" w:cstheme="majorBidi"/>
          <w:b/>
          <w:bCs/>
          <w:sz w:val="24"/>
          <w:szCs w:val="24"/>
        </w:rPr>
        <w:fldChar w:fldCharType="begin" w:fldLock="1"/>
      </w:r>
      <w:r w:rsidR="00E96154" w:rsidRPr="005279AA">
        <w:rPr>
          <w:rFonts w:asciiTheme="majorBidi" w:hAnsiTheme="majorBidi" w:cstheme="majorBidi"/>
          <w:b/>
          <w:bCs/>
          <w:sz w:val="24"/>
          <w:szCs w:val="24"/>
        </w:rPr>
        <w:instrText>ADDIN CSL_CITATION {"citationItems":[{"id":"ITEM-1","itemData":{"DOI":"https://doi.org/10.35335/enrichment.v14i1.1870","author":[{"dropping-particle":"","family":"Gumelar","given":"Arya","non-dropping-particle":"","parse-names":false,"suffix":""},{"dropping-particle":"","family":"Setijaningsih","given":"Herlin Tundjung","non-dropping-particle":"","parse-names":false,"suffix":""}],"container-title":"Enrichment: Journal of Management","id":"ITEM-1","issue":"1","issued":{"date-parts":[["2024"]]},"title":"Enrichment : Journal of Management The influence of liquidity , leverage , and profitability on dividend policy in manufacturing companies listed on the Indonesian stock exchange moderated by good corporate governance","type":"article-journal","volume":"14"},"uris":["http://www.mendeley.com/documents/?uuid=0f1b3bda-ef88-47da-946f-381c83a3839c"]}],"mendeley":{"formattedCitation":"(Gumelar &amp; Setijaningsih, 2024)","plainTextFormattedCitation":"(Gumelar &amp; Setijaningsih, 2024)","previouslyFormattedCitation":"(Gumelar &amp; Setijaningsih, 2024)"},"properties":{"noteIndex":0},"schema":"https://github.com/citation-style-language/schema/raw/master/csl-citation.json"}</w:instrText>
      </w:r>
      <w:r w:rsidRPr="005279AA">
        <w:rPr>
          <w:rFonts w:asciiTheme="majorBidi" w:hAnsiTheme="majorBidi" w:cstheme="majorBidi"/>
          <w:b/>
          <w:bCs/>
          <w:sz w:val="24"/>
          <w:szCs w:val="24"/>
        </w:rPr>
        <w:fldChar w:fldCharType="separate"/>
      </w:r>
      <w:r w:rsidRPr="005279AA">
        <w:rPr>
          <w:rFonts w:asciiTheme="majorBidi" w:hAnsiTheme="majorBidi" w:cstheme="majorBidi"/>
          <w:bCs/>
          <w:noProof/>
          <w:sz w:val="24"/>
          <w:szCs w:val="24"/>
        </w:rPr>
        <w:t>(Gumelar &amp; Setijaningsih, 2024)</w:t>
      </w:r>
      <w:r w:rsidRPr="005279AA">
        <w:rPr>
          <w:rFonts w:asciiTheme="majorBidi" w:hAnsiTheme="majorBidi" w:cstheme="majorBidi"/>
          <w:b/>
          <w:bCs/>
          <w:sz w:val="24"/>
          <w:szCs w:val="24"/>
        </w:rPr>
        <w:fldChar w:fldCharType="end"/>
      </w:r>
      <w:r w:rsidRPr="005279AA">
        <w:rPr>
          <w:rFonts w:asciiTheme="majorBidi" w:hAnsiTheme="majorBidi" w:cstheme="majorBidi"/>
          <w:b/>
          <w:bCs/>
          <w:sz w:val="24"/>
          <w:szCs w:val="24"/>
        </w:rPr>
        <w:t xml:space="preserve"> </w:t>
      </w:r>
      <w:r w:rsidRPr="005279AA">
        <w:rPr>
          <w:rFonts w:asciiTheme="majorBidi" w:hAnsiTheme="majorBidi" w:cstheme="majorBidi"/>
          <w:sz w:val="24"/>
          <w:szCs w:val="24"/>
        </w:rPr>
        <w:t xml:space="preserve">yang menyatakan bahwa </w:t>
      </w:r>
      <w:r w:rsidR="009F10A1" w:rsidRPr="005279AA">
        <w:rPr>
          <w:rFonts w:asciiTheme="majorBidi" w:eastAsiaTheme="minorEastAsia" w:hAnsiTheme="majorBidi" w:cstheme="majorBidi"/>
          <w:i/>
          <w:sz w:val="24"/>
          <w:szCs w:val="24"/>
        </w:rPr>
        <w:t>Good Corporate Governance</w:t>
      </w:r>
      <w:r w:rsidR="009F10A1" w:rsidRPr="005279AA">
        <w:rPr>
          <w:rFonts w:asciiTheme="majorBidi" w:hAnsiTheme="majorBidi" w:cstheme="majorBidi"/>
          <w:sz w:val="24"/>
          <w:szCs w:val="24"/>
        </w:rPr>
        <w:t xml:space="preserve"> (GCG) </w:t>
      </w:r>
      <w:r w:rsidR="00445651" w:rsidRPr="005279AA">
        <w:rPr>
          <w:rFonts w:asciiTheme="majorBidi" w:hAnsiTheme="majorBidi" w:cstheme="majorBidi"/>
          <w:sz w:val="24"/>
          <w:szCs w:val="24"/>
        </w:rPr>
        <w:t>tidak</w:t>
      </w:r>
      <w:r w:rsidRPr="005279AA">
        <w:rPr>
          <w:rFonts w:asciiTheme="majorBidi" w:hAnsiTheme="majorBidi" w:cstheme="majorBidi"/>
          <w:sz w:val="24"/>
          <w:szCs w:val="24"/>
        </w:rPr>
        <w:t xml:space="preserve"> dapat memoderasi pengaruh </w:t>
      </w:r>
      <w:r w:rsidRPr="005279AA">
        <w:rPr>
          <w:rFonts w:asciiTheme="majorBidi" w:hAnsiTheme="majorBidi" w:cstheme="majorBidi"/>
          <w:i/>
          <w:iCs/>
          <w:sz w:val="24"/>
          <w:szCs w:val="24"/>
        </w:rPr>
        <w:t>leverage</w:t>
      </w:r>
      <w:r w:rsidRPr="005279AA">
        <w:rPr>
          <w:rFonts w:asciiTheme="majorBidi" w:hAnsiTheme="majorBidi" w:cstheme="majorBidi"/>
          <w:sz w:val="24"/>
          <w:szCs w:val="24"/>
        </w:rPr>
        <w:t xml:space="preserve"> terhadap kebijakan dividen. Namun hasil tersebut bertolak belakang dengan penelitian </w:t>
      </w:r>
      <w:r w:rsidR="00445651" w:rsidRPr="005279AA">
        <w:rPr>
          <w:rFonts w:asciiTheme="majorBidi" w:hAnsiTheme="majorBidi" w:cstheme="majorBidi"/>
          <w:sz w:val="24"/>
          <w:szCs w:val="24"/>
        </w:rPr>
        <w:fldChar w:fldCharType="begin" w:fldLock="1"/>
      </w:r>
      <w:r w:rsidR="00DA5346" w:rsidRPr="005279AA">
        <w:rPr>
          <w:rFonts w:asciiTheme="majorBidi" w:hAnsiTheme="majorBidi" w:cstheme="majorBidi"/>
          <w:sz w:val="24"/>
          <w:szCs w:val="24"/>
        </w:rPr>
        <w:instrText>ADDIN CSL_CITATION {"citationItems":[{"id":"ITEM-1","itemData":{"DOI":"https://doi.org/10.57178/atestasi.v5i2.370","author":[{"dropping-particle":"","family":"Opu","given":"Nur Vita","non-dropping-particle":"","parse-names":false,"suffix":""},{"dropping-particle":"","family":"Indriakati","given":"Andi Jenni","non-dropping-particle":"","parse-names":false,"suffix":""}],"container-title":"ATESTASI: JURNAL ILMIAH AKUNTANSI","id":"ITEM-1","issue":"2","issued":{"date-parts":[["2022"]]},"page":"393-408","title":"Moderation of Good Corporate Governance : Agency Cost , Liquidity Ratio , and Leverage on Dividend Policy","type":"article-journal","volume":"5"},"uris":["http://www.mendeley.com/documents/?uuid=4f2966f2-55d2-4ad1-97e6-57086863c181"]}],"mendeley":{"formattedCitation":"(Opu &amp; Indriakati, 2022)","plainTextFormattedCitation":"(Opu &amp; Indriakati, 2022)","previouslyFormattedCitation":"(Opu &amp; Indriakati, 2022)"},"properties":{"noteIndex":0},"schema":"https://github.com/citation-style-language/schema/raw/master/csl-citation.json"}</w:instrText>
      </w:r>
      <w:r w:rsidR="00445651" w:rsidRPr="005279AA">
        <w:rPr>
          <w:rFonts w:asciiTheme="majorBidi" w:hAnsiTheme="majorBidi" w:cstheme="majorBidi"/>
          <w:sz w:val="24"/>
          <w:szCs w:val="24"/>
        </w:rPr>
        <w:fldChar w:fldCharType="separate"/>
      </w:r>
      <w:r w:rsidR="00954E7D" w:rsidRPr="00954E7D">
        <w:rPr>
          <w:rFonts w:asciiTheme="majorBidi" w:hAnsiTheme="majorBidi" w:cstheme="majorBidi"/>
          <w:noProof/>
          <w:sz w:val="24"/>
          <w:szCs w:val="24"/>
        </w:rPr>
        <w:t>(Opu &amp; Indriakati, 2022)</w:t>
      </w:r>
      <w:r w:rsidR="00445651" w:rsidRPr="005279AA">
        <w:rPr>
          <w:rFonts w:asciiTheme="majorBidi" w:hAnsiTheme="majorBidi" w:cstheme="majorBidi"/>
          <w:sz w:val="24"/>
          <w:szCs w:val="24"/>
        </w:rPr>
        <w:fldChar w:fldCharType="end"/>
      </w:r>
      <w:r w:rsidR="00445651" w:rsidRPr="005279AA">
        <w:rPr>
          <w:rFonts w:asciiTheme="majorBidi" w:hAnsiTheme="majorBidi" w:cstheme="majorBidi"/>
          <w:sz w:val="24"/>
          <w:szCs w:val="24"/>
        </w:rPr>
        <w:t xml:space="preserve"> yang menyatakan bahwa </w:t>
      </w:r>
      <w:r w:rsidR="009F10A1" w:rsidRPr="005279AA">
        <w:rPr>
          <w:rFonts w:asciiTheme="majorBidi" w:eastAsiaTheme="minorEastAsia" w:hAnsiTheme="majorBidi" w:cstheme="majorBidi"/>
          <w:i/>
          <w:sz w:val="24"/>
          <w:szCs w:val="24"/>
        </w:rPr>
        <w:t>Good Corporate Governance</w:t>
      </w:r>
      <w:r w:rsidR="009F10A1" w:rsidRPr="005279AA">
        <w:rPr>
          <w:rFonts w:asciiTheme="majorBidi" w:hAnsiTheme="majorBidi" w:cstheme="majorBidi"/>
          <w:sz w:val="24"/>
          <w:szCs w:val="24"/>
        </w:rPr>
        <w:t xml:space="preserve"> (GCG) </w:t>
      </w:r>
      <w:r w:rsidR="00445651" w:rsidRPr="005279AA">
        <w:rPr>
          <w:rFonts w:asciiTheme="majorBidi" w:hAnsiTheme="majorBidi" w:cstheme="majorBidi"/>
          <w:sz w:val="24"/>
          <w:szCs w:val="24"/>
        </w:rPr>
        <w:t xml:space="preserve">dapat memoderasi pengaruh </w:t>
      </w:r>
      <w:r w:rsidR="00445651" w:rsidRPr="005279AA">
        <w:rPr>
          <w:rFonts w:asciiTheme="majorBidi" w:hAnsiTheme="majorBidi" w:cstheme="majorBidi"/>
          <w:i/>
          <w:iCs/>
          <w:sz w:val="24"/>
          <w:szCs w:val="24"/>
        </w:rPr>
        <w:t>leverage</w:t>
      </w:r>
      <w:r w:rsidR="00445651" w:rsidRPr="005279AA">
        <w:rPr>
          <w:rFonts w:asciiTheme="majorBidi" w:hAnsiTheme="majorBidi" w:cstheme="majorBidi"/>
          <w:sz w:val="24"/>
          <w:szCs w:val="24"/>
        </w:rPr>
        <w:t xml:space="preserve"> terhadap kebijakan dividen</w:t>
      </w:r>
      <w:r w:rsidR="00DA5346" w:rsidRPr="005279AA">
        <w:rPr>
          <w:rFonts w:asciiTheme="majorBidi" w:hAnsiTheme="majorBidi" w:cstheme="majorBidi"/>
          <w:sz w:val="24"/>
          <w:szCs w:val="24"/>
        </w:rPr>
        <w:t>.</w:t>
      </w:r>
    </w:p>
    <w:p w14:paraId="62A0ABC0" w14:textId="6E6AFE69" w:rsidR="00156058" w:rsidRDefault="00645511" w:rsidP="00BF76D1">
      <w:pPr>
        <w:pStyle w:val="ListParagraph"/>
        <w:numPr>
          <w:ilvl w:val="0"/>
          <w:numId w:val="51"/>
        </w:numPr>
        <w:tabs>
          <w:tab w:val="left" w:pos="1701"/>
        </w:tabs>
        <w:spacing w:line="240" w:lineRule="auto"/>
        <w:jc w:val="both"/>
        <w:rPr>
          <w:rFonts w:asciiTheme="majorBidi" w:hAnsiTheme="majorBidi" w:cstheme="majorBidi"/>
          <w:b/>
          <w:bCs/>
          <w:sz w:val="24"/>
          <w:szCs w:val="24"/>
        </w:rPr>
      </w:pPr>
      <w:r w:rsidRPr="005279AA">
        <w:rPr>
          <w:rFonts w:asciiTheme="majorBidi" w:hAnsiTheme="majorBidi" w:cstheme="majorBidi"/>
          <w:b/>
          <w:bCs/>
          <w:sz w:val="24"/>
          <w:szCs w:val="24"/>
        </w:rPr>
        <w:t xml:space="preserve">Kepemilikan Institusional dapat memoderasi pengaruh </w:t>
      </w:r>
      <w:r w:rsidRPr="005279AA">
        <w:rPr>
          <w:rFonts w:asciiTheme="majorBidi" w:hAnsiTheme="majorBidi" w:cstheme="majorBidi"/>
          <w:b/>
          <w:bCs/>
          <w:sz w:val="24"/>
          <w:szCs w:val="24"/>
          <w:lang w:val="id-ID"/>
        </w:rPr>
        <w:t xml:space="preserve">Free Cash Flow </w:t>
      </w:r>
      <w:r w:rsidRPr="005279AA">
        <w:rPr>
          <w:rFonts w:asciiTheme="majorBidi" w:hAnsiTheme="majorBidi" w:cstheme="majorBidi"/>
          <w:b/>
          <w:bCs/>
          <w:sz w:val="24"/>
          <w:szCs w:val="24"/>
        </w:rPr>
        <w:t>Terhadap Kebijakan Divide</w:t>
      </w:r>
      <w:r w:rsidR="00156058" w:rsidRPr="005279AA">
        <w:rPr>
          <w:rFonts w:asciiTheme="majorBidi" w:hAnsiTheme="majorBidi" w:cstheme="majorBidi"/>
          <w:b/>
          <w:bCs/>
          <w:sz w:val="24"/>
          <w:szCs w:val="24"/>
        </w:rPr>
        <w:t>n</w:t>
      </w:r>
    </w:p>
    <w:p w14:paraId="19AEEFC4" w14:textId="77777777" w:rsidR="00584F2E" w:rsidRPr="005279AA" w:rsidRDefault="00584F2E" w:rsidP="00BF76D1">
      <w:pPr>
        <w:pStyle w:val="ListParagraph"/>
        <w:tabs>
          <w:tab w:val="left" w:pos="1701"/>
        </w:tabs>
        <w:spacing w:line="240" w:lineRule="auto"/>
        <w:jc w:val="both"/>
        <w:rPr>
          <w:rFonts w:asciiTheme="majorBidi" w:hAnsiTheme="majorBidi" w:cstheme="majorBidi"/>
          <w:b/>
          <w:bCs/>
          <w:sz w:val="24"/>
          <w:szCs w:val="24"/>
        </w:rPr>
      </w:pPr>
    </w:p>
    <w:p w14:paraId="4690FFB5" w14:textId="00B7E22B" w:rsidR="00B54430" w:rsidRPr="003C01A4" w:rsidRDefault="00156058"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 xml:space="preserve">Hasil penelitian menunjukkan bahwa </w:t>
      </w:r>
      <w:r w:rsidR="003B4E6F" w:rsidRPr="005279AA">
        <w:rPr>
          <w:rFonts w:asciiTheme="majorBidi" w:eastAsiaTheme="minorEastAsia" w:hAnsiTheme="majorBidi" w:cstheme="majorBidi"/>
          <w:i/>
          <w:sz w:val="24"/>
          <w:szCs w:val="24"/>
        </w:rPr>
        <w:t>Good Corporate Governance</w:t>
      </w:r>
      <w:r w:rsidR="003B4E6F" w:rsidRPr="005279AA">
        <w:rPr>
          <w:rFonts w:asciiTheme="majorBidi" w:eastAsiaTheme="minorEastAsia" w:hAnsiTheme="majorBidi" w:cstheme="majorBidi"/>
          <w:iCs/>
          <w:sz w:val="24"/>
          <w:szCs w:val="24"/>
        </w:rPr>
        <w:t xml:space="preserve"> (GCG) </w:t>
      </w:r>
      <w:r w:rsidR="003B4E6F">
        <w:rPr>
          <w:rFonts w:asciiTheme="majorBidi" w:eastAsiaTheme="minorEastAsia" w:hAnsiTheme="majorBidi" w:cstheme="majorBidi"/>
          <w:iCs/>
          <w:sz w:val="24"/>
          <w:szCs w:val="24"/>
        </w:rPr>
        <w:t xml:space="preserve">dapat </w:t>
      </w:r>
      <w:r w:rsidR="003B4E6F" w:rsidRPr="00B54430">
        <w:rPr>
          <w:rFonts w:asciiTheme="majorBidi" w:eastAsiaTheme="minorEastAsia" w:hAnsiTheme="majorBidi" w:cstheme="majorBidi"/>
          <w:iCs/>
          <w:sz w:val="24"/>
          <w:szCs w:val="24"/>
        </w:rPr>
        <w:t xml:space="preserve">memoderasi pengaruh </w:t>
      </w:r>
      <w:r w:rsidR="003B4E6F" w:rsidRPr="003B4E6F">
        <w:rPr>
          <w:rFonts w:asciiTheme="majorBidi" w:eastAsiaTheme="minorEastAsia" w:hAnsiTheme="majorBidi" w:cstheme="majorBidi"/>
          <w:i/>
          <w:sz w:val="24"/>
          <w:szCs w:val="24"/>
        </w:rPr>
        <w:t>free cash flow</w:t>
      </w:r>
      <w:r w:rsidR="003B4E6F">
        <w:rPr>
          <w:rFonts w:asciiTheme="majorBidi" w:eastAsiaTheme="minorEastAsia" w:hAnsiTheme="majorBidi" w:cstheme="majorBidi"/>
          <w:iCs/>
          <w:sz w:val="24"/>
          <w:szCs w:val="24"/>
        </w:rPr>
        <w:t xml:space="preserve"> </w:t>
      </w:r>
      <w:r w:rsidR="003B4E6F" w:rsidRPr="00B54430">
        <w:rPr>
          <w:rFonts w:asciiTheme="majorBidi" w:eastAsiaTheme="minorEastAsia" w:hAnsiTheme="majorBidi" w:cstheme="majorBidi"/>
          <w:iCs/>
          <w:sz w:val="24"/>
          <w:szCs w:val="24"/>
        </w:rPr>
        <w:t xml:space="preserve">terhadap kebijakan dividen pada perusahaan sektor </w:t>
      </w:r>
      <w:r w:rsidR="003B4E6F" w:rsidRPr="00B54430">
        <w:rPr>
          <w:rFonts w:asciiTheme="majorBidi" w:eastAsiaTheme="minorEastAsia" w:hAnsiTheme="majorBidi" w:cstheme="majorBidi"/>
          <w:i/>
          <w:sz w:val="24"/>
          <w:szCs w:val="24"/>
        </w:rPr>
        <w:t>consumer non cyclical</w:t>
      </w:r>
      <w:r w:rsidR="003B4E6F"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3B4E6F" w:rsidRPr="00B54430">
        <w:rPr>
          <w:rFonts w:asciiTheme="majorBidi" w:eastAsiaTheme="minorEastAsia" w:hAnsiTheme="majorBidi" w:cstheme="majorBidi"/>
          <w:iCs/>
          <w:sz w:val="24"/>
          <w:szCs w:val="24"/>
        </w:rPr>
        <w:t>ahun 2019-2023</w:t>
      </w:r>
      <w:r w:rsidRPr="005279AA">
        <w:rPr>
          <w:rFonts w:asciiTheme="majorBidi" w:eastAsiaTheme="minorEastAsia" w:hAnsiTheme="majorBidi" w:cstheme="majorBidi"/>
          <w:iCs/>
          <w:sz w:val="24"/>
          <w:szCs w:val="24"/>
        </w:rPr>
        <w:t xml:space="preserve">Hasil tersebut dibuktikan pada hasil pengujian </w:t>
      </w:r>
      <w:r w:rsidR="00FF2D31" w:rsidRPr="005279AA">
        <w:rPr>
          <w:rFonts w:asciiTheme="majorBidi" w:eastAsiaTheme="minorEastAsia" w:hAnsiTheme="majorBidi" w:cstheme="majorBidi"/>
          <w:i/>
          <w:sz w:val="24"/>
          <w:szCs w:val="24"/>
        </w:rPr>
        <w:t>Moderated Resgresion Analys</w:t>
      </w:r>
      <w:r w:rsidR="00FF2D31" w:rsidRPr="005279AA">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rPr>
        <w:t xml:space="preserve">(MRA) dimana </w:t>
      </w:r>
      <w:r w:rsidR="00B54430" w:rsidRPr="00B54430">
        <w:rPr>
          <w:rFonts w:asciiTheme="majorBidi" w:eastAsiaTheme="minorEastAsia" w:hAnsiTheme="majorBidi" w:cstheme="majorBidi"/>
          <w:iCs/>
          <w:sz w:val="24"/>
          <w:szCs w:val="24"/>
        </w:rPr>
        <w:t xml:space="preserve">diperoleh nilai sig 0,017. Dengan demikian nilai sig 0,017 &lt; 0,05, maka dapat diartikan bahwa </w:t>
      </w:r>
      <w:r w:rsidR="003C01A4" w:rsidRPr="005279AA">
        <w:rPr>
          <w:rFonts w:asciiTheme="majorBidi" w:eastAsiaTheme="minorEastAsia" w:hAnsiTheme="majorBidi" w:cstheme="majorBidi"/>
          <w:i/>
          <w:sz w:val="24"/>
          <w:szCs w:val="24"/>
        </w:rPr>
        <w:t>Good Corporate Governance</w:t>
      </w:r>
      <w:r w:rsidR="003C01A4" w:rsidRPr="005279AA">
        <w:rPr>
          <w:rFonts w:asciiTheme="majorBidi" w:eastAsiaTheme="minorEastAsia" w:hAnsiTheme="majorBidi" w:cstheme="majorBidi"/>
          <w:iCs/>
          <w:sz w:val="24"/>
          <w:szCs w:val="24"/>
        </w:rPr>
        <w:t xml:space="preserve"> (GCG) </w:t>
      </w:r>
      <w:r w:rsidR="00B37A18">
        <w:rPr>
          <w:rFonts w:asciiTheme="majorBidi" w:eastAsiaTheme="minorEastAsia" w:hAnsiTheme="majorBidi" w:cstheme="majorBidi"/>
          <w:iCs/>
          <w:sz w:val="24"/>
          <w:szCs w:val="24"/>
        </w:rPr>
        <w:t xml:space="preserve">dapat </w:t>
      </w:r>
      <w:r w:rsidR="00B54430" w:rsidRPr="00B54430">
        <w:rPr>
          <w:rFonts w:asciiTheme="majorBidi" w:eastAsiaTheme="minorEastAsia" w:hAnsiTheme="majorBidi" w:cstheme="majorBidi"/>
          <w:iCs/>
          <w:sz w:val="24"/>
          <w:szCs w:val="24"/>
        </w:rPr>
        <w:t xml:space="preserve">memoderasi pengaruh </w:t>
      </w:r>
      <w:r w:rsidR="00B54430" w:rsidRPr="00B54430">
        <w:rPr>
          <w:rFonts w:asciiTheme="majorBidi" w:eastAsiaTheme="minorEastAsia" w:hAnsiTheme="majorBidi" w:cstheme="majorBidi"/>
          <w:i/>
          <w:sz w:val="24"/>
          <w:szCs w:val="24"/>
        </w:rPr>
        <w:t>Free Cash Flow</w:t>
      </w:r>
      <w:r w:rsidR="00B54430" w:rsidRPr="00B54430">
        <w:rPr>
          <w:rFonts w:asciiTheme="majorBidi" w:eastAsiaTheme="minorEastAsia" w:hAnsiTheme="majorBidi" w:cstheme="majorBidi"/>
          <w:iCs/>
          <w:sz w:val="24"/>
          <w:szCs w:val="24"/>
        </w:rPr>
        <w:t xml:space="preserve"> (FCF) terhadap kebijakan dividen pada perusahaan sektor </w:t>
      </w:r>
      <w:r w:rsidR="00B54430" w:rsidRPr="00B54430">
        <w:rPr>
          <w:rFonts w:asciiTheme="majorBidi" w:eastAsiaTheme="minorEastAsia" w:hAnsiTheme="majorBidi" w:cstheme="majorBidi"/>
          <w:i/>
          <w:sz w:val="24"/>
          <w:szCs w:val="24"/>
        </w:rPr>
        <w:t>consumer non cyclical</w:t>
      </w:r>
      <w:r w:rsidR="00B54430" w:rsidRPr="00B54430">
        <w:rPr>
          <w:rFonts w:asciiTheme="majorBidi" w:eastAsiaTheme="minorEastAsia" w:hAnsiTheme="majorBidi" w:cstheme="majorBidi"/>
          <w:iCs/>
          <w:sz w:val="24"/>
          <w:szCs w:val="24"/>
        </w:rPr>
        <w:t xml:space="preserve"> </w:t>
      </w:r>
      <w:r w:rsidR="0004743D">
        <w:rPr>
          <w:rFonts w:asciiTheme="majorBidi" w:eastAsiaTheme="minorEastAsia" w:hAnsiTheme="majorBidi" w:cstheme="majorBidi"/>
          <w:iCs/>
          <w:sz w:val="24"/>
          <w:szCs w:val="24"/>
        </w:rPr>
        <w:t>t</w:t>
      </w:r>
      <w:r w:rsidR="00B54430" w:rsidRPr="00B54430">
        <w:rPr>
          <w:rFonts w:asciiTheme="majorBidi" w:eastAsiaTheme="minorEastAsia" w:hAnsiTheme="majorBidi" w:cstheme="majorBidi"/>
          <w:iCs/>
          <w:sz w:val="24"/>
          <w:szCs w:val="24"/>
        </w:rPr>
        <w:t>ahun 2019-2023.</w:t>
      </w:r>
    </w:p>
    <w:p w14:paraId="32ABD106" w14:textId="31665C79" w:rsidR="00C918B8" w:rsidRPr="00334A30" w:rsidRDefault="00395C5F" w:rsidP="00BF76D1">
      <w:pPr>
        <w:pStyle w:val="ListParagraph"/>
        <w:tabs>
          <w:tab w:val="left" w:pos="1701"/>
        </w:tabs>
        <w:spacing w:line="480" w:lineRule="auto"/>
        <w:ind w:firstLine="556"/>
        <w:jc w:val="both"/>
        <w:rPr>
          <w:rFonts w:asciiTheme="majorBidi" w:eastAsiaTheme="minorEastAsia" w:hAnsiTheme="majorBidi" w:cstheme="majorBidi"/>
          <w:iCs/>
          <w:sz w:val="24"/>
          <w:szCs w:val="24"/>
          <w:lang w:val="id-ID"/>
        </w:rPr>
      </w:pPr>
      <w:r w:rsidRPr="00B54430">
        <w:rPr>
          <w:rFonts w:asciiTheme="majorBidi" w:eastAsiaTheme="minorEastAsia" w:hAnsiTheme="majorBidi" w:cstheme="majorBidi"/>
          <w:iCs/>
          <w:sz w:val="24"/>
          <w:szCs w:val="24"/>
          <w:lang w:val="id-ID"/>
        </w:rPr>
        <w:t xml:space="preserve">Kuantitas arus kas bebas yang diserahkan kepada pemegang saham mengindikasikan bahwa </w:t>
      </w:r>
      <w:r w:rsidR="00906F1F">
        <w:rPr>
          <w:rFonts w:asciiTheme="majorBidi" w:eastAsiaTheme="minorEastAsia" w:hAnsiTheme="majorBidi" w:cstheme="majorBidi"/>
          <w:iCs/>
          <w:sz w:val="24"/>
          <w:szCs w:val="24"/>
        </w:rPr>
        <w:t>m</w:t>
      </w:r>
      <w:r w:rsidRPr="00B54430">
        <w:rPr>
          <w:rFonts w:asciiTheme="majorBidi" w:eastAsiaTheme="minorEastAsia" w:hAnsiTheme="majorBidi" w:cstheme="majorBidi"/>
          <w:iCs/>
          <w:sz w:val="24"/>
          <w:szCs w:val="24"/>
          <w:lang w:val="id-ID"/>
        </w:rPr>
        <w:t xml:space="preserve">anajemen perusahaan telah mengutamakan kepentingan pemegang saham </w:t>
      </w:r>
      <w:r w:rsidR="00E96154" w:rsidRPr="005279AA">
        <w:rPr>
          <w:rFonts w:asciiTheme="majorBidi" w:eastAsiaTheme="minorEastAsia" w:hAnsiTheme="majorBidi" w:cstheme="majorBidi"/>
          <w:iCs/>
          <w:sz w:val="24"/>
          <w:szCs w:val="24"/>
        </w:rPr>
        <w:fldChar w:fldCharType="begin" w:fldLock="1"/>
      </w:r>
      <w:r w:rsidR="00BF0247">
        <w:rPr>
          <w:rFonts w:asciiTheme="majorBidi" w:eastAsiaTheme="minorEastAsia" w:hAnsiTheme="majorBidi" w:cstheme="majorBidi"/>
          <w:iCs/>
          <w:sz w:val="24"/>
          <w:szCs w:val="24"/>
          <w:lang w:val="id-ID"/>
        </w:rPr>
        <w:instrText>ADDIN CSL_CITATION {"citationItems":[{"id":"ITEM-1","itemData":{"abstract":"Dividend is one determinant factor level of shareholder. In determining dividend policy, the average company uses the free cash flow. On the other hand, when a company does not distribute dividends in that year, it is likely that the company will choose the long-term investment option in the form of investment opportunity set. Agency conflicts that arise between shareholders and managers to determine dividend policy can be overcome by increasing the level of company ownership. One of them is to increase the level of institutional ownership. The purpose of this study is to determine the effect of free cash flow and investment opportunity set on dividend policy with institutional ownership as a moderating variable. This research uses descriptive quantitative method. The object of this research is manufacturing companies listed on the Indonesia Stock Exchange and which distributed dividends in a row from 2014 to 2018. The sampling method used in this study was the purposive sampling method and the resulting sample of this research were 24 companies. The data analysis of this research was processed using themethod Moderate Regression Analysis (MRA) with the help of SPSS software. The results showed that free cash flow had a significant positive effect on dividend policy. In addition, the investment opportunity set variable has a significant negative effect on dividend policy. While the level of corporate institutional ownership is not significant in moderating the relationship between the free cash flow variable and the investment opportunity set partially on dividend policy. Nevertheless, institutional ownership variables can have a strengthening effect in partially affecting the variable free cash flow and investment opportunity set on dividend policy.","author":[{"dropping-particle":"","family":"Fahmi","given":"Much. Maftuhul","non-dropping-particle":"","parse-names":false,"suffix":""},{"dropping-particle":"","family":"Sulhan","given":"Muhammad","non-dropping-particle":"","parse-names":false,"suffix":""}],"container-title":"JIMUPB Jurnal Ilmiah Manajemen","id":"ITEM-1","issue":"2","issued":{"date-parts":[["2020"]]},"title":"Pengaruh Free Cash Flow Dan Investment Opportunity Set Terhadap Kebijakan Dividen Dengan Kepemilikan Institusional Sebagai Variabel Pemoderasi","type":"article-journal","volume":"8"},"uris":["http://www.mendeley.com/documents/?uuid=4979e3c7-bf47-4be1-abe0-53c7b184ba88"]}],"mendeley":{"formattedCitation":"(Fahmi &amp; Sulhan, 2020)","manualFormatting":"(Fahmi &amp; Sulhan, 2020:47)","plainTextFormattedCitation":"(Fahmi &amp; Sulhan, 2020)","previouslyFormattedCitation":"(Fahmi &amp; Sulhan, 2020)"},"properties":{"noteIndex":0},"schema":"https://github.com/citation-style-language/schema/raw/master/csl-citation.json"}</w:instrText>
      </w:r>
      <w:r w:rsidR="00E96154" w:rsidRPr="005279AA">
        <w:rPr>
          <w:rFonts w:asciiTheme="majorBidi" w:eastAsiaTheme="minorEastAsia" w:hAnsiTheme="majorBidi" w:cstheme="majorBidi"/>
          <w:iCs/>
          <w:sz w:val="24"/>
          <w:szCs w:val="24"/>
        </w:rPr>
        <w:fldChar w:fldCharType="separate"/>
      </w:r>
      <w:r w:rsidR="00E96154" w:rsidRPr="00B54430">
        <w:rPr>
          <w:rFonts w:asciiTheme="majorBidi" w:eastAsiaTheme="minorEastAsia" w:hAnsiTheme="majorBidi" w:cstheme="majorBidi"/>
          <w:iCs/>
          <w:noProof/>
          <w:sz w:val="24"/>
          <w:szCs w:val="24"/>
          <w:lang w:val="id-ID"/>
        </w:rPr>
        <w:t>(Fahmi &amp; Sulhan, 2020:47)</w:t>
      </w:r>
      <w:r w:rsidR="00E96154" w:rsidRPr="005279AA">
        <w:rPr>
          <w:rFonts w:asciiTheme="majorBidi" w:eastAsiaTheme="minorEastAsia" w:hAnsiTheme="majorBidi" w:cstheme="majorBidi"/>
          <w:iCs/>
          <w:sz w:val="24"/>
          <w:szCs w:val="24"/>
        </w:rPr>
        <w:fldChar w:fldCharType="end"/>
      </w:r>
      <w:r w:rsidR="00FB06A2" w:rsidRPr="00B54430">
        <w:rPr>
          <w:rFonts w:asciiTheme="majorBidi" w:eastAsiaTheme="minorEastAsia" w:hAnsiTheme="majorBidi" w:cstheme="majorBidi"/>
          <w:iCs/>
          <w:sz w:val="24"/>
          <w:szCs w:val="24"/>
          <w:lang w:val="id-ID"/>
        </w:rPr>
        <w:t xml:space="preserve">. </w:t>
      </w:r>
      <w:r w:rsidR="00C918B8" w:rsidRPr="00334A30">
        <w:rPr>
          <w:rFonts w:asciiTheme="majorBidi" w:eastAsiaTheme="minorEastAsia" w:hAnsiTheme="majorBidi" w:cstheme="majorBidi"/>
          <w:iCs/>
          <w:sz w:val="24"/>
          <w:szCs w:val="24"/>
          <w:lang w:val="id-ID"/>
        </w:rPr>
        <w:t>Kepemilikan institusional didefinisikan sebagai kepemilikan saham yang dikuasai oleh</w:t>
      </w:r>
      <w:r w:rsidR="00906F1F" w:rsidRPr="00906F1F">
        <w:rPr>
          <w:rFonts w:asciiTheme="majorBidi" w:eastAsiaTheme="minorEastAsia" w:hAnsiTheme="majorBidi" w:cstheme="majorBidi"/>
          <w:iCs/>
          <w:sz w:val="24"/>
          <w:szCs w:val="24"/>
          <w:lang w:val="id-ID"/>
        </w:rPr>
        <w:t xml:space="preserve"> pihak</w:t>
      </w:r>
      <w:r w:rsidR="00C918B8" w:rsidRPr="00334A30">
        <w:rPr>
          <w:rFonts w:asciiTheme="majorBidi" w:eastAsiaTheme="minorEastAsia" w:hAnsiTheme="majorBidi" w:cstheme="majorBidi"/>
          <w:iCs/>
          <w:sz w:val="24"/>
          <w:szCs w:val="24"/>
          <w:lang w:val="id-ID"/>
        </w:rPr>
        <w:t xml:space="preserve"> institusi-institusi.</w:t>
      </w:r>
      <w:r w:rsidRPr="00334A30">
        <w:rPr>
          <w:rFonts w:asciiTheme="majorBidi" w:hAnsiTheme="majorBidi" w:cstheme="majorBidi"/>
          <w:lang w:val="id-ID"/>
        </w:rPr>
        <w:t xml:space="preserve"> </w:t>
      </w:r>
      <w:r w:rsidRPr="00334A30">
        <w:rPr>
          <w:rFonts w:asciiTheme="majorBidi" w:eastAsiaTheme="minorEastAsia" w:hAnsiTheme="majorBidi" w:cstheme="majorBidi"/>
          <w:iCs/>
          <w:sz w:val="24"/>
          <w:szCs w:val="24"/>
          <w:lang w:val="id-ID"/>
        </w:rPr>
        <w:t xml:space="preserve">lembaga-lembaga yang memiliki ikatan yang lebih erat dan memiliki lebih banyak sumber daya internal dibandingkan dengan </w:t>
      </w:r>
      <w:r w:rsidRPr="00334A30">
        <w:rPr>
          <w:rFonts w:asciiTheme="majorBidi" w:eastAsiaTheme="minorEastAsia" w:hAnsiTheme="majorBidi" w:cstheme="majorBidi"/>
          <w:iCs/>
          <w:sz w:val="24"/>
          <w:szCs w:val="24"/>
          <w:lang w:val="id-ID"/>
        </w:rPr>
        <w:lastRenderedPageBreak/>
        <w:t>kekayaan pemegang saham individu</w:t>
      </w:r>
      <w:r w:rsidR="00C918B8" w:rsidRPr="00334A30">
        <w:rPr>
          <w:rFonts w:asciiTheme="majorBidi" w:eastAsiaTheme="minorEastAsia" w:hAnsiTheme="majorBidi" w:cstheme="majorBidi"/>
          <w:iCs/>
          <w:sz w:val="24"/>
          <w:szCs w:val="24"/>
          <w:lang w:val="id-ID"/>
        </w:rPr>
        <w:t>.</w:t>
      </w:r>
      <w:r w:rsidR="00FB06A2" w:rsidRPr="00334A30">
        <w:rPr>
          <w:rFonts w:asciiTheme="majorBidi" w:eastAsiaTheme="minorEastAsia" w:hAnsiTheme="majorBidi" w:cstheme="majorBidi"/>
          <w:iCs/>
          <w:sz w:val="24"/>
          <w:szCs w:val="24"/>
          <w:lang w:val="id-ID"/>
        </w:rPr>
        <w:t xml:space="preserve"> </w:t>
      </w:r>
      <w:r w:rsidRPr="00334A30">
        <w:rPr>
          <w:rFonts w:asciiTheme="majorBidi" w:eastAsiaTheme="minorEastAsia" w:hAnsiTheme="majorBidi" w:cstheme="majorBidi"/>
          <w:iCs/>
          <w:sz w:val="24"/>
          <w:szCs w:val="24"/>
          <w:lang w:val="id-ID"/>
        </w:rPr>
        <w:t>Hal ini sesuai dengan teori keagenan yang menyatakan bahwa pihak institusional lebih mampu melakukan pengawasan dibandingkan pemegang saham, termasuk mengawasi dan mengelola bagaimana arus kas bebas perusahaan dialokasikan.</w:t>
      </w:r>
    </w:p>
    <w:p w14:paraId="1E88C713" w14:textId="48408F85" w:rsidR="002F5572" w:rsidRPr="005279AA" w:rsidRDefault="00DA5346" w:rsidP="00BF76D1">
      <w:pPr>
        <w:pStyle w:val="ListParagraph"/>
        <w:tabs>
          <w:tab w:val="left" w:pos="1701"/>
        </w:tabs>
        <w:spacing w:line="480" w:lineRule="auto"/>
        <w:ind w:firstLine="556"/>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rPr>
        <w:t>Hasil penelitian ini selaras dengan hasil penelitian yang dilakukan oleh</w:t>
      </w:r>
      <w:r w:rsidRPr="005279AA">
        <w:rPr>
          <w:rFonts w:asciiTheme="majorBidi" w:hAnsiTheme="majorBidi" w:cstheme="majorBidi"/>
          <w:b/>
          <w:bCs/>
          <w:sz w:val="24"/>
          <w:szCs w:val="24"/>
        </w:rPr>
        <w:t xml:space="preserve"> </w:t>
      </w:r>
      <w:r w:rsidRPr="005279AA">
        <w:rPr>
          <w:rFonts w:asciiTheme="majorBidi" w:hAnsiTheme="majorBidi" w:cstheme="majorBidi"/>
          <w:b/>
          <w:bCs/>
          <w:sz w:val="24"/>
          <w:szCs w:val="24"/>
        </w:rPr>
        <w:fldChar w:fldCharType="begin" w:fldLock="1"/>
      </w:r>
      <w:r w:rsidR="0067320D" w:rsidRPr="005279AA">
        <w:rPr>
          <w:rFonts w:asciiTheme="majorBidi" w:hAnsiTheme="majorBidi" w:cstheme="majorBidi"/>
          <w:b/>
          <w:bCs/>
          <w:sz w:val="24"/>
          <w:szCs w:val="24"/>
        </w:rPr>
        <w:instrText>ADDIN CSL_CITATION {"citationItems":[{"id":"ITEM-1","itemData":{"abstract":"Dividend is one determinant factor level of shareholder. In determining dividend policy, the average company uses the free cash flow. On the other hand, when a company does not distribute dividends in that year, it is likely that the company will choose the long-term investment option in the form of investment opportunity set. Agency conflicts that arise between shareholders and managers to determine dividend policy can be overcome by increasing the level of company ownership. One of them is to increase the level of institutional ownership. The purpose of this study is to determine the effect of free cash flow and investment opportunity set on dividend policy with institutional ownership as a moderating variable. This research uses descriptive quantitative method. The object of this research is manufacturing companies listed on the Indonesia Stock Exchange and which distributed dividends in a row from 2014 to 2018. The sampling method used in this study was the purposive sampling method and the resulting sample of this research were 24 companies. The data analysis of this research was processed using themethod Moderate Regression Analysis (MRA) with the help of SPSS software. The results showed that free cash flow had a significant positive effect on dividend policy. In addition, the investment opportunity set variable has a significant negative effect on dividend policy. While the level of corporate institutional ownership is not significant in moderating the relationship between the free cash flow variable and the investment opportunity set partially on dividend policy. Nevertheless, institutional ownership variables can have a strengthening effect in partially affecting the variable free cash flow and investment opportunity set on dividend policy.","author":[{"dropping-particle":"","family":"Fahmi","given":"Much. Maftuhul","non-dropping-particle":"","parse-names":false,"suffix":""},{"dropping-particle":"","family":"Sulhan","given":"Muhammad","non-dropping-particle":"","parse-names":false,"suffix":""}],"container-title":"JIMUPB Jurnal Ilmiah Manajemen","id":"ITEM-1","issue":"2","issued":{"date-parts":[["2020"]]},"title":"Pengaruh Free Cash Flow Dan Investment Opportunity Set Terhadap Kebijakan Dividen Dengan Kepemilikan Institusional Sebagai Variabel Pemoderasi","type":"article-journal","volume":"8"},"uris":["http://www.mendeley.com/documents/?uuid=4979e3c7-bf47-4be1-abe0-53c7b184ba88"]}],"mendeley":{"formattedCitation":"(Fahmi &amp; Sulhan, 2020)","plainTextFormattedCitation":"(Fahmi &amp; Sulhan, 2020)","previouslyFormattedCitation":"(Fahmi &amp; Sulhan, 2020)"},"properties":{"noteIndex":0},"schema":"https://github.com/citation-style-language/schema/raw/master/csl-citation.json"}</w:instrText>
      </w:r>
      <w:r w:rsidRPr="005279AA">
        <w:rPr>
          <w:rFonts w:asciiTheme="majorBidi" w:hAnsiTheme="majorBidi" w:cstheme="majorBidi"/>
          <w:b/>
          <w:bCs/>
          <w:sz w:val="24"/>
          <w:szCs w:val="24"/>
        </w:rPr>
        <w:fldChar w:fldCharType="separate"/>
      </w:r>
      <w:r w:rsidRPr="005279AA">
        <w:rPr>
          <w:rFonts w:asciiTheme="majorBidi" w:hAnsiTheme="majorBidi" w:cstheme="majorBidi"/>
          <w:bCs/>
          <w:noProof/>
          <w:sz w:val="24"/>
          <w:szCs w:val="24"/>
        </w:rPr>
        <w:t>(Fahmi &amp; Sulhan, 2020)</w:t>
      </w:r>
      <w:r w:rsidRPr="005279AA">
        <w:rPr>
          <w:rFonts w:asciiTheme="majorBidi" w:hAnsiTheme="majorBidi" w:cstheme="majorBidi"/>
          <w:b/>
          <w:bCs/>
          <w:sz w:val="24"/>
          <w:szCs w:val="24"/>
        </w:rPr>
        <w:fldChar w:fldCharType="end"/>
      </w:r>
      <w:r w:rsidRPr="005279AA">
        <w:rPr>
          <w:rFonts w:asciiTheme="majorBidi" w:hAnsiTheme="majorBidi" w:cstheme="majorBidi"/>
          <w:b/>
          <w:bCs/>
          <w:sz w:val="24"/>
          <w:szCs w:val="24"/>
        </w:rPr>
        <w:t xml:space="preserve"> </w:t>
      </w:r>
      <w:r w:rsidRPr="005279AA">
        <w:rPr>
          <w:rFonts w:asciiTheme="majorBidi" w:hAnsiTheme="majorBidi" w:cstheme="majorBidi"/>
          <w:sz w:val="24"/>
          <w:szCs w:val="24"/>
        </w:rPr>
        <w:t xml:space="preserve">yang menyatakan bahwa </w:t>
      </w:r>
      <w:r w:rsidRPr="005279AA">
        <w:rPr>
          <w:rFonts w:asciiTheme="majorBidi" w:hAnsiTheme="majorBidi" w:cstheme="majorBidi"/>
          <w:i/>
          <w:iCs/>
          <w:sz w:val="24"/>
          <w:szCs w:val="24"/>
        </w:rPr>
        <w:t>good corporate governance</w:t>
      </w:r>
      <w:r w:rsidRPr="005279AA">
        <w:rPr>
          <w:rFonts w:asciiTheme="majorBidi" w:hAnsiTheme="majorBidi" w:cstheme="majorBidi"/>
          <w:sz w:val="24"/>
          <w:szCs w:val="24"/>
        </w:rPr>
        <w:t xml:space="preserve"> dapat memoderasi pengaruh free </w:t>
      </w:r>
      <w:r w:rsidRPr="005279AA">
        <w:rPr>
          <w:rFonts w:asciiTheme="majorBidi" w:hAnsiTheme="majorBidi" w:cstheme="majorBidi"/>
          <w:i/>
          <w:iCs/>
          <w:sz w:val="24"/>
          <w:szCs w:val="24"/>
        </w:rPr>
        <w:t>cash flow</w:t>
      </w:r>
      <w:r w:rsidRPr="005279AA">
        <w:rPr>
          <w:rFonts w:asciiTheme="majorBidi" w:hAnsiTheme="majorBidi" w:cstheme="majorBidi"/>
          <w:sz w:val="24"/>
          <w:szCs w:val="24"/>
        </w:rPr>
        <w:t xml:space="preserve"> terhadap kebijakan divi</w:t>
      </w:r>
      <w:r w:rsidR="00075A5E" w:rsidRPr="005279AA">
        <w:rPr>
          <w:rFonts w:asciiTheme="majorBidi" w:hAnsiTheme="majorBidi" w:cstheme="majorBidi"/>
          <w:sz w:val="24"/>
          <w:szCs w:val="24"/>
        </w:rPr>
        <w:t>den.</w:t>
      </w:r>
    </w:p>
    <w:p w14:paraId="67B650A8" w14:textId="77777777" w:rsidR="009348CA" w:rsidRPr="005279AA" w:rsidRDefault="009348CA" w:rsidP="00BF76D1">
      <w:pPr>
        <w:tabs>
          <w:tab w:val="left" w:pos="1701"/>
        </w:tabs>
        <w:spacing w:line="360" w:lineRule="auto"/>
        <w:rPr>
          <w:rFonts w:asciiTheme="majorBidi" w:eastAsiaTheme="minorEastAsia" w:hAnsiTheme="majorBidi" w:cstheme="majorBidi"/>
          <w:b/>
          <w:bCs/>
          <w:iCs/>
          <w:sz w:val="24"/>
          <w:szCs w:val="24"/>
          <w:highlight w:val="yellow"/>
        </w:rPr>
        <w:sectPr w:rsidR="009348CA" w:rsidRPr="005279AA" w:rsidSect="00245CDC">
          <w:headerReference w:type="default" r:id="rId17"/>
          <w:footerReference w:type="first" r:id="rId18"/>
          <w:pgSz w:w="11910" w:h="16840" w:code="9"/>
          <w:pgMar w:top="2268" w:right="1701" w:bottom="1701" w:left="2268" w:header="720" w:footer="720" w:gutter="0"/>
          <w:pgNumType w:start="90"/>
          <w:cols w:space="708"/>
          <w:titlePg/>
          <w:docGrid w:linePitch="299"/>
        </w:sectPr>
      </w:pPr>
    </w:p>
    <w:p w14:paraId="4FC25D4D" w14:textId="0CE27BDC" w:rsidR="001C66FF" w:rsidRPr="00C70906" w:rsidRDefault="001C66FF" w:rsidP="00BF76D1">
      <w:pPr>
        <w:tabs>
          <w:tab w:val="left" w:pos="1701"/>
        </w:tabs>
        <w:spacing w:line="360" w:lineRule="auto"/>
        <w:jc w:val="center"/>
        <w:rPr>
          <w:rFonts w:asciiTheme="majorBidi" w:eastAsiaTheme="minorEastAsia" w:hAnsiTheme="majorBidi" w:cstheme="majorBidi"/>
          <w:b/>
          <w:bCs/>
          <w:iCs/>
          <w:sz w:val="24"/>
          <w:szCs w:val="24"/>
        </w:rPr>
      </w:pPr>
      <w:r w:rsidRPr="00C70906">
        <w:rPr>
          <w:rFonts w:asciiTheme="majorBidi" w:eastAsiaTheme="minorEastAsia" w:hAnsiTheme="majorBidi" w:cstheme="majorBidi"/>
          <w:b/>
          <w:bCs/>
          <w:iCs/>
          <w:sz w:val="24"/>
          <w:szCs w:val="24"/>
        </w:rPr>
        <w:lastRenderedPageBreak/>
        <w:t>BAB V</w:t>
      </w:r>
    </w:p>
    <w:p w14:paraId="45B1D8EA" w14:textId="65DE09F9" w:rsidR="001C66FF" w:rsidRPr="005279AA" w:rsidRDefault="001C66FF" w:rsidP="00BF76D1">
      <w:pPr>
        <w:tabs>
          <w:tab w:val="left" w:pos="1701"/>
        </w:tabs>
        <w:spacing w:line="360" w:lineRule="auto"/>
        <w:jc w:val="center"/>
        <w:rPr>
          <w:rFonts w:asciiTheme="majorBidi" w:eastAsiaTheme="minorEastAsia" w:hAnsiTheme="majorBidi" w:cstheme="majorBidi"/>
          <w:b/>
          <w:bCs/>
          <w:iCs/>
          <w:sz w:val="24"/>
          <w:szCs w:val="24"/>
        </w:rPr>
      </w:pPr>
      <w:r w:rsidRPr="00C70906">
        <w:rPr>
          <w:rFonts w:asciiTheme="majorBidi" w:eastAsiaTheme="minorEastAsia" w:hAnsiTheme="majorBidi" w:cstheme="majorBidi"/>
          <w:b/>
          <w:bCs/>
          <w:iCs/>
          <w:sz w:val="24"/>
          <w:szCs w:val="24"/>
        </w:rPr>
        <w:t>KESIMPULAN DAN SARAN</w:t>
      </w:r>
    </w:p>
    <w:p w14:paraId="12318C12" w14:textId="77777777" w:rsidR="001C66FF" w:rsidRPr="005279AA" w:rsidRDefault="001C66FF" w:rsidP="00BF76D1">
      <w:pPr>
        <w:tabs>
          <w:tab w:val="left" w:pos="1701"/>
        </w:tabs>
        <w:spacing w:line="480" w:lineRule="auto"/>
        <w:jc w:val="center"/>
        <w:rPr>
          <w:rFonts w:asciiTheme="majorBidi" w:eastAsiaTheme="minorEastAsia" w:hAnsiTheme="majorBidi" w:cstheme="majorBidi"/>
          <w:b/>
          <w:bCs/>
          <w:iCs/>
          <w:sz w:val="24"/>
          <w:szCs w:val="24"/>
        </w:rPr>
      </w:pPr>
    </w:p>
    <w:p w14:paraId="09D0E5EB" w14:textId="2651A979" w:rsidR="001C66FF" w:rsidRPr="005279AA" w:rsidRDefault="001C66FF" w:rsidP="00BF76D1">
      <w:pPr>
        <w:pStyle w:val="ListParagraph"/>
        <w:numPr>
          <w:ilvl w:val="0"/>
          <w:numId w:val="42"/>
        </w:numPr>
        <w:tabs>
          <w:tab w:val="left" w:pos="1701"/>
        </w:tabs>
        <w:spacing w:line="480" w:lineRule="auto"/>
        <w:jc w:val="both"/>
        <w:rPr>
          <w:rFonts w:asciiTheme="majorBidi" w:eastAsiaTheme="minorEastAsia" w:hAnsiTheme="majorBidi" w:cstheme="majorBidi"/>
          <w:b/>
          <w:bCs/>
          <w:iCs/>
          <w:sz w:val="24"/>
          <w:szCs w:val="24"/>
        </w:rPr>
      </w:pPr>
      <w:r w:rsidRPr="005279AA">
        <w:rPr>
          <w:rFonts w:asciiTheme="majorBidi" w:eastAsiaTheme="minorEastAsia" w:hAnsiTheme="majorBidi" w:cstheme="majorBidi"/>
          <w:b/>
          <w:bCs/>
          <w:iCs/>
          <w:sz w:val="24"/>
          <w:szCs w:val="24"/>
        </w:rPr>
        <w:t>Kesimpulan</w:t>
      </w:r>
    </w:p>
    <w:p w14:paraId="25DF52DC" w14:textId="3A6120E0" w:rsidR="00FA1FDD" w:rsidRPr="005279AA" w:rsidRDefault="00FA1FDD" w:rsidP="00BF76D1">
      <w:pPr>
        <w:pStyle w:val="ListParagraph"/>
        <w:tabs>
          <w:tab w:val="left" w:pos="1701"/>
        </w:tabs>
        <w:spacing w:line="480" w:lineRule="auto"/>
        <w:ind w:firstLine="556"/>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Berdasarkan hasil dari pengolahan data pengujian dan analisis data yang telah dilakukan</w:t>
      </w:r>
      <w:r w:rsidR="00654B9E">
        <w:rPr>
          <w:rFonts w:asciiTheme="majorBidi" w:eastAsiaTheme="minorEastAsia" w:hAnsiTheme="majorBidi" w:cstheme="majorBidi"/>
          <w:iCs/>
          <w:sz w:val="24"/>
          <w:szCs w:val="24"/>
        </w:rPr>
        <w:t xml:space="preserve"> </w:t>
      </w:r>
      <w:r w:rsidR="006373E9" w:rsidRPr="005279AA">
        <w:rPr>
          <w:rFonts w:asciiTheme="majorBidi" w:eastAsiaTheme="minorEastAsia" w:hAnsiTheme="majorBidi" w:cstheme="majorBidi"/>
          <w:iCs/>
          <w:sz w:val="24"/>
          <w:szCs w:val="24"/>
        </w:rPr>
        <w:t>meng</w:t>
      </w:r>
      <w:r w:rsidR="00654B9E">
        <w:rPr>
          <w:rFonts w:asciiTheme="majorBidi" w:eastAsiaTheme="minorEastAsia" w:hAnsiTheme="majorBidi" w:cstheme="majorBidi"/>
          <w:iCs/>
          <w:sz w:val="24"/>
          <w:szCs w:val="24"/>
        </w:rPr>
        <w:t>enai</w:t>
      </w:r>
      <w:r w:rsidR="006373E9" w:rsidRPr="005279AA">
        <w:rPr>
          <w:rFonts w:asciiTheme="majorBidi" w:eastAsiaTheme="minorEastAsia" w:hAnsiTheme="majorBidi" w:cstheme="majorBidi"/>
          <w:iCs/>
          <w:sz w:val="24"/>
          <w:szCs w:val="24"/>
        </w:rPr>
        <w:t xml:space="preserve"> pengaruh profitabilitas, likuiditas, </w:t>
      </w:r>
      <w:r w:rsidR="006373E9" w:rsidRPr="008718F9">
        <w:rPr>
          <w:rFonts w:asciiTheme="majorBidi" w:eastAsiaTheme="minorEastAsia" w:hAnsiTheme="majorBidi" w:cstheme="majorBidi"/>
          <w:i/>
          <w:sz w:val="24"/>
          <w:szCs w:val="24"/>
        </w:rPr>
        <w:t>leverage</w:t>
      </w:r>
      <w:r w:rsidR="006373E9" w:rsidRPr="005279AA">
        <w:rPr>
          <w:rFonts w:asciiTheme="majorBidi" w:eastAsiaTheme="minorEastAsia" w:hAnsiTheme="majorBidi" w:cstheme="majorBidi"/>
          <w:iCs/>
          <w:sz w:val="24"/>
          <w:szCs w:val="24"/>
        </w:rPr>
        <w:t xml:space="preserve">, dan </w:t>
      </w:r>
      <w:r w:rsidR="006373E9" w:rsidRPr="008718F9">
        <w:rPr>
          <w:rFonts w:asciiTheme="majorBidi" w:eastAsiaTheme="minorEastAsia" w:hAnsiTheme="majorBidi" w:cstheme="majorBidi"/>
          <w:i/>
          <w:sz w:val="24"/>
          <w:szCs w:val="24"/>
        </w:rPr>
        <w:t>free cash flow</w:t>
      </w:r>
      <w:r w:rsidR="006373E9" w:rsidRPr="005279AA">
        <w:rPr>
          <w:rFonts w:asciiTheme="majorBidi" w:eastAsiaTheme="minorEastAsia" w:hAnsiTheme="majorBidi" w:cstheme="majorBidi"/>
          <w:iCs/>
          <w:sz w:val="24"/>
          <w:szCs w:val="24"/>
        </w:rPr>
        <w:t xml:space="preserve"> terhadap kebijakan dividen </w:t>
      </w:r>
      <w:r w:rsidR="008718F9">
        <w:rPr>
          <w:rFonts w:asciiTheme="majorBidi" w:eastAsiaTheme="minorEastAsia" w:hAnsiTheme="majorBidi" w:cstheme="majorBidi"/>
          <w:iCs/>
          <w:sz w:val="24"/>
          <w:szCs w:val="24"/>
        </w:rPr>
        <w:t xml:space="preserve">dengan </w:t>
      </w:r>
      <w:r w:rsidR="008718F9" w:rsidRPr="008718F9">
        <w:rPr>
          <w:rFonts w:asciiTheme="majorBidi" w:eastAsiaTheme="minorEastAsia" w:hAnsiTheme="majorBidi" w:cstheme="majorBidi"/>
          <w:i/>
          <w:sz w:val="24"/>
          <w:szCs w:val="24"/>
        </w:rPr>
        <w:t>Good Corporate Governance</w:t>
      </w:r>
      <w:r w:rsidR="008718F9">
        <w:rPr>
          <w:rFonts w:asciiTheme="majorBidi" w:eastAsiaTheme="minorEastAsia" w:hAnsiTheme="majorBidi" w:cstheme="majorBidi"/>
          <w:i/>
          <w:sz w:val="24"/>
          <w:szCs w:val="24"/>
        </w:rPr>
        <w:t xml:space="preserve"> </w:t>
      </w:r>
      <w:r w:rsidR="008718F9">
        <w:rPr>
          <w:rFonts w:asciiTheme="majorBidi" w:eastAsiaTheme="minorEastAsia" w:hAnsiTheme="majorBidi" w:cstheme="majorBidi"/>
          <w:iCs/>
          <w:sz w:val="24"/>
          <w:szCs w:val="24"/>
        </w:rPr>
        <w:t>(GCG)</w:t>
      </w:r>
      <w:r w:rsidR="008718F9">
        <w:rPr>
          <w:rFonts w:asciiTheme="majorBidi" w:eastAsiaTheme="minorEastAsia" w:hAnsiTheme="majorBidi" w:cstheme="majorBidi"/>
          <w:i/>
          <w:sz w:val="24"/>
          <w:szCs w:val="24"/>
        </w:rPr>
        <w:t xml:space="preserve"> </w:t>
      </w:r>
      <w:r w:rsidR="008718F9">
        <w:rPr>
          <w:rFonts w:asciiTheme="majorBidi" w:eastAsiaTheme="minorEastAsia" w:hAnsiTheme="majorBidi" w:cstheme="majorBidi"/>
          <w:iCs/>
          <w:sz w:val="24"/>
          <w:szCs w:val="24"/>
        </w:rPr>
        <w:t xml:space="preserve">sebagai variabel moderasi </w:t>
      </w:r>
      <w:r w:rsidR="006373E9" w:rsidRPr="005279AA">
        <w:rPr>
          <w:rFonts w:asciiTheme="majorBidi" w:eastAsiaTheme="minorEastAsia" w:hAnsiTheme="majorBidi" w:cstheme="majorBidi"/>
          <w:iCs/>
          <w:sz w:val="24"/>
          <w:szCs w:val="24"/>
        </w:rPr>
        <w:t xml:space="preserve">pada sektor </w:t>
      </w:r>
      <w:r w:rsidR="006373E9" w:rsidRPr="008718F9">
        <w:rPr>
          <w:rFonts w:asciiTheme="majorBidi" w:eastAsiaTheme="minorEastAsia" w:hAnsiTheme="majorBidi" w:cstheme="majorBidi"/>
          <w:i/>
          <w:sz w:val="24"/>
          <w:szCs w:val="24"/>
        </w:rPr>
        <w:t>consumer non cyclical</w:t>
      </w:r>
      <w:r w:rsidR="006373E9" w:rsidRPr="005279AA">
        <w:rPr>
          <w:rFonts w:asciiTheme="majorBidi" w:eastAsiaTheme="minorEastAsia" w:hAnsiTheme="majorBidi" w:cstheme="majorBidi"/>
          <w:iCs/>
          <w:sz w:val="24"/>
          <w:szCs w:val="24"/>
        </w:rPr>
        <w:t xml:space="preserve"> yang terdaftar pada Bursa Efek Indonesia (BEI) pada </w:t>
      </w:r>
      <w:r w:rsidR="0004743D">
        <w:rPr>
          <w:rFonts w:asciiTheme="majorBidi" w:eastAsiaTheme="minorEastAsia" w:hAnsiTheme="majorBidi" w:cstheme="majorBidi"/>
          <w:iCs/>
          <w:sz w:val="24"/>
          <w:szCs w:val="24"/>
        </w:rPr>
        <w:t>t</w:t>
      </w:r>
      <w:r w:rsidR="006373E9" w:rsidRPr="005279AA">
        <w:rPr>
          <w:rFonts w:asciiTheme="majorBidi" w:eastAsiaTheme="minorEastAsia" w:hAnsiTheme="majorBidi" w:cstheme="majorBidi"/>
          <w:iCs/>
          <w:sz w:val="24"/>
          <w:szCs w:val="24"/>
        </w:rPr>
        <w:t xml:space="preserve">ahun 2019-2023, </w:t>
      </w:r>
      <w:r w:rsidRPr="005279AA">
        <w:rPr>
          <w:rFonts w:asciiTheme="majorBidi" w:eastAsiaTheme="minorEastAsia" w:hAnsiTheme="majorBidi" w:cstheme="majorBidi"/>
          <w:iCs/>
          <w:sz w:val="24"/>
          <w:szCs w:val="24"/>
          <w:lang w:val="id-ID"/>
        </w:rPr>
        <w:t xml:space="preserve">maka penulis dapat menyimpulkan sebagai berikut: </w:t>
      </w:r>
    </w:p>
    <w:p w14:paraId="17DB0D1C" w14:textId="01EAD15E"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Profitabilitas berpengaruh</w:t>
      </w:r>
      <w:r w:rsidR="005F5CA9">
        <w:rPr>
          <w:rFonts w:asciiTheme="majorBidi" w:eastAsiaTheme="minorEastAsia" w:hAnsiTheme="majorBidi" w:cstheme="majorBidi"/>
          <w:iCs/>
          <w:sz w:val="24"/>
          <w:szCs w:val="24"/>
        </w:rPr>
        <w:t xml:space="preserve"> positif</w:t>
      </w:r>
      <w:r w:rsidRPr="005279AA">
        <w:rPr>
          <w:rFonts w:asciiTheme="majorBidi" w:eastAsiaTheme="minorEastAsia" w:hAnsiTheme="majorBidi" w:cstheme="majorBidi"/>
          <w:iCs/>
          <w:sz w:val="24"/>
          <w:szCs w:val="24"/>
          <w:lang w:val="id-ID"/>
        </w:rPr>
        <w:t xml:space="preserve"> terhadap 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w:t>
      </w:r>
    </w:p>
    <w:p w14:paraId="4992A744" w14:textId="286EC383"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 xml:space="preserve">Likuiditas berpengaruh </w:t>
      </w:r>
      <w:r w:rsidR="005F5CA9">
        <w:rPr>
          <w:rFonts w:asciiTheme="majorBidi" w:eastAsiaTheme="minorEastAsia" w:hAnsiTheme="majorBidi" w:cstheme="majorBidi"/>
          <w:iCs/>
          <w:sz w:val="24"/>
          <w:szCs w:val="24"/>
        </w:rPr>
        <w:t xml:space="preserve">negatif </w:t>
      </w:r>
      <w:r w:rsidRPr="005279AA">
        <w:rPr>
          <w:rFonts w:asciiTheme="majorBidi" w:eastAsiaTheme="minorEastAsia" w:hAnsiTheme="majorBidi" w:cstheme="majorBidi"/>
          <w:iCs/>
          <w:sz w:val="24"/>
          <w:szCs w:val="24"/>
          <w:lang w:val="id-ID"/>
        </w:rPr>
        <w:t xml:space="preserve">terhadap 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w:t>
      </w:r>
    </w:p>
    <w:p w14:paraId="1A27A91B" w14:textId="3C4F538E"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 xml:space="preserve">Leverage berpengaruh </w:t>
      </w:r>
      <w:r w:rsidR="005F5CA9">
        <w:rPr>
          <w:rFonts w:asciiTheme="majorBidi" w:eastAsiaTheme="minorEastAsia" w:hAnsiTheme="majorBidi" w:cstheme="majorBidi"/>
          <w:iCs/>
          <w:sz w:val="24"/>
          <w:szCs w:val="24"/>
        </w:rPr>
        <w:t xml:space="preserve">negatif </w:t>
      </w:r>
      <w:r w:rsidRPr="005279AA">
        <w:rPr>
          <w:rFonts w:asciiTheme="majorBidi" w:eastAsiaTheme="minorEastAsia" w:hAnsiTheme="majorBidi" w:cstheme="majorBidi"/>
          <w:iCs/>
          <w:sz w:val="24"/>
          <w:szCs w:val="24"/>
          <w:lang w:val="id-ID"/>
        </w:rPr>
        <w:t xml:space="preserve">terhadap 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w:t>
      </w:r>
    </w:p>
    <w:p w14:paraId="7E8F3CA2" w14:textId="4A454CB2"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 xml:space="preserve">Free Cash Flow </w:t>
      </w:r>
      <w:r w:rsidRPr="005279AA">
        <w:rPr>
          <w:rFonts w:asciiTheme="majorBidi" w:eastAsiaTheme="minorEastAsia" w:hAnsiTheme="majorBidi" w:cstheme="majorBidi"/>
          <w:iCs/>
          <w:sz w:val="24"/>
          <w:szCs w:val="24"/>
        </w:rPr>
        <w:t xml:space="preserve">tidak </w:t>
      </w:r>
      <w:r w:rsidRPr="005279AA">
        <w:rPr>
          <w:rFonts w:asciiTheme="majorBidi" w:eastAsiaTheme="minorEastAsia" w:hAnsiTheme="majorBidi" w:cstheme="majorBidi"/>
          <w:iCs/>
          <w:sz w:val="24"/>
          <w:szCs w:val="24"/>
          <w:lang w:val="id-ID"/>
        </w:rPr>
        <w:t>berpengaruh</w:t>
      </w:r>
      <w:r w:rsidR="005F5CA9">
        <w:rPr>
          <w:rFonts w:asciiTheme="majorBidi" w:eastAsiaTheme="minorEastAsia" w:hAnsiTheme="majorBidi" w:cstheme="majorBidi"/>
          <w:iCs/>
          <w:sz w:val="24"/>
          <w:szCs w:val="24"/>
        </w:rPr>
        <w:t xml:space="preserve"> </w:t>
      </w:r>
      <w:r w:rsidRPr="005279AA">
        <w:rPr>
          <w:rFonts w:asciiTheme="majorBidi" w:eastAsiaTheme="minorEastAsia" w:hAnsiTheme="majorBidi" w:cstheme="majorBidi"/>
          <w:iCs/>
          <w:sz w:val="24"/>
          <w:szCs w:val="24"/>
          <w:lang w:val="id-ID"/>
        </w:rPr>
        <w:t xml:space="preserve">terhadap 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w:t>
      </w:r>
    </w:p>
    <w:p w14:paraId="58160C29" w14:textId="0068CFA5"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lastRenderedPageBreak/>
        <w:t xml:space="preserve">Kepemilikan Institusional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lang w:val="id-ID"/>
        </w:rPr>
        <w:t xml:space="preserve">memoderasi pengaruh antara profitabilitas </w:t>
      </w:r>
      <w:r w:rsidR="00B54430">
        <w:rPr>
          <w:rFonts w:asciiTheme="majorBidi" w:eastAsiaTheme="minorEastAsia" w:hAnsiTheme="majorBidi" w:cstheme="majorBidi"/>
          <w:iCs/>
          <w:sz w:val="24"/>
          <w:szCs w:val="24"/>
        </w:rPr>
        <w:t xml:space="preserve">terhadap </w:t>
      </w:r>
      <w:r w:rsidRPr="005279AA">
        <w:rPr>
          <w:rFonts w:asciiTheme="majorBidi" w:eastAsiaTheme="minorEastAsia" w:hAnsiTheme="majorBidi" w:cstheme="majorBidi"/>
          <w:iCs/>
          <w:sz w:val="24"/>
          <w:szCs w:val="24"/>
          <w:lang w:val="id-ID"/>
        </w:rPr>
        <w:t xml:space="preserve">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 </w:t>
      </w:r>
    </w:p>
    <w:p w14:paraId="60DD5DBB" w14:textId="6F415E1F"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 xml:space="preserve">Kepemilikan Institusional </w:t>
      </w:r>
      <w:r w:rsidRPr="005279AA">
        <w:rPr>
          <w:rFonts w:asciiTheme="majorBidi" w:eastAsiaTheme="minorEastAsia" w:hAnsiTheme="majorBidi" w:cstheme="majorBidi"/>
          <w:iCs/>
          <w:sz w:val="24"/>
          <w:szCs w:val="24"/>
        </w:rPr>
        <w:t xml:space="preserve">tidak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lang w:val="id-ID"/>
        </w:rPr>
        <w:t xml:space="preserve">memoderasi pengaruh antara likuiditas </w:t>
      </w:r>
      <w:r w:rsidR="00B54430">
        <w:rPr>
          <w:rFonts w:asciiTheme="majorBidi" w:eastAsiaTheme="minorEastAsia" w:hAnsiTheme="majorBidi" w:cstheme="majorBidi"/>
          <w:iCs/>
          <w:sz w:val="24"/>
          <w:szCs w:val="24"/>
        </w:rPr>
        <w:t xml:space="preserve">terhadap </w:t>
      </w:r>
      <w:r w:rsidRPr="005279AA">
        <w:rPr>
          <w:rFonts w:asciiTheme="majorBidi" w:eastAsiaTheme="minorEastAsia" w:hAnsiTheme="majorBidi" w:cstheme="majorBidi"/>
          <w:iCs/>
          <w:sz w:val="24"/>
          <w:szCs w:val="24"/>
          <w:lang w:val="id-ID"/>
        </w:rPr>
        <w:t xml:space="preserve">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 </w:t>
      </w:r>
    </w:p>
    <w:p w14:paraId="2761AACC" w14:textId="73372D02" w:rsidR="00526FE3"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Kepemilikan Institusional</w:t>
      </w:r>
      <w:r w:rsidRPr="005279AA">
        <w:rPr>
          <w:rFonts w:asciiTheme="majorBidi" w:eastAsiaTheme="minorEastAsia" w:hAnsiTheme="majorBidi" w:cstheme="majorBidi"/>
          <w:iCs/>
          <w:sz w:val="24"/>
          <w:szCs w:val="24"/>
        </w:rPr>
        <w:t xml:space="preserve"> tidak</w:t>
      </w:r>
      <w:r w:rsidRPr="005279AA">
        <w:rPr>
          <w:rFonts w:asciiTheme="majorBidi" w:eastAsiaTheme="minorEastAsia" w:hAnsiTheme="majorBidi" w:cstheme="majorBidi"/>
          <w:iCs/>
          <w:sz w:val="24"/>
          <w:szCs w:val="24"/>
          <w:lang w:val="id-ID"/>
        </w:rPr>
        <w:t xml:space="preserve">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lang w:val="id-ID"/>
        </w:rPr>
        <w:t xml:space="preserve">memoderasi pengaruh antara </w:t>
      </w:r>
      <w:r w:rsidRPr="005279AA">
        <w:rPr>
          <w:rFonts w:asciiTheme="majorBidi" w:eastAsiaTheme="minorEastAsia" w:hAnsiTheme="majorBidi" w:cstheme="majorBidi"/>
          <w:i/>
          <w:sz w:val="24"/>
          <w:szCs w:val="24"/>
          <w:lang w:val="id-ID"/>
        </w:rPr>
        <w:t>leverage</w:t>
      </w:r>
      <w:r w:rsidRPr="005279AA">
        <w:rPr>
          <w:rFonts w:asciiTheme="majorBidi" w:eastAsiaTheme="minorEastAsia" w:hAnsiTheme="majorBidi" w:cstheme="majorBidi"/>
          <w:iCs/>
          <w:sz w:val="24"/>
          <w:szCs w:val="24"/>
          <w:lang w:val="id-ID"/>
        </w:rPr>
        <w:t xml:space="preserve"> </w:t>
      </w:r>
      <w:r w:rsidR="00B54430">
        <w:rPr>
          <w:rFonts w:asciiTheme="majorBidi" w:eastAsiaTheme="minorEastAsia" w:hAnsiTheme="majorBidi" w:cstheme="majorBidi"/>
          <w:iCs/>
          <w:sz w:val="24"/>
          <w:szCs w:val="24"/>
        </w:rPr>
        <w:t xml:space="preserve">terhadap </w:t>
      </w:r>
      <w:r w:rsidRPr="005279AA">
        <w:rPr>
          <w:rFonts w:asciiTheme="majorBidi" w:eastAsiaTheme="minorEastAsia" w:hAnsiTheme="majorBidi" w:cstheme="majorBidi"/>
          <w:iCs/>
          <w:sz w:val="24"/>
          <w:szCs w:val="24"/>
          <w:lang w:val="id-ID"/>
        </w:rPr>
        <w:t xml:space="preserve">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 </w:t>
      </w:r>
    </w:p>
    <w:p w14:paraId="360DA550" w14:textId="6BCD23C5" w:rsidR="00A77249" w:rsidRPr="005279AA" w:rsidRDefault="00526FE3" w:rsidP="00BF76D1">
      <w:pPr>
        <w:pStyle w:val="ListParagraph"/>
        <w:numPr>
          <w:ilvl w:val="0"/>
          <w:numId w:val="63"/>
        </w:numPr>
        <w:tabs>
          <w:tab w:val="left" w:pos="1701"/>
        </w:tabs>
        <w:spacing w:line="480" w:lineRule="auto"/>
        <w:jc w:val="both"/>
        <w:rPr>
          <w:rFonts w:asciiTheme="majorBidi" w:eastAsiaTheme="minorEastAsia" w:hAnsiTheme="majorBidi" w:cstheme="majorBidi"/>
          <w:iCs/>
          <w:sz w:val="24"/>
          <w:szCs w:val="24"/>
          <w:lang w:val="id-ID"/>
        </w:rPr>
      </w:pPr>
      <w:r w:rsidRPr="005279AA">
        <w:rPr>
          <w:rFonts w:asciiTheme="majorBidi" w:eastAsiaTheme="minorEastAsia" w:hAnsiTheme="majorBidi" w:cstheme="majorBidi"/>
          <w:iCs/>
          <w:sz w:val="24"/>
          <w:szCs w:val="24"/>
          <w:lang w:val="id-ID"/>
        </w:rPr>
        <w:t xml:space="preserve">Kepemilikan Institusional </w:t>
      </w:r>
      <w:r w:rsidR="00B37A18">
        <w:rPr>
          <w:rFonts w:asciiTheme="majorBidi" w:eastAsiaTheme="minorEastAsia" w:hAnsiTheme="majorBidi" w:cstheme="majorBidi"/>
          <w:iCs/>
          <w:sz w:val="24"/>
          <w:szCs w:val="24"/>
        </w:rPr>
        <w:t xml:space="preserve">dapat </w:t>
      </w:r>
      <w:r w:rsidRPr="005279AA">
        <w:rPr>
          <w:rFonts w:asciiTheme="majorBidi" w:eastAsiaTheme="minorEastAsia" w:hAnsiTheme="majorBidi" w:cstheme="majorBidi"/>
          <w:iCs/>
          <w:sz w:val="24"/>
          <w:szCs w:val="24"/>
          <w:lang w:val="id-ID"/>
        </w:rPr>
        <w:t xml:space="preserve">memoderasi pengaruh antara </w:t>
      </w:r>
      <w:r w:rsidRPr="005279AA">
        <w:rPr>
          <w:rFonts w:asciiTheme="majorBidi" w:eastAsiaTheme="minorEastAsia" w:hAnsiTheme="majorBidi" w:cstheme="majorBidi"/>
          <w:i/>
          <w:sz w:val="24"/>
          <w:szCs w:val="24"/>
          <w:lang w:val="id-ID"/>
        </w:rPr>
        <w:t>free cash flow</w:t>
      </w:r>
      <w:r w:rsidRPr="005279AA">
        <w:rPr>
          <w:rFonts w:asciiTheme="majorBidi" w:eastAsiaTheme="minorEastAsia" w:hAnsiTheme="majorBidi" w:cstheme="majorBidi"/>
          <w:iCs/>
          <w:sz w:val="24"/>
          <w:szCs w:val="24"/>
          <w:lang w:val="id-ID"/>
        </w:rPr>
        <w:t xml:space="preserve"> </w:t>
      </w:r>
      <w:r w:rsidR="00B54430">
        <w:rPr>
          <w:rFonts w:asciiTheme="majorBidi" w:eastAsiaTheme="minorEastAsia" w:hAnsiTheme="majorBidi" w:cstheme="majorBidi"/>
          <w:iCs/>
          <w:sz w:val="24"/>
          <w:szCs w:val="24"/>
        </w:rPr>
        <w:t xml:space="preserve">terhadap </w:t>
      </w:r>
      <w:r w:rsidRPr="005279AA">
        <w:rPr>
          <w:rFonts w:asciiTheme="majorBidi" w:eastAsiaTheme="minorEastAsia" w:hAnsiTheme="majorBidi" w:cstheme="majorBidi"/>
          <w:iCs/>
          <w:sz w:val="24"/>
          <w:szCs w:val="24"/>
          <w:lang w:val="id-ID"/>
        </w:rPr>
        <w:t xml:space="preserve">kebijakan dividen pada sektor </w:t>
      </w:r>
      <w:r w:rsidRPr="005279AA">
        <w:rPr>
          <w:rFonts w:asciiTheme="majorBidi" w:eastAsiaTheme="minorEastAsia" w:hAnsiTheme="majorBidi" w:cstheme="majorBidi"/>
          <w:i/>
          <w:sz w:val="24"/>
          <w:szCs w:val="24"/>
          <w:lang w:val="id-ID"/>
        </w:rPr>
        <w:t>consumer non cyclical</w:t>
      </w:r>
      <w:r w:rsidRPr="005279AA">
        <w:rPr>
          <w:rFonts w:asciiTheme="majorBidi" w:eastAsiaTheme="minorEastAsia" w:hAnsiTheme="majorBidi" w:cstheme="majorBidi"/>
          <w:iCs/>
          <w:sz w:val="24"/>
          <w:szCs w:val="24"/>
          <w:lang w:val="id-ID"/>
        </w:rPr>
        <w:t xml:space="preserve"> yang terdaftar di Bursa Efek Indonesia tahun 2019-2023.</w:t>
      </w:r>
    </w:p>
    <w:p w14:paraId="408374CC" w14:textId="3ECC9070" w:rsidR="001C66FF" w:rsidRPr="00554942" w:rsidRDefault="001C66FF" w:rsidP="00BF76D1">
      <w:pPr>
        <w:pStyle w:val="ListParagraph"/>
        <w:numPr>
          <w:ilvl w:val="0"/>
          <w:numId w:val="42"/>
        </w:numPr>
        <w:tabs>
          <w:tab w:val="left" w:pos="1701"/>
        </w:tabs>
        <w:spacing w:line="480" w:lineRule="auto"/>
        <w:jc w:val="both"/>
        <w:rPr>
          <w:rFonts w:asciiTheme="majorBidi" w:eastAsiaTheme="minorEastAsia" w:hAnsiTheme="majorBidi" w:cstheme="majorBidi"/>
          <w:b/>
          <w:bCs/>
          <w:iCs/>
          <w:sz w:val="24"/>
          <w:szCs w:val="24"/>
        </w:rPr>
      </w:pPr>
      <w:r w:rsidRPr="00554942">
        <w:rPr>
          <w:rFonts w:asciiTheme="majorBidi" w:eastAsiaTheme="minorEastAsia" w:hAnsiTheme="majorBidi" w:cstheme="majorBidi"/>
          <w:b/>
          <w:bCs/>
          <w:iCs/>
          <w:sz w:val="24"/>
          <w:szCs w:val="24"/>
        </w:rPr>
        <w:t>Saran</w:t>
      </w:r>
    </w:p>
    <w:p w14:paraId="48CDEA36" w14:textId="4BC5532A" w:rsidR="00FA1FDD" w:rsidRPr="005279AA" w:rsidRDefault="00FA1FDD" w:rsidP="00BF76D1">
      <w:pPr>
        <w:pStyle w:val="ListParagraph"/>
        <w:numPr>
          <w:ilvl w:val="0"/>
          <w:numId w:val="53"/>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 xml:space="preserve">Bagi sektor </w:t>
      </w:r>
      <w:r w:rsidRPr="00B54430">
        <w:rPr>
          <w:rFonts w:asciiTheme="majorBidi" w:eastAsiaTheme="minorEastAsia" w:hAnsiTheme="majorBidi" w:cstheme="majorBidi"/>
          <w:i/>
          <w:sz w:val="24"/>
          <w:szCs w:val="24"/>
          <w:lang w:val="id-ID"/>
        </w:rPr>
        <w:t>consumer non cycl</w:t>
      </w:r>
      <w:r w:rsidR="00FF745C">
        <w:rPr>
          <w:rFonts w:asciiTheme="majorBidi" w:eastAsiaTheme="minorEastAsia" w:hAnsiTheme="majorBidi" w:cstheme="majorBidi"/>
          <w:i/>
          <w:sz w:val="24"/>
          <w:szCs w:val="24"/>
        </w:rPr>
        <w:t>i</w:t>
      </w:r>
      <w:r w:rsidRPr="00B54430">
        <w:rPr>
          <w:rFonts w:asciiTheme="majorBidi" w:eastAsiaTheme="minorEastAsia" w:hAnsiTheme="majorBidi" w:cstheme="majorBidi"/>
          <w:i/>
          <w:sz w:val="24"/>
          <w:szCs w:val="24"/>
          <w:lang w:val="id-ID"/>
        </w:rPr>
        <w:t>cal</w:t>
      </w:r>
      <w:r w:rsidRPr="005279AA">
        <w:rPr>
          <w:rFonts w:asciiTheme="majorBidi" w:eastAsiaTheme="minorEastAsia" w:hAnsiTheme="majorBidi" w:cstheme="majorBidi"/>
          <w:iCs/>
          <w:sz w:val="24"/>
          <w:szCs w:val="24"/>
          <w:lang w:val="id-ID"/>
        </w:rPr>
        <w:t xml:space="preserve"> diharapkan dapat </w:t>
      </w:r>
      <w:r w:rsidR="006334A0" w:rsidRPr="005279AA">
        <w:rPr>
          <w:rFonts w:asciiTheme="majorBidi" w:eastAsiaTheme="minorEastAsia" w:hAnsiTheme="majorBidi" w:cstheme="majorBidi"/>
          <w:iCs/>
          <w:sz w:val="24"/>
          <w:szCs w:val="24"/>
          <w:lang w:val="id-ID"/>
        </w:rPr>
        <w:t xml:space="preserve">menjaga serta </w:t>
      </w:r>
      <w:r w:rsidRPr="005279AA">
        <w:rPr>
          <w:rFonts w:asciiTheme="majorBidi" w:eastAsiaTheme="minorEastAsia" w:hAnsiTheme="majorBidi" w:cstheme="majorBidi"/>
          <w:iCs/>
          <w:sz w:val="24"/>
          <w:szCs w:val="24"/>
          <w:lang w:val="id-ID"/>
        </w:rPr>
        <w:t xml:space="preserve">meningkatkan stabilitas pendistribusian dividen kepada pemegang saham </w:t>
      </w:r>
      <w:r w:rsidR="006334A0" w:rsidRPr="005279AA">
        <w:rPr>
          <w:rFonts w:asciiTheme="majorBidi" w:eastAsiaTheme="minorEastAsia" w:hAnsiTheme="majorBidi" w:cstheme="majorBidi"/>
          <w:iCs/>
          <w:sz w:val="24"/>
          <w:szCs w:val="24"/>
          <w:lang w:val="id-ID"/>
        </w:rPr>
        <w:t xml:space="preserve">melalui kebijakan dividen dengan memperhatikan berbagai faktor yang dapat mempengaruhinya </w:t>
      </w:r>
      <w:r w:rsidR="00823D9D">
        <w:rPr>
          <w:rFonts w:asciiTheme="majorBidi" w:eastAsiaTheme="minorEastAsia" w:hAnsiTheme="majorBidi" w:cstheme="majorBidi"/>
          <w:iCs/>
          <w:sz w:val="24"/>
          <w:szCs w:val="24"/>
        </w:rPr>
        <w:t xml:space="preserve">seperti profitabillitas, likuiditas, </w:t>
      </w:r>
      <w:r w:rsidR="00823D9D" w:rsidRPr="00FF745C">
        <w:rPr>
          <w:rFonts w:asciiTheme="majorBidi" w:eastAsiaTheme="minorEastAsia" w:hAnsiTheme="majorBidi" w:cstheme="majorBidi"/>
          <w:i/>
          <w:sz w:val="24"/>
          <w:szCs w:val="24"/>
        </w:rPr>
        <w:t>leverage</w:t>
      </w:r>
      <w:r w:rsidR="00823D9D">
        <w:rPr>
          <w:rFonts w:asciiTheme="majorBidi" w:eastAsiaTheme="minorEastAsia" w:hAnsiTheme="majorBidi" w:cstheme="majorBidi"/>
          <w:iCs/>
          <w:sz w:val="24"/>
          <w:szCs w:val="24"/>
        </w:rPr>
        <w:t xml:space="preserve">, </w:t>
      </w:r>
      <w:r w:rsidR="00823D9D" w:rsidRPr="00FF745C">
        <w:rPr>
          <w:rFonts w:asciiTheme="majorBidi" w:eastAsiaTheme="minorEastAsia" w:hAnsiTheme="majorBidi" w:cstheme="majorBidi"/>
          <w:i/>
          <w:sz w:val="24"/>
          <w:szCs w:val="24"/>
        </w:rPr>
        <w:t xml:space="preserve">free cash flow </w:t>
      </w:r>
      <w:r w:rsidR="00823D9D">
        <w:rPr>
          <w:rFonts w:asciiTheme="majorBidi" w:eastAsiaTheme="minorEastAsia" w:hAnsiTheme="majorBidi" w:cstheme="majorBidi"/>
          <w:iCs/>
          <w:sz w:val="24"/>
          <w:szCs w:val="24"/>
        </w:rPr>
        <w:t xml:space="preserve">dan tingkat kepemilikan pihak institusional </w:t>
      </w:r>
      <w:r w:rsidR="006334A0" w:rsidRPr="005279AA">
        <w:rPr>
          <w:rFonts w:asciiTheme="majorBidi" w:eastAsiaTheme="minorEastAsia" w:hAnsiTheme="majorBidi" w:cstheme="majorBidi"/>
          <w:iCs/>
          <w:sz w:val="24"/>
          <w:szCs w:val="24"/>
          <w:lang w:val="id-ID"/>
        </w:rPr>
        <w:t>sehingga dapat menciptakan kemakmuran baik bagi perusahaan maupun bagi pemegang saham atau investor.</w:t>
      </w:r>
    </w:p>
    <w:p w14:paraId="13B92E35" w14:textId="11D21A10" w:rsidR="006334A0" w:rsidRPr="005279AA" w:rsidRDefault="006334A0" w:rsidP="00BF76D1">
      <w:pPr>
        <w:pStyle w:val="ListParagraph"/>
        <w:numPr>
          <w:ilvl w:val="0"/>
          <w:numId w:val="53"/>
        </w:numPr>
        <w:tabs>
          <w:tab w:val="left" w:pos="1701"/>
        </w:tabs>
        <w:spacing w:line="480" w:lineRule="auto"/>
        <w:jc w:val="both"/>
        <w:rPr>
          <w:rFonts w:asciiTheme="majorBidi" w:eastAsiaTheme="minorEastAsia" w:hAnsiTheme="majorBidi" w:cstheme="majorBidi"/>
          <w:iCs/>
          <w:sz w:val="24"/>
          <w:szCs w:val="24"/>
        </w:rPr>
      </w:pPr>
      <w:r w:rsidRPr="005279AA">
        <w:rPr>
          <w:rFonts w:asciiTheme="majorBidi" w:eastAsiaTheme="minorEastAsia" w:hAnsiTheme="majorBidi" w:cstheme="majorBidi"/>
          <w:iCs/>
          <w:sz w:val="24"/>
          <w:szCs w:val="24"/>
          <w:lang w:val="id-ID"/>
        </w:rPr>
        <w:t xml:space="preserve">Bagi investor diharapkan dapat memperhatikan serta menganalisis melalui laporan keuangan ataupun informasi mengenai perusahaan apabila hendak melakukan penanaman modal dalam perusahaan, upaya </w:t>
      </w:r>
      <w:r w:rsidRPr="005279AA">
        <w:rPr>
          <w:rFonts w:asciiTheme="majorBidi" w:eastAsiaTheme="minorEastAsia" w:hAnsiTheme="majorBidi" w:cstheme="majorBidi"/>
          <w:iCs/>
          <w:sz w:val="24"/>
          <w:szCs w:val="24"/>
          <w:lang w:val="id-ID"/>
        </w:rPr>
        <w:lastRenderedPageBreak/>
        <w:t xml:space="preserve">ini bertujuan untuk meminimalisir </w:t>
      </w:r>
      <w:r w:rsidR="007C2648">
        <w:rPr>
          <w:rFonts w:asciiTheme="majorBidi" w:eastAsiaTheme="minorEastAsia" w:hAnsiTheme="majorBidi" w:cstheme="majorBidi"/>
          <w:iCs/>
          <w:sz w:val="24"/>
          <w:szCs w:val="24"/>
          <w:lang w:val="id-ID"/>
        </w:rPr>
        <w:t>risiko</w:t>
      </w:r>
      <w:r w:rsidRPr="005279AA">
        <w:rPr>
          <w:rFonts w:asciiTheme="majorBidi" w:eastAsiaTheme="minorEastAsia" w:hAnsiTheme="majorBidi" w:cstheme="majorBidi"/>
          <w:iCs/>
          <w:sz w:val="24"/>
          <w:szCs w:val="24"/>
          <w:lang w:val="id-ID"/>
        </w:rPr>
        <w:t xml:space="preserve"> investasi yang terjadi pada investor serta dapat menjadi tolak ukur mengenai tujuan atau ekspetasi yang diharapkan baik berupa </w:t>
      </w:r>
      <w:r w:rsidRPr="00B54430">
        <w:rPr>
          <w:rFonts w:asciiTheme="majorBidi" w:eastAsiaTheme="minorEastAsia" w:hAnsiTheme="majorBidi" w:cstheme="majorBidi"/>
          <w:i/>
          <w:sz w:val="24"/>
          <w:szCs w:val="24"/>
          <w:lang w:val="id-ID"/>
        </w:rPr>
        <w:t>capital gain</w:t>
      </w:r>
      <w:r w:rsidRPr="005279AA">
        <w:rPr>
          <w:rFonts w:asciiTheme="majorBidi" w:eastAsiaTheme="minorEastAsia" w:hAnsiTheme="majorBidi" w:cstheme="majorBidi"/>
          <w:iCs/>
          <w:sz w:val="24"/>
          <w:szCs w:val="24"/>
          <w:lang w:val="id-ID"/>
        </w:rPr>
        <w:t xml:space="preserve"> maupun dividen. </w:t>
      </w:r>
    </w:p>
    <w:p w14:paraId="68C67C8B" w14:textId="21A348CD" w:rsidR="00D373B7" w:rsidRPr="005279AA" w:rsidRDefault="006334A0" w:rsidP="00BF76D1">
      <w:pPr>
        <w:pStyle w:val="ListParagraph"/>
        <w:numPr>
          <w:ilvl w:val="0"/>
          <w:numId w:val="53"/>
        </w:numPr>
        <w:tabs>
          <w:tab w:val="left" w:pos="1701"/>
        </w:tabs>
        <w:spacing w:line="480" w:lineRule="auto"/>
        <w:jc w:val="both"/>
        <w:rPr>
          <w:rFonts w:asciiTheme="majorBidi" w:eastAsiaTheme="minorEastAsia" w:hAnsiTheme="majorBidi" w:cstheme="majorBidi"/>
          <w:b/>
          <w:bCs/>
          <w:iCs/>
          <w:sz w:val="24"/>
          <w:szCs w:val="24"/>
        </w:rPr>
      </w:pPr>
      <w:r w:rsidRPr="008F40B0">
        <w:rPr>
          <w:rFonts w:asciiTheme="majorBidi" w:eastAsiaTheme="minorEastAsia" w:hAnsiTheme="majorBidi" w:cstheme="majorBidi"/>
          <w:iCs/>
          <w:sz w:val="24"/>
          <w:szCs w:val="24"/>
          <w:lang w:val="id-ID"/>
        </w:rPr>
        <w:t>Bagi peneliti selanjutnya yang akan melakukan penelitian sejenis sebaiknya dapat mengembangkan penelitian ini dengan menambahkan variabel independen atau variabel bebas</w:t>
      </w:r>
      <w:r w:rsidR="00823D9D" w:rsidRPr="008F40B0">
        <w:rPr>
          <w:rFonts w:asciiTheme="majorBidi" w:eastAsiaTheme="minorEastAsia" w:hAnsiTheme="majorBidi" w:cstheme="majorBidi"/>
          <w:iCs/>
          <w:sz w:val="24"/>
          <w:szCs w:val="24"/>
        </w:rPr>
        <w:t xml:space="preserve"> sepert</w:t>
      </w:r>
      <w:r w:rsidR="007C11B3" w:rsidRPr="008F40B0">
        <w:rPr>
          <w:rFonts w:asciiTheme="majorBidi" w:eastAsiaTheme="minorEastAsia" w:hAnsiTheme="majorBidi" w:cstheme="majorBidi"/>
          <w:iCs/>
          <w:sz w:val="24"/>
          <w:szCs w:val="24"/>
        </w:rPr>
        <w:t xml:space="preserve">i </w:t>
      </w:r>
      <w:r w:rsidR="007C11B3" w:rsidRPr="008F40B0">
        <w:rPr>
          <w:rFonts w:asciiTheme="majorBidi" w:eastAsiaTheme="minorEastAsia" w:hAnsiTheme="majorBidi" w:cstheme="majorBidi"/>
          <w:i/>
          <w:sz w:val="24"/>
          <w:szCs w:val="24"/>
        </w:rPr>
        <w:t>quict ratio</w:t>
      </w:r>
      <w:r w:rsidR="007C11B3" w:rsidRPr="008F40B0">
        <w:rPr>
          <w:rFonts w:asciiTheme="majorBidi" w:eastAsiaTheme="minorEastAsia" w:hAnsiTheme="majorBidi" w:cstheme="majorBidi"/>
          <w:iCs/>
          <w:sz w:val="24"/>
          <w:szCs w:val="24"/>
        </w:rPr>
        <w:t xml:space="preserve"> (rasio cepat), </w:t>
      </w:r>
      <w:r w:rsidR="007C11B3" w:rsidRPr="008F40B0">
        <w:rPr>
          <w:rFonts w:asciiTheme="majorBidi" w:eastAsiaTheme="minorEastAsia" w:hAnsiTheme="majorBidi" w:cstheme="majorBidi"/>
          <w:i/>
          <w:sz w:val="24"/>
          <w:szCs w:val="24"/>
        </w:rPr>
        <w:t>investment opportunity set</w:t>
      </w:r>
      <w:r w:rsidR="007C11B3" w:rsidRPr="008F40B0">
        <w:rPr>
          <w:rFonts w:asciiTheme="majorBidi" w:eastAsiaTheme="minorEastAsia" w:hAnsiTheme="majorBidi" w:cstheme="majorBidi"/>
          <w:iCs/>
          <w:sz w:val="24"/>
          <w:szCs w:val="24"/>
        </w:rPr>
        <w:t xml:space="preserve">, </w:t>
      </w:r>
      <w:r w:rsidR="007C11B3" w:rsidRPr="008F40B0">
        <w:rPr>
          <w:rFonts w:asciiTheme="majorBidi" w:eastAsiaTheme="minorEastAsia" w:hAnsiTheme="majorBidi" w:cstheme="majorBidi"/>
          <w:i/>
          <w:sz w:val="24"/>
          <w:szCs w:val="24"/>
        </w:rPr>
        <w:t>collateralizable asset</w:t>
      </w:r>
      <w:r w:rsidR="007C11B3" w:rsidRPr="008F40B0">
        <w:rPr>
          <w:rFonts w:asciiTheme="majorBidi" w:eastAsiaTheme="minorEastAsia" w:hAnsiTheme="majorBidi" w:cstheme="majorBidi"/>
          <w:iCs/>
          <w:sz w:val="24"/>
          <w:szCs w:val="24"/>
        </w:rPr>
        <w:t xml:space="preserve">, </w:t>
      </w:r>
      <w:r w:rsidR="007C11B3" w:rsidRPr="008F40B0">
        <w:rPr>
          <w:rFonts w:asciiTheme="majorBidi" w:eastAsiaTheme="minorEastAsia" w:hAnsiTheme="majorBidi" w:cstheme="majorBidi"/>
          <w:i/>
          <w:sz w:val="24"/>
          <w:szCs w:val="24"/>
        </w:rPr>
        <w:t>growth in net asset</w:t>
      </w:r>
      <w:r w:rsidR="007C11B3" w:rsidRPr="008F40B0">
        <w:rPr>
          <w:rFonts w:asciiTheme="majorBidi" w:eastAsiaTheme="minorEastAsia" w:hAnsiTheme="majorBidi" w:cstheme="majorBidi"/>
          <w:iCs/>
          <w:sz w:val="24"/>
          <w:szCs w:val="24"/>
        </w:rPr>
        <w:t xml:space="preserve"> </w:t>
      </w:r>
      <w:r w:rsidRPr="008F40B0">
        <w:rPr>
          <w:rFonts w:asciiTheme="majorBidi" w:eastAsiaTheme="minorEastAsia" w:hAnsiTheme="majorBidi" w:cstheme="majorBidi"/>
          <w:iCs/>
          <w:sz w:val="24"/>
          <w:szCs w:val="24"/>
          <w:lang w:val="id-ID"/>
        </w:rPr>
        <w:t xml:space="preserve">dan juga dapat mengaplikasikan model penelitian ini pada obyek penelitian yang </w:t>
      </w:r>
      <w:r w:rsidR="008F40B0" w:rsidRPr="008F40B0">
        <w:rPr>
          <w:rFonts w:asciiTheme="majorBidi" w:eastAsiaTheme="minorEastAsia" w:hAnsiTheme="majorBidi" w:cstheme="majorBidi"/>
          <w:iCs/>
          <w:sz w:val="24"/>
          <w:szCs w:val="24"/>
        </w:rPr>
        <w:t xml:space="preserve">lebih luas meliputi seluruh perusahaan </w:t>
      </w:r>
      <w:r w:rsidR="008F40B0" w:rsidRPr="001770DD">
        <w:rPr>
          <w:rFonts w:asciiTheme="majorBidi" w:eastAsiaTheme="minorEastAsia" w:hAnsiTheme="majorBidi" w:cstheme="majorBidi"/>
          <w:i/>
          <w:sz w:val="24"/>
          <w:szCs w:val="24"/>
        </w:rPr>
        <w:t>go publi</w:t>
      </w:r>
      <w:r w:rsidR="001770DD" w:rsidRPr="001770DD">
        <w:rPr>
          <w:rFonts w:asciiTheme="majorBidi" w:eastAsiaTheme="minorEastAsia" w:hAnsiTheme="majorBidi" w:cstheme="majorBidi"/>
          <w:i/>
          <w:sz w:val="24"/>
          <w:szCs w:val="24"/>
        </w:rPr>
        <w:t>c</w:t>
      </w:r>
      <w:r w:rsidR="008F40B0" w:rsidRPr="008F40B0">
        <w:rPr>
          <w:rFonts w:asciiTheme="majorBidi" w:eastAsiaTheme="minorEastAsia" w:hAnsiTheme="majorBidi" w:cstheme="majorBidi"/>
          <w:iCs/>
          <w:sz w:val="24"/>
          <w:szCs w:val="24"/>
        </w:rPr>
        <w:t xml:space="preserve"> pada Burs Efek Indonesia (BEI) yang mendistribusikan dividennya kepada pemegang saham selama periode penelitian</w:t>
      </w:r>
      <w:r w:rsidR="008F40B0">
        <w:rPr>
          <w:rFonts w:asciiTheme="majorBidi" w:eastAsiaTheme="minorEastAsia" w:hAnsiTheme="majorBidi" w:cstheme="majorBidi"/>
          <w:iCs/>
          <w:sz w:val="24"/>
          <w:szCs w:val="24"/>
        </w:rPr>
        <w:t>, sehingga mendapatkan hasil yang penelitian yang maksimal.</w:t>
      </w:r>
    </w:p>
    <w:p w14:paraId="47FD61DF" w14:textId="5EA07A22" w:rsidR="00D373B7" w:rsidRPr="005279AA" w:rsidRDefault="00D373B7"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4D7A4730" w14:textId="6709D84C" w:rsidR="00D373B7" w:rsidRPr="005279AA" w:rsidRDefault="00D373B7"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7FBBCFF8" w14:textId="632660AA" w:rsidR="00D373B7" w:rsidRPr="005279AA" w:rsidRDefault="00D373B7"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52575876" w14:textId="7BE9869F" w:rsidR="00D373B7" w:rsidRPr="005279AA" w:rsidRDefault="00D373B7"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48DE8735" w14:textId="77777777" w:rsidR="00D373B7" w:rsidRPr="005279AA" w:rsidRDefault="00D373B7"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289D56A1" w14:textId="77777777" w:rsidR="001C66FF" w:rsidRPr="005279AA" w:rsidRDefault="001C66FF"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25C85872" w14:textId="77777777" w:rsidR="001C66FF" w:rsidRPr="005279AA" w:rsidRDefault="001C66FF" w:rsidP="00BF76D1">
      <w:pPr>
        <w:pStyle w:val="ListParagraph"/>
        <w:tabs>
          <w:tab w:val="left" w:pos="1701"/>
        </w:tabs>
        <w:spacing w:line="480" w:lineRule="auto"/>
        <w:ind w:left="0"/>
        <w:jc w:val="center"/>
        <w:rPr>
          <w:rFonts w:asciiTheme="majorBidi" w:eastAsiaTheme="minorEastAsia" w:hAnsiTheme="majorBidi" w:cstheme="majorBidi"/>
          <w:b/>
          <w:bCs/>
          <w:iCs/>
          <w:sz w:val="24"/>
          <w:szCs w:val="24"/>
        </w:rPr>
      </w:pPr>
    </w:p>
    <w:p w14:paraId="6D5FB986" w14:textId="77777777" w:rsidR="001C66FF" w:rsidRPr="005279AA" w:rsidRDefault="001C66FF" w:rsidP="00BF76D1">
      <w:pPr>
        <w:pStyle w:val="ListParagraph"/>
        <w:tabs>
          <w:tab w:val="left" w:pos="1701"/>
        </w:tabs>
        <w:spacing w:line="480" w:lineRule="auto"/>
        <w:ind w:left="0"/>
        <w:rPr>
          <w:rFonts w:asciiTheme="majorBidi" w:eastAsiaTheme="minorEastAsia" w:hAnsiTheme="majorBidi" w:cstheme="majorBidi"/>
          <w:b/>
          <w:bCs/>
          <w:iCs/>
          <w:sz w:val="24"/>
          <w:szCs w:val="24"/>
        </w:rPr>
      </w:pPr>
    </w:p>
    <w:p w14:paraId="5F183E43" w14:textId="77777777" w:rsidR="00D37034" w:rsidRPr="005279AA" w:rsidRDefault="00D37034" w:rsidP="009A6A82">
      <w:pPr>
        <w:pStyle w:val="ListParagraph"/>
        <w:tabs>
          <w:tab w:val="left" w:pos="1701"/>
        </w:tabs>
        <w:spacing w:line="480" w:lineRule="auto"/>
        <w:ind w:left="0"/>
        <w:jc w:val="center"/>
        <w:rPr>
          <w:rFonts w:asciiTheme="majorBidi" w:eastAsiaTheme="minorEastAsia" w:hAnsiTheme="majorBidi" w:cstheme="majorBidi"/>
          <w:b/>
          <w:bCs/>
          <w:iCs/>
          <w:sz w:val="24"/>
          <w:szCs w:val="24"/>
        </w:rPr>
      </w:pPr>
    </w:p>
    <w:sectPr w:rsidR="00D37034" w:rsidRPr="005279AA" w:rsidSect="009A6A82">
      <w:footerReference w:type="first" r:id="rId19"/>
      <w:pgSz w:w="11910" w:h="16840" w:code="9"/>
      <w:pgMar w:top="2268" w:right="1701" w:bottom="1701" w:left="226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9753" w14:textId="77777777" w:rsidR="00E270A7" w:rsidRDefault="00E270A7" w:rsidP="00861CF0">
      <w:pPr>
        <w:spacing w:after="0" w:line="240" w:lineRule="auto"/>
      </w:pPr>
      <w:r>
        <w:separator/>
      </w:r>
    </w:p>
  </w:endnote>
  <w:endnote w:type="continuationSeparator" w:id="0">
    <w:p w14:paraId="526941A4" w14:textId="77777777" w:rsidR="00E270A7" w:rsidRDefault="00E270A7" w:rsidP="0086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748889"/>
      <w:docPartObj>
        <w:docPartGallery w:val="Page Numbers (Bottom of Page)"/>
        <w:docPartUnique/>
      </w:docPartObj>
    </w:sdtPr>
    <w:sdtEndPr>
      <w:rPr>
        <w:noProof/>
      </w:rPr>
    </w:sdtEndPr>
    <w:sdtContent>
      <w:p w14:paraId="6709B95F" w14:textId="15C29DFB" w:rsidR="00A00AA4" w:rsidRDefault="00A00AA4">
        <w:pPr>
          <w:pStyle w:val="Footer"/>
          <w:jc w:val="center"/>
        </w:pPr>
        <w:r>
          <w:fldChar w:fldCharType="begin"/>
        </w:r>
        <w:r>
          <w:instrText xml:space="preserve"> PAGE   \* MERGEFORMAT </w:instrText>
        </w:r>
        <w:r>
          <w:fldChar w:fldCharType="separate"/>
        </w:r>
        <w:r w:rsidR="006503BE">
          <w:rPr>
            <w:noProof/>
          </w:rPr>
          <w:t>13</w:t>
        </w:r>
        <w:r>
          <w:rPr>
            <w:noProof/>
          </w:rPr>
          <w:fldChar w:fldCharType="end"/>
        </w:r>
      </w:p>
    </w:sdtContent>
  </w:sdt>
  <w:p w14:paraId="46D3D52C" w14:textId="0BF3A42D" w:rsidR="00E80573" w:rsidRDefault="00E80573" w:rsidP="00E80573">
    <w:pPr>
      <w:pStyle w:val="Footer"/>
      <w:tabs>
        <w:tab w:val="clear" w:pos="4513"/>
        <w:tab w:val="clear" w:pos="9026"/>
        <w:tab w:val="left" w:pos="1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630483"/>
      <w:docPartObj>
        <w:docPartGallery w:val="Page Numbers (Bottom of Page)"/>
        <w:docPartUnique/>
      </w:docPartObj>
    </w:sdtPr>
    <w:sdtEndPr>
      <w:rPr>
        <w:noProof/>
      </w:rPr>
    </w:sdtEndPr>
    <w:sdtContent>
      <w:p w14:paraId="04E8A912" w14:textId="77777777" w:rsidR="00334A30" w:rsidRDefault="00334A3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CAAD547" w14:textId="77777777" w:rsidR="00334A30" w:rsidRDefault="00334A30" w:rsidP="00E80573">
    <w:pPr>
      <w:pStyle w:val="Footer"/>
      <w:tabs>
        <w:tab w:val="clear" w:pos="4513"/>
        <w:tab w:val="clear" w:pos="9026"/>
        <w:tab w:val="left" w:pos="1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CCEC" w14:textId="77777777" w:rsidR="00E270A7" w:rsidRDefault="00E270A7" w:rsidP="00861CF0">
      <w:pPr>
        <w:spacing w:after="0" w:line="240" w:lineRule="auto"/>
      </w:pPr>
      <w:r>
        <w:separator/>
      </w:r>
    </w:p>
  </w:footnote>
  <w:footnote w:type="continuationSeparator" w:id="0">
    <w:p w14:paraId="1D315C75" w14:textId="77777777" w:rsidR="00E270A7" w:rsidRDefault="00E270A7" w:rsidP="0086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95616"/>
      <w:docPartObj>
        <w:docPartGallery w:val="Page Numbers (Top of Page)"/>
        <w:docPartUnique/>
      </w:docPartObj>
    </w:sdtPr>
    <w:sdtEndPr>
      <w:rPr>
        <w:noProof/>
      </w:rPr>
    </w:sdtEndPr>
    <w:sdtContent>
      <w:p w14:paraId="259E57D0" w14:textId="5612DE64" w:rsidR="00245CDC" w:rsidRDefault="00245C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C57E58" w14:textId="77777777" w:rsidR="009A6A82" w:rsidRDefault="009A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B2A"/>
    <w:multiLevelType w:val="hybridMultilevel"/>
    <w:tmpl w:val="AF8E8638"/>
    <w:lvl w:ilvl="0" w:tplc="9CB8C8D4">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363EAC"/>
    <w:multiLevelType w:val="hybridMultilevel"/>
    <w:tmpl w:val="6FD0DB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7F7E77"/>
    <w:multiLevelType w:val="hybridMultilevel"/>
    <w:tmpl w:val="72E68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B1460"/>
    <w:multiLevelType w:val="hybridMultilevel"/>
    <w:tmpl w:val="CDB4055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096EB3"/>
    <w:multiLevelType w:val="hybridMultilevel"/>
    <w:tmpl w:val="7184354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240400"/>
    <w:multiLevelType w:val="hybridMultilevel"/>
    <w:tmpl w:val="3B048808"/>
    <w:lvl w:ilvl="0" w:tplc="2DC2DE36">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A5665D"/>
    <w:multiLevelType w:val="hybridMultilevel"/>
    <w:tmpl w:val="61AEA498"/>
    <w:lvl w:ilvl="0" w:tplc="C3F8851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F5E9C"/>
    <w:multiLevelType w:val="hybridMultilevel"/>
    <w:tmpl w:val="85D6C8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F210D9"/>
    <w:multiLevelType w:val="hybridMultilevel"/>
    <w:tmpl w:val="FEBC00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F6265B"/>
    <w:multiLevelType w:val="hybridMultilevel"/>
    <w:tmpl w:val="6CB60A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746A1C"/>
    <w:multiLevelType w:val="hybridMultilevel"/>
    <w:tmpl w:val="80CC8B4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E7554"/>
    <w:multiLevelType w:val="hybridMultilevel"/>
    <w:tmpl w:val="BC802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46760"/>
    <w:multiLevelType w:val="hybridMultilevel"/>
    <w:tmpl w:val="1D9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40882"/>
    <w:multiLevelType w:val="hybridMultilevel"/>
    <w:tmpl w:val="4DF64890"/>
    <w:lvl w:ilvl="0" w:tplc="08090019">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AEB3632"/>
    <w:multiLevelType w:val="hybridMultilevel"/>
    <w:tmpl w:val="E3FA686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1911F0"/>
    <w:multiLevelType w:val="hybridMultilevel"/>
    <w:tmpl w:val="B2A0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35B20"/>
    <w:multiLevelType w:val="hybridMultilevel"/>
    <w:tmpl w:val="8FEE12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451F39"/>
    <w:multiLevelType w:val="hybridMultilevel"/>
    <w:tmpl w:val="F5A07B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C6C31"/>
    <w:multiLevelType w:val="hybridMultilevel"/>
    <w:tmpl w:val="80CC8B4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EE5321"/>
    <w:multiLevelType w:val="hybridMultilevel"/>
    <w:tmpl w:val="A554032E"/>
    <w:lvl w:ilvl="0" w:tplc="3C3635D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D7F3C"/>
    <w:multiLevelType w:val="hybridMultilevel"/>
    <w:tmpl w:val="080E8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84719B"/>
    <w:multiLevelType w:val="hybridMultilevel"/>
    <w:tmpl w:val="715EABA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7EF7CB7"/>
    <w:multiLevelType w:val="hybridMultilevel"/>
    <w:tmpl w:val="EB32748C"/>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C176CD"/>
    <w:multiLevelType w:val="hybridMultilevel"/>
    <w:tmpl w:val="0898283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83515C"/>
    <w:multiLevelType w:val="hybridMultilevel"/>
    <w:tmpl w:val="17C66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E0D26"/>
    <w:multiLevelType w:val="hybridMultilevel"/>
    <w:tmpl w:val="B0261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5130A6"/>
    <w:multiLevelType w:val="hybridMultilevel"/>
    <w:tmpl w:val="E36422CC"/>
    <w:lvl w:ilvl="0" w:tplc="4E44F76E">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C747F8B"/>
    <w:multiLevelType w:val="hybridMultilevel"/>
    <w:tmpl w:val="2460E9E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DB92E20"/>
    <w:multiLevelType w:val="hybridMultilevel"/>
    <w:tmpl w:val="4DF8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A34708"/>
    <w:multiLevelType w:val="hybridMultilevel"/>
    <w:tmpl w:val="8ECCB3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C17F75"/>
    <w:multiLevelType w:val="hybridMultilevel"/>
    <w:tmpl w:val="EADEDA06"/>
    <w:lvl w:ilvl="0" w:tplc="08090019">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42807DD"/>
    <w:multiLevelType w:val="hybridMultilevel"/>
    <w:tmpl w:val="CA661E3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4CA2C89"/>
    <w:multiLevelType w:val="hybridMultilevel"/>
    <w:tmpl w:val="931E594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FC7103"/>
    <w:multiLevelType w:val="hybridMultilevel"/>
    <w:tmpl w:val="A920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2A6F04"/>
    <w:multiLevelType w:val="hybridMultilevel"/>
    <w:tmpl w:val="7E1EA88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E7946FD"/>
    <w:multiLevelType w:val="hybridMultilevel"/>
    <w:tmpl w:val="CE3ED7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FFE7B84"/>
    <w:multiLevelType w:val="hybridMultilevel"/>
    <w:tmpl w:val="CF6CE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1113961"/>
    <w:multiLevelType w:val="hybridMultilevel"/>
    <w:tmpl w:val="CC043124"/>
    <w:lvl w:ilvl="0" w:tplc="A3268FC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45AD0"/>
    <w:multiLevelType w:val="hybridMultilevel"/>
    <w:tmpl w:val="00B69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5F4E06"/>
    <w:multiLevelType w:val="hybridMultilevel"/>
    <w:tmpl w:val="EC02A2D2"/>
    <w:lvl w:ilvl="0" w:tplc="A216C40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66C3835"/>
    <w:multiLevelType w:val="hybridMultilevel"/>
    <w:tmpl w:val="55A4D3FC"/>
    <w:lvl w:ilvl="0" w:tplc="25EA06F4">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7BE6502"/>
    <w:multiLevelType w:val="hybridMultilevel"/>
    <w:tmpl w:val="74CC4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84A53E2"/>
    <w:multiLevelType w:val="hybridMultilevel"/>
    <w:tmpl w:val="870C68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FF66A5"/>
    <w:multiLevelType w:val="hybridMultilevel"/>
    <w:tmpl w:val="67A83624"/>
    <w:lvl w:ilvl="0" w:tplc="82D0F452">
      <w:start w:val="1"/>
      <w:numFmt w:val="decimal"/>
      <w:lvlText w:val="%1)"/>
      <w:lvlJc w:val="left"/>
      <w:pPr>
        <w:ind w:left="1440" w:hanging="360"/>
      </w:pPr>
      <w:rPr>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AF82655"/>
    <w:multiLevelType w:val="hybridMultilevel"/>
    <w:tmpl w:val="4F9229A2"/>
    <w:lvl w:ilvl="0" w:tplc="08090011">
      <w:start w:val="1"/>
      <w:numFmt w:val="decimal"/>
      <w:lvlText w:val="%1)"/>
      <w:lvlJc w:val="left"/>
      <w:pPr>
        <w:ind w:left="1080" w:hanging="360"/>
      </w:pPr>
      <w:rPr>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BC01DBB"/>
    <w:multiLevelType w:val="hybridMultilevel"/>
    <w:tmpl w:val="FE78049C"/>
    <w:lvl w:ilvl="0" w:tplc="0809000F">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D9C7B0E"/>
    <w:multiLevelType w:val="hybridMultilevel"/>
    <w:tmpl w:val="D722CD96"/>
    <w:lvl w:ilvl="0" w:tplc="25D6E36A">
      <w:numFmt w:val="bullet"/>
      <w:lvlText w:val="-"/>
      <w:lvlJc w:val="left"/>
      <w:pPr>
        <w:ind w:left="388" w:hanging="360"/>
      </w:pPr>
      <w:rPr>
        <w:rFonts w:ascii="Times New Roman" w:eastAsiaTheme="minorHAnsi" w:hAnsi="Times New Roman" w:cs="Times New Roman"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47" w15:restartNumberingAfterBreak="0">
    <w:nsid w:val="621B7D3B"/>
    <w:multiLevelType w:val="hybridMultilevel"/>
    <w:tmpl w:val="13BEB4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907674"/>
    <w:multiLevelType w:val="hybridMultilevel"/>
    <w:tmpl w:val="B89E0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5D33BE"/>
    <w:multiLevelType w:val="hybridMultilevel"/>
    <w:tmpl w:val="61E03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76E400F"/>
    <w:multiLevelType w:val="hybridMultilevel"/>
    <w:tmpl w:val="6A8CF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96D49EC"/>
    <w:multiLevelType w:val="hybridMultilevel"/>
    <w:tmpl w:val="0F10571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9F05CA2"/>
    <w:multiLevelType w:val="hybridMultilevel"/>
    <w:tmpl w:val="F102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9F35C7F"/>
    <w:multiLevelType w:val="hybridMultilevel"/>
    <w:tmpl w:val="5EA0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B155D44"/>
    <w:multiLevelType w:val="hybridMultilevel"/>
    <w:tmpl w:val="9AAC50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E75228"/>
    <w:multiLevelType w:val="hybridMultilevel"/>
    <w:tmpl w:val="2DA6B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E742A4D"/>
    <w:multiLevelType w:val="hybridMultilevel"/>
    <w:tmpl w:val="2460E9E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EF166DE"/>
    <w:multiLevelType w:val="hybridMultilevel"/>
    <w:tmpl w:val="635E7934"/>
    <w:lvl w:ilvl="0" w:tplc="4BA2D5DA">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F8B6505"/>
    <w:multiLevelType w:val="hybridMultilevel"/>
    <w:tmpl w:val="94EA4C6A"/>
    <w:lvl w:ilvl="0" w:tplc="A216C40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F9D318A"/>
    <w:multiLevelType w:val="hybridMultilevel"/>
    <w:tmpl w:val="C47C517C"/>
    <w:lvl w:ilvl="0" w:tplc="92683A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441513"/>
    <w:multiLevelType w:val="hybridMultilevel"/>
    <w:tmpl w:val="5202A46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2405A2B"/>
    <w:multiLevelType w:val="hybridMultilevel"/>
    <w:tmpl w:val="74CC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0E3E50"/>
    <w:multiLevelType w:val="hybridMultilevel"/>
    <w:tmpl w:val="8C4A7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4E133E9"/>
    <w:multiLevelType w:val="hybridMultilevel"/>
    <w:tmpl w:val="A2448DC6"/>
    <w:lvl w:ilvl="0" w:tplc="08090011">
      <w:start w:val="1"/>
      <w:numFmt w:val="decimal"/>
      <w:lvlText w:val="%1)"/>
      <w:lvlJc w:val="left"/>
      <w:pPr>
        <w:ind w:left="1800" w:hanging="360"/>
      </w:pPr>
      <w:rPr>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15:restartNumberingAfterBreak="0">
    <w:nsid w:val="78C7491F"/>
    <w:multiLevelType w:val="hybridMultilevel"/>
    <w:tmpl w:val="A544BAE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790F744D"/>
    <w:multiLevelType w:val="hybridMultilevel"/>
    <w:tmpl w:val="05D04CD2"/>
    <w:lvl w:ilvl="0" w:tplc="8BC0B52A">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CF4EB7"/>
    <w:multiLevelType w:val="hybridMultilevel"/>
    <w:tmpl w:val="22B26FC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7" w15:restartNumberingAfterBreak="0">
    <w:nsid w:val="7AFA2533"/>
    <w:multiLevelType w:val="hybridMultilevel"/>
    <w:tmpl w:val="004826F0"/>
    <w:lvl w:ilvl="0" w:tplc="43E4142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1"/>
  </w:num>
  <w:num w:numId="3">
    <w:abstractNumId w:val="61"/>
  </w:num>
  <w:num w:numId="4">
    <w:abstractNumId w:val="67"/>
  </w:num>
  <w:num w:numId="5">
    <w:abstractNumId w:val="39"/>
  </w:num>
  <w:num w:numId="6">
    <w:abstractNumId w:val="57"/>
  </w:num>
  <w:num w:numId="7">
    <w:abstractNumId w:val="51"/>
  </w:num>
  <w:num w:numId="8">
    <w:abstractNumId w:val="6"/>
  </w:num>
  <w:num w:numId="9">
    <w:abstractNumId w:val="18"/>
  </w:num>
  <w:num w:numId="10">
    <w:abstractNumId w:val="58"/>
  </w:num>
  <w:num w:numId="11">
    <w:abstractNumId w:val="30"/>
  </w:num>
  <w:num w:numId="12">
    <w:abstractNumId w:val="16"/>
  </w:num>
  <w:num w:numId="13">
    <w:abstractNumId w:val="22"/>
  </w:num>
  <w:num w:numId="14">
    <w:abstractNumId w:val="37"/>
  </w:num>
  <w:num w:numId="15">
    <w:abstractNumId w:val="13"/>
  </w:num>
  <w:num w:numId="16">
    <w:abstractNumId w:val="44"/>
  </w:num>
  <w:num w:numId="17">
    <w:abstractNumId w:val="26"/>
  </w:num>
  <w:num w:numId="18">
    <w:abstractNumId w:val="35"/>
  </w:num>
  <w:num w:numId="19">
    <w:abstractNumId w:val="66"/>
  </w:num>
  <w:num w:numId="20">
    <w:abstractNumId w:val="21"/>
  </w:num>
  <w:num w:numId="21">
    <w:abstractNumId w:val="63"/>
  </w:num>
  <w:num w:numId="22">
    <w:abstractNumId w:val="64"/>
  </w:num>
  <w:num w:numId="23">
    <w:abstractNumId w:val="2"/>
  </w:num>
  <w:num w:numId="24">
    <w:abstractNumId w:val="48"/>
  </w:num>
  <w:num w:numId="25">
    <w:abstractNumId w:val="50"/>
  </w:num>
  <w:num w:numId="26">
    <w:abstractNumId w:val="49"/>
  </w:num>
  <w:num w:numId="27">
    <w:abstractNumId w:val="15"/>
  </w:num>
  <w:num w:numId="28">
    <w:abstractNumId w:val="36"/>
  </w:num>
  <w:num w:numId="29">
    <w:abstractNumId w:val="12"/>
  </w:num>
  <w:num w:numId="30">
    <w:abstractNumId w:val="53"/>
  </w:num>
  <w:num w:numId="31">
    <w:abstractNumId w:val="55"/>
  </w:num>
  <w:num w:numId="32">
    <w:abstractNumId w:val="33"/>
  </w:num>
  <w:num w:numId="33">
    <w:abstractNumId w:val="19"/>
  </w:num>
  <w:num w:numId="34">
    <w:abstractNumId w:val="20"/>
  </w:num>
  <w:num w:numId="35">
    <w:abstractNumId w:val="32"/>
  </w:num>
  <w:num w:numId="36">
    <w:abstractNumId w:val="17"/>
  </w:num>
  <w:num w:numId="37">
    <w:abstractNumId w:val="54"/>
  </w:num>
  <w:num w:numId="38">
    <w:abstractNumId w:val="9"/>
  </w:num>
  <w:num w:numId="39">
    <w:abstractNumId w:val="47"/>
  </w:num>
  <w:num w:numId="40">
    <w:abstractNumId w:val="42"/>
  </w:num>
  <w:num w:numId="41">
    <w:abstractNumId w:val="10"/>
  </w:num>
  <w:num w:numId="42">
    <w:abstractNumId w:val="29"/>
  </w:num>
  <w:num w:numId="43">
    <w:abstractNumId w:val="38"/>
  </w:num>
  <w:num w:numId="44">
    <w:abstractNumId w:val="28"/>
  </w:num>
  <w:num w:numId="45">
    <w:abstractNumId w:val="31"/>
  </w:num>
  <w:num w:numId="46">
    <w:abstractNumId w:val="43"/>
  </w:num>
  <w:num w:numId="47">
    <w:abstractNumId w:val="45"/>
  </w:num>
  <w:num w:numId="48">
    <w:abstractNumId w:val="0"/>
  </w:num>
  <w:num w:numId="49">
    <w:abstractNumId w:val="5"/>
  </w:num>
  <w:num w:numId="50">
    <w:abstractNumId w:val="1"/>
  </w:num>
  <w:num w:numId="51">
    <w:abstractNumId w:val="24"/>
  </w:num>
  <w:num w:numId="52">
    <w:abstractNumId w:val="8"/>
  </w:num>
  <w:num w:numId="53">
    <w:abstractNumId w:val="40"/>
  </w:num>
  <w:num w:numId="54">
    <w:abstractNumId w:val="34"/>
  </w:num>
  <w:num w:numId="55">
    <w:abstractNumId w:val="4"/>
  </w:num>
  <w:num w:numId="56">
    <w:abstractNumId w:val="3"/>
  </w:num>
  <w:num w:numId="57">
    <w:abstractNumId w:val="56"/>
  </w:num>
  <w:num w:numId="58">
    <w:abstractNumId w:val="27"/>
  </w:num>
  <w:num w:numId="59">
    <w:abstractNumId w:val="23"/>
  </w:num>
  <w:num w:numId="60">
    <w:abstractNumId w:val="60"/>
  </w:num>
  <w:num w:numId="61">
    <w:abstractNumId w:val="59"/>
  </w:num>
  <w:num w:numId="62">
    <w:abstractNumId w:val="25"/>
  </w:num>
  <w:num w:numId="63">
    <w:abstractNumId w:val="7"/>
  </w:num>
  <w:num w:numId="64">
    <w:abstractNumId w:val="46"/>
  </w:num>
  <w:num w:numId="65">
    <w:abstractNumId w:val="65"/>
  </w:num>
  <w:num w:numId="66">
    <w:abstractNumId w:val="52"/>
  </w:num>
  <w:num w:numId="67">
    <w:abstractNumId w:val="11"/>
  </w:num>
  <w:num w:numId="68">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rawingGridVerticalSpacing w:val="299"/>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CA"/>
    <w:rsid w:val="00000647"/>
    <w:rsid w:val="00001203"/>
    <w:rsid w:val="0000182C"/>
    <w:rsid w:val="000019B7"/>
    <w:rsid w:val="00002601"/>
    <w:rsid w:val="0000332C"/>
    <w:rsid w:val="00004443"/>
    <w:rsid w:val="0000558D"/>
    <w:rsid w:val="000071CC"/>
    <w:rsid w:val="00010E28"/>
    <w:rsid w:val="00010EFC"/>
    <w:rsid w:val="0001112C"/>
    <w:rsid w:val="0001391D"/>
    <w:rsid w:val="00013FCF"/>
    <w:rsid w:val="00014926"/>
    <w:rsid w:val="000155C9"/>
    <w:rsid w:val="00015B75"/>
    <w:rsid w:val="00016289"/>
    <w:rsid w:val="00016653"/>
    <w:rsid w:val="00022436"/>
    <w:rsid w:val="00022CD9"/>
    <w:rsid w:val="000235BB"/>
    <w:rsid w:val="000239AD"/>
    <w:rsid w:val="000265DC"/>
    <w:rsid w:val="00026746"/>
    <w:rsid w:val="000273F8"/>
    <w:rsid w:val="00030D6D"/>
    <w:rsid w:val="00033ABC"/>
    <w:rsid w:val="00034B6A"/>
    <w:rsid w:val="00035EFE"/>
    <w:rsid w:val="00037B40"/>
    <w:rsid w:val="00040B2A"/>
    <w:rsid w:val="000423AB"/>
    <w:rsid w:val="000424C5"/>
    <w:rsid w:val="000444F4"/>
    <w:rsid w:val="0004668A"/>
    <w:rsid w:val="00046E75"/>
    <w:rsid w:val="000470E4"/>
    <w:rsid w:val="0004743D"/>
    <w:rsid w:val="00047B03"/>
    <w:rsid w:val="00050AA8"/>
    <w:rsid w:val="00050F3A"/>
    <w:rsid w:val="000516EF"/>
    <w:rsid w:val="0005202C"/>
    <w:rsid w:val="000526A9"/>
    <w:rsid w:val="00053352"/>
    <w:rsid w:val="0005352A"/>
    <w:rsid w:val="000539A0"/>
    <w:rsid w:val="00053AF7"/>
    <w:rsid w:val="00054FBF"/>
    <w:rsid w:val="00056161"/>
    <w:rsid w:val="000606F1"/>
    <w:rsid w:val="00060ADC"/>
    <w:rsid w:val="00060F3C"/>
    <w:rsid w:val="000619E5"/>
    <w:rsid w:val="000619F3"/>
    <w:rsid w:val="0006227F"/>
    <w:rsid w:val="00062B84"/>
    <w:rsid w:val="00063118"/>
    <w:rsid w:val="00063754"/>
    <w:rsid w:val="00063CA1"/>
    <w:rsid w:val="00065B7C"/>
    <w:rsid w:val="0006731F"/>
    <w:rsid w:val="00067F8F"/>
    <w:rsid w:val="00067FBA"/>
    <w:rsid w:val="000707DC"/>
    <w:rsid w:val="00070D31"/>
    <w:rsid w:val="000737E3"/>
    <w:rsid w:val="00075102"/>
    <w:rsid w:val="00075A5E"/>
    <w:rsid w:val="0007704C"/>
    <w:rsid w:val="00077B32"/>
    <w:rsid w:val="000805B5"/>
    <w:rsid w:val="00085971"/>
    <w:rsid w:val="0008760A"/>
    <w:rsid w:val="00096003"/>
    <w:rsid w:val="0009631F"/>
    <w:rsid w:val="000964EE"/>
    <w:rsid w:val="000A047B"/>
    <w:rsid w:val="000A0C65"/>
    <w:rsid w:val="000A1EE3"/>
    <w:rsid w:val="000A1F63"/>
    <w:rsid w:val="000A220C"/>
    <w:rsid w:val="000A231A"/>
    <w:rsid w:val="000A320A"/>
    <w:rsid w:val="000A330A"/>
    <w:rsid w:val="000A4D35"/>
    <w:rsid w:val="000A4E15"/>
    <w:rsid w:val="000A5BE7"/>
    <w:rsid w:val="000A6AC3"/>
    <w:rsid w:val="000B0A95"/>
    <w:rsid w:val="000B0AFB"/>
    <w:rsid w:val="000B104C"/>
    <w:rsid w:val="000B119B"/>
    <w:rsid w:val="000B3061"/>
    <w:rsid w:val="000B330A"/>
    <w:rsid w:val="000B34B6"/>
    <w:rsid w:val="000B5E6C"/>
    <w:rsid w:val="000B78A5"/>
    <w:rsid w:val="000C04A5"/>
    <w:rsid w:val="000C6042"/>
    <w:rsid w:val="000C6403"/>
    <w:rsid w:val="000D07D0"/>
    <w:rsid w:val="000D2979"/>
    <w:rsid w:val="000D2CDB"/>
    <w:rsid w:val="000D58CD"/>
    <w:rsid w:val="000D5B0D"/>
    <w:rsid w:val="000D6998"/>
    <w:rsid w:val="000D6AB5"/>
    <w:rsid w:val="000D7B1E"/>
    <w:rsid w:val="000E06C5"/>
    <w:rsid w:val="000E174A"/>
    <w:rsid w:val="000E26B8"/>
    <w:rsid w:val="000E4C5E"/>
    <w:rsid w:val="000E4F79"/>
    <w:rsid w:val="000E61F8"/>
    <w:rsid w:val="000F03FC"/>
    <w:rsid w:val="000F17F4"/>
    <w:rsid w:val="000F3FA6"/>
    <w:rsid w:val="000F418D"/>
    <w:rsid w:val="000F43D9"/>
    <w:rsid w:val="000F4F12"/>
    <w:rsid w:val="000F5A62"/>
    <w:rsid w:val="000F6AE3"/>
    <w:rsid w:val="000F7819"/>
    <w:rsid w:val="001004B4"/>
    <w:rsid w:val="001004F8"/>
    <w:rsid w:val="00101758"/>
    <w:rsid w:val="00101C72"/>
    <w:rsid w:val="00101E34"/>
    <w:rsid w:val="00102455"/>
    <w:rsid w:val="001042D6"/>
    <w:rsid w:val="0010588E"/>
    <w:rsid w:val="0010633F"/>
    <w:rsid w:val="00107AC1"/>
    <w:rsid w:val="0011115E"/>
    <w:rsid w:val="001115A9"/>
    <w:rsid w:val="00111995"/>
    <w:rsid w:val="0011376B"/>
    <w:rsid w:val="00114224"/>
    <w:rsid w:val="00114E89"/>
    <w:rsid w:val="0011568A"/>
    <w:rsid w:val="00122773"/>
    <w:rsid w:val="00122A3E"/>
    <w:rsid w:val="00124A37"/>
    <w:rsid w:val="001250E5"/>
    <w:rsid w:val="00125BD2"/>
    <w:rsid w:val="00125E50"/>
    <w:rsid w:val="0012623A"/>
    <w:rsid w:val="001263F3"/>
    <w:rsid w:val="00127C16"/>
    <w:rsid w:val="00131383"/>
    <w:rsid w:val="00131690"/>
    <w:rsid w:val="00131A37"/>
    <w:rsid w:val="00131F09"/>
    <w:rsid w:val="0013210C"/>
    <w:rsid w:val="00132ADE"/>
    <w:rsid w:val="00134B22"/>
    <w:rsid w:val="00137804"/>
    <w:rsid w:val="001404A2"/>
    <w:rsid w:val="00140C89"/>
    <w:rsid w:val="00140E00"/>
    <w:rsid w:val="00141E6D"/>
    <w:rsid w:val="00142371"/>
    <w:rsid w:val="0014281C"/>
    <w:rsid w:val="00142CED"/>
    <w:rsid w:val="00144B80"/>
    <w:rsid w:val="00145291"/>
    <w:rsid w:val="001469BD"/>
    <w:rsid w:val="00147043"/>
    <w:rsid w:val="001472F0"/>
    <w:rsid w:val="001477DF"/>
    <w:rsid w:val="001479CC"/>
    <w:rsid w:val="00154316"/>
    <w:rsid w:val="00154D3F"/>
    <w:rsid w:val="00156058"/>
    <w:rsid w:val="0015699A"/>
    <w:rsid w:val="00156E88"/>
    <w:rsid w:val="00157AF7"/>
    <w:rsid w:val="00161D66"/>
    <w:rsid w:val="001634B9"/>
    <w:rsid w:val="0016426D"/>
    <w:rsid w:val="0016497F"/>
    <w:rsid w:val="00166112"/>
    <w:rsid w:val="0016628A"/>
    <w:rsid w:val="00166C29"/>
    <w:rsid w:val="00167586"/>
    <w:rsid w:val="001678C2"/>
    <w:rsid w:val="0017064C"/>
    <w:rsid w:val="001770DD"/>
    <w:rsid w:val="00177ACD"/>
    <w:rsid w:val="00177DF3"/>
    <w:rsid w:val="00183350"/>
    <w:rsid w:val="001851FA"/>
    <w:rsid w:val="0019121D"/>
    <w:rsid w:val="001925F7"/>
    <w:rsid w:val="001A079E"/>
    <w:rsid w:val="001A19C8"/>
    <w:rsid w:val="001A1A40"/>
    <w:rsid w:val="001A27A1"/>
    <w:rsid w:val="001A2D9E"/>
    <w:rsid w:val="001A4A59"/>
    <w:rsid w:val="001A4CB6"/>
    <w:rsid w:val="001A7324"/>
    <w:rsid w:val="001A7464"/>
    <w:rsid w:val="001A7D72"/>
    <w:rsid w:val="001B0541"/>
    <w:rsid w:val="001B07D3"/>
    <w:rsid w:val="001B0918"/>
    <w:rsid w:val="001B2B14"/>
    <w:rsid w:val="001B3044"/>
    <w:rsid w:val="001B3C08"/>
    <w:rsid w:val="001B548D"/>
    <w:rsid w:val="001B6EDF"/>
    <w:rsid w:val="001B7D03"/>
    <w:rsid w:val="001C05C3"/>
    <w:rsid w:val="001C15A5"/>
    <w:rsid w:val="001C171A"/>
    <w:rsid w:val="001C264E"/>
    <w:rsid w:val="001C4726"/>
    <w:rsid w:val="001C50F3"/>
    <w:rsid w:val="001C5BFE"/>
    <w:rsid w:val="001C66FF"/>
    <w:rsid w:val="001C743D"/>
    <w:rsid w:val="001C79CB"/>
    <w:rsid w:val="001D014E"/>
    <w:rsid w:val="001D1767"/>
    <w:rsid w:val="001D1CEC"/>
    <w:rsid w:val="001D25FB"/>
    <w:rsid w:val="001D5347"/>
    <w:rsid w:val="001D6EF7"/>
    <w:rsid w:val="001E19F0"/>
    <w:rsid w:val="001E2282"/>
    <w:rsid w:val="001F050B"/>
    <w:rsid w:val="001F1743"/>
    <w:rsid w:val="001F4326"/>
    <w:rsid w:val="001F50FE"/>
    <w:rsid w:val="001F6675"/>
    <w:rsid w:val="001F6685"/>
    <w:rsid w:val="00201B2E"/>
    <w:rsid w:val="00203391"/>
    <w:rsid w:val="002065AF"/>
    <w:rsid w:val="00210D1A"/>
    <w:rsid w:val="0021115C"/>
    <w:rsid w:val="00213061"/>
    <w:rsid w:val="00213366"/>
    <w:rsid w:val="00213607"/>
    <w:rsid w:val="002161D0"/>
    <w:rsid w:val="00216A23"/>
    <w:rsid w:val="002204D3"/>
    <w:rsid w:val="00223E67"/>
    <w:rsid w:val="00224DCF"/>
    <w:rsid w:val="002252C6"/>
    <w:rsid w:val="00225C4C"/>
    <w:rsid w:val="002273E4"/>
    <w:rsid w:val="00227CA2"/>
    <w:rsid w:val="00227E0C"/>
    <w:rsid w:val="002307F3"/>
    <w:rsid w:val="002309D6"/>
    <w:rsid w:val="002323D2"/>
    <w:rsid w:val="00232685"/>
    <w:rsid w:val="00232869"/>
    <w:rsid w:val="00232E91"/>
    <w:rsid w:val="002339F5"/>
    <w:rsid w:val="0023534F"/>
    <w:rsid w:val="00241103"/>
    <w:rsid w:val="002411E1"/>
    <w:rsid w:val="002413E8"/>
    <w:rsid w:val="00244358"/>
    <w:rsid w:val="002443E1"/>
    <w:rsid w:val="00245CDC"/>
    <w:rsid w:val="00246BB4"/>
    <w:rsid w:val="00247467"/>
    <w:rsid w:val="00247778"/>
    <w:rsid w:val="00253991"/>
    <w:rsid w:val="00254931"/>
    <w:rsid w:val="002563BF"/>
    <w:rsid w:val="00256810"/>
    <w:rsid w:val="002572D1"/>
    <w:rsid w:val="00262508"/>
    <w:rsid w:val="00264469"/>
    <w:rsid w:val="002650E1"/>
    <w:rsid w:val="00266E6E"/>
    <w:rsid w:val="0026712D"/>
    <w:rsid w:val="00267D3F"/>
    <w:rsid w:val="00270375"/>
    <w:rsid w:val="0027441B"/>
    <w:rsid w:val="00276584"/>
    <w:rsid w:val="00276680"/>
    <w:rsid w:val="00277B66"/>
    <w:rsid w:val="002814A3"/>
    <w:rsid w:val="0028185E"/>
    <w:rsid w:val="00282F7E"/>
    <w:rsid w:val="00283119"/>
    <w:rsid w:val="002846CE"/>
    <w:rsid w:val="00284AB1"/>
    <w:rsid w:val="00284C45"/>
    <w:rsid w:val="0028582F"/>
    <w:rsid w:val="00286369"/>
    <w:rsid w:val="002869BF"/>
    <w:rsid w:val="00286E23"/>
    <w:rsid w:val="00286EC7"/>
    <w:rsid w:val="002879AB"/>
    <w:rsid w:val="002910EE"/>
    <w:rsid w:val="00291AD4"/>
    <w:rsid w:val="00291D17"/>
    <w:rsid w:val="002930DE"/>
    <w:rsid w:val="00293901"/>
    <w:rsid w:val="00293DB3"/>
    <w:rsid w:val="0029657F"/>
    <w:rsid w:val="002973E2"/>
    <w:rsid w:val="00297982"/>
    <w:rsid w:val="002A03A5"/>
    <w:rsid w:val="002A2AAC"/>
    <w:rsid w:val="002A5ED5"/>
    <w:rsid w:val="002A6581"/>
    <w:rsid w:val="002A7111"/>
    <w:rsid w:val="002B0A6B"/>
    <w:rsid w:val="002B0C28"/>
    <w:rsid w:val="002B18C3"/>
    <w:rsid w:val="002B28B4"/>
    <w:rsid w:val="002B382A"/>
    <w:rsid w:val="002B577E"/>
    <w:rsid w:val="002B62B9"/>
    <w:rsid w:val="002B63F3"/>
    <w:rsid w:val="002B7C63"/>
    <w:rsid w:val="002C0288"/>
    <w:rsid w:val="002C079E"/>
    <w:rsid w:val="002C105B"/>
    <w:rsid w:val="002C20B4"/>
    <w:rsid w:val="002C3902"/>
    <w:rsid w:val="002C59C4"/>
    <w:rsid w:val="002C68F1"/>
    <w:rsid w:val="002D0A8B"/>
    <w:rsid w:val="002D3989"/>
    <w:rsid w:val="002D4602"/>
    <w:rsid w:val="002D51A9"/>
    <w:rsid w:val="002D57EA"/>
    <w:rsid w:val="002E097C"/>
    <w:rsid w:val="002E1451"/>
    <w:rsid w:val="002E3A0E"/>
    <w:rsid w:val="002E456F"/>
    <w:rsid w:val="002E4FB5"/>
    <w:rsid w:val="002E6626"/>
    <w:rsid w:val="002E69AB"/>
    <w:rsid w:val="002E6F40"/>
    <w:rsid w:val="002F1A03"/>
    <w:rsid w:val="002F28E6"/>
    <w:rsid w:val="002F2F18"/>
    <w:rsid w:val="002F48DC"/>
    <w:rsid w:val="002F5572"/>
    <w:rsid w:val="002F68B8"/>
    <w:rsid w:val="002F7555"/>
    <w:rsid w:val="00300664"/>
    <w:rsid w:val="00301E2D"/>
    <w:rsid w:val="003023A8"/>
    <w:rsid w:val="00303AE2"/>
    <w:rsid w:val="00303C4A"/>
    <w:rsid w:val="00305ECD"/>
    <w:rsid w:val="003063D5"/>
    <w:rsid w:val="00306F75"/>
    <w:rsid w:val="00310C45"/>
    <w:rsid w:val="003114AD"/>
    <w:rsid w:val="00311722"/>
    <w:rsid w:val="00311ADE"/>
    <w:rsid w:val="00311E74"/>
    <w:rsid w:val="00311FC6"/>
    <w:rsid w:val="00312E8E"/>
    <w:rsid w:val="00315F82"/>
    <w:rsid w:val="00316536"/>
    <w:rsid w:val="00316BC9"/>
    <w:rsid w:val="00317A2E"/>
    <w:rsid w:val="003203E6"/>
    <w:rsid w:val="00320402"/>
    <w:rsid w:val="00320E6F"/>
    <w:rsid w:val="00320F41"/>
    <w:rsid w:val="00321061"/>
    <w:rsid w:val="00321230"/>
    <w:rsid w:val="003234A6"/>
    <w:rsid w:val="0032404B"/>
    <w:rsid w:val="00324B33"/>
    <w:rsid w:val="003278EC"/>
    <w:rsid w:val="003305FE"/>
    <w:rsid w:val="003323EA"/>
    <w:rsid w:val="003340AF"/>
    <w:rsid w:val="00334A30"/>
    <w:rsid w:val="003364F6"/>
    <w:rsid w:val="00337658"/>
    <w:rsid w:val="003376A6"/>
    <w:rsid w:val="00340E4D"/>
    <w:rsid w:val="00341278"/>
    <w:rsid w:val="00342473"/>
    <w:rsid w:val="00342579"/>
    <w:rsid w:val="00343D0D"/>
    <w:rsid w:val="0034425F"/>
    <w:rsid w:val="00344710"/>
    <w:rsid w:val="00344BA3"/>
    <w:rsid w:val="003456BE"/>
    <w:rsid w:val="00347AFB"/>
    <w:rsid w:val="003513B1"/>
    <w:rsid w:val="0035236C"/>
    <w:rsid w:val="00352BB9"/>
    <w:rsid w:val="00353A79"/>
    <w:rsid w:val="003541A5"/>
    <w:rsid w:val="00355A81"/>
    <w:rsid w:val="003562C1"/>
    <w:rsid w:val="00356D50"/>
    <w:rsid w:val="003577A7"/>
    <w:rsid w:val="00357BE4"/>
    <w:rsid w:val="0036413E"/>
    <w:rsid w:val="00365405"/>
    <w:rsid w:val="00366875"/>
    <w:rsid w:val="003702B4"/>
    <w:rsid w:val="003729A9"/>
    <w:rsid w:val="00374B49"/>
    <w:rsid w:val="003759ED"/>
    <w:rsid w:val="00376479"/>
    <w:rsid w:val="00376CF0"/>
    <w:rsid w:val="003778FB"/>
    <w:rsid w:val="0038139B"/>
    <w:rsid w:val="00382177"/>
    <w:rsid w:val="003825C1"/>
    <w:rsid w:val="003844CC"/>
    <w:rsid w:val="00386C7D"/>
    <w:rsid w:val="00387847"/>
    <w:rsid w:val="00391572"/>
    <w:rsid w:val="00392F93"/>
    <w:rsid w:val="003931B6"/>
    <w:rsid w:val="0039382A"/>
    <w:rsid w:val="00394053"/>
    <w:rsid w:val="003949BD"/>
    <w:rsid w:val="003951EB"/>
    <w:rsid w:val="0039564C"/>
    <w:rsid w:val="00395C5F"/>
    <w:rsid w:val="003969A3"/>
    <w:rsid w:val="00396F9D"/>
    <w:rsid w:val="0039718B"/>
    <w:rsid w:val="00397895"/>
    <w:rsid w:val="00397DBB"/>
    <w:rsid w:val="003A060D"/>
    <w:rsid w:val="003A0B5D"/>
    <w:rsid w:val="003A18C3"/>
    <w:rsid w:val="003A7757"/>
    <w:rsid w:val="003A7D46"/>
    <w:rsid w:val="003B1198"/>
    <w:rsid w:val="003B1219"/>
    <w:rsid w:val="003B1D40"/>
    <w:rsid w:val="003B2722"/>
    <w:rsid w:val="003B4E6F"/>
    <w:rsid w:val="003B60A5"/>
    <w:rsid w:val="003B6C69"/>
    <w:rsid w:val="003B7149"/>
    <w:rsid w:val="003B789B"/>
    <w:rsid w:val="003C01A4"/>
    <w:rsid w:val="003C0832"/>
    <w:rsid w:val="003C2787"/>
    <w:rsid w:val="003C2E0D"/>
    <w:rsid w:val="003C3D85"/>
    <w:rsid w:val="003C4E82"/>
    <w:rsid w:val="003C6539"/>
    <w:rsid w:val="003C690E"/>
    <w:rsid w:val="003D0943"/>
    <w:rsid w:val="003D29A5"/>
    <w:rsid w:val="003D3640"/>
    <w:rsid w:val="003D4CB6"/>
    <w:rsid w:val="003D5C1C"/>
    <w:rsid w:val="003D6561"/>
    <w:rsid w:val="003E4549"/>
    <w:rsid w:val="003E5689"/>
    <w:rsid w:val="003E77D9"/>
    <w:rsid w:val="003E7D1D"/>
    <w:rsid w:val="003F0385"/>
    <w:rsid w:val="003F0F1C"/>
    <w:rsid w:val="003F154E"/>
    <w:rsid w:val="003F1717"/>
    <w:rsid w:val="003F5058"/>
    <w:rsid w:val="003F5C39"/>
    <w:rsid w:val="003F6025"/>
    <w:rsid w:val="003F7142"/>
    <w:rsid w:val="004005B2"/>
    <w:rsid w:val="00401835"/>
    <w:rsid w:val="0040248F"/>
    <w:rsid w:val="0040290E"/>
    <w:rsid w:val="004029AA"/>
    <w:rsid w:val="0040329C"/>
    <w:rsid w:val="00403373"/>
    <w:rsid w:val="004039F0"/>
    <w:rsid w:val="0040635F"/>
    <w:rsid w:val="00407CB0"/>
    <w:rsid w:val="00410823"/>
    <w:rsid w:val="00410956"/>
    <w:rsid w:val="00410A46"/>
    <w:rsid w:val="00412526"/>
    <w:rsid w:val="00414500"/>
    <w:rsid w:val="004161BE"/>
    <w:rsid w:val="00416DC9"/>
    <w:rsid w:val="004205A8"/>
    <w:rsid w:val="0042084C"/>
    <w:rsid w:val="004220F8"/>
    <w:rsid w:val="00424307"/>
    <w:rsid w:val="0042654B"/>
    <w:rsid w:val="004276B8"/>
    <w:rsid w:val="00430E7C"/>
    <w:rsid w:val="004311BD"/>
    <w:rsid w:val="004316B7"/>
    <w:rsid w:val="004316FA"/>
    <w:rsid w:val="0043247E"/>
    <w:rsid w:val="004327F1"/>
    <w:rsid w:val="004332BC"/>
    <w:rsid w:val="00434459"/>
    <w:rsid w:val="00434F32"/>
    <w:rsid w:val="004365D2"/>
    <w:rsid w:val="0043696E"/>
    <w:rsid w:val="004374B5"/>
    <w:rsid w:val="00437930"/>
    <w:rsid w:val="004406E0"/>
    <w:rsid w:val="004431C5"/>
    <w:rsid w:val="00444192"/>
    <w:rsid w:val="00445145"/>
    <w:rsid w:val="00445651"/>
    <w:rsid w:val="0045129A"/>
    <w:rsid w:val="00452568"/>
    <w:rsid w:val="00453E02"/>
    <w:rsid w:val="00454D7A"/>
    <w:rsid w:val="00456733"/>
    <w:rsid w:val="00457F58"/>
    <w:rsid w:val="00460704"/>
    <w:rsid w:val="00460E78"/>
    <w:rsid w:val="004625D5"/>
    <w:rsid w:val="004633F2"/>
    <w:rsid w:val="004701BA"/>
    <w:rsid w:val="0047028C"/>
    <w:rsid w:val="00473505"/>
    <w:rsid w:val="00474E0D"/>
    <w:rsid w:val="0047513C"/>
    <w:rsid w:val="004767A0"/>
    <w:rsid w:val="004768E1"/>
    <w:rsid w:val="00477A32"/>
    <w:rsid w:val="00477F65"/>
    <w:rsid w:val="00481A9E"/>
    <w:rsid w:val="0048262C"/>
    <w:rsid w:val="00490191"/>
    <w:rsid w:val="00490F59"/>
    <w:rsid w:val="004911BD"/>
    <w:rsid w:val="00491570"/>
    <w:rsid w:val="00494056"/>
    <w:rsid w:val="00494116"/>
    <w:rsid w:val="004A193C"/>
    <w:rsid w:val="004A4F02"/>
    <w:rsid w:val="004A5645"/>
    <w:rsid w:val="004A5B8B"/>
    <w:rsid w:val="004A66F1"/>
    <w:rsid w:val="004A77C6"/>
    <w:rsid w:val="004B0170"/>
    <w:rsid w:val="004B1A1F"/>
    <w:rsid w:val="004B231A"/>
    <w:rsid w:val="004B3D8A"/>
    <w:rsid w:val="004B523C"/>
    <w:rsid w:val="004B58C8"/>
    <w:rsid w:val="004B5AB0"/>
    <w:rsid w:val="004B63F0"/>
    <w:rsid w:val="004B6D44"/>
    <w:rsid w:val="004B74B3"/>
    <w:rsid w:val="004C1793"/>
    <w:rsid w:val="004C1A98"/>
    <w:rsid w:val="004C2A67"/>
    <w:rsid w:val="004C3CEB"/>
    <w:rsid w:val="004C75A2"/>
    <w:rsid w:val="004D04F9"/>
    <w:rsid w:val="004D085F"/>
    <w:rsid w:val="004D104D"/>
    <w:rsid w:val="004D1319"/>
    <w:rsid w:val="004D1A13"/>
    <w:rsid w:val="004D30EB"/>
    <w:rsid w:val="004D3E19"/>
    <w:rsid w:val="004D3F2E"/>
    <w:rsid w:val="004D46B4"/>
    <w:rsid w:val="004D5AA5"/>
    <w:rsid w:val="004E2097"/>
    <w:rsid w:val="004E6A54"/>
    <w:rsid w:val="004E741F"/>
    <w:rsid w:val="004F0701"/>
    <w:rsid w:val="004F0D87"/>
    <w:rsid w:val="004F16FD"/>
    <w:rsid w:val="004F1C43"/>
    <w:rsid w:val="004F464D"/>
    <w:rsid w:val="004F5978"/>
    <w:rsid w:val="004F5B3D"/>
    <w:rsid w:val="004F5E90"/>
    <w:rsid w:val="004F5FCE"/>
    <w:rsid w:val="004F6701"/>
    <w:rsid w:val="004F6A6F"/>
    <w:rsid w:val="004F6F8A"/>
    <w:rsid w:val="004F74EF"/>
    <w:rsid w:val="004F792A"/>
    <w:rsid w:val="004F795F"/>
    <w:rsid w:val="004F7EF7"/>
    <w:rsid w:val="0050000C"/>
    <w:rsid w:val="00500B3D"/>
    <w:rsid w:val="00501197"/>
    <w:rsid w:val="00501767"/>
    <w:rsid w:val="00503238"/>
    <w:rsid w:val="0050545E"/>
    <w:rsid w:val="00505E5D"/>
    <w:rsid w:val="00506A2C"/>
    <w:rsid w:val="00507C73"/>
    <w:rsid w:val="00510B61"/>
    <w:rsid w:val="00510C73"/>
    <w:rsid w:val="00510D20"/>
    <w:rsid w:val="00510FBC"/>
    <w:rsid w:val="005112AB"/>
    <w:rsid w:val="00511536"/>
    <w:rsid w:val="00511F08"/>
    <w:rsid w:val="005124EA"/>
    <w:rsid w:val="00515048"/>
    <w:rsid w:val="005156CA"/>
    <w:rsid w:val="00517470"/>
    <w:rsid w:val="0052076F"/>
    <w:rsid w:val="00520A62"/>
    <w:rsid w:val="00521803"/>
    <w:rsid w:val="00521D06"/>
    <w:rsid w:val="00522632"/>
    <w:rsid w:val="00525274"/>
    <w:rsid w:val="005258FA"/>
    <w:rsid w:val="00526CD0"/>
    <w:rsid w:val="00526FE3"/>
    <w:rsid w:val="005273F5"/>
    <w:rsid w:val="005279AA"/>
    <w:rsid w:val="005313DF"/>
    <w:rsid w:val="00531F18"/>
    <w:rsid w:val="00532CD4"/>
    <w:rsid w:val="00533498"/>
    <w:rsid w:val="0053396C"/>
    <w:rsid w:val="00534537"/>
    <w:rsid w:val="00535D69"/>
    <w:rsid w:val="005377F3"/>
    <w:rsid w:val="00537F2C"/>
    <w:rsid w:val="00540CBB"/>
    <w:rsid w:val="00541629"/>
    <w:rsid w:val="00542C26"/>
    <w:rsid w:val="00544B5D"/>
    <w:rsid w:val="00545767"/>
    <w:rsid w:val="005457CA"/>
    <w:rsid w:val="005466D7"/>
    <w:rsid w:val="0055031E"/>
    <w:rsid w:val="00550461"/>
    <w:rsid w:val="00550CF0"/>
    <w:rsid w:val="00553B93"/>
    <w:rsid w:val="00553D8F"/>
    <w:rsid w:val="00553FE7"/>
    <w:rsid w:val="00554942"/>
    <w:rsid w:val="00554DCE"/>
    <w:rsid w:val="00557846"/>
    <w:rsid w:val="00557BF8"/>
    <w:rsid w:val="00560360"/>
    <w:rsid w:val="00561AFB"/>
    <w:rsid w:val="0056282E"/>
    <w:rsid w:val="00562A2F"/>
    <w:rsid w:val="005677DE"/>
    <w:rsid w:val="00570125"/>
    <w:rsid w:val="005705D2"/>
    <w:rsid w:val="005709CC"/>
    <w:rsid w:val="00571072"/>
    <w:rsid w:val="0057141A"/>
    <w:rsid w:val="00573A2B"/>
    <w:rsid w:val="00573ABD"/>
    <w:rsid w:val="00573C44"/>
    <w:rsid w:val="00575499"/>
    <w:rsid w:val="0057636C"/>
    <w:rsid w:val="00576E61"/>
    <w:rsid w:val="00577046"/>
    <w:rsid w:val="0057737A"/>
    <w:rsid w:val="00577573"/>
    <w:rsid w:val="00580F39"/>
    <w:rsid w:val="00582290"/>
    <w:rsid w:val="005842B1"/>
    <w:rsid w:val="00584379"/>
    <w:rsid w:val="00584CEC"/>
    <w:rsid w:val="00584F2E"/>
    <w:rsid w:val="00585BA0"/>
    <w:rsid w:val="00587CCC"/>
    <w:rsid w:val="005908EC"/>
    <w:rsid w:val="00590AC9"/>
    <w:rsid w:val="00590C25"/>
    <w:rsid w:val="0059348D"/>
    <w:rsid w:val="005942EE"/>
    <w:rsid w:val="005949D2"/>
    <w:rsid w:val="00595CAB"/>
    <w:rsid w:val="00595FB0"/>
    <w:rsid w:val="00596498"/>
    <w:rsid w:val="00597405"/>
    <w:rsid w:val="005A046F"/>
    <w:rsid w:val="005A1487"/>
    <w:rsid w:val="005A2CB2"/>
    <w:rsid w:val="005A5315"/>
    <w:rsid w:val="005A6658"/>
    <w:rsid w:val="005A6727"/>
    <w:rsid w:val="005A68F3"/>
    <w:rsid w:val="005B0D29"/>
    <w:rsid w:val="005B19A7"/>
    <w:rsid w:val="005B1E16"/>
    <w:rsid w:val="005B32C4"/>
    <w:rsid w:val="005B4F2E"/>
    <w:rsid w:val="005B505D"/>
    <w:rsid w:val="005B5573"/>
    <w:rsid w:val="005B63B4"/>
    <w:rsid w:val="005C0FC0"/>
    <w:rsid w:val="005C150C"/>
    <w:rsid w:val="005C1830"/>
    <w:rsid w:val="005C2932"/>
    <w:rsid w:val="005C38AE"/>
    <w:rsid w:val="005C399F"/>
    <w:rsid w:val="005C3BDC"/>
    <w:rsid w:val="005C6CE5"/>
    <w:rsid w:val="005C723C"/>
    <w:rsid w:val="005C798E"/>
    <w:rsid w:val="005D2ED8"/>
    <w:rsid w:val="005D3B01"/>
    <w:rsid w:val="005D4031"/>
    <w:rsid w:val="005D4332"/>
    <w:rsid w:val="005D4F97"/>
    <w:rsid w:val="005D55BE"/>
    <w:rsid w:val="005D5F6B"/>
    <w:rsid w:val="005D6C84"/>
    <w:rsid w:val="005E0D7E"/>
    <w:rsid w:val="005E102A"/>
    <w:rsid w:val="005E1311"/>
    <w:rsid w:val="005E173D"/>
    <w:rsid w:val="005E19C6"/>
    <w:rsid w:val="005E21C7"/>
    <w:rsid w:val="005E3DC2"/>
    <w:rsid w:val="005E55EF"/>
    <w:rsid w:val="005E56B3"/>
    <w:rsid w:val="005E7284"/>
    <w:rsid w:val="005F1F74"/>
    <w:rsid w:val="005F3060"/>
    <w:rsid w:val="005F3C5C"/>
    <w:rsid w:val="005F481D"/>
    <w:rsid w:val="005F4D6D"/>
    <w:rsid w:val="005F57E3"/>
    <w:rsid w:val="005F5CA9"/>
    <w:rsid w:val="005F6B19"/>
    <w:rsid w:val="0060092B"/>
    <w:rsid w:val="006023D5"/>
    <w:rsid w:val="0060288B"/>
    <w:rsid w:val="00602D3A"/>
    <w:rsid w:val="006033F2"/>
    <w:rsid w:val="00603F88"/>
    <w:rsid w:val="00604E86"/>
    <w:rsid w:val="00605385"/>
    <w:rsid w:val="00606F05"/>
    <w:rsid w:val="00611D79"/>
    <w:rsid w:val="00614CE7"/>
    <w:rsid w:val="00615856"/>
    <w:rsid w:val="00615F9B"/>
    <w:rsid w:val="0061610A"/>
    <w:rsid w:val="006162D4"/>
    <w:rsid w:val="0062131C"/>
    <w:rsid w:val="00621CBA"/>
    <w:rsid w:val="006231C6"/>
    <w:rsid w:val="00623BF9"/>
    <w:rsid w:val="00624229"/>
    <w:rsid w:val="006255FB"/>
    <w:rsid w:val="0062566E"/>
    <w:rsid w:val="00625B0A"/>
    <w:rsid w:val="0062609E"/>
    <w:rsid w:val="006266B6"/>
    <w:rsid w:val="00626A75"/>
    <w:rsid w:val="00631938"/>
    <w:rsid w:val="00632286"/>
    <w:rsid w:val="00632F72"/>
    <w:rsid w:val="006334A0"/>
    <w:rsid w:val="006340CE"/>
    <w:rsid w:val="00636887"/>
    <w:rsid w:val="006373E9"/>
    <w:rsid w:val="00640AA4"/>
    <w:rsid w:val="0064236B"/>
    <w:rsid w:val="00642B58"/>
    <w:rsid w:val="00643AF4"/>
    <w:rsid w:val="00644582"/>
    <w:rsid w:val="006446A7"/>
    <w:rsid w:val="00644918"/>
    <w:rsid w:val="0064498F"/>
    <w:rsid w:val="00645399"/>
    <w:rsid w:val="00645511"/>
    <w:rsid w:val="00645638"/>
    <w:rsid w:val="006457D4"/>
    <w:rsid w:val="00645849"/>
    <w:rsid w:val="00645E4A"/>
    <w:rsid w:val="0064646C"/>
    <w:rsid w:val="0064676A"/>
    <w:rsid w:val="00647931"/>
    <w:rsid w:val="00647F79"/>
    <w:rsid w:val="00647FA2"/>
    <w:rsid w:val="006503BE"/>
    <w:rsid w:val="006503E5"/>
    <w:rsid w:val="006506D7"/>
    <w:rsid w:val="006510B7"/>
    <w:rsid w:val="0065250E"/>
    <w:rsid w:val="00652977"/>
    <w:rsid w:val="006531E9"/>
    <w:rsid w:val="00654B9E"/>
    <w:rsid w:val="0065647B"/>
    <w:rsid w:val="00657E70"/>
    <w:rsid w:val="0066471D"/>
    <w:rsid w:val="00664743"/>
    <w:rsid w:val="0066498E"/>
    <w:rsid w:val="00665515"/>
    <w:rsid w:val="006674FC"/>
    <w:rsid w:val="006720AF"/>
    <w:rsid w:val="0067320D"/>
    <w:rsid w:val="00673E8B"/>
    <w:rsid w:val="00674B91"/>
    <w:rsid w:val="00674DFB"/>
    <w:rsid w:val="00674E00"/>
    <w:rsid w:val="0068168B"/>
    <w:rsid w:val="0068227E"/>
    <w:rsid w:val="00683122"/>
    <w:rsid w:val="006832E6"/>
    <w:rsid w:val="00683445"/>
    <w:rsid w:val="00684718"/>
    <w:rsid w:val="0068484B"/>
    <w:rsid w:val="00684920"/>
    <w:rsid w:val="00685308"/>
    <w:rsid w:val="00686AA2"/>
    <w:rsid w:val="00691564"/>
    <w:rsid w:val="00691CD8"/>
    <w:rsid w:val="00692DA7"/>
    <w:rsid w:val="00693C51"/>
    <w:rsid w:val="00694E51"/>
    <w:rsid w:val="006956E1"/>
    <w:rsid w:val="0069672F"/>
    <w:rsid w:val="006A003F"/>
    <w:rsid w:val="006A059C"/>
    <w:rsid w:val="006A0C3E"/>
    <w:rsid w:val="006A14F1"/>
    <w:rsid w:val="006A1BFB"/>
    <w:rsid w:val="006A3D31"/>
    <w:rsid w:val="006B064A"/>
    <w:rsid w:val="006B0699"/>
    <w:rsid w:val="006B2993"/>
    <w:rsid w:val="006B30D7"/>
    <w:rsid w:val="006B5942"/>
    <w:rsid w:val="006B68C7"/>
    <w:rsid w:val="006C09ED"/>
    <w:rsid w:val="006C0AA8"/>
    <w:rsid w:val="006C25D4"/>
    <w:rsid w:val="006C2FD6"/>
    <w:rsid w:val="006C3931"/>
    <w:rsid w:val="006C606A"/>
    <w:rsid w:val="006C6148"/>
    <w:rsid w:val="006C6504"/>
    <w:rsid w:val="006D01D6"/>
    <w:rsid w:val="006D02F7"/>
    <w:rsid w:val="006D3C31"/>
    <w:rsid w:val="006D46E6"/>
    <w:rsid w:val="006D49CA"/>
    <w:rsid w:val="006D50A6"/>
    <w:rsid w:val="006D69AC"/>
    <w:rsid w:val="006D6C17"/>
    <w:rsid w:val="006E03D2"/>
    <w:rsid w:val="006E0E6F"/>
    <w:rsid w:val="006E1231"/>
    <w:rsid w:val="006E2803"/>
    <w:rsid w:val="006E367A"/>
    <w:rsid w:val="006E4032"/>
    <w:rsid w:val="006E4083"/>
    <w:rsid w:val="006E5DAE"/>
    <w:rsid w:val="006E63EF"/>
    <w:rsid w:val="006E6864"/>
    <w:rsid w:val="006E7BA3"/>
    <w:rsid w:val="006F08EB"/>
    <w:rsid w:val="006F0EED"/>
    <w:rsid w:val="006F400E"/>
    <w:rsid w:val="006F4D2C"/>
    <w:rsid w:val="006F5C6B"/>
    <w:rsid w:val="006F5D10"/>
    <w:rsid w:val="006F70AE"/>
    <w:rsid w:val="006F749C"/>
    <w:rsid w:val="006F77B5"/>
    <w:rsid w:val="00701EBC"/>
    <w:rsid w:val="007044CE"/>
    <w:rsid w:val="007048D6"/>
    <w:rsid w:val="00706490"/>
    <w:rsid w:val="007066AA"/>
    <w:rsid w:val="0070692F"/>
    <w:rsid w:val="00706E91"/>
    <w:rsid w:val="0070772F"/>
    <w:rsid w:val="007116EF"/>
    <w:rsid w:val="00712036"/>
    <w:rsid w:val="0071255C"/>
    <w:rsid w:val="00712CC5"/>
    <w:rsid w:val="00713778"/>
    <w:rsid w:val="00713A9A"/>
    <w:rsid w:val="00714CAE"/>
    <w:rsid w:val="00721501"/>
    <w:rsid w:val="00723312"/>
    <w:rsid w:val="00724615"/>
    <w:rsid w:val="00724F2D"/>
    <w:rsid w:val="00725004"/>
    <w:rsid w:val="0072554C"/>
    <w:rsid w:val="00725F51"/>
    <w:rsid w:val="00726F74"/>
    <w:rsid w:val="0072726F"/>
    <w:rsid w:val="00730403"/>
    <w:rsid w:val="00730F65"/>
    <w:rsid w:val="00731483"/>
    <w:rsid w:val="00733BEE"/>
    <w:rsid w:val="00735E97"/>
    <w:rsid w:val="007375A8"/>
    <w:rsid w:val="0074295D"/>
    <w:rsid w:val="00742D6E"/>
    <w:rsid w:val="007455CB"/>
    <w:rsid w:val="007473BB"/>
    <w:rsid w:val="00747648"/>
    <w:rsid w:val="00747C4B"/>
    <w:rsid w:val="00750057"/>
    <w:rsid w:val="00750416"/>
    <w:rsid w:val="00750F6C"/>
    <w:rsid w:val="007518D9"/>
    <w:rsid w:val="00757025"/>
    <w:rsid w:val="0076429F"/>
    <w:rsid w:val="0076580B"/>
    <w:rsid w:val="00766254"/>
    <w:rsid w:val="007677E9"/>
    <w:rsid w:val="007736D8"/>
    <w:rsid w:val="00773C93"/>
    <w:rsid w:val="00773D54"/>
    <w:rsid w:val="007755C4"/>
    <w:rsid w:val="00775FC2"/>
    <w:rsid w:val="00776C07"/>
    <w:rsid w:val="00777B67"/>
    <w:rsid w:val="00781DBE"/>
    <w:rsid w:val="007825D7"/>
    <w:rsid w:val="00783AC1"/>
    <w:rsid w:val="00784AAE"/>
    <w:rsid w:val="00784BFF"/>
    <w:rsid w:val="00785AE1"/>
    <w:rsid w:val="00786DB2"/>
    <w:rsid w:val="00792D29"/>
    <w:rsid w:val="00793808"/>
    <w:rsid w:val="007955DF"/>
    <w:rsid w:val="00795CA6"/>
    <w:rsid w:val="00796310"/>
    <w:rsid w:val="00796A1F"/>
    <w:rsid w:val="00796CEB"/>
    <w:rsid w:val="007A02A1"/>
    <w:rsid w:val="007A0493"/>
    <w:rsid w:val="007A0606"/>
    <w:rsid w:val="007A0D3D"/>
    <w:rsid w:val="007A1029"/>
    <w:rsid w:val="007A2DD9"/>
    <w:rsid w:val="007A5082"/>
    <w:rsid w:val="007A6644"/>
    <w:rsid w:val="007B2BDF"/>
    <w:rsid w:val="007B4439"/>
    <w:rsid w:val="007B4809"/>
    <w:rsid w:val="007B6FEB"/>
    <w:rsid w:val="007B7346"/>
    <w:rsid w:val="007C0E55"/>
    <w:rsid w:val="007C11B3"/>
    <w:rsid w:val="007C1734"/>
    <w:rsid w:val="007C1C24"/>
    <w:rsid w:val="007C2648"/>
    <w:rsid w:val="007C2C25"/>
    <w:rsid w:val="007C5006"/>
    <w:rsid w:val="007C5C0C"/>
    <w:rsid w:val="007C6EBA"/>
    <w:rsid w:val="007C7773"/>
    <w:rsid w:val="007D14EB"/>
    <w:rsid w:val="007D27AD"/>
    <w:rsid w:val="007D297F"/>
    <w:rsid w:val="007D3236"/>
    <w:rsid w:val="007D33AA"/>
    <w:rsid w:val="007D3669"/>
    <w:rsid w:val="007D4669"/>
    <w:rsid w:val="007D4F0B"/>
    <w:rsid w:val="007D6336"/>
    <w:rsid w:val="007D6525"/>
    <w:rsid w:val="007D6ECA"/>
    <w:rsid w:val="007E06CA"/>
    <w:rsid w:val="007E0C68"/>
    <w:rsid w:val="007E0D49"/>
    <w:rsid w:val="007E7754"/>
    <w:rsid w:val="007E7FF2"/>
    <w:rsid w:val="007F0992"/>
    <w:rsid w:val="007F0D8A"/>
    <w:rsid w:val="007F0FE3"/>
    <w:rsid w:val="007F2917"/>
    <w:rsid w:val="007F33EC"/>
    <w:rsid w:val="007F3F0C"/>
    <w:rsid w:val="007F4BFF"/>
    <w:rsid w:val="007F5349"/>
    <w:rsid w:val="007F678B"/>
    <w:rsid w:val="008006CD"/>
    <w:rsid w:val="00800BE2"/>
    <w:rsid w:val="00801398"/>
    <w:rsid w:val="0080147E"/>
    <w:rsid w:val="0080184D"/>
    <w:rsid w:val="00802D51"/>
    <w:rsid w:val="00802D5B"/>
    <w:rsid w:val="00803273"/>
    <w:rsid w:val="00803806"/>
    <w:rsid w:val="00803B16"/>
    <w:rsid w:val="00804A37"/>
    <w:rsid w:val="00805CA4"/>
    <w:rsid w:val="0080660A"/>
    <w:rsid w:val="008104DF"/>
    <w:rsid w:val="008106CB"/>
    <w:rsid w:val="0081257D"/>
    <w:rsid w:val="008157C4"/>
    <w:rsid w:val="00816288"/>
    <w:rsid w:val="00821981"/>
    <w:rsid w:val="008222CF"/>
    <w:rsid w:val="008225E5"/>
    <w:rsid w:val="00823094"/>
    <w:rsid w:val="00823306"/>
    <w:rsid w:val="00823692"/>
    <w:rsid w:val="0082370E"/>
    <w:rsid w:val="00823D9D"/>
    <w:rsid w:val="00823F24"/>
    <w:rsid w:val="00824C49"/>
    <w:rsid w:val="00826FD5"/>
    <w:rsid w:val="008313D8"/>
    <w:rsid w:val="00831712"/>
    <w:rsid w:val="00834D45"/>
    <w:rsid w:val="008350D0"/>
    <w:rsid w:val="00835191"/>
    <w:rsid w:val="00835BA8"/>
    <w:rsid w:val="00837267"/>
    <w:rsid w:val="008372B3"/>
    <w:rsid w:val="00837BE4"/>
    <w:rsid w:val="00837F79"/>
    <w:rsid w:val="008400EA"/>
    <w:rsid w:val="0084091C"/>
    <w:rsid w:val="00840B34"/>
    <w:rsid w:val="00840C8D"/>
    <w:rsid w:val="00842E3F"/>
    <w:rsid w:val="00843525"/>
    <w:rsid w:val="00843B61"/>
    <w:rsid w:val="00846BF5"/>
    <w:rsid w:val="00847A89"/>
    <w:rsid w:val="008510E2"/>
    <w:rsid w:val="00851DF2"/>
    <w:rsid w:val="008532F8"/>
    <w:rsid w:val="00854400"/>
    <w:rsid w:val="008565E7"/>
    <w:rsid w:val="00860028"/>
    <w:rsid w:val="0086036E"/>
    <w:rsid w:val="00861CF0"/>
    <w:rsid w:val="0086219C"/>
    <w:rsid w:val="008622E5"/>
    <w:rsid w:val="00863E77"/>
    <w:rsid w:val="0086525D"/>
    <w:rsid w:val="00865F06"/>
    <w:rsid w:val="008661F3"/>
    <w:rsid w:val="00866BB1"/>
    <w:rsid w:val="008678D1"/>
    <w:rsid w:val="008706BD"/>
    <w:rsid w:val="008708E5"/>
    <w:rsid w:val="008718F9"/>
    <w:rsid w:val="00871B83"/>
    <w:rsid w:val="00871F73"/>
    <w:rsid w:val="00874659"/>
    <w:rsid w:val="00877084"/>
    <w:rsid w:val="0087737F"/>
    <w:rsid w:val="008773B9"/>
    <w:rsid w:val="00877B20"/>
    <w:rsid w:val="00877FBE"/>
    <w:rsid w:val="00880024"/>
    <w:rsid w:val="00880442"/>
    <w:rsid w:val="008806AA"/>
    <w:rsid w:val="0088171E"/>
    <w:rsid w:val="0088185E"/>
    <w:rsid w:val="00882253"/>
    <w:rsid w:val="00882412"/>
    <w:rsid w:val="00882C4C"/>
    <w:rsid w:val="00882D44"/>
    <w:rsid w:val="008830FA"/>
    <w:rsid w:val="00883930"/>
    <w:rsid w:val="008845BA"/>
    <w:rsid w:val="00885AB4"/>
    <w:rsid w:val="00885E95"/>
    <w:rsid w:val="00886559"/>
    <w:rsid w:val="00887C11"/>
    <w:rsid w:val="0089183A"/>
    <w:rsid w:val="00892D65"/>
    <w:rsid w:val="00892F91"/>
    <w:rsid w:val="008950D3"/>
    <w:rsid w:val="00896CC1"/>
    <w:rsid w:val="00896F19"/>
    <w:rsid w:val="008A0C0D"/>
    <w:rsid w:val="008A0EE1"/>
    <w:rsid w:val="008A2506"/>
    <w:rsid w:val="008A28FD"/>
    <w:rsid w:val="008A290E"/>
    <w:rsid w:val="008A4251"/>
    <w:rsid w:val="008A511E"/>
    <w:rsid w:val="008A5562"/>
    <w:rsid w:val="008A6128"/>
    <w:rsid w:val="008A7D90"/>
    <w:rsid w:val="008B338E"/>
    <w:rsid w:val="008B358C"/>
    <w:rsid w:val="008B38A1"/>
    <w:rsid w:val="008B400A"/>
    <w:rsid w:val="008B46FA"/>
    <w:rsid w:val="008B5B14"/>
    <w:rsid w:val="008B628B"/>
    <w:rsid w:val="008B715C"/>
    <w:rsid w:val="008C4256"/>
    <w:rsid w:val="008C5EF5"/>
    <w:rsid w:val="008C6764"/>
    <w:rsid w:val="008C727B"/>
    <w:rsid w:val="008D1341"/>
    <w:rsid w:val="008D285A"/>
    <w:rsid w:val="008D29D2"/>
    <w:rsid w:val="008D460E"/>
    <w:rsid w:val="008D54F4"/>
    <w:rsid w:val="008D5F67"/>
    <w:rsid w:val="008E21CD"/>
    <w:rsid w:val="008E2EFA"/>
    <w:rsid w:val="008E3CED"/>
    <w:rsid w:val="008E4076"/>
    <w:rsid w:val="008E5D43"/>
    <w:rsid w:val="008E640B"/>
    <w:rsid w:val="008E653B"/>
    <w:rsid w:val="008E6CF5"/>
    <w:rsid w:val="008F2E65"/>
    <w:rsid w:val="008F40B0"/>
    <w:rsid w:val="009008C7"/>
    <w:rsid w:val="00901C21"/>
    <w:rsid w:val="00901E7F"/>
    <w:rsid w:val="00902AEF"/>
    <w:rsid w:val="00902F17"/>
    <w:rsid w:val="0090415F"/>
    <w:rsid w:val="00904390"/>
    <w:rsid w:val="0090460F"/>
    <w:rsid w:val="0090558E"/>
    <w:rsid w:val="00906231"/>
    <w:rsid w:val="009065BC"/>
    <w:rsid w:val="00906B15"/>
    <w:rsid w:val="00906F1F"/>
    <w:rsid w:val="00910327"/>
    <w:rsid w:val="0091068D"/>
    <w:rsid w:val="009107C0"/>
    <w:rsid w:val="009108A7"/>
    <w:rsid w:val="00912729"/>
    <w:rsid w:val="00914674"/>
    <w:rsid w:val="00916948"/>
    <w:rsid w:val="00920138"/>
    <w:rsid w:val="00920429"/>
    <w:rsid w:val="009204B2"/>
    <w:rsid w:val="009210D8"/>
    <w:rsid w:val="009240A6"/>
    <w:rsid w:val="009251CA"/>
    <w:rsid w:val="00927894"/>
    <w:rsid w:val="00930B37"/>
    <w:rsid w:val="00930C52"/>
    <w:rsid w:val="00930F30"/>
    <w:rsid w:val="00931413"/>
    <w:rsid w:val="009325A1"/>
    <w:rsid w:val="00933555"/>
    <w:rsid w:val="009348CA"/>
    <w:rsid w:val="009352FE"/>
    <w:rsid w:val="00935745"/>
    <w:rsid w:val="009359A6"/>
    <w:rsid w:val="00936E7E"/>
    <w:rsid w:val="009375E9"/>
    <w:rsid w:val="00940C20"/>
    <w:rsid w:val="00940F4A"/>
    <w:rsid w:val="00943362"/>
    <w:rsid w:val="00944468"/>
    <w:rsid w:val="00947238"/>
    <w:rsid w:val="0095048D"/>
    <w:rsid w:val="00951958"/>
    <w:rsid w:val="00952F0F"/>
    <w:rsid w:val="00953248"/>
    <w:rsid w:val="0095369F"/>
    <w:rsid w:val="00954E7D"/>
    <w:rsid w:val="0095542B"/>
    <w:rsid w:val="009569F4"/>
    <w:rsid w:val="009575D7"/>
    <w:rsid w:val="00961191"/>
    <w:rsid w:val="00961B0E"/>
    <w:rsid w:val="00961DD3"/>
    <w:rsid w:val="00961E72"/>
    <w:rsid w:val="00962142"/>
    <w:rsid w:val="0096237E"/>
    <w:rsid w:val="00964FB1"/>
    <w:rsid w:val="009651C7"/>
    <w:rsid w:val="0096555A"/>
    <w:rsid w:val="009676FC"/>
    <w:rsid w:val="009709F1"/>
    <w:rsid w:val="00970F54"/>
    <w:rsid w:val="0097118F"/>
    <w:rsid w:val="009739ED"/>
    <w:rsid w:val="00973C64"/>
    <w:rsid w:val="00974D70"/>
    <w:rsid w:val="00974FA2"/>
    <w:rsid w:val="009807E6"/>
    <w:rsid w:val="00981735"/>
    <w:rsid w:val="009828B3"/>
    <w:rsid w:val="00982960"/>
    <w:rsid w:val="00987340"/>
    <w:rsid w:val="009909DF"/>
    <w:rsid w:val="009911AA"/>
    <w:rsid w:val="00992456"/>
    <w:rsid w:val="0099269F"/>
    <w:rsid w:val="00992B04"/>
    <w:rsid w:val="00993841"/>
    <w:rsid w:val="009A2843"/>
    <w:rsid w:val="009A4C1B"/>
    <w:rsid w:val="009A6A82"/>
    <w:rsid w:val="009B1FB0"/>
    <w:rsid w:val="009B7876"/>
    <w:rsid w:val="009B79CA"/>
    <w:rsid w:val="009C005E"/>
    <w:rsid w:val="009C0691"/>
    <w:rsid w:val="009C1B7E"/>
    <w:rsid w:val="009C2C16"/>
    <w:rsid w:val="009C3559"/>
    <w:rsid w:val="009C3E82"/>
    <w:rsid w:val="009C4B09"/>
    <w:rsid w:val="009C6415"/>
    <w:rsid w:val="009C66A7"/>
    <w:rsid w:val="009C67FE"/>
    <w:rsid w:val="009C6E00"/>
    <w:rsid w:val="009C6FBD"/>
    <w:rsid w:val="009C704F"/>
    <w:rsid w:val="009D0D34"/>
    <w:rsid w:val="009D21B2"/>
    <w:rsid w:val="009D222F"/>
    <w:rsid w:val="009D2535"/>
    <w:rsid w:val="009D25BC"/>
    <w:rsid w:val="009D2C5F"/>
    <w:rsid w:val="009D5BE0"/>
    <w:rsid w:val="009D6566"/>
    <w:rsid w:val="009D7A25"/>
    <w:rsid w:val="009E0D0B"/>
    <w:rsid w:val="009E1F25"/>
    <w:rsid w:val="009E2E80"/>
    <w:rsid w:val="009E322A"/>
    <w:rsid w:val="009E33D7"/>
    <w:rsid w:val="009E4E5B"/>
    <w:rsid w:val="009E4FB2"/>
    <w:rsid w:val="009E56BD"/>
    <w:rsid w:val="009E615C"/>
    <w:rsid w:val="009E63EF"/>
    <w:rsid w:val="009E798B"/>
    <w:rsid w:val="009E7BBF"/>
    <w:rsid w:val="009F10A1"/>
    <w:rsid w:val="009F3A09"/>
    <w:rsid w:val="009F3D72"/>
    <w:rsid w:val="009F4D12"/>
    <w:rsid w:val="009F6915"/>
    <w:rsid w:val="009F745D"/>
    <w:rsid w:val="00A00AA4"/>
    <w:rsid w:val="00A03603"/>
    <w:rsid w:val="00A053DB"/>
    <w:rsid w:val="00A06792"/>
    <w:rsid w:val="00A125FD"/>
    <w:rsid w:val="00A13CEB"/>
    <w:rsid w:val="00A16B66"/>
    <w:rsid w:val="00A24321"/>
    <w:rsid w:val="00A26354"/>
    <w:rsid w:val="00A316C2"/>
    <w:rsid w:val="00A32F73"/>
    <w:rsid w:val="00A32FD8"/>
    <w:rsid w:val="00A3455C"/>
    <w:rsid w:val="00A35B55"/>
    <w:rsid w:val="00A36C22"/>
    <w:rsid w:val="00A42826"/>
    <w:rsid w:val="00A4482E"/>
    <w:rsid w:val="00A44C7A"/>
    <w:rsid w:val="00A46DD7"/>
    <w:rsid w:val="00A46FAD"/>
    <w:rsid w:val="00A477A1"/>
    <w:rsid w:val="00A479DA"/>
    <w:rsid w:val="00A47AFC"/>
    <w:rsid w:val="00A5202F"/>
    <w:rsid w:val="00A55F25"/>
    <w:rsid w:val="00A56F04"/>
    <w:rsid w:val="00A57D6F"/>
    <w:rsid w:val="00A60057"/>
    <w:rsid w:val="00A6031D"/>
    <w:rsid w:val="00A61E0A"/>
    <w:rsid w:val="00A61E43"/>
    <w:rsid w:val="00A6546B"/>
    <w:rsid w:val="00A66559"/>
    <w:rsid w:val="00A6694A"/>
    <w:rsid w:val="00A7070E"/>
    <w:rsid w:val="00A708B6"/>
    <w:rsid w:val="00A71AE6"/>
    <w:rsid w:val="00A72982"/>
    <w:rsid w:val="00A72A32"/>
    <w:rsid w:val="00A72DD6"/>
    <w:rsid w:val="00A7331D"/>
    <w:rsid w:val="00A742D0"/>
    <w:rsid w:val="00A770C7"/>
    <w:rsid w:val="00A77249"/>
    <w:rsid w:val="00A77415"/>
    <w:rsid w:val="00A80788"/>
    <w:rsid w:val="00A8183C"/>
    <w:rsid w:val="00A81E52"/>
    <w:rsid w:val="00A81F7D"/>
    <w:rsid w:val="00A824C3"/>
    <w:rsid w:val="00A83A7A"/>
    <w:rsid w:val="00A83B79"/>
    <w:rsid w:val="00A84111"/>
    <w:rsid w:val="00A84622"/>
    <w:rsid w:val="00A84C37"/>
    <w:rsid w:val="00A8535B"/>
    <w:rsid w:val="00A86E3C"/>
    <w:rsid w:val="00A90555"/>
    <w:rsid w:val="00A9102E"/>
    <w:rsid w:val="00A93186"/>
    <w:rsid w:val="00A9353F"/>
    <w:rsid w:val="00A9448E"/>
    <w:rsid w:val="00A94D9A"/>
    <w:rsid w:val="00A94EE8"/>
    <w:rsid w:val="00A95442"/>
    <w:rsid w:val="00A95DF8"/>
    <w:rsid w:val="00AA0EF9"/>
    <w:rsid w:val="00AA0F3D"/>
    <w:rsid w:val="00AA141C"/>
    <w:rsid w:val="00AA2BAF"/>
    <w:rsid w:val="00AA420D"/>
    <w:rsid w:val="00AA4F81"/>
    <w:rsid w:val="00AA5208"/>
    <w:rsid w:val="00AA715F"/>
    <w:rsid w:val="00AA7486"/>
    <w:rsid w:val="00AA75B1"/>
    <w:rsid w:val="00AB145C"/>
    <w:rsid w:val="00AB4FAF"/>
    <w:rsid w:val="00AB683B"/>
    <w:rsid w:val="00AB70D5"/>
    <w:rsid w:val="00AC0638"/>
    <w:rsid w:val="00AC1DE0"/>
    <w:rsid w:val="00AC3246"/>
    <w:rsid w:val="00AC3324"/>
    <w:rsid w:val="00AC33D5"/>
    <w:rsid w:val="00AC3779"/>
    <w:rsid w:val="00AC3815"/>
    <w:rsid w:val="00AC3A8A"/>
    <w:rsid w:val="00AC5CE3"/>
    <w:rsid w:val="00AC5E7C"/>
    <w:rsid w:val="00AC7DBD"/>
    <w:rsid w:val="00AD10C8"/>
    <w:rsid w:val="00AD2D95"/>
    <w:rsid w:val="00AD3309"/>
    <w:rsid w:val="00AD4209"/>
    <w:rsid w:val="00AD640A"/>
    <w:rsid w:val="00AE0450"/>
    <w:rsid w:val="00AE06D0"/>
    <w:rsid w:val="00AE1415"/>
    <w:rsid w:val="00AE20B8"/>
    <w:rsid w:val="00AE3206"/>
    <w:rsid w:val="00AE3AB0"/>
    <w:rsid w:val="00AE4728"/>
    <w:rsid w:val="00AE4E3E"/>
    <w:rsid w:val="00AE4E7A"/>
    <w:rsid w:val="00AE627D"/>
    <w:rsid w:val="00AF16C6"/>
    <w:rsid w:val="00AF3480"/>
    <w:rsid w:val="00AF50CC"/>
    <w:rsid w:val="00B00BFD"/>
    <w:rsid w:val="00B01477"/>
    <w:rsid w:val="00B039E1"/>
    <w:rsid w:val="00B045AB"/>
    <w:rsid w:val="00B055C9"/>
    <w:rsid w:val="00B05A6E"/>
    <w:rsid w:val="00B05D21"/>
    <w:rsid w:val="00B07440"/>
    <w:rsid w:val="00B12748"/>
    <w:rsid w:val="00B13791"/>
    <w:rsid w:val="00B13C19"/>
    <w:rsid w:val="00B13D07"/>
    <w:rsid w:val="00B149D2"/>
    <w:rsid w:val="00B14A53"/>
    <w:rsid w:val="00B14B70"/>
    <w:rsid w:val="00B14F8A"/>
    <w:rsid w:val="00B16632"/>
    <w:rsid w:val="00B1695C"/>
    <w:rsid w:val="00B20492"/>
    <w:rsid w:val="00B214A7"/>
    <w:rsid w:val="00B24818"/>
    <w:rsid w:val="00B2564B"/>
    <w:rsid w:val="00B25E75"/>
    <w:rsid w:val="00B27DBD"/>
    <w:rsid w:val="00B30A25"/>
    <w:rsid w:val="00B3101D"/>
    <w:rsid w:val="00B31FCE"/>
    <w:rsid w:val="00B3258D"/>
    <w:rsid w:val="00B33CAE"/>
    <w:rsid w:val="00B34190"/>
    <w:rsid w:val="00B34361"/>
    <w:rsid w:val="00B352CA"/>
    <w:rsid w:val="00B35567"/>
    <w:rsid w:val="00B36C96"/>
    <w:rsid w:val="00B37A18"/>
    <w:rsid w:val="00B40746"/>
    <w:rsid w:val="00B41760"/>
    <w:rsid w:val="00B418E0"/>
    <w:rsid w:val="00B42CF3"/>
    <w:rsid w:val="00B42CF8"/>
    <w:rsid w:val="00B44F4D"/>
    <w:rsid w:val="00B47F25"/>
    <w:rsid w:val="00B501C5"/>
    <w:rsid w:val="00B516F9"/>
    <w:rsid w:val="00B51A7B"/>
    <w:rsid w:val="00B51EFE"/>
    <w:rsid w:val="00B53318"/>
    <w:rsid w:val="00B53485"/>
    <w:rsid w:val="00B54430"/>
    <w:rsid w:val="00B54760"/>
    <w:rsid w:val="00B55629"/>
    <w:rsid w:val="00B558CB"/>
    <w:rsid w:val="00B56C28"/>
    <w:rsid w:val="00B57918"/>
    <w:rsid w:val="00B60B4B"/>
    <w:rsid w:val="00B60D23"/>
    <w:rsid w:val="00B60F81"/>
    <w:rsid w:val="00B61190"/>
    <w:rsid w:val="00B617E5"/>
    <w:rsid w:val="00B629B1"/>
    <w:rsid w:val="00B63F2C"/>
    <w:rsid w:val="00B64E40"/>
    <w:rsid w:val="00B70E2C"/>
    <w:rsid w:val="00B71F04"/>
    <w:rsid w:val="00B7314E"/>
    <w:rsid w:val="00B73B92"/>
    <w:rsid w:val="00B748B9"/>
    <w:rsid w:val="00B75928"/>
    <w:rsid w:val="00B75AE0"/>
    <w:rsid w:val="00B77159"/>
    <w:rsid w:val="00B77175"/>
    <w:rsid w:val="00B773F8"/>
    <w:rsid w:val="00B77C03"/>
    <w:rsid w:val="00B77E88"/>
    <w:rsid w:val="00B80B11"/>
    <w:rsid w:val="00B858DF"/>
    <w:rsid w:val="00B85DA3"/>
    <w:rsid w:val="00B86B0A"/>
    <w:rsid w:val="00B879FD"/>
    <w:rsid w:val="00B87F62"/>
    <w:rsid w:val="00B90BE7"/>
    <w:rsid w:val="00B915C7"/>
    <w:rsid w:val="00B9223F"/>
    <w:rsid w:val="00B92E4D"/>
    <w:rsid w:val="00B95941"/>
    <w:rsid w:val="00B9628E"/>
    <w:rsid w:val="00B971C2"/>
    <w:rsid w:val="00B97635"/>
    <w:rsid w:val="00BA10FE"/>
    <w:rsid w:val="00BA11C1"/>
    <w:rsid w:val="00BA13FF"/>
    <w:rsid w:val="00BA21D4"/>
    <w:rsid w:val="00BA2491"/>
    <w:rsid w:val="00BA2B6C"/>
    <w:rsid w:val="00BA3E44"/>
    <w:rsid w:val="00BA4CD3"/>
    <w:rsid w:val="00BA6F66"/>
    <w:rsid w:val="00BB0097"/>
    <w:rsid w:val="00BB0702"/>
    <w:rsid w:val="00BB5C66"/>
    <w:rsid w:val="00BC1DBE"/>
    <w:rsid w:val="00BC1FD0"/>
    <w:rsid w:val="00BC2653"/>
    <w:rsid w:val="00BC3C98"/>
    <w:rsid w:val="00BC5A48"/>
    <w:rsid w:val="00BC646E"/>
    <w:rsid w:val="00BC6E5B"/>
    <w:rsid w:val="00BD216B"/>
    <w:rsid w:val="00BD2C20"/>
    <w:rsid w:val="00BD2F68"/>
    <w:rsid w:val="00BD4178"/>
    <w:rsid w:val="00BD42B7"/>
    <w:rsid w:val="00BD43C4"/>
    <w:rsid w:val="00BD45F8"/>
    <w:rsid w:val="00BD5E2B"/>
    <w:rsid w:val="00BD67E4"/>
    <w:rsid w:val="00BD6BC6"/>
    <w:rsid w:val="00BD6E8A"/>
    <w:rsid w:val="00BD72B1"/>
    <w:rsid w:val="00BD77C6"/>
    <w:rsid w:val="00BD7ACE"/>
    <w:rsid w:val="00BD7E05"/>
    <w:rsid w:val="00BE2608"/>
    <w:rsid w:val="00BE2A93"/>
    <w:rsid w:val="00BE2FB1"/>
    <w:rsid w:val="00BE3C0D"/>
    <w:rsid w:val="00BE4365"/>
    <w:rsid w:val="00BE46CB"/>
    <w:rsid w:val="00BE49DD"/>
    <w:rsid w:val="00BE5102"/>
    <w:rsid w:val="00BE68EB"/>
    <w:rsid w:val="00BE71DE"/>
    <w:rsid w:val="00BF0125"/>
    <w:rsid w:val="00BF01E1"/>
    <w:rsid w:val="00BF0247"/>
    <w:rsid w:val="00BF5472"/>
    <w:rsid w:val="00BF565A"/>
    <w:rsid w:val="00BF7148"/>
    <w:rsid w:val="00BF76D1"/>
    <w:rsid w:val="00C00CF4"/>
    <w:rsid w:val="00C01045"/>
    <w:rsid w:val="00C01A3C"/>
    <w:rsid w:val="00C01C95"/>
    <w:rsid w:val="00C04155"/>
    <w:rsid w:val="00C042B3"/>
    <w:rsid w:val="00C04A41"/>
    <w:rsid w:val="00C04F10"/>
    <w:rsid w:val="00C056BA"/>
    <w:rsid w:val="00C05E08"/>
    <w:rsid w:val="00C06E0D"/>
    <w:rsid w:val="00C1019E"/>
    <w:rsid w:val="00C10E0D"/>
    <w:rsid w:val="00C11403"/>
    <w:rsid w:val="00C138EF"/>
    <w:rsid w:val="00C14764"/>
    <w:rsid w:val="00C14C67"/>
    <w:rsid w:val="00C14FC9"/>
    <w:rsid w:val="00C15DAF"/>
    <w:rsid w:val="00C16B14"/>
    <w:rsid w:val="00C16E72"/>
    <w:rsid w:val="00C20EAE"/>
    <w:rsid w:val="00C21533"/>
    <w:rsid w:val="00C215CF"/>
    <w:rsid w:val="00C22020"/>
    <w:rsid w:val="00C22511"/>
    <w:rsid w:val="00C22838"/>
    <w:rsid w:val="00C23269"/>
    <w:rsid w:val="00C23D14"/>
    <w:rsid w:val="00C24355"/>
    <w:rsid w:val="00C24E55"/>
    <w:rsid w:val="00C25D94"/>
    <w:rsid w:val="00C26508"/>
    <w:rsid w:val="00C26CAB"/>
    <w:rsid w:val="00C30766"/>
    <w:rsid w:val="00C30C18"/>
    <w:rsid w:val="00C30E92"/>
    <w:rsid w:val="00C30F2A"/>
    <w:rsid w:val="00C312C9"/>
    <w:rsid w:val="00C31E64"/>
    <w:rsid w:val="00C34D7D"/>
    <w:rsid w:val="00C34EDF"/>
    <w:rsid w:val="00C34F66"/>
    <w:rsid w:val="00C353C8"/>
    <w:rsid w:val="00C3559F"/>
    <w:rsid w:val="00C3666F"/>
    <w:rsid w:val="00C37743"/>
    <w:rsid w:val="00C40819"/>
    <w:rsid w:val="00C4381B"/>
    <w:rsid w:val="00C441E1"/>
    <w:rsid w:val="00C4459A"/>
    <w:rsid w:val="00C44B5E"/>
    <w:rsid w:val="00C4536D"/>
    <w:rsid w:val="00C455B3"/>
    <w:rsid w:val="00C45852"/>
    <w:rsid w:val="00C474FC"/>
    <w:rsid w:val="00C47C53"/>
    <w:rsid w:val="00C47F6D"/>
    <w:rsid w:val="00C50B5F"/>
    <w:rsid w:val="00C51849"/>
    <w:rsid w:val="00C53E43"/>
    <w:rsid w:val="00C5464C"/>
    <w:rsid w:val="00C55327"/>
    <w:rsid w:val="00C577CF"/>
    <w:rsid w:val="00C6072C"/>
    <w:rsid w:val="00C626C8"/>
    <w:rsid w:val="00C63C28"/>
    <w:rsid w:val="00C6485A"/>
    <w:rsid w:val="00C66325"/>
    <w:rsid w:val="00C6641F"/>
    <w:rsid w:val="00C667BA"/>
    <w:rsid w:val="00C6732D"/>
    <w:rsid w:val="00C701E3"/>
    <w:rsid w:val="00C70906"/>
    <w:rsid w:val="00C7112C"/>
    <w:rsid w:val="00C7162B"/>
    <w:rsid w:val="00C720C5"/>
    <w:rsid w:val="00C72C63"/>
    <w:rsid w:val="00C7536E"/>
    <w:rsid w:val="00C756A3"/>
    <w:rsid w:val="00C81BB3"/>
    <w:rsid w:val="00C83432"/>
    <w:rsid w:val="00C84018"/>
    <w:rsid w:val="00C84A7B"/>
    <w:rsid w:val="00C84E8D"/>
    <w:rsid w:val="00C85E9C"/>
    <w:rsid w:val="00C870AD"/>
    <w:rsid w:val="00C87E79"/>
    <w:rsid w:val="00C911CD"/>
    <w:rsid w:val="00C91729"/>
    <w:rsid w:val="00C918B8"/>
    <w:rsid w:val="00C924B3"/>
    <w:rsid w:val="00C934E1"/>
    <w:rsid w:val="00C93BD1"/>
    <w:rsid w:val="00C945C5"/>
    <w:rsid w:val="00C9466D"/>
    <w:rsid w:val="00C96641"/>
    <w:rsid w:val="00C96E91"/>
    <w:rsid w:val="00C9764B"/>
    <w:rsid w:val="00C9797F"/>
    <w:rsid w:val="00CA2211"/>
    <w:rsid w:val="00CA381F"/>
    <w:rsid w:val="00CA49F2"/>
    <w:rsid w:val="00CA5FDB"/>
    <w:rsid w:val="00CA6331"/>
    <w:rsid w:val="00CA688E"/>
    <w:rsid w:val="00CA6936"/>
    <w:rsid w:val="00CA6F73"/>
    <w:rsid w:val="00CA71CC"/>
    <w:rsid w:val="00CA7326"/>
    <w:rsid w:val="00CA7B7F"/>
    <w:rsid w:val="00CB2186"/>
    <w:rsid w:val="00CB3734"/>
    <w:rsid w:val="00CB3BB2"/>
    <w:rsid w:val="00CB6767"/>
    <w:rsid w:val="00CC00B3"/>
    <w:rsid w:val="00CC0662"/>
    <w:rsid w:val="00CC3629"/>
    <w:rsid w:val="00CC46ED"/>
    <w:rsid w:val="00CC4A20"/>
    <w:rsid w:val="00CC6059"/>
    <w:rsid w:val="00CC65AE"/>
    <w:rsid w:val="00CC6AAC"/>
    <w:rsid w:val="00CC6D53"/>
    <w:rsid w:val="00CD313A"/>
    <w:rsid w:val="00CD3723"/>
    <w:rsid w:val="00CD69D7"/>
    <w:rsid w:val="00CD6CD9"/>
    <w:rsid w:val="00CD72EB"/>
    <w:rsid w:val="00CE094E"/>
    <w:rsid w:val="00CE33F1"/>
    <w:rsid w:val="00CE3545"/>
    <w:rsid w:val="00CE41A3"/>
    <w:rsid w:val="00CE448D"/>
    <w:rsid w:val="00CE574E"/>
    <w:rsid w:val="00CE5B32"/>
    <w:rsid w:val="00CE7A3A"/>
    <w:rsid w:val="00CF14D7"/>
    <w:rsid w:val="00CF15C8"/>
    <w:rsid w:val="00CF26FD"/>
    <w:rsid w:val="00CF3ACA"/>
    <w:rsid w:val="00CF4184"/>
    <w:rsid w:val="00CF454B"/>
    <w:rsid w:val="00CF4EE7"/>
    <w:rsid w:val="00CF58A1"/>
    <w:rsid w:val="00D0296A"/>
    <w:rsid w:val="00D03FB6"/>
    <w:rsid w:val="00D06E4A"/>
    <w:rsid w:val="00D1050C"/>
    <w:rsid w:val="00D1181E"/>
    <w:rsid w:val="00D134DD"/>
    <w:rsid w:val="00D13B2F"/>
    <w:rsid w:val="00D146A4"/>
    <w:rsid w:val="00D14C7B"/>
    <w:rsid w:val="00D1676D"/>
    <w:rsid w:val="00D21BED"/>
    <w:rsid w:val="00D22D1E"/>
    <w:rsid w:val="00D23027"/>
    <w:rsid w:val="00D23545"/>
    <w:rsid w:val="00D23982"/>
    <w:rsid w:val="00D267B0"/>
    <w:rsid w:val="00D33CDE"/>
    <w:rsid w:val="00D3486C"/>
    <w:rsid w:val="00D34B19"/>
    <w:rsid w:val="00D356D6"/>
    <w:rsid w:val="00D35DAB"/>
    <w:rsid w:val="00D36C0C"/>
    <w:rsid w:val="00D37034"/>
    <w:rsid w:val="00D373B7"/>
    <w:rsid w:val="00D37437"/>
    <w:rsid w:val="00D37CEB"/>
    <w:rsid w:val="00D40BF9"/>
    <w:rsid w:val="00D458BF"/>
    <w:rsid w:val="00D46F7F"/>
    <w:rsid w:val="00D4714E"/>
    <w:rsid w:val="00D515FF"/>
    <w:rsid w:val="00D57614"/>
    <w:rsid w:val="00D61280"/>
    <w:rsid w:val="00D61AE3"/>
    <w:rsid w:val="00D61F57"/>
    <w:rsid w:val="00D6449E"/>
    <w:rsid w:val="00D64930"/>
    <w:rsid w:val="00D65822"/>
    <w:rsid w:val="00D6639C"/>
    <w:rsid w:val="00D67149"/>
    <w:rsid w:val="00D676EB"/>
    <w:rsid w:val="00D67D13"/>
    <w:rsid w:val="00D67D60"/>
    <w:rsid w:val="00D701BB"/>
    <w:rsid w:val="00D707D5"/>
    <w:rsid w:val="00D71959"/>
    <w:rsid w:val="00D77785"/>
    <w:rsid w:val="00D77D42"/>
    <w:rsid w:val="00D80727"/>
    <w:rsid w:val="00D8144D"/>
    <w:rsid w:val="00D8421B"/>
    <w:rsid w:val="00D847C4"/>
    <w:rsid w:val="00D84E9B"/>
    <w:rsid w:val="00D85236"/>
    <w:rsid w:val="00D874DB"/>
    <w:rsid w:val="00D92FA3"/>
    <w:rsid w:val="00D93799"/>
    <w:rsid w:val="00D947A6"/>
    <w:rsid w:val="00D94CEE"/>
    <w:rsid w:val="00D9521B"/>
    <w:rsid w:val="00D974B3"/>
    <w:rsid w:val="00D97B2B"/>
    <w:rsid w:val="00DA0092"/>
    <w:rsid w:val="00DA0BE6"/>
    <w:rsid w:val="00DA2BFC"/>
    <w:rsid w:val="00DA3293"/>
    <w:rsid w:val="00DA46F8"/>
    <w:rsid w:val="00DA4B6E"/>
    <w:rsid w:val="00DA5105"/>
    <w:rsid w:val="00DA5346"/>
    <w:rsid w:val="00DB22F4"/>
    <w:rsid w:val="00DB25E0"/>
    <w:rsid w:val="00DB2965"/>
    <w:rsid w:val="00DB485D"/>
    <w:rsid w:val="00DB4FD7"/>
    <w:rsid w:val="00DB6A88"/>
    <w:rsid w:val="00DC0EF4"/>
    <w:rsid w:val="00DC1015"/>
    <w:rsid w:val="00DC1202"/>
    <w:rsid w:val="00DC1CF4"/>
    <w:rsid w:val="00DC205A"/>
    <w:rsid w:val="00DC2071"/>
    <w:rsid w:val="00DC2A03"/>
    <w:rsid w:val="00DC42BA"/>
    <w:rsid w:val="00DC74F0"/>
    <w:rsid w:val="00DC7B73"/>
    <w:rsid w:val="00DD22EB"/>
    <w:rsid w:val="00DD2512"/>
    <w:rsid w:val="00DD2BDA"/>
    <w:rsid w:val="00DD2CDB"/>
    <w:rsid w:val="00DD3367"/>
    <w:rsid w:val="00DD4F9C"/>
    <w:rsid w:val="00DD6443"/>
    <w:rsid w:val="00DD6846"/>
    <w:rsid w:val="00DE007E"/>
    <w:rsid w:val="00DE0401"/>
    <w:rsid w:val="00DE0943"/>
    <w:rsid w:val="00DE0E66"/>
    <w:rsid w:val="00DE176F"/>
    <w:rsid w:val="00DE2D01"/>
    <w:rsid w:val="00DE4792"/>
    <w:rsid w:val="00DE4CD9"/>
    <w:rsid w:val="00DF0366"/>
    <w:rsid w:val="00DF1C82"/>
    <w:rsid w:val="00DF24BD"/>
    <w:rsid w:val="00DF3A6B"/>
    <w:rsid w:val="00DF4D57"/>
    <w:rsid w:val="00DF5DD4"/>
    <w:rsid w:val="00DF7EF2"/>
    <w:rsid w:val="00E00110"/>
    <w:rsid w:val="00E006EE"/>
    <w:rsid w:val="00E016A8"/>
    <w:rsid w:val="00E03707"/>
    <w:rsid w:val="00E059BD"/>
    <w:rsid w:val="00E1187E"/>
    <w:rsid w:val="00E12EDF"/>
    <w:rsid w:val="00E14FC0"/>
    <w:rsid w:val="00E15C58"/>
    <w:rsid w:val="00E16473"/>
    <w:rsid w:val="00E16A1A"/>
    <w:rsid w:val="00E17BB1"/>
    <w:rsid w:val="00E20018"/>
    <w:rsid w:val="00E20C18"/>
    <w:rsid w:val="00E20F67"/>
    <w:rsid w:val="00E25C48"/>
    <w:rsid w:val="00E262A4"/>
    <w:rsid w:val="00E270A7"/>
    <w:rsid w:val="00E30E76"/>
    <w:rsid w:val="00E313AD"/>
    <w:rsid w:val="00E33CC2"/>
    <w:rsid w:val="00E33D79"/>
    <w:rsid w:val="00E33F79"/>
    <w:rsid w:val="00E34DA6"/>
    <w:rsid w:val="00E35BA0"/>
    <w:rsid w:val="00E36723"/>
    <w:rsid w:val="00E36A5F"/>
    <w:rsid w:val="00E37E3B"/>
    <w:rsid w:val="00E41AE6"/>
    <w:rsid w:val="00E4291B"/>
    <w:rsid w:val="00E43E1F"/>
    <w:rsid w:val="00E43EFB"/>
    <w:rsid w:val="00E440A4"/>
    <w:rsid w:val="00E44488"/>
    <w:rsid w:val="00E450F8"/>
    <w:rsid w:val="00E45183"/>
    <w:rsid w:val="00E454AC"/>
    <w:rsid w:val="00E5081C"/>
    <w:rsid w:val="00E51EF7"/>
    <w:rsid w:val="00E52734"/>
    <w:rsid w:val="00E52A12"/>
    <w:rsid w:val="00E52A23"/>
    <w:rsid w:val="00E5385E"/>
    <w:rsid w:val="00E53B03"/>
    <w:rsid w:val="00E55AA6"/>
    <w:rsid w:val="00E5653E"/>
    <w:rsid w:val="00E56BD4"/>
    <w:rsid w:val="00E57AB3"/>
    <w:rsid w:val="00E61907"/>
    <w:rsid w:val="00E62705"/>
    <w:rsid w:val="00E62B78"/>
    <w:rsid w:val="00E636A8"/>
    <w:rsid w:val="00E64109"/>
    <w:rsid w:val="00E64994"/>
    <w:rsid w:val="00E64AD0"/>
    <w:rsid w:val="00E65C3F"/>
    <w:rsid w:val="00E65DC9"/>
    <w:rsid w:val="00E665C3"/>
    <w:rsid w:val="00E669A1"/>
    <w:rsid w:val="00E677AE"/>
    <w:rsid w:val="00E724BE"/>
    <w:rsid w:val="00E73043"/>
    <w:rsid w:val="00E7351A"/>
    <w:rsid w:val="00E748A1"/>
    <w:rsid w:val="00E748EF"/>
    <w:rsid w:val="00E755B9"/>
    <w:rsid w:val="00E763AC"/>
    <w:rsid w:val="00E76955"/>
    <w:rsid w:val="00E77978"/>
    <w:rsid w:val="00E77F20"/>
    <w:rsid w:val="00E80573"/>
    <w:rsid w:val="00E807F0"/>
    <w:rsid w:val="00E82CCD"/>
    <w:rsid w:val="00E82E35"/>
    <w:rsid w:val="00E82F1D"/>
    <w:rsid w:val="00E8335E"/>
    <w:rsid w:val="00E83736"/>
    <w:rsid w:val="00E84A6F"/>
    <w:rsid w:val="00E84E85"/>
    <w:rsid w:val="00E85DFC"/>
    <w:rsid w:val="00E871DF"/>
    <w:rsid w:val="00E87477"/>
    <w:rsid w:val="00E87AD1"/>
    <w:rsid w:val="00E915A6"/>
    <w:rsid w:val="00E96154"/>
    <w:rsid w:val="00E97C9F"/>
    <w:rsid w:val="00EA0305"/>
    <w:rsid w:val="00EA0E2B"/>
    <w:rsid w:val="00EA4570"/>
    <w:rsid w:val="00EA5F80"/>
    <w:rsid w:val="00EA6F80"/>
    <w:rsid w:val="00EA768A"/>
    <w:rsid w:val="00EB09DD"/>
    <w:rsid w:val="00EB2EF5"/>
    <w:rsid w:val="00EB3783"/>
    <w:rsid w:val="00EB3CB4"/>
    <w:rsid w:val="00EB5E34"/>
    <w:rsid w:val="00EB657B"/>
    <w:rsid w:val="00EB73FD"/>
    <w:rsid w:val="00EC014F"/>
    <w:rsid w:val="00EC283D"/>
    <w:rsid w:val="00EC5D9B"/>
    <w:rsid w:val="00ED305E"/>
    <w:rsid w:val="00ED3265"/>
    <w:rsid w:val="00ED36D1"/>
    <w:rsid w:val="00ED37E0"/>
    <w:rsid w:val="00ED4AC0"/>
    <w:rsid w:val="00ED6BDF"/>
    <w:rsid w:val="00ED72C3"/>
    <w:rsid w:val="00EE06EC"/>
    <w:rsid w:val="00EE1318"/>
    <w:rsid w:val="00EE1C46"/>
    <w:rsid w:val="00EE25EA"/>
    <w:rsid w:val="00EE2CC5"/>
    <w:rsid w:val="00EE68FE"/>
    <w:rsid w:val="00EE6C41"/>
    <w:rsid w:val="00EE714D"/>
    <w:rsid w:val="00EE75A7"/>
    <w:rsid w:val="00EF1827"/>
    <w:rsid w:val="00EF3F54"/>
    <w:rsid w:val="00EF4569"/>
    <w:rsid w:val="00EF6BE6"/>
    <w:rsid w:val="00EF74D1"/>
    <w:rsid w:val="00F02D07"/>
    <w:rsid w:val="00F04239"/>
    <w:rsid w:val="00F046BA"/>
    <w:rsid w:val="00F05DE8"/>
    <w:rsid w:val="00F0659F"/>
    <w:rsid w:val="00F06829"/>
    <w:rsid w:val="00F07346"/>
    <w:rsid w:val="00F07CE2"/>
    <w:rsid w:val="00F102A8"/>
    <w:rsid w:val="00F10526"/>
    <w:rsid w:val="00F10FC0"/>
    <w:rsid w:val="00F16830"/>
    <w:rsid w:val="00F23A38"/>
    <w:rsid w:val="00F24AC8"/>
    <w:rsid w:val="00F2561C"/>
    <w:rsid w:val="00F25DAE"/>
    <w:rsid w:val="00F262E5"/>
    <w:rsid w:val="00F31B08"/>
    <w:rsid w:val="00F33D66"/>
    <w:rsid w:val="00F3432E"/>
    <w:rsid w:val="00F348DE"/>
    <w:rsid w:val="00F406C8"/>
    <w:rsid w:val="00F431A9"/>
    <w:rsid w:val="00F4439E"/>
    <w:rsid w:val="00F449C4"/>
    <w:rsid w:val="00F44BA4"/>
    <w:rsid w:val="00F45427"/>
    <w:rsid w:val="00F46A7D"/>
    <w:rsid w:val="00F4737A"/>
    <w:rsid w:val="00F520AC"/>
    <w:rsid w:val="00F53406"/>
    <w:rsid w:val="00F53A01"/>
    <w:rsid w:val="00F54A61"/>
    <w:rsid w:val="00F5559D"/>
    <w:rsid w:val="00F57590"/>
    <w:rsid w:val="00F6034A"/>
    <w:rsid w:val="00F60630"/>
    <w:rsid w:val="00F6425B"/>
    <w:rsid w:val="00F64A0D"/>
    <w:rsid w:val="00F6542B"/>
    <w:rsid w:val="00F662F3"/>
    <w:rsid w:val="00F663F5"/>
    <w:rsid w:val="00F66D22"/>
    <w:rsid w:val="00F67C82"/>
    <w:rsid w:val="00F7307C"/>
    <w:rsid w:val="00F752B7"/>
    <w:rsid w:val="00F76272"/>
    <w:rsid w:val="00F80251"/>
    <w:rsid w:val="00F807CB"/>
    <w:rsid w:val="00F81757"/>
    <w:rsid w:val="00F8246A"/>
    <w:rsid w:val="00F82F5D"/>
    <w:rsid w:val="00F837DB"/>
    <w:rsid w:val="00F838FD"/>
    <w:rsid w:val="00F84454"/>
    <w:rsid w:val="00F862BA"/>
    <w:rsid w:val="00F86D65"/>
    <w:rsid w:val="00F877A5"/>
    <w:rsid w:val="00F87E63"/>
    <w:rsid w:val="00F92471"/>
    <w:rsid w:val="00F92E6E"/>
    <w:rsid w:val="00F947AB"/>
    <w:rsid w:val="00F94B5E"/>
    <w:rsid w:val="00F94D81"/>
    <w:rsid w:val="00F95ED5"/>
    <w:rsid w:val="00F96157"/>
    <w:rsid w:val="00F970B9"/>
    <w:rsid w:val="00FA1FDD"/>
    <w:rsid w:val="00FA2A52"/>
    <w:rsid w:val="00FA2B4D"/>
    <w:rsid w:val="00FA3C3E"/>
    <w:rsid w:val="00FA441B"/>
    <w:rsid w:val="00FA4DD7"/>
    <w:rsid w:val="00FA53D1"/>
    <w:rsid w:val="00FB06A2"/>
    <w:rsid w:val="00FB09ED"/>
    <w:rsid w:val="00FB187E"/>
    <w:rsid w:val="00FB1E2C"/>
    <w:rsid w:val="00FB2AA5"/>
    <w:rsid w:val="00FB3828"/>
    <w:rsid w:val="00FB582E"/>
    <w:rsid w:val="00FB5F2B"/>
    <w:rsid w:val="00FC594C"/>
    <w:rsid w:val="00FC6819"/>
    <w:rsid w:val="00FC6ACE"/>
    <w:rsid w:val="00FC6DB2"/>
    <w:rsid w:val="00FC74A7"/>
    <w:rsid w:val="00FD078A"/>
    <w:rsid w:val="00FD5262"/>
    <w:rsid w:val="00FD6004"/>
    <w:rsid w:val="00FD6B6E"/>
    <w:rsid w:val="00FD6D27"/>
    <w:rsid w:val="00FD6E2A"/>
    <w:rsid w:val="00FD6F5B"/>
    <w:rsid w:val="00FE0920"/>
    <w:rsid w:val="00FE0A38"/>
    <w:rsid w:val="00FE11D3"/>
    <w:rsid w:val="00FE12AA"/>
    <w:rsid w:val="00FE15A8"/>
    <w:rsid w:val="00FE23E8"/>
    <w:rsid w:val="00FE2F0E"/>
    <w:rsid w:val="00FE49C5"/>
    <w:rsid w:val="00FE49F0"/>
    <w:rsid w:val="00FE7120"/>
    <w:rsid w:val="00FE76C0"/>
    <w:rsid w:val="00FE7878"/>
    <w:rsid w:val="00FF0AB7"/>
    <w:rsid w:val="00FF11D4"/>
    <w:rsid w:val="00FF1553"/>
    <w:rsid w:val="00FF2468"/>
    <w:rsid w:val="00FF2D31"/>
    <w:rsid w:val="00FF4229"/>
    <w:rsid w:val="00FF5C1A"/>
    <w:rsid w:val="00FF7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291AD5E"/>
  <w15:docId w15:val="{CF30D1C7-9F92-46AE-84A2-9703617D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CA"/>
    <w:rPr>
      <w:rFonts w:ascii="Tahoma" w:hAnsi="Tahoma" w:cs="Tahoma"/>
      <w:sz w:val="16"/>
      <w:szCs w:val="16"/>
    </w:rPr>
  </w:style>
  <w:style w:type="paragraph" w:styleId="ListParagraph">
    <w:name w:val="List Paragraph"/>
    <w:basedOn w:val="Normal"/>
    <w:uiPriority w:val="34"/>
    <w:qFormat/>
    <w:rsid w:val="00A316C2"/>
    <w:pPr>
      <w:ind w:left="720"/>
      <w:contextualSpacing/>
    </w:pPr>
  </w:style>
  <w:style w:type="table" w:styleId="TableGrid">
    <w:name w:val="Table Grid"/>
    <w:basedOn w:val="TableNormal"/>
    <w:uiPriority w:val="59"/>
    <w:rsid w:val="0005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350"/>
    <w:rPr>
      <w:color w:val="0000FF" w:themeColor="hyperlink"/>
      <w:u w:val="single"/>
    </w:rPr>
  </w:style>
  <w:style w:type="character" w:customStyle="1" w:styleId="UnresolvedMention1">
    <w:name w:val="Unresolved Mention1"/>
    <w:basedOn w:val="DefaultParagraphFont"/>
    <w:uiPriority w:val="99"/>
    <w:semiHidden/>
    <w:unhideWhenUsed/>
    <w:rsid w:val="00183350"/>
    <w:rPr>
      <w:color w:val="605E5C"/>
      <w:shd w:val="clear" w:color="auto" w:fill="E1DFDD"/>
    </w:rPr>
  </w:style>
  <w:style w:type="paragraph" w:styleId="Header">
    <w:name w:val="header"/>
    <w:basedOn w:val="Normal"/>
    <w:link w:val="HeaderChar"/>
    <w:uiPriority w:val="99"/>
    <w:unhideWhenUsed/>
    <w:rsid w:val="00861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F0"/>
  </w:style>
  <w:style w:type="paragraph" w:styleId="Footer">
    <w:name w:val="footer"/>
    <w:basedOn w:val="Normal"/>
    <w:link w:val="FooterChar"/>
    <w:uiPriority w:val="99"/>
    <w:unhideWhenUsed/>
    <w:rsid w:val="00861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F0"/>
  </w:style>
  <w:style w:type="character" w:styleId="PlaceholderText">
    <w:name w:val="Placeholder Text"/>
    <w:basedOn w:val="DefaultParagraphFont"/>
    <w:uiPriority w:val="99"/>
    <w:semiHidden/>
    <w:rsid w:val="003305FE"/>
    <w:rPr>
      <w:color w:val="808080"/>
    </w:rPr>
  </w:style>
  <w:style w:type="paragraph" w:styleId="NoSpacing">
    <w:name w:val="No Spacing"/>
    <w:uiPriority w:val="1"/>
    <w:qFormat/>
    <w:rsid w:val="0099269F"/>
    <w:pPr>
      <w:spacing w:after="0" w:line="240" w:lineRule="auto"/>
    </w:pPr>
  </w:style>
  <w:style w:type="character" w:styleId="UnresolvedMention">
    <w:name w:val="Unresolved Mention"/>
    <w:basedOn w:val="DefaultParagraphFont"/>
    <w:uiPriority w:val="99"/>
    <w:semiHidden/>
    <w:unhideWhenUsed/>
    <w:rsid w:val="00B55629"/>
    <w:rPr>
      <w:color w:val="605E5C"/>
      <w:shd w:val="clear" w:color="auto" w:fill="E1DFDD"/>
    </w:rPr>
  </w:style>
  <w:style w:type="paragraph" w:styleId="NormalWeb">
    <w:name w:val="Normal (Web)"/>
    <w:basedOn w:val="Normal"/>
    <w:uiPriority w:val="99"/>
    <w:semiHidden/>
    <w:unhideWhenUsed/>
    <w:rsid w:val="008D29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699">
      <w:bodyDiv w:val="1"/>
      <w:marLeft w:val="0"/>
      <w:marRight w:val="0"/>
      <w:marTop w:val="0"/>
      <w:marBottom w:val="0"/>
      <w:divBdr>
        <w:top w:val="none" w:sz="0" w:space="0" w:color="auto"/>
        <w:left w:val="none" w:sz="0" w:space="0" w:color="auto"/>
        <w:bottom w:val="none" w:sz="0" w:space="0" w:color="auto"/>
        <w:right w:val="none" w:sz="0" w:space="0" w:color="auto"/>
      </w:divBdr>
    </w:div>
    <w:div w:id="19624648">
      <w:bodyDiv w:val="1"/>
      <w:marLeft w:val="0"/>
      <w:marRight w:val="0"/>
      <w:marTop w:val="0"/>
      <w:marBottom w:val="0"/>
      <w:divBdr>
        <w:top w:val="none" w:sz="0" w:space="0" w:color="auto"/>
        <w:left w:val="none" w:sz="0" w:space="0" w:color="auto"/>
        <w:bottom w:val="none" w:sz="0" w:space="0" w:color="auto"/>
        <w:right w:val="none" w:sz="0" w:space="0" w:color="auto"/>
      </w:divBdr>
    </w:div>
    <w:div w:id="135725524">
      <w:bodyDiv w:val="1"/>
      <w:marLeft w:val="0"/>
      <w:marRight w:val="0"/>
      <w:marTop w:val="0"/>
      <w:marBottom w:val="0"/>
      <w:divBdr>
        <w:top w:val="none" w:sz="0" w:space="0" w:color="auto"/>
        <w:left w:val="none" w:sz="0" w:space="0" w:color="auto"/>
        <w:bottom w:val="none" w:sz="0" w:space="0" w:color="auto"/>
        <w:right w:val="none" w:sz="0" w:space="0" w:color="auto"/>
      </w:divBdr>
    </w:div>
    <w:div w:id="162863125">
      <w:bodyDiv w:val="1"/>
      <w:marLeft w:val="0"/>
      <w:marRight w:val="0"/>
      <w:marTop w:val="0"/>
      <w:marBottom w:val="0"/>
      <w:divBdr>
        <w:top w:val="none" w:sz="0" w:space="0" w:color="auto"/>
        <w:left w:val="none" w:sz="0" w:space="0" w:color="auto"/>
        <w:bottom w:val="none" w:sz="0" w:space="0" w:color="auto"/>
        <w:right w:val="none" w:sz="0" w:space="0" w:color="auto"/>
      </w:divBdr>
    </w:div>
    <w:div w:id="305625588">
      <w:bodyDiv w:val="1"/>
      <w:marLeft w:val="0"/>
      <w:marRight w:val="0"/>
      <w:marTop w:val="0"/>
      <w:marBottom w:val="0"/>
      <w:divBdr>
        <w:top w:val="none" w:sz="0" w:space="0" w:color="auto"/>
        <w:left w:val="none" w:sz="0" w:space="0" w:color="auto"/>
        <w:bottom w:val="none" w:sz="0" w:space="0" w:color="auto"/>
        <w:right w:val="none" w:sz="0" w:space="0" w:color="auto"/>
      </w:divBdr>
    </w:div>
    <w:div w:id="366099348">
      <w:bodyDiv w:val="1"/>
      <w:marLeft w:val="0"/>
      <w:marRight w:val="0"/>
      <w:marTop w:val="0"/>
      <w:marBottom w:val="0"/>
      <w:divBdr>
        <w:top w:val="none" w:sz="0" w:space="0" w:color="auto"/>
        <w:left w:val="none" w:sz="0" w:space="0" w:color="auto"/>
        <w:bottom w:val="none" w:sz="0" w:space="0" w:color="auto"/>
        <w:right w:val="none" w:sz="0" w:space="0" w:color="auto"/>
      </w:divBdr>
    </w:div>
    <w:div w:id="406615030">
      <w:bodyDiv w:val="1"/>
      <w:marLeft w:val="0"/>
      <w:marRight w:val="0"/>
      <w:marTop w:val="0"/>
      <w:marBottom w:val="0"/>
      <w:divBdr>
        <w:top w:val="none" w:sz="0" w:space="0" w:color="auto"/>
        <w:left w:val="none" w:sz="0" w:space="0" w:color="auto"/>
        <w:bottom w:val="none" w:sz="0" w:space="0" w:color="auto"/>
        <w:right w:val="none" w:sz="0" w:space="0" w:color="auto"/>
      </w:divBdr>
    </w:div>
    <w:div w:id="539365457">
      <w:bodyDiv w:val="1"/>
      <w:marLeft w:val="0"/>
      <w:marRight w:val="0"/>
      <w:marTop w:val="0"/>
      <w:marBottom w:val="0"/>
      <w:divBdr>
        <w:top w:val="none" w:sz="0" w:space="0" w:color="auto"/>
        <w:left w:val="none" w:sz="0" w:space="0" w:color="auto"/>
        <w:bottom w:val="none" w:sz="0" w:space="0" w:color="auto"/>
        <w:right w:val="none" w:sz="0" w:space="0" w:color="auto"/>
      </w:divBdr>
    </w:div>
    <w:div w:id="559948058">
      <w:bodyDiv w:val="1"/>
      <w:marLeft w:val="0"/>
      <w:marRight w:val="0"/>
      <w:marTop w:val="0"/>
      <w:marBottom w:val="0"/>
      <w:divBdr>
        <w:top w:val="none" w:sz="0" w:space="0" w:color="auto"/>
        <w:left w:val="none" w:sz="0" w:space="0" w:color="auto"/>
        <w:bottom w:val="none" w:sz="0" w:space="0" w:color="auto"/>
        <w:right w:val="none" w:sz="0" w:space="0" w:color="auto"/>
      </w:divBdr>
    </w:div>
    <w:div w:id="597910440">
      <w:bodyDiv w:val="1"/>
      <w:marLeft w:val="0"/>
      <w:marRight w:val="0"/>
      <w:marTop w:val="0"/>
      <w:marBottom w:val="0"/>
      <w:divBdr>
        <w:top w:val="none" w:sz="0" w:space="0" w:color="auto"/>
        <w:left w:val="none" w:sz="0" w:space="0" w:color="auto"/>
        <w:bottom w:val="none" w:sz="0" w:space="0" w:color="auto"/>
        <w:right w:val="none" w:sz="0" w:space="0" w:color="auto"/>
      </w:divBdr>
    </w:div>
    <w:div w:id="611863761">
      <w:bodyDiv w:val="1"/>
      <w:marLeft w:val="0"/>
      <w:marRight w:val="0"/>
      <w:marTop w:val="0"/>
      <w:marBottom w:val="0"/>
      <w:divBdr>
        <w:top w:val="none" w:sz="0" w:space="0" w:color="auto"/>
        <w:left w:val="none" w:sz="0" w:space="0" w:color="auto"/>
        <w:bottom w:val="none" w:sz="0" w:space="0" w:color="auto"/>
        <w:right w:val="none" w:sz="0" w:space="0" w:color="auto"/>
      </w:divBdr>
    </w:div>
    <w:div w:id="620652040">
      <w:bodyDiv w:val="1"/>
      <w:marLeft w:val="0"/>
      <w:marRight w:val="0"/>
      <w:marTop w:val="0"/>
      <w:marBottom w:val="0"/>
      <w:divBdr>
        <w:top w:val="none" w:sz="0" w:space="0" w:color="auto"/>
        <w:left w:val="none" w:sz="0" w:space="0" w:color="auto"/>
        <w:bottom w:val="none" w:sz="0" w:space="0" w:color="auto"/>
        <w:right w:val="none" w:sz="0" w:space="0" w:color="auto"/>
      </w:divBdr>
    </w:div>
    <w:div w:id="665207798">
      <w:bodyDiv w:val="1"/>
      <w:marLeft w:val="0"/>
      <w:marRight w:val="0"/>
      <w:marTop w:val="0"/>
      <w:marBottom w:val="0"/>
      <w:divBdr>
        <w:top w:val="none" w:sz="0" w:space="0" w:color="auto"/>
        <w:left w:val="none" w:sz="0" w:space="0" w:color="auto"/>
        <w:bottom w:val="none" w:sz="0" w:space="0" w:color="auto"/>
        <w:right w:val="none" w:sz="0" w:space="0" w:color="auto"/>
      </w:divBdr>
    </w:div>
    <w:div w:id="679745952">
      <w:bodyDiv w:val="1"/>
      <w:marLeft w:val="0"/>
      <w:marRight w:val="0"/>
      <w:marTop w:val="0"/>
      <w:marBottom w:val="0"/>
      <w:divBdr>
        <w:top w:val="none" w:sz="0" w:space="0" w:color="auto"/>
        <w:left w:val="none" w:sz="0" w:space="0" w:color="auto"/>
        <w:bottom w:val="none" w:sz="0" w:space="0" w:color="auto"/>
        <w:right w:val="none" w:sz="0" w:space="0" w:color="auto"/>
      </w:divBdr>
    </w:div>
    <w:div w:id="727995510">
      <w:bodyDiv w:val="1"/>
      <w:marLeft w:val="0"/>
      <w:marRight w:val="0"/>
      <w:marTop w:val="0"/>
      <w:marBottom w:val="0"/>
      <w:divBdr>
        <w:top w:val="none" w:sz="0" w:space="0" w:color="auto"/>
        <w:left w:val="none" w:sz="0" w:space="0" w:color="auto"/>
        <w:bottom w:val="none" w:sz="0" w:space="0" w:color="auto"/>
        <w:right w:val="none" w:sz="0" w:space="0" w:color="auto"/>
      </w:divBdr>
    </w:div>
    <w:div w:id="787089348">
      <w:bodyDiv w:val="1"/>
      <w:marLeft w:val="0"/>
      <w:marRight w:val="0"/>
      <w:marTop w:val="0"/>
      <w:marBottom w:val="0"/>
      <w:divBdr>
        <w:top w:val="none" w:sz="0" w:space="0" w:color="auto"/>
        <w:left w:val="none" w:sz="0" w:space="0" w:color="auto"/>
        <w:bottom w:val="none" w:sz="0" w:space="0" w:color="auto"/>
        <w:right w:val="none" w:sz="0" w:space="0" w:color="auto"/>
      </w:divBdr>
    </w:div>
    <w:div w:id="824707956">
      <w:bodyDiv w:val="1"/>
      <w:marLeft w:val="0"/>
      <w:marRight w:val="0"/>
      <w:marTop w:val="0"/>
      <w:marBottom w:val="0"/>
      <w:divBdr>
        <w:top w:val="none" w:sz="0" w:space="0" w:color="auto"/>
        <w:left w:val="none" w:sz="0" w:space="0" w:color="auto"/>
        <w:bottom w:val="none" w:sz="0" w:space="0" w:color="auto"/>
        <w:right w:val="none" w:sz="0" w:space="0" w:color="auto"/>
      </w:divBdr>
    </w:div>
    <w:div w:id="826171739">
      <w:bodyDiv w:val="1"/>
      <w:marLeft w:val="0"/>
      <w:marRight w:val="0"/>
      <w:marTop w:val="0"/>
      <w:marBottom w:val="0"/>
      <w:divBdr>
        <w:top w:val="none" w:sz="0" w:space="0" w:color="auto"/>
        <w:left w:val="none" w:sz="0" w:space="0" w:color="auto"/>
        <w:bottom w:val="none" w:sz="0" w:space="0" w:color="auto"/>
        <w:right w:val="none" w:sz="0" w:space="0" w:color="auto"/>
      </w:divBdr>
    </w:div>
    <w:div w:id="881331790">
      <w:bodyDiv w:val="1"/>
      <w:marLeft w:val="0"/>
      <w:marRight w:val="0"/>
      <w:marTop w:val="0"/>
      <w:marBottom w:val="0"/>
      <w:divBdr>
        <w:top w:val="none" w:sz="0" w:space="0" w:color="auto"/>
        <w:left w:val="none" w:sz="0" w:space="0" w:color="auto"/>
        <w:bottom w:val="none" w:sz="0" w:space="0" w:color="auto"/>
        <w:right w:val="none" w:sz="0" w:space="0" w:color="auto"/>
      </w:divBdr>
    </w:div>
    <w:div w:id="940650447">
      <w:bodyDiv w:val="1"/>
      <w:marLeft w:val="0"/>
      <w:marRight w:val="0"/>
      <w:marTop w:val="0"/>
      <w:marBottom w:val="0"/>
      <w:divBdr>
        <w:top w:val="none" w:sz="0" w:space="0" w:color="auto"/>
        <w:left w:val="none" w:sz="0" w:space="0" w:color="auto"/>
        <w:bottom w:val="none" w:sz="0" w:space="0" w:color="auto"/>
        <w:right w:val="none" w:sz="0" w:space="0" w:color="auto"/>
      </w:divBdr>
    </w:div>
    <w:div w:id="964196111">
      <w:bodyDiv w:val="1"/>
      <w:marLeft w:val="0"/>
      <w:marRight w:val="0"/>
      <w:marTop w:val="0"/>
      <w:marBottom w:val="0"/>
      <w:divBdr>
        <w:top w:val="none" w:sz="0" w:space="0" w:color="auto"/>
        <w:left w:val="none" w:sz="0" w:space="0" w:color="auto"/>
        <w:bottom w:val="none" w:sz="0" w:space="0" w:color="auto"/>
        <w:right w:val="none" w:sz="0" w:space="0" w:color="auto"/>
      </w:divBdr>
    </w:div>
    <w:div w:id="977682607">
      <w:bodyDiv w:val="1"/>
      <w:marLeft w:val="0"/>
      <w:marRight w:val="0"/>
      <w:marTop w:val="0"/>
      <w:marBottom w:val="0"/>
      <w:divBdr>
        <w:top w:val="none" w:sz="0" w:space="0" w:color="auto"/>
        <w:left w:val="none" w:sz="0" w:space="0" w:color="auto"/>
        <w:bottom w:val="none" w:sz="0" w:space="0" w:color="auto"/>
        <w:right w:val="none" w:sz="0" w:space="0" w:color="auto"/>
      </w:divBdr>
    </w:div>
    <w:div w:id="1074470053">
      <w:bodyDiv w:val="1"/>
      <w:marLeft w:val="0"/>
      <w:marRight w:val="0"/>
      <w:marTop w:val="0"/>
      <w:marBottom w:val="0"/>
      <w:divBdr>
        <w:top w:val="none" w:sz="0" w:space="0" w:color="auto"/>
        <w:left w:val="none" w:sz="0" w:space="0" w:color="auto"/>
        <w:bottom w:val="none" w:sz="0" w:space="0" w:color="auto"/>
        <w:right w:val="none" w:sz="0" w:space="0" w:color="auto"/>
      </w:divBdr>
    </w:div>
    <w:div w:id="1146628197">
      <w:bodyDiv w:val="1"/>
      <w:marLeft w:val="0"/>
      <w:marRight w:val="0"/>
      <w:marTop w:val="0"/>
      <w:marBottom w:val="0"/>
      <w:divBdr>
        <w:top w:val="none" w:sz="0" w:space="0" w:color="auto"/>
        <w:left w:val="none" w:sz="0" w:space="0" w:color="auto"/>
        <w:bottom w:val="none" w:sz="0" w:space="0" w:color="auto"/>
        <w:right w:val="none" w:sz="0" w:space="0" w:color="auto"/>
      </w:divBdr>
    </w:div>
    <w:div w:id="1163400438">
      <w:bodyDiv w:val="1"/>
      <w:marLeft w:val="0"/>
      <w:marRight w:val="0"/>
      <w:marTop w:val="0"/>
      <w:marBottom w:val="0"/>
      <w:divBdr>
        <w:top w:val="none" w:sz="0" w:space="0" w:color="auto"/>
        <w:left w:val="none" w:sz="0" w:space="0" w:color="auto"/>
        <w:bottom w:val="none" w:sz="0" w:space="0" w:color="auto"/>
        <w:right w:val="none" w:sz="0" w:space="0" w:color="auto"/>
      </w:divBdr>
    </w:div>
    <w:div w:id="1228879187">
      <w:bodyDiv w:val="1"/>
      <w:marLeft w:val="0"/>
      <w:marRight w:val="0"/>
      <w:marTop w:val="0"/>
      <w:marBottom w:val="0"/>
      <w:divBdr>
        <w:top w:val="none" w:sz="0" w:space="0" w:color="auto"/>
        <w:left w:val="none" w:sz="0" w:space="0" w:color="auto"/>
        <w:bottom w:val="none" w:sz="0" w:space="0" w:color="auto"/>
        <w:right w:val="none" w:sz="0" w:space="0" w:color="auto"/>
      </w:divBdr>
    </w:div>
    <w:div w:id="1241720984">
      <w:bodyDiv w:val="1"/>
      <w:marLeft w:val="0"/>
      <w:marRight w:val="0"/>
      <w:marTop w:val="0"/>
      <w:marBottom w:val="0"/>
      <w:divBdr>
        <w:top w:val="none" w:sz="0" w:space="0" w:color="auto"/>
        <w:left w:val="none" w:sz="0" w:space="0" w:color="auto"/>
        <w:bottom w:val="none" w:sz="0" w:space="0" w:color="auto"/>
        <w:right w:val="none" w:sz="0" w:space="0" w:color="auto"/>
      </w:divBdr>
    </w:div>
    <w:div w:id="1294864937">
      <w:bodyDiv w:val="1"/>
      <w:marLeft w:val="0"/>
      <w:marRight w:val="0"/>
      <w:marTop w:val="0"/>
      <w:marBottom w:val="0"/>
      <w:divBdr>
        <w:top w:val="none" w:sz="0" w:space="0" w:color="auto"/>
        <w:left w:val="none" w:sz="0" w:space="0" w:color="auto"/>
        <w:bottom w:val="none" w:sz="0" w:space="0" w:color="auto"/>
        <w:right w:val="none" w:sz="0" w:space="0" w:color="auto"/>
      </w:divBdr>
    </w:div>
    <w:div w:id="1310205504">
      <w:bodyDiv w:val="1"/>
      <w:marLeft w:val="0"/>
      <w:marRight w:val="0"/>
      <w:marTop w:val="0"/>
      <w:marBottom w:val="0"/>
      <w:divBdr>
        <w:top w:val="none" w:sz="0" w:space="0" w:color="auto"/>
        <w:left w:val="none" w:sz="0" w:space="0" w:color="auto"/>
        <w:bottom w:val="none" w:sz="0" w:space="0" w:color="auto"/>
        <w:right w:val="none" w:sz="0" w:space="0" w:color="auto"/>
      </w:divBdr>
    </w:div>
    <w:div w:id="1364094804">
      <w:bodyDiv w:val="1"/>
      <w:marLeft w:val="0"/>
      <w:marRight w:val="0"/>
      <w:marTop w:val="0"/>
      <w:marBottom w:val="0"/>
      <w:divBdr>
        <w:top w:val="none" w:sz="0" w:space="0" w:color="auto"/>
        <w:left w:val="none" w:sz="0" w:space="0" w:color="auto"/>
        <w:bottom w:val="none" w:sz="0" w:space="0" w:color="auto"/>
        <w:right w:val="none" w:sz="0" w:space="0" w:color="auto"/>
      </w:divBdr>
    </w:div>
    <w:div w:id="1540389599">
      <w:bodyDiv w:val="1"/>
      <w:marLeft w:val="0"/>
      <w:marRight w:val="0"/>
      <w:marTop w:val="0"/>
      <w:marBottom w:val="0"/>
      <w:divBdr>
        <w:top w:val="none" w:sz="0" w:space="0" w:color="auto"/>
        <w:left w:val="none" w:sz="0" w:space="0" w:color="auto"/>
        <w:bottom w:val="none" w:sz="0" w:space="0" w:color="auto"/>
        <w:right w:val="none" w:sz="0" w:space="0" w:color="auto"/>
      </w:divBdr>
    </w:div>
    <w:div w:id="1594047759">
      <w:bodyDiv w:val="1"/>
      <w:marLeft w:val="0"/>
      <w:marRight w:val="0"/>
      <w:marTop w:val="0"/>
      <w:marBottom w:val="0"/>
      <w:divBdr>
        <w:top w:val="none" w:sz="0" w:space="0" w:color="auto"/>
        <w:left w:val="none" w:sz="0" w:space="0" w:color="auto"/>
        <w:bottom w:val="none" w:sz="0" w:space="0" w:color="auto"/>
        <w:right w:val="none" w:sz="0" w:space="0" w:color="auto"/>
      </w:divBdr>
      <w:divsChild>
        <w:div w:id="1829323783">
          <w:marLeft w:val="0"/>
          <w:marRight w:val="0"/>
          <w:marTop w:val="0"/>
          <w:marBottom w:val="0"/>
          <w:divBdr>
            <w:top w:val="none" w:sz="0" w:space="0" w:color="auto"/>
            <w:left w:val="none" w:sz="0" w:space="0" w:color="auto"/>
            <w:bottom w:val="none" w:sz="0" w:space="0" w:color="auto"/>
            <w:right w:val="none" w:sz="0" w:space="0" w:color="auto"/>
          </w:divBdr>
          <w:divsChild>
            <w:div w:id="2525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972">
      <w:bodyDiv w:val="1"/>
      <w:marLeft w:val="0"/>
      <w:marRight w:val="0"/>
      <w:marTop w:val="0"/>
      <w:marBottom w:val="0"/>
      <w:divBdr>
        <w:top w:val="none" w:sz="0" w:space="0" w:color="auto"/>
        <w:left w:val="none" w:sz="0" w:space="0" w:color="auto"/>
        <w:bottom w:val="none" w:sz="0" w:space="0" w:color="auto"/>
        <w:right w:val="none" w:sz="0" w:space="0" w:color="auto"/>
      </w:divBdr>
    </w:div>
    <w:div w:id="1654672593">
      <w:bodyDiv w:val="1"/>
      <w:marLeft w:val="0"/>
      <w:marRight w:val="0"/>
      <w:marTop w:val="0"/>
      <w:marBottom w:val="0"/>
      <w:divBdr>
        <w:top w:val="none" w:sz="0" w:space="0" w:color="auto"/>
        <w:left w:val="none" w:sz="0" w:space="0" w:color="auto"/>
        <w:bottom w:val="none" w:sz="0" w:space="0" w:color="auto"/>
        <w:right w:val="none" w:sz="0" w:space="0" w:color="auto"/>
      </w:divBdr>
    </w:div>
    <w:div w:id="1689017681">
      <w:bodyDiv w:val="1"/>
      <w:marLeft w:val="0"/>
      <w:marRight w:val="0"/>
      <w:marTop w:val="0"/>
      <w:marBottom w:val="0"/>
      <w:divBdr>
        <w:top w:val="none" w:sz="0" w:space="0" w:color="auto"/>
        <w:left w:val="none" w:sz="0" w:space="0" w:color="auto"/>
        <w:bottom w:val="none" w:sz="0" w:space="0" w:color="auto"/>
        <w:right w:val="none" w:sz="0" w:space="0" w:color="auto"/>
      </w:divBdr>
    </w:div>
    <w:div w:id="1706441901">
      <w:bodyDiv w:val="1"/>
      <w:marLeft w:val="0"/>
      <w:marRight w:val="0"/>
      <w:marTop w:val="0"/>
      <w:marBottom w:val="0"/>
      <w:divBdr>
        <w:top w:val="none" w:sz="0" w:space="0" w:color="auto"/>
        <w:left w:val="none" w:sz="0" w:space="0" w:color="auto"/>
        <w:bottom w:val="none" w:sz="0" w:space="0" w:color="auto"/>
        <w:right w:val="none" w:sz="0" w:space="0" w:color="auto"/>
      </w:divBdr>
    </w:div>
    <w:div w:id="1718507075">
      <w:bodyDiv w:val="1"/>
      <w:marLeft w:val="0"/>
      <w:marRight w:val="0"/>
      <w:marTop w:val="0"/>
      <w:marBottom w:val="0"/>
      <w:divBdr>
        <w:top w:val="none" w:sz="0" w:space="0" w:color="auto"/>
        <w:left w:val="none" w:sz="0" w:space="0" w:color="auto"/>
        <w:bottom w:val="none" w:sz="0" w:space="0" w:color="auto"/>
        <w:right w:val="none" w:sz="0" w:space="0" w:color="auto"/>
      </w:divBdr>
    </w:div>
    <w:div w:id="1728871135">
      <w:bodyDiv w:val="1"/>
      <w:marLeft w:val="0"/>
      <w:marRight w:val="0"/>
      <w:marTop w:val="0"/>
      <w:marBottom w:val="0"/>
      <w:divBdr>
        <w:top w:val="none" w:sz="0" w:space="0" w:color="auto"/>
        <w:left w:val="none" w:sz="0" w:space="0" w:color="auto"/>
        <w:bottom w:val="none" w:sz="0" w:space="0" w:color="auto"/>
        <w:right w:val="none" w:sz="0" w:space="0" w:color="auto"/>
      </w:divBdr>
    </w:div>
    <w:div w:id="1779985475">
      <w:bodyDiv w:val="1"/>
      <w:marLeft w:val="0"/>
      <w:marRight w:val="0"/>
      <w:marTop w:val="0"/>
      <w:marBottom w:val="0"/>
      <w:divBdr>
        <w:top w:val="none" w:sz="0" w:space="0" w:color="auto"/>
        <w:left w:val="none" w:sz="0" w:space="0" w:color="auto"/>
        <w:bottom w:val="none" w:sz="0" w:space="0" w:color="auto"/>
        <w:right w:val="none" w:sz="0" w:space="0" w:color="auto"/>
      </w:divBdr>
    </w:div>
    <w:div w:id="1781801192">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009492">
      <w:bodyDiv w:val="1"/>
      <w:marLeft w:val="0"/>
      <w:marRight w:val="0"/>
      <w:marTop w:val="0"/>
      <w:marBottom w:val="0"/>
      <w:divBdr>
        <w:top w:val="none" w:sz="0" w:space="0" w:color="auto"/>
        <w:left w:val="none" w:sz="0" w:space="0" w:color="auto"/>
        <w:bottom w:val="none" w:sz="0" w:space="0" w:color="auto"/>
        <w:right w:val="none" w:sz="0" w:space="0" w:color="auto"/>
      </w:divBdr>
    </w:div>
    <w:div w:id="1975985547">
      <w:bodyDiv w:val="1"/>
      <w:marLeft w:val="0"/>
      <w:marRight w:val="0"/>
      <w:marTop w:val="0"/>
      <w:marBottom w:val="0"/>
      <w:divBdr>
        <w:top w:val="none" w:sz="0" w:space="0" w:color="auto"/>
        <w:left w:val="none" w:sz="0" w:space="0" w:color="auto"/>
        <w:bottom w:val="none" w:sz="0" w:space="0" w:color="auto"/>
        <w:right w:val="none" w:sz="0" w:space="0" w:color="auto"/>
      </w:divBdr>
    </w:div>
    <w:div w:id="2008287422">
      <w:bodyDiv w:val="1"/>
      <w:marLeft w:val="0"/>
      <w:marRight w:val="0"/>
      <w:marTop w:val="0"/>
      <w:marBottom w:val="0"/>
      <w:divBdr>
        <w:top w:val="none" w:sz="0" w:space="0" w:color="auto"/>
        <w:left w:val="none" w:sz="0" w:space="0" w:color="auto"/>
        <w:bottom w:val="none" w:sz="0" w:space="0" w:color="auto"/>
        <w:right w:val="none" w:sz="0" w:space="0" w:color="auto"/>
      </w:divBdr>
    </w:div>
    <w:div w:id="2105414653">
      <w:bodyDiv w:val="1"/>
      <w:marLeft w:val="0"/>
      <w:marRight w:val="0"/>
      <w:marTop w:val="0"/>
      <w:marBottom w:val="0"/>
      <w:divBdr>
        <w:top w:val="none" w:sz="0" w:space="0" w:color="auto"/>
        <w:left w:val="none" w:sz="0" w:space="0" w:color="auto"/>
        <w:bottom w:val="none" w:sz="0" w:space="0" w:color="auto"/>
        <w:right w:val="none" w:sz="0" w:space="0" w:color="auto"/>
      </w:divBdr>
    </w:div>
    <w:div w:id="21471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BISMILLAH%20SKRIPSI%20AIDA\DATA%20PENELITIAN%20BAB%204%200705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Return on Asset (ROA)  </a:t>
            </a:r>
          </a:p>
          <a:p>
            <a:pPr>
              <a:defRPr sz="1200"/>
            </a:pPr>
            <a:r>
              <a:rPr lang="id-ID" sz="1200"/>
              <a:t>Perusahaan Sektor Consumer Non Cyclical </a:t>
            </a:r>
            <a:endParaRPr lang="en-GB" sz="1200"/>
          </a:p>
          <a:p>
            <a:pPr>
              <a:defRPr sz="1200"/>
            </a:pPr>
            <a:r>
              <a:rPr lang="id-ID" sz="1200"/>
              <a:t>Tahun 2019-202</a:t>
            </a:r>
            <a:r>
              <a:rPr lang="en-GB" sz="1200"/>
              <a:t>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ROA!$P$6:$P$20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ROA!$Q$6:$Q$20</c:f>
              <c:numCache>
                <c:formatCode>0.00</c:formatCode>
                <c:ptCount val="15"/>
                <c:pt idx="0">
                  <c:v>4.746887055033E-2</c:v>
                </c:pt>
                <c:pt idx="1">
                  <c:v>0.10436795491143318</c:v>
                </c:pt>
                <c:pt idx="2">
                  <c:v>2.1341990894626149E-2</c:v>
                </c:pt>
                <c:pt idx="3">
                  <c:v>0.15466396119867423</c:v>
                </c:pt>
                <c:pt idx="4">
                  <c:v>0.12512195369964241</c:v>
                </c:pt>
                <c:pt idx="5">
                  <c:v>0.13846871582379372</c:v>
                </c:pt>
                <c:pt idx="6">
                  <c:v>6.1359848435983327E-2</c:v>
                </c:pt>
                <c:pt idx="7">
                  <c:v>6.7311585595905873E-2</c:v>
                </c:pt>
                <c:pt idx="8">
                  <c:v>2.4706312427129434E-2</c:v>
                </c:pt>
                <c:pt idx="9">
                  <c:v>0.10775359573791811</c:v>
                </c:pt>
                <c:pt idx="10">
                  <c:v>6.4021160807787207E-3</c:v>
                </c:pt>
                <c:pt idx="11">
                  <c:v>3.8071409651890285E-2</c:v>
                </c:pt>
                <c:pt idx="12">
                  <c:v>8.606765456726212E-2</c:v>
                </c:pt>
                <c:pt idx="13">
                  <c:v>0.26956299815770468</c:v>
                </c:pt>
                <c:pt idx="14">
                  <c:v>0.35801847586532765</c:v>
                </c:pt>
              </c:numCache>
              <c:extLst/>
            </c:numRef>
          </c:val>
          <c:extLst>
            <c:ext xmlns:c16="http://schemas.microsoft.com/office/drawing/2014/chart" uri="{C3380CC4-5D6E-409C-BE32-E72D297353CC}">
              <c16:uniqueId val="{00000000-585E-4F20-8C95-4479272325D1}"/>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ROA!$P$6:$P$20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ROA!$R$6:$R$20</c:f>
              <c:numCache>
                <c:formatCode>0.00</c:formatCode>
                <c:ptCount val="15"/>
                <c:pt idx="0">
                  <c:v>4.1911661903550466E-2</c:v>
                </c:pt>
                <c:pt idx="1">
                  <c:v>9.3701212687106197E-2</c:v>
                </c:pt>
                <c:pt idx="2">
                  <c:v>2.2643550960223854E-2</c:v>
                </c:pt>
                <c:pt idx="3">
                  <c:v>0.11605006143251191</c:v>
                </c:pt>
                <c:pt idx="4">
                  <c:v>0.12342492003428447</c:v>
                </c:pt>
                <c:pt idx="5">
                  <c:v>7.1615927760198844E-2</c:v>
                </c:pt>
                <c:pt idx="6">
                  <c:v>5.3648724482996804E-2</c:v>
                </c:pt>
                <c:pt idx="7">
                  <c:v>4.7083666001843417E-2</c:v>
                </c:pt>
                <c:pt idx="8">
                  <c:v>6.3673303922038946E-2</c:v>
                </c:pt>
                <c:pt idx="9">
                  <c:v>0.10608865933798915</c:v>
                </c:pt>
                <c:pt idx="10">
                  <c:v>2.4075097007566497E-3</c:v>
                </c:pt>
                <c:pt idx="11">
                  <c:v>3.5032666122630132E-2</c:v>
                </c:pt>
                <c:pt idx="12">
                  <c:v>3.7301003703251803E-2</c:v>
                </c:pt>
                <c:pt idx="13">
                  <c:v>0.17275381119671587</c:v>
                </c:pt>
                <c:pt idx="14">
                  <c:v>0.34885144277238567</c:v>
                </c:pt>
              </c:numCache>
              <c:extLst/>
            </c:numRef>
          </c:val>
          <c:extLst>
            <c:ext xmlns:c16="http://schemas.microsoft.com/office/drawing/2014/chart" uri="{C3380CC4-5D6E-409C-BE32-E72D297353CC}">
              <c16:uniqueId val="{00000001-585E-4F20-8C95-4479272325D1}"/>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ROA!$P$6:$P$20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ROA!$S$6:$S$20</c:f>
              <c:numCache>
                <c:formatCode>0.00</c:formatCode>
                <c:ptCount val="15"/>
                <c:pt idx="0">
                  <c:v>7.1722138777890271E-2</c:v>
                </c:pt>
                <c:pt idx="1">
                  <c:v>0.1216371102502329</c:v>
                </c:pt>
                <c:pt idx="2">
                  <c:v>3.0643608317202423E-2</c:v>
                </c:pt>
                <c:pt idx="3">
                  <c:v>0.11020879060641056</c:v>
                </c:pt>
                <c:pt idx="4">
                  <c:v>0.10209910266167591</c:v>
                </c:pt>
                <c:pt idx="5">
                  <c:v>6.7041665466610514E-2</c:v>
                </c:pt>
                <c:pt idx="6">
                  <c:v>6.2640596537638038E-2</c:v>
                </c:pt>
                <c:pt idx="7">
                  <c:v>7.4533810410310639E-2</c:v>
                </c:pt>
                <c:pt idx="8">
                  <c:v>8.36728961261448E-2</c:v>
                </c:pt>
                <c:pt idx="9">
                  <c:v>6.0802978734899468E-2</c:v>
                </c:pt>
                <c:pt idx="10">
                  <c:v>7.9338115749357802E-3</c:v>
                </c:pt>
                <c:pt idx="11">
                  <c:v>3.7560015247568808E-2</c:v>
                </c:pt>
                <c:pt idx="12">
                  <c:v>7.2804289625780838E-2</c:v>
                </c:pt>
                <c:pt idx="13">
                  <c:v>0.13443283975785617</c:v>
                </c:pt>
                <c:pt idx="14">
                  <c:v>0.30197122673103521</c:v>
                </c:pt>
              </c:numCache>
              <c:extLst/>
            </c:numRef>
          </c:val>
          <c:extLst>
            <c:ext xmlns:c16="http://schemas.microsoft.com/office/drawing/2014/chart" uri="{C3380CC4-5D6E-409C-BE32-E72D297353CC}">
              <c16:uniqueId val="{00000002-585E-4F20-8C95-4479272325D1}"/>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ROA!$P$6:$P$20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ROA!$T$6:$T$20</c:f>
              <c:numCache>
                <c:formatCode>0.00</c:formatCode>
                <c:ptCount val="15"/>
                <c:pt idx="0">
                  <c:v>9.4563613025399576E-2</c:v>
                </c:pt>
                <c:pt idx="1">
                  <c:v>0.1534217607428395</c:v>
                </c:pt>
                <c:pt idx="2">
                  <c:v>2.9324270375034937E-2</c:v>
                </c:pt>
                <c:pt idx="3">
                  <c:v>0.12844448268117828</c:v>
                </c:pt>
                <c:pt idx="4">
                  <c:v>7.353921050845165E-2</c:v>
                </c:pt>
                <c:pt idx="5">
                  <c:v>4.9626359657180728E-2</c:v>
                </c:pt>
                <c:pt idx="6">
                  <c:v>5.0947186578087306E-2</c:v>
                </c:pt>
                <c:pt idx="7">
                  <c:v>4.5606930151512869E-2</c:v>
                </c:pt>
                <c:pt idx="8">
                  <c:v>8.3376332133984238E-2</c:v>
                </c:pt>
                <c:pt idx="9">
                  <c:v>8.8438244142979405E-2</c:v>
                </c:pt>
                <c:pt idx="10">
                  <c:v>1.7455563121409196E-2</c:v>
                </c:pt>
                <c:pt idx="11">
                  <c:v>3.3853681334398707E-2</c:v>
                </c:pt>
                <c:pt idx="12">
                  <c:v>7.1200703371358545E-2</c:v>
                </c:pt>
                <c:pt idx="13">
                  <c:v>0.11542418682157253</c:v>
                </c:pt>
                <c:pt idx="14">
                  <c:v>0.29286644902417358</c:v>
                </c:pt>
              </c:numCache>
              <c:extLst/>
            </c:numRef>
          </c:val>
          <c:extLst>
            <c:ext xmlns:c16="http://schemas.microsoft.com/office/drawing/2014/chart" uri="{C3380CC4-5D6E-409C-BE32-E72D297353CC}">
              <c16:uniqueId val="{00000003-585E-4F20-8C95-4479272325D1}"/>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ROA!$P$6:$P$20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ROA!$U$6:$U$20</c:f>
              <c:numCache>
                <c:formatCode>0.00</c:formatCode>
                <c:ptCount val="15"/>
                <c:pt idx="0">
                  <c:v>0.10173469551336568</c:v>
                </c:pt>
                <c:pt idx="1">
                  <c:v>0.15268259427651712</c:v>
                </c:pt>
                <c:pt idx="2">
                  <c:v>3.0813324895442879E-2</c:v>
                </c:pt>
                <c:pt idx="3">
                  <c:v>8.1103696171696466E-2</c:v>
                </c:pt>
                <c:pt idx="4">
                  <c:v>5.6579027014361447E-2</c:v>
                </c:pt>
                <c:pt idx="5">
                  <c:v>7.0976192960410966E-2</c:v>
                </c:pt>
                <c:pt idx="6">
                  <c:v>6.1599543640429057E-2</c:v>
                </c:pt>
                <c:pt idx="7">
                  <c:v>2.7731978290696201E-2</c:v>
                </c:pt>
                <c:pt idx="8">
                  <c:v>6.0784773908494211E-2</c:v>
                </c:pt>
                <c:pt idx="9">
                  <c:v>0.13593703568592344</c:v>
                </c:pt>
                <c:pt idx="10">
                  <c:v>2.017537300578192E-2</c:v>
                </c:pt>
                <c:pt idx="11">
                  <c:v>2.3652988941722131E-2</c:v>
                </c:pt>
                <c:pt idx="12">
                  <c:v>8.0976164002536516E-2</c:v>
                </c:pt>
                <c:pt idx="13">
                  <c:v>0.14637306308321907</c:v>
                </c:pt>
                <c:pt idx="14">
                  <c:v>0.28810100956032031</c:v>
                </c:pt>
              </c:numCache>
              <c:extLst/>
            </c:numRef>
          </c:val>
          <c:extLst>
            <c:ext xmlns:c16="http://schemas.microsoft.com/office/drawing/2014/chart" uri="{C3380CC4-5D6E-409C-BE32-E72D297353CC}">
              <c16:uniqueId val="{00000004-585E-4F20-8C95-4479272325D1}"/>
            </c:ext>
          </c:extLst>
        </c:ser>
        <c:dLbls>
          <c:showLegendKey val="0"/>
          <c:showVal val="0"/>
          <c:showCatName val="0"/>
          <c:showSerName val="0"/>
          <c:showPercent val="0"/>
          <c:showBubbleSize val="0"/>
        </c:dLbls>
        <c:gapWidth val="100"/>
        <c:overlap val="-24"/>
        <c:axId val="1008807168"/>
        <c:axId val="1008800928"/>
      </c:barChart>
      <c:catAx>
        <c:axId val="10088071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8800928"/>
        <c:crosses val="autoZero"/>
        <c:auto val="1"/>
        <c:lblAlgn val="ctr"/>
        <c:lblOffset val="100"/>
        <c:noMultiLvlLbl val="0"/>
      </c:catAx>
      <c:valAx>
        <c:axId val="100880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8807168"/>
        <c:crosses val="autoZero"/>
        <c:crossBetween val="between"/>
      </c:valAx>
      <c:spPr>
        <a:noFill/>
        <a:ln>
          <a:noFill/>
        </a:ln>
        <a:effectLst/>
      </c:spPr>
    </c:plotArea>
    <c:legend>
      <c:legendPos val="r"/>
      <c:layout>
        <c:manualLayout>
          <c:xMode val="edge"/>
          <c:yMode val="edge"/>
          <c:x val="0.85744977374930231"/>
          <c:y val="0.31679566332617515"/>
          <c:w val="0.12471696722261033"/>
          <c:h val="0.4535295126461464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Current Ratio (CR)                                      Perusahaan Sektor Consumer Non Cyclical           Tahun 2019-2023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CR!$Q$6:$Q$20</c:f>
              <c:numCache>
                <c:formatCode>0.00</c:formatCode>
                <c:ptCount val="15"/>
                <c:pt idx="0">
                  <c:v>1.1226659282886837</c:v>
                </c:pt>
                <c:pt idx="1">
                  <c:v>4.1395841808877378</c:v>
                </c:pt>
                <c:pt idx="2">
                  <c:v>1.0064603483330907</c:v>
                </c:pt>
                <c:pt idx="3">
                  <c:v>4.7997191659108873</c:v>
                </c:pt>
                <c:pt idx="4">
                  <c:v>2.537991051462877</c:v>
                </c:pt>
                <c:pt idx="5">
                  <c:v>2.5356947354469148</c:v>
                </c:pt>
                <c:pt idx="6">
                  <c:v>1.2720711526641175</c:v>
                </c:pt>
                <c:pt idx="7">
                  <c:v>1.6627767807575293</c:v>
                </c:pt>
                <c:pt idx="8">
                  <c:v>4.6967990985548598</c:v>
                </c:pt>
                <c:pt idx="9">
                  <c:v>3.4396516133333934</c:v>
                </c:pt>
                <c:pt idx="10">
                  <c:v>1.1492188464188908</c:v>
                </c:pt>
                <c:pt idx="11">
                  <c:v>1.6268089663499918</c:v>
                </c:pt>
                <c:pt idx="12">
                  <c:v>1.5337941012734178</c:v>
                </c:pt>
                <c:pt idx="13">
                  <c:v>3.2760902304552695</c:v>
                </c:pt>
                <c:pt idx="14">
                  <c:v>0.65289957190446635</c:v>
                </c:pt>
              </c:numCache>
              <c:extLst/>
            </c:numRef>
          </c:val>
          <c:extLst>
            <c:ext xmlns:c16="http://schemas.microsoft.com/office/drawing/2014/chart" uri="{C3380CC4-5D6E-409C-BE32-E72D297353CC}">
              <c16:uniqueId val="{00000000-F237-41BD-B4E9-47DC3B784FEC}"/>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CR!$R$6:$R$20</c:f>
              <c:numCache>
                <c:formatCode>0.00</c:formatCode>
                <c:ptCount val="15"/>
                <c:pt idx="0">
                  <c:v>0.88466742993783365</c:v>
                </c:pt>
                <c:pt idx="1">
                  <c:v>5.8274049544772071</c:v>
                </c:pt>
                <c:pt idx="2">
                  <c:v>1.1438137011844978</c:v>
                </c:pt>
                <c:pt idx="3">
                  <c:v>4.662721883908036</c:v>
                </c:pt>
                <c:pt idx="4">
                  <c:v>2.574324739515411</c:v>
                </c:pt>
                <c:pt idx="5">
                  <c:v>2.257612549209016</c:v>
                </c:pt>
                <c:pt idx="6">
                  <c:v>1.3732631419035151</c:v>
                </c:pt>
                <c:pt idx="7">
                  <c:v>1.9550208990859865</c:v>
                </c:pt>
                <c:pt idx="8">
                  <c:v>4.8915419468848667</c:v>
                </c:pt>
                <c:pt idx="9">
                  <c:v>3.6942541835667053</c:v>
                </c:pt>
                <c:pt idx="10">
                  <c:v>1.139090676889841</c:v>
                </c:pt>
                <c:pt idx="11">
                  <c:v>1.4906484185310189</c:v>
                </c:pt>
                <c:pt idx="12">
                  <c:v>1.7512458568117693</c:v>
                </c:pt>
                <c:pt idx="13">
                  <c:v>2.4541355343107201</c:v>
                </c:pt>
                <c:pt idx="14">
                  <c:v>0.6609272847926444</c:v>
                </c:pt>
              </c:numCache>
              <c:extLst/>
            </c:numRef>
          </c:val>
          <c:extLst>
            <c:ext xmlns:c16="http://schemas.microsoft.com/office/drawing/2014/chart" uri="{C3380CC4-5D6E-409C-BE32-E72D297353CC}">
              <c16:uniqueId val="{00000001-F237-41BD-B4E9-47DC3B784FEC}"/>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CR!$S$6:$S$20</c:f>
              <c:numCache>
                <c:formatCode>0.00</c:formatCode>
                <c:ptCount val="15"/>
                <c:pt idx="0">
                  <c:v>0.8678462421457761</c:v>
                </c:pt>
                <c:pt idx="1">
                  <c:v>7.1331011862619027</c:v>
                </c:pt>
                <c:pt idx="2">
                  <c:v>1.1666460484622059</c:v>
                </c:pt>
                <c:pt idx="3">
                  <c:v>4.797111239629567</c:v>
                </c:pt>
                <c:pt idx="4">
                  <c:v>2.0054693016335547</c:v>
                </c:pt>
                <c:pt idx="5">
                  <c:v>1.7991848914272566</c:v>
                </c:pt>
                <c:pt idx="6">
                  <c:v>1.3410602482899707</c:v>
                </c:pt>
                <c:pt idx="7">
                  <c:v>2.0046461252467735</c:v>
                </c:pt>
                <c:pt idx="8">
                  <c:v>6.1843871849499541</c:v>
                </c:pt>
                <c:pt idx="9">
                  <c:v>2.3281836799417848</c:v>
                </c:pt>
                <c:pt idx="10">
                  <c:v>1.1354948481660534</c:v>
                </c:pt>
                <c:pt idx="11">
                  <c:v>1.4969763304411836</c:v>
                </c:pt>
                <c:pt idx="12">
                  <c:v>1.475401169972113</c:v>
                </c:pt>
                <c:pt idx="13">
                  <c:v>1.8813794264582293</c:v>
                </c:pt>
                <c:pt idx="14">
                  <c:v>0.60808964004618027</c:v>
                </c:pt>
              </c:numCache>
              <c:extLst/>
            </c:numRef>
          </c:val>
          <c:extLst>
            <c:ext xmlns:c16="http://schemas.microsoft.com/office/drawing/2014/chart" uri="{C3380CC4-5D6E-409C-BE32-E72D297353CC}">
              <c16:uniqueId val="{00000002-F237-41BD-B4E9-47DC3B784FEC}"/>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CR!$T$6:$T$20</c:f>
              <c:numCache>
                <c:formatCode>0.00</c:formatCode>
                <c:ptCount val="15"/>
                <c:pt idx="0">
                  <c:v>0.90079883918967785</c:v>
                </c:pt>
                <c:pt idx="1">
                  <c:v>8.7999524045483</c:v>
                </c:pt>
                <c:pt idx="2">
                  <c:v>1.3297214623959528</c:v>
                </c:pt>
                <c:pt idx="3">
                  <c:v>9.9541714023688801</c:v>
                </c:pt>
                <c:pt idx="4">
                  <c:v>1.7836421485686249</c:v>
                </c:pt>
                <c:pt idx="5">
                  <c:v>3.0965284307701815</c:v>
                </c:pt>
                <c:pt idx="6">
                  <c:v>1.7860044128183279</c:v>
                </c:pt>
                <c:pt idx="7">
                  <c:v>1.8062763746701174</c:v>
                </c:pt>
                <c:pt idx="8">
                  <c:v>7.1974276627016724</c:v>
                </c:pt>
                <c:pt idx="9">
                  <c:v>2.6208268147691722</c:v>
                </c:pt>
                <c:pt idx="10">
                  <c:v>1.131100669183249</c:v>
                </c:pt>
                <c:pt idx="11">
                  <c:v>1.1991629540763293</c:v>
                </c:pt>
                <c:pt idx="12">
                  <c:v>1.7406860321646123</c:v>
                </c:pt>
                <c:pt idx="13">
                  <c:v>1.6851496036315112</c:v>
                </c:pt>
                <c:pt idx="14">
                  <c:v>0.60823278926924873</c:v>
                </c:pt>
              </c:numCache>
              <c:extLst/>
            </c:numRef>
          </c:val>
          <c:extLst>
            <c:ext xmlns:c16="http://schemas.microsoft.com/office/drawing/2014/chart" uri="{C3380CC4-5D6E-409C-BE32-E72D297353CC}">
              <c16:uniqueId val="{00000003-F237-41BD-B4E9-47DC3B784FEC}"/>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CR!$U$6:$U$20</c:f>
              <c:numCache>
                <c:formatCode>0.00</c:formatCode>
                <c:ptCount val="15"/>
                <c:pt idx="0">
                  <c:v>1.0036463688921351</c:v>
                </c:pt>
                <c:pt idx="1">
                  <c:v>7.3362020221142279</c:v>
                </c:pt>
                <c:pt idx="2">
                  <c:v>1.3646940017927991</c:v>
                </c:pt>
                <c:pt idx="3">
                  <c:v>7.2878925980547002</c:v>
                </c:pt>
                <c:pt idx="4">
                  <c:v>1.6473481866214688</c:v>
                </c:pt>
                <c:pt idx="5">
                  <c:v>3.5142081711736894</c:v>
                </c:pt>
                <c:pt idx="6">
                  <c:v>1.9171425764155523</c:v>
                </c:pt>
                <c:pt idx="7">
                  <c:v>1.6115895808167342</c:v>
                </c:pt>
                <c:pt idx="8">
                  <c:v>9.5250223207958964</c:v>
                </c:pt>
                <c:pt idx="9">
                  <c:v>3.6726105217857739</c:v>
                </c:pt>
                <c:pt idx="10">
                  <c:v>1.1248265313266144</c:v>
                </c:pt>
                <c:pt idx="11">
                  <c:v>1.3803077017884757</c:v>
                </c:pt>
                <c:pt idx="12">
                  <c:v>1.7758242525871539</c:v>
                </c:pt>
                <c:pt idx="13">
                  <c:v>1.7193746437105699</c:v>
                </c:pt>
                <c:pt idx="14">
                  <c:v>0.55166221072618882</c:v>
                </c:pt>
              </c:numCache>
              <c:extLst/>
            </c:numRef>
          </c:val>
          <c:extLst>
            <c:ext xmlns:c16="http://schemas.microsoft.com/office/drawing/2014/chart" uri="{C3380CC4-5D6E-409C-BE32-E72D297353CC}">
              <c16:uniqueId val="{00000004-F237-41BD-B4E9-47DC3B784FEC}"/>
            </c:ext>
          </c:extLst>
        </c:ser>
        <c:dLbls>
          <c:showLegendKey val="0"/>
          <c:showVal val="0"/>
          <c:showCatName val="0"/>
          <c:showSerName val="0"/>
          <c:showPercent val="0"/>
          <c:showBubbleSize val="0"/>
        </c:dLbls>
        <c:gapWidth val="100"/>
        <c:overlap val="-24"/>
        <c:axId val="1186041264"/>
        <c:axId val="1186050000"/>
      </c:barChart>
      <c:catAx>
        <c:axId val="1186041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50000"/>
        <c:crosses val="autoZero"/>
        <c:auto val="1"/>
        <c:lblAlgn val="ctr"/>
        <c:lblOffset val="100"/>
        <c:noMultiLvlLbl val="0"/>
      </c:catAx>
      <c:valAx>
        <c:axId val="118605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41264"/>
        <c:crosses val="autoZero"/>
        <c:crossBetween val="between"/>
      </c:valAx>
      <c:spPr>
        <a:noFill/>
        <a:ln>
          <a:noFill/>
        </a:ln>
        <a:effectLst/>
      </c:spPr>
    </c:plotArea>
    <c:legend>
      <c:legendPos val="r"/>
      <c:layout>
        <c:manualLayout>
          <c:xMode val="edge"/>
          <c:yMode val="edge"/>
          <c:x val="0.87802028016846723"/>
          <c:y val="0.36782273333845694"/>
          <c:w val="0.12197971983153269"/>
          <c:h val="0.4249575557713670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Debt to Equity Ratio (DER)                                      Perusahaan Sektor Consumer Non Cyclical                Tahun 2019-2023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DER!$Q$6:$Q$20</c:f>
              <c:numCache>
                <c:formatCode>0.00</c:formatCode>
                <c:ptCount val="15"/>
                <c:pt idx="0">
                  <c:v>2.4850730799774037</c:v>
                </c:pt>
                <c:pt idx="1">
                  <c:v>0.26956478196794764</c:v>
                </c:pt>
                <c:pt idx="2">
                  <c:v>1.3338714621595589</c:v>
                </c:pt>
                <c:pt idx="3">
                  <c:v>0.2314028749296019</c:v>
                </c:pt>
                <c:pt idx="4">
                  <c:v>0.39307072243695379</c:v>
                </c:pt>
                <c:pt idx="5">
                  <c:v>0.45227347047221966</c:v>
                </c:pt>
                <c:pt idx="6">
                  <c:v>0.77479969185178366</c:v>
                </c:pt>
                <c:pt idx="7">
                  <c:v>1.2401707717713331</c:v>
                </c:pt>
                <c:pt idx="8">
                  <c:v>0.20319138671530271</c:v>
                </c:pt>
                <c:pt idx="9">
                  <c:v>0.92070557643858097</c:v>
                </c:pt>
                <c:pt idx="10">
                  <c:v>4.2278949701073127</c:v>
                </c:pt>
                <c:pt idx="11">
                  <c:v>2.2376000480334981</c:v>
                </c:pt>
                <c:pt idx="12">
                  <c:v>0.83078273598485042</c:v>
                </c:pt>
                <c:pt idx="13">
                  <c:v>0.42665894612991745</c:v>
                </c:pt>
                <c:pt idx="14">
                  <c:v>2.9094870331712568</c:v>
                </c:pt>
              </c:numCache>
              <c:extLst/>
            </c:numRef>
          </c:val>
          <c:extLst>
            <c:ext xmlns:c16="http://schemas.microsoft.com/office/drawing/2014/chart" uri="{C3380CC4-5D6E-409C-BE32-E72D297353CC}">
              <c16:uniqueId val="{00000000-2E3E-4A28-AF53-06AE7D9FE3BC}"/>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DER!$R$6:$R$20</c:f>
              <c:numCache>
                <c:formatCode>0.00</c:formatCode>
                <c:ptCount val="15"/>
                <c:pt idx="0">
                  <c:v>2.400946502036057</c:v>
                </c:pt>
                <c:pt idx="1">
                  <c:v>0.1857282844401634</c:v>
                </c:pt>
                <c:pt idx="2">
                  <c:v>1.2410419042836096</c:v>
                </c:pt>
                <c:pt idx="3">
                  <c:v>0.24268675668207262</c:v>
                </c:pt>
                <c:pt idx="4">
                  <c:v>0.33446312740091588</c:v>
                </c:pt>
                <c:pt idx="5">
                  <c:v>1.0586711691726227</c:v>
                </c:pt>
                <c:pt idx="6">
                  <c:v>1.0614170853148708</c:v>
                </c:pt>
                <c:pt idx="7">
                  <c:v>1.2740823889302197</c:v>
                </c:pt>
                <c:pt idx="8">
                  <c:v>0.1762220002472451</c:v>
                </c:pt>
                <c:pt idx="9">
                  <c:v>0.75465169460545078</c:v>
                </c:pt>
                <c:pt idx="10">
                  <c:v>4.0822178546811783</c:v>
                </c:pt>
                <c:pt idx="11">
                  <c:v>2.2996719566584751</c:v>
                </c:pt>
                <c:pt idx="12">
                  <c:v>1.2702066480283596</c:v>
                </c:pt>
                <c:pt idx="13">
                  <c:v>0.6425822644739041</c:v>
                </c:pt>
                <c:pt idx="14">
                  <c:v>3.1590239982111927</c:v>
                </c:pt>
              </c:numCache>
              <c:extLst/>
            </c:numRef>
          </c:val>
          <c:extLst>
            <c:ext xmlns:c16="http://schemas.microsoft.com/office/drawing/2014/chart" uri="{C3380CC4-5D6E-409C-BE32-E72D297353CC}">
              <c16:uniqueId val="{00000001-2E3E-4A28-AF53-06AE7D9FE3BC}"/>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DER!$S$6:$S$20</c:f>
              <c:numCache>
                <c:formatCode>0.00</c:formatCode>
                <c:ptCount val="15"/>
                <c:pt idx="0">
                  <c:v>1.9031438250116703</c:v>
                </c:pt>
                <c:pt idx="1">
                  <c:v>0.14814894915589735</c:v>
                </c:pt>
                <c:pt idx="2">
                  <c:v>1.1569679836448448</c:v>
                </c:pt>
                <c:pt idx="3">
                  <c:v>0.22345943191590242</c:v>
                </c:pt>
                <c:pt idx="4">
                  <c:v>0.40938578168531936</c:v>
                </c:pt>
                <c:pt idx="5">
                  <c:v>1.1480525506389108</c:v>
                </c:pt>
                <c:pt idx="6">
                  <c:v>1.0609154460952099</c:v>
                </c:pt>
                <c:pt idx="7">
                  <c:v>1.181965104928675</c:v>
                </c:pt>
                <c:pt idx="8">
                  <c:v>0.16287003272171938</c:v>
                </c:pt>
                <c:pt idx="9">
                  <c:v>0.75330970232217331</c:v>
                </c:pt>
                <c:pt idx="10">
                  <c:v>4.0906779175360315</c:v>
                </c:pt>
                <c:pt idx="11">
                  <c:v>2.2475149999522515</c:v>
                </c:pt>
                <c:pt idx="12">
                  <c:v>1.2242197458928445</c:v>
                </c:pt>
                <c:pt idx="13">
                  <c:v>0.6425822644739041</c:v>
                </c:pt>
                <c:pt idx="14">
                  <c:v>3.412715801770267</c:v>
                </c:pt>
              </c:numCache>
              <c:extLst/>
            </c:numRef>
          </c:val>
          <c:extLst>
            <c:ext xmlns:c16="http://schemas.microsoft.com/office/drawing/2014/chart" uri="{C3380CC4-5D6E-409C-BE32-E72D297353CC}">
              <c16:uniqueId val="{00000002-2E3E-4A28-AF53-06AE7D9FE3BC}"/>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DER!$T$6:$T$20</c:f>
              <c:numCache>
                <c:formatCode>0.00</c:formatCode>
                <c:ptCount val="15"/>
                <c:pt idx="0">
                  <c:v>1.6804194550773397</c:v>
                </c:pt>
                <c:pt idx="1">
                  <c:v>0.11809884435701992</c:v>
                </c:pt>
                <c:pt idx="2">
                  <c:v>1.1962420339409994</c:v>
                </c:pt>
                <c:pt idx="3">
                  <c:v>0.10854189075064263</c:v>
                </c:pt>
                <c:pt idx="4">
                  <c:v>0.51354962967217122</c:v>
                </c:pt>
                <c:pt idx="5">
                  <c:v>1.0062554931221885</c:v>
                </c:pt>
                <c:pt idx="6">
                  <c:v>0.92723184223096888</c:v>
                </c:pt>
                <c:pt idx="7">
                  <c:v>1.3940989296273385</c:v>
                </c:pt>
                <c:pt idx="8">
                  <c:v>0.13545589690725987</c:v>
                </c:pt>
                <c:pt idx="9">
                  <c:v>0.73562069639613481</c:v>
                </c:pt>
                <c:pt idx="10">
                  <c:v>4.4130934117747165</c:v>
                </c:pt>
                <c:pt idx="11">
                  <c:v>2.4649931486538663</c:v>
                </c:pt>
                <c:pt idx="12">
                  <c:v>1.1863324693322685</c:v>
                </c:pt>
                <c:pt idx="13">
                  <c:v>0.94485854681448833</c:v>
                </c:pt>
                <c:pt idx="14">
                  <c:v>3.5826722131382129</c:v>
                </c:pt>
              </c:numCache>
              <c:extLst/>
            </c:numRef>
          </c:val>
          <c:extLst>
            <c:ext xmlns:c16="http://schemas.microsoft.com/office/drawing/2014/chart" uri="{C3380CC4-5D6E-409C-BE32-E72D297353CC}">
              <c16:uniqueId val="{00000003-2E3E-4A28-AF53-06AE7D9FE3BC}"/>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DER!$U$6:$U$20</c:f>
              <c:numCache>
                <c:formatCode>0.00</c:formatCode>
                <c:ptCount val="15"/>
                <c:pt idx="0">
                  <c:v>1.1805633166085119</c:v>
                </c:pt>
                <c:pt idx="1">
                  <c:v>0.13204645840538301</c:v>
                </c:pt>
                <c:pt idx="2">
                  <c:v>1.0912395755240751</c:v>
                </c:pt>
                <c:pt idx="3">
                  <c:v>0.15300330584032709</c:v>
                </c:pt>
                <c:pt idx="4">
                  <c:v>0.51582251763103582</c:v>
                </c:pt>
                <c:pt idx="5">
                  <c:v>0.92044011054805408</c:v>
                </c:pt>
                <c:pt idx="6">
                  <c:v>0.85619659220238464</c:v>
                </c:pt>
                <c:pt idx="7">
                  <c:v>1.4076318615123427</c:v>
                </c:pt>
                <c:pt idx="8">
                  <c:v>0.10282159651678295</c:v>
                </c:pt>
                <c:pt idx="9">
                  <c:v>0.56198571221467408</c:v>
                </c:pt>
                <c:pt idx="10">
                  <c:v>4.9042248779177822</c:v>
                </c:pt>
                <c:pt idx="11">
                  <c:v>2.1554032752974632</c:v>
                </c:pt>
                <c:pt idx="12">
                  <c:v>0.90005276482940455</c:v>
                </c:pt>
                <c:pt idx="13">
                  <c:v>0.85190948211228223</c:v>
                </c:pt>
                <c:pt idx="14">
                  <c:v>3.9283978235190777</c:v>
                </c:pt>
              </c:numCache>
              <c:extLst/>
            </c:numRef>
          </c:val>
          <c:extLst>
            <c:ext xmlns:c16="http://schemas.microsoft.com/office/drawing/2014/chart" uri="{C3380CC4-5D6E-409C-BE32-E72D297353CC}">
              <c16:uniqueId val="{00000004-2E3E-4A28-AF53-06AE7D9FE3BC}"/>
            </c:ext>
          </c:extLst>
        </c:ser>
        <c:dLbls>
          <c:showLegendKey val="0"/>
          <c:showVal val="0"/>
          <c:showCatName val="0"/>
          <c:showSerName val="0"/>
          <c:showPercent val="0"/>
          <c:showBubbleSize val="0"/>
        </c:dLbls>
        <c:gapWidth val="100"/>
        <c:overlap val="-24"/>
        <c:axId val="1186050832"/>
        <c:axId val="1186044592"/>
      </c:barChart>
      <c:catAx>
        <c:axId val="118605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44592"/>
        <c:crosses val="autoZero"/>
        <c:auto val="1"/>
        <c:lblAlgn val="ctr"/>
        <c:lblOffset val="100"/>
        <c:noMultiLvlLbl val="0"/>
      </c:catAx>
      <c:valAx>
        <c:axId val="1186044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50832"/>
        <c:crosses val="autoZero"/>
        <c:crossBetween val="between"/>
      </c:valAx>
      <c:spPr>
        <a:noFill/>
        <a:ln>
          <a:noFill/>
        </a:ln>
        <a:effectLst/>
      </c:spPr>
    </c:plotArea>
    <c:legend>
      <c:legendPos val="r"/>
      <c:layout>
        <c:manualLayout>
          <c:xMode val="edge"/>
          <c:yMode val="edge"/>
          <c:x val="0.85999135366872403"/>
          <c:y val="0.34355205599300093"/>
          <c:w val="0.11999148876765012"/>
          <c:h val="0.4434510790317877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Free Cash Flow (FCF)                                      Perusahaan Sektor Consumer non Cyclical                Tahun 2019-2023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FCF!$P$6:$P$20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FCF!$Q$6:$Q$20</c:f>
              <c:numCache>
                <c:formatCode>0.00</c:formatCode>
                <c:ptCount val="15"/>
                <c:pt idx="0">
                  <c:v>0.1092482413012868</c:v>
                </c:pt>
                <c:pt idx="1">
                  <c:v>-0.4693389041215128</c:v>
                </c:pt>
                <c:pt idx="2">
                  <c:v>0.10482847501155923</c:v>
                </c:pt>
                <c:pt idx="3">
                  <c:v>-0.29489019575321429</c:v>
                </c:pt>
                <c:pt idx="4">
                  <c:v>-0.22050829752360473</c:v>
                </c:pt>
                <c:pt idx="5">
                  <c:v>-8.8508310945525928E-2</c:v>
                </c:pt>
                <c:pt idx="6">
                  <c:v>5.757811819197832E-2</c:v>
                </c:pt>
                <c:pt idx="7">
                  <c:v>-0.23223325145365661</c:v>
                </c:pt>
                <c:pt idx="8">
                  <c:v>-0.13031863446451858</c:v>
                </c:pt>
                <c:pt idx="9">
                  <c:v>-0.32691404769626842</c:v>
                </c:pt>
                <c:pt idx="10">
                  <c:v>-0.14627728598387618</c:v>
                </c:pt>
                <c:pt idx="11">
                  <c:v>-0.12296680476297793</c:v>
                </c:pt>
                <c:pt idx="12">
                  <c:v>-0.14282899423744239</c:v>
                </c:pt>
                <c:pt idx="13">
                  <c:v>-0.25946092244895103</c:v>
                </c:pt>
                <c:pt idx="14">
                  <c:v>0.61464023241059251</c:v>
                </c:pt>
              </c:numCache>
              <c:extLst/>
            </c:numRef>
          </c:val>
          <c:extLst>
            <c:ext xmlns:c16="http://schemas.microsoft.com/office/drawing/2014/chart" uri="{C3380CC4-5D6E-409C-BE32-E72D297353CC}">
              <c16:uniqueId val="{00000000-0387-4C64-AB0C-54CA12D1364A}"/>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FCF!$P$6:$P$20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FCF!$R$6:$R$20</c:f>
              <c:numCache>
                <c:formatCode>0.00</c:formatCode>
                <c:ptCount val="15"/>
                <c:pt idx="0">
                  <c:v>0.18485820756071553</c:v>
                </c:pt>
                <c:pt idx="1">
                  <c:v>-0.39665680822330818</c:v>
                </c:pt>
                <c:pt idx="2">
                  <c:v>4.3712687820177273E-2</c:v>
                </c:pt>
                <c:pt idx="3">
                  <c:v>-0.54703845895662806</c:v>
                </c:pt>
                <c:pt idx="4">
                  <c:v>-0.14473811358544711</c:v>
                </c:pt>
                <c:pt idx="5">
                  <c:v>-4.3427519462256002E-2</c:v>
                </c:pt>
                <c:pt idx="6">
                  <c:v>4.7052616962838656E-5</c:v>
                </c:pt>
                <c:pt idx="7">
                  <c:v>-8.9721121033795009E-2</c:v>
                </c:pt>
                <c:pt idx="8">
                  <c:v>-9.2269208191168781E-2</c:v>
                </c:pt>
                <c:pt idx="9">
                  <c:v>-0.35840156072852875</c:v>
                </c:pt>
                <c:pt idx="10">
                  <c:v>-5.6997413965265337E-2</c:v>
                </c:pt>
                <c:pt idx="11">
                  <c:v>-0.17392949609683719</c:v>
                </c:pt>
                <c:pt idx="12">
                  <c:v>-9.8979215146578162E-2</c:v>
                </c:pt>
                <c:pt idx="13">
                  <c:v>-0.26186451954874612</c:v>
                </c:pt>
                <c:pt idx="14">
                  <c:v>0.6210554929837554</c:v>
                </c:pt>
              </c:numCache>
              <c:extLst/>
            </c:numRef>
          </c:val>
          <c:extLst>
            <c:ext xmlns:c16="http://schemas.microsoft.com/office/drawing/2014/chart" uri="{C3380CC4-5D6E-409C-BE32-E72D297353CC}">
              <c16:uniqueId val="{00000001-0387-4C64-AB0C-54CA12D1364A}"/>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FCF!$P$6:$P$20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FCF!$S$6:$S$20</c:f>
              <c:numCache>
                <c:formatCode>0.00</c:formatCode>
                <c:ptCount val="15"/>
                <c:pt idx="0">
                  <c:v>0.18224763346718933</c:v>
                </c:pt>
                <c:pt idx="1">
                  <c:v>-0.47278496086778565</c:v>
                </c:pt>
                <c:pt idx="2">
                  <c:v>1.4901687748770721E-2</c:v>
                </c:pt>
                <c:pt idx="3">
                  <c:v>-0.72057948449930387</c:v>
                </c:pt>
                <c:pt idx="4">
                  <c:v>-0.21620961387207843</c:v>
                </c:pt>
                <c:pt idx="5">
                  <c:v>-7.0347211134324766E-2</c:v>
                </c:pt>
                <c:pt idx="6">
                  <c:v>-3.5852591237976916E-3</c:v>
                </c:pt>
                <c:pt idx="7">
                  <c:v>-0.24562646014348685</c:v>
                </c:pt>
                <c:pt idx="8">
                  <c:v>-0.10627309193639939</c:v>
                </c:pt>
                <c:pt idx="9">
                  <c:v>-0.33853792488174694</c:v>
                </c:pt>
                <c:pt idx="10">
                  <c:v>-0.13256206152401392</c:v>
                </c:pt>
                <c:pt idx="11">
                  <c:v>-0.11677485367233388</c:v>
                </c:pt>
                <c:pt idx="12">
                  <c:v>-7.9529343079349321E-2</c:v>
                </c:pt>
                <c:pt idx="13">
                  <c:v>-0.18214358716414944</c:v>
                </c:pt>
                <c:pt idx="14">
                  <c:v>0.66565653821699544</c:v>
                </c:pt>
              </c:numCache>
              <c:extLst/>
            </c:numRef>
          </c:val>
          <c:extLst>
            <c:ext xmlns:c16="http://schemas.microsoft.com/office/drawing/2014/chart" uri="{C3380CC4-5D6E-409C-BE32-E72D297353CC}">
              <c16:uniqueId val="{00000002-0387-4C64-AB0C-54CA12D1364A}"/>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FCF!$P$6:$P$20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FCF!$T$6:$T$20</c:f>
              <c:numCache>
                <c:formatCode>0.00</c:formatCode>
                <c:ptCount val="15"/>
                <c:pt idx="0">
                  <c:v>0.15548271780384648</c:v>
                </c:pt>
                <c:pt idx="1">
                  <c:v>-0.51328302371425027</c:v>
                </c:pt>
                <c:pt idx="2">
                  <c:v>-0.10082929723526626</c:v>
                </c:pt>
                <c:pt idx="3">
                  <c:v>-0.75209799384395759</c:v>
                </c:pt>
                <c:pt idx="4">
                  <c:v>-0.19608678527121307</c:v>
                </c:pt>
                <c:pt idx="5">
                  <c:v>-0.11193839817023182</c:v>
                </c:pt>
                <c:pt idx="6">
                  <c:v>-6.6031248112183277E-2</c:v>
                </c:pt>
                <c:pt idx="7">
                  <c:v>-0.22578729662489733</c:v>
                </c:pt>
                <c:pt idx="8">
                  <c:v>-0.25467050731121887</c:v>
                </c:pt>
                <c:pt idx="9">
                  <c:v>-0.35143592376458027</c:v>
                </c:pt>
                <c:pt idx="10">
                  <c:v>-0.19392111150277277</c:v>
                </c:pt>
                <c:pt idx="11">
                  <c:v>-8.3874877902193681E-2</c:v>
                </c:pt>
                <c:pt idx="12">
                  <c:v>-0.14458813217834254</c:v>
                </c:pt>
                <c:pt idx="13">
                  <c:v>-0.20493762460987089</c:v>
                </c:pt>
                <c:pt idx="14">
                  <c:v>0.71643085090528424</c:v>
                </c:pt>
              </c:numCache>
              <c:extLst/>
            </c:numRef>
          </c:val>
          <c:extLst>
            <c:ext xmlns:c16="http://schemas.microsoft.com/office/drawing/2014/chart" uri="{C3380CC4-5D6E-409C-BE32-E72D297353CC}">
              <c16:uniqueId val="{00000003-0387-4C64-AB0C-54CA12D1364A}"/>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FCF!$P$6:$P$20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FCF!$U$6:$U$20</c:f>
              <c:numCache>
                <c:formatCode>0.00</c:formatCode>
                <c:ptCount val="15"/>
                <c:pt idx="0">
                  <c:v>6.6538247488778526E-2</c:v>
                </c:pt>
                <c:pt idx="1">
                  <c:v>-0.69760803932523796</c:v>
                </c:pt>
                <c:pt idx="2">
                  <c:v>-0.10061553329090349</c:v>
                </c:pt>
                <c:pt idx="3">
                  <c:v>-0.44348237510846628</c:v>
                </c:pt>
                <c:pt idx="4">
                  <c:v>-0.10529882257607857</c:v>
                </c:pt>
                <c:pt idx="5">
                  <c:v>-0.1201079248392071</c:v>
                </c:pt>
                <c:pt idx="6">
                  <c:v>-6.5383662462202743E-2</c:v>
                </c:pt>
                <c:pt idx="7">
                  <c:v>-0.15437161645997555</c:v>
                </c:pt>
                <c:pt idx="8">
                  <c:v>-0.25837506391737453</c:v>
                </c:pt>
                <c:pt idx="9">
                  <c:v>-0.29420156026363176</c:v>
                </c:pt>
                <c:pt idx="10">
                  <c:v>-0.20071461272483165</c:v>
                </c:pt>
                <c:pt idx="11">
                  <c:v>-0.23113000358338814</c:v>
                </c:pt>
                <c:pt idx="12">
                  <c:v>-0.11801569049380278</c:v>
                </c:pt>
                <c:pt idx="13">
                  <c:v>-0.25575526937249415</c:v>
                </c:pt>
                <c:pt idx="14">
                  <c:v>0.72252567587565264</c:v>
                </c:pt>
              </c:numCache>
              <c:extLst/>
            </c:numRef>
          </c:val>
          <c:extLst>
            <c:ext xmlns:c16="http://schemas.microsoft.com/office/drawing/2014/chart" uri="{C3380CC4-5D6E-409C-BE32-E72D297353CC}">
              <c16:uniqueId val="{00000004-0387-4C64-AB0C-54CA12D1364A}"/>
            </c:ext>
          </c:extLst>
        </c:ser>
        <c:dLbls>
          <c:showLegendKey val="0"/>
          <c:showVal val="0"/>
          <c:showCatName val="0"/>
          <c:showSerName val="0"/>
          <c:showPercent val="0"/>
          <c:showBubbleSize val="0"/>
        </c:dLbls>
        <c:gapWidth val="100"/>
        <c:overlap val="-24"/>
        <c:axId val="1191118592"/>
        <c:axId val="1191120672"/>
      </c:barChart>
      <c:catAx>
        <c:axId val="1191118592"/>
        <c:scaling>
          <c:orientation val="minMax"/>
        </c:scaling>
        <c:delete val="0"/>
        <c:axPos val="b"/>
        <c:numFmt formatCode="General" sourceLinked="1"/>
        <c:majorTickMark val="none"/>
        <c:minorTickMark val="none"/>
        <c:tickLblPos val="nextTo"/>
        <c:spPr>
          <a:noFill/>
          <a:ln w="12700" cap="flat" cmpd="sng" algn="ctr">
            <a:solidFill>
              <a:schemeClr val="bg1"/>
            </a:solidFill>
            <a:round/>
          </a:ln>
          <a:effectLst/>
        </c:spPr>
        <c:txPr>
          <a:bodyPr rot="-6000000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1120672"/>
        <c:crosses val="autoZero"/>
        <c:auto val="1"/>
        <c:lblAlgn val="ctr"/>
        <c:lblOffset val="100"/>
        <c:noMultiLvlLbl val="0"/>
      </c:catAx>
      <c:valAx>
        <c:axId val="119112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111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Kepemilikan Institusional (KI)                                     Perusahaan Sektor Consumer non Cyclical                Tahun 2019-2023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KI!$P$6:$P$20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KI!$Q$6:$Q$20</c:f>
              <c:numCache>
                <c:formatCode>0.00</c:formatCode>
                <c:ptCount val="15"/>
                <c:pt idx="0">
                  <c:v>0.52540777172047315</c:v>
                </c:pt>
                <c:pt idx="1">
                  <c:v>0.54143750000000002</c:v>
                </c:pt>
                <c:pt idx="2">
                  <c:v>0.5784775187872182</c:v>
                </c:pt>
                <c:pt idx="3">
                  <c:v>0.9201193277310924</c:v>
                </c:pt>
                <c:pt idx="4">
                  <c:v>0.55533512684473718</c:v>
                </c:pt>
                <c:pt idx="5">
                  <c:v>0.8053294538080733</c:v>
                </c:pt>
                <c:pt idx="6">
                  <c:v>0.50067083301705217</c:v>
                </c:pt>
                <c:pt idx="7">
                  <c:v>0.52428911345536855</c:v>
                </c:pt>
                <c:pt idx="8">
                  <c:v>0.59619014570555728</c:v>
                </c:pt>
                <c:pt idx="9">
                  <c:v>0.59070838588311514</c:v>
                </c:pt>
                <c:pt idx="10">
                  <c:v>0.92290438304552591</c:v>
                </c:pt>
                <c:pt idx="11">
                  <c:v>0.55262482513149125</c:v>
                </c:pt>
                <c:pt idx="12">
                  <c:v>0.37738154206363661</c:v>
                </c:pt>
                <c:pt idx="13">
                  <c:v>0.92499999993552162</c:v>
                </c:pt>
                <c:pt idx="14">
                  <c:v>0.84991841415465263</c:v>
                </c:pt>
              </c:numCache>
              <c:extLst/>
            </c:numRef>
          </c:val>
          <c:extLst>
            <c:ext xmlns:c16="http://schemas.microsoft.com/office/drawing/2014/chart" uri="{C3380CC4-5D6E-409C-BE32-E72D297353CC}">
              <c16:uniqueId val="{00000000-9071-4595-B0A5-0F82ACD32E77}"/>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KI!$P$6:$P$20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KI!$R$6:$R$20</c:f>
              <c:numCache>
                <c:formatCode>0.00</c:formatCode>
                <c:ptCount val="15"/>
                <c:pt idx="0">
                  <c:v>0.52547165689407904</c:v>
                </c:pt>
                <c:pt idx="1">
                  <c:v>0.54143750000000002</c:v>
                </c:pt>
                <c:pt idx="2">
                  <c:v>0.5784775187872182</c:v>
                </c:pt>
                <c:pt idx="3">
                  <c:v>0.91976638655462184</c:v>
                </c:pt>
                <c:pt idx="4">
                  <c:v>0.55533512684473718</c:v>
                </c:pt>
                <c:pt idx="5">
                  <c:v>0.8053294538080733</c:v>
                </c:pt>
                <c:pt idx="6">
                  <c:v>0.50067083301705217</c:v>
                </c:pt>
                <c:pt idx="7">
                  <c:v>0.54467472442041942</c:v>
                </c:pt>
                <c:pt idx="8">
                  <c:v>0.59619014570555728</c:v>
                </c:pt>
                <c:pt idx="9">
                  <c:v>0.59070838588311514</c:v>
                </c:pt>
                <c:pt idx="10">
                  <c:v>0.92290438304552591</c:v>
                </c:pt>
                <c:pt idx="11">
                  <c:v>0.55262482513149125</c:v>
                </c:pt>
                <c:pt idx="12">
                  <c:v>0.36860401035509244</c:v>
                </c:pt>
                <c:pt idx="13">
                  <c:v>0.92499999993552162</c:v>
                </c:pt>
                <c:pt idx="14">
                  <c:v>0.84991841415465263</c:v>
                </c:pt>
              </c:numCache>
              <c:extLst/>
            </c:numRef>
          </c:val>
          <c:extLst>
            <c:ext xmlns:c16="http://schemas.microsoft.com/office/drawing/2014/chart" uri="{C3380CC4-5D6E-409C-BE32-E72D297353CC}">
              <c16:uniqueId val="{00000001-9071-4595-B0A5-0F82ACD32E77}"/>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KI!$P$6:$P$20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KI!$S$6:$S$20</c:f>
              <c:numCache>
                <c:formatCode>0.00</c:formatCode>
                <c:ptCount val="15"/>
                <c:pt idx="0">
                  <c:v>0.52735899198039027</c:v>
                </c:pt>
                <c:pt idx="1">
                  <c:v>0.50068749999999995</c:v>
                </c:pt>
                <c:pt idx="2">
                  <c:v>0.5784775187872182</c:v>
                </c:pt>
                <c:pt idx="3">
                  <c:v>0.8702033613445378</c:v>
                </c:pt>
                <c:pt idx="4">
                  <c:v>0.55533512684473718</c:v>
                </c:pt>
                <c:pt idx="5">
                  <c:v>0.8053294538080733</c:v>
                </c:pt>
                <c:pt idx="6">
                  <c:v>0.50067083301705217</c:v>
                </c:pt>
                <c:pt idx="7">
                  <c:v>0.55001232716692827</c:v>
                </c:pt>
                <c:pt idx="8">
                  <c:v>0.59619014570555728</c:v>
                </c:pt>
                <c:pt idx="9">
                  <c:v>0.59070838588311514</c:v>
                </c:pt>
                <c:pt idx="10">
                  <c:v>0.91301482260596545</c:v>
                </c:pt>
                <c:pt idx="11">
                  <c:v>0.58092830691393527</c:v>
                </c:pt>
                <c:pt idx="12">
                  <c:v>0.38639300577534702</c:v>
                </c:pt>
                <c:pt idx="13">
                  <c:v>0.92499999993552162</c:v>
                </c:pt>
                <c:pt idx="14">
                  <c:v>0.84991841415465263</c:v>
                </c:pt>
              </c:numCache>
              <c:extLst/>
            </c:numRef>
          </c:val>
          <c:extLst>
            <c:ext xmlns:c16="http://schemas.microsoft.com/office/drawing/2014/chart" uri="{C3380CC4-5D6E-409C-BE32-E72D297353CC}">
              <c16:uniqueId val="{00000002-9071-4595-B0A5-0F82ACD32E77}"/>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KI!$P$6:$P$20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KI!$T$6:$T$20</c:f>
              <c:numCache>
                <c:formatCode>0.00</c:formatCode>
                <c:ptCount val="15"/>
                <c:pt idx="0">
                  <c:v>0.53185433069266663</c:v>
                </c:pt>
                <c:pt idx="1">
                  <c:v>0.50068749999999995</c:v>
                </c:pt>
                <c:pt idx="2">
                  <c:v>0.59759288896422336</c:v>
                </c:pt>
                <c:pt idx="3">
                  <c:v>0.8702033613445378</c:v>
                </c:pt>
                <c:pt idx="4">
                  <c:v>0.55533512684473718</c:v>
                </c:pt>
                <c:pt idx="5">
                  <c:v>0.8053294538080733</c:v>
                </c:pt>
                <c:pt idx="6">
                  <c:v>0.50067083301705217</c:v>
                </c:pt>
                <c:pt idx="7">
                  <c:v>0.55431158753373178</c:v>
                </c:pt>
                <c:pt idx="8">
                  <c:v>0.59619014570555728</c:v>
                </c:pt>
                <c:pt idx="9">
                  <c:v>0.59070838588311514</c:v>
                </c:pt>
                <c:pt idx="10">
                  <c:v>0.91301482260596545</c:v>
                </c:pt>
                <c:pt idx="11">
                  <c:v>0.58092830691393527</c:v>
                </c:pt>
                <c:pt idx="12">
                  <c:v>0.49605849067927704</c:v>
                </c:pt>
                <c:pt idx="13">
                  <c:v>0.92499999993552162</c:v>
                </c:pt>
                <c:pt idx="14">
                  <c:v>0.84991841415465263</c:v>
                </c:pt>
              </c:numCache>
              <c:extLst/>
            </c:numRef>
          </c:val>
          <c:extLst>
            <c:ext xmlns:c16="http://schemas.microsoft.com/office/drawing/2014/chart" uri="{C3380CC4-5D6E-409C-BE32-E72D297353CC}">
              <c16:uniqueId val="{00000003-9071-4595-B0A5-0F82ACD32E77}"/>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KI!$P$6:$P$20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KI!$U$6:$U$20</c:f>
              <c:numCache>
                <c:formatCode>0.00</c:formatCode>
                <c:ptCount val="15"/>
                <c:pt idx="0">
                  <c:v>0.53185433069266663</c:v>
                </c:pt>
                <c:pt idx="1">
                  <c:v>0.50068749999999995</c:v>
                </c:pt>
                <c:pt idx="2">
                  <c:v>0.59759288896422336</c:v>
                </c:pt>
                <c:pt idx="3">
                  <c:v>0.8702033613445378</c:v>
                </c:pt>
                <c:pt idx="4">
                  <c:v>0.61478836504451762</c:v>
                </c:pt>
                <c:pt idx="5">
                  <c:v>0.8053294538080733</c:v>
                </c:pt>
                <c:pt idx="6">
                  <c:v>0.50067083301705217</c:v>
                </c:pt>
                <c:pt idx="7">
                  <c:v>0.55431158753373178</c:v>
                </c:pt>
                <c:pt idx="8">
                  <c:v>0.59619014570555728</c:v>
                </c:pt>
                <c:pt idx="9">
                  <c:v>0.59070838588311514</c:v>
                </c:pt>
                <c:pt idx="10">
                  <c:v>0.88373578021978016</c:v>
                </c:pt>
                <c:pt idx="11">
                  <c:v>0.66906457776483352</c:v>
                </c:pt>
                <c:pt idx="12">
                  <c:v>0.49614853916087026</c:v>
                </c:pt>
                <c:pt idx="13">
                  <c:v>0.92499999993552162</c:v>
                </c:pt>
                <c:pt idx="14">
                  <c:v>0.84991841415465263</c:v>
                </c:pt>
              </c:numCache>
              <c:extLst/>
            </c:numRef>
          </c:val>
          <c:extLst>
            <c:ext xmlns:c16="http://schemas.microsoft.com/office/drawing/2014/chart" uri="{C3380CC4-5D6E-409C-BE32-E72D297353CC}">
              <c16:uniqueId val="{00000004-9071-4595-B0A5-0F82ACD32E77}"/>
            </c:ext>
          </c:extLst>
        </c:ser>
        <c:dLbls>
          <c:showLegendKey val="0"/>
          <c:showVal val="0"/>
          <c:showCatName val="0"/>
          <c:showSerName val="0"/>
          <c:showPercent val="0"/>
          <c:showBubbleSize val="0"/>
        </c:dLbls>
        <c:gapWidth val="100"/>
        <c:overlap val="-24"/>
        <c:axId val="1186043344"/>
        <c:axId val="1186045840"/>
      </c:barChart>
      <c:catAx>
        <c:axId val="1186043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45840"/>
        <c:crosses val="autoZero"/>
        <c:auto val="1"/>
        <c:lblAlgn val="ctr"/>
        <c:lblOffset val="100"/>
        <c:noMultiLvlLbl val="0"/>
      </c:catAx>
      <c:valAx>
        <c:axId val="1186045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6043344"/>
        <c:crosses val="autoZero"/>
        <c:crossBetween val="between"/>
      </c:valAx>
      <c:spPr>
        <a:noFill/>
        <a:ln>
          <a:noFill/>
        </a:ln>
        <a:effectLst/>
      </c:spPr>
    </c:plotArea>
    <c:legend>
      <c:legendPos val="r"/>
      <c:layout>
        <c:manualLayout>
          <c:xMode val="edge"/>
          <c:yMode val="edge"/>
          <c:x val="0.86121937882764643"/>
          <c:y val="0.33892242636337122"/>
          <c:w val="0.11655839895013123"/>
          <c:h val="0.4434510790317877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t>Dividen Payout Ratio (DPR)                                      Perusahaan Sektor Consumer non Cyclical                Tahun 2019-2023</a:t>
            </a:r>
          </a:p>
          <a:p>
            <a:pPr>
              <a:defRPr sz="1200"/>
            </a:pPr>
            <a:endParaRPr lang="en-GB"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2019</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DPR!$P$6:$P$20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DPR!$Q$6:$Q$20</c:f>
              <c:numCache>
                <c:formatCode>0.00</c:formatCode>
                <c:ptCount val="15"/>
                <c:pt idx="0">
                  <c:v>0.31</c:v>
                </c:pt>
                <c:pt idx="1">
                  <c:v>0.99</c:v>
                </c:pt>
                <c:pt idx="2">
                  <c:v>0.61</c:v>
                </c:pt>
                <c:pt idx="3">
                  <c:v>0.53</c:v>
                </c:pt>
                <c:pt idx="4">
                  <c:v>0.73</c:v>
                </c:pt>
                <c:pt idx="5">
                  <c:v>0.56000000000000005</c:v>
                </c:pt>
                <c:pt idx="6">
                  <c:v>0.55000000000000004</c:v>
                </c:pt>
                <c:pt idx="7">
                  <c:v>0.57999999999999996</c:v>
                </c:pt>
                <c:pt idx="8">
                  <c:v>0.72</c:v>
                </c:pt>
                <c:pt idx="9">
                  <c:v>0.56999999999999995</c:v>
                </c:pt>
                <c:pt idx="10">
                  <c:v>0.7</c:v>
                </c:pt>
                <c:pt idx="11">
                  <c:v>0.6</c:v>
                </c:pt>
                <c:pt idx="12">
                  <c:v>0.69</c:v>
                </c:pt>
                <c:pt idx="13">
                  <c:v>1</c:v>
                </c:pt>
                <c:pt idx="14">
                  <c:v>1.1100000000000001</c:v>
                </c:pt>
              </c:numCache>
              <c:extLst/>
            </c:numRef>
          </c:val>
          <c:extLst>
            <c:ext xmlns:c16="http://schemas.microsoft.com/office/drawing/2014/chart" uri="{C3380CC4-5D6E-409C-BE32-E72D297353CC}">
              <c16:uniqueId val="{00000000-902B-4EFC-B761-A08ADB766068}"/>
            </c:ext>
          </c:extLst>
        </c:ser>
        <c:ser>
          <c:idx val="1"/>
          <c:order val="1"/>
          <c:tx>
            <c:v>2020</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DPR!$P$6:$P$20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DPR!$R$6:$R$20</c:f>
              <c:numCache>
                <c:formatCode>0.00</c:formatCode>
                <c:ptCount val="15"/>
                <c:pt idx="0">
                  <c:v>0.72</c:v>
                </c:pt>
                <c:pt idx="1">
                  <c:v>0.64</c:v>
                </c:pt>
                <c:pt idx="2">
                  <c:v>0.66</c:v>
                </c:pt>
                <c:pt idx="3">
                  <c:v>0.56999999999999995</c:v>
                </c:pt>
                <c:pt idx="4">
                  <c:v>0.59</c:v>
                </c:pt>
                <c:pt idx="5">
                  <c:v>0.62</c:v>
                </c:pt>
                <c:pt idx="6">
                  <c:v>0.61</c:v>
                </c:pt>
                <c:pt idx="7">
                  <c:v>0.5</c:v>
                </c:pt>
                <c:pt idx="8">
                  <c:v>0.38</c:v>
                </c:pt>
                <c:pt idx="9">
                  <c:v>0.56999999999999995</c:v>
                </c:pt>
                <c:pt idx="10">
                  <c:v>0.67</c:v>
                </c:pt>
                <c:pt idx="11">
                  <c:v>0.44</c:v>
                </c:pt>
                <c:pt idx="12">
                  <c:v>0.89</c:v>
                </c:pt>
                <c:pt idx="13">
                  <c:v>1.27</c:v>
                </c:pt>
                <c:pt idx="14">
                  <c:v>1.02</c:v>
                </c:pt>
              </c:numCache>
              <c:extLst/>
            </c:numRef>
          </c:val>
          <c:extLst>
            <c:ext xmlns:c16="http://schemas.microsoft.com/office/drawing/2014/chart" uri="{C3380CC4-5D6E-409C-BE32-E72D297353CC}">
              <c16:uniqueId val="{00000001-902B-4EFC-B761-A08ADB766068}"/>
            </c:ext>
          </c:extLst>
        </c:ser>
        <c:ser>
          <c:idx val="2"/>
          <c:order val="2"/>
          <c:tx>
            <c:v>2021</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DPR!$P$6:$P$20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DPR!$S$6:$S$20</c:f>
              <c:numCache>
                <c:formatCode>0.00</c:formatCode>
                <c:ptCount val="15"/>
                <c:pt idx="0">
                  <c:v>0.45</c:v>
                </c:pt>
                <c:pt idx="1">
                  <c:v>0.55000000000000004</c:v>
                </c:pt>
                <c:pt idx="2">
                  <c:v>0.56999999999999995</c:v>
                </c:pt>
                <c:pt idx="3">
                  <c:v>0.56000000000000005</c:v>
                </c:pt>
                <c:pt idx="4">
                  <c:v>0.71</c:v>
                </c:pt>
                <c:pt idx="5">
                  <c:v>0.63</c:v>
                </c:pt>
                <c:pt idx="6">
                  <c:v>0.56000000000000005</c:v>
                </c:pt>
                <c:pt idx="7">
                  <c:v>0.48</c:v>
                </c:pt>
                <c:pt idx="8">
                  <c:v>0.37</c:v>
                </c:pt>
                <c:pt idx="9">
                  <c:v>0.99</c:v>
                </c:pt>
                <c:pt idx="10">
                  <c:v>0.26</c:v>
                </c:pt>
                <c:pt idx="11">
                  <c:v>0.4</c:v>
                </c:pt>
                <c:pt idx="12">
                  <c:v>0.55000000000000004</c:v>
                </c:pt>
                <c:pt idx="13">
                  <c:v>0.95</c:v>
                </c:pt>
                <c:pt idx="14">
                  <c:v>1.05</c:v>
                </c:pt>
              </c:numCache>
              <c:extLst/>
            </c:numRef>
          </c:val>
          <c:extLst>
            <c:ext xmlns:c16="http://schemas.microsoft.com/office/drawing/2014/chart" uri="{C3380CC4-5D6E-409C-BE32-E72D297353CC}">
              <c16:uniqueId val="{00000002-902B-4EFC-B761-A08ADB766068}"/>
            </c:ext>
          </c:extLst>
        </c:ser>
        <c:ser>
          <c:idx val="3"/>
          <c:order val="3"/>
          <c:tx>
            <c:v>2022</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DPR!$P$6:$P$20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DPR!$T$6:$T$20</c:f>
              <c:numCache>
                <c:formatCode>0.00</c:formatCode>
                <c:ptCount val="15"/>
                <c:pt idx="0">
                  <c:v>0.52</c:v>
                </c:pt>
                <c:pt idx="1">
                  <c:v>0.62</c:v>
                </c:pt>
                <c:pt idx="2">
                  <c:v>0.64</c:v>
                </c:pt>
                <c:pt idx="3">
                  <c:v>0.52</c:v>
                </c:pt>
                <c:pt idx="4">
                  <c:v>0.78</c:v>
                </c:pt>
                <c:pt idx="5">
                  <c:v>0.74</c:v>
                </c:pt>
                <c:pt idx="6">
                  <c:v>0.62</c:v>
                </c:pt>
                <c:pt idx="7">
                  <c:v>0.7</c:v>
                </c:pt>
                <c:pt idx="8">
                  <c:v>0.57999999999999996</c:v>
                </c:pt>
                <c:pt idx="9">
                  <c:v>0.49</c:v>
                </c:pt>
                <c:pt idx="10">
                  <c:v>0.23</c:v>
                </c:pt>
                <c:pt idx="11">
                  <c:v>0.77</c:v>
                </c:pt>
                <c:pt idx="12">
                  <c:v>0.71</c:v>
                </c:pt>
                <c:pt idx="13">
                  <c:v>1.08</c:v>
                </c:pt>
                <c:pt idx="14">
                  <c:v>1.04</c:v>
                </c:pt>
              </c:numCache>
              <c:extLst/>
            </c:numRef>
          </c:val>
          <c:extLst>
            <c:ext xmlns:c16="http://schemas.microsoft.com/office/drawing/2014/chart" uri="{C3380CC4-5D6E-409C-BE32-E72D297353CC}">
              <c16:uniqueId val="{00000003-902B-4EFC-B761-A08ADB766068}"/>
            </c:ext>
          </c:extLst>
        </c:ser>
        <c:ser>
          <c:idx val="4"/>
          <c:order val="4"/>
          <c:tx>
            <c:v>2023</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DPR!$P$6:$P$20</c:f>
              <c:strCache>
                <c:ptCount val="15"/>
                <c:pt idx="0">
                  <c:v>AMRT</c:v>
                </c:pt>
                <c:pt idx="1">
                  <c:v>BISI</c:v>
                </c:pt>
                <c:pt idx="2">
                  <c:v>BUDI</c:v>
                </c:pt>
                <c:pt idx="3">
                  <c:v>CEKA</c:v>
                </c:pt>
                <c:pt idx="4">
                  <c:v>CPIN</c:v>
                </c:pt>
                <c:pt idx="5">
                  <c:v>ICBP</c:v>
                </c:pt>
                <c:pt idx="6">
                  <c:v>INDF</c:v>
                </c:pt>
                <c:pt idx="7">
                  <c:v>JPFA</c:v>
                </c:pt>
                <c:pt idx="8">
                  <c:v>LSIP</c:v>
                </c:pt>
                <c:pt idx="9">
                  <c:v>MYOR</c:v>
                </c:pt>
                <c:pt idx="10">
                  <c:v>SDPC</c:v>
                </c:pt>
                <c:pt idx="11">
                  <c:v>TBLA</c:v>
                </c:pt>
                <c:pt idx="12">
                  <c:v>GOOD</c:v>
                </c:pt>
                <c:pt idx="13">
                  <c:v>HMSP</c:v>
                </c:pt>
                <c:pt idx="14">
                  <c:v>UNVR</c:v>
                </c:pt>
              </c:strCache>
              <c:extLst/>
            </c:strRef>
          </c:cat>
          <c:val>
            <c:numRef>
              <c:f>DPR!$U$6:$U$20</c:f>
              <c:numCache>
                <c:formatCode>0.00</c:formatCode>
                <c:ptCount val="15"/>
                <c:pt idx="0">
                  <c:v>0.54</c:v>
                </c:pt>
                <c:pt idx="1">
                  <c:v>0.59</c:v>
                </c:pt>
                <c:pt idx="2">
                  <c:v>0.79</c:v>
                </c:pt>
                <c:pt idx="3">
                  <c:v>0.62</c:v>
                </c:pt>
                <c:pt idx="4">
                  <c:v>0.84</c:v>
                </c:pt>
                <c:pt idx="5">
                  <c:v>0.56000000000000005</c:v>
                </c:pt>
                <c:pt idx="6">
                  <c:v>0.53</c:v>
                </c:pt>
                <c:pt idx="7">
                  <c:v>0.79</c:v>
                </c:pt>
                <c:pt idx="8">
                  <c:v>0.69</c:v>
                </c:pt>
                <c:pt idx="9">
                  <c:v>0.49</c:v>
                </c:pt>
                <c:pt idx="10">
                  <c:v>0.28000000000000003</c:v>
                </c:pt>
                <c:pt idx="11">
                  <c:v>0.46</c:v>
                </c:pt>
                <c:pt idx="12">
                  <c:v>0.62</c:v>
                </c:pt>
                <c:pt idx="13">
                  <c:v>0.88</c:v>
                </c:pt>
                <c:pt idx="14">
                  <c:v>1.03</c:v>
                </c:pt>
              </c:numCache>
              <c:extLst/>
            </c:numRef>
          </c:val>
          <c:extLst>
            <c:ext xmlns:c16="http://schemas.microsoft.com/office/drawing/2014/chart" uri="{C3380CC4-5D6E-409C-BE32-E72D297353CC}">
              <c16:uniqueId val="{00000004-902B-4EFC-B761-A08ADB766068}"/>
            </c:ext>
          </c:extLst>
        </c:ser>
        <c:dLbls>
          <c:showLegendKey val="0"/>
          <c:showVal val="0"/>
          <c:showCatName val="0"/>
          <c:showSerName val="0"/>
          <c:showPercent val="0"/>
          <c:showBubbleSize val="0"/>
        </c:dLbls>
        <c:gapWidth val="100"/>
        <c:overlap val="-24"/>
        <c:axId val="1191097792"/>
        <c:axId val="1191122752"/>
      </c:barChart>
      <c:catAx>
        <c:axId val="1191097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1122752"/>
        <c:crosses val="autoZero"/>
        <c:auto val="1"/>
        <c:lblAlgn val="ctr"/>
        <c:lblOffset val="100"/>
        <c:noMultiLvlLbl val="0"/>
      </c:catAx>
      <c:valAx>
        <c:axId val="1191122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1097792"/>
        <c:crosses val="autoZero"/>
        <c:crossBetween val="between"/>
      </c:valAx>
      <c:spPr>
        <a:noFill/>
        <a:ln>
          <a:noFill/>
        </a:ln>
        <a:effectLst/>
      </c:spPr>
    </c:plotArea>
    <c:legend>
      <c:legendPos val="r"/>
      <c:layout>
        <c:manualLayout>
          <c:xMode val="edge"/>
          <c:yMode val="edge"/>
          <c:x val="0.86677493438320208"/>
          <c:y val="0.36573791840688685"/>
          <c:w val="0.11655839895013123"/>
          <c:h val="0.4316603563355842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07C0-5A14-4BC7-B8F7-680DBD4C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56</Pages>
  <Words>24358</Words>
  <Characters>138844</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Marsya</dc:creator>
  <cp:keywords/>
  <dc:description/>
  <cp:lastModifiedBy>AIDA MARSYA SALSABILA</cp:lastModifiedBy>
  <cp:revision>12</cp:revision>
  <cp:lastPrinted>2024-08-01T05:43:00Z</cp:lastPrinted>
  <dcterms:created xsi:type="dcterms:W3CDTF">2024-06-24T12:31:00Z</dcterms:created>
  <dcterms:modified xsi:type="dcterms:W3CDTF">2024-08-02T04:00:00Z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42eb4af3-f464-341c-9031-ceb54a562362</vt:lpwstr>
  </property>
  <property fmtid="{D5CDD505-2E9C-101B-9397-08002B2CF9AE}" pid="24" name="Mendeley Citation Style_1">
    <vt:lpwstr>http://www.zotero.org/styles/apa</vt:lpwstr>
  </property>
</Properties>
</file>