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BC7847" w:rsidRPr="00BC7847" w:rsidP="00BC7847" w14:paraId="4D94DECF" w14:textId="761698D3">
      <w:pPr>
        <w:spacing w:before="0" w:after="0" w:line="480" w:lineRule="auto"/>
        <w:jc w:val="center"/>
        <w:rPr>
          <w:rFonts w:ascii="Times New Roman" w:hAnsi="Times New Roman" w:eastAsiaTheme="minorEastAsia" w:cs="Times New Roman"/>
          <w:b/>
          <w:bCs/>
          <w:sz w:val="24"/>
          <w:szCs w:val="24"/>
        </w:rPr>
      </w:pPr>
      <w:r w:rsidRPr="00BC7847">
        <w:rPr>
          <w:rFonts w:ascii="Times New Roman" w:hAnsi="Times New Roman" w:eastAsiaTheme="minorEastAsia" w:cs="Times New Roman"/>
          <w:b/>
          <w:bCs/>
          <w:sz w:val="24"/>
          <w:szCs w:val="24"/>
        </w:rPr>
        <w:t>BAB IV</w:t>
      </w:r>
    </w:p>
    <w:p w:rsidR="002529AC" w:rsidRPr="00BC7847" w:rsidP="00BC7847" w14:paraId="0754B484" w14:textId="1209CD29">
      <w:pPr>
        <w:spacing w:after="0" w:line="480" w:lineRule="auto"/>
        <w:jc w:val="center"/>
        <w:rPr>
          <w:rFonts w:ascii="Times New Roman" w:hAnsi="Times New Roman" w:eastAsiaTheme="minorEastAsia" w:cs="Times New Roman"/>
          <w:b/>
          <w:bCs/>
          <w:sz w:val="24"/>
          <w:szCs w:val="24"/>
        </w:rPr>
      </w:pPr>
      <w:r w:rsidRPr="00BC7847">
        <w:rPr>
          <w:rFonts w:ascii="Times New Roman" w:hAnsi="Times New Roman" w:eastAsiaTheme="minorEastAsia" w:cs="Times New Roman"/>
          <w:b/>
          <w:bCs/>
          <w:sz w:val="24"/>
          <w:szCs w:val="24"/>
        </w:rPr>
        <w:t>HASIL DAN PEMBAHASAN</w:t>
      </w:r>
    </w:p>
    <w:p w:rsidR="00BC7847" w:rsidP="00BC7847" w14:paraId="12F42018" w14:textId="3A5A6E2E">
      <w:pPr>
        <w:pStyle w:val="ListParagraph"/>
        <w:numPr>
          <w:ilvl w:val="0"/>
          <w:numId w:val="47"/>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Gambaran Umum</w:t>
      </w:r>
      <w:r w:rsidR="00BB1890">
        <w:rPr>
          <w:rFonts w:ascii="Times New Roman" w:hAnsi="Times New Roman" w:cs="Times New Roman"/>
          <w:b/>
          <w:bCs/>
          <w:sz w:val="24"/>
          <w:szCs w:val="24"/>
        </w:rPr>
        <w:t xml:space="preserve"> </w:t>
      </w:r>
      <w:r w:rsidR="00BB1890">
        <w:rPr>
          <w:rFonts w:ascii="Times New Roman" w:hAnsi="Times New Roman" w:cs="Times New Roman"/>
          <w:b/>
          <w:bCs/>
          <w:sz w:val="24"/>
          <w:szCs w:val="24"/>
        </w:rPr>
        <w:t>Objek</w:t>
      </w:r>
      <w:r w:rsidR="00BB1890">
        <w:rPr>
          <w:rFonts w:ascii="Times New Roman" w:hAnsi="Times New Roman" w:cs="Times New Roman"/>
          <w:b/>
          <w:bCs/>
          <w:sz w:val="24"/>
          <w:szCs w:val="24"/>
        </w:rPr>
        <w:t xml:space="preserve"> </w:t>
      </w:r>
      <w:r w:rsidR="00BB1890">
        <w:rPr>
          <w:rFonts w:ascii="Times New Roman" w:hAnsi="Times New Roman" w:cs="Times New Roman"/>
          <w:b/>
          <w:bCs/>
          <w:sz w:val="24"/>
          <w:szCs w:val="24"/>
        </w:rPr>
        <w:t>Penelitian</w:t>
      </w:r>
    </w:p>
    <w:p w:rsidR="00BB1890" w:rsidP="00BB1890" w14:paraId="1836625B" w14:textId="35AEBB20">
      <w:pPr>
        <w:pStyle w:val="ListParagraph"/>
        <w:numPr>
          <w:ilvl w:val="0"/>
          <w:numId w:val="49"/>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Gambaran Umum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 (BEI)</w:t>
      </w:r>
    </w:p>
    <w:p w:rsidR="00BB1890" w:rsidP="00BB1890" w14:paraId="384B81AA" w14:textId="3CDCF356">
      <w:pPr>
        <w:pStyle w:val="ListParagraph"/>
        <w:numPr>
          <w:ilvl w:val="0"/>
          <w:numId w:val="68"/>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Sejarah </w:t>
      </w:r>
      <w:r>
        <w:rPr>
          <w:rFonts w:ascii="Times New Roman" w:hAnsi="Times New Roman" w:cs="Times New Roman"/>
          <w:b/>
          <w:bCs/>
          <w:sz w:val="24"/>
          <w:szCs w:val="24"/>
        </w:rPr>
        <w:t>Singkat</w:t>
      </w:r>
      <w:r>
        <w:rPr>
          <w:rFonts w:ascii="Times New Roman" w:hAnsi="Times New Roman" w:cs="Times New Roman"/>
          <w:b/>
          <w:bCs/>
          <w:sz w:val="24"/>
          <w:szCs w:val="24"/>
        </w:rPr>
        <w:t xml:space="preserve">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w:t>
      </w:r>
    </w:p>
    <w:p w:rsidR="00BB1890" w:rsidP="00BB1890" w14:paraId="6E7C2803" w14:textId="563421FA">
      <w:pPr>
        <w:pStyle w:val="ListParagraph"/>
        <w:spacing w:after="0" w:line="480" w:lineRule="auto"/>
        <w:ind w:left="1212" w:firstLine="228"/>
        <w:jc w:val="both"/>
        <w:rPr>
          <w:rFonts w:ascii="Times New Roman" w:hAnsi="Times New Roman" w:cs="Times New Roman"/>
          <w:sz w:val="24"/>
          <w:szCs w:val="24"/>
        </w:rPr>
      </w:pPr>
      <w:r w:rsidRPr="00A8141F">
        <w:rPr>
          <w:rFonts w:ascii="Times New Roman" w:hAnsi="Times New Roman" w:cs="Times New Roman"/>
          <w:sz w:val="24"/>
          <w:szCs w:val="24"/>
        </w:rPr>
        <w:t>Secara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historis</w:t>
      </w:r>
      <w:r w:rsidRPr="00A8141F">
        <w:rPr>
          <w:rFonts w:ascii="Times New Roman" w:hAnsi="Times New Roman" w:cs="Times New Roman"/>
          <w:sz w:val="24"/>
          <w:szCs w:val="24"/>
        </w:rPr>
        <w:t xml:space="preserve">, pasar modal </w:t>
      </w:r>
      <w:r w:rsidRPr="00A8141F">
        <w:rPr>
          <w:rFonts w:ascii="Times New Roman" w:hAnsi="Times New Roman" w:cs="Times New Roman"/>
          <w:sz w:val="24"/>
          <w:szCs w:val="24"/>
        </w:rPr>
        <w:t>telah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hadir</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jauh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sebelum</w:t>
      </w:r>
      <w:r w:rsidRPr="00A8141F">
        <w:rPr>
          <w:rFonts w:ascii="Times New Roman" w:hAnsi="Times New Roman" w:cs="Times New Roman"/>
          <w:sz w:val="24"/>
          <w:szCs w:val="24"/>
        </w:rPr>
        <w:t xml:space="preserve"> Indonesia </w:t>
      </w:r>
      <w:r w:rsidRPr="00A8141F">
        <w:rPr>
          <w:rFonts w:ascii="Times New Roman" w:hAnsi="Times New Roman" w:cs="Times New Roman"/>
          <w:sz w:val="24"/>
          <w:szCs w:val="24"/>
        </w:rPr>
        <w:t>merdeka</w:t>
      </w:r>
      <w:r w:rsidRPr="00A8141F">
        <w:rPr>
          <w:rFonts w:ascii="Times New Roman" w:hAnsi="Times New Roman" w:cs="Times New Roman"/>
          <w:sz w:val="24"/>
          <w:szCs w:val="24"/>
        </w:rPr>
        <w:t xml:space="preserve">. Pasar modal </w:t>
      </w:r>
      <w:r w:rsidRPr="00A8141F">
        <w:rPr>
          <w:rFonts w:ascii="Times New Roman" w:hAnsi="Times New Roman" w:cs="Times New Roman"/>
          <w:sz w:val="24"/>
          <w:szCs w:val="24"/>
        </w:rPr>
        <w:t>atau</w:t>
      </w:r>
      <w:r w:rsidRPr="00A8141F">
        <w:rPr>
          <w:rFonts w:ascii="Times New Roman" w:hAnsi="Times New Roman" w:cs="Times New Roman"/>
          <w:sz w:val="24"/>
          <w:szCs w:val="24"/>
        </w:rPr>
        <w:t xml:space="preserve"> bursa </w:t>
      </w:r>
      <w:r w:rsidRPr="00A8141F">
        <w:rPr>
          <w:rFonts w:ascii="Times New Roman" w:hAnsi="Times New Roman" w:cs="Times New Roman"/>
          <w:sz w:val="24"/>
          <w:szCs w:val="24"/>
        </w:rPr>
        <w:t>efek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telah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hadir</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sejak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jaman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kolonial</w:t>
      </w:r>
      <w:r w:rsidRPr="00A8141F">
        <w:rPr>
          <w:rFonts w:ascii="Times New Roman" w:hAnsi="Times New Roman" w:cs="Times New Roman"/>
          <w:sz w:val="24"/>
          <w:szCs w:val="24"/>
        </w:rPr>
        <w:t xml:space="preserve"> Belanda dan </w:t>
      </w:r>
      <w:r w:rsidRPr="00A8141F">
        <w:rPr>
          <w:rFonts w:ascii="Times New Roman" w:hAnsi="Times New Roman" w:cs="Times New Roman"/>
          <w:sz w:val="24"/>
          <w:szCs w:val="24"/>
        </w:rPr>
        <w:t>tepatnya</w:t>
      </w:r>
      <w:r w:rsidRPr="00A8141F">
        <w:rPr>
          <w:rFonts w:ascii="Times New Roman" w:hAnsi="Times New Roman" w:cs="Times New Roman"/>
          <w:sz w:val="24"/>
          <w:szCs w:val="24"/>
        </w:rPr>
        <w:t xml:space="preserve"> pada </w:t>
      </w:r>
      <w:r w:rsidRPr="00A8141F">
        <w:rPr>
          <w:rFonts w:ascii="Times New Roman" w:hAnsi="Times New Roman" w:cs="Times New Roman"/>
          <w:sz w:val="24"/>
          <w:szCs w:val="24"/>
        </w:rPr>
        <w:t>tahun</w:t>
      </w:r>
      <w:r w:rsidRPr="00A8141F">
        <w:rPr>
          <w:rFonts w:ascii="Times New Roman" w:hAnsi="Times New Roman" w:cs="Times New Roman"/>
          <w:sz w:val="24"/>
          <w:szCs w:val="24"/>
        </w:rPr>
        <w:t xml:space="preserve"> 1912 di Batavia. Pasar modal </w:t>
      </w:r>
      <w:r w:rsidRPr="00A8141F">
        <w:rPr>
          <w:rFonts w:ascii="Times New Roman" w:hAnsi="Times New Roman" w:cs="Times New Roman"/>
          <w:sz w:val="24"/>
          <w:szCs w:val="24"/>
        </w:rPr>
        <w:t>ketika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itu</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didirikan</w:t>
      </w:r>
      <w:r w:rsidRPr="00A8141F">
        <w:rPr>
          <w:rFonts w:ascii="Times New Roman" w:hAnsi="Times New Roman" w:cs="Times New Roman"/>
          <w:sz w:val="24"/>
          <w:szCs w:val="24"/>
        </w:rPr>
        <w:t xml:space="preserve"> oleh </w:t>
      </w:r>
      <w:r w:rsidRPr="00A8141F">
        <w:rPr>
          <w:rFonts w:ascii="Times New Roman" w:hAnsi="Times New Roman" w:cs="Times New Roman"/>
          <w:sz w:val="24"/>
          <w:szCs w:val="24"/>
        </w:rPr>
        <w:t>pemerintah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Hindia</w:t>
      </w:r>
      <w:r w:rsidRPr="00A8141F">
        <w:rPr>
          <w:rFonts w:ascii="Times New Roman" w:hAnsi="Times New Roman" w:cs="Times New Roman"/>
          <w:sz w:val="24"/>
          <w:szCs w:val="24"/>
        </w:rPr>
        <w:t xml:space="preserve"> Belanda </w:t>
      </w:r>
      <w:r w:rsidRPr="00A8141F">
        <w:rPr>
          <w:rFonts w:ascii="Times New Roman" w:hAnsi="Times New Roman" w:cs="Times New Roman"/>
          <w:sz w:val="24"/>
          <w:szCs w:val="24"/>
        </w:rPr>
        <w:t>untuk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kepentingan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pemerintah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kolonial</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atau</w:t>
      </w:r>
      <w:r w:rsidRPr="00A8141F">
        <w:rPr>
          <w:rFonts w:ascii="Times New Roman" w:hAnsi="Times New Roman" w:cs="Times New Roman"/>
          <w:sz w:val="24"/>
          <w:szCs w:val="24"/>
        </w:rPr>
        <w:t xml:space="preserve"> VOC. </w:t>
      </w:r>
      <w:r w:rsidRPr="00A8141F">
        <w:rPr>
          <w:rFonts w:ascii="Times New Roman" w:hAnsi="Times New Roman" w:cs="Times New Roman"/>
          <w:sz w:val="24"/>
          <w:szCs w:val="24"/>
        </w:rPr>
        <w:t>Meskipun</w:t>
      </w:r>
      <w:r w:rsidRPr="00A8141F">
        <w:rPr>
          <w:rFonts w:ascii="Times New Roman" w:hAnsi="Times New Roman" w:cs="Times New Roman"/>
          <w:sz w:val="24"/>
          <w:szCs w:val="24"/>
        </w:rPr>
        <w:t xml:space="preserve"> pasar modal </w:t>
      </w:r>
      <w:r w:rsidRPr="00A8141F">
        <w:rPr>
          <w:rFonts w:ascii="Times New Roman" w:hAnsi="Times New Roman" w:cs="Times New Roman"/>
          <w:sz w:val="24"/>
          <w:szCs w:val="24"/>
        </w:rPr>
        <w:t>telah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ada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sejak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tahun</w:t>
      </w:r>
      <w:r w:rsidRPr="00A8141F">
        <w:rPr>
          <w:rFonts w:ascii="Times New Roman" w:hAnsi="Times New Roman" w:cs="Times New Roman"/>
          <w:sz w:val="24"/>
          <w:szCs w:val="24"/>
        </w:rPr>
        <w:t xml:space="preserve"> 1912, </w:t>
      </w:r>
      <w:r w:rsidRPr="00A8141F">
        <w:rPr>
          <w:rFonts w:ascii="Times New Roman" w:hAnsi="Times New Roman" w:cs="Times New Roman"/>
          <w:sz w:val="24"/>
          <w:szCs w:val="24"/>
        </w:rPr>
        <w:t>perkembangan</w:t>
      </w:r>
      <w:r w:rsidRPr="00A8141F">
        <w:rPr>
          <w:rFonts w:ascii="Times New Roman" w:hAnsi="Times New Roman" w:cs="Times New Roman"/>
          <w:sz w:val="24"/>
          <w:szCs w:val="24"/>
        </w:rPr>
        <w:t xml:space="preserve"> dan </w:t>
      </w:r>
      <w:r w:rsidRPr="00A8141F">
        <w:rPr>
          <w:rFonts w:ascii="Times New Roman" w:hAnsi="Times New Roman" w:cs="Times New Roman"/>
          <w:sz w:val="24"/>
          <w:szCs w:val="24"/>
        </w:rPr>
        <w:t>pertumbuhan</w:t>
      </w:r>
      <w:r w:rsidRPr="00A8141F">
        <w:rPr>
          <w:rFonts w:ascii="Times New Roman" w:hAnsi="Times New Roman" w:cs="Times New Roman"/>
          <w:sz w:val="24"/>
          <w:szCs w:val="24"/>
        </w:rPr>
        <w:t xml:space="preserve"> pasar modal </w:t>
      </w:r>
      <w:r w:rsidRPr="00A8141F">
        <w:rPr>
          <w:rFonts w:ascii="Times New Roman" w:hAnsi="Times New Roman" w:cs="Times New Roman"/>
          <w:sz w:val="24"/>
          <w:szCs w:val="24"/>
        </w:rPr>
        <w:t>tidak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berjalan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seperti</w:t>
      </w:r>
      <w:r w:rsidRPr="00A8141F">
        <w:rPr>
          <w:rFonts w:ascii="Times New Roman" w:hAnsi="Times New Roman" w:cs="Times New Roman"/>
          <w:sz w:val="24"/>
          <w:szCs w:val="24"/>
        </w:rPr>
        <w:t xml:space="preserve"> yang </w:t>
      </w:r>
      <w:r w:rsidRPr="00A8141F">
        <w:rPr>
          <w:rFonts w:ascii="Times New Roman" w:hAnsi="Times New Roman" w:cs="Times New Roman"/>
          <w:sz w:val="24"/>
          <w:szCs w:val="24"/>
        </w:rPr>
        <w:t>diharapkan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bahkan</w:t>
      </w:r>
      <w:r w:rsidRPr="00A8141F">
        <w:rPr>
          <w:rFonts w:ascii="Times New Roman" w:hAnsi="Times New Roman" w:cs="Times New Roman"/>
          <w:sz w:val="24"/>
          <w:szCs w:val="24"/>
        </w:rPr>
        <w:t xml:space="preserve"> pada </w:t>
      </w:r>
      <w:r w:rsidRPr="00A8141F">
        <w:rPr>
          <w:rFonts w:ascii="Times New Roman" w:hAnsi="Times New Roman" w:cs="Times New Roman"/>
          <w:sz w:val="24"/>
          <w:szCs w:val="24"/>
        </w:rPr>
        <w:t>beberapa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periode</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kegiatan</w:t>
      </w:r>
      <w:r w:rsidRPr="00A8141F">
        <w:rPr>
          <w:rFonts w:ascii="Times New Roman" w:hAnsi="Times New Roman" w:cs="Times New Roman"/>
          <w:sz w:val="24"/>
          <w:szCs w:val="24"/>
        </w:rPr>
        <w:t xml:space="preserve"> pasar modal </w:t>
      </w:r>
      <w:r w:rsidRPr="00A8141F">
        <w:rPr>
          <w:rFonts w:ascii="Times New Roman" w:hAnsi="Times New Roman" w:cs="Times New Roman"/>
          <w:sz w:val="24"/>
          <w:szCs w:val="24"/>
        </w:rPr>
        <w:t>mengalami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kevakuman</w:t>
      </w:r>
      <w:r w:rsidRPr="00A8141F">
        <w:rPr>
          <w:rFonts w:ascii="Times New Roman" w:hAnsi="Times New Roman" w:cs="Times New Roman"/>
          <w:sz w:val="24"/>
          <w:szCs w:val="24"/>
        </w:rPr>
        <w:t xml:space="preserve">. Hal </w:t>
      </w:r>
      <w:r w:rsidRPr="00A8141F">
        <w:rPr>
          <w:rFonts w:ascii="Times New Roman" w:hAnsi="Times New Roman" w:cs="Times New Roman"/>
          <w:sz w:val="24"/>
          <w:szCs w:val="24"/>
        </w:rPr>
        <w:t>tersebut</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disebabkan</w:t>
      </w:r>
      <w:r w:rsidRPr="00A8141F">
        <w:rPr>
          <w:rFonts w:ascii="Times New Roman" w:hAnsi="Times New Roman" w:cs="Times New Roman"/>
          <w:sz w:val="24"/>
          <w:szCs w:val="24"/>
        </w:rPr>
        <w:t xml:space="preserve"> oleh </w:t>
      </w:r>
      <w:r w:rsidRPr="00A8141F">
        <w:rPr>
          <w:rFonts w:ascii="Times New Roman" w:hAnsi="Times New Roman" w:cs="Times New Roman"/>
          <w:sz w:val="24"/>
          <w:szCs w:val="24"/>
        </w:rPr>
        <w:t>beberapa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faktor</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seperti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perang</w:t>
      </w:r>
      <w:r w:rsidRPr="00A8141F">
        <w:rPr>
          <w:rFonts w:ascii="Times New Roman" w:hAnsi="Times New Roman" w:cs="Times New Roman"/>
          <w:sz w:val="24"/>
          <w:szCs w:val="24"/>
        </w:rPr>
        <w:t xml:space="preserve"> dunia </w:t>
      </w:r>
      <w:r w:rsidRPr="00A8141F">
        <w:rPr>
          <w:rFonts w:ascii="Times New Roman" w:hAnsi="Times New Roman" w:cs="Times New Roman"/>
          <w:sz w:val="24"/>
          <w:szCs w:val="24"/>
        </w:rPr>
        <w:t>ke</w:t>
      </w:r>
      <w:r w:rsidRPr="00A8141F">
        <w:rPr>
          <w:rFonts w:ascii="Times New Roman" w:hAnsi="Times New Roman" w:cs="Times New Roman"/>
          <w:sz w:val="24"/>
          <w:szCs w:val="24"/>
        </w:rPr>
        <w:t xml:space="preserve"> I dan II, </w:t>
      </w:r>
      <w:r w:rsidRPr="00A8141F">
        <w:rPr>
          <w:rFonts w:ascii="Times New Roman" w:hAnsi="Times New Roman" w:cs="Times New Roman"/>
          <w:sz w:val="24"/>
          <w:szCs w:val="24"/>
        </w:rPr>
        <w:t>perpindahan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kekuasaan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dari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pemerintah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kolonial</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kepada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pemerintah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Republik</w:t>
      </w:r>
      <w:r w:rsidRPr="00A8141F">
        <w:rPr>
          <w:rFonts w:ascii="Times New Roman" w:hAnsi="Times New Roman" w:cs="Times New Roman"/>
          <w:sz w:val="24"/>
          <w:szCs w:val="24"/>
        </w:rPr>
        <w:t xml:space="preserve"> Indonesia, dan </w:t>
      </w:r>
      <w:r w:rsidRPr="00A8141F">
        <w:rPr>
          <w:rFonts w:ascii="Times New Roman" w:hAnsi="Times New Roman" w:cs="Times New Roman"/>
          <w:sz w:val="24"/>
          <w:szCs w:val="24"/>
        </w:rPr>
        <w:t>berbagai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kondisi</w:t>
      </w:r>
      <w:r w:rsidRPr="00A8141F">
        <w:rPr>
          <w:rFonts w:ascii="Times New Roman" w:hAnsi="Times New Roman" w:cs="Times New Roman"/>
          <w:sz w:val="24"/>
          <w:szCs w:val="24"/>
        </w:rPr>
        <w:t xml:space="preserve"> yang </w:t>
      </w:r>
      <w:r w:rsidRPr="00A8141F">
        <w:rPr>
          <w:rFonts w:ascii="Times New Roman" w:hAnsi="Times New Roman" w:cs="Times New Roman"/>
          <w:sz w:val="24"/>
          <w:szCs w:val="24"/>
        </w:rPr>
        <w:t>menyebabkan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operasi</w:t>
      </w:r>
      <w:r w:rsidRPr="00A8141F">
        <w:rPr>
          <w:rFonts w:ascii="Times New Roman" w:hAnsi="Times New Roman" w:cs="Times New Roman"/>
          <w:sz w:val="24"/>
          <w:szCs w:val="24"/>
        </w:rPr>
        <w:t xml:space="preserve"> bursa </w:t>
      </w:r>
      <w:r w:rsidRPr="00A8141F">
        <w:rPr>
          <w:rFonts w:ascii="Times New Roman" w:hAnsi="Times New Roman" w:cs="Times New Roman"/>
          <w:sz w:val="24"/>
          <w:szCs w:val="24"/>
        </w:rPr>
        <w:t>efek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tidak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dapat</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berjalan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sebagimana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mestinya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Pemerintah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Republik</w:t>
      </w:r>
      <w:r w:rsidRPr="00A8141F">
        <w:rPr>
          <w:rFonts w:ascii="Times New Roman" w:hAnsi="Times New Roman" w:cs="Times New Roman"/>
          <w:sz w:val="24"/>
          <w:szCs w:val="24"/>
        </w:rPr>
        <w:t xml:space="preserve"> Indonesia </w:t>
      </w:r>
      <w:r w:rsidRPr="00A8141F">
        <w:rPr>
          <w:rFonts w:ascii="Times New Roman" w:hAnsi="Times New Roman" w:cs="Times New Roman"/>
          <w:sz w:val="24"/>
          <w:szCs w:val="24"/>
        </w:rPr>
        <w:t>mengaktifkan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kembali</w:t>
      </w:r>
      <w:r w:rsidRPr="00A8141F">
        <w:rPr>
          <w:rFonts w:ascii="Times New Roman" w:hAnsi="Times New Roman" w:cs="Times New Roman"/>
          <w:sz w:val="24"/>
          <w:szCs w:val="24"/>
        </w:rPr>
        <w:t xml:space="preserve"> pasar modal pada </w:t>
      </w:r>
      <w:r w:rsidRPr="00A8141F">
        <w:rPr>
          <w:rFonts w:ascii="Times New Roman" w:hAnsi="Times New Roman" w:cs="Times New Roman"/>
          <w:sz w:val="24"/>
          <w:szCs w:val="24"/>
        </w:rPr>
        <w:t>tahun</w:t>
      </w:r>
      <w:r w:rsidRPr="00A8141F">
        <w:rPr>
          <w:rFonts w:ascii="Times New Roman" w:hAnsi="Times New Roman" w:cs="Times New Roman"/>
          <w:sz w:val="24"/>
          <w:szCs w:val="24"/>
        </w:rPr>
        <w:t xml:space="preserve"> 1977, dan </w:t>
      </w:r>
      <w:r w:rsidRPr="00A8141F">
        <w:rPr>
          <w:rFonts w:ascii="Times New Roman" w:hAnsi="Times New Roman" w:cs="Times New Roman"/>
          <w:sz w:val="24"/>
          <w:szCs w:val="24"/>
        </w:rPr>
        <w:t>beberapa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tahun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kemudian</w:t>
      </w:r>
      <w:r w:rsidRPr="00A8141F">
        <w:rPr>
          <w:rFonts w:ascii="Times New Roman" w:hAnsi="Times New Roman" w:cs="Times New Roman"/>
          <w:sz w:val="24"/>
          <w:szCs w:val="24"/>
        </w:rPr>
        <w:t xml:space="preserve"> pasar modal </w:t>
      </w:r>
      <w:r w:rsidRPr="00A8141F">
        <w:rPr>
          <w:rFonts w:ascii="Times New Roman" w:hAnsi="Times New Roman" w:cs="Times New Roman"/>
          <w:sz w:val="24"/>
          <w:szCs w:val="24"/>
        </w:rPr>
        <w:t>mengalami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pertumbuhan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seiring</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dengan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berbagai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insentif</w:t>
      </w:r>
      <w:r w:rsidRPr="00A8141F">
        <w:rPr>
          <w:rFonts w:ascii="Times New Roman" w:hAnsi="Times New Roman" w:cs="Times New Roman"/>
          <w:sz w:val="24"/>
          <w:szCs w:val="24"/>
        </w:rPr>
        <w:t xml:space="preserve"> dan </w:t>
      </w:r>
      <w:r w:rsidRPr="00A8141F">
        <w:rPr>
          <w:rFonts w:ascii="Times New Roman" w:hAnsi="Times New Roman" w:cs="Times New Roman"/>
          <w:sz w:val="24"/>
          <w:szCs w:val="24"/>
        </w:rPr>
        <w:t>regulasi</w:t>
      </w:r>
      <w:r w:rsidRPr="00A8141F">
        <w:rPr>
          <w:rFonts w:ascii="Times New Roman" w:hAnsi="Times New Roman" w:cs="Times New Roman"/>
          <w:sz w:val="24"/>
          <w:szCs w:val="24"/>
        </w:rPr>
        <w:t xml:space="preserve"> yang </w:t>
      </w:r>
      <w:r w:rsidRPr="00A8141F">
        <w:rPr>
          <w:rFonts w:ascii="Times New Roman" w:hAnsi="Times New Roman" w:cs="Times New Roman"/>
          <w:sz w:val="24"/>
          <w:szCs w:val="24"/>
        </w:rPr>
        <w:t>dikeluarkan</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pemerintah</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Secara</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singkat</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tonggak</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perkembangan</w:t>
      </w:r>
      <w:r w:rsidRPr="00A8141F">
        <w:rPr>
          <w:rFonts w:ascii="Times New Roman" w:hAnsi="Times New Roman" w:cs="Times New Roman"/>
          <w:sz w:val="24"/>
          <w:szCs w:val="24"/>
        </w:rPr>
        <w:t xml:space="preserve"> pasar modal di Indonesia</w:t>
      </w:r>
      <w:r>
        <w:rPr>
          <w:rFonts w:ascii="Times New Roman" w:hAnsi="Times New Roman" w:cs="Times New Roman"/>
          <w:sz w:val="24"/>
          <w:szCs w:val="24"/>
        </w:rPr>
        <w:t xml:space="preserve"> </w:t>
      </w:r>
      <w:r w:rsidRPr="00A8141F">
        <w:rPr>
          <w:rFonts w:ascii="Times New Roman" w:hAnsi="Times New Roman" w:cs="Times New Roman"/>
          <w:sz w:val="24"/>
          <w:szCs w:val="24"/>
        </w:rPr>
        <w:t>sebagai</w:t>
      </w:r>
      <w:r w:rsidRPr="00A8141F">
        <w:rPr>
          <w:rFonts w:ascii="Times New Roman" w:hAnsi="Times New Roman" w:cs="Times New Roman"/>
          <w:sz w:val="24"/>
          <w:szCs w:val="24"/>
        </w:rPr>
        <w:t xml:space="preserve"> </w:t>
      </w:r>
      <w:r w:rsidRPr="00A8141F">
        <w:rPr>
          <w:rFonts w:ascii="Times New Roman" w:hAnsi="Times New Roman" w:cs="Times New Roman"/>
          <w:sz w:val="24"/>
          <w:szCs w:val="24"/>
        </w:rPr>
        <w:t>berikut</w:t>
      </w:r>
      <w:r w:rsidRPr="00A8141F">
        <w:rPr>
          <w:rFonts w:ascii="Times New Roman" w:hAnsi="Times New Roman" w:cs="Times New Roman"/>
          <w:sz w:val="24"/>
          <w:szCs w:val="24"/>
        </w:rPr>
        <w:t>:</w:t>
      </w:r>
    </w:p>
    <w:tbl>
      <w:tblPr>
        <w:tblW w:w="7655" w:type="dxa"/>
        <w:tblInd w:w="704" w:type="dxa"/>
        <w:shd w:val="clear" w:color="auto" w:fill="FFFFFF"/>
        <w:tblCellMar>
          <w:top w:w="48" w:type="dxa"/>
          <w:left w:w="48" w:type="dxa"/>
          <w:bottom w:w="48" w:type="dxa"/>
          <w:right w:w="48" w:type="dxa"/>
        </w:tblCellMar>
        <w:tblLook w:val="04A0"/>
      </w:tblPr>
      <w:tblGrid>
        <w:gridCol w:w="1418"/>
        <w:gridCol w:w="6237"/>
      </w:tblGrid>
      <w:tr w14:paraId="18D58495" w14:textId="77777777" w:rsidTr="00682DCD">
        <w:tblPrEx>
          <w:tblW w:w="7655" w:type="dxa"/>
          <w:tblInd w:w="704" w:type="dxa"/>
          <w:shd w:val="clear" w:color="auto" w:fill="FFFFFF"/>
          <w:tblCellMar>
            <w:top w:w="48" w:type="dxa"/>
            <w:left w:w="48" w:type="dxa"/>
            <w:bottom w:w="48" w:type="dxa"/>
            <w:right w:w="48" w:type="dxa"/>
          </w:tblCellMar>
          <w:tblLook w:val="04A0"/>
        </w:tblPrEx>
        <w:trPr>
          <w:tblHeader/>
        </w:trPr>
        <w:tc>
          <w:tcPr>
            <w:tcW w:w="1418" w:type="dxa"/>
            <w:shd w:val="clear" w:color="auto" w:fill="FFFFFF"/>
            <w:vAlign w:val="center"/>
            <w:hideMark/>
          </w:tcPr>
          <w:p w:rsidR="00BB1890" w:rsidRPr="00682DCD" w:rsidP="00892CC6" w14:paraId="61A5032D" w14:textId="77777777">
            <w:pPr>
              <w:spacing w:after="0" w:line="240" w:lineRule="auto"/>
              <w:jc w:val="center"/>
              <w:rPr>
                <w:rFonts w:ascii="Times New Roman" w:eastAsia="Times New Roman" w:hAnsi="Times New Roman" w:cs="Times New Roman"/>
                <w:b/>
                <w:bCs/>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Tahun</w:t>
            </w:r>
          </w:p>
        </w:tc>
        <w:tc>
          <w:tcPr>
            <w:tcW w:w="6237" w:type="dxa"/>
            <w:shd w:val="clear" w:color="auto" w:fill="FFFFFF"/>
            <w:vAlign w:val="center"/>
            <w:hideMark/>
          </w:tcPr>
          <w:p w:rsidR="00BB1890" w:rsidRPr="00682DCD" w:rsidP="00892CC6" w14:paraId="1277CBE3" w14:textId="77777777">
            <w:pPr>
              <w:spacing w:after="0" w:line="240" w:lineRule="auto"/>
              <w:jc w:val="center"/>
              <w:rPr>
                <w:rFonts w:ascii="Times New Roman" w:eastAsia="Times New Roman" w:hAnsi="Times New Roman" w:cs="Times New Roman"/>
                <w:b/>
                <w:bCs/>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Peristiwa</w:t>
            </w:r>
          </w:p>
        </w:tc>
      </w:tr>
      <w:tr w14:paraId="4428DB36"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524BF5AF"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Desember</w:t>
            </w:r>
            <w:r w:rsidRPr="00682DCD">
              <w:rPr>
                <w:rFonts w:ascii="Times New Roman" w:eastAsia="Times New Roman" w:hAnsi="Times New Roman" w:cs="Times New Roman"/>
                <w:b/>
                <w:bCs/>
                <w:color w:val="000000" w:themeColor="text1"/>
                <w:sz w:val="20"/>
                <w:szCs w:val="20"/>
                <w:lang w:eastAsia="en-ID"/>
              </w:rPr>
              <w:t xml:space="preserve"> 1912</w:t>
            </w:r>
          </w:p>
        </w:tc>
        <w:tc>
          <w:tcPr>
            <w:tcW w:w="6237" w:type="dxa"/>
            <w:shd w:val="clear" w:color="auto" w:fill="FFFFFF"/>
            <w:vAlign w:val="center"/>
            <w:hideMark/>
          </w:tcPr>
          <w:p w:rsidR="00BB1890" w:rsidRPr="00682DCD" w:rsidP="00892CC6" w14:paraId="471D2532"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pertama</w:t>
            </w:r>
            <w:r w:rsidRPr="00682DCD">
              <w:rPr>
                <w:rFonts w:ascii="Times New Roman" w:eastAsia="Times New Roman" w:hAnsi="Times New Roman" w:cs="Times New Roman"/>
                <w:color w:val="000000" w:themeColor="text1"/>
                <w:sz w:val="20"/>
                <w:szCs w:val="20"/>
                <w:lang w:eastAsia="en-ID"/>
              </w:rPr>
              <w:t xml:space="preserve"> di Indonesia </w:t>
            </w:r>
            <w:r w:rsidRPr="00682DCD">
              <w:rPr>
                <w:rFonts w:ascii="Times New Roman" w:eastAsia="Times New Roman" w:hAnsi="Times New Roman" w:cs="Times New Roman"/>
                <w:color w:val="000000" w:themeColor="text1"/>
                <w:sz w:val="20"/>
                <w:szCs w:val="20"/>
                <w:lang w:eastAsia="en-ID"/>
              </w:rPr>
              <w:t>dibentuk</w:t>
            </w:r>
            <w:r w:rsidRPr="00682DCD">
              <w:rPr>
                <w:rFonts w:ascii="Times New Roman" w:eastAsia="Times New Roman" w:hAnsi="Times New Roman" w:cs="Times New Roman"/>
                <w:color w:val="000000" w:themeColor="text1"/>
                <w:sz w:val="20"/>
                <w:szCs w:val="20"/>
                <w:lang w:eastAsia="en-ID"/>
              </w:rPr>
              <w:t xml:space="preserve"> di Batavia oleh </w:t>
            </w:r>
            <w:r w:rsidRPr="00682DCD">
              <w:rPr>
                <w:rFonts w:ascii="Times New Roman" w:eastAsia="Times New Roman" w:hAnsi="Times New Roman" w:cs="Times New Roman"/>
                <w:color w:val="000000" w:themeColor="text1"/>
                <w:sz w:val="20"/>
                <w:szCs w:val="20"/>
                <w:lang w:eastAsia="en-ID"/>
              </w:rPr>
              <w:t>Pemerintah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Hindia</w:t>
            </w:r>
            <w:r w:rsidRPr="00682DCD">
              <w:rPr>
                <w:rFonts w:ascii="Times New Roman" w:eastAsia="Times New Roman" w:hAnsi="Times New Roman" w:cs="Times New Roman"/>
                <w:color w:val="000000" w:themeColor="text1"/>
                <w:sz w:val="20"/>
                <w:szCs w:val="20"/>
                <w:lang w:eastAsia="en-ID"/>
              </w:rPr>
              <w:t xml:space="preserve"> Belanda</w:t>
            </w:r>
          </w:p>
        </w:tc>
      </w:tr>
      <w:tr w14:paraId="614511E4"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6E6E7D9B"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1914 – 1918</w:t>
            </w:r>
          </w:p>
        </w:tc>
        <w:tc>
          <w:tcPr>
            <w:tcW w:w="6237" w:type="dxa"/>
            <w:shd w:val="clear" w:color="auto" w:fill="FFFFFF"/>
            <w:vAlign w:val="center"/>
            <w:hideMark/>
          </w:tcPr>
          <w:p w:rsidR="00BB1890" w:rsidRPr="00682DCD" w:rsidP="00892CC6" w14:paraId="1FD59F18"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di Batavia </w:t>
            </w:r>
            <w:r w:rsidRPr="00682DCD">
              <w:rPr>
                <w:rFonts w:ascii="Times New Roman" w:eastAsia="Times New Roman" w:hAnsi="Times New Roman" w:cs="Times New Roman"/>
                <w:color w:val="000000" w:themeColor="text1"/>
                <w:sz w:val="20"/>
                <w:szCs w:val="20"/>
                <w:lang w:eastAsia="en-ID"/>
              </w:rPr>
              <w:t>ditutup</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selama</w:t>
            </w:r>
            <w:r w:rsidRPr="00682DCD">
              <w:rPr>
                <w:rFonts w:ascii="Times New Roman" w:eastAsia="Times New Roman" w:hAnsi="Times New Roman" w:cs="Times New Roman"/>
                <w:color w:val="000000" w:themeColor="text1"/>
                <w:sz w:val="20"/>
                <w:szCs w:val="20"/>
                <w:lang w:eastAsia="en-ID"/>
              </w:rPr>
              <w:t xml:space="preserve"> Perang Dunia I</w:t>
            </w:r>
          </w:p>
        </w:tc>
      </w:tr>
      <w:tr w14:paraId="0556DEE1"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31CC3E2E"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1925 – 1942</w:t>
            </w:r>
          </w:p>
        </w:tc>
        <w:tc>
          <w:tcPr>
            <w:tcW w:w="6237" w:type="dxa"/>
            <w:shd w:val="clear" w:color="auto" w:fill="FFFFFF"/>
            <w:vAlign w:val="center"/>
            <w:hideMark/>
          </w:tcPr>
          <w:p w:rsidR="00BB1890" w:rsidRPr="00682DCD" w:rsidP="00892CC6" w14:paraId="037A4933"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di Jakarta </w:t>
            </w:r>
            <w:r w:rsidRPr="00682DCD">
              <w:rPr>
                <w:rFonts w:ascii="Times New Roman" w:eastAsia="Times New Roman" w:hAnsi="Times New Roman" w:cs="Times New Roman"/>
                <w:color w:val="000000" w:themeColor="text1"/>
                <w:sz w:val="20"/>
                <w:szCs w:val="20"/>
                <w:lang w:eastAsia="en-ID"/>
              </w:rPr>
              <w:t>dibuka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kembali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bersama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dengan</w:t>
            </w:r>
            <w:r w:rsidRPr="00682DCD">
              <w:rPr>
                <w:rFonts w:ascii="Times New Roman" w:eastAsia="Times New Roman" w:hAnsi="Times New Roman" w:cs="Times New Roman"/>
                <w:color w:val="000000" w:themeColor="text1"/>
                <w:sz w:val="20"/>
                <w:szCs w:val="20"/>
                <w:lang w:eastAsia="en-ID"/>
              </w:rPr>
              <w:t xml:space="preserve">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di Semarang dan Surabaya</w:t>
            </w:r>
          </w:p>
        </w:tc>
      </w:tr>
      <w:tr w14:paraId="53CF29D6"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70B11DCD"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1942 – 1952</w:t>
            </w:r>
          </w:p>
        </w:tc>
        <w:tc>
          <w:tcPr>
            <w:tcW w:w="6237" w:type="dxa"/>
            <w:shd w:val="clear" w:color="auto" w:fill="FFFFFF"/>
            <w:vAlign w:val="center"/>
            <w:hideMark/>
          </w:tcPr>
          <w:p w:rsidR="00BB1890" w:rsidRPr="00682DCD" w:rsidP="00892CC6" w14:paraId="55D126ED"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di Jakarta </w:t>
            </w:r>
            <w:r w:rsidRPr="00682DCD">
              <w:rPr>
                <w:rFonts w:ascii="Times New Roman" w:eastAsia="Times New Roman" w:hAnsi="Times New Roman" w:cs="Times New Roman"/>
                <w:color w:val="000000" w:themeColor="text1"/>
                <w:sz w:val="20"/>
                <w:szCs w:val="20"/>
                <w:lang w:eastAsia="en-ID"/>
              </w:rPr>
              <w:t>ditutup</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kembali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selama</w:t>
            </w:r>
            <w:r w:rsidRPr="00682DCD">
              <w:rPr>
                <w:rFonts w:ascii="Times New Roman" w:eastAsia="Times New Roman" w:hAnsi="Times New Roman" w:cs="Times New Roman"/>
                <w:color w:val="000000" w:themeColor="text1"/>
                <w:sz w:val="20"/>
                <w:szCs w:val="20"/>
                <w:lang w:eastAsia="en-ID"/>
              </w:rPr>
              <w:t xml:space="preserve"> Perang Dunia II</w:t>
            </w:r>
          </w:p>
        </w:tc>
      </w:tr>
      <w:tr w14:paraId="6E03D19C"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4D84EB7B"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1956</w:t>
            </w:r>
          </w:p>
        </w:tc>
        <w:tc>
          <w:tcPr>
            <w:tcW w:w="6237" w:type="dxa"/>
            <w:shd w:val="clear" w:color="auto" w:fill="FFFFFF"/>
            <w:vAlign w:val="center"/>
            <w:hideMark/>
          </w:tcPr>
          <w:p w:rsidR="00BB1890" w:rsidRPr="00682DCD" w:rsidP="00892CC6" w14:paraId="7F4AA75F"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Program </w:t>
            </w:r>
            <w:r w:rsidRPr="00682DCD">
              <w:rPr>
                <w:rFonts w:ascii="Times New Roman" w:eastAsia="Times New Roman" w:hAnsi="Times New Roman" w:cs="Times New Roman"/>
                <w:color w:val="000000" w:themeColor="text1"/>
                <w:sz w:val="20"/>
                <w:szCs w:val="20"/>
                <w:lang w:eastAsia="en-ID"/>
              </w:rPr>
              <w:t>nasionalisasi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perusahaan</w:t>
            </w:r>
            <w:r w:rsidRPr="00682DCD">
              <w:rPr>
                <w:rFonts w:ascii="Times New Roman" w:eastAsia="Times New Roman" w:hAnsi="Times New Roman" w:cs="Times New Roman"/>
                <w:color w:val="000000" w:themeColor="text1"/>
                <w:sz w:val="20"/>
                <w:szCs w:val="20"/>
                <w:lang w:eastAsia="en-ID"/>
              </w:rPr>
              <w:t xml:space="preserve"> Belanda.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semakin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tidak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aktif</w:t>
            </w:r>
          </w:p>
        </w:tc>
      </w:tr>
      <w:tr w14:paraId="4C2F2E3B"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238D2F4E"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1956 – 1977</w:t>
            </w:r>
          </w:p>
        </w:tc>
        <w:tc>
          <w:tcPr>
            <w:tcW w:w="6237" w:type="dxa"/>
            <w:shd w:val="clear" w:color="auto" w:fill="FFFFFF"/>
            <w:vAlign w:val="center"/>
            <w:hideMark/>
          </w:tcPr>
          <w:p w:rsidR="00BB1890" w:rsidRPr="00682DCD" w:rsidP="00892CC6" w14:paraId="7A5C90E2"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di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vakum</w:t>
            </w:r>
          </w:p>
        </w:tc>
      </w:tr>
      <w:tr w14:paraId="5AD096B3"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490D5849"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10 Agustus 1977</w:t>
            </w:r>
          </w:p>
        </w:tc>
        <w:tc>
          <w:tcPr>
            <w:tcW w:w="6237" w:type="dxa"/>
            <w:shd w:val="clear" w:color="auto" w:fill="FFFFFF"/>
            <w:vAlign w:val="center"/>
            <w:hideMark/>
          </w:tcPr>
          <w:p w:rsidR="00BB1890" w:rsidRPr="00682DCD" w:rsidP="00892CC6" w14:paraId="2000D3F8"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diresmikan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kembali</w:t>
            </w:r>
            <w:r w:rsidRPr="00682DCD">
              <w:rPr>
                <w:rFonts w:ascii="Times New Roman" w:eastAsia="Times New Roman" w:hAnsi="Times New Roman" w:cs="Times New Roman"/>
                <w:color w:val="000000" w:themeColor="text1"/>
                <w:sz w:val="20"/>
                <w:szCs w:val="20"/>
                <w:lang w:eastAsia="en-ID"/>
              </w:rPr>
              <w:t xml:space="preserve"> oleh </w:t>
            </w:r>
            <w:r w:rsidRPr="00682DCD">
              <w:rPr>
                <w:rFonts w:ascii="Times New Roman" w:eastAsia="Times New Roman" w:hAnsi="Times New Roman" w:cs="Times New Roman"/>
                <w:color w:val="000000" w:themeColor="text1"/>
                <w:sz w:val="20"/>
                <w:szCs w:val="20"/>
                <w:lang w:eastAsia="en-ID"/>
              </w:rPr>
              <w:t>Presiden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Soeharto</w:t>
            </w:r>
            <w:r w:rsidRPr="00682DCD">
              <w:rPr>
                <w:rFonts w:ascii="Times New Roman" w:eastAsia="Times New Roman" w:hAnsi="Times New Roman" w:cs="Times New Roman"/>
                <w:color w:val="000000" w:themeColor="text1"/>
                <w:sz w:val="20"/>
                <w:szCs w:val="20"/>
                <w:lang w:eastAsia="en-ID"/>
              </w:rPr>
              <w:t xml:space="preserve">. BEJ </w:t>
            </w:r>
            <w:r w:rsidRPr="00682DCD">
              <w:rPr>
                <w:rFonts w:ascii="Times New Roman" w:eastAsia="Times New Roman" w:hAnsi="Times New Roman" w:cs="Times New Roman"/>
                <w:color w:val="000000" w:themeColor="text1"/>
                <w:sz w:val="20"/>
                <w:szCs w:val="20"/>
                <w:lang w:eastAsia="en-ID"/>
              </w:rPr>
              <w:t>dijalankan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dibawah</w:t>
            </w:r>
            <w:r w:rsidRPr="00682DCD">
              <w:rPr>
                <w:rFonts w:ascii="Times New Roman" w:eastAsia="Times New Roman" w:hAnsi="Times New Roman" w:cs="Times New Roman"/>
                <w:color w:val="000000" w:themeColor="text1"/>
                <w:sz w:val="20"/>
                <w:szCs w:val="20"/>
                <w:lang w:eastAsia="en-ID"/>
              </w:rPr>
              <w:t xml:space="preserve"> BAPEPAM (Badan </w:t>
            </w:r>
            <w:r w:rsidRPr="00682DCD">
              <w:rPr>
                <w:rFonts w:ascii="Times New Roman" w:eastAsia="Times New Roman" w:hAnsi="Times New Roman" w:cs="Times New Roman"/>
                <w:color w:val="000000" w:themeColor="text1"/>
                <w:sz w:val="20"/>
                <w:szCs w:val="20"/>
                <w:lang w:eastAsia="en-ID"/>
              </w:rPr>
              <w:t>Pelaksana</w:t>
            </w:r>
            <w:r w:rsidRPr="00682DCD">
              <w:rPr>
                <w:rFonts w:ascii="Times New Roman" w:eastAsia="Times New Roman" w:hAnsi="Times New Roman" w:cs="Times New Roman"/>
                <w:color w:val="000000" w:themeColor="text1"/>
                <w:sz w:val="20"/>
                <w:szCs w:val="20"/>
                <w:lang w:eastAsia="en-ID"/>
              </w:rPr>
              <w:t xml:space="preserve"> Pasar Modal). </w:t>
            </w:r>
            <w:r w:rsidRPr="00682DCD">
              <w:rPr>
                <w:rFonts w:ascii="Times New Roman" w:eastAsia="Times New Roman" w:hAnsi="Times New Roman" w:cs="Times New Roman"/>
                <w:color w:val="000000" w:themeColor="text1"/>
                <w:sz w:val="20"/>
                <w:szCs w:val="20"/>
                <w:lang w:eastAsia="en-ID"/>
              </w:rPr>
              <w:t>Pengaktifan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kembali</w:t>
            </w:r>
            <w:r w:rsidRPr="00682DCD">
              <w:rPr>
                <w:rFonts w:ascii="Times New Roman" w:eastAsia="Times New Roman" w:hAnsi="Times New Roman" w:cs="Times New Roman"/>
                <w:color w:val="000000" w:themeColor="text1"/>
                <w:sz w:val="20"/>
                <w:szCs w:val="20"/>
                <w:lang w:eastAsia="en-ID"/>
              </w:rPr>
              <w:t xml:space="preserve"> pasar modal </w:t>
            </w:r>
            <w:r w:rsidRPr="00682DCD">
              <w:rPr>
                <w:rFonts w:ascii="Times New Roman" w:eastAsia="Times New Roman" w:hAnsi="Times New Roman" w:cs="Times New Roman"/>
                <w:color w:val="000000" w:themeColor="text1"/>
                <w:sz w:val="20"/>
                <w:szCs w:val="20"/>
                <w:lang w:eastAsia="en-ID"/>
              </w:rPr>
              <w:t>ini</w:t>
            </w:r>
            <w:r w:rsidRPr="00682DCD">
              <w:rPr>
                <w:rFonts w:ascii="Times New Roman" w:eastAsia="Times New Roman" w:hAnsi="Times New Roman" w:cs="Times New Roman"/>
                <w:color w:val="000000" w:themeColor="text1"/>
                <w:sz w:val="20"/>
                <w:szCs w:val="20"/>
                <w:lang w:eastAsia="en-ID"/>
              </w:rPr>
              <w:t xml:space="preserve"> juga </w:t>
            </w:r>
            <w:r w:rsidRPr="00682DCD">
              <w:rPr>
                <w:rFonts w:ascii="Times New Roman" w:eastAsia="Times New Roman" w:hAnsi="Times New Roman" w:cs="Times New Roman"/>
                <w:color w:val="000000" w:themeColor="text1"/>
                <w:sz w:val="20"/>
                <w:szCs w:val="20"/>
                <w:lang w:eastAsia="en-ID"/>
              </w:rPr>
              <w:t>ditandai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dengan</w:t>
            </w:r>
            <w:r w:rsidRPr="00682DCD">
              <w:rPr>
                <w:rFonts w:ascii="Times New Roman" w:eastAsia="Times New Roman" w:hAnsi="Times New Roman" w:cs="Times New Roman"/>
                <w:color w:val="000000" w:themeColor="text1"/>
                <w:sz w:val="20"/>
                <w:szCs w:val="20"/>
                <w:lang w:eastAsia="en-ID"/>
              </w:rPr>
              <w:t xml:space="preserve"> go public PT Semen Cibinong </w:t>
            </w:r>
            <w:r w:rsidRPr="00682DCD">
              <w:rPr>
                <w:rFonts w:ascii="Times New Roman" w:eastAsia="Times New Roman" w:hAnsi="Times New Roman" w:cs="Times New Roman"/>
                <w:color w:val="000000" w:themeColor="text1"/>
                <w:sz w:val="20"/>
                <w:szCs w:val="20"/>
                <w:lang w:eastAsia="en-ID"/>
              </w:rPr>
              <w:t>sebagai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emiten</w:t>
            </w:r>
            <w:r w:rsidRPr="00682DCD">
              <w:rPr>
                <w:rFonts w:ascii="Times New Roman" w:eastAsia="Times New Roman" w:hAnsi="Times New Roman" w:cs="Times New Roman"/>
                <w:color w:val="000000" w:themeColor="text1"/>
                <w:sz w:val="20"/>
                <w:szCs w:val="20"/>
                <w:lang w:eastAsia="en-ID"/>
              </w:rPr>
              <w:t xml:space="preserve"> pertama19 </w:t>
            </w:r>
            <w:r w:rsidRPr="00682DCD">
              <w:rPr>
                <w:rFonts w:ascii="Times New Roman" w:eastAsia="Times New Roman" w:hAnsi="Times New Roman" w:cs="Times New Roman"/>
                <w:color w:val="000000" w:themeColor="text1"/>
                <w:sz w:val="20"/>
                <w:szCs w:val="20"/>
                <w:lang w:eastAsia="en-ID"/>
              </w:rPr>
              <w:t>Tahun</w:t>
            </w:r>
            <w:r w:rsidRPr="00682DCD">
              <w:rPr>
                <w:rFonts w:ascii="Times New Roman" w:eastAsia="Times New Roman" w:hAnsi="Times New Roman" w:cs="Times New Roman"/>
                <w:color w:val="000000" w:themeColor="text1"/>
                <w:sz w:val="20"/>
                <w:szCs w:val="20"/>
                <w:lang w:eastAsia="en-ID"/>
              </w:rPr>
              <w:t xml:space="preserve"> 2008 </w:t>
            </w:r>
            <w:r w:rsidRPr="00682DCD">
              <w:rPr>
                <w:rFonts w:ascii="Times New Roman" w:eastAsia="Times New Roman" w:hAnsi="Times New Roman" w:cs="Times New Roman"/>
                <w:color w:val="000000" w:themeColor="text1"/>
                <w:sz w:val="20"/>
                <w:szCs w:val="20"/>
                <w:lang w:eastAsia="en-ID"/>
              </w:rPr>
              <w:t>tentang</w:t>
            </w:r>
            <w:r w:rsidRPr="00682DCD">
              <w:rPr>
                <w:rFonts w:ascii="Times New Roman" w:eastAsia="Times New Roman" w:hAnsi="Times New Roman" w:cs="Times New Roman"/>
                <w:color w:val="000000" w:themeColor="text1"/>
                <w:sz w:val="20"/>
                <w:szCs w:val="20"/>
                <w:lang w:eastAsia="en-ID"/>
              </w:rPr>
              <w:t xml:space="preserve"> Surat </w:t>
            </w:r>
            <w:r w:rsidRPr="00682DCD">
              <w:rPr>
                <w:rFonts w:ascii="Times New Roman" w:eastAsia="Times New Roman" w:hAnsi="Times New Roman" w:cs="Times New Roman"/>
                <w:color w:val="000000" w:themeColor="text1"/>
                <w:sz w:val="20"/>
                <w:szCs w:val="20"/>
                <w:lang w:eastAsia="en-ID"/>
              </w:rPr>
              <w:t>Berharga</w:t>
            </w:r>
            <w:r w:rsidRPr="00682DCD">
              <w:rPr>
                <w:rFonts w:ascii="Times New Roman" w:eastAsia="Times New Roman" w:hAnsi="Times New Roman" w:cs="Times New Roman"/>
                <w:color w:val="000000" w:themeColor="text1"/>
                <w:sz w:val="20"/>
                <w:szCs w:val="20"/>
                <w:lang w:eastAsia="en-ID"/>
              </w:rPr>
              <w:t xml:space="preserve"> Syariah Negara</w:t>
            </w:r>
          </w:p>
        </w:tc>
      </w:tr>
      <w:tr w14:paraId="3E4BB386"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0F32476B"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1977 – 1987</w:t>
            </w:r>
          </w:p>
        </w:tc>
        <w:tc>
          <w:tcPr>
            <w:tcW w:w="6237" w:type="dxa"/>
            <w:shd w:val="clear" w:color="auto" w:fill="FFFFFF"/>
            <w:vAlign w:val="center"/>
            <w:hideMark/>
          </w:tcPr>
          <w:p w:rsidR="00BB1890" w:rsidRPr="00682DCD" w:rsidP="00892CC6" w14:paraId="16EA870D"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di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sangat </w:t>
            </w:r>
            <w:r w:rsidRPr="00682DCD">
              <w:rPr>
                <w:rFonts w:ascii="Times New Roman" w:eastAsia="Times New Roman" w:hAnsi="Times New Roman" w:cs="Times New Roman"/>
                <w:color w:val="000000" w:themeColor="text1"/>
                <w:sz w:val="20"/>
                <w:szCs w:val="20"/>
                <w:lang w:eastAsia="en-ID"/>
              </w:rPr>
              <w:t>lesu</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Jumlah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emiten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hingga</w:t>
            </w:r>
            <w:r w:rsidRPr="00682DCD">
              <w:rPr>
                <w:rFonts w:ascii="Times New Roman" w:eastAsia="Times New Roman" w:hAnsi="Times New Roman" w:cs="Times New Roman"/>
                <w:color w:val="000000" w:themeColor="text1"/>
                <w:sz w:val="20"/>
                <w:szCs w:val="20"/>
                <w:lang w:eastAsia="en-ID"/>
              </w:rPr>
              <w:t xml:space="preserve"> 1987 </w:t>
            </w:r>
            <w:r w:rsidRPr="00682DCD">
              <w:rPr>
                <w:rFonts w:ascii="Times New Roman" w:eastAsia="Times New Roman" w:hAnsi="Times New Roman" w:cs="Times New Roman"/>
                <w:color w:val="000000" w:themeColor="text1"/>
                <w:sz w:val="20"/>
                <w:szCs w:val="20"/>
                <w:lang w:eastAsia="en-ID"/>
              </w:rPr>
              <w:t>baru</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mencapai</w:t>
            </w:r>
            <w:r w:rsidRPr="00682DCD">
              <w:rPr>
                <w:rFonts w:ascii="Times New Roman" w:eastAsia="Times New Roman" w:hAnsi="Times New Roman" w:cs="Times New Roman"/>
                <w:color w:val="000000" w:themeColor="text1"/>
                <w:sz w:val="20"/>
                <w:szCs w:val="20"/>
                <w:lang w:eastAsia="en-ID"/>
              </w:rPr>
              <w:t xml:space="preserve"> 24. Masyarakat </w:t>
            </w:r>
            <w:r w:rsidRPr="00682DCD">
              <w:rPr>
                <w:rFonts w:ascii="Times New Roman" w:eastAsia="Times New Roman" w:hAnsi="Times New Roman" w:cs="Times New Roman"/>
                <w:color w:val="000000" w:themeColor="text1"/>
                <w:sz w:val="20"/>
                <w:szCs w:val="20"/>
                <w:lang w:eastAsia="en-ID"/>
              </w:rPr>
              <w:t>lebih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memilih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instrumen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perbankan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dibandingkan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instrumen</w:t>
            </w:r>
            <w:r w:rsidRPr="00682DCD">
              <w:rPr>
                <w:rFonts w:ascii="Times New Roman" w:eastAsia="Times New Roman" w:hAnsi="Times New Roman" w:cs="Times New Roman"/>
                <w:color w:val="000000" w:themeColor="text1"/>
                <w:sz w:val="20"/>
                <w:szCs w:val="20"/>
                <w:lang w:eastAsia="en-ID"/>
              </w:rPr>
              <w:t xml:space="preserve"> Pasar Modal</w:t>
            </w:r>
          </w:p>
        </w:tc>
      </w:tr>
      <w:tr w14:paraId="075E3FE3"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7932DF30"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1987</w:t>
            </w:r>
          </w:p>
        </w:tc>
        <w:tc>
          <w:tcPr>
            <w:tcW w:w="6237" w:type="dxa"/>
            <w:shd w:val="clear" w:color="auto" w:fill="FFFFFF"/>
            <w:vAlign w:val="center"/>
            <w:hideMark/>
          </w:tcPr>
          <w:p w:rsidR="00BB1890" w:rsidRPr="00682DCD" w:rsidP="00892CC6" w14:paraId="2FA92787"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Ditandai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dengan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hadirnya</w:t>
            </w:r>
            <w:r w:rsidRPr="00682DCD">
              <w:rPr>
                <w:rFonts w:ascii="Times New Roman" w:eastAsia="Times New Roman" w:hAnsi="Times New Roman" w:cs="Times New Roman"/>
                <w:color w:val="000000" w:themeColor="text1"/>
                <w:sz w:val="20"/>
                <w:szCs w:val="20"/>
                <w:lang w:eastAsia="en-ID"/>
              </w:rPr>
              <w:t xml:space="preserve"> Paket </w:t>
            </w:r>
            <w:r w:rsidRPr="00682DCD">
              <w:rPr>
                <w:rFonts w:ascii="Times New Roman" w:eastAsia="Times New Roman" w:hAnsi="Times New Roman" w:cs="Times New Roman"/>
                <w:color w:val="000000" w:themeColor="text1"/>
                <w:sz w:val="20"/>
                <w:szCs w:val="20"/>
                <w:lang w:eastAsia="en-ID"/>
              </w:rPr>
              <w:t>Desember</w:t>
            </w:r>
            <w:r w:rsidRPr="00682DCD">
              <w:rPr>
                <w:rFonts w:ascii="Times New Roman" w:eastAsia="Times New Roman" w:hAnsi="Times New Roman" w:cs="Times New Roman"/>
                <w:color w:val="000000" w:themeColor="text1"/>
                <w:sz w:val="20"/>
                <w:szCs w:val="20"/>
                <w:lang w:eastAsia="en-ID"/>
              </w:rPr>
              <w:t xml:space="preserve"> 1987 (PAKDES 87) yang </w:t>
            </w:r>
            <w:r w:rsidRPr="00682DCD">
              <w:rPr>
                <w:rFonts w:ascii="Times New Roman" w:eastAsia="Times New Roman" w:hAnsi="Times New Roman" w:cs="Times New Roman"/>
                <w:color w:val="000000" w:themeColor="text1"/>
                <w:sz w:val="20"/>
                <w:szCs w:val="20"/>
                <w:lang w:eastAsia="en-ID"/>
              </w:rPr>
              <w:t>memberikan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kemudahan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bagi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perusahaan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untuk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melakukan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Penawaran</w:t>
            </w:r>
            <w:r w:rsidRPr="00682DCD">
              <w:rPr>
                <w:rFonts w:ascii="Times New Roman" w:eastAsia="Times New Roman" w:hAnsi="Times New Roman" w:cs="Times New Roman"/>
                <w:color w:val="000000" w:themeColor="text1"/>
                <w:sz w:val="20"/>
                <w:szCs w:val="20"/>
                <w:lang w:eastAsia="en-ID"/>
              </w:rPr>
              <w:t xml:space="preserve"> Umum dan investor </w:t>
            </w:r>
            <w:r w:rsidRPr="00682DCD">
              <w:rPr>
                <w:rFonts w:ascii="Times New Roman" w:eastAsia="Times New Roman" w:hAnsi="Times New Roman" w:cs="Times New Roman"/>
                <w:color w:val="000000" w:themeColor="text1"/>
                <w:sz w:val="20"/>
                <w:szCs w:val="20"/>
                <w:lang w:eastAsia="en-ID"/>
              </w:rPr>
              <w:t>asing</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menanamkan</w:t>
            </w:r>
            <w:r w:rsidRPr="00682DCD">
              <w:rPr>
                <w:rFonts w:ascii="Times New Roman" w:eastAsia="Times New Roman" w:hAnsi="Times New Roman" w:cs="Times New Roman"/>
                <w:color w:val="000000" w:themeColor="text1"/>
                <w:sz w:val="20"/>
                <w:szCs w:val="20"/>
                <w:lang w:eastAsia="en-ID"/>
              </w:rPr>
              <w:t xml:space="preserve"> modal di Indonesia</w:t>
            </w:r>
          </w:p>
        </w:tc>
      </w:tr>
      <w:tr w14:paraId="5C330B03"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45C592C6"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1988 – 1990</w:t>
            </w:r>
          </w:p>
        </w:tc>
        <w:tc>
          <w:tcPr>
            <w:tcW w:w="6237" w:type="dxa"/>
            <w:shd w:val="clear" w:color="auto" w:fill="FFFFFF"/>
            <w:vAlign w:val="center"/>
            <w:hideMark/>
          </w:tcPr>
          <w:p w:rsidR="00BB1890" w:rsidRPr="00682DCD" w:rsidP="00892CC6" w14:paraId="479C8F52"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Paket </w:t>
            </w:r>
            <w:r w:rsidRPr="00682DCD">
              <w:rPr>
                <w:rFonts w:ascii="Times New Roman" w:eastAsia="Times New Roman" w:hAnsi="Times New Roman" w:cs="Times New Roman"/>
                <w:color w:val="000000" w:themeColor="text1"/>
                <w:sz w:val="20"/>
                <w:szCs w:val="20"/>
                <w:lang w:eastAsia="en-ID"/>
              </w:rPr>
              <w:t>deregulasi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dibidang</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Perbankan</w:t>
            </w:r>
            <w:r w:rsidRPr="00682DCD">
              <w:rPr>
                <w:rFonts w:ascii="Times New Roman" w:eastAsia="Times New Roman" w:hAnsi="Times New Roman" w:cs="Times New Roman"/>
                <w:color w:val="000000" w:themeColor="text1"/>
                <w:sz w:val="20"/>
                <w:szCs w:val="20"/>
                <w:lang w:eastAsia="en-ID"/>
              </w:rPr>
              <w:t xml:space="preserve"> dan Pasar Modal </w:t>
            </w:r>
            <w:r w:rsidRPr="00682DCD">
              <w:rPr>
                <w:rFonts w:ascii="Times New Roman" w:eastAsia="Times New Roman" w:hAnsi="Times New Roman" w:cs="Times New Roman"/>
                <w:color w:val="000000" w:themeColor="text1"/>
                <w:sz w:val="20"/>
                <w:szCs w:val="20"/>
                <w:lang w:eastAsia="en-ID"/>
              </w:rPr>
              <w:t>diluncurkan</w:t>
            </w:r>
            <w:r w:rsidRPr="00682DCD">
              <w:rPr>
                <w:rFonts w:ascii="Times New Roman" w:eastAsia="Times New Roman" w:hAnsi="Times New Roman" w:cs="Times New Roman"/>
                <w:color w:val="000000" w:themeColor="text1"/>
                <w:sz w:val="20"/>
                <w:szCs w:val="20"/>
                <w:lang w:eastAsia="en-ID"/>
              </w:rPr>
              <w:t xml:space="preserve">. Pintu BEJ </w:t>
            </w:r>
            <w:r w:rsidRPr="00682DCD">
              <w:rPr>
                <w:rFonts w:ascii="Times New Roman" w:eastAsia="Times New Roman" w:hAnsi="Times New Roman" w:cs="Times New Roman"/>
                <w:color w:val="000000" w:themeColor="text1"/>
                <w:sz w:val="20"/>
                <w:szCs w:val="20"/>
                <w:lang w:eastAsia="en-ID"/>
              </w:rPr>
              <w:t>terbuka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untuk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asing</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Aktivitas</w:t>
            </w:r>
            <w:r w:rsidRPr="00682DCD">
              <w:rPr>
                <w:rFonts w:ascii="Times New Roman" w:eastAsia="Times New Roman" w:hAnsi="Times New Roman" w:cs="Times New Roman"/>
                <w:color w:val="000000" w:themeColor="text1"/>
                <w:sz w:val="20"/>
                <w:szCs w:val="20"/>
                <w:lang w:eastAsia="en-ID"/>
              </w:rPr>
              <w:t xml:space="preserve"> bursa </w:t>
            </w:r>
            <w:r w:rsidRPr="00682DCD">
              <w:rPr>
                <w:rFonts w:ascii="Times New Roman" w:eastAsia="Times New Roman" w:hAnsi="Times New Roman" w:cs="Times New Roman"/>
                <w:color w:val="000000" w:themeColor="text1"/>
                <w:sz w:val="20"/>
                <w:szCs w:val="20"/>
                <w:lang w:eastAsia="en-ID"/>
              </w:rPr>
              <w:t>terlihat</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meningkat</w:t>
            </w:r>
          </w:p>
        </w:tc>
      </w:tr>
      <w:tr w14:paraId="4058E551"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2D3A6435"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2 Juni 1988</w:t>
            </w:r>
          </w:p>
        </w:tc>
        <w:tc>
          <w:tcPr>
            <w:tcW w:w="6237" w:type="dxa"/>
            <w:shd w:val="clear" w:color="auto" w:fill="FFFFFF"/>
            <w:vAlign w:val="center"/>
            <w:hideMark/>
          </w:tcPr>
          <w:p w:rsidR="00BB1890" w:rsidRPr="00682DCD" w:rsidP="00892CC6" w14:paraId="3423113B"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Paralel</w:t>
            </w:r>
            <w:r w:rsidRPr="00682DCD">
              <w:rPr>
                <w:rFonts w:ascii="Times New Roman" w:eastAsia="Times New Roman" w:hAnsi="Times New Roman" w:cs="Times New Roman"/>
                <w:color w:val="000000" w:themeColor="text1"/>
                <w:sz w:val="20"/>
                <w:szCs w:val="20"/>
                <w:lang w:eastAsia="en-ID"/>
              </w:rPr>
              <w:t xml:space="preserve"> Indonesia (BPI) </w:t>
            </w:r>
            <w:r w:rsidRPr="00682DCD">
              <w:rPr>
                <w:rFonts w:ascii="Times New Roman" w:eastAsia="Times New Roman" w:hAnsi="Times New Roman" w:cs="Times New Roman"/>
                <w:color w:val="000000" w:themeColor="text1"/>
                <w:sz w:val="20"/>
                <w:szCs w:val="20"/>
                <w:lang w:eastAsia="en-ID"/>
              </w:rPr>
              <w:t>mulai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beroperasi</w:t>
            </w:r>
            <w:r w:rsidRPr="00682DCD">
              <w:rPr>
                <w:rFonts w:ascii="Times New Roman" w:eastAsia="Times New Roman" w:hAnsi="Times New Roman" w:cs="Times New Roman"/>
                <w:color w:val="000000" w:themeColor="text1"/>
                <w:sz w:val="20"/>
                <w:szCs w:val="20"/>
                <w:lang w:eastAsia="en-ID"/>
              </w:rPr>
              <w:t xml:space="preserve"> dan </w:t>
            </w:r>
            <w:r w:rsidRPr="00682DCD">
              <w:rPr>
                <w:rFonts w:ascii="Times New Roman" w:eastAsia="Times New Roman" w:hAnsi="Times New Roman" w:cs="Times New Roman"/>
                <w:color w:val="000000" w:themeColor="text1"/>
                <w:sz w:val="20"/>
                <w:szCs w:val="20"/>
                <w:lang w:eastAsia="en-ID"/>
              </w:rPr>
              <w:t>dikelola</w:t>
            </w:r>
            <w:r w:rsidRPr="00682DCD">
              <w:rPr>
                <w:rFonts w:ascii="Times New Roman" w:eastAsia="Times New Roman" w:hAnsi="Times New Roman" w:cs="Times New Roman"/>
                <w:color w:val="000000" w:themeColor="text1"/>
                <w:sz w:val="20"/>
                <w:szCs w:val="20"/>
                <w:lang w:eastAsia="en-ID"/>
              </w:rPr>
              <w:t xml:space="preserve"> oleh </w:t>
            </w:r>
            <w:r w:rsidRPr="00682DCD">
              <w:rPr>
                <w:rFonts w:ascii="Times New Roman" w:eastAsia="Times New Roman" w:hAnsi="Times New Roman" w:cs="Times New Roman"/>
                <w:color w:val="000000" w:themeColor="text1"/>
                <w:sz w:val="20"/>
                <w:szCs w:val="20"/>
                <w:lang w:eastAsia="en-ID"/>
              </w:rPr>
              <w:t>Persatuan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Uang dan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(PPUE), </w:t>
            </w:r>
            <w:r w:rsidRPr="00682DCD">
              <w:rPr>
                <w:rFonts w:ascii="Times New Roman" w:eastAsia="Times New Roman" w:hAnsi="Times New Roman" w:cs="Times New Roman"/>
                <w:color w:val="000000" w:themeColor="text1"/>
                <w:sz w:val="20"/>
                <w:szCs w:val="20"/>
                <w:lang w:eastAsia="en-ID"/>
              </w:rPr>
              <w:t>sedangkan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organisasinya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terdiri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dari</w:t>
            </w:r>
            <w:r w:rsidRPr="00682DCD">
              <w:rPr>
                <w:rFonts w:ascii="Times New Roman" w:eastAsia="Times New Roman" w:hAnsi="Times New Roman" w:cs="Times New Roman"/>
                <w:color w:val="000000" w:themeColor="text1"/>
                <w:sz w:val="20"/>
                <w:szCs w:val="20"/>
                <w:lang w:eastAsia="en-ID"/>
              </w:rPr>
              <w:t xml:space="preserve"> broker dan dealer</w:t>
            </w:r>
          </w:p>
        </w:tc>
      </w:tr>
      <w:tr w14:paraId="3747B607"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2D6228F2"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Desember</w:t>
            </w:r>
            <w:r w:rsidRPr="00682DCD">
              <w:rPr>
                <w:rFonts w:ascii="Times New Roman" w:eastAsia="Times New Roman" w:hAnsi="Times New Roman" w:cs="Times New Roman"/>
                <w:b/>
                <w:bCs/>
                <w:color w:val="000000" w:themeColor="text1"/>
                <w:sz w:val="20"/>
                <w:szCs w:val="20"/>
                <w:lang w:eastAsia="en-ID"/>
              </w:rPr>
              <w:t xml:space="preserve"> 1988</w:t>
            </w:r>
          </w:p>
        </w:tc>
        <w:tc>
          <w:tcPr>
            <w:tcW w:w="6237" w:type="dxa"/>
            <w:shd w:val="clear" w:color="auto" w:fill="FFFFFF"/>
            <w:vAlign w:val="center"/>
            <w:hideMark/>
          </w:tcPr>
          <w:p w:rsidR="00BB1890" w:rsidRPr="00682DCD" w:rsidP="00892CC6" w14:paraId="29C9A18F"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Pemerintah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mengeluarkan</w:t>
            </w:r>
            <w:r w:rsidRPr="00682DCD">
              <w:rPr>
                <w:rFonts w:ascii="Times New Roman" w:eastAsia="Times New Roman" w:hAnsi="Times New Roman" w:cs="Times New Roman"/>
                <w:color w:val="000000" w:themeColor="text1"/>
                <w:sz w:val="20"/>
                <w:szCs w:val="20"/>
                <w:lang w:eastAsia="en-ID"/>
              </w:rPr>
              <w:t xml:space="preserve"> Paket </w:t>
            </w:r>
            <w:r w:rsidRPr="00682DCD">
              <w:rPr>
                <w:rFonts w:ascii="Times New Roman" w:eastAsia="Times New Roman" w:hAnsi="Times New Roman" w:cs="Times New Roman"/>
                <w:color w:val="000000" w:themeColor="text1"/>
                <w:sz w:val="20"/>
                <w:szCs w:val="20"/>
                <w:lang w:eastAsia="en-ID"/>
              </w:rPr>
              <w:t>Desember</w:t>
            </w:r>
            <w:r w:rsidRPr="00682DCD">
              <w:rPr>
                <w:rFonts w:ascii="Times New Roman" w:eastAsia="Times New Roman" w:hAnsi="Times New Roman" w:cs="Times New Roman"/>
                <w:color w:val="000000" w:themeColor="text1"/>
                <w:sz w:val="20"/>
                <w:szCs w:val="20"/>
                <w:lang w:eastAsia="en-ID"/>
              </w:rPr>
              <w:t xml:space="preserve"> 88 (PAKDES 88) yang </w:t>
            </w:r>
            <w:r w:rsidRPr="00682DCD">
              <w:rPr>
                <w:rFonts w:ascii="Times New Roman" w:eastAsia="Times New Roman" w:hAnsi="Times New Roman" w:cs="Times New Roman"/>
                <w:color w:val="000000" w:themeColor="text1"/>
                <w:sz w:val="20"/>
                <w:szCs w:val="20"/>
                <w:lang w:eastAsia="en-ID"/>
              </w:rPr>
              <w:t>memberikan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kemudahan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perusahaan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untuk</w:t>
            </w:r>
            <w:r w:rsidRPr="00682DCD">
              <w:rPr>
                <w:rFonts w:ascii="Times New Roman" w:eastAsia="Times New Roman" w:hAnsi="Times New Roman" w:cs="Times New Roman"/>
                <w:color w:val="000000" w:themeColor="text1"/>
                <w:sz w:val="20"/>
                <w:szCs w:val="20"/>
                <w:lang w:eastAsia="en-ID"/>
              </w:rPr>
              <w:t xml:space="preserve"> go public dan </w:t>
            </w:r>
            <w:r w:rsidRPr="00682DCD">
              <w:rPr>
                <w:rFonts w:ascii="Times New Roman" w:eastAsia="Times New Roman" w:hAnsi="Times New Roman" w:cs="Times New Roman"/>
                <w:color w:val="000000" w:themeColor="text1"/>
                <w:sz w:val="20"/>
                <w:szCs w:val="20"/>
                <w:lang w:eastAsia="en-ID"/>
              </w:rPr>
              <w:t>beberapa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kebijakan</w:t>
            </w:r>
            <w:r w:rsidRPr="00682DCD">
              <w:rPr>
                <w:rFonts w:ascii="Times New Roman" w:eastAsia="Times New Roman" w:hAnsi="Times New Roman" w:cs="Times New Roman"/>
                <w:color w:val="000000" w:themeColor="text1"/>
                <w:sz w:val="20"/>
                <w:szCs w:val="20"/>
                <w:lang w:eastAsia="en-ID"/>
              </w:rPr>
              <w:t xml:space="preserve"> lain yang </w:t>
            </w:r>
            <w:r w:rsidRPr="00682DCD">
              <w:rPr>
                <w:rFonts w:ascii="Times New Roman" w:eastAsia="Times New Roman" w:hAnsi="Times New Roman" w:cs="Times New Roman"/>
                <w:color w:val="000000" w:themeColor="text1"/>
                <w:sz w:val="20"/>
                <w:szCs w:val="20"/>
                <w:lang w:eastAsia="en-ID"/>
              </w:rPr>
              <w:t>positif</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bagi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pertumbuhan</w:t>
            </w:r>
            <w:r w:rsidRPr="00682DCD">
              <w:rPr>
                <w:rFonts w:ascii="Times New Roman" w:eastAsia="Times New Roman" w:hAnsi="Times New Roman" w:cs="Times New Roman"/>
                <w:color w:val="000000" w:themeColor="text1"/>
                <w:sz w:val="20"/>
                <w:szCs w:val="20"/>
                <w:lang w:eastAsia="en-ID"/>
              </w:rPr>
              <w:t xml:space="preserve"> pasar modal</w:t>
            </w:r>
          </w:p>
        </w:tc>
      </w:tr>
      <w:tr w14:paraId="1D162B9A"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551F0488"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16 Juni 1989</w:t>
            </w:r>
          </w:p>
        </w:tc>
        <w:tc>
          <w:tcPr>
            <w:tcW w:w="6237" w:type="dxa"/>
            <w:shd w:val="clear" w:color="auto" w:fill="FFFFFF"/>
            <w:vAlign w:val="center"/>
            <w:hideMark/>
          </w:tcPr>
          <w:p w:rsidR="00BB1890" w:rsidRPr="00682DCD" w:rsidP="00892CC6" w14:paraId="21FDB504"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Surabaya (BES) </w:t>
            </w:r>
            <w:r w:rsidRPr="00682DCD">
              <w:rPr>
                <w:rFonts w:ascii="Times New Roman" w:eastAsia="Times New Roman" w:hAnsi="Times New Roman" w:cs="Times New Roman"/>
                <w:color w:val="000000" w:themeColor="text1"/>
                <w:sz w:val="20"/>
                <w:szCs w:val="20"/>
                <w:lang w:eastAsia="en-ID"/>
              </w:rPr>
              <w:t>mulai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beroperasi</w:t>
            </w:r>
            <w:r w:rsidRPr="00682DCD">
              <w:rPr>
                <w:rFonts w:ascii="Times New Roman" w:eastAsia="Times New Roman" w:hAnsi="Times New Roman" w:cs="Times New Roman"/>
                <w:color w:val="000000" w:themeColor="text1"/>
                <w:sz w:val="20"/>
                <w:szCs w:val="20"/>
                <w:lang w:eastAsia="en-ID"/>
              </w:rPr>
              <w:t xml:space="preserve"> dan </w:t>
            </w:r>
            <w:r w:rsidRPr="00682DCD">
              <w:rPr>
                <w:rFonts w:ascii="Times New Roman" w:eastAsia="Times New Roman" w:hAnsi="Times New Roman" w:cs="Times New Roman"/>
                <w:color w:val="000000" w:themeColor="text1"/>
                <w:sz w:val="20"/>
                <w:szCs w:val="20"/>
                <w:lang w:eastAsia="en-ID"/>
              </w:rPr>
              <w:t>dikelola</w:t>
            </w:r>
            <w:r w:rsidRPr="00682DCD">
              <w:rPr>
                <w:rFonts w:ascii="Times New Roman" w:eastAsia="Times New Roman" w:hAnsi="Times New Roman" w:cs="Times New Roman"/>
                <w:color w:val="000000" w:themeColor="text1"/>
                <w:sz w:val="20"/>
                <w:szCs w:val="20"/>
                <w:lang w:eastAsia="en-ID"/>
              </w:rPr>
              <w:t xml:space="preserve"> oleh Perseroan </w:t>
            </w:r>
            <w:r w:rsidRPr="00682DCD">
              <w:rPr>
                <w:rFonts w:ascii="Times New Roman" w:eastAsia="Times New Roman" w:hAnsi="Times New Roman" w:cs="Times New Roman"/>
                <w:color w:val="000000" w:themeColor="text1"/>
                <w:sz w:val="20"/>
                <w:szCs w:val="20"/>
                <w:lang w:eastAsia="en-ID"/>
              </w:rPr>
              <w:t>Terbatas</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milik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swasta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yaitu</w:t>
            </w:r>
            <w:r w:rsidRPr="00682DCD">
              <w:rPr>
                <w:rFonts w:ascii="Times New Roman" w:eastAsia="Times New Roman" w:hAnsi="Times New Roman" w:cs="Times New Roman"/>
                <w:color w:val="000000" w:themeColor="text1"/>
                <w:sz w:val="20"/>
                <w:szCs w:val="20"/>
                <w:lang w:eastAsia="en-ID"/>
              </w:rPr>
              <w:t xml:space="preserve"> PT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Surabaya</w:t>
            </w:r>
          </w:p>
        </w:tc>
      </w:tr>
      <w:tr w14:paraId="5FB3819E"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769381EB"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13 Juli 1992</w:t>
            </w:r>
          </w:p>
        </w:tc>
        <w:tc>
          <w:tcPr>
            <w:tcW w:w="6237" w:type="dxa"/>
            <w:shd w:val="clear" w:color="auto" w:fill="FFFFFF"/>
            <w:vAlign w:val="center"/>
            <w:hideMark/>
          </w:tcPr>
          <w:p w:rsidR="00BB1890" w:rsidRPr="00682DCD" w:rsidP="00892CC6" w14:paraId="13EBFF72"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Swastanisasi</w:t>
            </w:r>
            <w:r w:rsidRPr="00682DCD">
              <w:rPr>
                <w:rFonts w:ascii="Times New Roman" w:eastAsia="Times New Roman" w:hAnsi="Times New Roman" w:cs="Times New Roman"/>
                <w:color w:val="000000" w:themeColor="text1"/>
                <w:sz w:val="20"/>
                <w:szCs w:val="20"/>
                <w:lang w:eastAsia="en-ID"/>
              </w:rPr>
              <w:t xml:space="preserve"> BEJ. BAPEPAM </w:t>
            </w:r>
            <w:r w:rsidRPr="00682DCD">
              <w:rPr>
                <w:rFonts w:ascii="Times New Roman" w:eastAsia="Times New Roman" w:hAnsi="Times New Roman" w:cs="Times New Roman"/>
                <w:color w:val="000000" w:themeColor="text1"/>
                <w:sz w:val="20"/>
                <w:szCs w:val="20"/>
                <w:lang w:eastAsia="en-ID"/>
              </w:rPr>
              <w:t>berubah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menjadi</w:t>
            </w:r>
            <w:r w:rsidRPr="00682DCD">
              <w:rPr>
                <w:rFonts w:ascii="Times New Roman" w:eastAsia="Times New Roman" w:hAnsi="Times New Roman" w:cs="Times New Roman"/>
                <w:color w:val="000000" w:themeColor="text1"/>
                <w:sz w:val="20"/>
                <w:szCs w:val="20"/>
                <w:lang w:eastAsia="en-ID"/>
              </w:rPr>
              <w:t xml:space="preserve"> Badan </w:t>
            </w:r>
            <w:r w:rsidRPr="00682DCD">
              <w:rPr>
                <w:rFonts w:ascii="Times New Roman" w:eastAsia="Times New Roman" w:hAnsi="Times New Roman" w:cs="Times New Roman"/>
                <w:color w:val="000000" w:themeColor="text1"/>
                <w:sz w:val="20"/>
                <w:szCs w:val="20"/>
                <w:lang w:eastAsia="en-ID"/>
              </w:rPr>
              <w:t>Pengawas</w:t>
            </w:r>
            <w:r w:rsidRPr="00682DCD">
              <w:rPr>
                <w:rFonts w:ascii="Times New Roman" w:eastAsia="Times New Roman" w:hAnsi="Times New Roman" w:cs="Times New Roman"/>
                <w:color w:val="000000" w:themeColor="text1"/>
                <w:sz w:val="20"/>
                <w:szCs w:val="20"/>
                <w:lang w:eastAsia="en-ID"/>
              </w:rPr>
              <w:t xml:space="preserve"> Pasar Modal. </w:t>
            </w:r>
            <w:r w:rsidRPr="00682DCD">
              <w:rPr>
                <w:rFonts w:ascii="Times New Roman" w:eastAsia="Times New Roman" w:hAnsi="Times New Roman" w:cs="Times New Roman"/>
                <w:color w:val="000000" w:themeColor="text1"/>
                <w:sz w:val="20"/>
                <w:szCs w:val="20"/>
                <w:lang w:eastAsia="en-ID"/>
              </w:rPr>
              <w:t>Tanggal</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ini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diperingati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sebagai</w:t>
            </w:r>
            <w:r w:rsidRPr="00682DCD">
              <w:rPr>
                <w:rFonts w:ascii="Times New Roman" w:eastAsia="Times New Roman" w:hAnsi="Times New Roman" w:cs="Times New Roman"/>
                <w:color w:val="000000" w:themeColor="text1"/>
                <w:sz w:val="20"/>
                <w:szCs w:val="20"/>
                <w:lang w:eastAsia="en-ID"/>
              </w:rPr>
              <w:t xml:space="preserve"> HUT BEJ</w:t>
            </w:r>
          </w:p>
        </w:tc>
      </w:tr>
      <w:tr w14:paraId="3A5751DB"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04807600"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22 Mei 1995</w:t>
            </w:r>
          </w:p>
        </w:tc>
        <w:tc>
          <w:tcPr>
            <w:tcW w:w="6237" w:type="dxa"/>
            <w:shd w:val="clear" w:color="auto" w:fill="FFFFFF"/>
            <w:vAlign w:val="center"/>
            <w:hideMark/>
          </w:tcPr>
          <w:p w:rsidR="00BB1890" w:rsidRPr="00682DCD" w:rsidP="00892CC6" w14:paraId="4F3B8B2E"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Sistem</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Otomasi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di BEJ </w:t>
            </w:r>
            <w:r w:rsidRPr="00682DCD">
              <w:rPr>
                <w:rFonts w:ascii="Times New Roman" w:eastAsia="Times New Roman" w:hAnsi="Times New Roman" w:cs="Times New Roman"/>
                <w:color w:val="000000" w:themeColor="text1"/>
                <w:sz w:val="20"/>
                <w:szCs w:val="20"/>
                <w:lang w:eastAsia="en-ID"/>
              </w:rPr>
              <w:t>dilaksanakan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dengan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sistem</w:t>
            </w:r>
            <w:r w:rsidRPr="00682DCD">
              <w:rPr>
                <w:rFonts w:ascii="Times New Roman" w:eastAsia="Times New Roman" w:hAnsi="Times New Roman" w:cs="Times New Roman"/>
                <w:color w:val="000000" w:themeColor="text1"/>
                <w:sz w:val="20"/>
                <w:szCs w:val="20"/>
                <w:lang w:eastAsia="en-ID"/>
              </w:rPr>
              <w:t xml:space="preserve"> computer JATS (Jakarta Automated Trading Systems)</w:t>
            </w:r>
          </w:p>
        </w:tc>
      </w:tr>
      <w:tr w14:paraId="76F77E4D"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42EC18D9"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10 November 1995</w:t>
            </w:r>
          </w:p>
        </w:tc>
        <w:tc>
          <w:tcPr>
            <w:tcW w:w="6237" w:type="dxa"/>
            <w:shd w:val="clear" w:color="auto" w:fill="FFFFFF"/>
            <w:vAlign w:val="center"/>
            <w:hideMark/>
          </w:tcPr>
          <w:p w:rsidR="00BB1890" w:rsidRPr="00682DCD" w:rsidP="00892CC6" w14:paraId="768211F3"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Pemerintah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mengeluarkan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Undang</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Undang</w:t>
            </w:r>
            <w:r w:rsidRPr="00682DCD">
              <w:rPr>
                <w:rFonts w:ascii="Times New Roman" w:eastAsia="Times New Roman" w:hAnsi="Times New Roman" w:cs="Times New Roman"/>
                <w:color w:val="000000" w:themeColor="text1"/>
                <w:sz w:val="20"/>
                <w:szCs w:val="20"/>
                <w:lang w:eastAsia="en-ID"/>
              </w:rPr>
              <w:t xml:space="preserve"> No. 8 </w:t>
            </w:r>
            <w:r w:rsidRPr="00682DCD">
              <w:rPr>
                <w:rFonts w:ascii="Times New Roman" w:eastAsia="Times New Roman" w:hAnsi="Times New Roman" w:cs="Times New Roman"/>
                <w:color w:val="000000" w:themeColor="text1"/>
                <w:sz w:val="20"/>
                <w:szCs w:val="20"/>
                <w:lang w:eastAsia="en-ID"/>
              </w:rPr>
              <w:t>Tahun</w:t>
            </w:r>
            <w:r w:rsidRPr="00682DCD">
              <w:rPr>
                <w:rFonts w:ascii="Times New Roman" w:eastAsia="Times New Roman" w:hAnsi="Times New Roman" w:cs="Times New Roman"/>
                <w:color w:val="000000" w:themeColor="text1"/>
                <w:sz w:val="20"/>
                <w:szCs w:val="20"/>
                <w:lang w:eastAsia="en-ID"/>
              </w:rPr>
              <w:t xml:space="preserve"> 1995 </w:t>
            </w:r>
            <w:r w:rsidRPr="00682DCD">
              <w:rPr>
                <w:rFonts w:ascii="Times New Roman" w:eastAsia="Times New Roman" w:hAnsi="Times New Roman" w:cs="Times New Roman"/>
                <w:color w:val="000000" w:themeColor="text1"/>
                <w:sz w:val="20"/>
                <w:szCs w:val="20"/>
                <w:lang w:eastAsia="en-ID"/>
              </w:rPr>
              <w:t>tentang</w:t>
            </w:r>
            <w:r w:rsidRPr="00682DCD">
              <w:rPr>
                <w:rFonts w:ascii="Times New Roman" w:eastAsia="Times New Roman" w:hAnsi="Times New Roman" w:cs="Times New Roman"/>
                <w:color w:val="000000" w:themeColor="text1"/>
                <w:sz w:val="20"/>
                <w:szCs w:val="20"/>
                <w:lang w:eastAsia="en-ID"/>
              </w:rPr>
              <w:t xml:space="preserve"> Pasar Modal. </w:t>
            </w:r>
            <w:r w:rsidRPr="00682DCD">
              <w:rPr>
                <w:rFonts w:ascii="Times New Roman" w:eastAsia="Times New Roman" w:hAnsi="Times New Roman" w:cs="Times New Roman"/>
                <w:color w:val="000000" w:themeColor="text1"/>
                <w:sz w:val="20"/>
                <w:szCs w:val="20"/>
                <w:lang w:eastAsia="en-ID"/>
              </w:rPr>
              <w:t>Undang-Undang</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ini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mulai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diberlakukan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mulai</w:t>
            </w:r>
            <w:r w:rsidRPr="00682DCD">
              <w:rPr>
                <w:rFonts w:ascii="Times New Roman" w:eastAsia="Times New Roman" w:hAnsi="Times New Roman" w:cs="Times New Roman"/>
                <w:color w:val="000000" w:themeColor="text1"/>
                <w:sz w:val="20"/>
                <w:szCs w:val="20"/>
                <w:lang w:eastAsia="en-ID"/>
              </w:rPr>
              <w:t xml:space="preserve"> Januari 1996</w:t>
            </w:r>
          </w:p>
        </w:tc>
      </w:tr>
      <w:tr w14:paraId="4FDC4EA2"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0FB546E3"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1995</w:t>
            </w:r>
          </w:p>
        </w:tc>
        <w:tc>
          <w:tcPr>
            <w:tcW w:w="6237" w:type="dxa"/>
            <w:shd w:val="clear" w:color="auto" w:fill="FFFFFF"/>
            <w:vAlign w:val="center"/>
            <w:hideMark/>
          </w:tcPr>
          <w:p w:rsidR="00BB1890" w:rsidRPr="00682DCD" w:rsidP="00892CC6" w14:paraId="386D3022"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Bursa </w:t>
            </w:r>
            <w:r w:rsidRPr="00682DCD">
              <w:rPr>
                <w:rFonts w:ascii="Times New Roman" w:eastAsia="Times New Roman" w:hAnsi="Times New Roman" w:cs="Times New Roman"/>
                <w:color w:val="000000" w:themeColor="text1"/>
                <w:sz w:val="20"/>
                <w:szCs w:val="20"/>
                <w:lang w:eastAsia="en-ID"/>
              </w:rPr>
              <w:t>Paralel</w:t>
            </w:r>
            <w:r w:rsidRPr="00682DCD">
              <w:rPr>
                <w:rFonts w:ascii="Times New Roman" w:eastAsia="Times New Roman" w:hAnsi="Times New Roman" w:cs="Times New Roman"/>
                <w:color w:val="000000" w:themeColor="text1"/>
                <w:sz w:val="20"/>
                <w:szCs w:val="20"/>
                <w:lang w:eastAsia="en-ID"/>
              </w:rPr>
              <w:t xml:space="preserve"> Indonesia merger </w:t>
            </w:r>
            <w:r w:rsidRPr="00682DCD">
              <w:rPr>
                <w:rFonts w:ascii="Times New Roman" w:eastAsia="Times New Roman" w:hAnsi="Times New Roman" w:cs="Times New Roman"/>
                <w:color w:val="000000" w:themeColor="text1"/>
                <w:sz w:val="20"/>
                <w:szCs w:val="20"/>
                <w:lang w:eastAsia="en-ID"/>
              </w:rPr>
              <w:t>dengan</w:t>
            </w:r>
            <w:r w:rsidRPr="00682DCD">
              <w:rPr>
                <w:rFonts w:ascii="Times New Roman" w:eastAsia="Times New Roman" w:hAnsi="Times New Roman" w:cs="Times New Roman"/>
                <w:color w:val="000000" w:themeColor="text1"/>
                <w:sz w:val="20"/>
                <w:szCs w:val="20"/>
                <w:lang w:eastAsia="en-ID"/>
              </w:rPr>
              <w:t xml:space="preserve">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Surabaya</w:t>
            </w:r>
          </w:p>
        </w:tc>
      </w:tr>
      <w:tr w14:paraId="6FC6A9A2"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51C1853A"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2000</w:t>
            </w:r>
          </w:p>
        </w:tc>
        <w:tc>
          <w:tcPr>
            <w:tcW w:w="6237" w:type="dxa"/>
            <w:shd w:val="clear" w:color="auto" w:fill="FFFFFF"/>
            <w:vAlign w:val="center"/>
            <w:hideMark/>
          </w:tcPr>
          <w:p w:rsidR="00BB1890" w:rsidRPr="00682DCD" w:rsidP="00892CC6" w14:paraId="0820DCE3"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Sistem</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Tanpa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Warkat</w:t>
            </w:r>
            <w:r w:rsidRPr="00682DCD">
              <w:rPr>
                <w:rFonts w:ascii="Times New Roman" w:eastAsia="Times New Roman" w:hAnsi="Times New Roman" w:cs="Times New Roman"/>
                <w:color w:val="000000" w:themeColor="text1"/>
                <w:sz w:val="20"/>
                <w:szCs w:val="20"/>
                <w:lang w:eastAsia="en-ID"/>
              </w:rPr>
              <w:t xml:space="preserve"> (scripless trading) </w:t>
            </w:r>
            <w:r w:rsidRPr="00682DCD">
              <w:rPr>
                <w:rFonts w:ascii="Times New Roman" w:eastAsia="Times New Roman" w:hAnsi="Times New Roman" w:cs="Times New Roman"/>
                <w:color w:val="000000" w:themeColor="text1"/>
                <w:sz w:val="20"/>
                <w:szCs w:val="20"/>
                <w:lang w:eastAsia="en-ID"/>
              </w:rPr>
              <w:t>mulai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diaplikasikan</w:t>
            </w:r>
            <w:r w:rsidRPr="00682DCD">
              <w:rPr>
                <w:rFonts w:ascii="Times New Roman" w:eastAsia="Times New Roman" w:hAnsi="Times New Roman" w:cs="Times New Roman"/>
                <w:color w:val="000000" w:themeColor="text1"/>
                <w:sz w:val="20"/>
                <w:szCs w:val="20"/>
                <w:lang w:eastAsia="en-ID"/>
              </w:rPr>
              <w:t xml:space="preserve"> di pasar modal Indonesia</w:t>
            </w:r>
          </w:p>
        </w:tc>
      </w:tr>
      <w:tr w14:paraId="1B734676"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33669C65"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2002</w:t>
            </w:r>
          </w:p>
        </w:tc>
        <w:tc>
          <w:tcPr>
            <w:tcW w:w="6237" w:type="dxa"/>
            <w:shd w:val="clear" w:color="auto" w:fill="FFFFFF"/>
            <w:vAlign w:val="center"/>
            <w:hideMark/>
          </w:tcPr>
          <w:p w:rsidR="00BB1890" w:rsidRPr="00682DCD" w:rsidP="00892CC6" w14:paraId="028AA1F1"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 xml:space="preserve">BEJ </w:t>
            </w:r>
            <w:r w:rsidRPr="00682DCD">
              <w:rPr>
                <w:rFonts w:ascii="Times New Roman" w:eastAsia="Times New Roman" w:hAnsi="Times New Roman" w:cs="Times New Roman"/>
                <w:color w:val="000000" w:themeColor="text1"/>
                <w:sz w:val="20"/>
                <w:szCs w:val="20"/>
                <w:lang w:eastAsia="en-ID"/>
              </w:rPr>
              <w:t>mulai</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mengaplikasikan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sistem</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jarak</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jauh</w:t>
            </w:r>
            <w:r w:rsidRPr="00682DCD">
              <w:rPr>
                <w:rFonts w:ascii="Times New Roman" w:eastAsia="Times New Roman" w:hAnsi="Times New Roman" w:cs="Times New Roman"/>
                <w:color w:val="000000" w:themeColor="text1"/>
                <w:sz w:val="20"/>
                <w:szCs w:val="20"/>
                <w:lang w:eastAsia="en-ID"/>
              </w:rPr>
              <w:t xml:space="preserve"> (remote trading)</w:t>
            </w:r>
          </w:p>
        </w:tc>
      </w:tr>
      <w:tr w14:paraId="4E7F0D8E"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3062E148"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2007</w:t>
            </w:r>
          </w:p>
        </w:tc>
        <w:tc>
          <w:tcPr>
            <w:tcW w:w="6237" w:type="dxa"/>
            <w:shd w:val="clear" w:color="auto" w:fill="FFFFFF"/>
            <w:vAlign w:val="center"/>
            <w:hideMark/>
          </w:tcPr>
          <w:p w:rsidR="00BB1890" w:rsidRPr="00682DCD" w:rsidP="00892CC6" w14:paraId="5C694B6A"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Penggabungan</w:t>
            </w:r>
            <w:r w:rsidRPr="00682DCD">
              <w:rPr>
                <w:rFonts w:ascii="Times New Roman" w:eastAsia="Times New Roman" w:hAnsi="Times New Roman" w:cs="Times New Roman"/>
                <w:color w:val="000000" w:themeColor="text1"/>
                <w:sz w:val="20"/>
                <w:szCs w:val="20"/>
                <w:lang w:eastAsia="en-ID"/>
              </w:rPr>
              <w:t xml:space="preserve">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Surabaya (BES) </w:t>
            </w:r>
            <w:r w:rsidRPr="00682DCD">
              <w:rPr>
                <w:rFonts w:ascii="Times New Roman" w:eastAsia="Times New Roman" w:hAnsi="Times New Roman" w:cs="Times New Roman"/>
                <w:color w:val="000000" w:themeColor="text1"/>
                <w:sz w:val="20"/>
                <w:szCs w:val="20"/>
                <w:lang w:eastAsia="en-ID"/>
              </w:rPr>
              <w:t>ke</w:t>
            </w:r>
            <w:r w:rsidRPr="00682DCD">
              <w:rPr>
                <w:rFonts w:ascii="Times New Roman" w:eastAsia="Times New Roman" w:hAnsi="Times New Roman" w:cs="Times New Roman"/>
                <w:color w:val="000000" w:themeColor="text1"/>
                <w:sz w:val="20"/>
                <w:szCs w:val="20"/>
                <w:lang w:eastAsia="en-ID"/>
              </w:rPr>
              <w:t xml:space="preserve">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Jakarta (BEJ) dan </w:t>
            </w:r>
            <w:r w:rsidRPr="00682DCD">
              <w:rPr>
                <w:rFonts w:ascii="Times New Roman" w:eastAsia="Times New Roman" w:hAnsi="Times New Roman" w:cs="Times New Roman"/>
                <w:color w:val="000000" w:themeColor="text1"/>
                <w:sz w:val="20"/>
                <w:szCs w:val="20"/>
                <w:lang w:eastAsia="en-ID"/>
              </w:rPr>
              <w:t>berubah</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nama</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menjadi</w:t>
            </w:r>
            <w:r w:rsidRPr="00682DCD">
              <w:rPr>
                <w:rFonts w:ascii="Times New Roman" w:eastAsia="Times New Roman" w:hAnsi="Times New Roman" w:cs="Times New Roman"/>
                <w:color w:val="000000" w:themeColor="text1"/>
                <w:sz w:val="20"/>
                <w:szCs w:val="20"/>
                <w:lang w:eastAsia="en-ID"/>
              </w:rPr>
              <w:t xml:space="preserve">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Indonesia (BEI)</w:t>
            </w:r>
          </w:p>
        </w:tc>
      </w:tr>
      <w:tr w14:paraId="0AD0CD9D" w14:textId="77777777" w:rsidTr="00682DCD">
        <w:tblPrEx>
          <w:tblW w:w="7655" w:type="dxa"/>
          <w:tblInd w:w="704" w:type="dxa"/>
          <w:shd w:val="clear" w:color="auto" w:fill="FFFFFF"/>
          <w:tblCellMar>
            <w:top w:w="48" w:type="dxa"/>
            <w:left w:w="48" w:type="dxa"/>
            <w:bottom w:w="48" w:type="dxa"/>
            <w:right w:w="48" w:type="dxa"/>
          </w:tblCellMar>
          <w:tblLook w:val="04A0"/>
        </w:tblPrEx>
        <w:tc>
          <w:tcPr>
            <w:tcW w:w="1418" w:type="dxa"/>
            <w:shd w:val="clear" w:color="auto" w:fill="FFFFFF"/>
            <w:vAlign w:val="center"/>
            <w:hideMark/>
          </w:tcPr>
          <w:p w:rsidR="00BB1890" w:rsidRPr="00682DCD" w:rsidP="00892CC6" w14:paraId="7B37D793" w14:textId="77777777">
            <w:pPr>
              <w:spacing w:after="0" w:line="240" w:lineRule="auto"/>
              <w:jc w:val="center"/>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b/>
                <w:bCs/>
                <w:color w:val="000000" w:themeColor="text1"/>
                <w:sz w:val="20"/>
                <w:szCs w:val="20"/>
                <w:lang w:eastAsia="en-ID"/>
              </w:rPr>
              <w:t>02 Maret 2009</w:t>
            </w:r>
          </w:p>
        </w:tc>
        <w:tc>
          <w:tcPr>
            <w:tcW w:w="6237" w:type="dxa"/>
            <w:shd w:val="clear" w:color="auto" w:fill="FFFFFF"/>
            <w:vAlign w:val="center"/>
            <w:hideMark/>
          </w:tcPr>
          <w:p w:rsidR="00BB1890" w:rsidRPr="00682DCD" w:rsidP="00892CC6" w14:paraId="28561E30" w14:textId="77777777">
            <w:pPr>
              <w:spacing w:after="0" w:line="240" w:lineRule="auto"/>
              <w:jc w:val="both"/>
              <w:rPr>
                <w:rFonts w:ascii="Times New Roman" w:eastAsia="Times New Roman" w:hAnsi="Times New Roman" w:cs="Times New Roman"/>
                <w:color w:val="000000" w:themeColor="text1"/>
                <w:sz w:val="20"/>
                <w:szCs w:val="20"/>
                <w:lang w:eastAsia="en-ID"/>
              </w:rPr>
            </w:pPr>
            <w:r w:rsidRPr="00682DCD">
              <w:rPr>
                <w:rFonts w:ascii="Times New Roman" w:eastAsia="Times New Roman" w:hAnsi="Times New Roman" w:cs="Times New Roman"/>
                <w:color w:val="000000" w:themeColor="text1"/>
                <w:sz w:val="20"/>
                <w:szCs w:val="20"/>
                <w:lang w:eastAsia="en-ID"/>
              </w:rPr>
              <w:t>Peluncuran</w:t>
            </w:r>
            <w:r w:rsidRPr="00682DCD">
              <w:rPr>
                <w:rFonts w:ascii="Times New Roman" w:eastAsia="Times New Roman" w:hAnsi="Times New Roman" w:cs="Times New Roman"/>
                <w:color w:val="000000" w:themeColor="text1"/>
                <w:sz w:val="20"/>
                <w:szCs w:val="20"/>
                <w:lang w:eastAsia="en-ID"/>
              </w:rPr>
              <w:t xml:space="preserve"> Perdana </w:t>
            </w:r>
            <w:r w:rsidRPr="00682DCD">
              <w:rPr>
                <w:rFonts w:ascii="Times New Roman" w:eastAsia="Times New Roman" w:hAnsi="Times New Roman" w:cs="Times New Roman"/>
                <w:color w:val="000000" w:themeColor="text1"/>
                <w:sz w:val="20"/>
                <w:szCs w:val="20"/>
                <w:lang w:eastAsia="en-ID"/>
              </w:rPr>
              <w:t>Sistem</w:t>
            </w:r>
            <w:r w:rsidRPr="00682DCD">
              <w:rPr>
                <w:rFonts w:ascii="Times New Roman" w:eastAsia="Times New Roman" w:hAnsi="Times New Roman" w:cs="Times New Roman"/>
                <w:color w:val="000000" w:themeColor="text1"/>
                <w:sz w:val="20"/>
                <w:szCs w:val="20"/>
                <w:lang w:eastAsia="en-ID"/>
              </w:rPr>
              <w:t xml:space="preserve"> </w:t>
            </w:r>
            <w:r w:rsidRPr="00682DCD">
              <w:rPr>
                <w:rFonts w:ascii="Times New Roman" w:eastAsia="Times New Roman" w:hAnsi="Times New Roman" w:cs="Times New Roman"/>
                <w:color w:val="000000" w:themeColor="text1"/>
                <w:sz w:val="20"/>
                <w:szCs w:val="20"/>
                <w:lang w:eastAsia="en-ID"/>
              </w:rPr>
              <w:t>Perdagangan</w:t>
            </w:r>
            <w:r w:rsidRPr="00682DCD">
              <w:rPr>
                <w:rFonts w:ascii="Times New Roman" w:eastAsia="Times New Roman" w:hAnsi="Times New Roman" w:cs="Times New Roman"/>
                <w:color w:val="000000" w:themeColor="text1"/>
                <w:sz w:val="20"/>
                <w:szCs w:val="20"/>
                <w:lang w:eastAsia="en-ID"/>
              </w:rPr>
              <w:t xml:space="preserve"> Baru PT Bursa </w:t>
            </w:r>
            <w:r w:rsidRPr="00682DCD">
              <w:rPr>
                <w:rFonts w:ascii="Times New Roman" w:eastAsia="Times New Roman" w:hAnsi="Times New Roman" w:cs="Times New Roman"/>
                <w:color w:val="000000" w:themeColor="text1"/>
                <w:sz w:val="20"/>
                <w:szCs w:val="20"/>
                <w:lang w:eastAsia="en-ID"/>
              </w:rPr>
              <w:t>Efek</w:t>
            </w:r>
            <w:r w:rsidRPr="00682DCD">
              <w:rPr>
                <w:rFonts w:ascii="Times New Roman" w:eastAsia="Times New Roman" w:hAnsi="Times New Roman" w:cs="Times New Roman"/>
                <w:color w:val="000000" w:themeColor="text1"/>
                <w:sz w:val="20"/>
                <w:szCs w:val="20"/>
                <w:lang w:eastAsia="en-ID"/>
              </w:rPr>
              <w:t xml:space="preserve"> Indonesia: </w:t>
            </w:r>
            <w:r w:rsidRPr="00682DCD">
              <w:rPr>
                <w:rFonts w:ascii="Times New Roman" w:eastAsia="Times New Roman" w:hAnsi="Times New Roman" w:cs="Times New Roman"/>
                <w:b/>
                <w:bCs/>
                <w:color w:val="000000" w:themeColor="text1"/>
                <w:sz w:val="20"/>
                <w:szCs w:val="20"/>
                <w:lang w:eastAsia="en-ID"/>
              </w:rPr>
              <w:t>JATS-NextG</w:t>
            </w:r>
          </w:p>
        </w:tc>
      </w:tr>
    </w:tbl>
    <w:p w:rsidR="00BB1890" w:rsidP="00682DCD" w14:paraId="4C1627E2" w14:textId="4B933B9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Sumber</w:t>
      </w:r>
      <w:r>
        <w:rPr>
          <w:rFonts w:ascii="Times New Roman" w:hAnsi="Times New Roman" w:cs="Times New Roman"/>
          <w:sz w:val="24"/>
          <w:szCs w:val="24"/>
        </w:rPr>
        <w:t xml:space="preserve">: </w:t>
      </w:r>
      <w:hyperlink r:id="rId5" w:history="1">
        <w:r w:rsidRPr="001947A3">
          <w:rPr>
            <w:rStyle w:val="Hyperlink"/>
            <w:rFonts w:ascii="Times New Roman" w:hAnsi="Times New Roman" w:cs="Times New Roman"/>
            <w:sz w:val="24"/>
            <w:szCs w:val="24"/>
          </w:rPr>
          <w:t>www.idx.co.id</w:t>
        </w:r>
      </w:hyperlink>
    </w:p>
    <w:p w:rsidR="00BB1890" w:rsidRPr="00682DCD" w:rsidP="00682DCD" w14:paraId="7B454C34" w14:textId="77777777">
      <w:pPr>
        <w:spacing w:after="0" w:line="480" w:lineRule="auto"/>
        <w:rPr>
          <w:rFonts w:ascii="Times New Roman" w:hAnsi="Times New Roman" w:cs="Times New Roman"/>
          <w:sz w:val="24"/>
          <w:szCs w:val="24"/>
        </w:rPr>
      </w:pPr>
    </w:p>
    <w:p w:rsidR="00BB1890" w:rsidP="00BB1890" w14:paraId="6D51486D" w14:textId="6FC40E45">
      <w:pPr>
        <w:pStyle w:val="ListParagraph"/>
        <w:numPr>
          <w:ilvl w:val="0"/>
          <w:numId w:val="68"/>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Visi dan Misi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w:t>
      </w:r>
    </w:p>
    <w:p w:rsidR="00682DCD" w:rsidP="00682DCD" w14:paraId="5676B337" w14:textId="3ADF0644">
      <w:pPr>
        <w:pStyle w:val="ListParagraph"/>
        <w:numPr>
          <w:ilvl w:val="0"/>
          <w:numId w:val="69"/>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Visi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w:t>
      </w:r>
    </w:p>
    <w:p w:rsidR="006F2318" w:rsidRPr="006F2318" w:rsidP="006F2318" w14:paraId="2E5D773F" w14:textId="104E11CA">
      <w:pPr>
        <w:pStyle w:val="ListParagraph"/>
        <w:spacing w:after="0" w:line="480" w:lineRule="auto"/>
        <w:ind w:left="1506"/>
        <w:jc w:val="both"/>
        <w:rPr>
          <w:rFonts w:ascii="Times New Roman" w:hAnsi="Times New Roman" w:cs="Times New Roman"/>
          <w:sz w:val="24"/>
          <w:szCs w:val="24"/>
        </w:rPr>
      </w:pPr>
      <w:r w:rsidRPr="002B3586">
        <w:rPr>
          <w:rFonts w:ascii="Times New Roman" w:hAnsi="Times New Roman" w:cs="Times New Roman"/>
          <w:sz w:val="24"/>
          <w:szCs w:val="24"/>
        </w:rPr>
        <w:t xml:space="preserve">Menjadi bursa yang </w:t>
      </w:r>
      <w:r w:rsidRPr="002B3586">
        <w:rPr>
          <w:rFonts w:ascii="Times New Roman" w:hAnsi="Times New Roman" w:cs="Times New Roman"/>
          <w:sz w:val="24"/>
          <w:szCs w:val="24"/>
        </w:rPr>
        <w:t>kompetitif</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dengan</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kredibilitas</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tingkat</w:t>
      </w:r>
      <w:r w:rsidRPr="002B3586">
        <w:rPr>
          <w:rFonts w:ascii="Times New Roman" w:hAnsi="Times New Roman" w:cs="Times New Roman"/>
          <w:sz w:val="24"/>
          <w:szCs w:val="24"/>
        </w:rPr>
        <w:t xml:space="preserve"> dunia</w:t>
      </w:r>
      <w:r>
        <w:rPr>
          <w:rFonts w:ascii="Times New Roman" w:hAnsi="Times New Roman" w:cs="Times New Roman"/>
          <w:sz w:val="24"/>
          <w:szCs w:val="24"/>
        </w:rPr>
        <w:t>.</w:t>
      </w:r>
    </w:p>
    <w:p w:rsidR="00682DCD" w:rsidP="006F2318" w14:paraId="37B7077B" w14:textId="5A84EF6C">
      <w:pPr>
        <w:pStyle w:val="ListParagraph"/>
        <w:numPr>
          <w:ilvl w:val="0"/>
          <w:numId w:val="69"/>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Misi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w:t>
      </w:r>
    </w:p>
    <w:p w:rsidR="006F2318" w:rsidRPr="006F2318" w:rsidP="006F2318" w14:paraId="7D14203A" w14:textId="75689EB2">
      <w:pPr>
        <w:pStyle w:val="ListParagraph"/>
        <w:spacing w:after="0" w:line="480" w:lineRule="auto"/>
        <w:ind w:left="1506"/>
        <w:jc w:val="both"/>
        <w:rPr>
          <w:rFonts w:ascii="Times New Roman" w:hAnsi="Times New Roman" w:cs="Times New Roman"/>
          <w:sz w:val="24"/>
          <w:szCs w:val="24"/>
        </w:rPr>
      </w:pPr>
      <w:r w:rsidRPr="002B3586">
        <w:rPr>
          <w:rFonts w:ascii="Times New Roman" w:hAnsi="Times New Roman" w:cs="Times New Roman"/>
          <w:sz w:val="24"/>
          <w:szCs w:val="24"/>
        </w:rPr>
        <w:t>Menciptakan</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infrastruktur</w:t>
      </w:r>
      <w:r w:rsidRPr="002B3586">
        <w:rPr>
          <w:rFonts w:ascii="Times New Roman" w:hAnsi="Times New Roman" w:cs="Times New Roman"/>
          <w:sz w:val="24"/>
          <w:szCs w:val="24"/>
        </w:rPr>
        <w:t xml:space="preserve"> pasar </w:t>
      </w:r>
      <w:r w:rsidRPr="002B3586">
        <w:rPr>
          <w:rFonts w:ascii="Times New Roman" w:hAnsi="Times New Roman" w:cs="Times New Roman"/>
          <w:sz w:val="24"/>
          <w:szCs w:val="24"/>
        </w:rPr>
        <w:t>keuangan</w:t>
      </w:r>
      <w:r w:rsidRPr="002B3586">
        <w:rPr>
          <w:rFonts w:ascii="Times New Roman" w:hAnsi="Times New Roman" w:cs="Times New Roman"/>
          <w:sz w:val="24"/>
          <w:szCs w:val="24"/>
        </w:rPr>
        <w:t xml:space="preserve"> yang </w:t>
      </w:r>
      <w:r w:rsidRPr="002B3586">
        <w:rPr>
          <w:rFonts w:ascii="Times New Roman" w:hAnsi="Times New Roman" w:cs="Times New Roman"/>
          <w:sz w:val="24"/>
          <w:szCs w:val="24"/>
        </w:rPr>
        <w:t>terpercaya</w:t>
      </w:r>
      <w:r w:rsidRPr="002B3586">
        <w:rPr>
          <w:rFonts w:ascii="Times New Roman" w:hAnsi="Times New Roman" w:cs="Times New Roman"/>
          <w:sz w:val="24"/>
          <w:szCs w:val="24"/>
        </w:rPr>
        <w:t xml:space="preserve"> dan </w:t>
      </w:r>
      <w:r w:rsidRPr="002B3586">
        <w:rPr>
          <w:rFonts w:ascii="Times New Roman" w:hAnsi="Times New Roman" w:cs="Times New Roman"/>
          <w:sz w:val="24"/>
          <w:szCs w:val="24"/>
        </w:rPr>
        <w:t>kredibel</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untuk</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mewujudkan</w:t>
      </w:r>
      <w:r w:rsidRPr="002B3586">
        <w:rPr>
          <w:rFonts w:ascii="Times New Roman" w:hAnsi="Times New Roman" w:cs="Times New Roman"/>
          <w:sz w:val="24"/>
          <w:szCs w:val="24"/>
        </w:rPr>
        <w:t xml:space="preserve"> pasar yang </w:t>
      </w:r>
      <w:r w:rsidRPr="002B3586">
        <w:rPr>
          <w:rFonts w:ascii="Times New Roman" w:hAnsi="Times New Roman" w:cs="Times New Roman"/>
          <w:sz w:val="24"/>
          <w:szCs w:val="24"/>
        </w:rPr>
        <w:t>teratur</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wajar</w:t>
      </w:r>
      <w:r w:rsidRPr="002B3586">
        <w:rPr>
          <w:rFonts w:ascii="Times New Roman" w:hAnsi="Times New Roman" w:cs="Times New Roman"/>
          <w:sz w:val="24"/>
          <w:szCs w:val="24"/>
        </w:rPr>
        <w:t xml:space="preserve">, dan </w:t>
      </w:r>
      <w:r w:rsidRPr="002B3586">
        <w:rPr>
          <w:rFonts w:ascii="Times New Roman" w:hAnsi="Times New Roman" w:cs="Times New Roman"/>
          <w:sz w:val="24"/>
          <w:szCs w:val="24"/>
        </w:rPr>
        <w:t>efisien</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serta</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dapat</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diakses</w:t>
      </w:r>
      <w:r w:rsidRPr="002B3586">
        <w:rPr>
          <w:rFonts w:ascii="Times New Roman" w:hAnsi="Times New Roman" w:cs="Times New Roman"/>
          <w:sz w:val="24"/>
          <w:szCs w:val="24"/>
        </w:rPr>
        <w:t xml:space="preserve"> oleh </w:t>
      </w:r>
      <w:r w:rsidRPr="002B3586">
        <w:rPr>
          <w:rFonts w:ascii="Times New Roman" w:hAnsi="Times New Roman" w:cs="Times New Roman"/>
          <w:sz w:val="24"/>
          <w:szCs w:val="24"/>
        </w:rPr>
        <w:t>semua</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pemangku</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kepentingan</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melalui</w:t>
      </w:r>
      <w:r w:rsidRPr="002B3586">
        <w:rPr>
          <w:rFonts w:ascii="Times New Roman" w:hAnsi="Times New Roman" w:cs="Times New Roman"/>
          <w:sz w:val="24"/>
          <w:szCs w:val="24"/>
        </w:rPr>
        <w:t xml:space="preserve"> </w:t>
      </w:r>
      <w:r w:rsidRPr="002B3586">
        <w:rPr>
          <w:rFonts w:ascii="Times New Roman" w:hAnsi="Times New Roman" w:cs="Times New Roman"/>
          <w:sz w:val="24"/>
          <w:szCs w:val="24"/>
        </w:rPr>
        <w:t>produk</w:t>
      </w:r>
      <w:r w:rsidRPr="002B3586">
        <w:rPr>
          <w:rFonts w:ascii="Times New Roman" w:hAnsi="Times New Roman" w:cs="Times New Roman"/>
          <w:sz w:val="24"/>
          <w:szCs w:val="24"/>
        </w:rPr>
        <w:t xml:space="preserve"> dan </w:t>
      </w:r>
      <w:r w:rsidRPr="002B3586">
        <w:rPr>
          <w:rFonts w:ascii="Times New Roman" w:hAnsi="Times New Roman" w:cs="Times New Roman"/>
          <w:sz w:val="24"/>
          <w:szCs w:val="24"/>
        </w:rPr>
        <w:t>layanan</w:t>
      </w:r>
      <w:r w:rsidRPr="002B3586">
        <w:rPr>
          <w:rFonts w:ascii="Times New Roman" w:hAnsi="Times New Roman" w:cs="Times New Roman"/>
          <w:sz w:val="24"/>
          <w:szCs w:val="24"/>
        </w:rPr>
        <w:t xml:space="preserve"> yang </w:t>
      </w:r>
      <w:r w:rsidRPr="002B3586">
        <w:rPr>
          <w:rFonts w:ascii="Times New Roman" w:hAnsi="Times New Roman" w:cs="Times New Roman"/>
          <w:sz w:val="24"/>
          <w:szCs w:val="24"/>
        </w:rPr>
        <w:t>inovatif</w:t>
      </w:r>
      <w:r>
        <w:rPr>
          <w:rFonts w:ascii="Times New Roman" w:hAnsi="Times New Roman" w:cs="Times New Roman"/>
          <w:sz w:val="24"/>
          <w:szCs w:val="24"/>
        </w:rPr>
        <w:t>.</w:t>
      </w:r>
    </w:p>
    <w:p w:rsidR="006F2318" w:rsidP="006F2318" w14:paraId="2834B40E" w14:textId="056D20C8">
      <w:pPr>
        <w:pStyle w:val="ListParagraph"/>
        <w:numPr>
          <w:ilvl w:val="0"/>
          <w:numId w:val="68"/>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Organisasi</w:t>
      </w:r>
      <w:r>
        <w:rPr>
          <w:rFonts w:ascii="Times New Roman" w:hAnsi="Times New Roman" w:cs="Times New Roman"/>
          <w:b/>
          <w:bCs/>
          <w:sz w:val="24"/>
          <w:szCs w:val="24"/>
        </w:rPr>
        <w:t xml:space="preserve"> di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w:t>
      </w:r>
    </w:p>
    <w:p w:rsidR="006F2318" w:rsidP="006F2318" w14:paraId="7FC2248A" w14:textId="6EBBDFD4">
      <w:pPr>
        <w:pStyle w:val="ListParagraph"/>
        <w:numPr>
          <w:ilvl w:val="0"/>
          <w:numId w:val="7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Struktur</w:t>
      </w:r>
      <w:r>
        <w:rPr>
          <w:rFonts w:ascii="Times New Roman" w:hAnsi="Times New Roman" w:cs="Times New Roman"/>
          <w:b/>
          <w:bCs/>
          <w:sz w:val="24"/>
          <w:szCs w:val="24"/>
        </w:rPr>
        <w:t xml:space="preserve"> Pasar Modal Indonesia</w:t>
      </w:r>
    </w:p>
    <w:p w:rsidR="006F2318" w:rsidP="003345F6" w14:paraId="32E830C8" w14:textId="10A43623">
      <w:pPr>
        <w:pStyle w:val="ListParagraph"/>
        <w:spacing w:after="0" w:line="240" w:lineRule="auto"/>
        <w:ind w:left="1506" w:hanging="1648"/>
        <w:jc w:val="center"/>
        <w:rPr>
          <w:rFonts w:ascii="Times New Roman" w:hAnsi="Times New Roman" w:cs="Times New Roman"/>
          <w:b/>
          <w:bCs/>
          <w:sz w:val="24"/>
          <w:szCs w:val="24"/>
        </w:rPr>
      </w:pPr>
      <w:r>
        <w:rPr>
          <w:noProof/>
        </w:rPr>
        <w:drawing>
          <wp:inline distT="0" distB="0" distL="0" distR="0">
            <wp:extent cx="6438900" cy="3772391"/>
            <wp:effectExtent l="0" t="0" r="0" b="0"/>
            <wp:docPr id="1107022734" name="Picture 4" descr="Struktur Pasar M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022734" name="Picture 1" descr="Struktur Pasar Moda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1773" cy="3791651"/>
                    </a:xfrm>
                    <a:prstGeom prst="rect">
                      <a:avLst/>
                    </a:prstGeom>
                    <a:noFill/>
                    <a:ln>
                      <a:noFill/>
                    </a:ln>
                  </pic:spPr>
                </pic:pic>
              </a:graphicData>
            </a:graphic>
          </wp:inline>
        </w:drawing>
      </w:r>
    </w:p>
    <w:p w:rsidR="003345F6" w:rsidP="003345F6" w14:paraId="012F051E" w14:textId="080901B6">
      <w:pPr>
        <w:pStyle w:val="ListParagraph"/>
        <w:spacing w:after="0" w:line="240" w:lineRule="auto"/>
        <w:ind w:left="1506"/>
        <w:jc w:val="center"/>
        <w:rPr>
          <w:rFonts w:ascii="Times New Roman" w:hAnsi="Times New Roman" w:cs="Times New Roman"/>
          <w:b/>
          <w:bCs/>
          <w:sz w:val="24"/>
          <w:szCs w:val="24"/>
        </w:rPr>
      </w:pPr>
      <w:r>
        <w:rPr>
          <w:rFonts w:ascii="Times New Roman" w:hAnsi="Times New Roman" w:cs="Times New Roman"/>
          <w:b/>
          <w:bCs/>
          <w:sz w:val="24"/>
          <w:szCs w:val="24"/>
        </w:rPr>
        <w:t>Gambar 4</w:t>
      </w:r>
    </w:p>
    <w:p w:rsidR="003345F6" w:rsidP="003345F6" w14:paraId="1B625769" w14:textId="26A579CB">
      <w:pPr>
        <w:pStyle w:val="ListParagraph"/>
        <w:spacing w:after="0" w:line="240" w:lineRule="auto"/>
        <w:ind w:left="1506"/>
        <w:jc w:val="center"/>
        <w:rPr>
          <w:rFonts w:ascii="Times New Roman" w:hAnsi="Times New Roman" w:cs="Times New Roman"/>
          <w:b/>
          <w:bCs/>
          <w:sz w:val="24"/>
          <w:szCs w:val="24"/>
        </w:rPr>
      </w:pPr>
      <w:r>
        <w:rPr>
          <w:rFonts w:ascii="Times New Roman" w:hAnsi="Times New Roman" w:cs="Times New Roman"/>
          <w:b/>
          <w:bCs/>
          <w:sz w:val="24"/>
          <w:szCs w:val="24"/>
        </w:rPr>
        <w:t>Struktur</w:t>
      </w:r>
      <w:r>
        <w:rPr>
          <w:rFonts w:ascii="Times New Roman" w:hAnsi="Times New Roman" w:cs="Times New Roman"/>
          <w:b/>
          <w:bCs/>
          <w:sz w:val="24"/>
          <w:szCs w:val="24"/>
        </w:rPr>
        <w:t xml:space="preserve"> Pasar Modal Indonesia</w:t>
      </w:r>
    </w:p>
    <w:p w:rsidR="003345F6" w:rsidP="003345F6" w14:paraId="2DDC0F5E" w14:textId="77777777">
      <w:pPr>
        <w:pStyle w:val="ListParagraph"/>
        <w:spacing w:after="0" w:line="240" w:lineRule="auto"/>
        <w:ind w:left="1506"/>
        <w:jc w:val="center"/>
        <w:rPr>
          <w:rFonts w:ascii="Times New Roman" w:hAnsi="Times New Roman" w:cs="Times New Roman"/>
          <w:b/>
          <w:bCs/>
          <w:sz w:val="24"/>
          <w:szCs w:val="24"/>
        </w:rPr>
      </w:pPr>
    </w:p>
    <w:p w:rsidR="003345F6" w:rsidP="003345F6" w14:paraId="1925E591" w14:textId="3187A195">
      <w:pPr>
        <w:pStyle w:val="ListParagraph"/>
        <w:spacing w:after="0" w:line="240" w:lineRule="auto"/>
        <w:ind w:left="1506"/>
        <w:jc w:val="center"/>
        <w:rPr>
          <w:rFonts w:ascii="Times New Roman" w:hAnsi="Times New Roman" w:cs="Times New Roman"/>
          <w:sz w:val="24"/>
          <w:szCs w:val="24"/>
        </w:rPr>
      </w:pPr>
      <w:r w:rsidRPr="003345F6">
        <w:rPr>
          <w:rFonts w:ascii="Times New Roman" w:hAnsi="Times New Roman" w:cs="Times New Roman"/>
          <w:sz w:val="24"/>
          <w:szCs w:val="24"/>
        </w:rPr>
        <w:t>Sumber</w:t>
      </w:r>
      <w:r w:rsidRPr="003345F6">
        <w:rPr>
          <w:rFonts w:ascii="Times New Roman" w:hAnsi="Times New Roman" w:cs="Times New Roman"/>
          <w:sz w:val="24"/>
          <w:szCs w:val="24"/>
        </w:rPr>
        <w:t xml:space="preserve">: </w:t>
      </w:r>
      <w:hyperlink r:id="rId5" w:history="1">
        <w:r w:rsidRPr="001947A3">
          <w:rPr>
            <w:rStyle w:val="Hyperlink"/>
            <w:rFonts w:ascii="Times New Roman" w:hAnsi="Times New Roman" w:cs="Times New Roman"/>
            <w:sz w:val="24"/>
            <w:szCs w:val="24"/>
          </w:rPr>
          <w:t>www.idx.co.id</w:t>
        </w:r>
      </w:hyperlink>
    </w:p>
    <w:p w:rsidR="003345F6" w:rsidRPr="005B331C" w:rsidP="005B331C" w14:paraId="138CE932" w14:textId="77777777">
      <w:pPr>
        <w:spacing w:after="0" w:line="240" w:lineRule="auto"/>
        <w:rPr>
          <w:rFonts w:ascii="Times New Roman" w:hAnsi="Times New Roman" w:cs="Times New Roman"/>
          <w:sz w:val="24"/>
          <w:szCs w:val="24"/>
        </w:rPr>
      </w:pPr>
    </w:p>
    <w:p w:rsidR="006F2318" w:rsidP="006F2318" w14:paraId="25C47DC8" w14:textId="05B957FB">
      <w:pPr>
        <w:pStyle w:val="ListParagraph"/>
        <w:numPr>
          <w:ilvl w:val="0"/>
          <w:numId w:val="71"/>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Struktur</w:t>
      </w:r>
      <w:r>
        <w:rPr>
          <w:rFonts w:ascii="Times New Roman" w:hAnsi="Times New Roman" w:cs="Times New Roman"/>
          <w:b/>
          <w:bCs/>
          <w:sz w:val="24"/>
          <w:szCs w:val="24"/>
        </w:rPr>
        <w:t xml:space="preserve"> </w:t>
      </w:r>
      <w:r>
        <w:rPr>
          <w:rFonts w:ascii="Times New Roman" w:hAnsi="Times New Roman" w:cs="Times New Roman"/>
          <w:b/>
          <w:bCs/>
          <w:sz w:val="24"/>
          <w:szCs w:val="24"/>
        </w:rPr>
        <w:t>Organisasi</w:t>
      </w:r>
      <w:r>
        <w:rPr>
          <w:rFonts w:ascii="Times New Roman" w:hAnsi="Times New Roman" w:cs="Times New Roman"/>
          <w:b/>
          <w:bCs/>
          <w:sz w:val="24"/>
          <w:szCs w:val="24"/>
        </w:rPr>
        <w:t xml:space="preserve"> Bursa </w:t>
      </w:r>
      <w:r>
        <w:rPr>
          <w:rFonts w:ascii="Times New Roman" w:hAnsi="Times New Roman" w:cs="Times New Roman"/>
          <w:b/>
          <w:bCs/>
          <w:sz w:val="24"/>
          <w:szCs w:val="24"/>
        </w:rPr>
        <w:t>Efek</w:t>
      </w:r>
      <w:r>
        <w:rPr>
          <w:rFonts w:ascii="Times New Roman" w:hAnsi="Times New Roman" w:cs="Times New Roman"/>
          <w:b/>
          <w:bCs/>
          <w:sz w:val="24"/>
          <w:szCs w:val="24"/>
        </w:rPr>
        <w:t xml:space="preserve"> Indonesia</w:t>
      </w:r>
    </w:p>
    <w:p w:rsidR="003345F6" w:rsidP="003345F6" w14:paraId="5F73A389" w14:textId="34A622A2">
      <w:pPr>
        <w:pStyle w:val="ListParagraph"/>
        <w:spacing w:after="0" w:line="480" w:lineRule="auto"/>
        <w:ind w:left="1506" w:hanging="88"/>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extent cx="4565162" cy="3063240"/>
            <wp:effectExtent l="0" t="0" r="6985" b="3810"/>
            <wp:docPr id="937009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09267" name="Picture 937009267"/>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65162" cy="3063240"/>
                    </a:xfrm>
                    <a:prstGeom prst="rect">
                      <a:avLst/>
                    </a:prstGeom>
                  </pic:spPr>
                </pic:pic>
              </a:graphicData>
            </a:graphic>
          </wp:inline>
        </w:drawing>
      </w:r>
    </w:p>
    <w:p w:rsidR="003345F6" w:rsidRPr="003345F6" w:rsidP="003345F6" w14:paraId="7E22492E" w14:textId="0BF455EC">
      <w:pPr>
        <w:pStyle w:val="ListParagraph"/>
        <w:spacing w:after="0" w:line="240" w:lineRule="auto"/>
        <w:ind w:left="1506"/>
        <w:jc w:val="center"/>
        <w:rPr>
          <w:rFonts w:ascii="Times New Roman" w:hAnsi="Times New Roman" w:cs="Times New Roman"/>
          <w:b/>
          <w:bCs/>
          <w:sz w:val="24"/>
          <w:szCs w:val="24"/>
        </w:rPr>
      </w:pPr>
      <w:r w:rsidRPr="003345F6">
        <w:rPr>
          <w:rFonts w:ascii="Times New Roman" w:hAnsi="Times New Roman" w:cs="Times New Roman"/>
          <w:b/>
          <w:bCs/>
          <w:sz w:val="24"/>
          <w:szCs w:val="24"/>
        </w:rPr>
        <w:t>Gambar 5</w:t>
      </w:r>
    </w:p>
    <w:p w:rsidR="003345F6" w:rsidP="003345F6" w14:paraId="50524026" w14:textId="5F5F2DF5">
      <w:pPr>
        <w:pStyle w:val="ListParagraph"/>
        <w:spacing w:after="0" w:line="240" w:lineRule="auto"/>
        <w:ind w:left="1506"/>
        <w:jc w:val="center"/>
        <w:rPr>
          <w:rFonts w:ascii="Times New Roman" w:hAnsi="Times New Roman" w:cs="Times New Roman"/>
          <w:b/>
          <w:bCs/>
          <w:sz w:val="24"/>
          <w:szCs w:val="24"/>
        </w:rPr>
      </w:pPr>
      <w:r w:rsidRPr="003345F6">
        <w:rPr>
          <w:rFonts w:ascii="Times New Roman" w:hAnsi="Times New Roman" w:cs="Times New Roman"/>
          <w:b/>
          <w:bCs/>
          <w:sz w:val="24"/>
          <w:szCs w:val="24"/>
        </w:rPr>
        <w:t>Struktur</w:t>
      </w:r>
      <w:r w:rsidRPr="003345F6">
        <w:rPr>
          <w:rFonts w:ascii="Times New Roman" w:hAnsi="Times New Roman" w:cs="Times New Roman"/>
          <w:b/>
          <w:bCs/>
          <w:sz w:val="24"/>
          <w:szCs w:val="24"/>
        </w:rPr>
        <w:t xml:space="preserve"> </w:t>
      </w:r>
      <w:r w:rsidRPr="003345F6">
        <w:rPr>
          <w:rFonts w:ascii="Times New Roman" w:hAnsi="Times New Roman" w:cs="Times New Roman"/>
          <w:b/>
          <w:bCs/>
          <w:sz w:val="24"/>
          <w:szCs w:val="24"/>
        </w:rPr>
        <w:t>Organisasi</w:t>
      </w:r>
      <w:r w:rsidRPr="003345F6">
        <w:rPr>
          <w:rFonts w:ascii="Times New Roman" w:hAnsi="Times New Roman" w:cs="Times New Roman"/>
          <w:b/>
          <w:bCs/>
          <w:sz w:val="24"/>
          <w:szCs w:val="24"/>
        </w:rPr>
        <w:t xml:space="preserve"> Bursa </w:t>
      </w:r>
      <w:r w:rsidRPr="003345F6">
        <w:rPr>
          <w:rFonts w:ascii="Times New Roman" w:hAnsi="Times New Roman" w:cs="Times New Roman"/>
          <w:b/>
          <w:bCs/>
          <w:sz w:val="24"/>
          <w:szCs w:val="24"/>
        </w:rPr>
        <w:t>Efek</w:t>
      </w:r>
      <w:r w:rsidRPr="003345F6">
        <w:rPr>
          <w:rFonts w:ascii="Times New Roman" w:hAnsi="Times New Roman" w:cs="Times New Roman"/>
          <w:b/>
          <w:bCs/>
          <w:sz w:val="24"/>
          <w:szCs w:val="24"/>
        </w:rPr>
        <w:t xml:space="preserve"> Indonesia</w:t>
      </w:r>
    </w:p>
    <w:p w:rsidR="003345F6" w:rsidP="003345F6" w14:paraId="6F2D5699" w14:textId="77777777">
      <w:pPr>
        <w:pStyle w:val="ListParagraph"/>
        <w:spacing w:after="0" w:line="240" w:lineRule="auto"/>
        <w:ind w:left="1506"/>
        <w:jc w:val="center"/>
        <w:rPr>
          <w:rFonts w:ascii="Times New Roman" w:hAnsi="Times New Roman" w:cs="Times New Roman"/>
          <w:b/>
          <w:bCs/>
          <w:sz w:val="24"/>
          <w:szCs w:val="24"/>
        </w:rPr>
      </w:pPr>
    </w:p>
    <w:p w:rsidR="003345F6" w:rsidRPr="003345F6" w:rsidP="003345F6" w14:paraId="36D90E15" w14:textId="6DAF305C">
      <w:pPr>
        <w:pStyle w:val="ListParagraph"/>
        <w:spacing w:after="0" w:line="240" w:lineRule="auto"/>
        <w:ind w:left="1506"/>
        <w:jc w:val="center"/>
        <w:rPr>
          <w:rFonts w:ascii="Times New Roman" w:hAnsi="Times New Roman" w:cs="Times New Roman"/>
          <w:sz w:val="24"/>
          <w:szCs w:val="24"/>
        </w:rPr>
      </w:pPr>
      <w:r w:rsidRPr="003345F6">
        <w:rPr>
          <w:rFonts w:ascii="Times New Roman" w:hAnsi="Times New Roman" w:cs="Times New Roman"/>
          <w:sz w:val="24"/>
          <w:szCs w:val="24"/>
        </w:rPr>
        <w:t>Sumber</w:t>
      </w:r>
      <w:r w:rsidRPr="003345F6">
        <w:rPr>
          <w:rFonts w:ascii="Times New Roman" w:hAnsi="Times New Roman" w:cs="Times New Roman"/>
          <w:sz w:val="24"/>
          <w:szCs w:val="24"/>
        </w:rPr>
        <w:t xml:space="preserve">: </w:t>
      </w:r>
      <w:hyperlink r:id="rId5" w:history="1">
        <w:r w:rsidRPr="003345F6">
          <w:rPr>
            <w:rStyle w:val="Hyperlink"/>
            <w:rFonts w:ascii="Times New Roman" w:hAnsi="Times New Roman" w:cs="Times New Roman"/>
            <w:sz w:val="24"/>
            <w:szCs w:val="24"/>
          </w:rPr>
          <w:t>www.idx.co.id</w:t>
        </w:r>
      </w:hyperlink>
    </w:p>
    <w:p w:rsidR="003345F6" w:rsidRPr="003345F6" w:rsidP="003345F6" w14:paraId="3F623F1C" w14:textId="77777777">
      <w:pPr>
        <w:pStyle w:val="ListParagraph"/>
        <w:spacing w:after="0" w:line="240" w:lineRule="auto"/>
        <w:ind w:left="1506"/>
        <w:jc w:val="center"/>
        <w:rPr>
          <w:rFonts w:ascii="Times New Roman" w:hAnsi="Times New Roman" w:cs="Times New Roman"/>
          <w:b/>
          <w:bCs/>
          <w:sz w:val="24"/>
          <w:szCs w:val="24"/>
        </w:rPr>
      </w:pPr>
    </w:p>
    <w:p w:rsidR="00AA0820" w:rsidP="00C22428" w14:paraId="7E35C183" w14:textId="343FDD80">
      <w:pPr>
        <w:pStyle w:val="ListParagraph"/>
        <w:numPr>
          <w:ilvl w:val="0"/>
          <w:numId w:val="49"/>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Gambaran Umum Perusahaan Sampel</w:t>
      </w:r>
    </w:p>
    <w:p w:rsidR="00C22428" w:rsidP="00C22428" w14:paraId="78270D3B" w14:textId="77777777">
      <w:pPr>
        <w:pStyle w:val="ListParagraph"/>
        <w:spacing w:after="0" w:line="240" w:lineRule="auto"/>
        <w:ind w:left="786"/>
        <w:rPr>
          <w:rFonts w:ascii="Times New Roman" w:hAnsi="Times New Roman" w:cs="Times New Roman"/>
          <w:b/>
          <w:bCs/>
          <w:sz w:val="24"/>
          <w:szCs w:val="24"/>
        </w:rPr>
      </w:pPr>
    </w:p>
    <w:p w:rsidR="00B23032" w:rsidP="00B23032" w14:paraId="1125AA74" w14:textId="356C4BEA">
      <w:pPr>
        <w:pStyle w:val="ListParagraph"/>
        <w:numPr>
          <w:ilvl w:val="0"/>
          <w:numId w:val="53"/>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PT </w:t>
      </w:r>
      <w:r>
        <w:rPr>
          <w:rFonts w:ascii="Times New Roman" w:hAnsi="Times New Roman" w:cs="Times New Roman"/>
          <w:b/>
          <w:bCs/>
          <w:sz w:val="24"/>
          <w:szCs w:val="24"/>
        </w:rPr>
        <w:t xml:space="preserve">Bank Central Asia </w:t>
      </w:r>
      <w:r>
        <w:rPr>
          <w:rFonts w:ascii="Times New Roman" w:hAnsi="Times New Roman" w:cs="Times New Roman"/>
          <w:b/>
          <w:bCs/>
          <w:sz w:val="24"/>
          <w:szCs w:val="24"/>
        </w:rPr>
        <w:t>Tbk</w:t>
      </w:r>
      <w:r>
        <w:rPr>
          <w:rFonts w:ascii="Times New Roman" w:hAnsi="Times New Roman" w:cs="Times New Roman"/>
          <w:b/>
          <w:bCs/>
          <w:sz w:val="24"/>
          <w:szCs w:val="24"/>
        </w:rPr>
        <w:t>.</w:t>
      </w:r>
    </w:p>
    <w:p w:rsidR="00B23032" w:rsidP="00241602" w14:paraId="7971B701" w14:textId="2E58117E">
      <w:pPr>
        <w:pStyle w:val="ListParagraph"/>
        <w:spacing w:after="0" w:line="480" w:lineRule="auto"/>
        <w:ind w:left="1146" w:firstLine="294"/>
        <w:jc w:val="both"/>
        <w:rPr>
          <w:rFonts w:ascii="Times New Roman" w:hAnsi="Times New Roman" w:cs="Times New Roman"/>
          <w:sz w:val="24"/>
          <w:szCs w:val="24"/>
        </w:rPr>
      </w:pPr>
      <w:r w:rsidRPr="00241602">
        <w:rPr>
          <w:rFonts w:ascii="Times New Roman" w:hAnsi="Times New Roman" w:cs="Times New Roman"/>
          <w:sz w:val="24"/>
          <w:szCs w:val="24"/>
        </w:rPr>
        <w:t xml:space="preserve">PT Bank Central Asia </w:t>
      </w:r>
      <w:r w:rsidRPr="00241602">
        <w:rPr>
          <w:rFonts w:ascii="Times New Roman" w:hAnsi="Times New Roman" w:cs="Times New Roman"/>
          <w:sz w:val="24"/>
          <w:szCs w:val="24"/>
        </w:rPr>
        <w:t>Tbk</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adalah</w:t>
      </w:r>
      <w:r w:rsidRPr="00241602">
        <w:rPr>
          <w:rFonts w:ascii="Times New Roman" w:hAnsi="Times New Roman" w:cs="Times New Roman"/>
          <w:sz w:val="24"/>
          <w:szCs w:val="24"/>
        </w:rPr>
        <w:t xml:space="preserve"> bank </w:t>
      </w:r>
      <w:r w:rsidRPr="00241602">
        <w:rPr>
          <w:rFonts w:ascii="Times New Roman" w:hAnsi="Times New Roman" w:cs="Times New Roman"/>
          <w:sz w:val="24"/>
          <w:szCs w:val="24"/>
        </w:rPr>
        <w:t>swasta</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terbesar</w:t>
      </w:r>
      <w:r w:rsidRPr="00241602">
        <w:rPr>
          <w:rFonts w:ascii="Times New Roman" w:hAnsi="Times New Roman" w:cs="Times New Roman"/>
          <w:sz w:val="24"/>
          <w:szCs w:val="24"/>
        </w:rPr>
        <w:t xml:space="preserve"> di Indonesia.</w:t>
      </w:r>
      <w:r>
        <w:rPr>
          <w:rFonts w:ascii="Times New Roman" w:hAnsi="Times New Roman" w:cs="Times New Roman"/>
          <w:sz w:val="24"/>
          <w:szCs w:val="24"/>
        </w:rPr>
        <w:t xml:space="preserve"> </w:t>
      </w:r>
      <w:r w:rsidRPr="00241602">
        <w:rPr>
          <w:rFonts w:ascii="Times New Roman" w:hAnsi="Times New Roman" w:cs="Times New Roman"/>
          <w:sz w:val="24"/>
          <w:szCs w:val="24"/>
        </w:rPr>
        <w:t xml:space="preserve">PT Bank Central Asia </w:t>
      </w:r>
      <w:r w:rsidRPr="00241602">
        <w:rPr>
          <w:rFonts w:ascii="Times New Roman" w:hAnsi="Times New Roman" w:cs="Times New Roman"/>
          <w:sz w:val="24"/>
          <w:szCs w:val="24"/>
        </w:rPr>
        <w:t>Tbk</w:t>
      </w:r>
      <w:r w:rsidRPr="00241602">
        <w:rPr>
          <w:rFonts w:ascii="Times New Roman" w:hAnsi="Times New Roman" w:cs="Times New Roman"/>
          <w:sz w:val="24"/>
          <w:szCs w:val="24"/>
        </w:rPr>
        <w:t>.</w:t>
      </w:r>
      <w:r>
        <w:rPr>
          <w:rFonts w:ascii="Times New Roman" w:hAnsi="Times New Roman" w:cs="Times New Roman"/>
          <w:sz w:val="24"/>
          <w:szCs w:val="24"/>
        </w:rPr>
        <w:t xml:space="preserve"> </w:t>
      </w:r>
      <w:r w:rsidRPr="00241602">
        <w:rPr>
          <w:rFonts w:ascii="Times New Roman" w:hAnsi="Times New Roman" w:cs="Times New Roman"/>
          <w:sz w:val="24"/>
          <w:szCs w:val="24"/>
        </w:rPr>
        <w:t>didirikan</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sejak</w:t>
      </w:r>
      <w:r w:rsidRPr="00241602">
        <w:rPr>
          <w:rFonts w:ascii="Times New Roman" w:hAnsi="Times New Roman" w:cs="Times New Roman"/>
          <w:sz w:val="24"/>
          <w:szCs w:val="24"/>
        </w:rPr>
        <w:t xml:space="preserve"> 10 Oktober 1955 yang </w:t>
      </w:r>
      <w:r w:rsidRPr="00241602">
        <w:rPr>
          <w:rFonts w:ascii="Times New Roman" w:hAnsi="Times New Roman" w:cs="Times New Roman"/>
          <w:sz w:val="24"/>
          <w:szCs w:val="24"/>
        </w:rPr>
        <w:t>bermula</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dari</w:t>
      </w:r>
      <w:r w:rsidRPr="00241602">
        <w:rPr>
          <w:rFonts w:ascii="Times New Roman" w:hAnsi="Times New Roman" w:cs="Times New Roman"/>
          <w:sz w:val="24"/>
          <w:szCs w:val="24"/>
        </w:rPr>
        <w:t xml:space="preserve"> </w:t>
      </w:r>
      <w:r w:rsidRPr="0028685A">
        <w:rPr>
          <w:rFonts w:ascii="Times New Roman" w:hAnsi="Times New Roman" w:cs="Times New Roman"/>
          <w:i/>
          <w:iCs/>
          <w:sz w:val="24"/>
          <w:szCs w:val="24"/>
        </w:rPr>
        <w:t xml:space="preserve">NV Perseroan </w:t>
      </w:r>
      <w:r w:rsidRPr="0028685A">
        <w:rPr>
          <w:rFonts w:ascii="Times New Roman" w:hAnsi="Times New Roman" w:cs="Times New Roman"/>
          <w:i/>
          <w:iCs/>
          <w:sz w:val="24"/>
          <w:szCs w:val="24"/>
        </w:rPr>
        <w:t>Dagang</w:t>
      </w:r>
      <w:r w:rsidRPr="0028685A">
        <w:rPr>
          <w:rFonts w:ascii="Times New Roman" w:hAnsi="Times New Roman" w:cs="Times New Roman"/>
          <w:i/>
          <w:iCs/>
          <w:sz w:val="24"/>
          <w:szCs w:val="24"/>
        </w:rPr>
        <w:t xml:space="preserve"> Dan </w:t>
      </w:r>
      <w:r w:rsidRPr="0028685A">
        <w:rPr>
          <w:rFonts w:ascii="Times New Roman" w:hAnsi="Times New Roman" w:cs="Times New Roman"/>
          <w:i/>
          <w:iCs/>
          <w:sz w:val="24"/>
          <w:szCs w:val="24"/>
        </w:rPr>
        <w:t>Industrie</w:t>
      </w:r>
      <w:r w:rsidRPr="0028685A">
        <w:rPr>
          <w:rFonts w:ascii="Times New Roman" w:hAnsi="Times New Roman" w:cs="Times New Roman"/>
          <w:i/>
          <w:iCs/>
          <w:sz w:val="24"/>
          <w:szCs w:val="24"/>
        </w:rPr>
        <w:t xml:space="preserve"> Semarang Knitting Factory</w:t>
      </w:r>
      <w:r w:rsidRPr="00241602">
        <w:rPr>
          <w:rFonts w:ascii="Times New Roman" w:hAnsi="Times New Roman" w:cs="Times New Roman"/>
          <w:sz w:val="24"/>
          <w:szCs w:val="24"/>
        </w:rPr>
        <w:t xml:space="preserve">. BCA </w:t>
      </w:r>
      <w:r w:rsidRPr="00241602">
        <w:rPr>
          <w:rFonts w:ascii="Times New Roman" w:hAnsi="Times New Roman" w:cs="Times New Roman"/>
          <w:sz w:val="24"/>
          <w:szCs w:val="24"/>
        </w:rPr>
        <w:t>mulai</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beroperasi</w:t>
      </w:r>
      <w:r w:rsidRPr="00241602">
        <w:rPr>
          <w:rFonts w:ascii="Times New Roman" w:hAnsi="Times New Roman" w:cs="Times New Roman"/>
          <w:sz w:val="24"/>
          <w:szCs w:val="24"/>
        </w:rPr>
        <w:t xml:space="preserve"> pada 21 </w:t>
      </w:r>
      <w:r w:rsidRPr="00241602">
        <w:rPr>
          <w:rFonts w:ascii="Times New Roman" w:hAnsi="Times New Roman" w:cs="Times New Roman"/>
          <w:sz w:val="24"/>
          <w:szCs w:val="24"/>
        </w:rPr>
        <w:t>Februari</w:t>
      </w:r>
      <w:r w:rsidRPr="00241602">
        <w:rPr>
          <w:rFonts w:ascii="Times New Roman" w:hAnsi="Times New Roman" w:cs="Times New Roman"/>
          <w:sz w:val="24"/>
          <w:szCs w:val="24"/>
        </w:rPr>
        <w:t xml:space="preserve"> 1957 dan </w:t>
      </w:r>
      <w:r w:rsidRPr="00241602">
        <w:rPr>
          <w:rFonts w:ascii="Times New Roman" w:hAnsi="Times New Roman" w:cs="Times New Roman"/>
          <w:sz w:val="24"/>
          <w:szCs w:val="24"/>
        </w:rPr>
        <w:t>berkantor</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pusat</w:t>
      </w:r>
      <w:r w:rsidRPr="00241602">
        <w:rPr>
          <w:rFonts w:ascii="Times New Roman" w:hAnsi="Times New Roman" w:cs="Times New Roman"/>
          <w:sz w:val="24"/>
          <w:szCs w:val="24"/>
        </w:rPr>
        <w:t xml:space="preserve"> di Jakarta. </w:t>
      </w:r>
      <w:r w:rsidRPr="00241602">
        <w:rPr>
          <w:rFonts w:ascii="Times New Roman" w:hAnsi="Times New Roman" w:cs="Times New Roman"/>
          <w:sz w:val="24"/>
          <w:szCs w:val="24"/>
        </w:rPr>
        <w:t>Efektif</w:t>
      </w:r>
      <w:r w:rsidRPr="00241602">
        <w:rPr>
          <w:rFonts w:ascii="Times New Roman" w:hAnsi="Times New Roman" w:cs="Times New Roman"/>
          <w:sz w:val="24"/>
          <w:szCs w:val="24"/>
        </w:rPr>
        <w:t xml:space="preserve"> per 2 September 1975, </w:t>
      </w:r>
      <w:r w:rsidRPr="00241602">
        <w:rPr>
          <w:rFonts w:ascii="Times New Roman" w:hAnsi="Times New Roman" w:cs="Times New Roman"/>
          <w:sz w:val="24"/>
          <w:szCs w:val="24"/>
        </w:rPr>
        <w:t>nama</w:t>
      </w:r>
      <w:r w:rsidRPr="00241602">
        <w:rPr>
          <w:rFonts w:ascii="Times New Roman" w:hAnsi="Times New Roman" w:cs="Times New Roman"/>
          <w:sz w:val="24"/>
          <w:szCs w:val="24"/>
        </w:rPr>
        <w:t xml:space="preserve"> Bank </w:t>
      </w:r>
      <w:r w:rsidRPr="00241602">
        <w:rPr>
          <w:rFonts w:ascii="Times New Roman" w:hAnsi="Times New Roman" w:cs="Times New Roman"/>
          <w:sz w:val="24"/>
          <w:szCs w:val="24"/>
        </w:rPr>
        <w:t>diubah</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menjadi</w:t>
      </w:r>
      <w:r w:rsidRPr="00241602">
        <w:rPr>
          <w:rFonts w:ascii="Times New Roman" w:hAnsi="Times New Roman" w:cs="Times New Roman"/>
          <w:sz w:val="24"/>
          <w:szCs w:val="24"/>
        </w:rPr>
        <w:t xml:space="preserve"> PT Bank Central Asia (BCA). </w:t>
      </w:r>
      <w:r w:rsidRPr="00241602">
        <w:rPr>
          <w:rFonts w:ascii="Times New Roman" w:hAnsi="Times New Roman" w:cs="Times New Roman"/>
          <w:sz w:val="24"/>
          <w:szCs w:val="24"/>
        </w:rPr>
        <w:t>Sejalan</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dengan</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hal</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tersebut</w:t>
      </w:r>
      <w:r w:rsidRPr="00241602">
        <w:rPr>
          <w:rFonts w:ascii="Times New Roman" w:hAnsi="Times New Roman" w:cs="Times New Roman"/>
          <w:sz w:val="24"/>
          <w:szCs w:val="24"/>
        </w:rPr>
        <w:t xml:space="preserve"> BCA </w:t>
      </w:r>
      <w:r w:rsidRPr="00241602">
        <w:rPr>
          <w:rFonts w:ascii="Times New Roman" w:hAnsi="Times New Roman" w:cs="Times New Roman"/>
          <w:sz w:val="24"/>
          <w:szCs w:val="24"/>
        </w:rPr>
        <w:t>memperkuat</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jaringan</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layanan</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cabang</w:t>
      </w:r>
      <w:r w:rsidRPr="00241602">
        <w:rPr>
          <w:rFonts w:ascii="Times New Roman" w:hAnsi="Times New Roman" w:cs="Times New Roman"/>
          <w:sz w:val="24"/>
          <w:szCs w:val="24"/>
        </w:rPr>
        <w:t xml:space="preserve">. Lalu pada 1977 BCA </w:t>
      </w:r>
      <w:r w:rsidRPr="00241602">
        <w:rPr>
          <w:rFonts w:ascii="Times New Roman" w:hAnsi="Times New Roman" w:cs="Times New Roman"/>
          <w:sz w:val="24"/>
          <w:szCs w:val="24"/>
        </w:rPr>
        <w:t>berkembang</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menjadi</w:t>
      </w:r>
      <w:r w:rsidRPr="00241602">
        <w:rPr>
          <w:rFonts w:ascii="Times New Roman" w:hAnsi="Times New Roman" w:cs="Times New Roman"/>
          <w:sz w:val="24"/>
          <w:szCs w:val="24"/>
        </w:rPr>
        <w:t xml:space="preserve"> Bank Devisa.</w:t>
      </w:r>
      <w:r>
        <w:rPr>
          <w:rFonts w:ascii="Times New Roman" w:hAnsi="Times New Roman" w:cs="Times New Roman"/>
          <w:sz w:val="24"/>
          <w:szCs w:val="24"/>
        </w:rPr>
        <w:t xml:space="preserve"> </w:t>
      </w:r>
      <w:r w:rsidRPr="00241602">
        <w:rPr>
          <w:rFonts w:ascii="Times New Roman" w:hAnsi="Times New Roman" w:cs="Times New Roman"/>
          <w:sz w:val="24"/>
          <w:szCs w:val="24"/>
        </w:rPr>
        <w:t xml:space="preserve">Kantor </w:t>
      </w:r>
      <w:r w:rsidRPr="00241602">
        <w:rPr>
          <w:rFonts w:ascii="Times New Roman" w:hAnsi="Times New Roman" w:cs="Times New Roman"/>
          <w:sz w:val="24"/>
          <w:szCs w:val="24"/>
        </w:rPr>
        <w:t>pusat</w:t>
      </w:r>
      <w:r w:rsidRPr="00241602">
        <w:rPr>
          <w:rFonts w:ascii="Times New Roman" w:hAnsi="Times New Roman" w:cs="Times New Roman"/>
          <w:sz w:val="24"/>
          <w:szCs w:val="24"/>
        </w:rPr>
        <w:t xml:space="preserve"> BCA </w:t>
      </w:r>
      <w:r w:rsidRPr="00241602">
        <w:rPr>
          <w:rFonts w:ascii="Times New Roman" w:hAnsi="Times New Roman" w:cs="Times New Roman"/>
          <w:sz w:val="24"/>
          <w:szCs w:val="24"/>
        </w:rPr>
        <w:t>kini</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berada</w:t>
      </w:r>
      <w:r w:rsidRPr="00241602">
        <w:rPr>
          <w:rFonts w:ascii="Times New Roman" w:hAnsi="Times New Roman" w:cs="Times New Roman"/>
          <w:sz w:val="24"/>
          <w:szCs w:val="24"/>
        </w:rPr>
        <w:t xml:space="preserve"> di Menara BCA yang </w:t>
      </w:r>
      <w:r w:rsidRPr="00241602">
        <w:rPr>
          <w:rFonts w:ascii="Times New Roman" w:hAnsi="Times New Roman" w:cs="Times New Roman"/>
          <w:sz w:val="24"/>
          <w:szCs w:val="24"/>
        </w:rPr>
        <w:t>terletak</w:t>
      </w:r>
      <w:r w:rsidRPr="00241602">
        <w:rPr>
          <w:rFonts w:ascii="Times New Roman" w:hAnsi="Times New Roman" w:cs="Times New Roman"/>
          <w:sz w:val="24"/>
          <w:szCs w:val="24"/>
        </w:rPr>
        <w:t xml:space="preserve"> di </w:t>
      </w:r>
      <w:r w:rsidRPr="00241602">
        <w:rPr>
          <w:rFonts w:ascii="Times New Roman" w:hAnsi="Times New Roman" w:cs="Times New Roman"/>
          <w:sz w:val="24"/>
          <w:szCs w:val="24"/>
        </w:rPr>
        <w:t>atas</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pusat</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perbelanjaan</w:t>
      </w:r>
      <w:r w:rsidRPr="00241602">
        <w:rPr>
          <w:rFonts w:ascii="Times New Roman" w:hAnsi="Times New Roman" w:cs="Times New Roman"/>
          <w:sz w:val="24"/>
          <w:szCs w:val="24"/>
        </w:rPr>
        <w:t xml:space="preserve"> Grand Indonesia </w:t>
      </w:r>
      <w:r w:rsidRPr="00241602">
        <w:rPr>
          <w:rFonts w:ascii="Times New Roman" w:hAnsi="Times New Roman" w:cs="Times New Roman"/>
          <w:sz w:val="24"/>
          <w:szCs w:val="24"/>
        </w:rPr>
        <w:t xml:space="preserve">di Jl. M.H. Thamrin, Jakarta Pusat </w:t>
      </w:r>
      <w:r w:rsidRPr="00241602">
        <w:rPr>
          <w:rFonts w:ascii="Times New Roman" w:hAnsi="Times New Roman" w:cs="Times New Roman"/>
          <w:sz w:val="24"/>
          <w:szCs w:val="24"/>
        </w:rPr>
        <w:t>sejak</w:t>
      </w:r>
      <w:r w:rsidRPr="00241602">
        <w:rPr>
          <w:rFonts w:ascii="Times New Roman" w:hAnsi="Times New Roman" w:cs="Times New Roman"/>
          <w:sz w:val="24"/>
          <w:szCs w:val="24"/>
        </w:rPr>
        <w:t xml:space="preserve"> 1 September 2008. </w:t>
      </w:r>
      <w:r w:rsidRPr="00241602">
        <w:rPr>
          <w:rFonts w:ascii="Times New Roman" w:hAnsi="Times New Roman" w:cs="Times New Roman"/>
          <w:sz w:val="24"/>
          <w:szCs w:val="24"/>
        </w:rPr>
        <w:t>Sebelumnya</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kantor</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pusat</w:t>
      </w:r>
      <w:r w:rsidRPr="00241602">
        <w:rPr>
          <w:rFonts w:ascii="Times New Roman" w:hAnsi="Times New Roman" w:cs="Times New Roman"/>
          <w:sz w:val="24"/>
          <w:szCs w:val="24"/>
        </w:rPr>
        <w:t xml:space="preserve"> BCA </w:t>
      </w:r>
      <w:r w:rsidRPr="00241602">
        <w:rPr>
          <w:rFonts w:ascii="Times New Roman" w:hAnsi="Times New Roman" w:cs="Times New Roman"/>
          <w:sz w:val="24"/>
          <w:szCs w:val="24"/>
        </w:rPr>
        <w:t>sejak</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tahun</w:t>
      </w:r>
      <w:r w:rsidRPr="00241602">
        <w:rPr>
          <w:rFonts w:ascii="Times New Roman" w:hAnsi="Times New Roman" w:cs="Times New Roman"/>
          <w:sz w:val="24"/>
          <w:szCs w:val="24"/>
        </w:rPr>
        <w:t xml:space="preserve"> 1987 </w:t>
      </w:r>
      <w:r w:rsidRPr="00241602">
        <w:rPr>
          <w:rFonts w:ascii="Times New Roman" w:hAnsi="Times New Roman" w:cs="Times New Roman"/>
          <w:sz w:val="24"/>
          <w:szCs w:val="24"/>
        </w:rPr>
        <w:t>adalah</w:t>
      </w:r>
      <w:r w:rsidRPr="00241602">
        <w:rPr>
          <w:rFonts w:ascii="Times New Roman" w:hAnsi="Times New Roman" w:cs="Times New Roman"/>
          <w:sz w:val="24"/>
          <w:szCs w:val="24"/>
        </w:rPr>
        <w:t xml:space="preserve"> di Wisma BCA, Jl. </w:t>
      </w:r>
      <w:r w:rsidRPr="00241602">
        <w:rPr>
          <w:rFonts w:ascii="Times New Roman" w:hAnsi="Times New Roman" w:cs="Times New Roman"/>
          <w:sz w:val="24"/>
          <w:szCs w:val="24"/>
        </w:rPr>
        <w:t>Jenderal</w:t>
      </w:r>
      <w:r w:rsidRPr="00241602">
        <w:rPr>
          <w:rFonts w:ascii="Times New Roman" w:hAnsi="Times New Roman" w:cs="Times New Roman"/>
          <w:sz w:val="24"/>
          <w:szCs w:val="24"/>
        </w:rPr>
        <w:t xml:space="preserve"> Sudirman </w:t>
      </w:r>
      <w:r w:rsidRPr="00241602">
        <w:rPr>
          <w:rFonts w:ascii="Times New Roman" w:hAnsi="Times New Roman" w:cs="Times New Roman"/>
          <w:sz w:val="24"/>
          <w:szCs w:val="24"/>
        </w:rPr>
        <w:t>dari</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tahun</w:t>
      </w:r>
      <w:r w:rsidRPr="00241602">
        <w:rPr>
          <w:rFonts w:ascii="Times New Roman" w:hAnsi="Times New Roman" w:cs="Times New Roman"/>
          <w:sz w:val="24"/>
          <w:szCs w:val="24"/>
        </w:rPr>
        <w:t xml:space="preserve"> 1987-2008, dan </w:t>
      </w:r>
      <w:r w:rsidRPr="00241602">
        <w:rPr>
          <w:rFonts w:ascii="Times New Roman" w:hAnsi="Times New Roman" w:cs="Times New Roman"/>
          <w:sz w:val="24"/>
          <w:szCs w:val="24"/>
        </w:rPr>
        <w:t>pernah</w:t>
      </w:r>
      <w:r w:rsidRPr="00241602">
        <w:rPr>
          <w:rFonts w:ascii="Times New Roman" w:hAnsi="Times New Roman" w:cs="Times New Roman"/>
          <w:sz w:val="24"/>
          <w:szCs w:val="24"/>
        </w:rPr>
        <w:t xml:space="preserve"> juga </w:t>
      </w:r>
      <w:r w:rsidRPr="00241602">
        <w:rPr>
          <w:rFonts w:ascii="Times New Roman" w:hAnsi="Times New Roman" w:cs="Times New Roman"/>
          <w:sz w:val="24"/>
          <w:szCs w:val="24"/>
        </w:rPr>
        <w:t>berkantor</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pusat</w:t>
      </w:r>
      <w:r w:rsidRPr="00241602">
        <w:rPr>
          <w:rFonts w:ascii="Times New Roman" w:hAnsi="Times New Roman" w:cs="Times New Roman"/>
          <w:sz w:val="24"/>
          <w:szCs w:val="24"/>
        </w:rPr>
        <w:t xml:space="preserve"> di </w:t>
      </w:r>
      <w:r w:rsidRPr="00241602">
        <w:rPr>
          <w:rFonts w:ascii="Times New Roman" w:hAnsi="Times New Roman" w:cs="Times New Roman"/>
          <w:sz w:val="24"/>
          <w:szCs w:val="24"/>
        </w:rPr>
        <w:t>Asemka</w:t>
      </w:r>
      <w:r w:rsidRPr="00241602">
        <w:rPr>
          <w:rFonts w:ascii="Times New Roman" w:hAnsi="Times New Roman" w:cs="Times New Roman"/>
          <w:sz w:val="24"/>
          <w:szCs w:val="24"/>
        </w:rPr>
        <w:t xml:space="preserve"> pada 1957-1987 yang </w:t>
      </w:r>
      <w:r w:rsidRPr="00241602">
        <w:rPr>
          <w:rFonts w:ascii="Times New Roman" w:hAnsi="Times New Roman" w:cs="Times New Roman"/>
          <w:sz w:val="24"/>
          <w:szCs w:val="24"/>
        </w:rPr>
        <w:t>saat</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ini</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masih</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menjadi</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kantor</w:t>
      </w:r>
      <w:r w:rsidRPr="00241602">
        <w:rPr>
          <w:rFonts w:ascii="Times New Roman" w:hAnsi="Times New Roman" w:cs="Times New Roman"/>
          <w:sz w:val="24"/>
          <w:szCs w:val="24"/>
        </w:rPr>
        <w:t xml:space="preserve"> </w:t>
      </w:r>
      <w:r w:rsidRPr="00241602">
        <w:rPr>
          <w:rFonts w:ascii="Times New Roman" w:hAnsi="Times New Roman" w:cs="Times New Roman"/>
          <w:sz w:val="24"/>
          <w:szCs w:val="24"/>
        </w:rPr>
        <w:t>cabang</w:t>
      </w:r>
      <w:r w:rsidRPr="00241602">
        <w:rPr>
          <w:rFonts w:ascii="Times New Roman" w:hAnsi="Times New Roman" w:cs="Times New Roman"/>
          <w:sz w:val="24"/>
          <w:szCs w:val="24"/>
        </w:rPr>
        <w:t>.</w:t>
      </w:r>
    </w:p>
    <w:p w:rsidR="00241602" w:rsidP="00241602" w14:paraId="1F9AFB90" w14:textId="6F10455E">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D61598" w:rsidR="00D61598">
        <w:rPr>
          <w:rFonts w:ascii="Times New Roman" w:hAnsi="Times New Roman" w:cs="Times New Roman"/>
          <w:b/>
          <w:bCs/>
          <w:sz w:val="24"/>
          <w:szCs w:val="24"/>
        </w:rPr>
        <w:t xml:space="preserve">Bank </w:t>
      </w:r>
      <w:r w:rsidRPr="00D61598" w:rsidR="00D61598">
        <w:rPr>
          <w:rFonts w:ascii="Times New Roman" w:hAnsi="Times New Roman" w:cs="Times New Roman"/>
          <w:b/>
          <w:bCs/>
          <w:sz w:val="24"/>
          <w:szCs w:val="24"/>
        </w:rPr>
        <w:t>Mestika</w:t>
      </w:r>
      <w:r w:rsidRPr="00D61598" w:rsidR="00D61598">
        <w:rPr>
          <w:rFonts w:ascii="Times New Roman" w:hAnsi="Times New Roman" w:cs="Times New Roman"/>
          <w:b/>
          <w:bCs/>
          <w:sz w:val="24"/>
          <w:szCs w:val="24"/>
        </w:rPr>
        <w:t xml:space="preserve"> Dharma </w:t>
      </w:r>
      <w:r>
        <w:rPr>
          <w:rFonts w:ascii="Times New Roman" w:hAnsi="Times New Roman" w:cs="Times New Roman"/>
          <w:b/>
          <w:bCs/>
          <w:sz w:val="24"/>
          <w:szCs w:val="24"/>
        </w:rPr>
        <w:t>Tbk</w:t>
      </w:r>
      <w:r>
        <w:rPr>
          <w:rFonts w:ascii="Times New Roman" w:hAnsi="Times New Roman" w:cs="Times New Roman"/>
          <w:b/>
          <w:bCs/>
          <w:sz w:val="24"/>
          <w:szCs w:val="24"/>
        </w:rPr>
        <w:t>.</w:t>
      </w:r>
    </w:p>
    <w:p w:rsidR="00D61598" w:rsidP="00D61598" w14:paraId="3CFF1DB0" w14:textId="157115A5">
      <w:pPr>
        <w:pStyle w:val="ListParagraph"/>
        <w:spacing w:after="0" w:line="480" w:lineRule="auto"/>
        <w:ind w:left="1146" w:firstLine="294"/>
        <w:jc w:val="both"/>
        <w:rPr>
          <w:rFonts w:ascii="Times New Roman" w:hAnsi="Times New Roman" w:cs="Times New Roman"/>
          <w:sz w:val="24"/>
          <w:szCs w:val="24"/>
        </w:rPr>
      </w:pPr>
      <w:r w:rsidRPr="00D61598">
        <w:rPr>
          <w:rFonts w:ascii="Times New Roman" w:hAnsi="Times New Roman" w:cs="Times New Roman"/>
          <w:sz w:val="24"/>
          <w:szCs w:val="24"/>
        </w:rPr>
        <w:t xml:space="preserve">PT. Bank </w:t>
      </w:r>
      <w:r w:rsidRPr="00D61598">
        <w:rPr>
          <w:rFonts w:ascii="Times New Roman" w:hAnsi="Times New Roman" w:cs="Times New Roman"/>
          <w:sz w:val="24"/>
          <w:szCs w:val="24"/>
        </w:rPr>
        <w:t>Mestika</w:t>
      </w:r>
      <w:r w:rsidRPr="00D61598">
        <w:rPr>
          <w:rFonts w:ascii="Times New Roman" w:hAnsi="Times New Roman" w:cs="Times New Roman"/>
          <w:sz w:val="24"/>
          <w:szCs w:val="24"/>
        </w:rPr>
        <w:t xml:space="preserve"> Dharma </w:t>
      </w:r>
      <w:r w:rsidRPr="00D61598">
        <w:rPr>
          <w:rFonts w:ascii="Times New Roman" w:hAnsi="Times New Roman" w:cs="Times New Roman"/>
          <w:sz w:val="24"/>
          <w:szCs w:val="24"/>
        </w:rPr>
        <w:t>Tbk</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berdiri</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sejak</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tahun</w:t>
      </w:r>
      <w:r w:rsidRPr="00D61598">
        <w:rPr>
          <w:rFonts w:ascii="Times New Roman" w:hAnsi="Times New Roman" w:cs="Times New Roman"/>
          <w:sz w:val="24"/>
          <w:szCs w:val="24"/>
        </w:rPr>
        <w:t xml:space="preserve"> 1955 </w:t>
      </w:r>
      <w:r w:rsidRPr="00D61598">
        <w:rPr>
          <w:rFonts w:ascii="Times New Roman" w:hAnsi="Times New Roman" w:cs="Times New Roman"/>
          <w:sz w:val="24"/>
          <w:szCs w:val="24"/>
        </w:rPr>
        <w:t>adalah</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merupakan</w:t>
      </w:r>
      <w:r w:rsidRPr="00D61598">
        <w:rPr>
          <w:rFonts w:ascii="Times New Roman" w:hAnsi="Times New Roman" w:cs="Times New Roman"/>
          <w:sz w:val="24"/>
          <w:szCs w:val="24"/>
        </w:rPr>
        <w:t xml:space="preserve"> Bank Umum </w:t>
      </w:r>
      <w:r w:rsidRPr="00D61598">
        <w:rPr>
          <w:rFonts w:ascii="Times New Roman" w:hAnsi="Times New Roman" w:cs="Times New Roman"/>
          <w:sz w:val="24"/>
          <w:szCs w:val="24"/>
        </w:rPr>
        <w:t>Swasta</w:t>
      </w:r>
      <w:r w:rsidRPr="00D61598">
        <w:rPr>
          <w:rFonts w:ascii="Times New Roman" w:hAnsi="Times New Roman" w:cs="Times New Roman"/>
          <w:sz w:val="24"/>
          <w:szCs w:val="24"/>
        </w:rPr>
        <w:t xml:space="preserve"> Devisa </w:t>
      </w:r>
      <w:r w:rsidRPr="00D61598">
        <w:rPr>
          <w:rFonts w:ascii="Times New Roman" w:hAnsi="Times New Roman" w:cs="Times New Roman"/>
          <w:sz w:val="24"/>
          <w:szCs w:val="24"/>
        </w:rPr>
        <w:t>serta</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satu-satunya</w:t>
      </w:r>
      <w:r w:rsidRPr="00D61598">
        <w:rPr>
          <w:rFonts w:ascii="Times New Roman" w:hAnsi="Times New Roman" w:cs="Times New Roman"/>
          <w:sz w:val="24"/>
          <w:szCs w:val="24"/>
        </w:rPr>
        <w:t xml:space="preserve"> bank </w:t>
      </w:r>
      <w:r w:rsidRPr="00D61598">
        <w:rPr>
          <w:rFonts w:ascii="Times New Roman" w:hAnsi="Times New Roman" w:cs="Times New Roman"/>
          <w:sz w:val="24"/>
          <w:szCs w:val="24"/>
        </w:rPr>
        <w:t>daerah</w:t>
      </w:r>
      <w:r w:rsidRPr="00D61598">
        <w:rPr>
          <w:rFonts w:ascii="Times New Roman" w:hAnsi="Times New Roman" w:cs="Times New Roman"/>
          <w:sz w:val="24"/>
          <w:szCs w:val="24"/>
        </w:rPr>
        <w:t xml:space="preserve"> yang </w:t>
      </w:r>
      <w:r w:rsidRPr="00D61598">
        <w:rPr>
          <w:rFonts w:ascii="Times New Roman" w:hAnsi="Times New Roman" w:cs="Times New Roman"/>
          <w:sz w:val="24"/>
          <w:szCs w:val="24"/>
        </w:rPr>
        <w:t>telah</w:t>
      </w:r>
      <w:r w:rsidRPr="00D61598">
        <w:rPr>
          <w:rFonts w:ascii="Times New Roman" w:hAnsi="Times New Roman" w:cs="Times New Roman"/>
          <w:sz w:val="24"/>
          <w:szCs w:val="24"/>
        </w:rPr>
        <w:t xml:space="preserve"> </w:t>
      </w:r>
      <w:r w:rsidRPr="00D61598">
        <w:rPr>
          <w:rFonts w:ascii="Times New Roman" w:hAnsi="Times New Roman" w:cs="Times New Roman"/>
          <w:i/>
          <w:iCs/>
          <w:sz w:val="24"/>
          <w:szCs w:val="24"/>
        </w:rPr>
        <w:t>Go Public</w:t>
      </w:r>
      <w:r w:rsidRPr="00D61598">
        <w:rPr>
          <w:rFonts w:ascii="Times New Roman" w:hAnsi="Times New Roman" w:cs="Times New Roman"/>
          <w:sz w:val="24"/>
          <w:szCs w:val="24"/>
        </w:rPr>
        <w:t xml:space="preserve"> dan </w:t>
      </w:r>
      <w:r w:rsidRPr="00D61598">
        <w:rPr>
          <w:rFonts w:ascii="Times New Roman" w:hAnsi="Times New Roman" w:cs="Times New Roman"/>
          <w:sz w:val="24"/>
          <w:szCs w:val="24"/>
        </w:rPr>
        <w:t>terdaftar</w:t>
      </w:r>
      <w:r w:rsidRPr="00D61598">
        <w:rPr>
          <w:rFonts w:ascii="Times New Roman" w:hAnsi="Times New Roman" w:cs="Times New Roman"/>
          <w:sz w:val="24"/>
          <w:szCs w:val="24"/>
        </w:rPr>
        <w:t xml:space="preserve"> di Bursa </w:t>
      </w:r>
      <w:r w:rsidRPr="00D61598">
        <w:rPr>
          <w:rFonts w:ascii="Times New Roman" w:hAnsi="Times New Roman" w:cs="Times New Roman"/>
          <w:sz w:val="24"/>
          <w:szCs w:val="24"/>
        </w:rPr>
        <w:t>Efek</w:t>
      </w:r>
      <w:r w:rsidRPr="00D61598">
        <w:rPr>
          <w:rFonts w:ascii="Times New Roman" w:hAnsi="Times New Roman" w:cs="Times New Roman"/>
          <w:sz w:val="24"/>
          <w:szCs w:val="24"/>
        </w:rPr>
        <w:t xml:space="preserve"> Indonesia (BEI) </w:t>
      </w:r>
      <w:r w:rsidRPr="00D61598">
        <w:rPr>
          <w:rFonts w:ascii="Times New Roman" w:hAnsi="Times New Roman" w:cs="Times New Roman"/>
          <w:sz w:val="24"/>
          <w:szCs w:val="24"/>
        </w:rPr>
        <w:t>dengan</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kode</w:t>
      </w:r>
      <w:r w:rsidRPr="00D61598">
        <w:rPr>
          <w:rFonts w:ascii="Times New Roman" w:hAnsi="Times New Roman" w:cs="Times New Roman"/>
          <w:sz w:val="24"/>
          <w:szCs w:val="24"/>
        </w:rPr>
        <w:t xml:space="preserve"> BBMD, listing </w:t>
      </w:r>
      <w:r w:rsidRPr="00D61598">
        <w:rPr>
          <w:rFonts w:ascii="Times New Roman" w:hAnsi="Times New Roman" w:cs="Times New Roman"/>
          <w:sz w:val="24"/>
          <w:szCs w:val="24"/>
        </w:rPr>
        <w:t>sejak</w:t>
      </w:r>
      <w:r w:rsidRPr="00D61598">
        <w:rPr>
          <w:rFonts w:ascii="Times New Roman" w:hAnsi="Times New Roman" w:cs="Times New Roman"/>
          <w:sz w:val="24"/>
          <w:szCs w:val="24"/>
        </w:rPr>
        <w:t xml:space="preserve"> 8 Juli 2013. </w:t>
      </w:r>
      <w:r w:rsidRPr="00D61598">
        <w:rPr>
          <w:rFonts w:ascii="Times New Roman" w:hAnsi="Times New Roman" w:cs="Times New Roman"/>
          <w:sz w:val="24"/>
          <w:szCs w:val="24"/>
        </w:rPr>
        <w:t>Jaringan</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operasionalnya</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meliputi</w:t>
      </w:r>
      <w:r w:rsidRPr="00D61598">
        <w:rPr>
          <w:rFonts w:ascii="Times New Roman" w:hAnsi="Times New Roman" w:cs="Times New Roman"/>
          <w:sz w:val="24"/>
          <w:szCs w:val="24"/>
        </w:rPr>
        <w:t xml:space="preserve"> 12 </w:t>
      </w:r>
      <w:r w:rsidRPr="00D61598">
        <w:rPr>
          <w:rFonts w:ascii="Times New Roman" w:hAnsi="Times New Roman" w:cs="Times New Roman"/>
          <w:sz w:val="24"/>
          <w:szCs w:val="24"/>
        </w:rPr>
        <w:t>kantor</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cabang</w:t>
      </w:r>
      <w:r w:rsidRPr="00D61598">
        <w:rPr>
          <w:rFonts w:ascii="Times New Roman" w:hAnsi="Times New Roman" w:cs="Times New Roman"/>
          <w:sz w:val="24"/>
          <w:szCs w:val="24"/>
        </w:rPr>
        <w:t xml:space="preserve">, 44 </w:t>
      </w:r>
      <w:r w:rsidRPr="00D61598">
        <w:rPr>
          <w:rFonts w:ascii="Times New Roman" w:hAnsi="Times New Roman" w:cs="Times New Roman"/>
          <w:sz w:val="24"/>
          <w:szCs w:val="24"/>
        </w:rPr>
        <w:t>kantor</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cabang</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pembantu</w:t>
      </w:r>
      <w:r w:rsidRPr="00D61598">
        <w:rPr>
          <w:rFonts w:ascii="Times New Roman" w:hAnsi="Times New Roman" w:cs="Times New Roman"/>
          <w:sz w:val="24"/>
          <w:szCs w:val="24"/>
        </w:rPr>
        <w:t xml:space="preserve">, 11 </w:t>
      </w:r>
      <w:r w:rsidRPr="00D61598">
        <w:rPr>
          <w:rFonts w:ascii="Times New Roman" w:hAnsi="Times New Roman" w:cs="Times New Roman"/>
          <w:sz w:val="24"/>
          <w:szCs w:val="24"/>
        </w:rPr>
        <w:t>kantor</w:t>
      </w:r>
      <w:r w:rsidRPr="00D61598">
        <w:rPr>
          <w:rFonts w:ascii="Times New Roman" w:hAnsi="Times New Roman" w:cs="Times New Roman"/>
          <w:sz w:val="24"/>
          <w:szCs w:val="24"/>
        </w:rPr>
        <w:t xml:space="preserve"> kas dan</w:t>
      </w:r>
      <w:r>
        <w:rPr>
          <w:rFonts w:ascii="Times New Roman" w:hAnsi="Times New Roman" w:cs="Times New Roman"/>
          <w:sz w:val="24"/>
          <w:szCs w:val="24"/>
        </w:rPr>
        <w:t xml:space="preserve"> </w:t>
      </w:r>
      <w:r>
        <w:rPr>
          <w:rFonts w:ascii="Times New Roman" w:hAnsi="Times New Roman" w:cs="Times New Roman"/>
          <w:sz w:val="24"/>
          <w:szCs w:val="24"/>
        </w:rPr>
        <w:t>70 u</w:t>
      </w:r>
      <w:r w:rsidRPr="00D61598">
        <w:rPr>
          <w:rFonts w:ascii="Times New Roman" w:hAnsi="Times New Roman" w:cs="Times New Roman"/>
          <w:sz w:val="24"/>
          <w:szCs w:val="24"/>
        </w:rPr>
        <w:t>nit</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mesin</w:t>
      </w:r>
      <w:r w:rsidRPr="00D61598">
        <w:rPr>
          <w:rFonts w:ascii="Times New Roman" w:hAnsi="Times New Roman" w:cs="Times New Roman"/>
          <w:sz w:val="24"/>
          <w:szCs w:val="24"/>
        </w:rPr>
        <w:t xml:space="preserve"> ATM yang </w:t>
      </w:r>
      <w:r w:rsidRPr="00D61598">
        <w:rPr>
          <w:rFonts w:ascii="Times New Roman" w:hAnsi="Times New Roman" w:cs="Times New Roman"/>
          <w:sz w:val="24"/>
          <w:szCs w:val="24"/>
        </w:rPr>
        <w:t>berlokasi</w:t>
      </w:r>
      <w:r w:rsidRPr="00D61598">
        <w:rPr>
          <w:rFonts w:ascii="Times New Roman" w:hAnsi="Times New Roman" w:cs="Times New Roman"/>
          <w:sz w:val="24"/>
          <w:szCs w:val="24"/>
        </w:rPr>
        <w:t xml:space="preserve"> di </w:t>
      </w:r>
      <w:r w:rsidRPr="00D61598">
        <w:rPr>
          <w:rFonts w:ascii="Times New Roman" w:hAnsi="Times New Roman" w:cs="Times New Roman"/>
          <w:sz w:val="24"/>
          <w:szCs w:val="24"/>
        </w:rPr>
        <w:t>sekitar</w:t>
      </w:r>
      <w:r w:rsidRPr="00D61598">
        <w:rPr>
          <w:rFonts w:ascii="Times New Roman" w:hAnsi="Times New Roman" w:cs="Times New Roman"/>
          <w:sz w:val="24"/>
          <w:szCs w:val="24"/>
        </w:rPr>
        <w:t xml:space="preserve"> Sumatra dan Jakarta.</w:t>
      </w:r>
      <w:r>
        <w:rPr>
          <w:rFonts w:ascii="Times New Roman" w:hAnsi="Times New Roman" w:cs="Times New Roman"/>
          <w:sz w:val="24"/>
          <w:szCs w:val="24"/>
        </w:rPr>
        <w:t xml:space="preserve"> </w:t>
      </w:r>
      <w:r w:rsidRPr="00D61598">
        <w:rPr>
          <w:rFonts w:ascii="Times New Roman" w:hAnsi="Times New Roman" w:cs="Times New Roman"/>
          <w:sz w:val="24"/>
          <w:szCs w:val="24"/>
        </w:rPr>
        <w:t>Kepemilikan</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saham</w:t>
      </w:r>
      <w:r w:rsidRPr="00D61598">
        <w:rPr>
          <w:rFonts w:ascii="Times New Roman" w:hAnsi="Times New Roman" w:cs="Times New Roman"/>
          <w:sz w:val="24"/>
          <w:szCs w:val="24"/>
        </w:rPr>
        <w:t xml:space="preserve"> Bank </w:t>
      </w:r>
      <w:r w:rsidRPr="00D61598">
        <w:rPr>
          <w:rFonts w:ascii="Times New Roman" w:hAnsi="Times New Roman" w:cs="Times New Roman"/>
          <w:sz w:val="24"/>
          <w:szCs w:val="24"/>
        </w:rPr>
        <w:t>Mestika</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saat</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ini</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terdiri</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dari</w:t>
      </w:r>
      <w:r w:rsidRPr="00D61598">
        <w:rPr>
          <w:rFonts w:ascii="Times New Roman" w:hAnsi="Times New Roman" w:cs="Times New Roman"/>
          <w:sz w:val="24"/>
          <w:szCs w:val="24"/>
        </w:rPr>
        <w:t xml:space="preserve"> 89,44% PT </w:t>
      </w:r>
      <w:r w:rsidRPr="00D61598">
        <w:rPr>
          <w:rFonts w:ascii="Times New Roman" w:hAnsi="Times New Roman" w:cs="Times New Roman"/>
          <w:sz w:val="24"/>
          <w:szCs w:val="24"/>
        </w:rPr>
        <w:t>Mestika</w:t>
      </w:r>
      <w:r w:rsidRPr="00D61598">
        <w:rPr>
          <w:rFonts w:ascii="Times New Roman" w:hAnsi="Times New Roman" w:cs="Times New Roman"/>
          <w:sz w:val="24"/>
          <w:szCs w:val="24"/>
        </w:rPr>
        <w:t xml:space="preserve"> Buana Mas, 8,97% oleh </w:t>
      </w:r>
      <w:r w:rsidRPr="00D61598">
        <w:rPr>
          <w:rFonts w:ascii="Times New Roman" w:hAnsi="Times New Roman" w:cs="Times New Roman"/>
          <w:sz w:val="24"/>
          <w:szCs w:val="24"/>
        </w:rPr>
        <w:t>publik</w:t>
      </w:r>
      <w:r w:rsidRPr="00D61598">
        <w:rPr>
          <w:rFonts w:ascii="Times New Roman" w:hAnsi="Times New Roman" w:cs="Times New Roman"/>
          <w:sz w:val="24"/>
          <w:szCs w:val="24"/>
        </w:rPr>
        <w:t xml:space="preserve"> dan </w:t>
      </w:r>
      <w:r w:rsidRPr="00D61598">
        <w:rPr>
          <w:rFonts w:ascii="Times New Roman" w:hAnsi="Times New Roman" w:cs="Times New Roman"/>
          <w:sz w:val="24"/>
          <w:szCs w:val="24"/>
        </w:rPr>
        <w:t>sisanya</w:t>
      </w:r>
      <w:r w:rsidRPr="00D61598">
        <w:rPr>
          <w:rFonts w:ascii="Times New Roman" w:hAnsi="Times New Roman" w:cs="Times New Roman"/>
          <w:sz w:val="24"/>
          <w:szCs w:val="24"/>
        </w:rPr>
        <w:t xml:space="preserve"> oleh </w:t>
      </w:r>
      <w:r w:rsidRPr="00D61598">
        <w:rPr>
          <w:rFonts w:ascii="Times New Roman" w:hAnsi="Times New Roman" w:cs="Times New Roman"/>
          <w:sz w:val="24"/>
          <w:szCs w:val="24"/>
        </w:rPr>
        <w:t>pemegang</w:t>
      </w:r>
      <w:r w:rsidRPr="00D61598">
        <w:rPr>
          <w:rFonts w:ascii="Times New Roman" w:hAnsi="Times New Roman" w:cs="Times New Roman"/>
          <w:sz w:val="24"/>
          <w:szCs w:val="24"/>
        </w:rPr>
        <w:t xml:space="preserve"> </w:t>
      </w:r>
      <w:r w:rsidRPr="00D61598">
        <w:rPr>
          <w:rFonts w:ascii="Times New Roman" w:hAnsi="Times New Roman" w:cs="Times New Roman"/>
          <w:sz w:val="24"/>
          <w:szCs w:val="24"/>
        </w:rPr>
        <w:t>saham</w:t>
      </w:r>
      <w:r w:rsidRPr="00D61598">
        <w:rPr>
          <w:rFonts w:ascii="Times New Roman" w:hAnsi="Times New Roman" w:cs="Times New Roman"/>
          <w:sz w:val="24"/>
          <w:szCs w:val="24"/>
        </w:rPr>
        <w:t xml:space="preserve"> lain.</w:t>
      </w:r>
    </w:p>
    <w:p w:rsidR="00D61598" w:rsidRPr="00F334F8" w:rsidP="00D61598" w14:paraId="3DB8D367" w14:textId="2FE0E533">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334F8">
        <w:rPr>
          <w:rFonts w:ascii="Times New Roman" w:hAnsi="Times New Roman" w:cs="Times New Roman"/>
          <w:b/>
          <w:bCs/>
          <w:sz w:val="24"/>
          <w:szCs w:val="24"/>
        </w:rPr>
        <w:t xml:space="preserve">Bank </w:t>
      </w:r>
      <w:r w:rsidRPr="00F334F8" w:rsidR="00F334F8">
        <w:rPr>
          <w:rFonts w:ascii="Times New Roman" w:hAnsi="Times New Roman" w:cs="Times New Roman"/>
          <w:b/>
          <w:bCs/>
          <w:sz w:val="24"/>
          <w:szCs w:val="24"/>
        </w:rPr>
        <w:t>Negara Indonesia (</w:t>
      </w:r>
      <w:r>
        <w:rPr>
          <w:rFonts w:ascii="Times New Roman" w:hAnsi="Times New Roman" w:cs="Times New Roman"/>
          <w:b/>
          <w:bCs/>
          <w:sz w:val="24"/>
          <w:szCs w:val="24"/>
        </w:rPr>
        <w:t xml:space="preserve">Persero) </w:t>
      </w:r>
      <w:r>
        <w:rPr>
          <w:rFonts w:ascii="Times New Roman" w:hAnsi="Times New Roman" w:cs="Times New Roman"/>
          <w:b/>
          <w:bCs/>
          <w:sz w:val="24"/>
          <w:szCs w:val="24"/>
        </w:rPr>
        <w:t>Tbk</w:t>
      </w:r>
      <w:r>
        <w:rPr>
          <w:rFonts w:ascii="Times New Roman" w:hAnsi="Times New Roman" w:cs="Times New Roman"/>
          <w:b/>
          <w:bCs/>
          <w:sz w:val="24"/>
          <w:szCs w:val="24"/>
        </w:rPr>
        <w:t>.</w:t>
      </w:r>
    </w:p>
    <w:p w:rsidR="00C22428" w:rsidRPr="002615FB" w:rsidP="002615FB" w14:paraId="55FD13FD" w14:textId="388F0DDD">
      <w:pPr>
        <w:pStyle w:val="ListParagraph"/>
        <w:spacing w:after="0" w:line="480" w:lineRule="auto"/>
        <w:ind w:left="1146" w:firstLine="294"/>
        <w:jc w:val="both"/>
        <w:rPr>
          <w:rFonts w:ascii="Times New Roman" w:hAnsi="Times New Roman" w:cs="Times New Roman"/>
          <w:sz w:val="24"/>
          <w:szCs w:val="24"/>
        </w:rPr>
      </w:pPr>
      <w:r w:rsidRPr="00D62471">
        <w:rPr>
          <w:rFonts w:ascii="Times New Roman" w:hAnsi="Times New Roman" w:cs="Times New Roman"/>
          <w:sz w:val="24"/>
          <w:szCs w:val="24"/>
        </w:rPr>
        <w:t xml:space="preserve">PT Bank Negara Indonesia (Persero) </w:t>
      </w:r>
      <w:r w:rsidRPr="00D62471">
        <w:rPr>
          <w:rFonts w:ascii="Times New Roman" w:hAnsi="Times New Roman" w:cs="Times New Roman"/>
          <w:sz w:val="24"/>
          <w:szCs w:val="24"/>
        </w:rPr>
        <w:t>Tbk</w:t>
      </w:r>
      <w:r>
        <w:rPr>
          <w:rFonts w:ascii="Times New Roman" w:hAnsi="Times New Roman" w:cs="Times New Roman"/>
          <w:sz w:val="24"/>
          <w:szCs w:val="24"/>
        </w:rPr>
        <w:t>.</w:t>
      </w:r>
      <w:r w:rsidRPr="00D62471">
        <w:rPr>
          <w:rFonts w:ascii="Times New Roman" w:hAnsi="Times New Roman" w:cs="Times New Roman"/>
          <w:sz w:val="24"/>
          <w:szCs w:val="24"/>
        </w:rPr>
        <w:t xml:space="preserve"> pada </w:t>
      </w:r>
      <w:r w:rsidRPr="00D62471">
        <w:rPr>
          <w:rFonts w:ascii="Times New Roman" w:hAnsi="Times New Roman" w:cs="Times New Roman"/>
          <w:sz w:val="24"/>
          <w:szCs w:val="24"/>
        </w:rPr>
        <w:t>awalnya</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didirikan</w:t>
      </w:r>
      <w:r w:rsidRPr="00D62471">
        <w:rPr>
          <w:rFonts w:ascii="Times New Roman" w:hAnsi="Times New Roman" w:cs="Times New Roman"/>
          <w:sz w:val="24"/>
          <w:szCs w:val="24"/>
        </w:rPr>
        <w:t xml:space="preserve"> di Indonesia </w:t>
      </w:r>
      <w:r w:rsidRPr="00D62471">
        <w:rPr>
          <w:rFonts w:ascii="Times New Roman" w:hAnsi="Times New Roman" w:cs="Times New Roman"/>
          <w:sz w:val="24"/>
          <w:szCs w:val="24"/>
        </w:rPr>
        <w:t>sebagai</w:t>
      </w:r>
      <w:r w:rsidRPr="00D62471">
        <w:rPr>
          <w:rFonts w:ascii="Times New Roman" w:hAnsi="Times New Roman" w:cs="Times New Roman"/>
          <w:sz w:val="24"/>
          <w:szCs w:val="24"/>
        </w:rPr>
        <w:t xml:space="preserve"> Bank </w:t>
      </w:r>
      <w:r w:rsidRPr="00D62471">
        <w:rPr>
          <w:rFonts w:ascii="Times New Roman" w:hAnsi="Times New Roman" w:cs="Times New Roman"/>
          <w:sz w:val="24"/>
          <w:szCs w:val="24"/>
        </w:rPr>
        <w:t>sentral</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dengan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nama</w:t>
      </w:r>
      <w:r w:rsidRPr="00D62471">
        <w:rPr>
          <w:rFonts w:ascii="Times New Roman" w:hAnsi="Times New Roman" w:cs="Times New Roman"/>
          <w:sz w:val="24"/>
          <w:szCs w:val="24"/>
        </w:rPr>
        <w:t xml:space="preserve"> “Bank Negara Indonesia” </w:t>
      </w:r>
      <w:r w:rsidRPr="00D62471">
        <w:rPr>
          <w:rFonts w:ascii="Times New Roman" w:hAnsi="Times New Roman" w:cs="Times New Roman"/>
          <w:sz w:val="24"/>
          <w:szCs w:val="24"/>
        </w:rPr>
        <w:t>berdasarkan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Peraturan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Pemerintah</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Pengganti</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Undang-Undang</w:t>
      </w:r>
      <w:r w:rsidRPr="00D62471">
        <w:rPr>
          <w:rFonts w:ascii="Times New Roman" w:hAnsi="Times New Roman" w:cs="Times New Roman"/>
          <w:sz w:val="24"/>
          <w:szCs w:val="24"/>
        </w:rPr>
        <w:t xml:space="preserve"> No. 2 </w:t>
      </w:r>
      <w:r w:rsidRPr="00D62471">
        <w:rPr>
          <w:rFonts w:ascii="Times New Roman" w:hAnsi="Times New Roman" w:cs="Times New Roman"/>
          <w:sz w:val="24"/>
          <w:szCs w:val="24"/>
        </w:rPr>
        <w:t>tahun</w:t>
      </w:r>
      <w:r w:rsidRPr="00D62471">
        <w:rPr>
          <w:rFonts w:ascii="Times New Roman" w:hAnsi="Times New Roman" w:cs="Times New Roman"/>
          <w:sz w:val="24"/>
          <w:szCs w:val="24"/>
        </w:rPr>
        <w:t xml:space="preserve"> 1946 </w:t>
      </w:r>
      <w:r w:rsidRPr="00D62471">
        <w:rPr>
          <w:rFonts w:ascii="Times New Roman" w:hAnsi="Times New Roman" w:cs="Times New Roman"/>
          <w:sz w:val="24"/>
          <w:szCs w:val="24"/>
        </w:rPr>
        <w:t>tanggal</w:t>
      </w:r>
      <w:r w:rsidRPr="00D62471">
        <w:rPr>
          <w:rFonts w:ascii="Times New Roman" w:hAnsi="Times New Roman" w:cs="Times New Roman"/>
          <w:sz w:val="24"/>
          <w:szCs w:val="24"/>
        </w:rPr>
        <w:t xml:space="preserve"> 5 Juli 1946. </w:t>
      </w:r>
      <w:r w:rsidRPr="00D62471">
        <w:rPr>
          <w:rFonts w:ascii="Times New Roman" w:hAnsi="Times New Roman" w:cs="Times New Roman"/>
          <w:sz w:val="24"/>
          <w:szCs w:val="24"/>
        </w:rPr>
        <w:t>Selanjutnya</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berdasarkan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Undang-Undang</w:t>
      </w:r>
      <w:r w:rsidRPr="00D62471">
        <w:rPr>
          <w:rFonts w:ascii="Times New Roman" w:hAnsi="Times New Roman" w:cs="Times New Roman"/>
          <w:sz w:val="24"/>
          <w:szCs w:val="24"/>
        </w:rPr>
        <w:t xml:space="preserve"> No. 17 </w:t>
      </w:r>
      <w:r w:rsidRPr="00D62471">
        <w:rPr>
          <w:rFonts w:ascii="Times New Roman" w:hAnsi="Times New Roman" w:cs="Times New Roman"/>
          <w:sz w:val="24"/>
          <w:szCs w:val="24"/>
        </w:rPr>
        <w:t>tahun</w:t>
      </w:r>
      <w:r w:rsidRPr="00D62471">
        <w:rPr>
          <w:rFonts w:ascii="Times New Roman" w:hAnsi="Times New Roman" w:cs="Times New Roman"/>
          <w:sz w:val="24"/>
          <w:szCs w:val="24"/>
        </w:rPr>
        <w:t xml:space="preserve"> 1968, BNI </w:t>
      </w:r>
      <w:r w:rsidRPr="00D62471">
        <w:rPr>
          <w:rFonts w:ascii="Times New Roman" w:hAnsi="Times New Roman" w:cs="Times New Roman"/>
          <w:sz w:val="24"/>
          <w:szCs w:val="24"/>
        </w:rPr>
        <w:t>ditetapkan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menjadi</w:t>
      </w:r>
      <w:r w:rsidRPr="00D62471">
        <w:rPr>
          <w:rFonts w:ascii="Times New Roman" w:hAnsi="Times New Roman" w:cs="Times New Roman"/>
          <w:sz w:val="24"/>
          <w:szCs w:val="24"/>
        </w:rPr>
        <w:t xml:space="preserve"> “Bank Negara Indonesia 1946”, dan </w:t>
      </w:r>
      <w:r w:rsidRPr="00D62471">
        <w:rPr>
          <w:rFonts w:ascii="Times New Roman" w:hAnsi="Times New Roman" w:cs="Times New Roman"/>
          <w:sz w:val="24"/>
          <w:szCs w:val="24"/>
        </w:rPr>
        <w:t>statusnya</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menjadi</w:t>
      </w:r>
      <w:r w:rsidRPr="00D62471">
        <w:rPr>
          <w:rFonts w:ascii="Times New Roman" w:hAnsi="Times New Roman" w:cs="Times New Roman"/>
          <w:sz w:val="24"/>
          <w:szCs w:val="24"/>
        </w:rPr>
        <w:t xml:space="preserve"> Bank Umum Milik Negara. </w:t>
      </w:r>
      <w:r w:rsidRPr="00D62471">
        <w:rPr>
          <w:rFonts w:ascii="Times New Roman" w:hAnsi="Times New Roman" w:cs="Times New Roman"/>
          <w:sz w:val="24"/>
          <w:szCs w:val="24"/>
        </w:rPr>
        <w:t>Berdasarkan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Peraturan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Pemerintah</w:t>
      </w:r>
      <w:r w:rsidRPr="00D62471">
        <w:rPr>
          <w:rFonts w:ascii="Times New Roman" w:hAnsi="Times New Roman" w:cs="Times New Roman"/>
          <w:sz w:val="24"/>
          <w:szCs w:val="24"/>
        </w:rPr>
        <w:t xml:space="preserve"> No. 19 </w:t>
      </w:r>
      <w:r w:rsidRPr="00D62471">
        <w:rPr>
          <w:rFonts w:ascii="Times New Roman" w:hAnsi="Times New Roman" w:cs="Times New Roman"/>
          <w:sz w:val="24"/>
          <w:szCs w:val="24"/>
        </w:rPr>
        <w:t>tahun</w:t>
      </w:r>
      <w:r w:rsidRPr="00D62471">
        <w:rPr>
          <w:rFonts w:ascii="Times New Roman" w:hAnsi="Times New Roman" w:cs="Times New Roman"/>
          <w:sz w:val="24"/>
          <w:szCs w:val="24"/>
        </w:rPr>
        <w:t xml:space="preserve"> 1992, </w:t>
      </w:r>
      <w:r w:rsidRPr="00D62471">
        <w:rPr>
          <w:rFonts w:ascii="Times New Roman" w:hAnsi="Times New Roman" w:cs="Times New Roman"/>
          <w:sz w:val="24"/>
          <w:szCs w:val="24"/>
        </w:rPr>
        <w:t>tanggal</w:t>
      </w:r>
      <w:r w:rsidRPr="00D62471">
        <w:rPr>
          <w:rFonts w:ascii="Times New Roman" w:hAnsi="Times New Roman" w:cs="Times New Roman"/>
          <w:sz w:val="24"/>
          <w:szCs w:val="24"/>
        </w:rPr>
        <w:t xml:space="preserve"> 29 April </w:t>
      </w:r>
      <w:r w:rsidRPr="00D62471">
        <w:rPr>
          <w:rFonts w:ascii="Times New Roman" w:hAnsi="Times New Roman" w:cs="Times New Roman"/>
          <w:sz w:val="24"/>
          <w:szCs w:val="24"/>
        </w:rPr>
        <w:t xml:space="preserve">1992, </w:t>
      </w:r>
      <w:r w:rsidRPr="00D62471">
        <w:rPr>
          <w:rFonts w:ascii="Times New Roman" w:hAnsi="Times New Roman" w:cs="Times New Roman"/>
          <w:sz w:val="24"/>
          <w:szCs w:val="24"/>
        </w:rPr>
        <w:t>telah</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dilakukan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penyesuaian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bentuk</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hukum</w:t>
      </w:r>
      <w:r w:rsidRPr="00D62471">
        <w:rPr>
          <w:rFonts w:ascii="Times New Roman" w:hAnsi="Times New Roman" w:cs="Times New Roman"/>
          <w:sz w:val="24"/>
          <w:szCs w:val="24"/>
        </w:rPr>
        <w:t xml:space="preserve"> BNI </w:t>
      </w:r>
      <w:r w:rsidRPr="00D62471">
        <w:rPr>
          <w:rFonts w:ascii="Times New Roman" w:hAnsi="Times New Roman" w:cs="Times New Roman"/>
          <w:sz w:val="24"/>
          <w:szCs w:val="24"/>
        </w:rPr>
        <w:t>menjadi</w:t>
      </w:r>
      <w:r w:rsidRPr="00D62471">
        <w:rPr>
          <w:rFonts w:ascii="Times New Roman" w:hAnsi="Times New Roman" w:cs="Times New Roman"/>
          <w:sz w:val="24"/>
          <w:szCs w:val="24"/>
        </w:rPr>
        <w:t xml:space="preserve"> Perusahaan Perseroan </w:t>
      </w:r>
      <w:r w:rsidRPr="00D62471">
        <w:rPr>
          <w:rFonts w:ascii="Times New Roman" w:hAnsi="Times New Roman" w:cs="Times New Roman"/>
          <w:sz w:val="24"/>
          <w:szCs w:val="24"/>
        </w:rPr>
        <w:t>Terbatas</w:t>
      </w:r>
      <w:r w:rsidRPr="00D62471">
        <w:rPr>
          <w:rFonts w:ascii="Times New Roman" w:hAnsi="Times New Roman" w:cs="Times New Roman"/>
          <w:sz w:val="24"/>
          <w:szCs w:val="24"/>
        </w:rPr>
        <w:t xml:space="preserve"> (Persero). </w:t>
      </w:r>
      <w:r w:rsidRPr="00D62471">
        <w:rPr>
          <w:rFonts w:ascii="Times New Roman" w:hAnsi="Times New Roman" w:cs="Times New Roman"/>
          <w:sz w:val="24"/>
          <w:szCs w:val="24"/>
        </w:rPr>
        <w:t>Penyesuaian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bentuk</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hukum</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menjadi</w:t>
      </w:r>
      <w:r w:rsidRPr="00D62471">
        <w:rPr>
          <w:rFonts w:ascii="Times New Roman" w:hAnsi="Times New Roman" w:cs="Times New Roman"/>
          <w:sz w:val="24"/>
          <w:szCs w:val="24"/>
        </w:rPr>
        <w:t xml:space="preserve"> Persero. BNI </w:t>
      </w:r>
      <w:r w:rsidRPr="00D62471">
        <w:rPr>
          <w:rFonts w:ascii="Times New Roman" w:hAnsi="Times New Roman" w:cs="Times New Roman"/>
          <w:sz w:val="24"/>
          <w:szCs w:val="24"/>
        </w:rPr>
        <w:t>merupakan</w:t>
      </w:r>
      <w:r w:rsidRPr="00D62471">
        <w:rPr>
          <w:rFonts w:ascii="Times New Roman" w:hAnsi="Times New Roman" w:cs="Times New Roman"/>
          <w:sz w:val="24"/>
          <w:szCs w:val="24"/>
        </w:rPr>
        <w:t xml:space="preserve"> Bank BUMN (Badan Usaha Milik Negara) </w:t>
      </w:r>
      <w:r w:rsidRPr="00D62471">
        <w:rPr>
          <w:rFonts w:ascii="Times New Roman" w:hAnsi="Times New Roman" w:cs="Times New Roman"/>
          <w:sz w:val="24"/>
          <w:szCs w:val="24"/>
        </w:rPr>
        <w:t>pertama</w:t>
      </w:r>
      <w:r w:rsidRPr="00D62471">
        <w:rPr>
          <w:rFonts w:ascii="Times New Roman" w:hAnsi="Times New Roman" w:cs="Times New Roman"/>
          <w:sz w:val="24"/>
          <w:szCs w:val="24"/>
        </w:rPr>
        <w:t xml:space="preserve"> yang </w:t>
      </w:r>
      <w:r w:rsidRPr="00D62471">
        <w:rPr>
          <w:rFonts w:ascii="Times New Roman" w:hAnsi="Times New Roman" w:cs="Times New Roman"/>
          <w:sz w:val="24"/>
          <w:szCs w:val="24"/>
        </w:rPr>
        <w:t>menjadi</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perusahaan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publik</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setelah</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mencatatkan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sahamnya</w:t>
      </w:r>
      <w:r w:rsidRPr="00D62471">
        <w:rPr>
          <w:rFonts w:ascii="Times New Roman" w:hAnsi="Times New Roman" w:cs="Times New Roman"/>
          <w:sz w:val="24"/>
          <w:szCs w:val="24"/>
        </w:rPr>
        <w:t xml:space="preserve"> di Bursa </w:t>
      </w:r>
      <w:r w:rsidRPr="00D62471">
        <w:rPr>
          <w:rFonts w:ascii="Times New Roman" w:hAnsi="Times New Roman" w:cs="Times New Roman"/>
          <w:sz w:val="24"/>
          <w:szCs w:val="24"/>
        </w:rPr>
        <w:t>Efek</w:t>
      </w:r>
      <w:r w:rsidRPr="00D62471">
        <w:rPr>
          <w:rFonts w:ascii="Times New Roman" w:hAnsi="Times New Roman" w:cs="Times New Roman"/>
          <w:sz w:val="24"/>
          <w:szCs w:val="24"/>
        </w:rPr>
        <w:t xml:space="preserve"> Jakarta dan Bursa </w:t>
      </w:r>
      <w:r w:rsidRPr="00D62471">
        <w:rPr>
          <w:rFonts w:ascii="Times New Roman" w:hAnsi="Times New Roman" w:cs="Times New Roman"/>
          <w:sz w:val="24"/>
          <w:szCs w:val="24"/>
        </w:rPr>
        <w:t>Efek</w:t>
      </w:r>
      <w:r w:rsidRPr="00D62471">
        <w:rPr>
          <w:rFonts w:ascii="Times New Roman" w:hAnsi="Times New Roman" w:cs="Times New Roman"/>
          <w:sz w:val="24"/>
          <w:szCs w:val="24"/>
        </w:rPr>
        <w:t xml:space="preserve"> Surabaya pada </w:t>
      </w:r>
      <w:r w:rsidRPr="00D62471">
        <w:rPr>
          <w:rFonts w:ascii="Times New Roman" w:hAnsi="Times New Roman" w:cs="Times New Roman"/>
          <w:sz w:val="24"/>
          <w:szCs w:val="24"/>
        </w:rPr>
        <w:t>tahun</w:t>
      </w:r>
      <w:r w:rsidRPr="00D62471">
        <w:rPr>
          <w:rFonts w:ascii="Times New Roman" w:hAnsi="Times New Roman" w:cs="Times New Roman"/>
          <w:sz w:val="24"/>
          <w:szCs w:val="24"/>
        </w:rPr>
        <w:t xml:space="preserve"> 1996. Saat </w:t>
      </w:r>
      <w:r w:rsidRPr="00D62471">
        <w:rPr>
          <w:rFonts w:ascii="Times New Roman" w:hAnsi="Times New Roman" w:cs="Times New Roman"/>
          <w:sz w:val="24"/>
          <w:szCs w:val="24"/>
        </w:rPr>
        <w:t>ini</w:t>
      </w:r>
      <w:r w:rsidRPr="00D62471">
        <w:rPr>
          <w:rFonts w:ascii="Times New Roman" w:hAnsi="Times New Roman" w:cs="Times New Roman"/>
          <w:sz w:val="24"/>
          <w:szCs w:val="24"/>
        </w:rPr>
        <w:t xml:space="preserve">, 60% </w:t>
      </w:r>
      <w:r w:rsidRPr="00D62471">
        <w:rPr>
          <w:rFonts w:ascii="Times New Roman" w:hAnsi="Times New Roman" w:cs="Times New Roman"/>
          <w:sz w:val="24"/>
          <w:szCs w:val="24"/>
        </w:rPr>
        <w:t>saham-saham</w:t>
      </w:r>
      <w:r w:rsidRPr="00D62471">
        <w:rPr>
          <w:rFonts w:ascii="Times New Roman" w:hAnsi="Times New Roman" w:cs="Times New Roman"/>
          <w:sz w:val="24"/>
          <w:szCs w:val="24"/>
        </w:rPr>
        <w:t xml:space="preserve"> BNI </w:t>
      </w:r>
      <w:r w:rsidRPr="00D62471">
        <w:rPr>
          <w:rFonts w:ascii="Times New Roman" w:hAnsi="Times New Roman" w:cs="Times New Roman"/>
          <w:sz w:val="24"/>
          <w:szCs w:val="24"/>
        </w:rPr>
        <w:t>dimiliki</w:t>
      </w:r>
      <w:r w:rsidRPr="00D62471">
        <w:rPr>
          <w:rFonts w:ascii="Times New Roman" w:hAnsi="Times New Roman" w:cs="Times New Roman"/>
          <w:sz w:val="24"/>
          <w:szCs w:val="24"/>
        </w:rPr>
        <w:t xml:space="preserve"> oleh </w:t>
      </w:r>
      <w:r w:rsidRPr="00D62471">
        <w:rPr>
          <w:rFonts w:ascii="Times New Roman" w:hAnsi="Times New Roman" w:cs="Times New Roman"/>
          <w:sz w:val="24"/>
          <w:szCs w:val="24"/>
        </w:rPr>
        <w:t>Pemerintah</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Republik</w:t>
      </w:r>
      <w:r w:rsidRPr="00D62471">
        <w:rPr>
          <w:rFonts w:ascii="Times New Roman" w:hAnsi="Times New Roman" w:cs="Times New Roman"/>
          <w:sz w:val="24"/>
          <w:szCs w:val="24"/>
        </w:rPr>
        <w:t xml:space="preserve"> Indonesia, </w:t>
      </w:r>
      <w:r w:rsidRPr="00D62471">
        <w:rPr>
          <w:rFonts w:ascii="Times New Roman" w:hAnsi="Times New Roman" w:cs="Times New Roman"/>
          <w:sz w:val="24"/>
          <w:szCs w:val="24"/>
        </w:rPr>
        <w:t>sedangkan</w:t>
      </w:r>
      <w:r w:rsidRPr="00D62471">
        <w:rPr>
          <w:rFonts w:ascii="Times New Roman" w:hAnsi="Times New Roman" w:cs="Times New Roman"/>
          <w:sz w:val="24"/>
          <w:szCs w:val="24"/>
        </w:rPr>
        <w:t xml:space="preserve"> 40% </w:t>
      </w:r>
      <w:r w:rsidRPr="00D62471">
        <w:rPr>
          <w:rFonts w:ascii="Times New Roman" w:hAnsi="Times New Roman" w:cs="Times New Roman"/>
          <w:sz w:val="24"/>
          <w:szCs w:val="24"/>
        </w:rPr>
        <w:t>sisanya</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dimiliki</w:t>
      </w:r>
      <w:r w:rsidRPr="00D62471">
        <w:rPr>
          <w:rFonts w:ascii="Times New Roman" w:hAnsi="Times New Roman" w:cs="Times New Roman"/>
          <w:sz w:val="24"/>
          <w:szCs w:val="24"/>
        </w:rPr>
        <w:t xml:space="preserve"> oleh </w:t>
      </w:r>
      <w:r w:rsidRPr="00D62471">
        <w:rPr>
          <w:rFonts w:ascii="Times New Roman" w:hAnsi="Times New Roman" w:cs="Times New Roman"/>
          <w:sz w:val="24"/>
          <w:szCs w:val="24"/>
        </w:rPr>
        <w:t>masyarakat</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baik</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individu</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maupun</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institusi</w:t>
      </w:r>
      <w:r w:rsidRPr="00D62471">
        <w:rPr>
          <w:rFonts w:ascii="Times New Roman" w:hAnsi="Times New Roman" w:cs="Times New Roman"/>
          <w:sz w:val="24"/>
          <w:szCs w:val="24"/>
        </w:rPr>
        <w:t xml:space="preserve">, </w:t>
      </w:r>
      <w:r w:rsidRPr="00D62471">
        <w:rPr>
          <w:rFonts w:ascii="Times New Roman" w:hAnsi="Times New Roman" w:cs="Times New Roman"/>
          <w:sz w:val="24"/>
          <w:szCs w:val="24"/>
        </w:rPr>
        <w:t>domestik</w:t>
      </w:r>
      <w:r w:rsidRPr="00D62471">
        <w:rPr>
          <w:rFonts w:ascii="Times New Roman" w:hAnsi="Times New Roman" w:cs="Times New Roman"/>
          <w:sz w:val="24"/>
          <w:szCs w:val="24"/>
        </w:rPr>
        <w:t xml:space="preserve"> dan </w:t>
      </w:r>
      <w:r w:rsidRPr="00D62471">
        <w:rPr>
          <w:rFonts w:ascii="Times New Roman" w:hAnsi="Times New Roman" w:cs="Times New Roman"/>
          <w:sz w:val="24"/>
          <w:szCs w:val="24"/>
        </w:rPr>
        <w:t>asing</w:t>
      </w:r>
      <w:r w:rsidRPr="00D62471">
        <w:rPr>
          <w:rFonts w:ascii="Times New Roman" w:hAnsi="Times New Roman" w:cs="Times New Roman"/>
          <w:sz w:val="24"/>
          <w:szCs w:val="24"/>
        </w:rPr>
        <w:t>.</w:t>
      </w:r>
    </w:p>
    <w:p w:rsidR="00D62471" w:rsidP="00D62471" w14:paraId="2D719E97" w14:textId="24047C74">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Rakyat Indonesia (</w:t>
      </w:r>
      <w:r>
        <w:rPr>
          <w:rFonts w:ascii="Times New Roman" w:hAnsi="Times New Roman" w:cs="Times New Roman"/>
          <w:b/>
          <w:bCs/>
          <w:sz w:val="24"/>
          <w:szCs w:val="24"/>
        </w:rPr>
        <w:t>Persero</w:t>
      </w:r>
      <w:r w:rsidRPr="00FF6A7C">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FF6A7C" w:rsidRPr="004F0422" w:rsidP="004F0422" w14:paraId="0B2EC3A7" w14:textId="29C6F47A">
      <w:pPr>
        <w:pStyle w:val="ListParagraph"/>
        <w:spacing w:after="0" w:line="480" w:lineRule="auto"/>
        <w:ind w:left="1146" w:firstLine="294"/>
        <w:jc w:val="both"/>
        <w:rPr>
          <w:rFonts w:ascii="Times New Roman" w:hAnsi="Times New Roman" w:cs="Times New Roman"/>
          <w:sz w:val="24"/>
          <w:szCs w:val="24"/>
        </w:rPr>
      </w:pPr>
      <w:r w:rsidRPr="004F0422">
        <w:rPr>
          <w:rFonts w:ascii="Times New Roman" w:hAnsi="Times New Roman" w:cs="Times New Roman"/>
          <w:sz w:val="24"/>
          <w:szCs w:val="24"/>
        </w:rPr>
        <w:t xml:space="preserve">Bank Rakyat Indonesia (BRI) </w:t>
      </w:r>
      <w:r w:rsidRPr="004F0422">
        <w:rPr>
          <w:rFonts w:ascii="Times New Roman" w:hAnsi="Times New Roman" w:cs="Times New Roman"/>
          <w:sz w:val="24"/>
          <w:szCs w:val="24"/>
        </w:rPr>
        <w:t>adalah</w:t>
      </w:r>
      <w:r w:rsidRPr="004F0422">
        <w:rPr>
          <w:rFonts w:ascii="Times New Roman" w:hAnsi="Times New Roman" w:cs="Times New Roman"/>
          <w:sz w:val="24"/>
          <w:szCs w:val="24"/>
        </w:rPr>
        <w:t xml:space="preserve"> salah </w:t>
      </w:r>
      <w:r w:rsidRPr="004F0422">
        <w:rPr>
          <w:rFonts w:ascii="Times New Roman" w:hAnsi="Times New Roman" w:cs="Times New Roman"/>
          <w:sz w:val="24"/>
          <w:szCs w:val="24"/>
        </w:rPr>
        <w:t>satu</w:t>
      </w:r>
      <w:r w:rsidRPr="004F0422">
        <w:rPr>
          <w:rFonts w:ascii="Times New Roman" w:hAnsi="Times New Roman" w:cs="Times New Roman"/>
          <w:sz w:val="24"/>
          <w:szCs w:val="24"/>
        </w:rPr>
        <w:t xml:space="preserve"> bank </w:t>
      </w:r>
      <w:r w:rsidRPr="004F0422">
        <w:rPr>
          <w:rFonts w:ascii="Times New Roman" w:hAnsi="Times New Roman" w:cs="Times New Roman"/>
          <w:sz w:val="24"/>
          <w:szCs w:val="24"/>
        </w:rPr>
        <w:t>milik</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pemerintah</w:t>
      </w:r>
      <w:r w:rsidRPr="004F0422">
        <w:rPr>
          <w:rFonts w:ascii="Times New Roman" w:hAnsi="Times New Roman" w:cs="Times New Roman"/>
          <w:sz w:val="24"/>
          <w:szCs w:val="24"/>
        </w:rPr>
        <w:t xml:space="preserve"> yang </w:t>
      </w:r>
      <w:r w:rsidRPr="004F0422">
        <w:rPr>
          <w:rFonts w:ascii="Times New Roman" w:hAnsi="Times New Roman" w:cs="Times New Roman"/>
          <w:sz w:val="24"/>
          <w:szCs w:val="24"/>
        </w:rPr>
        <w:t>terbesar</w:t>
      </w:r>
      <w:r w:rsidRPr="004F0422">
        <w:rPr>
          <w:rFonts w:ascii="Times New Roman" w:hAnsi="Times New Roman" w:cs="Times New Roman"/>
          <w:sz w:val="24"/>
          <w:szCs w:val="24"/>
        </w:rPr>
        <w:t xml:space="preserve"> di Indonesia. Bank Rakyat Indonesia (BRI) </w:t>
      </w:r>
      <w:r w:rsidRPr="004F0422">
        <w:rPr>
          <w:rFonts w:ascii="Times New Roman" w:hAnsi="Times New Roman" w:cs="Times New Roman"/>
          <w:sz w:val="24"/>
          <w:szCs w:val="24"/>
        </w:rPr>
        <w:t>didirikan</w:t>
      </w:r>
      <w:r w:rsidRPr="004F0422">
        <w:rPr>
          <w:rFonts w:ascii="Times New Roman" w:hAnsi="Times New Roman" w:cs="Times New Roman"/>
          <w:sz w:val="24"/>
          <w:szCs w:val="24"/>
        </w:rPr>
        <w:t xml:space="preserve"> di </w:t>
      </w:r>
      <w:r w:rsidRPr="004F0422">
        <w:rPr>
          <w:rFonts w:ascii="Times New Roman" w:hAnsi="Times New Roman" w:cs="Times New Roman"/>
          <w:sz w:val="24"/>
          <w:szCs w:val="24"/>
        </w:rPr>
        <w:t>Purwokerto</w:t>
      </w:r>
      <w:r w:rsidRPr="004F0422">
        <w:rPr>
          <w:rFonts w:ascii="Times New Roman" w:hAnsi="Times New Roman" w:cs="Times New Roman"/>
          <w:sz w:val="24"/>
          <w:szCs w:val="24"/>
        </w:rPr>
        <w:t xml:space="preserve">, Jawa Tengah oleh Raden Bei Aria </w:t>
      </w:r>
      <w:r w:rsidRPr="004F0422">
        <w:rPr>
          <w:rFonts w:ascii="Times New Roman" w:hAnsi="Times New Roman" w:cs="Times New Roman"/>
          <w:sz w:val="24"/>
          <w:szCs w:val="24"/>
        </w:rPr>
        <w:t>Wirjaatmadja</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tanggal</w:t>
      </w:r>
      <w:r w:rsidRPr="004F0422">
        <w:rPr>
          <w:rFonts w:ascii="Times New Roman" w:hAnsi="Times New Roman" w:cs="Times New Roman"/>
          <w:sz w:val="24"/>
          <w:szCs w:val="24"/>
        </w:rPr>
        <w:t xml:space="preserve"> 16 </w:t>
      </w:r>
      <w:r w:rsidRPr="004F0422">
        <w:rPr>
          <w:rFonts w:ascii="Times New Roman" w:hAnsi="Times New Roman" w:cs="Times New Roman"/>
          <w:sz w:val="24"/>
          <w:szCs w:val="24"/>
        </w:rPr>
        <w:t>Desember</w:t>
      </w:r>
      <w:r w:rsidRPr="004F0422">
        <w:rPr>
          <w:rFonts w:ascii="Times New Roman" w:hAnsi="Times New Roman" w:cs="Times New Roman"/>
          <w:sz w:val="24"/>
          <w:szCs w:val="24"/>
        </w:rPr>
        <w:t xml:space="preserve"> 1895 </w:t>
      </w:r>
      <w:r w:rsidRPr="004F0422">
        <w:rPr>
          <w:rFonts w:ascii="Times New Roman" w:hAnsi="Times New Roman" w:cs="Times New Roman"/>
          <w:sz w:val="24"/>
          <w:szCs w:val="24"/>
        </w:rPr>
        <w:t>dengan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nama</w:t>
      </w:r>
      <w:r w:rsidRPr="004F0422">
        <w:rPr>
          <w:rFonts w:ascii="Times New Roman" w:hAnsi="Times New Roman" w:cs="Times New Roman"/>
          <w:sz w:val="24"/>
          <w:szCs w:val="24"/>
        </w:rPr>
        <w:t xml:space="preserve"> </w:t>
      </w:r>
      <w:r w:rsidRPr="004F0422">
        <w:rPr>
          <w:rFonts w:ascii="Times New Roman" w:hAnsi="Times New Roman" w:cs="Times New Roman"/>
          <w:i/>
          <w:iCs/>
          <w:sz w:val="24"/>
          <w:szCs w:val="24"/>
        </w:rPr>
        <w:t xml:space="preserve">De </w:t>
      </w:r>
      <w:r w:rsidRPr="004F0422">
        <w:rPr>
          <w:rFonts w:ascii="Times New Roman" w:hAnsi="Times New Roman" w:cs="Times New Roman"/>
          <w:i/>
          <w:iCs/>
          <w:sz w:val="24"/>
          <w:szCs w:val="24"/>
        </w:rPr>
        <w:t>Poerwokertosche</w:t>
      </w:r>
      <w:r w:rsidRPr="004F0422">
        <w:rPr>
          <w:rFonts w:ascii="Times New Roman" w:hAnsi="Times New Roman" w:cs="Times New Roman"/>
          <w:i/>
          <w:iCs/>
          <w:sz w:val="24"/>
          <w:szCs w:val="24"/>
        </w:rPr>
        <w:t xml:space="preserve"> </w:t>
      </w:r>
      <w:r w:rsidRPr="004F0422">
        <w:rPr>
          <w:rFonts w:ascii="Times New Roman" w:hAnsi="Times New Roman" w:cs="Times New Roman"/>
          <w:i/>
          <w:iCs/>
          <w:sz w:val="24"/>
          <w:szCs w:val="24"/>
        </w:rPr>
        <w:t>Hulpen</w:t>
      </w:r>
      <w:r w:rsidRPr="004F0422">
        <w:rPr>
          <w:rFonts w:ascii="Times New Roman" w:hAnsi="Times New Roman" w:cs="Times New Roman"/>
          <w:i/>
          <w:iCs/>
          <w:sz w:val="24"/>
          <w:szCs w:val="24"/>
        </w:rPr>
        <w:t xml:space="preserve"> </w:t>
      </w:r>
      <w:r w:rsidRPr="004F0422">
        <w:rPr>
          <w:rFonts w:ascii="Times New Roman" w:hAnsi="Times New Roman" w:cs="Times New Roman"/>
          <w:i/>
          <w:iCs/>
          <w:sz w:val="24"/>
          <w:szCs w:val="24"/>
        </w:rPr>
        <w:t>Spaarbank</w:t>
      </w:r>
      <w:r w:rsidRPr="004F0422">
        <w:rPr>
          <w:rFonts w:ascii="Times New Roman" w:hAnsi="Times New Roman" w:cs="Times New Roman"/>
          <w:i/>
          <w:iCs/>
          <w:sz w:val="24"/>
          <w:szCs w:val="24"/>
        </w:rPr>
        <w:t xml:space="preserve"> der </w:t>
      </w:r>
      <w:r w:rsidRPr="004F0422">
        <w:rPr>
          <w:rFonts w:ascii="Times New Roman" w:hAnsi="Times New Roman" w:cs="Times New Roman"/>
          <w:i/>
          <w:iCs/>
          <w:sz w:val="24"/>
          <w:szCs w:val="24"/>
        </w:rPr>
        <w:t>Indlandsche</w:t>
      </w:r>
      <w:r w:rsidRPr="004F0422">
        <w:rPr>
          <w:rFonts w:ascii="Times New Roman" w:hAnsi="Times New Roman" w:cs="Times New Roman"/>
          <w:i/>
          <w:iCs/>
          <w:sz w:val="24"/>
          <w:szCs w:val="24"/>
        </w:rPr>
        <w:t xml:space="preserve"> </w:t>
      </w:r>
      <w:r w:rsidRPr="004F0422">
        <w:rPr>
          <w:rFonts w:ascii="Times New Roman" w:hAnsi="Times New Roman" w:cs="Times New Roman"/>
          <w:i/>
          <w:iCs/>
          <w:sz w:val="24"/>
          <w:szCs w:val="24"/>
        </w:rPr>
        <w:t>Hoofden</w:t>
      </w:r>
      <w:r w:rsidRPr="004F0422">
        <w:rPr>
          <w:rFonts w:ascii="Times New Roman" w:hAnsi="Times New Roman" w:cs="Times New Roman"/>
          <w:sz w:val="24"/>
          <w:szCs w:val="24"/>
        </w:rPr>
        <w:t xml:space="preserve">, yang pada </w:t>
      </w:r>
      <w:r w:rsidRPr="004F0422">
        <w:rPr>
          <w:rFonts w:ascii="Times New Roman" w:hAnsi="Times New Roman" w:cs="Times New Roman"/>
          <w:sz w:val="24"/>
          <w:szCs w:val="24"/>
        </w:rPr>
        <w:t>awalnya</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adalah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lembaga</w:t>
      </w:r>
      <w:r w:rsidRPr="004F0422">
        <w:rPr>
          <w:rFonts w:ascii="Times New Roman" w:hAnsi="Times New Roman" w:cs="Times New Roman"/>
          <w:sz w:val="24"/>
          <w:szCs w:val="24"/>
        </w:rPr>
        <w:t xml:space="preserve"> yang </w:t>
      </w:r>
      <w:r w:rsidRPr="004F0422">
        <w:rPr>
          <w:rFonts w:ascii="Times New Roman" w:hAnsi="Times New Roman" w:cs="Times New Roman"/>
          <w:sz w:val="24"/>
          <w:szCs w:val="24"/>
        </w:rPr>
        <w:t>mengelola</w:t>
      </w:r>
      <w:r w:rsidRPr="004F0422">
        <w:rPr>
          <w:rFonts w:ascii="Times New Roman" w:hAnsi="Times New Roman" w:cs="Times New Roman"/>
          <w:sz w:val="24"/>
          <w:szCs w:val="24"/>
        </w:rPr>
        <w:t xml:space="preserve"> dana kas masjid </w:t>
      </w:r>
      <w:r w:rsidRPr="004F0422">
        <w:rPr>
          <w:rFonts w:ascii="Times New Roman" w:hAnsi="Times New Roman" w:cs="Times New Roman"/>
          <w:sz w:val="24"/>
          <w:szCs w:val="24"/>
        </w:rPr>
        <w:t>untuk</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disalurkan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kepada</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masyarakat</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dengan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skema</w:t>
      </w:r>
      <w:r w:rsidRPr="004F0422">
        <w:rPr>
          <w:rFonts w:ascii="Times New Roman" w:hAnsi="Times New Roman" w:cs="Times New Roman"/>
          <w:sz w:val="24"/>
          <w:szCs w:val="24"/>
        </w:rPr>
        <w:t xml:space="preserve"> yang sangat </w:t>
      </w:r>
      <w:r w:rsidRPr="004F0422">
        <w:rPr>
          <w:rFonts w:ascii="Times New Roman" w:hAnsi="Times New Roman" w:cs="Times New Roman"/>
          <w:sz w:val="24"/>
          <w:szCs w:val="24"/>
        </w:rPr>
        <w:t>sederhana</w:t>
      </w:r>
      <w:r w:rsidRPr="004F0422">
        <w:rPr>
          <w:rFonts w:ascii="Times New Roman" w:hAnsi="Times New Roman" w:cs="Times New Roman"/>
          <w:sz w:val="24"/>
          <w:szCs w:val="24"/>
        </w:rPr>
        <w:t>.</w:t>
      </w:r>
      <w:r>
        <w:rPr>
          <w:rFonts w:ascii="Times New Roman" w:hAnsi="Times New Roman" w:cs="Times New Roman"/>
          <w:sz w:val="24"/>
          <w:szCs w:val="24"/>
        </w:rPr>
        <w:t xml:space="preserve"> </w:t>
      </w:r>
      <w:r w:rsidRPr="004F0422">
        <w:rPr>
          <w:rFonts w:ascii="Times New Roman" w:hAnsi="Times New Roman" w:cs="Times New Roman"/>
          <w:sz w:val="24"/>
          <w:szCs w:val="24"/>
        </w:rPr>
        <w:t>Tanggal</w:t>
      </w:r>
      <w:r w:rsidRPr="004F0422">
        <w:rPr>
          <w:rFonts w:ascii="Times New Roman" w:hAnsi="Times New Roman" w:cs="Times New Roman"/>
          <w:sz w:val="24"/>
          <w:szCs w:val="24"/>
        </w:rPr>
        <w:t xml:space="preserve"> 22 </w:t>
      </w:r>
      <w:r w:rsidRPr="004F0422">
        <w:rPr>
          <w:rFonts w:ascii="Times New Roman" w:hAnsi="Times New Roman" w:cs="Times New Roman"/>
          <w:sz w:val="24"/>
          <w:szCs w:val="24"/>
        </w:rPr>
        <w:t>Februari</w:t>
      </w:r>
      <w:r w:rsidRPr="004F0422">
        <w:rPr>
          <w:rFonts w:ascii="Times New Roman" w:hAnsi="Times New Roman" w:cs="Times New Roman"/>
          <w:sz w:val="24"/>
          <w:szCs w:val="24"/>
        </w:rPr>
        <w:t xml:space="preserve"> 1946, </w:t>
      </w:r>
      <w:r w:rsidRPr="004F0422">
        <w:rPr>
          <w:rFonts w:ascii="Times New Roman" w:hAnsi="Times New Roman" w:cs="Times New Roman"/>
          <w:sz w:val="24"/>
          <w:szCs w:val="24"/>
        </w:rPr>
        <w:t>Pemerintah</w:t>
      </w:r>
      <w:r w:rsidRPr="004F0422">
        <w:rPr>
          <w:rFonts w:ascii="Times New Roman" w:hAnsi="Times New Roman" w:cs="Times New Roman"/>
          <w:sz w:val="24"/>
          <w:szCs w:val="24"/>
        </w:rPr>
        <w:t xml:space="preserve"> Indonesia </w:t>
      </w:r>
      <w:r w:rsidRPr="004F0422">
        <w:rPr>
          <w:rFonts w:ascii="Times New Roman" w:hAnsi="Times New Roman" w:cs="Times New Roman"/>
          <w:sz w:val="24"/>
          <w:szCs w:val="24"/>
        </w:rPr>
        <w:t>mengubah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lembaga</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ini</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menjadi</w:t>
      </w:r>
      <w:r w:rsidRPr="004F0422">
        <w:rPr>
          <w:rFonts w:ascii="Times New Roman" w:hAnsi="Times New Roman" w:cs="Times New Roman"/>
          <w:sz w:val="24"/>
          <w:szCs w:val="24"/>
        </w:rPr>
        <w:t xml:space="preserve"> Bank </w:t>
      </w:r>
      <w:r w:rsidRPr="004F0422">
        <w:rPr>
          <w:rFonts w:ascii="Times New Roman" w:hAnsi="Times New Roman" w:cs="Times New Roman"/>
          <w:sz w:val="24"/>
          <w:szCs w:val="24"/>
        </w:rPr>
        <w:t>Rakjat</w:t>
      </w:r>
      <w:r>
        <w:rPr>
          <w:rFonts w:ascii="Times New Roman" w:hAnsi="Times New Roman" w:cs="Times New Roman"/>
          <w:sz w:val="24"/>
          <w:szCs w:val="24"/>
        </w:rPr>
        <w:t xml:space="preserve"> </w:t>
      </w:r>
      <w:r w:rsidRPr="004F0422">
        <w:rPr>
          <w:rFonts w:ascii="Times New Roman" w:hAnsi="Times New Roman" w:cs="Times New Roman"/>
          <w:sz w:val="24"/>
          <w:szCs w:val="24"/>
        </w:rPr>
        <w:t xml:space="preserve">Indonesia (BRI) </w:t>
      </w:r>
      <w:r w:rsidRPr="004F0422">
        <w:rPr>
          <w:rFonts w:ascii="Times New Roman" w:hAnsi="Times New Roman" w:cs="Times New Roman"/>
          <w:sz w:val="24"/>
          <w:szCs w:val="24"/>
        </w:rPr>
        <w:t>berdasarkan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Peraturan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Pemerintah</w:t>
      </w:r>
      <w:r w:rsidRPr="004F0422">
        <w:rPr>
          <w:rFonts w:ascii="Times New Roman" w:hAnsi="Times New Roman" w:cs="Times New Roman"/>
          <w:sz w:val="24"/>
          <w:szCs w:val="24"/>
        </w:rPr>
        <w:t xml:space="preserve"> No.</w:t>
      </w:r>
      <w:r>
        <w:rPr>
          <w:rFonts w:ascii="Times New Roman" w:hAnsi="Times New Roman" w:cs="Times New Roman"/>
          <w:sz w:val="24"/>
          <w:szCs w:val="24"/>
        </w:rPr>
        <w:t xml:space="preserve"> </w:t>
      </w:r>
      <w:r w:rsidRPr="004F0422">
        <w:rPr>
          <w:rFonts w:ascii="Times New Roman" w:hAnsi="Times New Roman" w:cs="Times New Roman"/>
          <w:sz w:val="24"/>
          <w:szCs w:val="24"/>
        </w:rPr>
        <w:t>1</w:t>
      </w:r>
      <w:r>
        <w:rPr>
          <w:rFonts w:ascii="Times New Roman" w:hAnsi="Times New Roman" w:cs="Times New Roman"/>
          <w:sz w:val="24"/>
          <w:szCs w:val="24"/>
        </w:rPr>
        <w:t xml:space="preserve"> </w:t>
      </w:r>
      <w:r w:rsidRPr="004F0422">
        <w:rPr>
          <w:rFonts w:ascii="Times New Roman" w:hAnsi="Times New Roman" w:cs="Times New Roman"/>
          <w:sz w:val="24"/>
          <w:szCs w:val="24"/>
        </w:rPr>
        <w:t>tahun</w:t>
      </w:r>
      <w:r w:rsidRPr="004F0422">
        <w:rPr>
          <w:rFonts w:ascii="Times New Roman" w:hAnsi="Times New Roman" w:cs="Times New Roman"/>
          <w:sz w:val="24"/>
          <w:szCs w:val="24"/>
        </w:rPr>
        <w:t xml:space="preserve"> 1946 dan BRI </w:t>
      </w:r>
      <w:r w:rsidRPr="004F0422">
        <w:rPr>
          <w:rFonts w:ascii="Times New Roman" w:hAnsi="Times New Roman" w:cs="Times New Roman"/>
          <w:sz w:val="24"/>
          <w:szCs w:val="24"/>
        </w:rPr>
        <w:t>menjadi</w:t>
      </w:r>
      <w:r>
        <w:rPr>
          <w:rFonts w:ascii="Times New Roman" w:hAnsi="Times New Roman" w:cs="Times New Roman"/>
          <w:sz w:val="24"/>
          <w:szCs w:val="24"/>
        </w:rPr>
        <w:t xml:space="preserve"> </w:t>
      </w:r>
      <w:r w:rsidRPr="004F0422">
        <w:rPr>
          <w:rFonts w:ascii="Times New Roman" w:hAnsi="Times New Roman" w:cs="Times New Roman"/>
          <w:sz w:val="24"/>
          <w:szCs w:val="24"/>
        </w:rPr>
        <w:t xml:space="preserve">bank </w:t>
      </w:r>
      <w:r w:rsidRPr="004F0422">
        <w:rPr>
          <w:rFonts w:ascii="Times New Roman" w:hAnsi="Times New Roman" w:cs="Times New Roman"/>
          <w:sz w:val="24"/>
          <w:szCs w:val="24"/>
        </w:rPr>
        <w:t>pertama</w:t>
      </w:r>
      <w:r w:rsidRPr="004F0422">
        <w:rPr>
          <w:rFonts w:ascii="Times New Roman" w:hAnsi="Times New Roman" w:cs="Times New Roman"/>
          <w:sz w:val="24"/>
          <w:szCs w:val="24"/>
        </w:rPr>
        <w:t xml:space="preserve"> yang </w:t>
      </w:r>
      <w:r w:rsidRPr="004F0422">
        <w:rPr>
          <w:rFonts w:ascii="Times New Roman" w:hAnsi="Times New Roman" w:cs="Times New Roman"/>
          <w:sz w:val="24"/>
          <w:szCs w:val="24"/>
        </w:rPr>
        <w:t>dimiliki</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Pemerintah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Republik</w:t>
      </w:r>
      <w:r w:rsidRPr="004F0422">
        <w:rPr>
          <w:rFonts w:ascii="Times New Roman" w:hAnsi="Times New Roman" w:cs="Times New Roman"/>
          <w:sz w:val="24"/>
          <w:szCs w:val="24"/>
        </w:rPr>
        <w:t xml:space="preserve"> Indonesia. </w:t>
      </w:r>
      <w:r w:rsidRPr="004F0422">
        <w:rPr>
          <w:rFonts w:ascii="Times New Roman" w:hAnsi="Times New Roman" w:cs="Times New Roman"/>
          <w:sz w:val="24"/>
          <w:szCs w:val="24"/>
        </w:rPr>
        <w:t>Sejak</w:t>
      </w:r>
      <w:r w:rsidRPr="004F0422">
        <w:rPr>
          <w:rFonts w:ascii="Times New Roman" w:hAnsi="Times New Roman" w:cs="Times New Roman"/>
          <w:sz w:val="24"/>
          <w:szCs w:val="24"/>
        </w:rPr>
        <w:t xml:space="preserve"> 1 Agustus 1992 </w:t>
      </w:r>
      <w:r w:rsidRPr="004F0422">
        <w:rPr>
          <w:rFonts w:ascii="Times New Roman" w:hAnsi="Times New Roman" w:cs="Times New Roman"/>
          <w:sz w:val="24"/>
          <w:szCs w:val="24"/>
        </w:rPr>
        <w:t>berdasarkan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Undang-Undang</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Perbankan</w:t>
      </w:r>
      <w:r w:rsidRPr="004F0422">
        <w:rPr>
          <w:rFonts w:ascii="Times New Roman" w:hAnsi="Times New Roman" w:cs="Times New Roman"/>
          <w:sz w:val="24"/>
          <w:szCs w:val="24"/>
        </w:rPr>
        <w:t xml:space="preserve"> No. 7 </w:t>
      </w:r>
      <w:r w:rsidRPr="004F0422">
        <w:rPr>
          <w:rFonts w:ascii="Times New Roman" w:hAnsi="Times New Roman" w:cs="Times New Roman"/>
          <w:sz w:val="24"/>
          <w:szCs w:val="24"/>
        </w:rPr>
        <w:t>tahun</w:t>
      </w:r>
      <w:r w:rsidRPr="004F0422">
        <w:rPr>
          <w:rFonts w:ascii="Times New Roman" w:hAnsi="Times New Roman" w:cs="Times New Roman"/>
          <w:sz w:val="24"/>
          <w:szCs w:val="24"/>
        </w:rPr>
        <w:t xml:space="preserve"> 1992 dan </w:t>
      </w:r>
      <w:r w:rsidRPr="004F0422">
        <w:rPr>
          <w:rFonts w:ascii="Times New Roman" w:hAnsi="Times New Roman" w:cs="Times New Roman"/>
          <w:sz w:val="24"/>
          <w:szCs w:val="24"/>
        </w:rPr>
        <w:t>Peraturan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Pemerintan</w:t>
      </w:r>
      <w:r w:rsidRPr="004F0422">
        <w:rPr>
          <w:rFonts w:ascii="Times New Roman" w:hAnsi="Times New Roman" w:cs="Times New Roman"/>
          <w:sz w:val="24"/>
          <w:szCs w:val="24"/>
        </w:rPr>
        <w:t xml:space="preserve"> RI No. 21 </w:t>
      </w:r>
      <w:r w:rsidRPr="004F0422">
        <w:rPr>
          <w:rFonts w:ascii="Times New Roman" w:hAnsi="Times New Roman" w:cs="Times New Roman"/>
          <w:sz w:val="24"/>
          <w:szCs w:val="24"/>
        </w:rPr>
        <w:t>tahun</w:t>
      </w:r>
      <w:r w:rsidRPr="004F0422">
        <w:rPr>
          <w:rFonts w:ascii="Times New Roman" w:hAnsi="Times New Roman" w:cs="Times New Roman"/>
          <w:sz w:val="24"/>
          <w:szCs w:val="24"/>
        </w:rPr>
        <w:t xml:space="preserve"> 1992 status BRI </w:t>
      </w:r>
      <w:r w:rsidRPr="004F0422">
        <w:rPr>
          <w:rFonts w:ascii="Times New Roman" w:hAnsi="Times New Roman" w:cs="Times New Roman"/>
          <w:sz w:val="24"/>
          <w:szCs w:val="24"/>
        </w:rPr>
        <w:t>berubah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menjadi</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perseroan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terbatas</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Kepemikan</w:t>
      </w:r>
      <w:r w:rsidRPr="004F0422">
        <w:rPr>
          <w:rFonts w:ascii="Times New Roman" w:hAnsi="Times New Roman" w:cs="Times New Roman"/>
          <w:sz w:val="24"/>
          <w:szCs w:val="24"/>
        </w:rPr>
        <w:t xml:space="preserve"> BRI </w:t>
      </w:r>
      <w:r w:rsidRPr="004F0422">
        <w:rPr>
          <w:rFonts w:ascii="Times New Roman" w:hAnsi="Times New Roman" w:cs="Times New Roman"/>
          <w:sz w:val="24"/>
          <w:szCs w:val="24"/>
        </w:rPr>
        <w:t>saat</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itu</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masih</w:t>
      </w:r>
      <w:r w:rsidRPr="004F0422">
        <w:rPr>
          <w:rFonts w:ascii="Times New Roman" w:hAnsi="Times New Roman" w:cs="Times New Roman"/>
          <w:sz w:val="24"/>
          <w:szCs w:val="24"/>
        </w:rPr>
        <w:t xml:space="preserve"> 100% di </w:t>
      </w:r>
      <w:r w:rsidRPr="004F0422">
        <w:rPr>
          <w:rFonts w:ascii="Times New Roman" w:hAnsi="Times New Roman" w:cs="Times New Roman"/>
          <w:sz w:val="24"/>
          <w:szCs w:val="24"/>
        </w:rPr>
        <w:t>tangan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Pemerintah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Republik</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indonesia</w:t>
      </w:r>
      <w:r w:rsidRPr="004F0422">
        <w:rPr>
          <w:rFonts w:ascii="Times New Roman" w:hAnsi="Times New Roman" w:cs="Times New Roman"/>
          <w:sz w:val="24"/>
          <w:szCs w:val="24"/>
        </w:rPr>
        <w:t xml:space="preserve">. Pada </w:t>
      </w:r>
      <w:r w:rsidRPr="004F0422">
        <w:rPr>
          <w:rFonts w:ascii="Times New Roman" w:hAnsi="Times New Roman" w:cs="Times New Roman"/>
          <w:sz w:val="24"/>
          <w:szCs w:val="24"/>
        </w:rPr>
        <w:t>tahun</w:t>
      </w:r>
      <w:r w:rsidRPr="004F0422">
        <w:rPr>
          <w:rFonts w:ascii="Times New Roman" w:hAnsi="Times New Roman" w:cs="Times New Roman"/>
          <w:sz w:val="24"/>
          <w:szCs w:val="24"/>
        </w:rPr>
        <w:t xml:space="preserve"> 2003, </w:t>
      </w:r>
      <w:r w:rsidRPr="004F0422">
        <w:rPr>
          <w:rFonts w:ascii="Times New Roman" w:hAnsi="Times New Roman" w:cs="Times New Roman"/>
          <w:sz w:val="24"/>
          <w:szCs w:val="24"/>
        </w:rPr>
        <w:t>Pemerintah</w:t>
      </w:r>
      <w:r w:rsidRPr="004F0422">
        <w:rPr>
          <w:rFonts w:ascii="Times New Roman" w:hAnsi="Times New Roman" w:cs="Times New Roman"/>
          <w:sz w:val="24"/>
          <w:szCs w:val="24"/>
        </w:rPr>
        <w:t xml:space="preserve"> Indonesia </w:t>
      </w:r>
      <w:r w:rsidRPr="004F0422">
        <w:rPr>
          <w:rFonts w:ascii="Times New Roman" w:hAnsi="Times New Roman" w:cs="Times New Roman"/>
          <w:sz w:val="24"/>
          <w:szCs w:val="24"/>
        </w:rPr>
        <w:t>memutuskan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untuk</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menjual</w:t>
      </w:r>
      <w:r w:rsidRPr="004F0422">
        <w:rPr>
          <w:rFonts w:ascii="Times New Roman" w:hAnsi="Times New Roman" w:cs="Times New Roman"/>
          <w:sz w:val="24"/>
          <w:szCs w:val="24"/>
        </w:rPr>
        <w:t xml:space="preserve"> 30% </w:t>
      </w:r>
      <w:r w:rsidRPr="004F0422">
        <w:rPr>
          <w:rFonts w:ascii="Times New Roman" w:hAnsi="Times New Roman" w:cs="Times New Roman"/>
          <w:sz w:val="24"/>
          <w:szCs w:val="24"/>
        </w:rPr>
        <w:t>saham</w:t>
      </w:r>
      <w:r w:rsidRPr="004F0422">
        <w:rPr>
          <w:rFonts w:ascii="Times New Roman" w:hAnsi="Times New Roman" w:cs="Times New Roman"/>
          <w:sz w:val="24"/>
          <w:szCs w:val="24"/>
        </w:rPr>
        <w:t xml:space="preserve"> bank </w:t>
      </w:r>
      <w:r w:rsidRPr="004F0422">
        <w:rPr>
          <w:rFonts w:ascii="Times New Roman" w:hAnsi="Times New Roman" w:cs="Times New Roman"/>
          <w:sz w:val="24"/>
          <w:szCs w:val="24"/>
        </w:rPr>
        <w:t>ini</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sehingga</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menjadi</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perusahaan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publik</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dengan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nama</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resmi</w:t>
      </w:r>
      <w:r w:rsidRPr="004F0422">
        <w:rPr>
          <w:rFonts w:ascii="Times New Roman" w:hAnsi="Times New Roman" w:cs="Times New Roman"/>
          <w:sz w:val="24"/>
          <w:szCs w:val="24"/>
        </w:rPr>
        <w:t xml:space="preserve"> PT. Bank Rakyat Indonesia (Persero) </w:t>
      </w:r>
      <w:r w:rsidRPr="004F0422">
        <w:rPr>
          <w:rFonts w:ascii="Times New Roman" w:hAnsi="Times New Roman" w:cs="Times New Roman"/>
          <w:sz w:val="24"/>
          <w:szCs w:val="24"/>
        </w:rPr>
        <w:t>Tbk</w:t>
      </w:r>
      <w:r w:rsidRPr="004F0422">
        <w:rPr>
          <w:rFonts w:ascii="Times New Roman" w:hAnsi="Times New Roman" w:cs="Times New Roman"/>
          <w:sz w:val="24"/>
          <w:szCs w:val="24"/>
        </w:rPr>
        <w:t xml:space="preserve">, yang </w:t>
      </w:r>
      <w:r w:rsidRPr="004F0422">
        <w:rPr>
          <w:rFonts w:ascii="Times New Roman" w:hAnsi="Times New Roman" w:cs="Times New Roman"/>
          <w:sz w:val="24"/>
          <w:szCs w:val="24"/>
        </w:rPr>
        <w:t>masih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digunakan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sampai</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dengan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saat</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ini</w:t>
      </w:r>
      <w:r w:rsidRPr="004F0422">
        <w:rPr>
          <w:rFonts w:ascii="Times New Roman" w:hAnsi="Times New Roman" w:cs="Times New Roman"/>
          <w:sz w:val="24"/>
          <w:szCs w:val="24"/>
        </w:rPr>
        <w:t>.</w:t>
      </w:r>
    </w:p>
    <w:p w:rsidR="00D62471" w:rsidP="00D62471" w14:paraId="738D1A36" w14:textId="025D2543">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Tabungan Negara (</w:t>
      </w:r>
      <w:r>
        <w:rPr>
          <w:rFonts w:ascii="Times New Roman" w:hAnsi="Times New Roman" w:cs="Times New Roman"/>
          <w:b/>
          <w:bCs/>
          <w:sz w:val="24"/>
          <w:szCs w:val="24"/>
        </w:rPr>
        <w:t xml:space="preserve">Persero) </w:t>
      </w:r>
      <w:r>
        <w:rPr>
          <w:rFonts w:ascii="Times New Roman" w:hAnsi="Times New Roman" w:cs="Times New Roman"/>
          <w:b/>
          <w:bCs/>
          <w:sz w:val="24"/>
          <w:szCs w:val="24"/>
        </w:rPr>
        <w:t>Tbk</w:t>
      </w:r>
      <w:r>
        <w:rPr>
          <w:rFonts w:ascii="Times New Roman" w:hAnsi="Times New Roman" w:cs="Times New Roman"/>
          <w:b/>
          <w:bCs/>
          <w:sz w:val="24"/>
          <w:szCs w:val="24"/>
        </w:rPr>
        <w:t>.</w:t>
      </w:r>
    </w:p>
    <w:p w:rsidR="004F0422" w:rsidRPr="004F0422" w:rsidP="004F0422" w14:paraId="4B3BB8F1" w14:textId="6470DB96">
      <w:pPr>
        <w:pStyle w:val="ListParagraph"/>
        <w:spacing w:after="0" w:line="480" w:lineRule="auto"/>
        <w:ind w:left="1146" w:firstLine="294"/>
        <w:jc w:val="both"/>
        <w:rPr>
          <w:rFonts w:ascii="Times New Roman" w:hAnsi="Times New Roman" w:cs="Times New Roman"/>
          <w:sz w:val="24"/>
          <w:szCs w:val="24"/>
        </w:rPr>
      </w:pPr>
      <w:r w:rsidRPr="004F0422">
        <w:rPr>
          <w:rFonts w:ascii="Times New Roman" w:hAnsi="Times New Roman" w:cs="Times New Roman"/>
          <w:sz w:val="24"/>
          <w:szCs w:val="24"/>
        </w:rPr>
        <w:t xml:space="preserve">PT Bank Tabungan Negara, (Persero), </w:t>
      </w:r>
      <w:r w:rsidRPr="004F0422">
        <w:rPr>
          <w:rFonts w:ascii="Times New Roman" w:hAnsi="Times New Roman" w:cs="Times New Roman"/>
          <w:sz w:val="24"/>
          <w:szCs w:val="24"/>
        </w:rPr>
        <w:t>Tbk</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atau</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lebih</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dikenal</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sebagai</w:t>
      </w:r>
      <w:r w:rsidRPr="004F0422">
        <w:rPr>
          <w:rFonts w:ascii="Times New Roman" w:hAnsi="Times New Roman" w:cs="Times New Roman"/>
          <w:sz w:val="24"/>
          <w:szCs w:val="24"/>
        </w:rPr>
        <w:t xml:space="preserve"> Bank BTN </w:t>
      </w:r>
      <w:r w:rsidRPr="004F0422">
        <w:rPr>
          <w:rFonts w:ascii="Times New Roman" w:hAnsi="Times New Roman" w:cs="Times New Roman"/>
          <w:sz w:val="24"/>
          <w:szCs w:val="24"/>
        </w:rPr>
        <w:t>merupakan</w:t>
      </w:r>
      <w:r w:rsidRPr="004F0422">
        <w:rPr>
          <w:rFonts w:ascii="Times New Roman" w:hAnsi="Times New Roman" w:cs="Times New Roman"/>
          <w:sz w:val="24"/>
          <w:szCs w:val="24"/>
        </w:rPr>
        <w:t xml:space="preserve"> Badan Usaha Milik Negara (BUMN) yang </w:t>
      </w:r>
      <w:r w:rsidRPr="004F0422">
        <w:rPr>
          <w:rFonts w:ascii="Times New Roman" w:hAnsi="Times New Roman" w:cs="Times New Roman"/>
          <w:sz w:val="24"/>
          <w:szCs w:val="24"/>
        </w:rPr>
        <w:t>menyediakan</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jasa</w:t>
      </w:r>
      <w:r w:rsidRPr="004F0422">
        <w:rPr>
          <w:rFonts w:ascii="Times New Roman" w:hAnsi="Times New Roman" w:cs="Times New Roman"/>
          <w:sz w:val="24"/>
          <w:szCs w:val="24"/>
        </w:rPr>
        <w:t xml:space="preserve"> di </w:t>
      </w:r>
      <w:r w:rsidRPr="004F0422">
        <w:rPr>
          <w:rFonts w:ascii="Times New Roman" w:hAnsi="Times New Roman" w:cs="Times New Roman"/>
          <w:sz w:val="24"/>
          <w:szCs w:val="24"/>
        </w:rPr>
        <w:t>bidang</w:t>
      </w:r>
      <w:r w:rsidRPr="004F0422">
        <w:rPr>
          <w:rFonts w:ascii="Times New Roman" w:hAnsi="Times New Roman" w:cs="Times New Roman"/>
          <w:sz w:val="24"/>
          <w:szCs w:val="24"/>
        </w:rPr>
        <w:t xml:space="preserve"> </w:t>
      </w:r>
      <w:r w:rsidRPr="004F0422">
        <w:rPr>
          <w:rFonts w:ascii="Times New Roman" w:hAnsi="Times New Roman" w:cs="Times New Roman"/>
          <w:sz w:val="24"/>
          <w:szCs w:val="24"/>
        </w:rPr>
        <w:t>perbankan</w:t>
      </w:r>
      <w:r w:rsidRPr="004F0422">
        <w:rPr>
          <w:rFonts w:ascii="Times New Roman" w:hAnsi="Times New Roman" w:cs="Times New Roman"/>
          <w:sz w:val="24"/>
          <w:szCs w:val="24"/>
        </w:rPr>
        <w:t xml:space="preserve">. </w:t>
      </w:r>
      <w:r w:rsidRPr="00F63353" w:rsidR="00F63353">
        <w:rPr>
          <w:rFonts w:ascii="Times New Roman" w:hAnsi="Times New Roman" w:cs="Times New Roman"/>
          <w:sz w:val="24"/>
          <w:szCs w:val="24"/>
        </w:rPr>
        <w:t xml:space="preserve">PT Bank Tabungan Negara (Persero) </w:t>
      </w:r>
      <w:r w:rsidRPr="00F63353" w:rsidR="00F63353">
        <w:rPr>
          <w:rFonts w:ascii="Times New Roman" w:hAnsi="Times New Roman" w:cs="Times New Roman"/>
          <w:sz w:val="24"/>
          <w:szCs w:val="24"/>
        </w:rPr>
        <w:t>Tbk</w:t>
      </w:r>
      <w:r w:rsidRPr="00F63353" w:rsidR="00F63353">
        <w:rPr>
          <w:rFonts w:ascii="Times New Roman" w:hAnsi="Times New Roman" w:cs="Times New Roman"/>
          <w:sz w:val="24"/>
          <w:szCs w:val="24"/>
        </w:rPr>
        <w:t xml:space="preserve">. (BTN) </w:t>
      </w:r>
      <w:r w:rsidRPr="00F63353" w:rsidR="00F63353">
        <w:rPr>
          <w:rFonts w:ascii="Times New Roman" w:hAnsi="Times New Roman" w:cs="Times New Roman"/>
          <w:sz w:val="24"/>
          <w:szCs w:val="24"/>
        </w:rPr>
        <w:t>didirikan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dengan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nama</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i/>
          <w:iCs/>
          <w:sz w:val="24"/>
          <w:szCs w:val="24"/>
        </w:rPr>
        <w:t>Postspaarbank</w:t>
      </w:r>
      <w:r w:rsidRPr="00F63353" w:rsidR="00F63353">
        <w:rPr>
          <w:rFonts w:ascii="Times New Roman" w:hAnsi="Times New Roman" w:cs="Times New Roman"/>
          <w:i/>
          <w:iCs/>
          <w:sz w:val="24"/>
          <w:szCs w:val="24"/>
        </w:rPr>
        <w:t xml:space="preserve"> </w:t>
      </w:r>
      <w:r w:rsidRPr="00F63353" w:rsidR="00F63353">
        <w:rPr>
          <w:rFonts w:ascii="Times New Roman" w:hAnsi="Times New Roman" w:cs="Times New Roman"/>
          <w:sz w:val="24"/>
          <w:szCs w:val="24"/>
        </w:rPr>
        <w:t xml:space="preserve">pada 1897. </w:t>
      </w:r>
      <w:r w:rsidRPr="00F63353" w:rsidR="00F63353">
        <w:rPr>
          <w:rFonts w:ascii="Times New Roman" w:hAnsi="Times New Roman" w:cs="Times New Roman"/>
          <w:sz w:val="24"/>
          <w:szCs w:val="24"/>
        </w:rPr>
        <w:t>Pemerintah</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Jepang</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mengambil</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alih</w:t>
      </w:r>
      <w:r w:rsidRPr="00F63353" w:rsidR="00F63353">
        <w:rPr>
          <w:rFonts w:ascii="Times New Roman" w:hAnsi="Times New Roman" w:cs="Times New Roman"/>
          <w:sz w:val="24"/>
          <w:szCs w:val="24"/>
        </w:rPr>
        <w:t xml:space="preserve"> </w:t>
      </w:r>
      <w:r w:rsidRPr="0008677E" w:rsidR="00F63353">
        <w:rPr>
          <w:rFonts w:ascii="Times New Roman" w:hAnsi="Times New Roman" w:cs="Times New Roman"/>
          <w:i/>
          <w:iCs/>
          <w:sz w:val="24"/>
          <w:szCs w:val="24"/>
        </w:rPr>
        <w:t>Postspaarbank</w:t>
      </w:r>
      <w:r w:rsidRPr="0008677E" w:rsidR="00F63353">
        <w:rPr>
          <w:rFonts w:ascii="Times New Roman" w:hAnsi="Times New Roman" w:cs="Times New Roman"/>
          <w:i/>
          <w:iCs/>
          <w:sz w:val="24"/>
          <w:szCs w:val="24"/>
        </w:rPr>
        <w:t xml:space="preserve"> </w:t>
      </w:r>
      <w:r w:rsidRPr="00F63353" w:rsidR="00F63353">
        <w:rPr>
          <w:rFonts w:ascii="Times New Roman" w:hAnsi="Times New Roman" w:cs="Times New Roman"/>
          <w:sz w:val="24"/>
          <w:szCs w:val="24"/>
        </w:rPr>
        <w:t xml:space="preserve">dan </w:t>
      </w:r>
      <w:r w:rsidRPr="00F63353" w:rsidR="00F63353">
        <w:rPr>
          <w:rFonts w:ascii="Times New Roman" w:hAnsi="Times New Roman" w:cs="Times New Roman"/>
          <w:sz w:val="24"/>
          <w:szCs w:val="24"/>
        </w:rPr>
        <w:t>mengubah</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namanya</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menjadi</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i/>
          <w:iCs/>
          <w:sz w:val="24"/>
          <w:szCs w:val="24"/>
        </w:rPr>
        <w:t>Tyokin</w:t>
      </w:r>
      <w:r w:rsidRPr="00F63353" w:rsidR="00F63353">
        <w:rPr>
          <w:rFonts w:ascii="Times New Roman" w:hAnsi="Times New Roman" w:cs="Times New Roman"/>
          <w:i/>
          <w:iCs/>
          <w:sz w:val="24"/>
          <w:szCs w:val="24"/>
        </w:rPr>
        <w:t xml:space="preserve"> </w:t>
      </w:r>
      <w:r w:rsidRPr="00F63353" w:rsidR="00F63353">
        <w:rPr>
          <w:rFonts w:ascii="Times New Roman" w:hAnsi="Times New Roman" w:cs="Times New Roman"/>
          <w:i/>
          <w:iCs/>
          <w:sz w:val="24"/>
          <w:szCs w:val="24"/>
        </w:rPr>
        <w:t>Kyoku</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atau</w:t>
      </w:r>
      <w:r w:rsidRPr="00F63353" w:rsidR="00F63353">
        <w:rPr>
          <w:rFonts w:ascii="Times New Roman" w:hAnsi="Times New Roman" w:cs="Times New Roman"/>
          <w:sz w:val="24"/>
          <w:szCs w:val="24"/>
        </w:rPr>
        <w:t xml:space="preserve"> Kantor Tabungan pada 1942. </w:t>
      </w:r>
      <w:r w:rsidRPr="00F63353" w:rsidR="00F63353">
        <w:rPr>
          <w:rFonts w:ascii="Times New Roman" w:hAnsi="Times New Roman" w:cs="Times New Roman"/>
          <w:sz w:val="24"/>
          <w:szCs w:val="24"/>
        </w:rPr>
        <w:t>Pemerintah</w:t>
      </w:r>
      <w:r w:rsidRPr="00F63353" w:rsidR="00F63353">
        <w:rPr>
          <w:rFonts w:ascii="Times New Roman" w:hAnsi="Times New Roman" w:cs="Times New Roman"/>
          <w:sz w:val="24"/>
          <w:szCs w:val="24"/>
        </w:rPr>
        <w:t xml:space="preserve"> Indonesia </w:t>
      </w:r>
      <w:r w:rsidRPr="00F63353" w:rsidR="00F63353">
        <w:rPr>
          <w:rFonts w:ascii="Times New Roman" w:hAnsi="Times New Roman" w:cs="Times New Roman"/>
          <w:sz w:val="24"/>
          <w:szCs w:val="24"/>
        </w:rPr>
        <w:t>mulai</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mengambil</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alih</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i/>
          <w:iCs/>
          <w:sz w:val="24"/>
          <w:szCs w:val="24"/>
        </w:rPr>
        <w:t>Tyokin</w:t>
      </w:r>
      <w:r w:rsidRPr="00F63353" w:rsidR="00F63353">
        <w:rPr>
          <w:rFonts w:ascii="Times New Roman" w:hAnsi="Times New Roman" w:cs="Times New Roman"/>
          <w:i/>
          <w:iCs/>
          <w:sz w:val="24"/>
          <w:szCs w:val="24"/>
        </w:rPr>
        <w:t xml:space="preserve"> </w:t>
      </w:r>
      <w:r w:rsidRPr="00F63353" w:rsidR="00F63353">
        <w:rPr>
          <w:rFonts w:ascii="Times New Roman" w:hAnsi="Times New Roman" w:cs="Times New Roman"/>
          <w:i/>
          <w:iCs/>
          <w:sz w:val="24"/>
          <w:szCs w:val="24"/>
        </w:rPr>
        <w:t>Kyoku</w:t>
      </w:r>
      <w:r w:rsidRPr="00F63353" w:rsidR="00F63353">
        <w:rPr>
          <w:rFonts w:ascii="Times New Roman" w:hAnsi="Times New Roman" w:cs="Times New Roman"/>
          <w:sz w:val="24"/>
          <w:szCs w:val="24"/>
        </w:rPr>
        <w:t xml:space="preserve"> dan </w:t>
      </w:r>
      <w:r w:rsidRPr="00F63353" w:rsidR="00F63353">
        <w:rPr>
          <w:rFonts w:ascii="Times New Roman" w:hAnsi="Times New Roman" w:cs="Times New Roman"/>
          <w:sz w:val="24"/>
          <w:szCs w:val="24"/>
        </w:rPr>
        <w:t>mendirikan</w:t>
      </w:r>
      <w:r w:rsidRPr="00F63353" w:rsidR="00F63353">
        <w:rPr>
          <w:rFonts w:ascii="Times New Roman" w:hAnsi="Times New Roman" w:cs="Times New Roman"/>
          <w:sz w:val="24"/>
          <w:szCs w:val="24"/>
        </w:rPr>
        <w:t xml:space="preserve"> Kantor </w:t>
      </w:r>
      <w:r w:rsidRPr="00F63353" w:rsidR="00F63353">
        <w:rPr>
          <w:rFonts w:ascii="Times New Roman" w:hAnsi="Times New Roman" w:cs="Times New Roman"/>
          <w:sz w:val="24"/>
          <w:szCs w:val="24"/>
        </w:rPr>
        <w:t>Taboengan</w:t>
      </w:r>
      <w:r w:rsidRPr="00F63353" w:rsidR="00F63353">
        <w:rPr>
          <w:rFonts w:ascii="Times New Roman" w:hAnsi="Times New Roman" w:cs="Times New Roman"/>
          <w:sz w:val="24"/>
          <w:szCs w:val="24"/>
        </w:rPr>
        <w:t xml:space="preserve"> Pos pada 1945. Bank </w:t>
      </w:r>
      <w:r w:rsidRPr="00F63353" w:rsidR="00F63353">
        <w:rPr>
          <w:rFonts w:ascii="Times New Roman" w:hAnsi="Times New Roman" w:cs="Times New Roman"/>
          <w:sz w:val="24"/>
          <w:szCs w:val="24"/>
        </w:rPr>
        <w:t>tersebut</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baru</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berganti</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nama</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menjadi</w:t>
      </w:r>
      <w:r w:rsidRPr="00F63353" w:rsidR="00F63353">
        <w:rPr>
          <w:rFonts w:ascii="Times New Roman" w:hAnsi="Times New Roman" w:cs="Times New Roman"/>
          <w:sz w:val="24"/>
          <w:szCs w:val="24"/>
        </w:rPr>
        <w:t xml:space="preserve"> Bank Tabungan Negara </w:t>
      </w:r>
      <w:r w:rsidRPr="00F63353" w:rsidR="00F63353">
        <w:rPr>
          <w:rFonts w:ascii="Times New Roman" w:hAnsi="Times New Roman" w:cs="Times New Roman"/>
          <w:sz w:val="24"/>
          <w:szCs w:val="24"/>
        </w:rPr>
        <w:t>sejak</w:t>
      </w:r>
      <w:r w:rsidRPr="00F63353" w:rsidR="00F63353">
        <w:rPr>
          <w:rFonts w:ascii="Times New Roman" w:hAnsi="Times New Roman" w:cs="Times New Roman"/>
          <w:sz w:val="24"/>
          <w:szCs w:val="24"/>
        </w:rPr>
        <w:t xml:space="preserve"> 1963 </w:t>
      </w:r>
      <w:r w:rsidRPr="00F63353" w:rsidR="00F63353">
        <w:rPr>
          <w:rFonts w:ascii="Times New Roman" w:hAnsi="Times New Roman" w:cs="Times New Roman"/>
          <w:sz w:val="24"/>
          <w:szCs w:val="24"/>
        </w:rPr>
        <w:t>hingga</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saat</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ini</w:t>
      </w:r>
      <w:r w:rsidRPr="00F63353" w:rsidR="00F63353">
        <w:rPr>
          <w:rFonts w:ascii="Times New Roman" w:hAnsi="Times New Roman" w:cs="Times New Roman"/>
          <w:sz w:val="24"/>
          <w:szCs w:val="24"/>
        </w:rPr>
        <w:t xml:space="preserve">. Pada 1974, </w:t>
      </w:r>
      <w:r w:rsidRPr="00F63353" w:rsidR="00F63353">
        <w:rPr>
          <w:rFonts w:ascii="Times New Roman" w:hAnsi="Times New Roman" w:cs="Times New Roman"/>
          <w:sz w:val="24"/>
          <w:szCs w:val="24"/>
        </w:rPr>
        <w:t>pemerintah</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menunjuk</w:t>
      </w:r>
      <w:r w:rsidRPr="00F63353" w:rsidR="00F63353">
        <w:rPr>
          <w:rFonts w:ascii="Times New Roman" w:hAnsi="Times New Roman" w:cs="Times New Roman"/>
          <w:sz w:val="24"/>
          <w:szCs w:val="24"/>
        </w:rPr>
        <w:t xml:space="preserve"> BTN </w:t>
      </w:r>
      <w:r w:rsidRPr="00F63353" w:rsidR="00F63353">
        <w:rPr>
          <w:rFonts w:ascii="Times New Roman" w:hAnsi="Times New Roman" w:cs="Times New Roman"/>
          <w:sz w:val="24"/>
          <w:szCs w:val="24"/>
        </w:rPr>
        <w:t>sebagai</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satu-satunya</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institusi</w:t>
      </w:r>
      <w:r w:rsidRPr="00F63353" w:rsidR="00F63353">
        <w:rPr>
          <w:rFonts w:ascii="Times New Roman" w:hAnsi="Times New Roman" w:cs="Times New Roman"/>
          <w:sz w:val="24"/>
          <w:szCs w:val="24"/>
        </w:rPr>
        <w:t xml:space="preserve"> yang </w:t>
      </w:r>
      <w:r w:rsidRPr="00F63353" w:rsidR="00F63353">
        <w:rPr>
          <w:rFonts w:ascii="Times New Roman" w:hAnsi="Times New Roman" w:cs="Times New Roman"/>
          <w:sz w:val="24"/>
          <w:szCs w:val="24"/>
        </w:rPr>
        <w:t>menyalurkan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kredit</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pemilikan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rumah</w:t>
      </w:r>
      <w:r w:rsidRPr="00F63353" w:rsidR="00F63353">
        <w:rPr>
          <w:rFonts w:ascii="Times New Roman" w:hAnsi="Times New Roman" w:cs="Times New Roman"/>
          <w:sz w:val="24"/>
          <w:szCs w:val="24"/>
        </w:rPr>
        <w:t xml:space="preserve"> (KPR) dan </w:t>
      </w:r>
      <w:r w:rsidRPr="00F63353" w:rsidR="00F63353">
        <w:rPr>
          <w:rFonts w:ascii="Times New Roman" w:hAnsi="Times New Roman" w:cs="Times New Roman"/>
          <w:sz w:val="24"/>
          <w:szCs w:val="24"/>
        </w:rPr>
        <w:t>efektif</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menjadi</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perseroan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terbatas</w:t>
      </w:r>
      <w:r w:rsidRPr="00F63353" w:rsidR="00F63353">
        <w:rPr>
          <w:rFonts w:ascii="Times New Roman" w:hAnsi="Times New Roman" w:cs="Times New Roman"/>
          <w:sz w:val="24"/>
          <w:szCs w:val="24"/>
        </w:rPr>
        <w:t xml:space="preserve"> (PT) pada 1992. Perseroan </w:t>
      </w:r>
      <w:r w:rsidRPr="00F63353" w:rsidR="00F63353">
        <w:rPr>
          <w:rFonts w:ascii="Times New Roman" w:hAnsi="Times New Roman" w:cs="Times New Roman"/>
          <w:sz w:val="24"/>
          <w:szCs w:val="24"/>
        </w:rPr>
        <w:t>kemudian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menerbitkan</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empat</w:t>
      </w:r>
      <w:r w:rsidRPr="00F63353" w:rsidR="00F63353">
        <w:rPr>
          <w:rFonts w:ascii="Times New Roman" w:hAnsi="Times New Roman" w:cs="Times New Roman"/>
          <w:sz w:val="24"/>
          <w:szCs w:val="24"/>
        </w:rPr>
        <w:t xml:space="preserve"> </w:t>
      </w:r>
      <w:r w:rsidRPr="00F63353" w:rsidR="00F63353">
        <w:rPr>
          <w:rFonts w:ascii="Times New Roman" w:hAnsi="Times New Roman" w:cs="Times New Roman"/>
          <w:sz w:val="24"/>
          <w:szCs w:val="24"/>
        </w:rPr>
        <w:t>obligasi</w:t>
      </w:r>
      <w:r w:rsidRPr="00F63353" w:rsidR="00F63353">
        <w:rPr>
          <w:rFonts w:ascii="Times New Roman" w:hAnsi="Times New Roman" w:cs="Times New Roman"/>
          <w:sz w:val="24"/>
          <w:szCs w:val="24"/>
        </w:rPr>
        <w:t xml:space="preserve"> pada 2020, </w:t>
      </w:r>
      <w:r w:rsidRPr="00F63353" w:rsidR="00F63353">
        <w:rPr>
          <w:rFonts w:ascii="Times New Roman" w:hAnsi="Times New Roman" w:cs="Times New Roman"/>
          <w:sz w:val="24"/>
          <w:szCs w:val="24"/>
        </w:rPr>
        <w:t>antara</w:t>
      </w:r>
      <w:r w:rsidRPr="00F63353" w:rsidR="00F63353">
        <w:rPr>
          <w:rFonts w:ascii="Times New Roman" w:hAnsi="Times New Roman" w:cs="Times New Roman"/>
          <w:sz w:val="24"/>
          <w:szCs w:val="24"/>
        </w:rPr>
        <w:t xml:space="preserve"> lain Junior Global Bond Bank BTN, BBTN </w:t>
      </w:r>
      <w:r w:rsidRPr="00F63353" w:rsidR="00F63353">
        <w:rPr>
          <w:rFonts w:ascii="Times New Roman" w:hAnsi="Times New Roman" w:cs="Times New Roman"/>
          <w:sz w:val="24"/>
          <w:szCs w:val="24"/>
        </w:rPr>
        <w:t>Berkelanjutan</w:t>
      </w:r>
      <w:r w:rsidRPr="00F63353" w:rsidR="00F63353">
        <w:rPr>
          <w:rFonts w:ascii="Times New Roman" w:hAnsi="Times New Roman" w:cs="Times New Roman"/>
          <w:sz w:val="24"/>
          <w:szCs w:val="24"/>
        </w:rPr>
        <w:t xml:space="preserve"> IV </w:t>
      </w:r>
      <w:r w:rsidRPr="00F63353" w:rsidR="00F63353">
        <w:rPr>
          <w:rFonts w:ascii="Times New Roman" w:hAnsi="Times New Roman" w:cs="Times New Roman"/>
          <w:sz w:val="24"/>
          <w:szCs w:val="24"/>
        </w:rPr>
        <w:t>Tahap</w:t>
      </w:r>
      <w:r w:rsidRPr="00F63353" w:rsidR="00F63353">
        <w:rPr>
          <w:rFonts w:ascii="Times New Roman" w:hAnsi="Times New Roman" w:cs="Times New Roman"/>
          <w:sz w:val="24"/>
          <w:szCs w:val="24"/>
        </w:rPr>
        <w:t xml:space="preserve"> I 2020 Seri A, BBTN </w:t>
      </w:r>
      <w:r w:rsidRPr="00F63353" w:rsidR="00F63353">
        <w:rPr>
          <w:rFonts w:ascii="Times New Roman" w:hAnsi="Times New Roman" w:cs="Times New Roman"/>
          <w:sz w:val="24"/>
          <w:szCs w:val="24"/>
        </w:rPr>
        <w:t>Berkelanjutan</w:t>
      </w:r>
      <w:r w:rsidRPr="00F63353" w:rsidR="00F63353">
        <w:rPr>
          <w:rFonts w:ascii="Times New Roman" w:hAnsi="Times New Roman" w:cs="Times New Roman"/>
          <w:sz w:val="24"/>
          <w:szCs w:val="24"/>
        </w:rPr>
        <w:t xml:space="preserve"> IV </w:t>
      </w:r>
      <w:r w:rsidRPr="00F63353" w:rsidR="00F63353">
        <w:rPr>
          <w:rFonts w:ascii="Times New Roman" w:hAnsi="Times New Roman" w:cs="Times New Roman"/>
          <w:sz w:val="24"/>
          <w:szCs w:val="24"/>
        </w:rPr>
        <w:t>Tahap</w:t>
      </w:r>
      <w:r w:rsidRPr="00F63353" w:rsidR="00F63353">
        <w:rPr>
          <w:rFonts w:ascii="Times New Roman" w:hAnsi="Times New Roman" w:cs="Times New Roman"/>
          <w:sz w:val="24"/>
          <w:szCs w:val="24"/>
        </w:rPr>
        <w:t xml:space="preserve"> I 2020 Seri B dan BBTN </w:t>
      </w:r>
      <w:r w:rsidRPr="00F63353" w:rsidR="00F63353">
        <w:rPr>
          <w:rFonts w:ascii="Times New Roman" w:hAnsi="Times New Roman" w:cs="Times New Roman"/>
          <w:sz w:val="24"/>
          <w:szCs w:val="24"/>
        </w:rPr>
        <w:t>Berkelanjutan</w:t>
      </w:r>
      <w:r w:rsidRPr="00F63353" w:rsidR="00F63353">
        <w:rPr>
          <w:rFonts w:ascii="Times New Roman" w:hAnsi="Times New Roman" w:cs="Times New Roman"/>
          <w:sz w:val="24"/>
          <w:szCs w:val="24"/>
        </w:rPr>
        <w:t xml:space="preserve"> IV </w:t>
      </w:r>
      <w:r w:rsidRPr="00F63353" w:rsidR="00F63353">
        <w:rPr>
          <w:rFonts w:ascii="Times New Roman" w:hAnsi="Times New Roman" w:cs="Times New Roman"/>
          <w:sz w:val="24"/>
          <w:szCs w:val="24"/>
        </w:rPr>
        <w:t>Tahap</w:t>
      </w:r>
      <w:r w:rsidRPr="00F63353" w:rsidR="00F63353">
        <w:rPr>
          <w:rFonts w:ascii="Times New Roman" w:hAnsi="Times New Roman" w:cs="Times New Roman"/>
          <w:sz w:val="24"/>
          <w:szCs w:val="24"/>
        </w:rPr>
        <w:t xml:space="preserve"> I 2020 Seri C.</w:t>
      </w:r>
    </w:p>
    <w:p w:rsidR="00D62471" w:rsidP="00D62471" w14:paraId="7664FAAC" w14:textId="6A13C67E">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w:t>
      </w:r>
      <w:r w:rsidRPr="00FF6A7C">
        <w:rPr>
          <w:rFonts w:ascii="Times New Roman" w:hAnsi="Times New Roman" w:cs="Times New Roman"/>
          <w:b/>
          <w:bCs/>
          <w:sz w:val="24"/>
          <w:szCs w:val="24"/>
        </w:rPr>
        <w:t>Danamon</w:t>
      </w:r>
      <w:r w:rsidRPr="00FF6A7C">
        <w:rPr>
          <w:rFonts w:ascii="Times New Roman" w:hAnsi="Times New Roman" w:cs="Times New Roman"/>
          <w:b/>
          <w:bCs/>
          <w:sz w:val="24"/>
          <w:szCs w:val="24"/>
        </w:rPr>
        <w:t xml:space="preserve"> Indonesia </w:t>
      </w:r>
      <w:r>
        <w:rPr>
          <w:rFonts w:ascii="Times New Roman" w:hAnsi="Times New Roman" w:cs="Times New Roman"/>
          <w:b/>
          <w:bCs/>
          <w:sz w:val="24"/>
          <w:szCs w:val="24"/>
        </w:rPr>
        <w:t>Tbk</w:t>
      </w:r>
      <w:r>
        <w:rPr>
          <w:rFonts w:ascii="Times New Roman" w:hAnsi="Times New Roman" w:cs="Times New Roman"/>
          <w:b/>
          <w:bCs/>
          <w:sz w:val="24"/>
          <w:szCs w:val="24"/>
        </w:rPr>
        <w:t>.</w:t>
      </w:r>
    </w:p>
    <w:p w:rsidR="004F0422" w:rsidRPr="00C018F9" w:rsidP="00C018F9" w14:paraId="421BC7D0" w14:textId="6EE98AF9">
      <w:pPr>
        <w:pStyle w:val="ListParagraph"/>
        <w:spacing w:after="0" w:line="480" w:lineRule="auto"/>
        <w:ind w:left="1146" w:firstLine="294"/>
        <w:jc w:val="both"/>
        <w:rPr>
          <w:rFonts w:ascii="Times New Roman" w:hAnsi="Times New Roman" w:cs="Times New Roman"/>
          <w:sz w:val="24"/>
          <w:szCs w:val="24"/>
        </w:rPr>
      </w:pP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didirikan</w:t>
      </w:r>
      <w:r w:rsidRPr="00C018F9">
        <w:rPr>
          <w:rFonts w:ascii="Times New Roman" w:hAnsi="Times New Roman" w:cs="Times New Roman"/>
          <w:sz w:val="24"/>
          <w:szCs w:val="24"/>
        </w:rPr>
        <w:t xml:space="preserve"> pada </w:t>
      </w:r>
      <w:r w:rsidRPr="00C018F9">
        <w:rPr>
          <w:rFonts w:ascii="Times New Roman" w:hAnsi="Times New Roman" w:cs="Times New Roman"/>
          <w:sz w:val="24"/>
          <w:szCs w:val="24"/>
        </w:rPr>
        <w:t>tahun</w:t>
      </w:r>
      <w:r w:rsidRPr="00C018F9">
        <w:rPr>
          <w:rFonts w:ascii="Times New Roman" w:hAnsi="Times New Roman" w:cs="Times New Roman"/>
          <w:sz w:val="24"/>
          <w:szCs w:val="24"/>
        </w:rPr>
        <w:t xml:space="preserve"> 1956 </w:t>
      </w:r>
      <w:r w:rsidRPr="00C018F9">
        <w:rPr>
          <w:rFonts w:ascii="Times New Roman" w:hAnsi="Times New Roman" w:cs="Times New Roman"/>
          <w:sz w:val="24"/>
          <w:szCs w:val="24"/>
        </w:rPr>
        <w:t>sebagai</w:t>
      </w:r>
      <w:r w:rsidRPr="00C018F9">
        <w:rPr>
          <w:rFonts w:ascii="Times New Roman" w:hAnsi="Times New Roman" w:cs="Times New Roman"/>
          <w:sz w:val="24"/>
          <w:szCs w:val="24"/>
        </w:rPr>
        <w:t xml:space="preserve"> Bank Kopra Indonesia. Di </w:t>
      </w:r>
      <w:r w:rsidRPr="00C018F9">
        <w:rPr>
          <w:rFonts w:ascii="Times New Roman" w:hAnsi="Times New Roman" w:cs="Times New Roman"/>
          <w:sz w:val="24"/>
          <w:szCs w:val="24"/>
        </w:rPr>
        <w:t>tahun</w:t>
      </w:r>
      <w:r w:rsidRPr="00C018F9">
        <w:rPr>
          <w:rFonts w:ascii="Times New Roman" w:hAnsi="Times New Roman" w:cs="Times New Roman"/>
          <w:sz w:val="24"/>
          <w:szCs w:val="24"/>
        </w:rPr>
        <w:t xml:space="preserve"> 1976 </w:t>
      </w:r>
      <w:r w:rsidRPr="00C018F9">
        <w:rPr>
          <w:rFonts w:ascii="Times New Roman" w:hAnsi="Times New Roman" w:cs="Times New Roman"/>
          <w:sz w:val="24"/>
          <w:szCs w:val="24"/>
        </w:rPr>
        <w:t>nama</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tersebut</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kemudian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diubah</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menjadi</w:t>
      </w:r>
      <w:r w:rsidRPr="00C018F9">
        <w:rPr>
          <w:rFonts w:ascii="Times New Roman" w:hAnsi="Times New Roman" w:cs="Times New Roman"/>
          <w:sz w:val="24"/>
          <w:szCs w:val="24"/>
        </w:rPr>
        <w:t xml:space="preserve"> PT Bank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Indonesia. Di </w:t>
      </w:r>
      <w:r w:rsidRPr="00C018F9">
        <w:rPr>
          <w:rFonts w:ascii="Times New Roman" w:hAnsi="Times New Roman" w:cs="Times New Roman"/>
          <w:sz w:val="24"/>
          <w:szCs w:val="24"/>
        </w:rPr>
        <w:t>tahun</w:t>
      </w:r>
      <w:r w:rsidRPr="00C018F9">
        <w:rPr>
          <w:rFonts w:ascii="Times New Roman" w:hAnsi="Times New Roman" w:cs="Times New Roman"/>
          <w:sz w:val="24"/>
          <w:szCs w:val="24"/>
        </w:rPr>
        <w:t xml:space="preserve"> 1988,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menjadi</w:t>
      </w:r>
      <w:r w:rsidRPr="00C018F9">
        <w:rPr>
          <w:rFonts w:ascii="Times New Roman" w:hAnsi="Times New Roman" w:cs="Times New Roman"/>
          <w:sz w:val="24"/>
          <w:szCs w:val="24"/>
        </w:rPr>
        <w:t xml:space="preserve"> bank </w:t>
      </w:r>
      <w:r w:rsidRPr="00C018F9">
        <w:rPr>
          <w:rFonts w:ascii="Times New Roman" w:hAnsi="Times New Roman" w:cs="Times New Roman"/>
          <w:sz w:val="24"/>
          <w:szCs w:val="24"/>
        </w:rPr>
        <w:t>devisa</w:t>
      </w:r>
      <w:r w:rsidRPr="00C018F9">
        <w:rPr>
          <w:rFonts w:ascii="Times New Roman" w:hAnsi="Times New Roman" w:cs="Times New Roman"/>
          <w:sz w:val="24"/>
          <w:szCs w:val="24"/>
        </w:rPr>
        <w:t xml:space="preserve"> dan </w:t>
      </w:r>
      <w:r w:rsidRPr="00C018F9">
        <w:rPr>
          <w:rFonts w:ascii="Times New Roman" w:hAnsi="Times New Roman" w:cs="Times New Roman"/>
          <w:sz w:val="24"/>
          <w:szCs w:val="24"/>
        </w:rPr>
        <w:t>setahun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kemudian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mencatatkan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diri</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sebagai</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perusahaan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publik</w:t>
      </w:r>
      <w:r w:rsidRPr="00C018F9">
        <w:rPr>
          <w:rFonts w:ascii="Times New Roman" w:hAnsi="Times New Roman" w:cs="Times New Roman"/>
          <w:sz w:val="24"/>
          <w:szCs w:val="24"/>
        </w:rPr>
        <w:t xml:space="preserve"> di Bursa </w:t>
      </w:r>
      <w:r w:rsidRPr="00C018F9">
        <w:rPr>
          <w:rFonts w:ascii="Times New Roman" w:hAnsi="Times New Roman" w:cs="Times New Roman"/>
          <w:sz w:val="24"/>
          <w:szCs w:val="24"/>
        </w:rPr>
        <w:t>Efek</w:t>
      </w:r>
      <w:r w:rsidRPr="00C018F9">
        <w:rPr>
          <w:rFonts w:ascii="Times New Roman" w:hAnsi="Times New Roman" w:cs="Times New Roman"/>
          <w:sz w:val="24"/>
          <w:szCs w:val="24"/>
        </w:rPr>
        <w:t xml:space="preserve"> Jakarta. Per 31 March 2024, </w:t>
      </w:r>
      <w:r w:rsidRPr="00C018F9">
        <w:rPr>
          <w:rFonts w:ascii="Times New Roman" w:hAnsi="Times New Roman" w:cs="Times New Roman"/>
          <w:sz w:val="24"/>
          <w:szCs w:val="24"/>
        </w:rPr>
        <w:t>perusahaan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mengelola</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aset</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konsolidasi</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sebesar</w:t>
      </w:r>
      <w:r w:rsidRPr="00C018F9">
        <w:rPr>
          <w:rFonts w:ascii="Times New Roman" w:hAnsi="Times New Roman" w:cs="Times New Roman"/>
          <w:sz w:val="24"/>
          <w:szCs w:val="24"/>
        </w:rPr>
        <w:t xml:space="preserve"> Rp227 </w:t>
      </w:r>
      <w:r w:rsidRPr="00C018F9">
        <w:rPr>
          <w:rFonts w:ascii="Times New Roman" w:hAnsi="Times New Roman" w:cs="Times New Roman"/>
          <w:sz w:val="24"/>
          <w:szCs w:val="24"/>
        </w:rPr>
        <w:t>triliun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dengan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anak</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usahanya</w:t>
      </w:r>
      <w:r w:rsidRPr="00C018F9">
        <w:rPr>
          <w:rFonts w:ascii="Times New Roman" w:hAnsi="Times New Roman" w:cs="Times New Roman"/>
          <w:sz w:val="24"/>
          <w:szCs w:val="24"/>
        </w:rPr>
        <w:t xml:space="preserve">, PT Adira </w:t>
      </w:r>
      <w:r w:rsidRPr="00C018F9">
        <w:rPr>
          <w:rFonts w:ascii="Times New Roman" w:hAnsi="Times New Roman" w:cs="Times New Roman"/>
          <w:sz w:val="24"/>
          <w:szCs w:val="24"/>
        </w:rPr>
        <w:t>Dinamika</w:t>
      </w:r>
      <w:r w:rsidRPr="00C018F9">
        <w:rPr>
          <w:rFonts w:ascii="Times New Roman" w:hAnsi="Times New Roman" w:cs="Times New Roman"/>
          <w:sz w:val="24"/>
          <w:szCs w:val="24"/>
        </w:rPr>
        <w:t xml:space="preserve"> Multi Finance </w:t>
      </w:r>
      <w:r w:rsidRPr="00C018F9">
        <w:rPr>
          <w:rFonts w:ascii="Times New Roman" w:hAnsi="Times New Roman" w:cs="Times New Roman"/>
          <w:sz w:val="24"/>
          <w:szCs w:val="24"/>
        </w:rPr>
        <w:t>Tbk</w:t>
      </w:r>
      <w:r w:rsidRPr="00C018F9">
        <w:rPr>
          <w:rFonts w:ascii="Times New Roman" w:hAnsi="Times New Roman" w:cs="Times New Roman"/>
          <w:sz w:val="24"/>
          <w:szCs w:val="24"/>
        </w:rPr>
        <w:t xml:space="preserve"> (Adira Finance). Dalam </w:t>
      </w:r>
      <w:r w:rsidRPr="00C018F9">
        <w:rPr>
          <w:rFonts w:ascii="Times New Roman" w:hAnsi="Times New Roman" w:cs="Times New Roman"/>
          <w:sz w:val="24"/>
          <w:szCs w:val="24"/>
        </w:rPr>
        <w:t>hal</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kepemilikan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saham</w:t>
      </w:r>
      <w:r w:rsidRPr="00C018F9">
        <w:rPr>
          <w:rFonts w:ascii="Times New Roman" w:hAnsi="Times New Roman" w:cs="Times New Roman"/>
          <w:sz w:val="24"/>
          <w:szCs w:val="24"/>
        </w:rPr>
        <w:t xml:space="preserve">, 92,47% </w:t>
      </w:r>
      <w:r w:rsidRPr="00C018F9">
        <w:rPr>
          <w:rFonts w:ascii="Times New Roman" w:hAnsi="Times New Roman" w:cs="Times New Roman"/>
          <w:sz w:val="24"/>
          <w:szCs w:val="24"/>
        </w:rPr>
        <w:t>saham</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dimiliki</w:t>
      </w:r>
      <w:r w:rsidRPr="00C018F9">
        <w:rPr>
          <w:rFonts w:ascii="Times New Roman" w:hAnsi="Times New Roman" w:cs="Times New Roman"/>
          <w:sz w:val="24"/>
          <w:szCs w:val="24"/>
        </w:rPr>
        <w:t xml:space="preserve"> oleh MUFG Bank, Ltd. dan 7,53% </w:t>
      </w:r>
      <w:r w:rsidRPr="00C018F9">
        <w:rPr>
          <w:rFonts w:ascii="Times New Roman" w:hAnsi="Times New Roman" w:cs="Times New Roman"/>
          <w:sz w:val="24"/>
          <w:szCs w:val="24"/>
        </w:rPr>
        <w:t>lainnya</w:t>
      </w:r>
      <w:r w:rsidRPr="00C018F9">
        <w:rPr>
          <w:rFonts w:ascii="Times New Roman" w:hAnsi="Times New Roman" w:cs="Times New Roman"/>
          <w:sz w:val="24"/>
          <w:szCs w:val="24"/>
        </w:rPr>
        <w:t xml:space="preserve"> oleh </w:t>
      </w:r>
      <w:r w:rsidRPr="00C018F9">
        <w:rPr>
          <w:rFonts w:ascii="Times New Roman" w:hAnsi="Times New Roman" w:cs="Times New Roman"/>
          <w:sz w:val="24"/>
          <w:szCs w:val="24"/>
        </w:rPr>
        <w:t>publik</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didukung</w:t>
      </w:r>
      <w:r w:rsidRPr="00C018F9">
        <w:rPr>
          <w:rFonts w:ascii="Times New Roman" w:hAnsi="Times New Roman" w:cs="Times New Roman"/>
          <w:sz w:val="24"/>
          <w:szCs w:val="24"/>
        </w:rPr>
        <w:t xml:space="preserve"> oleh </w:t>
      </w:r>
      <w:r w:rsidRPr="00C018F9">
        <w:rPr>
          <w:rFonts w:ascii="Times New Roman" w:hAnsi="Times New Roman" w:cs="Times New Roman"/>
          <w:sz w:val="24"/>
          <w:szCs w:val="24"/>
        </w:rPr>
        <w:t>jaringan</w:t>
      </w:r>
      <w:r w:rsidRPr="00C018F9">
        <w:rPr>
          <w:rFonts w:ascii="Times New Roman" w:hAnsi="Times New Roman" w:cs="Times New Roman"/>
          <w:sz w:val="24"/>
          <w:szCs w:val="24"/>
        </w:rPr>
        <w:t xml:space="preserve"> 856 </w:t>
      </w:r>
      <w:r w:rsidRPr="00C018F9">
        <w:rPr>
          <w:rFonts w:ascii="Times New Roman" w:hAnsi="Times New Roman" w:cs="Times New Roman"/>
          <w:sz w:val="24"/>
          <w:szCs w:val="24"/>
        </w:rPr>
        <w:t>kantor</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cabang</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konvensional</w:t>
      </w:r>
      <w:r w:rsidRPr="00C018F9">
        <w:rPr>
          <w:rFonts w:ascii="Times New Roman" w:hAnsi="Times New Roman" w:cs="Times New Roman"/>
          <w:sz w:val="24"/>
          <w:szCs w:val="24"/>
        </w:rPr>
        <w:t xml:space="preserve">, unit Syariah, dan </w:t>
      </w:r>
      <w:r w:rsidRPr="00C018F9">
        <w:rPr>
          <w:rFonts w:ascii="Times New Roman" w:hAnsi="Times New Roman" w:cs="Times New Roman"/>
          <w:sz w:val="24"/>
          <w:szCs w:val="24"/>
        </w:rPr>
        <w:t>cabang</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serta</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jaringan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bisnis</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anak</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perusahaan</w:t>
      </w:r>
      <w:r w:rsidRPr="00C018F9">
        <w:rPr>
          <w:rFonts w:ascii="Times New Roman" w:hAnsi="Times New Roman" w:cs="Times New Roman"/>
          <w:sz w:val="24"/>
          <w:szCs w:val="24"/>
        </w:rPr>
        <w:t xml:space="preserve">, dan </w:t>
      </w:r>
      <w:r w:rsidRPr="00C018F9">
        <w:rPr>
          <w:rFonts w:ascii="Times New Roman" w:hAnsi="Times New Roman" w:cs="Times New Roman"/>
          <w:sz w:val="24"/>
          <w:szCs w:val="24"/>
        </w:rPr>
        <w:t>jaringan</w:t>
      </w:r>
      <w:r w:rsidRPr="00C018F9">
        <w:rPr>
          <w:rFonts w:ascii="Times New Roman" w:hAnsi="Times New Roman" w:cs="Times New Roman"/>
          <w:sz w:val="24"/>
          <w:szCs w:val="24"/>
        </w:rPr>
        <w:t xml:space="preserve"> ATM, ATM Bersama, PRIMA, dan ALTO </w:t>
      </w:r>
      <w:r w:rsidRPr="00C018F9">
        <w:rPr>
          <w:rFonts w:ascii="Times New Roman" w:hAnsi="Times New Roman" w:cs="Times New Roman"/>
          <w:sz w:val="24"/>
          <w:szCs w:val="24"/>
        </w:rPr>
        <w:t>dengan</w:t>
      </w:r>
      <w:r w:rsidRPr="00C018F9">
        <w:rPr>
          <w:rFonts w:ascii="Times New Roman" w:hAnsi="Times New Roman" w:cs="Times New Roman"/>
          <w:sz w:val="24"/>
          <w:szCs w:val="24"/>
        </w:rPr>
        <w:t xml:space="preserve"> total </w:t>
      </w:r>
      <w:r w:rsidRPr="00C018F9">
        <w:rPr>
          <w:rFonts w:ascii="Times New Roman" w:hAnsi="Times New Roman" w:cs="Times New Roman"/>
          <w:sz w:val="24"/>
          <w:szCs w:val="24"/>
        </w:rPr>
        <w:t>lebih</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dari</w:t>
      </w:r>
      <w:r w:rsidRPr="00C018F9">
        <w:rPr>
          <w:rFonts w:ascii="Times New Roman" w:hAnsi="Times New Roman" w:cs="Times New Roman"/>
          <w:sz w:val="24"/>
          <w:szCs w:val="24"/>
        </w:rPr>
        <w:t xml:space="preserve"> 60.000-unit yang </w:t>
      </w:r>
      <w:r w:rsidRPr="00C018F9">
        <w:rPr>
          <w:rFonts w:ascii="Times New Roman" w:hAnsi="Times New Roman" w:cs="Times New Roman"/>
          <w:sz w:val="24"/>
          <w:szCs w:val="24"/>
        </w:rPr>
        <w:t>tersebar</w:t>
      </w:r>
      <w:r w:rsidRPr="00C018F9">
        <w:rPr>
          <w:rFonts w:ascii="Times New Roman" w:hAnsi="Times New Roman" w:cs="Times New Roman"/>
          <w:sz w:val="24"/>
          <w:szCs w:val="24"/>
        </w:rPr>
        <w:t xml:space="preserve"> di 34 </w:t>
      </w:r>
      <w:r w:rsidRPr="00C018F9">
        <w:rPr>
          <w:rFonts w:ascii="Times New Roman" w:hAnsi="Times New Roman" w:cs="Times New Roman"/>
          <w:sz w:val="24"/>
          <w:szCs w:val="24"/>
        </w:rPr>
        <w:t>provinsi</w:t>
      </w:r>
      <w:r w:rsidRPr="00C018F9">
        <w:rPr>
          <w:rFonts w:ascii="Times New Roman" w:hAnsi="Times New Roman" w:cs="Times New Roman"/>
          <w:sz w:val="24"/>
          <w:szCs w:val="24"/>
        </w:rPr>
        <w:t xml:space="preserve">. Selain </w:t>
      </w:r>
      <w:r w:rsidRPr="00C018F9">
        <w:rPr>
          <w:rFonts w:ascii="Times New Roman" w:hAnsi="Times New Roman" w:cs="Times New Roman"/>
          <w:sz w:val="24"/>
          <w:szCs w:val="24"/>
        </w:rPr>
        <w:t>layanan</w:t>
      </w:r>
      <w:r w:rsidRPr="00C018F9">
        <w:rPr>
          <w:rFonts w:ascii="Times New Roman" w:hAnsi="Times New Roman" w:cs="Times New Roman"/>
          <w:sz w:val="24"/>
          <w:szCs w:val="24"/>
        </w:rPr>
        <w:t xml:space="preserve"> offline, </w:t>
      </w:r>
      <w:r w:rsidRPr="00C018F9">
        <w:rPr>
          <w:rFonts w:ascii="Times New Roman" w:hAnsi="Times New Roman" w:cs="Times New Roman"/>
          <w:sz w:val="24"/>
          <w:szCs w:val="24"/>
        </w:rPr>
        <w:t>produk</w:t>
      </w:r>
      <w:r w:rsidRPr="00C018F9">
        <w:rPr>
          <w:rFonts w:ascii="Times New Roman" w:hAnsi="Times New Roman" w:cs="Times New Roman"/>
          <w:sz w:val="24"/>
          <w:szCs w:val="24"/>
        </w:rPr>
        <w:t xml:space="preserve"> dan </w:t>
      </w:r>
      <w:r w:rsidRPr="00C018F9">
        <w:rPr>
          <w:rFonts w:ascii="Times New Roman" w:hAnsi="Times New Roman" w:cs="Times New Roman"/>
          <w:sz w:val="24"/>
          <w:szCs w:val="24"/>
        </w:rPr>
        <w:t>layanan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juga </w:t>
      </w:r>
      <w:r w:rsidRPr="00C018F9">
        <w:rPr>
          <w:rFonts w:ascii="Times New Roman" w:hAnsi="Times New Roman" w:cs="Times New Roman"/>
          <w:sz w:val="24"/>
          <w:szCs w:val="24"/>
        </w:rPr>
        <w:t>dapat</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diakses</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secara</w:t>
      </w:r>
      <w:r w:rsidRPr="00C018F9">
        <w:rPr>
          <w:rFonts w:ascii="Times New Roman" w:hAnsi="Times New Roman" w:cs="Times New Roman"/>
          <w:sz w:val="24"/>
          <w:szCs w:val="24"/>
        </w:rPr>
        <w:t xml:space="preserve"> online </w:t>
      </w:r>
      <w:r w:rsidRPr="00C018F9">
        <w:rPr>
          <w:rFonts w:ascii="Times New Roman" w:hAnsi="Times New Roman" w:cs="Times New Roman"/>
          <w:sz w:val="24"/>
          <w:szCs w:val="24"/>
        </w:rPr>
        <w:t>melalui</w:t>
      </w:r>
      <w:r w:rsidRPr="00C018F9">
        <w:rPr>
          <w:rFonts w:ascii="Times New Roman" w:hAnsi="Times New Roman" w:cs="Times New Roman"/>
          <w:sz w:val="24"/>
          <w:szCs w:val="24"/>
        </w:rPr>
        <w:t xml:space="preserve"> D-Bank PRO </w:t>
      </w:r>
      <w:r w:rsidRPr="00C018F9">
        <w:rPr>
          <w:rFonts w:ascii="Times New Roman" w:hAnsi="Times New Roman" w:cs="Times New Roman"/>
          <w:sz w:val="24"/>
          <w:szCs w:val="24"/>
        </w:rPr>
        <w:t>untuk</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Nasabah</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Perorangan</w:t>
      </w:r>
      <w:r w:rsidRPr="00C018F9">
        <w:rPr>
          <w:rFonts w:ascii="Times New Roman" w:hAnsi="Times New Roman" w:cs="Times New Roman"/>
          <w:sz w:val="24"/>
          <w:szCs w:val="24"/>
        </w:rPr>
        <w:t xml:space="preserve"> dan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Cash Connect </w:t>
      </w:r>
      <w:r w:rsidRPr="00C018F9">
        <w:rPr>
          <w:rFonts w:ascii="Times New Roman" w:hAnsi="Times New Roman" w:cs="Times New Roman"/>
          <w:sz w:val="24"/>
          <w:szCs w:val="24"/>
        </w:rPr>
        <w:t>untuk</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Nasabah</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Bisnis</w:t>
      </w:r>
      <w:r w:rsidRPr="00C018F9">
        <w:rPr>
          <w:rFonts w:ascii="Times New Roman" w:hAnsi="Times New Roman" w:cs="Times New Roman"/>
          <w:sz w:val="24"/>
          <w:szCs w:val="24"/>
        </w:rPr>
        <w:t xml:space="preserve">. Selain </w:t>
      </w:r>
      <w:r w:rsidRPr="00C018F9">
        <w:rPr>
          <w:rFonts w:ascii="Times New Roman" w:hAnsi="Times New Roman" w:cs="Times New Roman"/>
          <w:sz w:val="24"/>
          <w:szCs w:val="24"/>
        </w:rPr>
        <w:t>itu</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Danamon</w:t>
      </w:r>
      <w:r w:rsidRPr="00C018F9">
        <w:rPr>
          <w:rFonts w:ascii="Times New Roman" w:hAnsi="Times New Roman" w:cs="Times New Roman"/>
          <w:sz w:val="24"/>
          <w:szCs w:val="24"/>
        </w:rPr>
        <w:t xml:space="preserve"> juga </w:t>
      </w:r>
      <w:r w:rsidRPr="00C018F9">
        <w:rPr>
          <w:rFonts w:ascii="Times New Roman" w:hAnsi="Times New Roman" w:cs="Times New Roman"/>
          <w:sz w:val="24"/>
          <w:szCs w:val="24"/>
        </w:rPr>
        <w:t>menyediakan</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layanan</w:t>
      </w:r>
      <w:r w:rsidRPr="00C018F9">
        <w:rPr>
          <w:rFonts w:ascii="Times New Roman" w:hAnsi="Times New Roman" w:cs="Times New Roman"/>
          <w:sz w:val="24"/>
          <w:szCs w:val="24"/>
        </w:rPr>
        <w:t xml:space="preserve"> 24 jam </w:t>
      </w:r>
      <w:r w:rsidRPr="00C018F9">
        <w:rPr>
          <w:rFonts w:ascii="Times New Roman" w:hAnsi="Times New Roman" w:cs="Times New Roman"/>
          <w:sz w:val="24"/>
          <w:szCs w:val="24"/>
        </w:rPr>
        <w:t>melalui</w:t>
      </w:r>
      <w:r w:rsidRPr="00C018F9">
        <w:rPr>
          <w:rFonts w:ascii="Times New Roman" w:hAnsi="Times New Roman" w:cs="Times New Roman"/>
          <w:sz w:val="24"/>
          <w:szCs w:val="24"/>
        </w:rPr>
        <w:t xml:space="preserve"> </w:t>
      </w:r>
      <w:r w:rsidRPr="00C018F9">
        <w:rPr>
          <w:rFonts w:ascii="Times New Roman" w:hAnsi="Times New Roman" w:cs="Times New Roman"/>
          <w:sz w:val="24"/>
          <w:szCs w:val="24"/>
        </w:rPr>
        <w:t>layanan</w:t>
      </w:r>
      <w:r w:rsidRPr="00C018F9">
        <w:rPr>
          <w:rFonts w:ascii="Times New Roman" w:hAnsi="Times New Roman" w:cs="Times New Roman"/>
          <w:sz w:val="24"/>
          <w:szCs w:val="24"/>
        </w:rPr>
        <w:t xml:space="preserve"> SMS Banking dan </w:t>
      </w:r>
      <w:r w:rsidRPr="00C018F9">
        <w:rPr>
          <w:rFonts w:ascii="Times New Roman" w:hAnsi="Times New Roman" w:cs="Times New Roman"/>
          <w:sz w:val="24"/>
          <w:szCs w:val="24"/>
        </w:rPr>
        <w:t>layanan</w:t>
      </w:r>
      <w:r w:rsidRPr="00C018F9">
        <w:rPr>
          <w:rFonts w:ascii="Times New Roman" w:hAnsi="Times New Roman" w:cs="Times New Roman"/>
          <w:sz w:val="24"/>
          <w:szCs w:val="24"/>
        </w:rPr>
        <w:t xml:space="preserve"> call </w:t>
      </w:r>
      <w:r w:rsidRPr="00C018F9">
        <w:rPr>
          <w:rFonts w:ascii="Times New Roman" w:hAnsi="Times New Roman" w:cs="Times New Roman"/>
          <w:sz w:val="24"/>
          <w:szCs w:val="24"/>
        </w:rPr>
        <w:t>center</w:t>
      </w:r>
      <w:r w:rsidRPr="00C018F9">
        <w:rPr>
          <w:rFonts w:ascii="Times New Roman" w:hAnsi="Times New Roman" w:cs="Times New Roman"/>
          <w:sz w:val="24"/>
          <w:szCs w:val="24"/>
        </w:rPr>
        <w:t xml:space="preserve"> Hello </w:t>
      </w:r>
      <w:r w:rsidRPr="00C018F9">
        <w:rPr>
          <w:rFonts w:ascii="Times New Roman" w:hAnsi="Times New Roman" w:cs="Times New Roman"/>
          <w:sz w:val="24"/>
          <w:szCs w:val="24"/>
        </w:rPr>
        <w:t>Danamon</w:t>
      </w:r>
      <w:r w:rsidRPr="00C018F9">
        <w:rPr>
          <w:rFonts w:ascii="Times New Roman" w:hAnsi="Times New Roman" w:cs="Times New Roman"/>
          <w:sz w:val="24"/>
          <w:szCs w:val="24"/>
        </w:rPr>
        <w:t>.</w:t>
      </w:r>
    </w:p>
    <w:p w:rsidR="00D62471" w:rsidP="00D62471" w14:paraId="4F6F5F47" w14:textId="331A7E9F">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Pembangunan Daerah Jawa Barat </w:t>
      </w:r>
      <w:r>
        <w:rPr>
          <w:rFonts w:ascii="Times New Roman" w:hAnsi="Times New Roman" w:cs="Times New Roman"/>
          <w:b/>
          <w:bCs/>
          <w:sz w:val="24"/>
          <w:szCs w:val="24"/>
        </w:rPr>
        <w:t>Tbk</w:t>
      </w:r>
      <w:r>
        <w:rPr>
          <w:rFonts w:ascii="Times New Roman" w:hAnsi="Times New Roman" w:cs="Times New Roman"/>
          <w:b/>
          <w:bCs/>
          <w:sz w:val="24"/>
          <w:szCs w:val="24"/>
        </w:rPr>
        <w:t>.</w:t>
      </w:r>
    </w:p>
    <w:p w:rsidR="00C018F9" w:rsidRPr="006B6EF0" w:rsidP="006B6EF0" w14:paraId="662B8194" w14:textId="37D007CD">
      <w:pPr>
        <w:pStyle w:val="ListParagraph"/>
        <w:spacing w:after="0" w:line="480" w:lineRule="auto"/>
        <w:ind w:left="1146" w:firstLine="294"/>
        <w:jc w:val="both"/>
        <w:rPr>
          <w:rFonts w:ascii="Times New Roman" w:hAnsi="Times New Roman" w:cs="Times New Roman"/>
          <w:sz w:val="24"/>
          <w:szCs w:val="24"/>
        </w:rPr>
      </w:pPr>
      <w:r w:rsidRPr="006B6EF0">
        <w:rPr>
          <w:rFonts w:ascii="Times New Roman" w:hAnsi="Times New Roman" w:cs="Times New Roman"/>
          <w:sz w:val="24"/>
          <w:szCs w:val="24"/>
        </w:rPr>
        <w:t xml:space="preserve">PT Bank Pembangunan Daerah Jawa Barat dan Banten </w:t>
      </w:r>
      <w:r w:rsidRPr="006B6EF0">
        <w:rPr>
          <w:rFonts w:ascii="Times New Roman" w:hAnsi="Times New Roman" w:cs="Times New Roman"/>
          <w:sz w:val="24"/>
          <w:szCs w:val="24"/>
        </w:rPr>
        <w:t>Tbk</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adalah</w:t>
      </w:r>
      <w:r w:rsidRPr="006B6EF0">
        <w:rPr>
          <w:rFonts w:ascii="Times New Roman" w:hAnsi="Times New Roman" w:cs="Times New Roman"/>
          <w:sz w:val="24"/>
          <w:szCs w:val="24"/>
        </w:rPr>
        <w:t xml:space="preserve"> bank BUMD </w:t>
      </w:r>
      <w:r w:rsidRPr="006B6EF0">
        <w:rPr>
          <w:rFonts w:ascii="Times New Roman" w:hAnsi="Times New Roman" w:cs="Times New Roman"/>
          <w:sz w:val="24"/>
          <w:szCs w:val="24"/>
        </w:rPr>
        <w:t>milik</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Pemerintah</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Provinsi</w:t>
      </w:r>
      <w:r w:rsidRPr="006B6EF0">
        <w:rPr>
          <w:rFonts w:ascii="Times New Roman" w:hAnsi="Times New Roman" w:cs="Times New Roman"/>
          <w:sz w:val="24"/>
          <w:szCs w:val="24"/>
        </w:rPr>
        <w:t xml:space="preserve"> Jawa Barat dan Banten yang </w:t>
      </w:r>
      <w:r w:rsidRPr="006B6EF0">
        <w:rPr>
          <w:rFonts w:ascii="Times New Roman" w:hAnsi="Times New Roman" w:cs="Times New Roman"/>
          <w:sz w:val="24"/>
          <w:szCs w:val="24"/>
        </w:rPr>
        <w:t>berkantor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pusat</w:t>
      </w:r>
      <w:r w:rsidRPr="006B6EF0">
        <w:rPr>
          <w:rFonts w:ascii="Times New Roman" w:hAnsi="Times New Roman" w:cs="Times New Roman"/>
          <w:sz w:val="24"/>
          <w:szCs w:val="24"/>
        </w:rPr>
        <w:t xml:space="preserve"> di Bandung. Bank yang </w:t>
      </w:r>
      <w:r w:rsidRPr="006B6EF0">
        <w:rPr>
          <w:rFonts w:ascii="Times New Roman" w:hAnsi="Times New Roman" w:cs="Times New Roman"/>
          <w:sz w:val="24"/>
          <w:szCs w:val="24"/>
        </w:rPr>
        <w:t>didirikan</w:t>
      </w:r>
      <w:r w:rsidRPr="006B6EF0">
        <w:rPr>
          <w:rFonts w:ascii="Times New Roman" w:hAnsi="Times New Roman" w:cs="Times New Roman"/>
          <w:sz w:val="24"/>
          <w:szCs w:val="24"/>
        </w:rPr>
        <w:t xml:space="preserve"> pada 20 Mei 1961 </w:t>
      </w:r>
      <w:r w:rsidRPr="006B6EF0">
        <w:rPr>
          <w:rFonts w:ascii="Times New Roman" w:hAnsi="Times New Roman" w:cs="Times New Roman"/>
          <w:sz w:val="24"/>
          <w:szCs w:val="24"/>
        </w:rPr>
        <w:t>dengan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bentuk</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perseroan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terbatas</w:t>
      </w:r>
      <w:r w:rsidRPr="006B6EF0">
        <w:rPr>
          <w:rFonts w:ascii="Times New Roman" w:hAnsi="Times New Roman" w:cs="Times New Roman"/>
          <w:sz w:val="24"/>
          <w:szCs w:val="24"/>
        </w:rPr>
        <w:t xml:space="preserve"> (PT), </w:t>
      </w:r>
      <w:r w:rsidRPr="006B6EF0">
        <w:rPr>
          <w:rFonts w:ascii="Times New Roman" w:hAnsi="Times New Roman" w:cs="Times New Roman"/>
          <w:sz w:val="24"/>
          <w:szCs w:val="24"/>
        </w:rPr>
        <w:t>kemudian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dalam</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perkembangannya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berubah</w:t>
      </w:r>
      <w:r w:rsidRPr="006B6EF0">
        <w:rPr>
          <w:rFonts w:ascii="Times New Roman" w:hAnsi="Times New Roman" w:cs="Times New Roman"/>
          <w:sz w:val="24"/>
          <w:szCs w:val="24"/>
        </w:rPr>
        <w:t xml:space="preserve"> status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BUMD. Bank BJB </w:t>
      </w:r>
      <w:r w:rsidRPr="006B6EF0">
        <w:rPr>
          <w:rFonts w:ascii="Times New Roman" w:hAnsi="Times New Roman" w:cs="Times New Roman"/>
          <w:sz w:val="24"/>
          <w:szCs w:val="24"/>
        </w:rPr>
        <w:t>kemudian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melakukan</w:t>
      </w:r>
      <w:r w:rsidRPr="006B6EF0">
        <w:rPr>
          <w:rFonts w:ascii="Times New Roman" w:hAnsi="Times New Roman" w:cs="Times New Roman"/>
          <w:sz w:val="24"/>
          <w:szCs w:val="24"/>
        </w:rPr>
        <w:t xml:space="preserve"> IPO di Bursa </w:t>
      </w:r>
      <w:r w:rsidRPr="006B6EF0">
        <w:rPr>
          <w:rFonts w:ascii="Times New Roman" w:hAnsi="Times New Roman" w:cs="Times New Roman"/>
          <w:sz w:val="24"/>
          <w:szCs w:val="24"/>
        </w:rPr>
        <w:t>Efek</w:t>
      </w:r>
      <w:r w:rsidRPr="006B6EF0">
        <w:rPr>
          <w:rFonts w:ascii="Times New Roman" w:hAnsi="Times New Roman" w:cs="Times New Roman"/>
          <w:sz w:val="24"/>
          <w:szCs w:val="24"/>
        </w:rPr>
        <w:t xml:space="preserve"> Indonesia dan </w:t>
      </w:r>
      <w:r w:rsidRPr="006B6EF0">
        <w:rPr>
          <w:rFonts w:ascii="Times New Roman" w:hAnsi="Times New Roman" w:cs="Times New Roman"/>
          <w:sz w:val="24"/>
          <w:szCs w:val="24"/>
        </w:rPr>
        <w:t>resmi</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menggunakan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nama</w:t>
      </w:r>
      <w:r w:rsidRPr="006B6EF0">
        <w:rPr>
          <w:rFonts w:ascii="Times New Roman" w:hAnsi="Times New Roman" w:cs="Times New Roman"/>
          <w:sz w:val="24"/>
          <w:szCs w:val="24"/>
        </w:rPr>
        <w:t xml:space="preserve"> “Bank BJB” pada 2010. Pada 2019, Bank BJB </w:t>
      </w:r>
      <w:r w:rsidRPr="006B6EF0">
        <w:rPr>
          <w:rFonts w:ascii="Times New Roman" w:hAnsi="Times New Roman" w:cs="Times New Roman"/>
          <w:sz w:val="24"/>
          <w:szCs w:val="24"/>
        </w:rPr>
        <w:t>dinobatkan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Bank Pembangunan Daerah (BPD) </w:t>
      </w:r>
      <w:r w:rsidRPr="006B6EF0">
        <w:rPr>
          <w:rFonts w:ascii="Times New Roman" w:hAnsi="Times New Roman" w:cs="Times New Roman"/>
          <w:sz w:val="24"/>
          <w:szCs w:val="24"/>
        </w:rPr>
        <w:t>pertama</w:t>
      </w:r>
      <w:r w:rsidRPr="006B6EF0">
        <w:rPr>
          <w:rFonts w:ascii="Times New Roman" w:hAnsi="Times New Roman" w:cs="Times New Roman"/>
          <w:sz w:val="24"/>
          <w:szCs w:val="24"/>
        </w:rPr>
        <w:t xml:space="preserve"> yang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bank administrator </w:t>
      </w:r>
      <w:r w:rsidRPr="006B6EF0">
        <w:rPr>
          <w:rFonts w:ascii="Times New Roman" w:hAnsi="Times New Roman" w:cs="Times New Roman"/>
          <w:sz w:val="24"/>
          <w:szCs w:val="24"/>
        </w:rPr>
        <w:t>rekening</w:t>
      </w:r>
      <w:r w:rsidRPr="006B6EF0">
        <w:rPr>
          <w:rFonts w:ascii="Times New Roman" w:hAnsi="Times New Roman" w:cs="Times New Roman"/>
          <w:sz w:val="24"/>
          <w:szCs w:val="24"/>
        </w:rPr>
        <w:t xml:space="preserve"> dana </w:t>
      </w:r>
      <w:r w:rsidRPr="006B6EF0">
        <w:rPr>
          <w:rFonts w:ascii="Times New Roman" w:hAnsi="Times New Roman" w:cs="Times New Roman"/>
          <w:sz w:val="24"/>
          <w:szCs w:val="24"/>
        </w:rPr>
        <w:t>nasabah</w:t>
      </w:r>
      <w:r w:rsidRPr="006B6EF0">
        <w:rPr>
          <w:rFonts w:ascii="Times New Roman" w:hAnsi="Times New Roman" w:cs="Times New Roman"/>
          <w:sz w:val="24"/>
          <w:szCs w:val="24"/>
        </w:rPr>
        <w:t xml:space="preserve"> (RDN) </w:t>
      </w:r>
      <w:r w:rsidRPr="006B6EF0">
        <w:rPr>
          <w:rFonts w:ascii="Times New Roman" w:hAnsi="Times New Roman" w:cs="Times New Roman"/>
          <w:sz w:val="24"/>
          <w:szCs w:val="24"/>
        </w:rPr>
        <w:t>periode</w:t>
      </w:r>
      <w:r w:rsidRPr="006B6EF0">
        <w:rPr>
          <w:rFonts w:ascii="Times New Roman" w:hAnsi="Times New Roman" w:cs="Times New Roman"/>
          <w:sz w:val="24"/>
          <w:szCs w:val="24"/>
        </w:rPr>
        <w:t xml:space="preserve"> 2019-2024 oleh PT </w:t>
      </w:r>
      <w:r w:rsidRPr="006B6EF0">
        <w:rPr>
          <w:rFonts w:ascii="Times New Roman" w:hAnsi="Times New Roman" w:cs="Times New Roman"/>
          <w:sz w:val="24"/>
          <w:szCs w:val="24"/>
        </w:rPr>
        <w:t>Kustodian</w:t>
      </w:r>
      <w:r w:rsidRPr="006B6EF0">
        <w:rPr>
          <w:rFonts w:ascii="Times New Roman" w:hAnsi="Times New Roman" w:cs="Times New Roman"/>
          <w:sz w:val="24"/>
          <w:szCs w:val="24"/>
        </w:rPr>
        <w:t xml:space="preserve"> Sentral </w:t>
      </w:r>
      <w:r w:rsidRPr="006B6EF0">
        <w:rPr>
          <w:rFonts w:ascii="Times New Roman" w:hAnsi="Times New Roman" w:cs="Times New Roman"/>
          <w:sz w:val="24"/>
          <w:szCs w:val="24"/>
        </w:rPr>
        <w:t>Efek</w:t>
      </w:r>
      <w:r w:rsidRPr="006B6EF0">
        <w:rPr>
          <w:rFonts w:ascii="Times New Roman" w:hAnsi="Times New Roman" w:cs="Times New Roman"/>
          <w:sz w:val="24"/>
          <w:szCs w:val="24"/>
        </w:rPr>
        <w:t xml:space="preserve"> Indonesia (KSEI). Saat </w:t>
      </w:r>
      <w:r w:rsidRPr="006B6EF0">
        <w:rPr>
          <w:rFonts w:ascii="Times New Roman" w:hAnsi="Times New Roman" w:cs="Times New Roman"/>
          <w:sz w:val="24"/>
          <w:szCs w:val="24"/>
        </w:rPr>
        <w:t>ini</w:t>
      </w:r>
      <w:r w:rsidRPr="006B6EF0">
        <w:rPr>
          <w:rFonts w:ascii="Times New Roman" w:hAnsi="Times New Roman" w:cs="Times New Roman"/>
          <w:sz w:val="24"/>
          <w:szCs w:val="24"/>
        </w:rPr>
        <w:t xml:space="preserve"> Bank BJB </w:t>
      </w:r>
      <w:r w:rsidRPr="006B6EF0">
        <w:rPr>
          <w:rFonts w:ascii="Times New Roman" w:hAnsi="Times New Roman" w:cs="Times New Roman"/>
          <w:sz w:val="24"/>
          <w:szCs w:val="24"/>
        </w:rPr>
        <w:t>memiliki</w:t>
      </w:r>
      <w:r w:rsidRPr="006B6EF0">
        <w:rPr>
          <w:rFonts w:ascii="Times New Roman" w:hAnsi="Times New Roman" w:cs="Times New Roman"/>
          <w:sz w:val="24"/>
          <w:szCs w:val="24"/>
        </w:rPr>
        <w:t xml:space="preserve"> 65 </w:t>
      </w:r>
      <w:r w:rsidRPr="006B6EF0">
        <w:rPr>
          <w:rFonts w:ascii="Times New Roman" w:hAnsi="Times New Roman" w:cs="Times New Roman"/>
          <w:sz w:val="24"/>
          <w:szCs w:val="24"/>
        </w:rPr>
        <w:t>kantor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cabang</w:t>
      </w:r>
      <w:r w:rsidRPr="006B6EF0">
        <w:rPr>
          <w:rFonts w:ascii="Times New Roman" w:hAnsi="Times New Roman" w:cs="Times New Roman"/>
          <w:sz w:val="24"/>
          <w:szCs w:val="24"/>
        </w:rPr>
        <w:t xml:space="preserve">, 314 </w:t>
      </w:r>
      <w:r w:rsidRPr="006B6EF0">
        <w:rPr>
          <w:rFonts w:ascii="Times New Roman" w:hAnsi="Times New Roman" w:cs="Times New Roman"/>
          <w:sz w:val="24"/>
          <w:szCs w:val="24"/>
        </w:rPr>
        <w:t>kantor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cabang</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pembantu</w:t>
      </w:r>
      <w:r w:rsidRPr="006B6EF0">
        <w:rPr>
          <w:rFonts w:ascii="Times New Roman" w:hAnsi="Times New Roman" w:cs="Times New Roman"/>
          <w:sz w:val="24"/>
          <w:szCs w:val="24"/>
        </w:rPr>
        <w:t xml:space="preserve">, 349 Kantor kas, 1.529 ATM, 171 payment point, 5 </w:t>
      </w:r>
      <w:r w:rsidRPr="006B6EF0">
        <w:rPr>
          <w:rFonts w:ascii="Times New Roman" w:hAnsi="Times New Roman" w:cs="Times New Roman"/>
          <w:sz w:val="24"/>
          <w:szCs w:val="24"/>
        </w:rPr>
        <w:t>kantor</w:t>
      </w:r>
      <w:r w:rsidRPr="006B6EF0">
        <w:rPr>
          <w:rFonts w:ascii="Times New Roman" w:hAnsi="Times New Roman" w:cs="Times New Roman"/>
          <w:sz w:val="24"/>
          <w:szCs w:val="24"/>
        </w:rPr>
        <w:t xml:space="preserve"> wilayah, dan Weekend Banking 34. PT Bank Pembangunan Daerah Jawa Barat dan Banten </w:t>
      </w:r>
      <w:r w:rsidRPr="006B6EF0">
        <w:rPr>
          <w:rFonts w:ascii="Times New Roman" w:hAnsi="Times New Roman" w:cs="Times New Roman"/>
          <w:sz w:val="24"/>
          <w:szCs w:val="24"/>
        </w:rPr>
        <w:t>Tbk</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bank </w:t>
      </w:r>
      <w:r w:rsidRPr="006B6EF0">
        <w:rPr>
          <w:rFonts w:ascii="Times New Roman" w:hAnsi="Times New Roman" w:cs="Times New Roman"/>
          <w:sz w:val="24"/>
          <w:szCs w:val="24"/>
        </w:rPr>
        <w:t>devisa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sejak</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tanggal</w:t>
      </w:r>
      <w:r w:rsidRPr="006B6EF0">
        <w:rPr>
          <w:rFonts w:ascii="Times New Roman" w:hAnsi="Times New Roman" w:cs="Times New Roman"/>
          <w:sz w:val="24"/>
          <w:szCs w:val="24"/>
        </w:rPr>
        <w:t xml:space="preserve"> 2 Agustus 1990.</w:t>
      </w:r>
    </w:p>
    <w:p w:rsidR="00D62471" w:rsidP="00D62471" w14:paraId="646112E2" w14:textId="3E753394">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sidR="00FF6A7C">
        <w:rPr>
          <w:rFonts w:ascii="Times New Roman" w:hAnsi="Times New Roman" w:cs="Times New Roman"/>
          <w:b/>
          <w:bCs/>
          <w:sz w:val="24"/>
          <w:szCs w:val="24"/>
        </w:rPr>
        <w:t>Bank Pembangunan Daerah Jawa Timur</w:t>
      </w:r>
      <w:r w:rsidR="006B6EF0">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6B6EF0" w:rsidRPr="006B6EF0" w:rsidP="006B6EF0" w14:paraId="0F2DF95D" w14:textId="0483AABE">
      <w:pPr>
        <w:pStyle w:val="ListParagraph"/>
        <w:spacing w:after="0" w:line="480" w:lineRule="auto"/>
        <w:ind w:left="1146" w:firstLine="294"/>
        <w:jc w:val="both"/>
        <w:rPr>
          <w:rFonts w:ascii="Times New Roman" w:hAnsi="Times New Roman" w:cs="Times New Roman"/>
          <w:sz w:val="24"/>
          <w:szCs w:val="24"/>
        </w:rPr>
      </w:pPr>
      <w:r w:rsidRPr="006B6EF0">
        <w:rPr>
          <w:rFonts w:ascii="Times New Roman" w:hAnsi="Times New Roman" w:cs="Times New Roman"/>
          <w:sz w:val="24"/>
          <w:szCs w:val="24"/>
        </w:rPr>
        <w:t xml:space="preserve">PT Bank BPD Jatim </w:t>
      </w:r>
      <w:r w:rsidRPr="006B6EF0">
        <w:rPr>
          <w:rFonts w:ascii="Times New Roman" w:hAnsi="Times New Roman" w:cs="Times New Roman"/>
          <w:sz w:val="24"/>
          <w:szCs w:val="24"/>
        </w:rPr>
        <w:t>Tbk</w:t>
      </w:r>
      <w:r w:rsidRPr="006B6EF0">
        <w:rPr>
          <w:rFonts w:ascii="Times New Roman" w:hAnsi="Times New Roman" w:cs="Times New Roman"/>
          <w:sz w:val="24"/>
          <w:szCs w:val="24"/>
        </w:rPr>
        <w:t xml:space="preserve">. (Bank Jatim) </w:t>
      </w:r>
      <w:r w:rsidRPr="006B6EF0">
        <w:rPr>
          <w:rFonts w:ascii="Times New Roman" w:hAnsi="Times New Roman" w:cs="Times New Roman"/>
          <w:sz w:val="24"/>
          <w:szCs w:val="24"/>
        </w:rPr>
        <w:t>didirikan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tanggal</w:t>
      </w:r>
      <w:r w:rsidRPr="006B6EF0">
        <w:rPr>
          <w:rFonts w:ascii="Times New Roman" w:hAnsi="Times New Roman" w:cs="Times New Roman"/>
          <w:sz w:val="24"/>
          <w:szCs w:val="24"/>
        </w:rPr>
        <w:t xml:space="preserve"> 17 Agustus 1961 </w:t>
      </w:r>
      <w:r w:rsidRPr="006B6EF0">
        <w:rPr>
          <w:rFonts w:ascii="Times New Roman" w:hAnsi="Times New Roman" w:cs="Times New Roman"/>
          <w:sz w:val="24"/>
          <w:szCs w:val="24"/>
        </w:rPr>
        <w:t>dengan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nama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awal</w:t>
      </w:r>
      <w:r w:rsidRPr="006B6EF0">
        <w:rPr>
          <w:rFonts w:ascii="Times New Roman" w:hAnsi="Times New Roman" w:cs="Times New Roman"/>
          <w:sz w:val="24"/>
          <w:szCs w:val="24"/>
        </w:rPr>
        <w:t xml:space="preserve"> PT Bank Pembangunan Daerah </w:t>
      </w:r>
      <w:r w:rsidRPr="006B6EF0">
        <w:rPr>
          <w:rFonts w:ascii="Times New Roman" w:hAnsi="Times New Roman" w:cs="Times New Roman"/>
          <w:sz w:val="24"/>
          <w:szCs w:val="24"/>
        </w:rPr>
        <w:t>Djawa</w:t>
      </w:r>
      <w:r w:rsidRPr="006B6EF0">
        <w:rPr>
          <w:rFonts w:ascii="Times New Roman" w:hAnsi="Times New Roman" w:cs="Times New Roman"/>
          <w:sz w:val="24"/>
          <w:szCs w:val="24"/>
        </w:rPr>
        <w:t xml:space="preserve"> Timur. Status </w:t>
      </w:r>
      <w:r w:rsidRPr="006B6EF0">
        <w:rPr>
          <w:rFonts w:ascii="Times New Roman" w:hAnsi="Times New Roman" w:cs="Times New Roman"/>
          <w:sz w:val="24"/>
          <w:szCs w:val="24"/>
        </w:rPr>
        <w:t>perbankan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berubah</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Badan Usaha Milik Daerah (BUMD) pada 1976. Bank </w:t>
      </w:r>
      <w:r w:rsidRPr="006B6EF0">
        <w:rPr>
          <w:rFonts w:ascii="Times New Roman" w:hAnsi="Times New Roman" w:cs="Times New Roman"/>
          <w:sz w:val="24"/>
          <w:szCs w:val="24"/>
        </w:rPr>
        <w:t>lalu</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memperoleh</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izin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sebagai</w:t>
      </w:r>
      <w:r w:rsidRPr="006B6EF0">
        <w:rPr>
          <w:rFonts w:ascii="Times New Roman" w:hAnsi="Times New Roman" w:cs="Times New Roman"/>
          <w:sz w:val="24"/>
          <w:szCs w:val="24"/>
        </w:rPr>
        <w:t xml:space="preserve"> bank </w:t>
      </w:r>
      <w:r w:rsidRPr="006B6EF0">
        <w:rPr>
          <w:rFonts w:ascii="Times New Roman" w:hAnsi="Times New Roman" w:cs="Times New Roman"/>
          <w:sz w:val="24"/>
          <w:szCs w:val="24"/>
        </w:rPr>
        <w:t>devisa</w:t>
      </w:r>
      <w:r w:rsidRPr="006B6EF0">
        <w:rPr>
          <w:rFonts w:ascii="Times New Roman" w:hAnsi="Times New Roman" w:cs="Times New Roman"/>
          <w:sz w:val="24"/>
          <w:szCs w:val="24"/>
        </w:rPr>
        <w:t xml:space="preserve"> pada 1990. </w:t>
      </w:r>
      <w:r w:rsidRPr="006B6EF0">
        <w:rPr>
          <w:rFonts w:ascii="Times New Roman" w:hAnsi="Times New Roman" w:cs="Times New Roman"/>
          <w:sz w:val="24"/>
          <w:szCs w:val="24"/>
        </w:rPr>
        <w:t>Kemudian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tahun</w:t>
      </w:r>
      <w:r w:rsidRPr="006B6EF0">
        <w:rPr>
          <w:rFonts w:ascii="Times New Roman" w:hAnsi="Times New Roman" w:cs="Times New Roman"/>
          <w:sz w:val="24"/>
          <w:szCs w:val="24"/>
        </w:rPr>
        <w:t xml:space="preserve"> 1999, status </w:t>
      </w:r>
      <w:r w:rsidRPr="006B6EF0">
        <w:rPr>
          <w:rFonts w:ascii="Times New Roman" w:hAnsi="Times New Roman" w:cs="Times New Roman"/>
          <w:sz w:val="24"/>
          <w:szCs w:val="24"/>
        </w:rPr>
        <w:t>perusahaan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sebagai</w:t>
      </w:r>
      <w:r w:rsidRPr="006B6EF0">
        <w:rPr>
          <w:rFonts w:ascii="Times New Roman" w:hAnsi="Times New Roman" w:cs="Times New Roman"/>
          <w:sz w:val="24"/>
          <w:szCs w:val="24"/>
        </w:rPr>
        <w:t xml:space="preserve"> BUMD </w:t>
      </w:r>
      <w:r w:rsidRPr="006B6EF0">
        <w:rPr>
          <w:rFonts w:ascii="Times New Roman" w:hAnsi="Times New Roman" w:cs="Times New Roman"/>
          <w:sz w:val="24"/>
          <w:szCs w:val="24"/>
        </w:rPr>
        <w:t>berubah</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perseroan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terbatas</w:t>
      </w:r>
      <w:r w:rsidRPr="006B6EF0">
        <w:rPr>
          <w:rFonts w:ascii="Times New Roman" w:hAnsi="Times New Roman" w:cs="Times New Roman"/>
          <w:sz w:val="24"/>
          <w:szCs w:val="24"/>
        </w:rPr>
        <w:t xml:space="preserve"> (PT). Bank Jatim </w:t>
      </w:r>
      <w:r w:rsidRPr="006B6EF0">
        <w:rPr>
          <w:rFonts w:ascii="Times New Roman" w:hAnsi="Times New Roman" w:cs="Times New Roman"/>
          <w:sz w:val="24"/>
          <w:szCs w:val="24"/>
        </w:rPr>
        <w:t>menjadi</w:t>
      </w:r>
      <w:r w:rsidRPr="006B6EF0">
        <w:rPr>
          <w:rFonts w:ascii="Times New Roman" w:hAnsi="Times New Roman" w:cs="Times New Roman"/>
          <w:sz w:val="24"/>
          <w:szCs w:val="24"/>
        </w:rPr>
        <w:t xml:space="preserve"> salah </w:t>
      </w:r>
      <w:r w:rsidRPr="006B6EF0">
        <w:rPr>
          <w:rFonts w:ascii="Times New Roman" w:hAnsi="Times New Roman" w:cs="Times New Roman"/>
          <w:sz w:val="24"/>
          <w:szCs w:val="24"/>
        </w:rPr>
        <w:t>satu</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anggota</w:t>
      </w:r>
      <w:r w:rsidRPr="006B6EF0">
        <w:rPr>
          <w:rFonts w:ascii="Times New Roman" w:hAnsi="Times New Roman" w:cs="Times New Roman"/>
          <w:sz w:val="24"/>
          <w:szCs w:val="24"/>
        </w:rPr>
        <w:t xml:space="preserve"> Bursa </w:t>
      </w:r>
      <w:r w:rsidRPr="006B6EF0">
        <w:rPr>
          <w:rFonts w:ascii="Times New Roman" w:hAnsi="Times New Roman" w:cs="Times New Roman"/>
          <w:sz w:val="24"/>
          <w:szCs w:val="24"/>
        </w:rPr>
        <w:t>Efek</w:t>
      </w:r>
      <w:r w:rsidRPr="006B6EF0">
        <w:rPr>
          <w:rFonts w:ascii="Times New Roman" w:hAnsi="Times New Roman" w:cs="Times New Roman"/>
          <w:sz w:val="24"/>
          <w:szCs w:val="24"/>
        </w:rPr>
        <w:t xml:space="preserve"> Indonesia (BEI) </w:t>
      </w:r>
      <w:r w:rsidRPr="006B6EF0">
        <w:rPr>
          <w:rFonts w:ascii="Times New Roman" w:hAnsi="Times New Roman" w:cs="Times New Roman"/>
          <w:sz w:val="24"/>
          <w:szCs w:val="24"/>
        </w:rPr>
        <w:t>setelah</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melakukan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penawaran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umum</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perdana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saham</w:t>
      </w:r>
      <w:r w:rsidRPr="006B6EF0">
        <w:rPr>
          <w:rFonts w:ascii="Times New Roman" w:hAnsi="Times New Roman" w:cs="Times New Roman"/>
          <w:sz w:val="24"/>
          <w:szCs w:val="24"/>
        </w:rPr>
        <w:t xml:space="preserve"> pada 12 Juli 2012. Pada 2019, Bank Jatim </w:t>
      </w:r>
      <w:r w:rsidRPr="006B6EF0">
        <w:rPr>
          <w:rFonts w:ascii="Times New Roman" w:hAnsi="Times New Roman" w:cs="Times New Roman"/>
          <w:sz w:val="24"/>
          <w:szCs w:val="24"/>
        </w:rPr>
        <w:t>meluncurkan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beberapa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layanan</w:t>
      </w:r>
      <w:r w:rsidRPr="006B6EF0">
        <w:rPr>
          <w:rFonts w:ascii="Times New Roman" w:hAnsi="Times New Roman" w:cs="Times New Roman"/>
          <w:sz w:val="24"/>
          <w:szCs w:val="24"/>
        </w:rPr>
        <w:t xml:space="preserve"> digital, </w:t>
      </w:r>
      <w:r w:rsidRPr="006B6EF0">
        <w:rPr>
          <w:rFonts w:ascii="Times New Roman" w:hAnsi="Times New Roman" w:cs="Times New Roman"/>
          <w:sz w:val="24"/>
          <w:szCs w:val="24"/>
        </w:rPr>
        <w:t>antara</w:t>
      </w:r>
      <w:r w:rsidRPr="006B6EF0">
        <w:rPr>
          <w:rFonts w:ascii="Times New Roman" w:hAnsi="Times New Roman" w:cs="Times New Roman"/>
          <w:sz w:val="24"/>
          <w:szCs w:val="24"/>
        </w:rPr>
        <w:t xml:space="preserve"> lain BJTM Connect, </w:t>
      </w:r>
      <w:r w:rsidRPr="006B6EF0">
        <w:rPr>
          <w:rFonts w:ascii="Times New Roman" w:hAnsi="Times New Roman" w:cs="Times New Roman"/>
          <w:sz w:val="24"/>
          <w:szCs w:val="24"/>
        </w:rPr>
        <w:t>Jatimcode</w:t>
      </w:r>
      <w:r>
        <w:rPr>
          <w:rFonts w:ascii="Times New Roman" w:hAnsi="Times New Roman" w:cs="Times New Roman"/>
          <w:sz w:val="24"/>
          <w:szCs w:val="24"/>
        </w:rPr>
        <w:t xml:space="preserve">, </w:t>
      </w:r>
      <w:r w:rsidRPr="006B6EF0">
        <w:rPr>
          <w:rFonts w:ascii="Times New Roman" w:hAnsi="Times New Roman" w:cs="Times New Roman"/>
          <w:sz w:val="24"/>
          <w:szCs w:val="24"/>
        </w:rPr>
        <w:t xml:space="preserve">dan Portal e-form </w:t>
      </w:r>
      <w:r w:rsidRPr="006B6EF0">
        <w:rPr>
          <w:rFonts w:ascii="Times New Roman" w:hAnsi="Times New Roman" w:cs="Times New Roman"/>
          <w:sz w:val="24"/>
          <w:szCs w:val="24"/>
        </w:rPr>
        <w:t>kredit</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Untuk</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mendukung</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kegiatan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bisnisnya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hingga</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akhir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tahun</w:t>
      </w:r>
      <w:r w:rsidRPr="006B6EF0">
        <w:rPr>
          <w:rFonts w:ascii="Times New Roman" w:hAnsi="Times New Roman" w:cs="Times New Roman"/>
          <w:sz w:val="24"/>
          <w:szCs w:val="24"/>
        </w:rPr>
        <w:t xml:space="preserve"> 2020, </w:t>
      </w:r>
      <w:r w:rsidRPr="006B6EF0">
        <w:rPr>
          <w:rFonts w:ascii="Times New Roman" w:hAnsi="Times New Roman" w:cs="Times New Roman"/>
          <w:sz w:val="24"/>
          <w:szCs w:val="24"/>
        </w:rPr>
        <w:t>perusahaan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ini</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memiliki</w:t>
      </w:r>
      <w:r w:rsidRPr="006B6EF0">
        <w:rPr>
          <w:rFonts w:ascii="Times New Roman" w:hAnsi="Times New Roman" w:cs="Times New Roman"/>
          <w:sz w:val="24"/>
          <w:szCs w:val="24"/>
        </w:rPr>
        <w:t xml:space="preserve"> 48 </w:t>
      </w:r>
      <w:r w:rsidRPr="006B6EF0">
        <w:rPr>
          <w:rFonts w:ascii="Times New Roman" w:hAnsi="Times New Roman" w:cs="Times New Roman"/>
          <w:sz w:val="24"/>
          <w:szCs w:val="24"/>
        </w:rPr>
        <w:t>kantor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cabang</w:t>
      </w:r>
      <w:r w:rsidRPr="006B6EF0">
        <w:rPr>
          <w:rFonts w:ascii="Times New Roman" w:hAnsi="Times New Roman" w:cs="Times New Roman"/>
          <w:sz w:val="24"/>
          <w:szCs w:val="24"/>
        </w:rPr>
        <w:t xml:space="preserve">, 172 </w:t>
      </w:r>
      <w:r w:rsidRPr="006B6EF0">
        <w:rPr>
          <w:rFonts w:ascii="Times New Roman" w:hAnsi="Times New Roman" w:cs="Times New Roman"/>
          <w:sz w:val="24"/>
          <w:szCs w:val="24"/>
        </w:rPr>
        <w:t>kantor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cabang</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pembantu</w:t>
      </w:r>
      <w:r w:rsidRPr="006B6EF0">
        <w:rPr>
          <w:rFonts w:ascii="Times New Roman" w:hAnsi="Times New Roman" w:cs="Times New Roman"/>
          <w:sz w:val="24"/>
          <w:szCs w:val="24"/>
        </w:rPr>
        <w:t xml:space="preserve">, 209 </w:t>
      </w:r>
      <w:r w:rsidRPr="006B6EF0">
        <w:rPr>
          <w:rFonts w:ascii="Times New Roman" w:hAnsi="Times New Roman" w:cs="Times New Roman"/>
          <w:sz w:val="24"/>
          <w:szCs w:val="24"/>
        </w:rPr>
        <w:t>kantor</w:t>
      </w:r>
      <w:r w:rsidRPr="006B6EF0">
        <w:rPr>
          <w:rFonts w:ascii="Times New Roman" w:hAnsi="Times New Roman" w:cs="Times New Roman"/>
          <w:sz w:val="24"/>
          <w:szCs w:val="24"/>
        </w:rPr>
        <w:t xml:space="preserve"> kas, dan 777 ATM yang </w:t>
      </w:r>
      <w:r w:rsidRPr="006B6EF0">
        <w:rPr>
          <w:rFonts w:ascii="Times New Roman" w:hAnsi="Times New Roman" w:cs="Times New Roman"/>
          <w:sz w:val="24"/>
          <w:szCs w:val="24"/>
        </w:rPr>
        <w:t>sebagian</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besar</w:t>
      </w:r>
      <w:r w:rsidRPr="006B6EF0">
        <w:rPr>
          <w:rFonts w:ascii="Times New Roman" w:hAnsi="Times New Roman" w:cs="Times New Roman"/>
          <w:sz w:val="24"/>
          <w:szCs w:val="24"/>
        </w:rPr>
        <w:t xml:space="preserve"> </w:t>
      </w:r>
      <w:r w:rsidRPr="006B6EF0">
        <w:rPr>
          <w:rFonts w:ascii="Times New Roman" w:hAnsi="Times New Roman" w:cs="Times New Roman"/>
          <w:sz w:val="24"/>
          <w:szCs w:val="24"/>
        </w:rPr>
        <w:t>terletak</w:t>
      </w:r>
      <w:r w:rsidRPr="006B6EF0">
        <w:rPr>
          <w:rFonts w:ascii="Times New Roman" w:hAnsi="Times New Roman" w:cs="Times New Roman"/>
          <w:sz w:val="24"/>
          <w:szCs w:val="24"/>
        </w:rPr>
        <w:t xml:space="preserve"> di Jawa Timur.</w:t>
      </w:r>
    </w:p>
    <w:p w:rsidR="00FF6A7C" w:rsidP="00D62471" w14:paraId="77EB8A9E" w14:textId="5228CF02">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w:t>
      </w:r>
      <w:r w:rsidRPr="00FF6A7C">
        <w:rPr>
          <w:rFonts w:ascii="Times New Roman" w:hAnsi="Times New Roman" w:cs="Times New Roman"/>
          <w:b/>
          <w:bCs/>
          <w:sz w:val="24"/>
          <w:szCs w:val="24"/>
        </w:rPr>
        <w:t>Mandiri</w:t>
      </w:r>
      <w:r w:rsidR="00675167">
        <w:rPr>
          <w:rFonts w:ascii="Times New Roman" w:hAnsi="Times New Roman" w:cs="Times New Roman"/>
          <w:b/>
          <w:bCs/>
          <w:sz w:val="24"/>
          <w:szCs w:val="24"/>
        </w:rPr>
        <w:t xml:space="preserve"> (</w:t>
      </w:r>
      <w:r>
        <w:rPr>
          <w:rFonts w:ascii="Times New Roman" w:hAnsi="Times New Roman" w:cs="Times New Roman"/>
          <w:b/>
          <w:bCs/>
          <w:sz w:val="24"/>
          <w:szCs w:val="24"/>
        </w:rPr>
        <w:t>Persero</w:t>
      </w:r>
      <w:r w:rsidR="00675167">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F63353" w:rsidRPr="00E80F07" w:rsidP="00E80F07" w14:paraId="0CEE71E4" w14:textId="27AFAE66">
      <w:pPr>
        <w:pStyle w:val="ListParagraph"/>
        <w:spacing w:after="0" w:line="480" w:lineRule="auto"/>
        <w:ind w:left="1146" w:firstLine="294"/>
        <w:jc w:val="both"/>
        <w:rPr>
          <w:rFonts w:ascii="Times New Roman" w:hAnsi="Times New Roman" w:cs="Times New Roman"/>
          <w:sz w:val="24"/>
          <w:szCs w:val="24"/>
        </w:rPr>
      </w:pPr>
      <w:r w:rsidRPr="00E80F07">
        <w:rPr>
          <w:rFonts w:ascii="Times New Roman" w:hAnsi="Times New Roman" w:cs="Times New Roman"/>
          <w:sz w:val="24"/>
          <w:szCs w:val="24"/>
        </w:rPr>
        <w:t xml:space="preserve">PT Bank </w:t>
      </w:r>
      <w:r w:rsidRPr="00E80F07">
        <w:rPr>
          <w:rFonts w:ascii="Times New Roman" w:hAnsi="Times New Roman" w:cs="Times New Roman"/>
          <w:sz w:val="24"/>
          <w:szCs w:val="24"/>
        </w:rPr>
        <w:t>Mandiri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menjadi</w:t>
      </w:r>
      <w:r w:rsidRPr="00E80F07">
        <w:rPr>
          <w:rFonts w:ascii="Times New Roman" w:hAnsi="Times New Roman" w:cs="Times New Roman"/>
          <w:sz w:val="24"/>
          <w:szCs w:val="24"/>
        </w:rPr>
        <w:t xml:space="preserve"> Perusahaan Perseroan yang </w:t>
      </w:r>
      <w:r w:rsidRPr="00E80F07">
        <w:rPr>
          <w:rFonts w:ascii="Times New Roman" w:hAnsi="Times New Roman" w:cs="Times New Roman"/>
          <w:sz w:val="24"/>
          <w:szCs w:val="24"/>
        </w:rPr>
        <w:t>dinyatakan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dalam</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Akta</w:t>
      </w:r>
      <w:r w:rsidRPr="00E80F07">
        <w:rPr>
          <w:rFonts w:ascii="Times New Roman" w:hAnsi="Times New Roman" w:cs="Times New Roman"/>
          <w:sz w:val="24"/>
          <w:szCs w:val="24"/>
        </w:rPr>
        <w:t xml:space="preserve"> No.9, </w:t>
      </w:r>
      <w:r w:rsidRPr="00E80F07">
        <w:rPr>
          <w:rFonts w:ascii="Times New Roman" w:hAnsi="Times New Roman" w:cs="Times New Roman"/>
          <w:sz w:val="24"/>
          <w:szCs w:val="24"/>
        </w:rPr>
        <w:t>tanggal</w:t>
      </w:r>
      <w:r w:rsidRPr="00E80F07">
        <w:rPr>
          <w:rFonts w:ascii="Times New Roman" w:hAnsi="Times New Roman" w:cs="Times New Roman"/>
          <w:sz w:val="24"/>
          <w:szCs w:val="24"/>
        </w:rPr>
        <w:t xml:space="preserve"> 2 Oktober 1998, yang </w:t>
      </w:r>
      <w:r w:rsidRPr="00E80F07">
        <w:rPr>
          <w:rFonts w:ascii="Times New Roman" w:hAnsi="Times New Roman" w:cs="Times New Roman"/>
          <w:sz w:val="24"/>
          <w:szCs w:val="24"/>
        </w:rPr>
        <w:t>selanjutnya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disebut</w:t>
      </w:r>
      <w:r w:rsidRPr="00E80F07">
        <w:rPr>
          <w:rFonts w:ascii="Times New Roman" w:hAnsi="Times New Roman" w:cs="Times New Roman"/>
          <w:sz w:val="24"/>
          <w:szCs w:val="24"/>
        </w:rPr>
        <w:t xml:space="preserve"> PT Bank </w:t>
      </w:r>
      <w:r w:rsidRPr="00E80F07">
        <w:rPr>
          <w:rFonts w:ascii="Times New Roman" w:hAnsi="Times New Roman" w:cs="Times New Roman"/>
          <w:sz w:val="24"/>
          <w:szCs w:val="24"/>
        </w:rPr>
        <w:t>Mandiri</w:t>
      </w:r>
      <w:r w:rsidRPr="00E80F07">
        <w:rPr>
          <w:rFonts w:ascii="Times New Roman" w:hAnsi="Times New Roman" w:cs="Times New Roman"/>
          <w:sz w:val="24"/>
          <w:szCs w:val="24"/>
        </w:rPr>
        <w:t xml:space="preserve"> (Persero). PT Bank </w:t>
      </w:r>
      <w:r w:rsidRPr="00E80F07">
        <w:rPr>
          <w:rFonts w:ascii="Times New Roman" w:hAnsi="Times New Roman" w:cs="Times New Roman"/>
          <w:sz w:val="24"/>
          <w:szCs w:val="24"/>
        </w:rPr>
        <w:t>Mandiri</w:t>
      </w:r>
      <w:r w:rsidRPr="00E80F07">
        <w:rPr>
          <w:rFonts w:ascii="Times New Roman" w:hAnsi="Times New Roman" w:cs="Times New Roman"/>
          <w:sz w:val="24"/>
          <w:szCs w:val="24"/>
        </w:rPr>
        <w:t xml:space="preserve"> (Persero) </w:t>
      </w:r>
      <w:r w:rsidRPr="00E80F07">
        <w:rPr>
          <w:rFonts w:ascii="Times New Roman" w:hAnsi="Times New Roman" w:cs="Times New Roman"/>
          <w:sz w:val="24"/>
          <w:szCs w:val="24"/>
        </w:rPr>
        <w:t>didirikan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sebagai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bagian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dari</w:t>
      </w:r>
      <w:r w:rsidRPr="00E80F07">
        <w:rPr>
          <w:rFonts w:ascii="Times New Roman" w:hAnsi="Times New Roman" w:cs="Times New Roman"/>
          <w:sz w:val="24"/>
          <w:szCs w:val="24"/>
        </w:rPr>
        <w:t xml:space="preserve"> program </w:t>
      </w:r>
      <w:r w:rsidRPr="00E80F07">
        <w:rPr>
          <w:rFonts w:ascii="Times New Roman" w:hAnsi="Times New Roman" w:cs="Times New Roman"/>
          <w:sz w:val="24"/>
          <w:szCs w:val="24"/>
        </w:rPr>
        <w:t>restrukturisasi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perbankan</w:t>
      </w:r>
      <w:r w:rsidRPr="00E80F07">
        <w:rPr>
          <w:rFonts w:ascii="Times New Roman" w:hAnsi="Times New Roman" w:cs="Times New Roman"/>
          <w:sz w:val="24"/>
          <w:szCs w:val="24"/>
        </w:rPr>
        <w:t xml:space="preserve"> yang </w:t>
      </w:r>
      <w:r w:rsidRPr="00E80F07">
        <w:rPr>
          <w:rFonts w:ascii="Times New Roman" w:hAnsi="Times New Roman" w:cs="Times New Roman"/>
          <w:sz w:val="24"/>
          <w:szCs w:val="24"/>
        </w:rPr>
        <w:t>dilaksanakan</w:t>
      </w:r>
      <w:r w:rsidRPr="00E80F07">
        <w:rPr>
          <w:rFonts w:ascii="Times New Roman" w:hAnsi="Times New Roman" w:cs="Times New Roman"/>
          <w:sz w:val="24"/>
          <w:szCs w:val="24"/>
        </w:rPr>
        <w:t xml:space="preserve"> oleh </w:t>
      </w:r>
      <w:r w:rsidRPr="00E80F07">
        <w:rPr>
          <w:rFonts w:ascii="Times New Roman" w:hAnsi="Times New Roman" w:cs="Times New Roman"/>
          <w:sz w:val="24"/>
          <w:szCs w:val="24"/>
        </w:rPr>
        <w:t>pemerintah</w:t>
      </w:r>
      <w:r w:rsidRPr="00E80F07">
        <w:rPr>
          <w:rFonts w:ascii="Times New Roman" w:hAnsi="Times New Roman" w:cs="Times New Roman"/>
          <w:sz w:val="24"/>
          <w:szCs w:val="24"/>
        </w:rPr>
        <w:t xml:space="preserve"> Indonesia. Pada </w:t>
      </w:r>
      <w:r w:rsidRPr="00E80F07">
        <w:rPr>
          <w:rFonts w:ascii="Times New Roman" w:hAnsi="Times New Roman" w:cs="Times New Roman"/>
          <w:sz w:val="24"/>
          <w:szCs w:val="24"/>
        </w:rPr>
        <w:t>bulan</w:t>
      </w:r>
      <w:r w:rsidRPr="00E80F07">
        <w:rPr>
          <w:rFonts w:ascii="Times New Roman" w:hAnsi="Times New Roman" w:cs="Times New Roman"/>
          <w:sz w:val="24"/>
          <w:szCs w:val="24"/>
        </w:rPr>
        <w:t xml:space="preserve"> Juli 1999, </w:t>
      </w:r>
      <w:r w:rsidRPr="00E80F07">
        <w:rPr>
          <w:rFonts w:ascii="Times New Roman" w:hAnsi="Times New Roman" w:cs="Times New Roman"/>
          <w:sz w:val="24"/>
          <w:szCs w:val="24"/>
        </w:rPr>
        <w:t>empat</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pemerintah</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yaitu</w:t>
      </w:r>
      <w:r w:rsidRPr="00E80F07">
        <w:rPr>
          <w:rFonts w:ascii="Times New Roman" w:hAnsi="Times New Roman" w:cs="Times New Roman"/>
          <w:sz w:val="24"/>
          <w:szCs w:val="24"/>
        </w:rPr>
        <w:t xml:space="preserve"> Bank Bumi Daya, Bank </w:t>
      </w:r>
      <w:r w:rsidRPr="00E80F07">
        <w:rPr>
          <w:rFonts w:ascii="Times New Roman" w:hAnsi="Times New Roman" w:cs="Times New Roman"/>
          <w:sz w:val="24"/>
          <w:szCs w:val="24"/>
        </w:rPr>
        <w:t>Dagang</w:t>
      </w:r>
      <w:r w:rsidRPr="00E80F07">
        <w:rPr>
          <w:rFonts w:ascii="Times New Roman" w:hAnsi="Times New Roman" w:cs="Times New Roman"/>
          <w:sz w:val="24"/>
          <w:szCs w:val="24"/>
        </w:rPr>
        <w:t xml:space="preserve"> Negara, Bank </w:t>
      </w:r>
      <w:r w:rsidRPr="00E80F07">
        <w:rPr>
          <w:rFonts w:ascii="Times New Roman" w:hAnsi="Times New Roman" w:cs="Times New Roman"/>
          <w:sz w:val="24"/>
          <w:szCs w:val="24"/>
        </w:rPr>
        <w:t>Ekspor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Impor</w:t>
      </w:r>
      <w:r w:rsidRPr="00E80F07">
        <w:rPr>
          <w:rFonts w:ascii="Times New Roman" w:hAnsi="Times New Roman" w:cs="Times New Roman"/>
          <w:sz w:val="24"/>
          <w:szCs w:val="24"/>
        </w:rPr>
        <w:t xml:space="preserve"> Indonesia dan Bank Pembangunan Indonesia </w:t>
      </w:r>
      <w:r w:rsidRPr="00E80F07">
        <w:rPr>
          <w:rFonts w:ascii="Times New Roman" w:hAnsi="Times New Roman" w:cs="Times New Roman"/>
          <w:sz w:val="24"/>
          <w:szCs w:val="24"/>
        </w:rPr>
        <w:t>dilebur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menjadi</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Mandiri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dimana</w:t>
      </w:r>
      <w:r w:rsidRPr="00E80F07">
        <w:rPr>
          <w:rFonts w:ascii="Times New Roman" w:hAnsi="Times New Roman" w:cs="Times New Roman"/>
          <w:sz w:val="24"/>
          <w:szCs w:val="24"/>
        </w:rPr>
        <w:t xml:space="preserve"> masing-masing bank </w:t>
      </w:r>
      <w:r w:rsidRPr="00E80F07">
        <w:rPr>
          <w:rFonts w:ascii="Times New Roman" w:hAnsi="Times New Roman" w:cs="Times New Roman"/>
          <w:sz w:val="24"/>
          <w:szCs w:val="24"/>
        </w:rPr>
        <w:t>tersebut</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memiliki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peran</w:t>
      </w:r>
      <w:r w:rsidRPr="00E80F07">
        <w:rPr>
          <w:rFonts w:ascii="Times New Roman" w:hAnsi="Times New Roman" w:cs="Times New Roman"/>
          <w:sz w:val="24"/>
          <w:szCs w:val="24"/>
        </w:rPr>
        <w:t xml:space="preserve"> yang </w:t>
      </w:r>
      <w:r w:rsidRPr="00E80F07">
        <w:rPr>
          <w:rFonts w:ascii="Times New Roman" w:hAnsi="Times New Roman" w:cs="Times New Roman"/>
          <w:sz w:val="24"/>
          <w:szCs w:val="24"/>
        </w:rPr>
        <w:t>tak</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terpisahkan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dalam</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pembangunan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perekonomian</w:t>
      </w:r>
      <w:r w:rsidRPr="00E80F07">
        <w:rPr>
          <w:rFonts w:ascii="Times New Roman" w:hAnsi="Times New Roman" w:cs="Times New Roman"/>
          <w:sz w:val="24"/>
          <w:szCs w:val="24"/>
        </w:rPr>
        <w:t xml:space="preserve"> Indonesia. </w:t>
      </w:r>
      <w:r w:rsidRPr="00E80F07">
        <w:rPr>
          <w:rFonts w:ascii="Times New Roman" w:hAnsi="Times New Roman" w:cs="Times New Roman"/>
          <w:sz w:val="24"/>
          <w:szCs w:val="24"/>
        </w:rPr>
        <w:t>Sampai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dengan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hari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ini</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Mandiri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meneruskan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tradisi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selama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lebih</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dari</w:t>
      </w:r>
      <w:r w:rsidRPr="00E80F07">
        <w:rPr>
          <w:rFonts w:ascii="Times New Roman" w:hAnsi="Times New Roman" w:cs="Times New Roman"/>
          <w:sz w:val="24"/>
          <w:szCs w:val="24"/>
        </w:rPr>
        <w:t xml:space="preserve"> 140 </w:t>
      </w:r>
      <w:r w:rsidRPr="00E80F07">
        <w:rPr>
          <w:rFonts w:ascii="Times New Roman" w:hAnsi="Times New Roman" w:cs="Times New Roman"/>
          <w:sz w:val="24"/>
          <w:szCs w:val="24"/>
        </w:rPr>
        <w:t>tahun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memberikan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kontribusi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dalam</w:t>
      </w:r>
      <w:r w:rsidRPr="00E80F07">
        <w:rPr>
          <w:rFonts w:ascii="Times New Roman" w:hAnsi="Times New Roman" w:cs="Times New Roman"/>
          <w:sz w:val="24"/>
          <w:szCs w:val="24"/>
        </w:rPr>
        <w:t xml:space="preserve"> dunia </w:t>
      </w:r>
      <w:r w:rsidRPr="00E80F07">
        <w:rPr>
          <w:rFonts w:ascii="Times New Roman" w:hAnsi="Times New Roman" w:cs="Times New Roman"/>
          <w:sz w:val="24"/>
          <w:szCs w:val="24"/>
        </w:rPr>
        <w:t>perbankan</w:t>
      </w:r>
      <w:r w:rsidRPr="00E80F07">
        <w:rPr>
          <w:rFonts w:ascii="Times New Roman" w:hAnsi="Times New Roman" w:cs="Times New Roman"/>
          <w:sz w:val="24"/>
          <w:szCs w:val="24"/>
        </w:rPr>
        <w:t xml:space="preserve"> dan </w:t>
      </w:r>
      <w:r w:rsidRPr="00E80F07">
        <w:rPr>
          <w:rFonts w:ascii="Times New Roman" w:hAnsi="Times New Roman" w:cs="Times New Roman"/>
          <w:sz w:val="24"/>
          <w:szCs w:val="24"/>
        </w:rPr>
        <w:t>perekonomian</w:t>
      </w:r>
      <w:r w:rsidRPr="00E80F07">
        <w:rPr>
          <w:rFonts w:ascii="Times New Roman" w:hAnsi="Times New Roman" w:cs="Times New Roman"/>
          <w:sz w:val="24"/>
          <w:szCs w:val="24"/>
        </w:rPr>
        <w:t xml:space="preserve"> Indonesia. Saat </w:t>
      </w:r>
      <w:r w:rsidRPr="00E80F07">
        <w:rPr>
          <w:rFonts w:ascii="Times New Roman" w:hAnsi="Times New Roman" w:cs="Times New Roman"/>
          <w:sz w:val="24"/>
          <w:szCs w:val="24"/>
        </w:rPr>
        <w:t>ini</w:t>
      </w:r>
      <w:r w:rsidRPr="00E80F07">
        <w:rPr>
          <w:rFonts w:ascii="Times New Roman" w:hAnsi="Times New Roman" w:cs="Times New Roman"/>
          <w:sz w:val="24"/>
          <w:szCs w:val="24"/>
        </w:rPr>
        <w:t xml:space="preserve">, 52% </w:t>
      </w:r>
      <w:r w:rsidRPr="00E80F07">
        <w:rPr>
          <w:rFonts w:ascii="Times New Roman" w:hAnsi="Times New Roman" w:cs="Times New Roman"/>
          <w:sz w:val="24"/>
          <w:szCs w:val="24"/>
        </w:rPr>
        <w:t>saham-saham</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Mandiri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dimiliki</w:t>
      </w:r>
      <w:r w:rsidRPr="00E80F07">
        <w:rPr>
          <w:rFonts w:ascii="Times New Roman" w:hAnsi="Times New Roman" w:cs="Times New Roman"/>
          <w:sz w:val="24"/>
          <w:szCs w:val="24"/>
        </w:rPr>
        <w:t xml:space="preserve"> oleh </w:t>
      </w:r>
      <w:r w:rsidRPr="00E80F07">
        <w:rPr>
          <w:rFonts w:ascii="Times New Roman" w:hAnsi="Times New Roman" w:cs="Times New Roman"/>
          <w:sz w:val="24"/>
          <w:szCs w:val="24"/>
        </w:rPr>
        <w:t>pemerintah</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Republik</w:t>
      </w:r>
      <w:r w:rsidRPr="00E80F07">
        <w:rPr>
          <w:rFonts w:ascii="Times New Roman" w:hAnsi="Times New Roman" w:cs="Times New Roman"/>
          <w:sz w:val="24"/>
          <w:szCs w:val="24"/>
        </w:rPr>
        <w:t xml:space="preserve"> Indonesia, </w:t>
      </w:r>
      <w:r w:rsidRPr="00E80F07">
        <w:rPr>
          <w:rFonts w:ascii="Times New Roman" w:hAnsi="Times New Roman" w:cs="Times New Roman"/>
          <w:sz w:val="24"/>
          <w:szCs w:val="24"/>
        </w:rPr>
        <w:t>sedangkan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sisanya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dimiliki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publik</w:t>
      </w:r>
      <w:r w:rsidRPr="00E80F07">
        <w:rPr>
          <w:rFonts w:ascii="Times New Roman" w:hAnsi="Times New Roman" w:cs="Times New Roman"/>
          <w:sz w:val="24"/>
          <w:szCs w:val="24"/>
        </w:rPr>
        <w:t xml:space="preserve"> dan </w:t>
      </w:r>
      <w:r w:rsidRPr="00E80F07">
        <w:rPr>
          <w:rFonts w:ascii="Times New Roman" w:hAnsi="Times New Roman" w:cs="Times New Roman"/>
          <w:sz w:val="24"/>
          <w:szCs w:val="24"/>
        </w:rPr>
        <w:t>pihak</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lainnya</w:t>
      </w:r>
      <w:r w:rsidRPr="00E80F07">
        <w:rPr>
          <w:rFonts w:ascii="Times New Roman" w:hAnsi="Times New Roman" w:cs="Times New Roman"/>
          <w:sz w:val="24"/>
          <w:szCs w:val="24"/>
        </w:rPr>
        <w:t>.</w:t>
      </w:r>
    </w:p>
    <w:p w:rsidR="00FF6A7C" w:rsidP="00D62471" w14:paraId="593D3BDF" w14:textId="259D4A78">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CIMB </w:t>
      </w:r>
      <w:r w:rsidRPr="00FF6A7C">
        <w:rPr>
          <w:rFonts w:ascii="Times New Roman" w:hAnsi="Times New Roman" w:cs="Times New Roman"/>
          <w:b/>
          <w:bCs/>
          <w:sz w:val="24"/>
          <w:szCs w:val="24"/>
        </w:rPr>
        <w:t>Niaga</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C22428" w:rsidRPr="002615FB" w:rsidP="002615FB" w14:paraId="67B13F5A" w14:textId="6320776F">
      <w:pPr>
        <w:pStyle w:val="ListParagraph"/>
        <w:spacing w:after="0" w:line="480" w:lineRule="auto"/>
        <w:ind w:left="1146" w:firstLine="294"/>
        <w:jc w:val="both"/>
        <w:rPr>
          <w:rFonts w:ascii="Times New Roman" w:hAnsi="Times New Roman" w:cs="Times New Roman"/>
          <w:sz w:val="24"/>
          <w:szCs w:val="24"/>
        </w:rPr>
      </w:pPr>
      <w:r w:rsidRPr="00E80F07">
        <w:rPr>
          <w:rFonts w:ascii="Times New Roman" w:hAnsi="Times New Roman" w:cs="Times New Roman"/>
          <w:sz w:val="24"/>
          <w:szCs w:val="24"/>
        </w:rPr>
        <w:t xml:space="preserve">PT Bank CIMB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Tbk</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adalah</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sebuah</w:t>
      </w:r>
      <w:r w:rsidRPr="00E80F07">
        <w:rPr>
          <w:rFonts w:ascii="Times New Roman" w:hAnsi="Times New Roman" w:cs="Times New Roman"/>
          <w:sz w:val="24"/>
          <w:szCs w:val="24"/>
        </w:rPr>
        <w:t xml:space="preserve"> bank yang </w:t>
      </w:r>
      <w:r w:rsidRPr="00E80F07">
        <w:rPr>
          <w:rFonts w:ascii="Times New Roman" w:hAnsi="Times New Roman" w:cs="Times New Roman"/>
          <w:sz w:val="24"/>
          <w:szCs w:val="24"/>
        </w:rPr>
        <w:t>berdiri</w:t>
      </w:r>
      <w:r w:rsidRPr="00E80F07">
        <w:rPr>
          <w:rFonts w:ascii="Times New Roman" w:hAnsi="Times New Roman" w:cs="Times New Roman"/>
          <w:sz w:val="24"/>
          <w:szCs w:val="24"/>
        </w:rPr>
        <w:t xml:space="preserve"> pada </w:t>
      </w:r>
      <w:r w:rsidRPr="00E80F07">
        <w:rPr>
          <w:rFonts w:ascii="Times New Roman" w:hAnsi="Times New Roman" w:cs="Times New Roman"/>
          <w:sz w:val="24"/>
          <w:szCs w:val="24"/>
        </w:rPr>
        <w:t>tanggal</w:t>
      </w:r>
      <w:r w:rsidRPr="00E80F07">
        <w:rPr>
          <w:rFonts w:ascii="Times New Roman" w:hAnsi="Times New Roman" w:cs="Times New Roman"/>
          <w:sz w:val="24"/>
          <w:szCs w:val="24"/>
        </w:rPr>
        <w:t xml:space="preserve"> 26 September 1955 </w:t>
      </w:r>
      <w:r w:rsidRPr="00E80F07">
        <w:rPr>
          <w:rFonts w:ascii="Times New Roman" w:hAnsi="Times New Roman" w:cs="Times New Roman"/>
          <w:sz w:val="24"/>
          <w:szCs w:val="24"/>
        </w:rPr>
        <w:t>dengan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nama</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Saat </w:t>
      </w:r>
      <w:r w:rsidRPr="00E80F07">
        <w:rPr>
          <w:rFonts w:ascii="Times New Roman" w:hAnsi="Times New Roman" w:cs="Times New Roman"/>
          <w:sz w:val="24"/>
          <w:szCs w:val="24"/>
        </w:rPr>
        <w:t>ini</w:t>
      </w:r>
      <w:r w:rsidRPr="00E80F07">
        <w:rPr>
          <w:rFonts w:ascii="Times New Roman" w:hAnsi="Times New Roman" w:cs="Times New Roman"/>
          <w:sz w:val="24"/>
          <w:szCs w:val="24"/>
        </w:rPr>
        <w:t xml:space="preserve"> CIMB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merupakan</w:t>
      </w:r>
      <w:r w:rsidRPr="00E80F07">
        <w:rPr>
          <w:rFonts w:ascii="Times New Roman" w:hAnsi="Times New Roman" w:cs="Times New Roman"/>
          <w:sz w:val="24"/>
          <w:szCs w:val="24"/>
        </w:rPr>
        <w:t xml:space="preserve"> bank Nasional </w:t>
      </w:r>
      <w:r w:rsidRPr="00E80F07">
        <w:rPr>
          <w:rFonts w:ascii="Times New Roman" w:hAnsi="Times New Roman" w:cs="Times New Roman"/>
          <w:sz w:val="24"/>
          <w:szCs w:val="24"/>
        </w:rPr>
        <w:t>terbesar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keempat</w:t>
      </w:r>
      <w:r w:rsidRPr="00E80F07">
        <w:rPr>
          <w:rFonts w:ascii="Times New Roman" w:hAnsi="Times New Roman" w:cs="Times New Roman"/>
          <w:sz w:val="24"/>
          <w:szCs w:val="24"/>
        </w:rPr>
        <w:t xml:space="preserve"> dan bank </w:t>
      </w:r>
      <w:r w:rsidRPr="00E80F07">
        <w:rPr>
          <w:rFonts w:ascii="Times New Roman" w:hAnsi="Times New Roman" w:cs="Times New Roman"/>
          <w:sz w:val="24"/>
          <w:szCs w:val="24"/>
        </w:rPr>
        <w:t>swasta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kedua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terbesar</w:t>
      </w:r>
      <w:r w:rsidRPr="00E80F07">
        <w:rPr>
          <w:rFonts w:ascii="Times New Roman" w:hAnsi="Times New Roman" w:cs="Times New Roman"/>
          <w:sz w:val="24"/>
          <w:szCs w:val="24"/>
        </w:rPr>
        <w:t xml:space="preserve"> di Indonesia </w:t>
      </w:r>
      <w:r w:rsidRPr="00E80F07">
        <w:rPr>
          <w:rFonts w:ascii="Times New Roman" w:hAnsi="Times New Roman" w:cs="Times New Roman"/>
          <w:sz w:val="24"/>
          <w:szCs w:val="24"/>
        </w:rPr>
        <w:t>dilihat</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sisi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aset</w:t>
      </w:r>
      <w:r w:rsidRPr="00E80F07">
        <w:rPr>
          <w:rFonts w:ascii="Times New Roman" w:hAnsi="Times New Roman" w:cs="Times New Roman"/>
          <w:sz w:val="24"/>
          <w:szCs w:val="24"/>
        </w:rPr>
        <w:t xml:space="preserve">, dan </w:t>
      </w:r>
      <w:r w:rsidRPr="00E80F07">
        <w:rPr>
          <w:rFonts w:ascii="Times New Roman" w:hAnsi="Times New Roman" w:cs="Times New Roman"/>
          <w:sz w:val="24"/>
          <w:szCs w:val="24"/>
        </w:rPr>
        <w:t>diakui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prestasi</w:t>
      </w:r>
      <w:r w:rsidRPr="00E80F07">
        <w:rPr>
          <w:rFonts w:ascii="Times New Roman" w:hAnsi="Times New Roman" w:cs="Times New Roman"/>
          <w:sz w:val="24"/>
          <w:szCs w:val="24"/>
        </w:rPr>
        <w:t xml:space="preserve"> dan </w:t>
      </w:r>
      <w:r w:rsidRPr="00E80F07">
        <w:rPr>
          <w:rFonts w:ascii="Times New Roman" w:hAnsi="Times New Roman" w:cs="Times New Roman"/>
          <w:sz w:val="24"/>
          <w:szCs w:val="24"/>
        </w:rPr>
        <w:t>keunggulannya</w:t>
      </w:r>
      <w:r w:rsidRPr="00E80F07">
        <w:rPr>
          <w:rFonts w:ascii="Times New Roman" w:hAnsi="Times New Roman" w:cs="Times New Roman"/>
          <w:sz w:val="24"/>
          <w:szCs w:val="24"/>
        </w:rPr>
        <w:t xml:space="preserve"> di </w:t>
      </w:r>
      <w:r w:rsidRPr="00E80F07">
        <w:rPr>
          <w:rFonts w:ascii="Times New Roman" w:hAnsi="Times New Roman" w:cs="Times New Roman"/>
          <w:sz w:val="24"/>
          <w:szCs w:val="24"/>
        </w:rPr>
        <w:t>bidang</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pelayanan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nasabah</w:t>
      </w:r>
      <w:r w:rsidRPr="00E80F07">
        <w:rPr>
          <w:rFonts w:ascii="Times New Roman" w:hAnsi="Times New Roman" w:cs="Times New Roman"/>
          <w:sz w:val="24"/>
          <w:szCs w:val="24"/>
        </w:rPr>
        <w:t xml:space="preserve"> dan </w:t>
      </w:r>
      <w:r w:rsidRPr="00E80F07">
        <w:rPr>
          <w:rFonts w:ascii="Times New Roman" w:hAnsi="Times New Roman" w:cs="Times New Roman"/>
          <w:sz w:val="24"/>
          <w:szCs w:val="24"/>
        </w:rPr>
        <w:t>pengembangan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manajemen</w:t>
      </w:r>
      <w:r w:rsidRPr="00E80F07">
        <w:rPr>
          <w:rFonts w:ascii="Times New Roman" w:hAnsi="Times New Roman" w:cs="Times New Roman"/>
          <w:sz w:val="24"/>
          <w:szCs w:val="24"/>
        </w:rPr>
        <w:t xml:space="preserve">. Saat </w:t>
      </w:r>
      <w:r w:rsidRPr="00E80F07">
        <w:rPr>
          <w:rFonts w:ascii="Times New Roman" w:hAnsi="Times New Roman" w:cs="Times New Roman"/>
          <w:sz w:val="24"/>
          <w:szCs w:val="24"/>
        </w:rPr>
        <w:t>ini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mayoritas</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saham</w:t>
      </w:r>
      <w:r w:rsidRPr="00E80F07">
        <w:rPr>
          <w:rFonts w:ascii="Times New Roman" w:hAnsi="Times New Roman" w:cs="Times New Roman"/>
          <w:sz w:val="24"/>
          <w:szCs w:val="24"/>
        </w:rPr>
        <w:t xml:space="preserve"> Bank CIMB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dimiliki</w:t>
      </w:r>
      <w:r w:rsidRPr="00E80F07">
        <w:rPr>
          <w:rFonts w:ascii="Times New Roman" w:hAnsi="Times New Roman" w:cs="Times New Roman"/>
          <w:sz w:val="24"/>
          <w:szCs w:val="24"/>
        </w:rPr>
        <w:t xml:space="preserve"> oleh CIMB Group. Bank CIMB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merupakan</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pembayar</w:t>
      </w:r>
      <w:r w:rsidRPr="00E80F07">
        <w:rPr>
          <w:rFonts w:ascii="Times New Roman" w:hAnsi="Times New Roman" w:cs="Times New Roman"/>
          <w:sz w:val="24"/>
          <w:szCs w:val="24"/>
        </w:rPr>
        <w:t xml:space="preserve"> KSEI </w:t>
      </w:r>
      <w:r w:rsidRPr="00E80F07">
        <w:rPr>
          <w:rFonts w:ascii="Times New Roman" w:hAnsi="Times New Roman" w:cs="Times New Roman"/>
          <w:sz w:val="24"/>
          <w:szCs w:val="24"/>
        </w:rPr>
        <w:t>terbesar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dari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nilai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transaksi</w:t>
      </w:r>
      <w:r w:rsidRPr="00E80F07">
        <w:rPr>
          <w:rFonts w:ascii="Times New Roman" w:hAnsi="Times New Roman" w:cs="Times New Roman"/>
          <w:sz w:val="24"/>
          <w:szCs w:val="24"/>
        </w:rPr>
        <w:t xml:space="preserve">, dan </w:t>
      </w:r>
      <w:r w:rsidRPr="00E80F07">
        <w:rPr>
          <w:rFonts w:ascii="Times New Roman" w:hAnsi="Times New Roman" w:cs="Times New Roman"/>
          <w:sz w:val="24"/>
          <w:szCs w:val="24"/>
        </w:rPr>
        <w:t>dengan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pangsa</w:t>
      </w:r>
      <w:r w:rsidRPr="00E80F07">
        <w:rPr>
          <w:rFonts w:ascii="Times New Roman" w:hAnsi="Times New Roman" w:cs="Times New Roman"/>
          <w:sz w:val="24"/>
          <w:szCs w:val="24"/>
        </w:rPr>
        <w:t xml:space="preserve"> pasar 11%, </w:t>
      </w:r>
      <w:r w:rsidRPr="00E80F07">
        <w:rPr>
          <w:rFonts w:ascii="Times New Roman" w:hAnsi="Times New Roman" w:cs="Times New Roman"/>
          <w:sz w:val="24"/>
          <w:szCs w:val="24"/>
        </w:rPr>
        <w:t>saat</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ini</w:t>
      </w:r>
      <w:r w:rsidRPr="00E80F07">
        <w:rPr>
          <w:rFonts w:ascii="Times New Roman" w:hAnsi="Times New Roman" w:cs="Times New Roman"/>
          <w:sz w:val="24"/>
          <w:szCs w:val="24"/>
        </w:rPr>
        <w:t xml:space="preserve"> CIMB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adalah</w:t>
      </w:r>
      <w:r w:rsidRPr="00E80F07">
        <w:rPr>
          <w:rFonts w:ascii="Times New Roman" w:hAnsi="Times New Roman" w:cs="Times New Roman"/>
          <w:sz w:val="24"/>
          <w:szCs w:val="24"/>
        </w:rPr>
        <w:t xml:space="preserve"> bank </w:t>
      </w:r>
      <w:r w:rsidRPr="00E80F07">
        <w:rPr>
          <w:rFonts w:ascii="Times New Roman" w:hAnsi="Times New Roman" w:cs="Times New Roman"/>
          <w:sz w:val="24"/>
          <w:szCs w:val="24"/>
        </w:rPr>
        <w:t>penyedia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kredit</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pemilikan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rumah</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terbesar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ketiga</w:t>
      </w:r>
      <w:r w:rsidRPr="00E80F07">
        <w:rPr>
          <w:rFonts w:ascii="Times New Roman" w:hAnsi="Times New Roman" w:cs="Times New Roman"/>
          <w:sz w:val="24"/>
          <w:szCs w:val="24"/>
        </w:rPr>
        <w:t xml:space="preserve"> di Indonesia. PT Bank CIMB </w:t>
      </w:r>
      <w:r w:rsidRPr="00E80F07">
        <w:rPr>
          <w:rFonts w:ascii="Times New Roman" w:hAnsi="Times New Roman" w:cs="Times New Roman"/>
          <w:sz w:val="24"/>
          <w:szCs w:val="24"/>
        </w:rPr>
        <w:t>Niaga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Tbk</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berkantor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pusat</w:t>
      </w:r>
      <w:r w:rsidRPr="00E80F07">
        <w:rPr>
          <w:rFonts w:ascii="Times New Roman" w:hAnsi="Times New Roman" w:cs="Times New Roman"/>
          <w:sz w:val="24"/>
          <w:szCs w:val="24"/>
        </w:rPr>
        <w:t xml:space="preserve"> di Jakarta, Indonesia, </w:t>
      </w:r>
      <w:r w:rsidRPr="00E80F07">
        <w:rPr>
          <w:rFonts w:ascii="Times New Roman" w:hAnsi="Times New Roman" w:cs="Times New Roman"/>
          <w:sz w:val="24"/>
          <w:szCs w:val="24"/>
        </w:rPr>
        <w:t>untuk</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mendukung</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kegiatan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bisnisnya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hingga</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akhir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tahun</w:t>
      </w:r>
      <w:r w:rsidRPr="00E80F07">
        <w:rPr>
          <w:rFonts w:ascii="Times New Roman" w:hAnsi="Times New Roman" w:cs="Times New Roman"/>
          <w:sz w:val="24"/>
          <w:szCs w:val="24"/>
        </w:rPr>
        <w:t xml:space="preserve"> 2020, </w:t>
      </w:r>
      <w:r w:rsidRPr="00E80F07">
        <w:rPr>
          <w:rFonts w:ascii="Times New Roman" w:hAnsi="Times New Roman" w:cs="Times New Roman"/>
          <w:sz w:val="24"/>
          <w:szCs w:val="24"/>
        </w:rPr>
        <w:t>perusahaan</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ini</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memiliki</w:t>
      </w:r>
      <w:r w:rsidRPr="00E80F07">
        <w:rPr>
          <w:rFonts w:ascii="Times New Roman" w:hAnsi="Times New Roman" w:cs="Times New Roman"/>
          <w:sz w:val="24"/>
          <w:szCs w:val="24"/>
        </w:rPr>
        <w:t xml:space="preserve"> 374 </w:t>
      </w:r>
      <w:r w:rsidRPr="00E80F07">
        <w:rPr>
          <w:rFonts w:ascii="Times New Roman" w:hAnsi="Times New Roman" w:cs="Times New Roman"/>
          <w:sz w:val="24"/>
          <w:szCs w:val="24"/>
        </w:rPr>
        <w:t>kantor</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cabang</w:t>
      </w:r>
      <w:r w:rsidRPr="00E80F07">
        <w:rPr>
          <w:rFonts w:ascii="Times New Roman" w:hAnsi="Times New Roman" w:cs="Times New Roman"/>
          <w:sz w:val="24"/>
          <w:szCs w:val="24"/>
        </w:rPr>
        <w:t xml:space="preserve">, 33 </w:t>
      </w:r>
      <w:r w:rsidRPr="00E80F07">
        <w:rPr>
          <w:rFonts w:ascii="Times New Roman" w:hAnsi="Times New Roman" w:cs="Times New Roman"/>
          <w:sz w:val="24"/>
          <w:szCs w:val="24"/>
        </w:rPr>
        <w:t>kantor</w:t>
      </w:r>
      <w:r w:rsidRPr="00E80F07">
        <w:rPr>
          <w:rFonts w:ascii="Times New Roman" w:hAnsi="Times New Roman" w:cs="Times New Roman"/>
          <w:sz w:val="24"/>
          <w:szCs w:val="24"/>
        </w:rPr>
        <w:t xml:space="preserve"> kas </w:t>
      </w:r>
      <w:r w:rsidRPr="00E80F07">
        <w:rPr>
          <w:rFonts w:ascii="Times New Roman" w:hAnsi="Times New Roman" w:cs="Times New Roman"/>
          <w:sz w:val="24"/>
          <w:szCs w:val="24"/>
        </w:rPr>
        <w:t>bergerak</w:t>
      </w:r>
      <w:r w:rsidRPr="00E80F07">
        <w:rPr>
          <w:rFonts w:ascii="Times New Roman" w:hAnsi="Times New Roman" w:cs="Times New Roman"/>
          <w:sz w:val="24"/>
          <w:szCs w:val="24"/>
        </w:rPr>
        <w:t xml:space="preserve">, 44 </w:t>
      </w:r>
      <w:r w:rsidRPr="00E80F07">
        <w:rPr>
          <w:rFonts w:ascii="Times New Roman" w:hAnsi="Times New Roman" w:cs="Times New Roman"/>
          <w:sz w:val="24"/>
          <w:szCs w:val="24"/>
        </w:rPr>
        <w:t>titik</w:t>
      </w:r>
      <w:r w:rsidRPr="00E80F07">
        <w:rPr>
          <w:rFonts w:ascii="Times New Roman" w:hAnsi="Times New Roman" w:cs="Times New Roman"/>
          <w:sz w:val="24"/>
          <w:szCs w:val="24"/>
        </w:rPr>
        <w:t xml:space="preserve"> </w:t>
      </w:r>
      <w:r w:rsidRPr="00E80F07">
        <w:rPr>
          <w:rFonts w:ascii="Times New Roman" w:hAnsi="Times New Roman" w:cs="Times New Roman"/>
          <w:sz w:val="24"/>
          <w:szCs w:val="24"/>
        </w:rPr>
        <w:t>pembayaran</w:t>
      </w:r>
      <w:r w:rsidRPr="00E80F07">
        <w:rPr>
          <w:rFonts w:ascii="Times New Roman" w:hAnsi="Times New Roman" w:cs="Times New Roman"/>
          <w:sz w:val="24"/>
          <w:szCs w:val="24"/>
        </w:rPr>
        <w:t xml:space="preserve">, dan 4.316 ATM yang </w:t>
      </w:r>
      <w:r w:rsidRPr="00E80F07">
        <w:rPr>
          <w:rFonts w:ascii="Times New Roman" w:hAnsi="Times New Roman" w:cs="Times New Roman"/>
          <w:sz w:val="24"/>
          <w:szCs w:val="24"/>
        </w:rPr>
        <w:t>tersebar</w:t>
      </w:r>
      <w:r w:rsidRPr="00E80F07">
        <w:rPr>
          <w:rFonts w:ascii="Times New Roman" w:hAnsi="Times New Roman" w:cs="Times New Roman"/>
          <w:sz w:val="24"/>
          <w:szCs w:val="24"/>
        </w:rPr>
        <w:t xml:space="preserve"> di </w:t>
      </w:r>
      <w:r w:rsidRPr="00E80F07">
        <w:rPr>
          <w:rFonts w:ascii="Times New Roman" w:hAnsi="Times New Roman" w:cs="Times New Roman"/>
          <w:sz w:val="24"/>
          <w:szCs w:val="24"/>
        </w:rPr>
        <w:t>seluruh</w:t>
      </w:r>
      <w:r w:rsidRPr="00E80F07">
        <w:rPr>
          <w:rFonts w:ascii="Times New Roman" w:hAnsi="Times New Roman" w:cs="Times New Roman"/>
          <w:sz w:val="24"/>
          <w:szCs w:val="24"/>
        </w:rPr>
        <w:t xml:space="preserve"> Indonesia.</w:t>
      </w:r>
    </w:p>
    <w:p w:rsidR="00FF6A7C" w:rsidP="00D62471" w14:paraId="1EC2B52F" w14:textId="4ABE30C1">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Maybank Indonesia</w:t>
      </w:r>
      <w:r w:rsidR="00675167">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675167" w:rsidRPr="00675167" w:rsidP="00675167" w14:paraId="14FFA695" w14:textId="71960289">
      <w:pPr>
        <w:pStyle w:val="ListParagraph"/>
        <w:spacing w:after="0" w:line="480" w:lineRule="auto"/>
        <w:ind w:left="1146" w:firstLine="294"/>
        <w:jc w:val="both"/>
        <w:rPr>
          <w:rFonts w:ascii="Times New Roman" w:hAnsi="Times New Roman" w:cs="Times New Roman"/>
          <w:sz w:val="24"/>
          <w:szCs w:val="24"/>
        </w:rPr>
      </w:pPr>
      <w:r w:rsidRPr="00675167">
        <w:rPr>
          <w:rFonts w:ascii="Times New Roman" w:hAnsi="Times New Roman" w:cs="Times New Roman"/>
          <w:sz w:val="24"/>
          <w:szCs w:val="24"/>
        </w:rPr>
        <w:t xml:space="preserve">PT Bank Maybank Indonesia </w:t>
      </w:r>
      <w:r w:rsidRPr="00675167">
        <w:rPr>
          <w:rFonts w:ascii="Times New Roman" w:hAnsi="Times New Roman" w:cs="Times New Roman"/>
          <w:sz w:val="24"/>
          <w:szCs w:val="24"/>
        </w:rPr>
        <w:t>Tbk</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adalah</w:t>
      </w:r>
      <w:r w:rsidRPr="00675167">
        <w:rPr>
          <w:rFonts w:ascii="Times New Roman" w:hAnsi="Times New Roman" w:cs="Times New Roman"/>
          <w:sz w:val="24"/>
          <w:szCs w:val="24"/>
        </w:rPr>
        <w:t xml:space="preserve"> salah </w:t>
      </w:r>
      <w:r w:rsidRPr="00675167">
        <w:rPr>
          <w:rFonts w:ascii="Times New Roman" w:hAnsi="Times New Roman" w:cs="Times New Roman"/>
          <w:sz w:val="24"/>
          <w:szCs w:val="24"/>
        </w:rPr>
        <w:t>satu</w:t>
      </w:r>
      <w:r w:rsidRPr="00675167">
        <w:rPr>
          <w:rFonts w:ascii="Times New Roman" w:hAnsi="Times New Roman" w:cs="Times New Roman"/>
          <w:sz w:val="24"/>
          <w:szCs w:val="24"/>
        </w:rPr>
        <w:t xml:space="preserve"> bank </w:t>
      </w:r>
      <w:r w:rsidRPr="00675167">
        <w:rPr>
          <w:rFonts w:ascii="Times New Roman" w:hAnsi="Times New Roman" w:cs="Times New Roman"/>
          <w:sz w:val="24"/>
          <w:szCs w:val="24"/>
        </w:rPr>
        <w:t>swasta</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terkemuka</w:t>
      </w:r>
      <w:r w:rsidRPr="00675167">
        <w:rPr>
          <w:rFonts w:ascii="Times New Roman" w:hAnsi="Times New Roman" w:cs="Times New Roman"/>
          <w:sz w:val="24"/>
          <w:szCs w:val="24"/>
        </w:rPr>
        <w:t xml:space="preserve"> di Indonesia yang </w:t>
      </w:r>
      <w:r w:rsidRPr="00675167">
        <w:rPr>
          <w:rFonts w:ascii="Times New Roman" w:hAnsi="Times New Roman" w:cs="Times New Roman"/>
          <w:sz w:val="24"/>
          <w:szCs w:val="24"/>
        </w:rPr>
        <w:t>merupakan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bagian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dari</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grup</w:t>
      </w:r>
      <w:r w:rsidRPr="00675167">
        <w:rPr>
          <w:rFonts w:ascii="Times New Roman" w:hAnsi="Times New Roman" w:cs="Times New Roman"/>
          <w:sz w:val="24"/>
          <w:szCs w:val="24"/>
        </w:rPr>
        <w:t xml:space="preserve"> </w:t>
      </w:r>
      <w:r w:rsidRPr="00675167">
        <w:rPr>
          <w:rFonts w:ascii="Times New Roman" w:hAnsi="Times New Roman" w:cs="Times New Roman"/>
          <w:i/>
          <w:iCs/>
          <w:sz w:val="24"/>
          <w:szCs w:val="24"/>
        </w:rPr>
        <w:t xml:space="preserve">Malayan Banking </w:t>
      </w:r>
      <w:r w:rsidRPr="00675167">
        <w:rPr>
          <w:rFonts w:ascii="Times New Roman" w:hAnsi="Times New Roman" w:cs="Times New Roman"/>
          <w:i/>
          <w:iCs/>
          <w:sz w:val="24"/>
          <w:szCs w:val="24"/>
        </w:rPr>
        <w:t>Berhad</w:t>
      </w:r>
      <w:r w:rsidRPr="00675167">
        <w:rPr>
          <w:rFonts w:ascii="Times New Roman" w:hAnsi="Times New Roman" w:cs="Times New Roman"/>
          <w:sz w:val="24"/>
          <w:szCs w:val="24"/>
        </w:rPr>
        <w:t xml:space="preserve"> (Maybank), salah </w:t>
      </w:r>
      <w:r w:rsidRPr="00675167">
        <w:rPr>
          <w:rFonts w:ascii="Times New Roman" w:hAnsi="Times New Roman" w:cs="Times New Roman"/>
          <w:sz w:val="24"/>
          <w:szCs w:val="24"/>
        </w:rPr>
        <w:t>satu</w:t>
      </w:r>
      <w:r>
        <w:rPr>
          <w:rFonts w:ascii="Times New Roman" w:hAnsi="Times New Roman" w:cs="Times New Roman"/>
          <w:sz w:val="24"/>
          <w:szCs w:val="24"/>
        </w:rPr>
        <w:t xml:space="preserve"> </w:t>
      </w:r>
      <w:r w:rsidRPr="00675167">
        <w:rPr>
          <w:rFonts w:ascii="Times New Roman" w:hAnsi="Times New Roman" w:cs="Times New Roman"/>
          <w:sz w:val="24"/>
          <w:szCs w:val="24"/>
        </w:rPr>
        <w:t>grup</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penyedia</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layanan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keuangan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terbesar</w:t>
      </w:r>
      <w:r w:rsidRPr="00675167">
        <w:rPr>
          <w:rFonts w:ascii="Times New Roman" w:hAnsi="Times New Roman" w:cs="Times New Roman"/>
          <w:sz w:val="24"/>
          <w:szCs w:val="24"/>
        </w:rPr>
        <w:t xml:space="preserve"> di ASEAN. </w:t>
      </w:r>
      <w:r w:rsidRPr="00675167">
        <w:rPr>
          <w:rFonts w:ascii="Times New Roman" w:hAnsi="Times New Roman" w:cs="Times New Roman"/>
          <w:sz w:val="24"/>
          <w:szCs w:val="24"/>
        </w:rPr>
        <w:t>Sebelumnya</w:t>
      </w:r>
      <w:r w:rsidRPr="00675167">
        <w:rPr>
          <w:rFonts w:ascii="Times New Roman" w:hAnsi="Times New Roman" w:cs="Times New Roman"/>
          <w:sz w:val="24"/>
          <w:szCs w:val="24"/>
        </w:rPr>
        <w:t xml:space="preserve">, Maybank Indonesia </w:t>
      </w:r>
      <w:r w:rsidRPr="00675167">
        <w:rPr>
          <w:rFonts w:ascii="Times New Roman" w:hAnsi="Times New Roman" w:cs="Times New Roman"/>
          <w:sz w:val="24"/>
          <w:szCs w:val="24"/>
        </w:rPr>
        <w:t>bernama</w:t>
      </w:r>
      <w:r w:rsidRPr="00675167">
        <w:rPr>
          <w:rFonts w:ascii="Times New Roman" w:hAnsi="Times New Roman" w:cs="Times New Roman"/>
          <w:sz w:val="24"/>
          <w:szCs w:val="24"/>
        </w:rPr>
        <w:t xml:space="preserve"> PT Bank </w:t>
      </w:r>
      <w:r w:rsidRPr="00675167">
        <w:rPr>
          <w:rFonts w:ascii="Times New Roman" w:hAnsi="Times New Roman" w:cs="Times New Roman"/>
          <w:sz w:val="24"/>
          <w:szCs w:val="24"/>
        </w:rPr>
        <w:t>Internasional</w:t>
      </w:r>
      <w:r w:rsidRPr="00675167">
        <w:rPr>
          <w:rFonts w:ascii="Times New Roman" w:hAnsi="Times New Roman" w:cs="Times New Roman"/>
          <w:sz w:val="24"/>
          <w:szCs w:val="24"/>
        </w:rPr>
        <w:t xml:space="preserve"> Indonesia </w:t>
      </w:r>
      <w:r w:rsidRPr="00675167">
        <w:rPr>
          <w:rFonts w:ascii="Times New Roman" w:hAnsi="Times New Roman" w:cs="Times New Roman"/>
          <w:sz w:val="24"/>
          <w:szCs w:val="24"/>
        </w:rPr>
        <w:t>Tbk</w:t>
      </w:r>
      <w:r w:rsidRPr="00675167">
        <w:rPr>
          <w:rFonts w:ascii="Times New Roman" w:hAnsi="Times New Roman" w:cs="Times New Roman"/>
          <w:sz w:val="24"/>
          <w:szCs w:val="24"/>
        </w:rPr>
        <w:t xml:space="preserve"> (BII) yang </w:t>
      </w:r>
      <w:r w:rsidRPr="00675167">
        <w:rPr>
          <w:rFonts w:ascii="Times New Roman" w:hAnsi="Times New Roman" w:cs="Times New Roman"/>
          <w:sz w:val="24"/>
          <w:szCs w:val="24"/>
        </w:rPr>
        <w:t>didirikan</w:t>
      </w:r>
      <w:r w:rsidRPr="00675167">
        <w:rPr>
          <w:rFonts w:ascii="Times New Roman" w:hAnsi="Times New Roman" w:cs="Times New Roman"/>
          <w:sz w:val="24"/>
          <w:szCs w:val="24"/>
        </w:rPr>
        <w:t xml:space="preserve"> pada 15 Mei 1959, </w:t>
      </w:r>
      <w:r w:rsidRPr="00675167">
        <w:rPr>
          <w:rFonts w:ascii="Times New Roman" w:hAnsi="Times New Roman" w:cs="Times New Roman"/>
          <w:sz w:val="24"/>
          <w:szCs w:val="24"/>
        </w:rPr>
        <w:t>mendapatkan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ijin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sebagai</w:t>
      </w:r>
      <w:r w:rsidRPr="00675167">
        <w:rPr>
          <w:rFonts w:ascii="Times New Roman" w:hAnsi="Times New Roman" w:cs="Times New Roman"/>
          <w:sz w:val="24"/>
          <w:szCs w:val="24"/>
        </w:rPr>
        <w:t xml:space="preserve"> bank </w:t>
      </w:r>
      <w:r w:rsidRPr="00675167">
        <w:rPr>
          <w:rFonts w:ascii="Times New Roman" w:hAnsi="Times New Roman" w:cs="Times New Roman"/>
          <w:sz w:val="24"/>
          <w:szCs w:val="24"/>
        </w:rPr>
        <w:t>devisa</w:t>
      </w:r>
      <w:r w:rsidRPr="00675167">
        <w:rPr>
          <w:rFonts w:ascii="Times New Roman" w:hAnsi="Times New Roman" w:cs="Times New Roman"/>
          <w:sz w:val="24"/>
          <w:szCs w:val="24"/>
        </w:rPr>
        <w:t xml:space="preserve"> pada 1988 dan </w:t>
      </w:r>
      <w:r w:rsidRPr="00675167">
        <w:rPr>
          <w:rFonts w:ascii="Times New Roman" w:hAnsi="Times New Roman" w:cs="Times New Roman"/>
          <w:sz w:val="24"/>
          <w:szCs w:val="24"/>
        </w:rPr>
        <w:t>mencatatkan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sahamnya</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sebagai</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perusahaan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terbuka</w:t>
      </w:r>
      <w:r w:rsidRPr="00675167">
        <w:rPr>
          <w:rFonts w:ascii="Times New Roman" w:hAnsi="Times New Roman" w:cs="Times New Roman"/>
          <w:sz w:val="24"/>
          <w:szCs w:val="24"/>
        </w:rPr>
        <w:t xml:space="preserve"> di Bursa </w:t>
      </w:r>
      <w:r w:rsidRPr="00675167">
        <w:rPr>
          <w:rFonts w:ascii="Times New Roman" w:hAnsi="Times New Roman" w:cs="Times New Roman"/>
          <w:sz w:val="24"/>
          <w:szCs w:val="24"/>
        </w:rPr>
        <w:t>Efek</w:t>
      </w:r>
      <w:r w:rsidRPr="00675167">
        <w:rPr>
          <w:rFonts w:ascii="Times New Roman" w:hAnsi="Times New Roman" w:cs="Times New Roman"/>
          <w:sz w:val="24"/>
          <w:szCs w:val="24"/>
        </w:rPr>
        <w:t xml:space="preserve"> Jakarta dan Surabaya pada 1989. </w:t>
      </w:r>
      <w:r w:rsidRPr="00675167">
        <w:rPr>
          <w:rFonts w:ascii="Times New Roman" w:hAnsi="Times New Roman" w:cs="Times New Roman"/>
          <w:sz w:val="24"/>
          <w:szCs w:val="24"/>
        </w:rPr>
        <w:t>Sampai</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dengan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tahun</w:t>
      </w:r>
      <w:r w:rsidRPr="00675167">
        <w:rPr>
          <w:rFonts w:ascii="Times New Roman" w:hAnsi="Times New Roman" w:cs="Times New Roman"/>
          <w:sz w:val="24"/>
          <w:szCs w:val="24"/>
        </w:rPr>
        <w:t xml:space="preserve"> 2023, Maybank Indonesia </w:t>
      </w:r>
      <w:r w:rsidRPr="00675167">
        <w:rPr>
          <w:rFonts w:ascii="Times New Roman" w:hAnsi="Times New Roman" w:cs="Times New Roman"/>
          <w:sz w:val="24"/>
          <w:szCs w:val="24"/>
        </w:rPr>
        <w:t>memiliki</w:t>
      </w:r>
      <w:r w:rsidRPr="00675167">
        <w:rPr>
          <w:rFonts w:ascii="Times New Roman" w:hAnsi="Times New Roman" w:cs="Times New Roman"/>
          <w:sz w:val="24"/>
          <w:szCs w:val="24"/>
        </w:rPr>
        <w:t xml:space="preserve"> 337 </w:t>
      </w:r>
      <w:r w:rsidRPr="00675167">
        <w:rPr>
          <w:rFonts w:ascii="Times New Roman" w:hAnsi="Times New Roman" w:cs="Times New Roman"/>
          <w:sz w:val="24"/>
          <w:szCs w:val="24"/>
        </w:rPr>
        <w:t>cabang</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termasuk</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cabang</w:t>
      </w:r>
      <w:r w:rsidRPr="00675167">
        <w:rPr>
          <w:rFonts w:ascii="Times New Roman" w:hAnsi="Times New Roman" w:cs="Times New Roman"/>
          <w:sz w:val="24"/>
          <w:szCs w:val="24"/>
        </w:rPr>
        <w:t xml:space="preserve"> Syariah yang </w:t>
      </w:r>
      <w:r w:rsidRPr="00675167">
        <w:rPr>
          <w:rFonts w:ascii="Times New Roman" w:hAnsi="Times New Roman" w:cs="Times New Roman"/>
          <w:sz w:val="24"/>
          <w:szCs w:val="24"/>
        </w:rPr>
        <w:t>tersebar</w:t>
      </w:r>
      <w:r w:rsidRPr="00675167">
        <w:rPr>
          <w:rFonts w:ascii="Times New Roman" w:hAnsi="Times New Roman" w:cs="Times New Roman"/>
          <w:sz w:val="24"/>
          <w:szCs w:val="24"/>
        </w:rPr>
        <w:t xml:space="preserve"> di Indonesia dan </w:t>
      </w:r>
      <w:r w:rsidRPr="00675167">
        <w:rPr>
          <w:rFonts w:ascii="Times New Roman" w:hAnsi="Times New Roman" w:cs="Times New Roman"/>
          <w:sz w:val="24"/>
          <w:szCs w:val="24"/>
        </w:rPr>
        <w:t>satu</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cabang</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luar</w:t>
      </w:r>
      <w:r w:rsidRPr="00675167">
        <w:rPr>
          <w:rFonts w:ascii="Times New Roman" w:hAnsi="Times New Roman" w:cs="Times New Roman"/>
          <w:sz w:val="24"/>
          <w:szCs w:val="24"/>
        </w:rPr>
        <w:t xml:space="preserve"> negeri (Mumbai, India), 22 KCP Mobile dan 765 ATM (</w:t>
      </w:r>
      <w:r w:rsidRPr="00675167">
        <w:rPr>
          <w:rFonts w:ascii="Times New Roman" w:hAnsi="Times New Roman" w:cs="Times New Roman"/>
          <w:sz w:val="24"/>
          <w:szCs w:val="24"/>
        </w:rPr>
        <w:t>termasuk</w:t>
      </w:r>
      <w:r w:rsidRPr="00675167">
        <w:rPr>
          <w:rFonts w:ascii="Times New Roman" w:hAnsi="Times New Roman" w:cs="Times New Roman"/>
          <w:sz w:val="24"/>
          <w:szCs w:val="24"/>
        </w:rPr>
        <w:t xml:space="preserve"> 26 Cash Recycle Machines/CRM) yang </w:t>
      </w:r>
      <w:r w:rsidRPr="00675167">
        <w:rPr>
          <w:rFonts w:ascii="Times New Roman" w:hAnsi="Times New Roman" w:cs="Times New Roman"/>
          <w:sz w:val="24"/>
          <w:szCs w:val="24"/>
        </w:rPr>
        <w:t>terkoneksi</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dengan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lebih</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dari</w:t>
      </w:r>
      <w:r w:rsidRPr="00675167">
        <w:rPr>
          <w:rFonts w:ascii="Times New Roman" w:hAnsi="Times New Roman" w:cs="Times New Roman"/>
          <w:sz w:val="24"/>
          <w:szCs w:val="24"/>
        </w:rPr>
        <w:t xml:space="preserve"> 20.000 ATM </w:t>
      </w:r>
      <w:r w:rsidRPr="00675167">
        <w:rPr>
          <w:rFonts w:ascii="Times New Roman" w:hAnsi="Times New Roman" w:cs="Times New Roman"/>
          <w:sz w:val="24"/>
          <w:szCs w:val="24"/>
        </w:rPr>
        <w:t>tergabung</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dalam</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jaringan</w:t>
      </w:r>
      <w:r w:rsidRPr="00675167">
        <w:rPr>
          <w:rFonts w:ascii="Times New Roman" w:hAnsi="Times New Roman" w:cs="Times New Roman"/>
          <w:sz w:val="24"/>
          <w:szCs w:val="24"/>
        </w:rPr>
        <w:t xml:space="preserve"> ATM PRIMA, ATM BERSAMA, ALTO, CIRRUS, dan </w:t>
      </w:r>
      <w:r w:rsidRPr="00675167">
        <w:rPr>
          <w:rFonts w:ascii="Times New Roman" w:hAnsi="Times New Roman" w:cs="Times New Roman"/>
          <w:sz w:val="24"/>
          <w:szCs w:val="24"/>
        </w:rPr>
        <w:t>terhubung</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dengan</w:t>
      </w:r>
      <w:r w:rsidRPr="00675167">
        <w:rPr>
          <w:rFonts w:ascii="Times New Roman" w:hAnsi="Times New Roman" w:cs="Times New Roman"/>
          <w:sz w:val="24"/>
          <w:szCs w:val="24"/>
        </w:rPr>
        <w:t xml:space="preserve"> 3.500 ATM Maybank di Singapura, Malaysia, dan Brunei. Maybank Indonesia </w:t>
      </w:r>
      <w:r w:rsidRPr="00675167">
        <w:rPr>
          <w:rFonts w:ascii="Times New Roman" w:hAnsi="Times New Roman" w:cs="Times New Roman"/>
          <w:sz w:val="24"/>
          <w:szCs w:val="24"/>
        </w:rPr>
        <w:t>mengelola</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simpanan</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nasabah</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sebesar</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 xml:space="preserve">Rp115,5 </w:t>
      </w:r>
      <w:r w:rsidRPr="00675167">
        <w:rPr>
          <w:rFonts w:ascii="Times New Roman" w:hAnsi="Times New Roman" w:cs="Times New Roman"/>
          <w:sz w:val="24"/>
          <w:szCs w:val="24"/>
        </w:rPr>
        <w:t>triliun</w:t>
      </w:r>
      <w:r w:rsidRPr="00675167">
        <w:rPr>
          <w:rFonts w:ascii="Times New Roman" w:hAnsi="Times New Roman" w:cs="Times New Roman"/>
          <w:sz w:val="24"/>
          <w:szCs w:val="24"/>
        </w:rPr>
        <w:t xml:space="preserve"> dan </w:t>
      </w:r>
      <w:r w:rsidRPr="00675167">
        <w:rPr>
          <w:rFonts w:ascii="Times New Roman" w:hAnsi="Times New Roman" w:cs="Times New Roman"/>
          <w:sz w:val="24"/>
          <w:szCs w:val="24"/>
        </w:rPr>
        <w:t>memiliki</w:t>
      </w:r>
      <w:r w:rsidRPr="00675167">
        <w:rPr>
          <w:rFonts w:ascii="Times New Roman" w:hAnsi="Times New Roman" w:cs="Times New Roman"/>
          <w:sz w:val="24"/>
          <w:szCs w:val="24"/>
        </w:rPr>
        <w:t xml:space="preserve"> total </w:t>
      </w:r>
      <w:r w:rsidRPr="00675167">
        <w:rPr>
          <w:rFonts w:ascii="Times New Roman" w:hAnsi="Times New Roman" w:cs="Times New Roman"/>
          <w:sz w:val="24"/>
          <w:szCs w:val="24"/>
        </w:rPr>
        <w:t>aset</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senilai</w:t>
      </w:r>
      <w:r w:rsidRPr="00675167">
        <w:rPr>
          <w:rFonts w:ascii="Times New Roman" w:hAnsi="Times New Roman" w:cs="Times New Roman"/>
          <w:sz w:val="24"/>
          <w:szCs w:val="24"/>
        </w:rPr>
        <w:t xml:space="preserve"> Rp171,8 </w:t>
      </w:r>
      <w:r w:rsidRPr="00675167">
        <w:rPr>
          <w:rFonts w:ascii="Times New Roman" w:hAnsi="Times New Roman" w:cs="Times New Roman"/>
          <w:sz w:val="24"/>
          <w:szCs w:val="24"/>
        </w:rPr>
        <w:t>triliun</w:t>
      </w:r>
      <w:r w:rsidRPr="00675167">
        <w:rPr>
          <w:rFonts w:ascii="Times New Roman" w:hAnsi="Times New Roman" w:cs="Times New Roman"/>
          <w:sz w:val="24"/>
          <w:szCs w:val="24"/>
        </w:rPr>
        <w:t xml:space="preserve"> pada </w:t>
      </w:r>
      <w:r w:rsidRPr="00675167">
        <w:rPr>
          <w:rFonts w:ascii="Times New Roman" w:hAnsi="Times New Roman" w:cs="Times New Roman"/>
          <w:sz w:val="24"/>
          <w:szCs w:val="24"/>
        </w:rPr>
        <w:t>akhir</w:t>
      </w:r>
      <w:r w:rsidRPr="00675167">
        <w:rPr>
          <w:rFonts w:ascii="Times New Roman" w:hAnsi="Times New Roman" w:cs="Times New Roman"/>
          <w:sz w:val="24"/>
          <w:szCs w:val="24"/>
        </w:rPr>
        <w:t xml:space="preserve"> </w:t>
      </w:r>
      <w:r w:rsidRPr="00675167">
        <w:rPr>
          <w:rFonts w:ascii="Times New Roman" w:hAnsi="Times New Roman" w:cs="Times New Roman"/>
          <w:sz w:val="24"/>
          <w:szCs w:val="24"/>
        </w:rPr>
        <w:t>Desember</w:t>
      </w:r>
      <w:r w:rsidRPr="00675167">
        <w:rPr>
          <w:rFonts w:ascii="Times New Roman" w:hAnsi="Times New Roman" w:cs="Times New Roman"/>
          <w:sz w:val="24"/>
          <w:szCs w:val="24"/>
        </w:rPr>
        <w:t xml:space="preserve"> 2022.</w:t>
      </w:r>
    </w:p>
    <w:p w:rsidR="00FF6A7C" w:rsidP="00D62471" w14:paraId="5BEBBB60" w14:textId="27FC3631">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Permata</w:t>
      </w:r>
      <w:r w:rsidR="00675167">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675167" w:rsidRPr="00A51E25" w:rsidP="00A51E25" w14:paraId="194D364B" w14:textId="6EC4EA74">
      <w:pPr>
        <w:pStyle w:val="ListParagraph"/>
        <w:spacing w:after="0" w:line="480" w:lineRule="auto"/>
        <w:ind w:left="1146" w:firstLine="294"/>
        <w:jc w:val="both"/>
        <w:rPr>
          <w:rFonts w:ascii="Times New Roman" w:hAnsi="Times New Roman" w:cs="Times New Roman"/>
          <w:sz w:val="24"/>
          <w:szCs w:val="24"/>
        </w:rPr>
      </w:pPr>
      <w:r w:rsidRPr="00A51E25">
        <w:rPr>
          <w:rFonts w:ascii="Times New Roman" w:hAnsi="Times New Roman" w:cs="Times New Roman"/>
          <w:sz w:val="24"/>
          <w:szCs w:val="24"/>
        </w:rPr>
        <w:t xml:space="preserve">PT Bank Permata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(BNLI) </w:t>
      </w:r>
      <w:r w:rsidRPr="00A51E25">
        <w:rPr>
          <w:rFonts w:ascii="Times New Roman" w:hAnsi="Times New Roman" w:cs="Times New Roman"/>
          <w:sz w:val="24"/>
          <w:szCs w:val="24"/>
        </w:rPr>
        <w:t>didirikan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dengan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nama</w:t>
      </w:r>
      <w:r w:rsidRPr="00A51E25">
        <w:rPr>
          <w:rFonts w:ascii="Times New Roman" w:hAnsi="Times New Roman" w:cs="Times New Roman"/>
          <w:sz w:val="24"/>
          <w:szCs w:val="24"/>
        </w:rPr>
        <w:t xml:space="preserve"> PT Bank </w:t>
      </w:r>
      <w:r w:rsidRPr="00A51E25">
        <w:rPr>
          <w:rFonts w:ascii="Times New Roman" w:hAnsi="Times New Roman" w:cs="Times New Roman"/>
          <w:sz w:val="24"/>
          <w:szCs w:val="24"/>
        </w:rPr>
        <w:t>Persatuan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Dagang</w:t>
      </w:r>
      <w:r w:rsidRPr="00A51E25">
        <w:rPr>
          <w:rFonts w:ascii="Times New Roman" w:hAnsi="Times New Roman" w:cs="Times New Roman"/>
          <w:sz w:val="24"/>
          <w:szCs w:val="24"/>
        </w:rPr>
        <w:t xml:space="preserve"> Indonesia di Indonesia </w:t>
      </w:r>
      <w:r w:rsidRPr="00A51E25">
        <w:rPr>
          <w:rFonts w:ascii="Times New Roman" w:hAnsi="Times New Roman" w:cs="Times New Roman"/>
          <w:sz w:val="24"/>
          <w:szCs w:val="24"/>
        </w:rPr>
        <w:t>dengan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Akta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Pendirian</w:t>
      </w:r>
      <w:r w:rsidRPr="00A51E25">
        <w:rPr>
          <w:rFonts w:ascii="Times New Roman" w:hAnsi="Times New Roman" w:cs="Times New Roman"/>
          <w:sz w:val="24"/>
          <w:szCs w:val="24"/>
        </w:rPr>
        <w:t xml:space="preserve"> No. 228 </w:t>
      </w:r>
      <w:r w:rsidRPr="00A51E25">
        <w:rPr>
          <w:rFonts w:ascii="Times New Roman" w:hAnsi="Times New Roman" w:cs="Times New Roman"/>
          <w:sz w:val="24"/>
          <w:szCs w:val="24"/>
        </w:rPr>
        <w:t>tanggal</w:t>
      </w:r>
      <w:r w:rsidRPr="00A51E25">
        <w:rPr>
          <w:rFonts w:ascii="Times New Roman" w:hAnsi="Times New Roman" w:cs="Times New Roman"/>
          <w:sz w:val="24"/>
          <w:szCs w:val="24"/>
        </w:rPr>
        <w:t xml:space="preserve"> 17 </w:t>
      </w:r>
      <w:r w:rsidRPr="00A51E25">
        <w:rPr>
          <w:rFonts w:ascii="Times New Roman" w:hAnsi="Times New Roman" w:cs="Times New Roman"/>
          <w:sz w:val="24"/>
          <w:szCs w:val="24"/>
        </w:rPr>
        <w:t>Desember</w:t>
      </w:r>
      <w:r w:rsidRPr="00A51E25">
        <w:rPr>
          <w:rFonts w:ascii="Times New Roman" w:hAnsi="Times New Roman" w:cs="Times New Roman"/>
          <w:sz w:val="24"/>
          <w:szCs w:val="24"/>
        </w:rPr>
        <w:t xml:space="preserve"> 1954. Bank </w:t>
      </w:r>
      <w:r w:rsidRPr="00A51E25">
        <w:rPr>
          <w:rFonts w:ascii="Times New Roman" w:hAnsi="Times New Roman" w:cs="Times New Roman"/>
          <w:sz w:val="24"/>
          <w:szCs w:val="24"/>
        </w:rPr>
        <w:t>memperoleh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izin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usaha</w:t>
      </w:r>
      <w:r w:rsidRPr="00A51E25">
        <w:rPr>
          <w:rFonts w:ascii="Times New Roman" w:hAnsi="Times New Roman" w:cs="Times New Roman"/>
          <w:sz w:val="24"/>
          <w:szCs w:val="24"/>
        </w:rPr>
        <w:t xml:space="preserve"> bank </w:t>
      </w:r>
      <w:r w:rsidRPr="00A51E25">
        <w:rPr>
          <w:rFonts w:ascii="Times New Roman" w:hAnsi="Times New Roman" w:cs="Times New Roman"/>
          <w:sz w:val="24"/>
          <w:szCs w:val="24"/>
        </w:rPr>
        <w:t>umum</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berdasarkan</w:t>
      </w:r>
      <w:r w:rsidRPr="00A51E25">
        <w:rPr>
          <w:rFonts w:ascii="Times New Roman" w:hAnsi="Times New Roman" w:cs="Times New Roman"/>
          <w:sz w:val="24"/>
          <w:szCs w:val="24"/>
        </w:rPr>
        <w:t xml:space="preserve"> Surat Keputusan Menteri </w:t>
      </w:r>
      <w:r w:rsidRPr="00A51E25">
        <w:rPr>
          <w:rFonts w:ascii="Times New Roman" w:hAnsi="Times New Roman" w:cs="Times New Roman"/>
          <w:sz w:val="24"/>
          <w:szCs w:val="24"/>
        </w:rPr>
        <w:t>Keuangan</w:t>
      </w:r>
      <w:r w:rsidRPr="00A51E25">
        <w:rPr>
          <w:rFonts w:ascii="Times New Roman" w:hAnsi="Times New Roman" w:cs="Times New Roman"/>
          <w:sz w:val="24"/>
          <w:szCs w:val="24"/>
        </w:rPr>
        <w:t xml:space="preserve"> No. 19371/U.M.</w:t>
      </w:r>
      <w:r>
        <w:rPr>
          <w:rFonts w:ascii="Times New Roman" w:hAnsi="Times New Roman" w:cs="Times New Roman"/>
          <w:sz w:val="24"/>
          <w:szCs w:val="24"/>
        </w:rPr>
        <w:t xml:space="preserve"> </w:t>
      </w:r>
      <w:r w:rsidRPr="00A51E25">
        <w:rPr>
          <w:rFonts w:ascii="Times New Roman" w:hAnsi="Times New Roman" w:cs="Times New Roman"/>
          <w:sz w:val="24"/>
          <w:szCs w:val="24"/>
        </w:rPr>
        <w:t xml:space="preserve">II </w:t>
      </w:r>
      <w:r w:rsidRPr="00A51E25">
        <w:rPr>
          <w:rFonts w:ascii="Times New Roman" w:hAnsi="Times New Roman" w:cs="Times New Roman"/>
          <w:sz w:val="24"/>
          <w:szCs w:val="24"/>
        </w:rPr>
        <w:t>tanggal</w:t>
      </w:r>
      <w:r w:rsidRPr="00A51E25">
        <w:rPr>
          <w:rFonts w:ascii="Times New Roman" w:hAnsi="Times New Roman" w:cs="Times New Roman"/>
          <w:sz w:val="24"/>
          <w:szCs w:val="24"/>
        </w:rPr>
        <w:t xml:space="preserve"> 19 </w:t>
      </w:r>
      <w:r w:rsidRPr="00A51E25">
        <w:rPr>
          <w:rFonts w:ascii="Times New Roman" w:hAnsi="Times New Roman" w:cs="Times New Roman"/>
          <w:sz w:val="24"/>
          <w:szCs w:val="24"/>
        </w:rPr>
        <w:t>Februari</w:t>
      </w:r>
      <w:r w:rsidRPr="00A51E25">
        <w:rPr>
          <w:rFonts w:ascii="Times New Roman" w:hAnsi="Times New Roman" w:cs="Times New Roman"/>
          <w:sz w:val="24"/>
          <w:szCs w:val="24"/>
        </w:rPr>
        <w:t xml:space="preserve"> 1957 dan </w:t>
      </w:r>
      <w:r w:rsidRPr="00A51E25">
        <w:rPr>
          <w:rFonts w:ascii="Times New Roman" w:hAnsi="Times New Roman" w:cs="Times New Roman"/>
          <w:sz w:val="24"/>
          <w:szCs w:val="24"/>
        </w:rPr>
        <w:t>izin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untuk</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menjalankan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aktivitas</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sebagai</w:t>
      </w:r>
      <w:r w:rsidRPr="00A51E25">
        <w:rPr>
          <w:rFonts w:ascii="Times New Roman" w:hAnsi="Times New Roman" w:cs="Times New Roman"/>
          <w:sz w:val="24"/>
          <w:szCs w:val="24"/>
        </w:rPr>
        <w:t xml:space="preserve"> bank </w:t>
      </w:r>
      <w:r w:rsidRPr="00A51E25">
        <w:rPr>
          <w:rFonts w:ascii="Times New Roman" w:hAnsi="Times New Roman" w:cs="Times New Roman"/>
          <w:sz w:val="24"/>
          <w:szCs w:val="24"/>
        </w:rPr>
        <w:t>devisa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Kemudian</w:t>
      </w:r>
      <w:r w:rsidRPr="00A51E25">
        <w:rPr>
          <w:rFonts w:ascii="Times New Roman" w:hAnsi="Times New Roman" w:cs="Times New Roman"/>
          <w:sz w:val="24"/>
          <w:szCs w:val="24"/>
        </w:rPr>
        <w:t xml:space="preserve"> pada 15 Januari 1990 </w:t>
      </w:r>
      <w:r w:rsidRPr="00A51E25">
        <w:rPr>
          <w:rFonts w:ascii="Times New Roman" w:hAnsi="Times New Roman" w:cs="Times New Roman"/>
          <w:sz w:val="24"/>
          <w:szCs w:val="24"/>
        </w:rPr>
        <w:t>mencatatkan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sahamnya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pertama</w:t>
      </w:r>
      <w:r w:rsidRPr="00A51E25">
        <w:rPr>
          <w:rFonts w:ascii="Times New Roman" w:hAnsi="Times New Roman" w:cs="Times New Roman"/>
          <w:sz w:val="24"/>
          <w:szCs w:val="24"/>
        </w:rPr>
        <w:t xml:space="preserve"> kali di Bursa </w:t>
      </w:r>
      <w:r w:rsidRPr="00A51E25">
        <w:rPr>
          <w:rFonts w:ascii="Times New Roman" w:hAnsi="Times New Roman" w:cs="Times New Roman"/>
          <w:sz w:val="24"/>
          <w:szCs w:val="24"/>
        </w:rPr>
        <w:t>Efek</w:t>
      </w:r>
      <w:r w:rsidRPr="00A51E25">
        <w:rPr>
          <w:rFonts w:ascii="Times New Roman" w:hAnsi="Times New Roman" w:cs="Times New Roman"/>
          <w:sz w:val="24"/>
          <w:szCs w:val="24"/>
        </w:rPr>
        <w:t xml:space="preserve"> Indonesia </w:t>
      </w:r>
      <w:r w:rsidRPr="00A51E25">
        <w:rPr>
          <w:rFonts w:ascii="Times New Roman" w:hAnsi="Times New Roman" w:cs="Times New Roman"/>
          <w:sz w:val="24"/>
          <w:szCs w:val="24"/>
        </w:rPr>
        <w:t>dengan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kode</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perdagangan</w:t>
      </w:r>
      <w:r w:rsidRPr="00A51E25">
        <w:rPr>
          <w:rFonts w:ascii="Times New Roman" w:hAnsi="Times New Roman" w:cs="Times New Roman"/>
          <w:sz w:val="24"/>
          <w:szCs w:val="24"/>
        </w:rPr>
        <w:t xml:space="preserve"> BNLI. </w:t>
      </w:r>
      <w:r w:rsidRPr="00A51E25">
        <w:rPr>
          <w:rFonts w:ascii="Times New Roman" w:hAnsi="Times New Roman" w:cs="Times New Roman"/>
          <w:sz w:val="24"/>
          <w:szCs w:val="24"/>
        </w:rPr>
        <w:t>Kemudian</w:t>
      </w:r>
      <w:r w:rsidRPr="00A51E25">
        <w:rPr>
          <w:rFonts w:ascii="Times New Roman" w:hAnsi="Times New Roman" w:cs="Times New Roman"/>
          <w:sz w:val="24"/>
          <w:szCs w:val="24"/>
        </w:rPr>
        <w:t xml:space="preserve"> pada 2004, Standard Chartered Bank dan PT Astra International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mengambil</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alih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PermataBank</w:t>
      </w:r>
      <w:r w:rsidRPr="00A51E25">
        <w:rPr>
          <w:rFonts w:ascii="Times New Roman" w:hAnsi="Times New Roman" w:cs="Times New Roman"/>
          <w:sz w:val="24"/>
          <w:szCs w:val="24"/>
        </w:rPr>
        <w:t xml:space="preserve"> dan </w:t>
      </w:r>
      <w:r w:rsidRPr="00A51E25">
        <w:rPr>
          <w:rFonts w:ascii="Times New Roman" w:hAnsi="Times New Roman" w:cs="Times New Roman"/>
          <w:sz w:val="24"/>
          <w:szCs w:val="24"/>
        </w:rPr>
        <w:t>memulai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transformasi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organisasi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Setelah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melalui</w:t>
      </w:r>
      <w:r w:rsidRPr="00A51E25">
        <w:rPr>
          <w:rFonts w:ascii="Times New Roman" w:hAnsi="Times New Roman" w:cs="Times New Roman"/>
          <w:sz w:val="24"/>
          <w:szCs w:val="24"/>
        </w:rPr>
        <w:t xml:space="preserve"> proses yang </w:t>
      </w:r>
      <w:r w:rsidRPr="00A51E25">
        <w:rPr>
          <w:rFonts w:ascii="Times New Roman" w:hAnsi="Times New Roman" w:cs="Times New Roman"/>
          <w:sz w:val="24"/>
          <w:szCs w:val="24"/>
        </w:rPr>
        <w:t>panjang</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PermataBank</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mencatat</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sejarah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baru</w:t>
      </w:r>
      <w:r w:rsidRPr="00A51E25">
        <w:rPr>
          <w:rFonts w:ascii="Times New Roman" w:hAnsi="Times New Roman" w:cs="Times New Roman"/>
          <w:sz w:val="24"/>
          <w:szCs w:val="24"/>
        </w:rPr>
        <w:t xml:space="preserve"> pada Mei 2020 </w:t>
      </w:r>
      <w:r w:rsidRPr="00A51E25">
        <w:rPr>
          <w:rFonts w:ascii="Times New Roman" w:hAnsi="Times New Roman" w:cs="Times New Roman"/>
          <w:sz w:val="24"/>
          <w:szCs w:val="24"/>
        </w:rPr>
        <w:t>melalui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akuisisi</w:t>
      </w:r>
      <w:r w:rsidRPr="00A51E25">
        <w:rPr>
          <w:rFonts w:ascii="Times New Roman" w:hAnsi="Times New Roman" w:cs="Times New Roman"/>
          <w:sz w:val="24"/>
          <w:szCs w:val="24"/>
        </w:rPr>
        <w:t xml:space="preserve"> yang </w:t>
      </w:r>
      <w:r w:rsidRPr="00A51E25">
        <w:rPr>
          <w:rFonts w:ascii="Times New Roman" w:hAnsi="Times New Roman" w:cs="Times New Roman"/>
          <w:sz w:val="24"/>
          <w:szCs w:val="24"/>
        </w:rPr>
        <w:t>dilakukan</w:t>
      </w:r>
      <w:r w:rsidRPr="00A51E25">
        <w:rPr>
          <w:rFonts w:ascii="Times New Roman" w:hAnsi="Times New Roman" w:cs="Times New Roman"/>
          <w:sz w:val="24"/>
          <w:szCs w:val="24"/>
        </w:rPr>
        <w:t xml:space="preserve"> oleh </w:t>
      </w:r>
      <w:r w:rsidRPr="00A51E25">
        <w:rPr>
          <w:rFonts w:ascii="Times New Roman" w:hAnsi="Times New Roman" w:cs="Times New Roman"/>
          <w:i/>
          <w:iCs/>
          <w:sz w:val="24"/>
          <w:szCs w:val="24"/>
        </w:rPr>
        <w:t xml:space="preserve">Bangkok Bank Public Company Limited </w:t>
      </w:r>
      <w:r w:rsidRPr="00A51E25">
        <w:rPr>
          <w:rFonts w:ascii="Times New Roman" w:hAnsi="Times New Roman" w:cs="Times New Roman"/>
          <w:sz w:val="24"/>
          <w:szCs w:val="24"/>
        </w:rPr>
        <w:t xml:space="preserve">(Bangkok Bank). Bangkok Bank </w:t>
      </w:r>
      <w:r w:rsidRPr="00A51E25">
        <w:rPr>
          <w:rFonts w:ascii="Times New Roman" w:hAnsi="Times New Roman" w:cs="Times New Roman"/>
          <w:sz w:val="24"/>
          <w:szCs w:val="24"/>
        </w:rPr>
        <w:t>resmi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menjadi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pemegang</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saham</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setelah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mengambil</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alih</w:t>
      </w:r>
      <w:r w:rsidRPr="00A51E25">
        <w:rPr>
          <w:rFonts w:ascii="Times New Roman" w:hAnsi="Times New Roman" w:cs="Times New Roman"/>
          <w:sz w:val="24"/>
          <w:szCs w:val="24"/>
        </w:rPr>
        <w:t xml:space="preserve"> 89,12% </w:t>
      </w:r>
      <w:r w:rsidRPr="00A51E25">
        <w:rPr>
          <w:rFonts w:ascii="Times New Roman" w:hAnsi="Times New Roman" w:cs="Times New Roman"/>
          <w:sz w:val="24"/>
          <w:szCs w:val="24"/>
        </w:rPr>
        <w:t>saham</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PermataBank</w:t>
      </w:r>
      <w:r w:rsidRPr="00A51E25">
        <w:rPr>
          <w:rFonts w:ascii="Times New Roman" w:hAnsi="Times New Roman" w:cs="Times New Roman"/>
          <w:sz w:val="24"/>
          <w:szCs w:val="24"/>
        </w:rPr>
        <w:t>.</w:t>
      </w:r>
    </w:p>
    <w:p w:rsidR="00FF6A7C" w:rsidP="00D62471" w14:paraId="7BADCE1C" w14:textId="11B46FEF">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Syariah Indonesia</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C22428" w:rsidRPr="002615FB" w:rsidP="002615FB" w14:paraId="617DF29A" w14:textId="51493BB7">
      <w:pPr>
        <w:pStyle w:val="ListParagraph"/>
        <w:spacing w:after="0" w:line="480" w:lineRule="auto"/>
        <w:ind w:left="1146" w:firstLine="294"/>
        <w:jc w:val="both"/>
        <w:rPr>
          <w:rFonts w:ascii="Times New Roman" w:hAnsi="Times New Roman" w:cs="Times New Roman"/>
          <w:sz w:val="24"/>
          <w:szCs w:val="24"/>
        </w:rPr>
      </w:pPr>
      <w:r w:rsidRPr="00A51E25">
        <w:rPr>
          <w:rFonts w:ascii="Times New Roman" w:hAnsi="Times New Roman" w:cs="Times New Roman"/>
          <w:sz w:val="24"/>
          <w:szCs w:val="24"/>
        </w:rPr>
        <w:t xml:space="preserve">PT Bank Syariah Indonesia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(BSI) </w:t>
      </w:r>
      <w:r w:rsidRPr="00A51E25">
        <w:rPr>
          <w:rFonts w:ascii="Times New Roman" w:hAnsi="Times New Roman" w:cs="Times New Roman"/>
          <w:sz w:val="24"/>
          <w:szCs w:val="24"/>
        </w:rPr>
        <w:t>merupakan</w:t>
      </w:r>
      <w:r w:rsidRPr="00A51E25">
        <w:rPr>
          <w:rFonts w:ascii="Times New Roman" w:hAnsi="Times New Roman" w:cs="Times New Roman"/>
          <w:sz w:val="24"/>
          <w:szCs w:val="24"/>
        </w:rPr>
        <w:t xml:space="preserve"> bank </w:t>
      </w:r>
      <w:r w:rsidRPr="00A51E25">
        <w:rPr>
          <w:rFonts w:ascii="Times New Roman" w:hAnsi="Times New Roman" w:cs="Times New Roman"/>
          <w:sz w:val="24"/>
          <w:szCs w:val="24"/>
        </w:rPr>
        <w:t>hasil</w:t>
      </w:r>
      <w:r w:rsidRPr="00A51E25">
        <w:rPr>
          <w:rFonts w:ascii="Times New Roman" w:hAnsi="Times New Roman" w:cs="Times New Roman"/>
          <w:sz w:val="24"/>
          <w:szCs w:val="24"/>
        </w:rPr>
        <w:t xml:space="preserve"> merger </w:t>
      </w:r>
      <w:r w:rsidRPr="00A51E25">
        <w:rPr>
          <w:rFonts w:ascii="Times New Roman" w:hAnsi="Times New Roman" w:cs="Times New Roman"/>
          <w:sz w:val="24"/>
          <w:szCs w:val="24"/>
        </w:rPr>
        <w:t>antara</w:t>
      </w:r>
      <w:r w:rsidRPr="00A51E25">
        <w:rPr>
          <w:rFonts w:ascii="Times New Roman" w:hAnsi="Times New Roman" w:cs="Times New Roman"/>
          <w:sz w:val="24"/>
          <w:szCs w:val="24"/>
        </w:rPr>
        <w:t xml:space="preserve"> PT Bank </w:t>
      </w:r>
      <w:r w:rsidRPr="00A51E25">
        <w:rPr>
          <w:rFonts w:ascii="Times New Roman" w:hAnsi="Times New Roman" w:cs="Times New Roman"/>
          <w:sz w:val="24"/>
          <w:szCs w:val="24"/>
        </w:rPr>
        <w:t>BRIsyariah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PT Bank Syariah </w:t>
      </w:r>
      <w:r w:rsidRPr="00A51E25">
        <w:rPr>
          <w:rFonts w:ascii="Times New Roman" w:hAnsi="Times New Roman" w:cs="Times New Roman"/>
          <w:sz w:val="24"/>
          <w:szCs w:val="24"/>
        </w:rPr>
        <w:t>Mandiri</w:t>
      </w:r>
      <w:r w:rsidRPr="00A51E25">
        <w:rPr>
          <w:rFonts w:ascii="Times New Roman" w:hAnsi="Times New Roman" w:cs="Times New Roman"/>
          <w:sz w:val="24"/>
          <w:szCs w:val="24"/>
        </w:rPr>
        <w:t xml:space="preserve"> dan PT Bank BNI Syariah. </w:t>
      </w:r>
      <w:r w:rsidRPr="00A51E25">
        <w:rPr>
          <w:rFonts w:ascii="Times New Roman" w:hAnsi="Times New Roman" w:cs="Times New Roman"/>
          <w:sz w:val="24"/>
          <w:szCs w:val="24"/>
        </w:rPr>
        <w:t>melalui</w:t>
      </w:r>
      <w:r w:rsidRPr="00A51E25">
        <w:rPr>
          <w:rFonts w:ascii="Times New Roman" w:hAnsi="Times New Roman" w:cs="Times New Roman"/>
          <w:sz w:val="24"/>
          <w:szCs w:val="24"/>
        </w:rPr>
        <w:t xml:space="preserve"> Surat Keputusan </w:t>
      </w:r>
      <w:r w:rsidRPr="00A51E25">
        <w:rPr>
          <w:rFonts w:ascii="Times New Roman" w:hAnsi="Times New Roman" w:cs="Times New Roman"/>
          <w:sz w:val="24"/>
          <w:szCs w:val="24"/>
        </w:rPr>
        <w:t>Otoritas</w:t>
      </w:r>
      <w:r w:rsidRPr="00A51E25">
        <w:rPr>
          <w:rFonts w:ascii="Times New Roman" w:hAnsi="Times New Roman" w:cs="Times New Roman"/>
          <w:sz w:val="24"/>
          <w:szCs w:val="24"/>
        </w:rPr>
        <w:t xml:space="preserve"> Jasa </w:t>
      </w:r>
      <w:r w:rsidRPr="00A51E25">
        <w:rPr>
          <w:rFonts w:ascii="Times New Roman" w:hAnsi="Times New Roman" w:cs="Times New Roman"/>
          <w:sz w:val="24"/>
          <w:szCs w:val="24"/>
        </w:rPr>
        <w:t>Keuangan</w:t>
      </w:r>
      <w:r w:rsidRPr="00A51E25">
        <w:rPr>
          <w:rFonts w:ascii="Times New Roman" w:hAnsi="Times New Roman" w:cs="Times New Roman"/>
          <w:sz w:val="24"/>
          <w:szCs w:val="24"/>
        </w:rPr>
        <w:t xml:space="preserve"> (OJK) No. 04/KDK.03/2021 </w:t>
      </w:r>
      <w:r w:rsidRPr="00A51E25">
        <w:rPr>
          <w:rFonts w:ascii="Times New Roman" w:hAnsi="Times New Roman" w:cs="Times New Roman"/>
          <w:sz w:val="24"/>
          <w:szCs w:val="24"/>
        </w:rPr>
        <w:t>secara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resmi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mengeluarkan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izin</w:t>
      </w:r>
      <w:r w:rsidRPr="00A51E25">
        <w:rPr>
          <w:rFonts w:ascii="Times New Roman" w:hAnsi="Times New Roman" w:cs="Times New Roman"/>
          <w:sz w:val="24"/>
          <w:szCs w:val="24"/>
        </w:rPr>
        <w:t xml:space="preserve"> merger </w:t>
      </w:r>
      <w:r w:rsidRPr="00A51E25">
        <w:rPr>
          <w:rFonts w:ascii="Times New Roman" w:hAnsi="Times New Roman" w:cs="Times New Roman"/>
          <w:sz w:val="24"/>
          <w:szCs w:val="24"/>
        </w:rPr>
        <w:t>tiga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usaha</w:t>
      </w:r>
      <w:r w:rsidRPr="00A51E25">
        <w:rPr>
          <w:rFonts w:ascii="Times New Roman" w:hAnsi="Times New Roman" w:cs="Times New Roman"/>
          <w:sz w:val="24"/>
          <w:szCs w:val="24"/>
        </w:rPr>
        <w:t xml:space="preserve"> bank syariah </w:t>
      </w:r>
      <w:r w:rsidRPr="00A51E25">
        <w:rPr>
          <w:rFonts w:ascii="Times New Roman" w:hAnsi="Times New Roman" w:cs="Times New Roman"/>
          <w:sz w:val="24"/>
          <w:szCs w:val="24"/>
        </w:rPr>
        <w:t>tersebut</w:t>
      </w:r>
      <w:r w:rsidRPr="00A51E25">
        <w:rPr>
          <w:rFonts w:ascii="Times New Roman" w:hAnsi="Times New Roman" w:cs="Times New Roman"/>
          <w:sz w:val="24"/>
          <w:szCs w:val="24"/>
        </w:rPr>
        <w:t xml:space="preserve"> pada 27 Januari 2021. </w:t>
      </w:r>
      <w:r w:rsidRPr="00A51E25">
        <w:rPr>
          <w:rFonts w:ascii="Times New Roman" w:hAnsi="Times New Roman" w:cs="Times New Roman"/>
          <w:sz w:val="24"/>
          <w:szCs w:val="24"/>
        </w:rPr>
        <w:t>Selanjutnya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 xml:space="preserve">pada 1 </w:t>
      </w:r>
      <w:r w:rsidRPr="00A51E25">
        <w:rPr>
          <w:rFonts w:ascii="Times New Roman" w:hAnsi="Times New Roman" w:cs="Times New Roman"/>
          <w:sz w:val="24"/>
          <w:szCs w:val="24"/>
        </w:rPr>
        <w:t>Februari</w:t>
      </w:r>
      <w:r w:rsidRPr="00A51E25">
        <w:rPr>
          <w:rFonts w:ascii="Times New Roman" w:hAnsi="Times New Roman" w:cs="Times New Roman"/>
          <w:sz w:val="24"/>
          <w:szCs w:val="24"/>
        </w:rPr>
        <w:t xml:space="preserve"> 2021, </w:t>
      </w:r>
      <w:r w:rsidRPr="00A51E25">
        <w:rPr>
          <w:rFonts w:ascii="Times New Roman" w:hAnsi="Times New Roman" w:cs="Times New Roman"/>
          <w:sz w:val="24"/>
          <w:szCs w:val="24"/>
        </w:rPr>
        <w:t>Presiden</w:t>
      </w:r>
      <w:r w:rsidRPr="00A51E25">
        <w:rPr>
          <w:rFonts w:ascii="Times New Roman" w:hAnsi="Times New Roman" w:cs="Times New Roman"/>
          <w:sz w:val="24"/>
          <w:szCs w:val="24"/>
        </w:rPr>
        <w:t xml:space="preserve"> Joko Widodo </w:t>
      </w:r>
      <w:r w:rsidRPr="00A51E25">
        <w:rPr>
          <w:rFonts w:ascii="Times New Roman" w:hAnsi="Times New Roman" w:cs="Times New Roman"/>
          <w:sz w:val="24"/>
          <w:szCs w:val="24"/>
        </w:rPr>
        <w:t>meresmikan</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kehadiran</w:t>
      </w:r>
      <w:r w:rsidRPr="00A51E25">
        <w:rPr>
          <w:rFonts w:ascii="Times New Roman" w:hAnsi="Times New Roman" w:cs="Times New Roman"/>
          <w:sz w:val="24"/>
          <w:szCs w:val="24"/>
        </w:rPr>
        <w:t xml:space="preserve"> BSI. </w:t>
      </w:r>
      <w:r w:rsidRPr="00A51E25">
        <w:rPr>
          <w:rFonts w:ascii="Times New Roman" w:hAnsi="Times New Roman" w:cs="Times New Roman"/>
          <w:sz w:val="24"/>
          <w:szCs w:val="24"/>
        </w:rPr>
        <w:t>Komposisi</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pemegang</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saham</w:t>
      </w:r>
      <w:r w:rsidRPr="00A51E25">
        <w:rPr>
          <w:rFonts w:ascii="Times New Roman" w:hAnsi="Times New Roman" w:cs="Times New Roman"/>
          <w:sz w:val="24"/>
          <w:szCs w:val="24"/>
        </w:rPr>
        <w:t xml:space="preserve"> BSI </w:t>
      </w:r>
      <w:r w:rsidRPr="00A51E25">
        <w:rPr>
          <w:rFonts w:ascii="Times New Roman" w:hAnsi="Times New Roman" w:cs="Times New Roman"/>
          <w:sz w:val="24"/>
          <w:szCs w:val="24"/>
        </w:rPr>
        <w:t>adalah</w:t>
      </w:r>
      <w:r w:rsidRPr="00A51E25">
        <w:rPr>
          <w:rFonts w:ascii="Times New Roman" w:hAnsi="Times New Roman" w:cs="Times New Roman"/>
          <w:sz w:val="24"/>
          <w:szCs w:val="24"/>
        </w:rPr>
        <w:t xml:space="preserve">: PT Bank </w:t>
      </w:r>
      <w:r w:rsidRPr="00A51E25">
        <w:rPr>
          <w:rFonts w:ascii="Times New Roman" w:hAnsi="Times New Roman" w:cs="Times New Roman"/>
          <w:sz w:val="24"/>
          <w:szCs w:val="24"/>
        </w:rPr>
        <w:t>Mandiri</w:t>
      </w:r>
      <w:r w:rsidRPr="00A51E25">
        <w:rPr>
          <w:rFonts w:ascii="Times New Roman" w:hAnsi="Times New Roman" w:cs="Times New Roman"/>
          <w:sz w:val="24"/>
          <w:szCs w:val="24"/>
        </w:rPr>
        <w:t xml:space="preserve"> (Persero)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50,83%, PT Bank Negara Indonesia (Persero)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24,85%, PT Bank Rakyat Indonesia (Persero) </w:t>
      </w:r>
      <w:r w:rsidRPr="00A51E25">
        <w:rPr>
          <w:rFonts w:ascii="Times New Roman" w:hAnsi="Times New Roman" w:cs="Times New Roman"/>
          <w:sz w:val="24"/>
          <w:szCs w:val="24"/>
        </w:rPr>
        <w:t>Tbk</w:t>
      </w:r>
      <w:r w:rsidRPr="00A51E25">
        <w:rPr>
          <w:rFonts w:ascii="Times New Roman" w:hAnsi="Times New Roman" w:cs="Times New Roman"/>
          <w:sz w:val="24"/>
          <w:szCs w:val="24"/>
        </w:rPr>
        <w:t xml:space="preserve"> 17,25%. </w:t>
      </w:r>
      <w:r w:rsidRPr="00A51E25">
        <w:rPr>
          <w:rFonts w:ascii="Times New Roman" w:hAnsi="Times New Roman" w:cs="Times New Roman"/>
          <w:sz w:val="24"/>
          <w:szCs w:val="24"/>
        </w:rPr>
        <w:t>Sisanya</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adalah</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pemegang</w:t>
      </w:r>
      <w:r w:rsidRPr="00A51E25">
        <w:rPr>
          <w:rFonts w:ascii="Times New Roman" w:hAnsi="Times New Roman" w:cs="Times New Roman"/>
          <w:sz w:val="24"/>
          <w:szCs w:val="24"/>
        </w:rPr>
        <w:t xml:space="preserve"> </w:t>
      </w:r>
      <w:r w:rsidRPr="00A51E25">
        <w:rPr>
          <w:rFonts w:ascii="Times New Roman" w:hAnsi="Times New Roman" w:cs="Times New Roman"/>
          <w:sz w:val="24"/>
          <w:szCs w:val="24"/>
        </w:rPr>
        <w:t>saham</w:t>
      </w:r>
      <w:r w:rsidRPr="00A51E25">
        <w:rPr>
          <w:rFonts w:ascii="Times New Roman" w:hAnsi="Times New Roman" w:cs="Times New Roman"/>
          <w:sz w:val="24"/>
          <w:szCs w:val="24"/>
        </w:rPr>
        <w:t xml:space="preserve"> yang masing-masing di </w:t>
      </w:r>
      <w:r w:rsidRPr="00A51E25">
        <w:rPr>
          <w:rFonts w:ascii="Times New Roman" w:hAnsi="Times New Roman" w:cs="Times New Roman"/>
          <w:sz w:val="24"/>
          <w:szCs w:val="24"/>
        </w:rPr>
        <w:t>bawah</w:t>
      </w:r>
      <w:r w:rsidRPr="00A51E25">
        <w:rPr>
          <w:rFonts w:ascii="Times New Roman" w:hAnsi="Times New Roman" w:cs="Times New Roman"/>
          <w:sz w:val="24"/>
          <w:szCs w:val="24"/>
        </w:rPr>
        <w:t xml:space="preserve"> 5%.</w:t>
      </w:r>
    </w:p>
    <w:p w:rsidR="00FF6A7C" w:rsidP="00D62471" w14:paraId="37189A26" w14:textId="362C1607">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w:t>
      </w:r>
      <w:r w:rsidRPr="00FF6A7C">
        <w:rPr>
          <w:rFonts w:ascii="Times New Roman" w:hAnsi="Times New Roman" w:cs="Times New Roman"/>
          <w:b/>
          <w:bCs/>
          <w:sz w:val="24"/>
          <w:szCs w:val="24"/>
        </w:rPr>
        <w:t>Sinarmas</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F83BA4" w:rsidRPr="00F83BA4" w:rsidP="00F83BA4" w14:paraId="5F6032CA" w14:textId="1DDA70A7">
      <w:pPr>
        <w:pStyle w:val="ListParagraph"/>
        <w:spacing w:after="0" w:line="480" w:lineRule="auto"/>
        <w:ind w:left="1146" w:firstLine="294"/>
        <w:jc w:val="both"/>
        <w:rPr>
          <w:rFonts w:ascii="Times New Roman" w:hAnsi="Times New Roman" w:cs="Times New Roman"/>
          <w:sz w:val="24"/>
          <w:szCs w:val="24"/>
        </w:rPr>
      </w:pPr>
      <w:r w:rsidRPr="00F83BA4">
        <w:rPr>
          <w:rFonts w:ascii="Times New Roman" w:hAnsi="Times New Roman" w:cs="Times New Roman"/>
          <w:sz w:val="24"/>
          <w:szCs w:val="24"/>
        </w:rPr>
        <w:t xml:space="preserve">PT Bank </w:t>
      </w:r>
      <w:r w:rsidRPr="00F83BA4">
        <w:rPr>
          <w:rFonts w:ascii="Times New Roman" w:hAnsi="Times New Roman" w:cs="Times New Roman"/>
          <w:sz w:val="24"/>
          <w:szCs w:val="24"/>
        </w:rPr>
        <w:t>Sinarmas</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Tbk</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didirikan</w:t>
      </w:r>
      <w:r w:rsidRPr="00F83BA4">
        <w:rPr>
          <w:rFonts w:ascii="Times New Roman" w:hAnsi="Times New Roman" w:cs="Times New Roman"/>
          <w:sz w:val="24"/>
          <w:szCs w:val="24"/>
        </w:rPr>
        <w:t xml:space="preserve"> pada 18 Agustus 1989 </w:t>
      </w:r>
      <w:r w:rsidRPr="00F83BA4">
        <w:rPr>
          <w:rFonts w:ascii="Times New Roman" w:hAnsi="Times New Roman" w:cs="Times New Roman"/>
          <w:sz w:val="24"/>
          <w:szCs w:val="24"/>
        </w:rPr>
        <w:t>dengan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nama</w:t>
      </w:r>
      <w:r w:rsidRPr="00F83BA4">
        <w:rPr>
          <w:rFonts w:ascii="Times New Roman" w:hAnsi="Times New Roman" w:cs="Times New Roman"/>
          <w:sz w:val="24"/>
          <w:szCs w:val="24"/>
        </w:rPr>
        <w:t xml:space="preserve"> PT Bank Shinta Indonesia. Pada 1995, bank </w:t>
      </w:r>
      <w:r w:rsidRPr="00F83BA4">
        <w:rPr>
          <w:rFonts w:ascii="Times New Roman" w:hAnsi="Times New Roman" w:cs="Times New Roman"/>
          <w:sz w:val="24"/>
          <w:szCs w:val="24"/>
        </w:rPr>
        <w:t>memperoleh</w:t>
      </w:r>
      <w:r w:rsidRPr="00F83BA4">
        <w:rPr>
          <w:rFonts w:ascii="Times New Roman" w:hAnsi="Times New Roman" w:cs="Times New Roman"/>
          <w:sz w:val="24"/>
          <w:szCs w:val="24"/>
        </w:rPr>
        <w:t xml:space="preserve"> status </w:t>
      </w:r>
      <w:r w:rsidRPr="00F83BA4">
        <w:rPr>
          <w:rFonts w:ascii="Times New Roman" w:hAnsi="Times New Roman" w:cs="Times New Roman"/>
          <w:sz w:val="24"/>
          <w:szCs w:val="24"/>
        </w:rPr>
        <w:t>sebagai</w:t>
      </w:r>
      <w:r w:rsidRPr="00F83BA4">
        <w:rPr>
          <w:rFonts w:ascii="Times New Roman" w:hAnsi="Times New Roman" w:cs="Times New Roman"/>
          <w:sz w:val="24"/>
          <w:szCs w:val="24"/>
        </w:rPr>
        <w:t xml:space="preserve"> bank </w:t>
      </w:r>
      <w:r w:rsidRPr="00F83BA4">
        <w:rPr>
          <w:rFonts w:ascii="Times New Roman" w:hAnsi="Times New Roman" w:cs="Times New Roman"/>
          <w:sz w:val="24"/>
          <w:szCs w:val="24"/>
        </w:rPr>
        <w:t>umum</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devisa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Tahun</w:t>
      </w:r>
      <w:r w:rsidRPr="00F83BA4">
        <w:rPr>
          <w:rFonts w:ascii="Times New Roman" w:hAnsi="Times New Roman" w:cs="Times New Roman"/>
          <w:sz w:val="24"/>
          <w:szCs w:val="24"/>
        </w:rPr>
        <w:t xml:space="preserve"> 2005 </w:t>
      </w:r>
      <w:r w:rsidRPr="00F83BA4">
        <w:rPr>
          <w:rFonts w:ascii="Times New Roman" w:hAnsi="Times New Roman" w:cs="Times New Roman"/>
          <w:sz w:val="24"/>
          <w:szCs w:val="24"/>
        </w:rPr>
        <w:t>menjadi</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sejarah</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penting</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bagi</w:t>
      </w:r>
      <w:r w:rsidRPr="00F83BA4">
        <w:rPr>
          <w:rFonts w:ascii="Times New Roman" w:hAnsi="Times New Roman" w:cs="Times New Roman"/>
          <w:sz w:val="24"/>
          <w:szCs w:val="24"/>
        </w:rPr>
        <w:t xml:space="preserve"> bank </w:t>
      </w:r>
      <w:r w:rsidRPr="00F83BA4">
        <w:rPr>
          <w:rFonts w:ascii="Times New Roman" w:hAnsi="Times New Roman" w:cs="Times New Roman"/>
          <w:sz w:val="24"/>
          <w:szCs w:val="24"/>
        </w:rPr>
        <w:t>setelah</w:t>
      </w:r>
      <w:r w:rsidRPr="00F83BA4">
        <w:rPr>
          <w:rFonts w:ascii="Times New Roman" w:hAnsi="Times New Roman" w:cs="Times New Roman"/>
          <w:sz w:val="24"/>
          <w:szCs w:val="24"/>
        </w:rPr>
        <w:t xml:space="preserve"> PT </w:t>
      </w:r>
      <w:r w:rsidRPr="00F83BA4">
        <w:rPr>
          <w:rFonts w:ascii="Times New Roman" w:hAnsi="Times New Roman" w:cs="Times New Roman"/>
          <w:sz w:val="24"/>
          <w:szCs w:val="24"/>
        </w:rPr>
        <w:t>Sinarmas</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Multiartha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Tbk</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mengambil</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alih</w:t>
      </w:r>
      <w:r w:rsidRPr="00F83BA4">
        <w:rPr>
          <w:rFonts w:ascii="Times New Roman" w:hAnsi="Times New Roman" w:cs="Times New Roman"/>
          <w:sz w:val="24"/>
          <w:szCs w:val="24"/>
        </w:rPr>
        <w:t xml:space="preserve"> 21% </w:t>
      </w:r>
      <w:r w:rsidRPr="00F83BA4">
        <w:rPr>
          <w:rFonts w:ascii="Times New Roman" w:hAnsi="Times New Roman" w:cs="Times New Roman"/>
          <w:sz w:val="24"/>
          <w:szCs w:val="24"/>
        </w:rPr>
        <w:t>sahamnya</w:t>
      </w:r>
      <w:r w:rsidRPr="00F83BA4">
        <w:rPr>
          <w:rFonts w:ascii="Times New Roman" w:hAnsi="Times New Roman" w:cs="Times New Roman"/>
          <w:sz w:val="24"/>
          <w:szCs w:val="24"/>
        </w:rPr>
        <w:t xml:space="preserve">. Bank </w:t>
      </w:r>
      <w:r w:rsidRPr="00F83BA4">
        <w:rPr>
          <w:rFonts w:ascii="Times New Roman" w:hAnsi="Times New Roman" w:cs="Times New Roman"/>
          <w:sz w:val="24"/>
          <w:szCs w:val="24"/>
        </w:rPr>
        <w:t>kemudian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berganti</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nama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menjadi</w:t>
      </w:r>
      <w:r w:rsidRPr="00F83BA4">
        <w:rPr>
          <w:rFonts w:ascii="Times New Roman" w:hAnsi="Times New Roman" w:cs="Times New Roman"/>
          <w:sz w:val="24"/>
          <w:szCs w:val="24"/>
        </w:rPr>
        <w:t xml:space="preserve"> PT Bank </w:t>
      </w:r>
      <w:r w:rsidRPr="00F83BA4">
        <w:rPr>
          <w:rFonts w:ascii="Times New Roman" w:hAnsi="Times New Roman" w:cs="Times New Roman"/>
          <w:sz w:val="24"/>
          <w:szCs w:val="24"/>
        </w:rPr>
        <w:t>Sinarmas</w:t>
      </w:r>
      <w:r w:rsidRPr="00F83BA4">
        <w:rPr>
          <w:rFonts w:ascii="Times New Roman" w:hAnsi="Times New Roman" w:cs="Times New Roman"/>
          <w:sz w:val="24"/>
          <w:szCs w:val="24"/>
        </w:rPr>
        <w:t xml:space="preserve"> pada </w:t>
      </w:r>
      <w:r w:rsidRPr="00F83BA4">
        <w:rPr>
          <w:rFonts w:ascii="Times New Roman" w:hAnsi="Times New Roman" w:cs="Times New Roman"/>
          <w:sz w:val="24"/>
          <w:szCs w:val="24"/>
        </w:rPr>
        <w:t>Desember</w:t>
      </w:r>
      <w:r w:rsidRPr="00F83BA4">
        <w:rPr>
          <w:rFonts w:ascii="Times New Roman" w:hAnsi="Times New Roman" w:cs="Times New Roman"/>
          <w:sz w:val="24"/>
          <w:szCs w:val="24"/>
        </w:rPr>
        <w:t xml:space="preserve"> 2006 yang </w:t>
      </w:r>
      <w:r w:rsidRPr="00F83BA4">
        <w:rPr>
          <w:rFonts w:ascii="Times New Roman" w:hAnsi="Times New Roman" w:cs="Times New Roman"/>
          <w:sz w:val="24"/>
          <w:szCs w:val="24"/>
        </w:rPr>
        <w:t>disetujui</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dalam</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Rapat</w:t>
      </w:r>
      <w:r w:rsidRPr="00F83BA4">
        <w:rPr>
          <w:rFonts w:ascii="Times New Roman" w:hAnsi="Times New Roman" w:cs="Times New Roman"/>
          <w:sz w:val="24"/>
          <w:szCs w:val="24"/>
        </w:rPr>
        <w:t xml:space="preserve"> Umum </w:t>
      </w:r>
      <w:r w:rsidRPr="00F83BA4">
        <w:rPr>
          <w:rFonts w:ascii="Times New Roman" w:hAnsi="Times New Roman" w:cs="Times New Roman"/>
          <w:sz w:val="24"/>
          <w:szCs w:val="24"/>
        </w:rPr>
        <w:t>Pemegang</w:t>
      </w:r>
      <w:r w:rsidRPr="00F83BA4">
        <w:rPr>
          <w:rFonts w:ascii="Times New Roman" w:hAnsi="Times New Roman" w:cs="Times New Roman"/>
          <w:sz w:val="24"/>
          <w:szCs w:val="24"/>
        </w:rPr>
        <w:t xml:space="preserve"> Saham Luar </w:t>
      </w:r>
      <w:r w:rsidRPr="00F83BA4">
        <w:rPr>
          <w:rFonts w:ascii="Times New Roman" w:hAnsi="Times New Roman" w:cs="Times New Roman"/>
          <w:sz w:val="24"/>
          <w:szCs w:val="24"/>
        </w:rPr>
        <w:t>Biasa</w:t>
      </w:r>
      <w:r w:rsidRPr="00F83BA4">
        <w:rPr>
          <w:rFonts w:ascii="Times New Roman" w:hAnsi="Times New Roman" w:cs="Times New Roman"/>
          <w:sz w:val="24"/>
          <w:szCs w:val="24"/>
        </w:rPr>
        <w:t xml:space="preserve"> (RUPS-LB). Pada 2009, Bank </w:t>
      </w:r>
      <w:r w:rsidRPr="00F83BA4">
        <w:rPr>
          <w:rFonts w:ascii="Times New Roman" w:hAnsi="Times New Roman" w:cs="Times New Roman"/>
          <w:sz w:val="24"/>
          <w:szCs w:val="24"/>
        </w:rPr>
        <w:t>Sinarmas</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memperoleh</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izin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pendirian</w:t>
      </w:r>
      <w:r w:rsidRPr="00F83BA4">
        <w:rPr>
          <w:rFonts w:ascii="Times New Roman" w:hAnsi="Times New Roman" w:cs="Times New Roman"/>
          <w:sz w:val="24"/>
          <w:szCs w:val="24"/>
        </w:rPr>
        <w:t xml:space="preserve"> unit </w:t>
      </w:r>
      <w:r w:rsidRPr="00F83BA4">
        <w:rPr>
          <w:rFonts w:ascii="Times New Roman" w:hAnsi="Times New Roman" w:cs="Times New Roman"/>
          <w:sz w:val="24"/>
          <w:szCs w:val="24"/>
        </w:rPr>
        <w:t>usaha</w:t>
      </w:r>
      <w:r w:rsidRPr="00F83BA4">
        <w:rPr>
          <w:rFonts w:ascii="Times New Roman" w:hAnsi="Times New Roman" w:cs="Times New Roman"/>
          <w:sz w:val="24"/>
          <w:szCs w:val="24"/>
        </w:rPr>
        <w:t xml:space="preserve"> syariah (UUS). Bank </w:t>
      </w:r>
      <w:r w:rsidRPr="00F83BA4">
        <w:rPr>
          <w:rFonts w:ascii="Times New Roman" w:hAnsi="Times New Roman" w:cs="Times New Roman"/>
          <w:sz w:val="24"/>
          <w:szCs w:val="24"/>
        </w:rPr>
        <w:t>Sinarmas</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lalu</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melakukan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penawaran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saham</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umum</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perdana</w:t>
      </w:r>
      <w:r w:rsidRPr="00F83BA4">
        <w:rPr>
          <w:rFonts w:ascii="Times New Roman" w:hAnsi="Times New Roman" w:cs="Times New Roman"/>
          <w:sz w:val="24"/>
          <w:szCs w:val="24"/>
        </w:rPr>
        <w:t xml:space="preserve"> (IPO) di Bursa </w:t>
      </w:r>
      <w:r w:rsidRPr="00F83BA4">
        <w:rPr>
          <w:rFonts w:ascii="Times New Roman" w:hAnsi="Times New Roman" w:cs="Times New Roman"/>
          <w:sz w:val="24"/>
          <w:szCs w:val="24"/>
        </w:rPr>
        <w:t>Efek</w:t>
      </w:r>
      <w:r w:rsidRPr="00F83BA4">
        <w:rPr>
          <w:rFonts w:ascii="Times New Roman" w:hAnsi="Times New Roman" w:cs="Times New Roman"/>
          <w:sz w:val="24"/>
          <w:szCs w:val="24"/>
        </w:rPr>
        <w:t xml:space="preserve"> Indonesia pada 13 </w:t>
      </w:r>
      <w:r w:rsidRPr="00F83BA4">
        <w:rPr>
          <w:rFonts w:ascii="Times New Roman" w:hAnsi="Times New Roman" w:cs="Times New Roman"/>
          <w:sz w:val="24"/>
          <w:szCs w:val="24"/>
        </w:rPr>
        <w:t>Desember</w:t>
      </w:r>
      <w:r w:rsidRPr="00F83BA4">
        <w:rPr>
          <w:rFonts w:ascii="Times New Roman" w:hAnsi="Times New Roman" w:cs="Times New Roman"/>
          <w:sz w:val="24"/>
          <w:szCs w:val="24"/>
        </w:rPr>
        <w:t xml:space="preserve"> 2010.</w:t>
      </w:r>
    </w:p>
    <w:p w:rsidR="00FF6A7C" w:rsidP="00D62471" w14:paraId="56DC1D05" w14:textId="41AC32C8">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BTPN</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B80896" w:rsidRPr="00C22428" w:rsidP="00C22428" w14:paraId="0269BA58" w14:textId="44E7FD36">
      <w:pPr>
        <w:pStyle w:val="ListParagraph"/>
        <w:spacing w:after="0" w:line="480" w:lineRule="auto"/>
        <w:ind w:left="1146" w:firstLine="294"/>
        <w:jc w:val="both"/>
        <w:rPr>
          <w:rFonts w:ascii="Times New Roman" w:hAnsi="Times New Roman" w:cs="Times New Roman"/>
          <w:sz w:val="24"/>
          <w:szCs w:val="24"/>
        </w:rPr>
      </w:pPr>
      <w:r w:rsidRPr="00F83BA4">
        <w:rPr>
          <w:rFonts w:ascii="Times New Roman" w:hAnsi="Times New Roman" w:cs="Times New Roman"/>
          <w:sz w:val="24"/>
          <w:szCs w:val="24"/>
        </w:rPr>
        <w:t xml:space="preserve">PT Bank Tabungan </w:t>
      </w:r>
      <w:r w:rsidRPr="00F83BA4">
        <w:rPr>
          <w:rFonts w:ascii="Times New Roman" w:hAnsi="Times New Roman" w:cs="Times New Roman"/>
          <w:sz w:val="24"/>
          <w:szCs w:val="24"/>
        </w:rPr>
        <w:t>Pensiunan</w:t>
      </w:r>
      <w:r w:rsidRPr="00F83BA4">
        <w:rPr>
          <w:rFonts w:ascii="Times New Roman" w:hAnsi="Times New Roman" w:cs="Times New Roman"/>
          <w:sz w:val="24"/>
          <w:szCs w:val="24"/>
        </w:rPr>
        <w:t xml:space="preserve"> Nasional </w:t>
      </w:r>
      <w:r w:rsidRPr="00F83BA4">
        <w:rPr>
          <w:rFonts w:ascii="Times New Roman" w:hAnsi="Times New Roman" w:cs="Times New Roman"/>
          <w:sz w:val="24"/>
          <w:szCs w:val="24"/>
        </w:rPr>
        <w:t>Tbk</w:t>
      </w:r>
      <w:r w:rsidRPr="00F83BA4">
        <w:rPr>
          <w:rFonts w:ascii="Times New Roman" w:hAnsi="Times New Roman" w:cs="Times New Roman"/>
          <w:sz w:val="24"/>
          <w:szCs w:val="24"/>
        </w:rPr>
        <w:t xml:space="preserve"> (BTPN) </w:t>
      </w:r>
      <w:r w:rsidRPr="00F83BA4">
        <w:rPr>
          <w:rFonts w:ascii="Times New Roman" w:hAnsi="Times New Roman" w:cs="Times New Roman"/>
          <w:sz w:val="24"/>
          <w:szCs w:val="24"/>
        </w:rPr>
        <w:t>didirikan</w:t>
      </w:r>
      <w:r w:rsidRPr="00F83BA4">
        <w:rPr>
          <w:rFonts w:ascii="Times New Roman" w:hAnsi="Times New Roman" w:cs="Times New Roman"/>
          <w:sz w:val="24"/>
          <w:szCs w:val="24"/>
        </w:rPr>
        <w:t xml:space="preserve"> di Bandung pada 5 </w:t>
      </w:r>
      <w:r w:rsidRPr="00F83BA4">
        <w:rPr>
          <w:rFonts w:ascii="Times New Roman" w:hAnsi="Times New Roman" w:cs="Times New Roman"/>
          <w:sz w:val="24"/>
          <w:szCs w:val="24"/>
        </w:rPr>
        <w:t>Februari</w:t>
      </w:r>
      <w:r w:rsidRPr="00F83BA4">
        <w:rPr>
          <w:rFonts w:ascii="Times New Roman" w:hAnsi="Times New Roman" w:cs="Times New Roman"/>
          <w:sz w:val="24"/>
          <w:szCs w:val="24"/>
        </w:rPr>
        <w:t xml:space="preserve"> 1958, yang </w:t>
      </w:r>
      <w:r w:rsidRPr="00F83BA4">
        <w:rPr>
          <w:rFonts w:ascii="Times New Roman" w:hAnsi="Times New Roman" w:cs="Times New Roman"/>
          <w:sz w:val="24"/>
          <w:szCs w:val="24"/>
        </w:rPr>
        <w:t>awalnya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bernama</w:t>
      </w:r>
      <w:r w:rsidRPr="00F83BA4">
        <w:rPr>
          <w:rFonts w:ascii="Times New Roman" w:hAnsi="Times New Roman" w:cs="Times New Roman"/>
          <w:sz w:val="24"/>
          <w:szCs w:val="24"/>
        </w:rPr>
        <w:t xml:space="preserve"> Bank </w:t>
      </w:r>
      <w:r w:rsidRPr="00F83BA4">
        <w:rPr>
          <w:rFonts w:ascii="Times New Roman" w:hAnsi="Times New Roman" w:cs="Times New Roman"/>
          <w:sz w:val="24"/>
          <w:szCs w:val="24"/>
        </w:rPr>
        <w:t>Pegawai</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Pensiunan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Militer</w:t>
      </w:r>
      <w:r w:rsidRPr="00F83BA4">
        <w:rPr>
          <w:rFonts w:ascii="Times New Roman" w:hAnsi="Times New Roman" w:cs="Times New Roman"/>
          <w:sz w:val="24"/>
          <w:szCs w:val="24"/>
        </w:rPr>
        <w:t xml:space="preserve"> (BAPEMIL) </w:t>
      </w:r>
      <w:r w:rsidRPr="00F83BA4">
        <w:rPr>
          <w:rFonts w:ascii="Times New Roman" w:hAnsi="Times New Roman" w:cs="Times New Roman"/>
          <w:sz w:val="24"/>
          <w:szCs w:val="24"/>
        </w:rPr>
        <w:t>dengan</w:t>
      </w:r>
      <w:r w:rsidRPr="00F83BA4">
        <w:rPr>
          <w:rFonts w:ascii="Times New Roman" w:hAnsi="Times New Roman" w:cs="Times New Roman"/>
          <w:sz w:val="24"/>
          <w:szCs w:val="24"/>
        </w:rPr>
        <w:t xml:space="preserve"> status </w:t>
      </w:r>
      <w:r w:rsidRPr="00F83BA4">
        <w:rPr>
          <w:rFonts w:ascii="Times New Roman" w:hAnsi="Times New Roman" w:cs="Times New Roman"/>
          <w:sz w:val="24"/>
          <w:szCs w:val="24"/>
        </w:rPr>
        <w:t>usaha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sebagai</w:t>
      </w:r>
      <w:r w:rsidRPr="00F83BA4">
        <w:rPr>
          <w:rFonts w:ascii="Times New Roman" w:hAnsi="Times New Roman" w:cs="Times New Roman"/>
          <w:sz w:val="24"/>
          <w:szCs w:val="24"/>
        </w:rPr>
        <w:t xml:space="preserve"> badan </w:t>
      </w:r>
      <w:r w:rsidRPr="00F83BA4">
        <w:rPr>
          <w:rFonts w:ascii="Times New Roman" w:hAnsi="Times New Roman" w:cs="Times New Roman"/>
          <w:sz w:val="24"/>
          <w:szCs w:val="24"/>
        </w:rPr>
        <w:t>perkumpulan</w:t>
      </w:r>
      <w:r w:rsidRPr="00F83BA4">
        <w:rPr>
          <w:rFonts w:ascii="Times New Roman" w:hAnsi="Times New Roman" w:cs="Times New Roman"/>
          <w:sz w:val="24"/>
          <w:szCs w:val="24"/>
        </w:rPr>
        <w:t xml:space="preserve"> yang </w:t>
      </w:r>
      <w:r w:rsidRPr="00F83BA4">
        <w:rPr>
          <w:rFonts w:ascii="Times New Roman" w:hAnsi="Times New Roman" w:cs="Times New Roman"/>
          <w:sz w:val="24"/>
          <w:szCs w:val="24"/>
        </w:rPr>
        <w:t>menerima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simpanan</w:t>
      </w:r>
      <w:r w:rsidRPr="00F83BA4">
        <w:rPr>
          <w:rFonts w:ascii="Times New Roman" w:hAnsi="Times New Roman" w:cs="Times New Roman"/>
          <w:sz w:val="24"/>
          <w:szCs w:val="24"/>
        </w:rPr>
        <w:t xml:space="preserve"> dan </w:t>
      </w:r>
      <w:r w:rsidRPr="00F83BA4">
        <w:rPr>
          <w:rFonts w:ascii="Times New Roman" w:hAnsi="Times New Roman" w:cs="Times New Roman"/>
          <w:sz w:val="24"/>
          <w:szCs w:val="24"/>
        </w:rPr>
        <w:t>memberikan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pinjaman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kepada</w:t>
      </w:r>
      <w:r w:rsidRPr="00F83BA4">
        <w:rPr>
          <w:rFonts w:ascii="Times New Roman" w:hAnsi="Times New Roman" w:cs="Times New Roman"/>
          <w:sz w:val="24"/>
          <w:szCs w:val="24"/>
        </w:rPr>
        <w:t xml:space="preserve"> para </w:t>
      </w:r>
      <w:r w:rsidRPr="00F83BA4">
        <w:rPr>
          <w:rFonts w:ascii="Times New Roman" w:hAnsi="Times New Roman" w:cs="Times New Roman"/>
          <w:sz w:val="24"/>
          <w:szCs w:val="24"/>
        </w:rPr>
        <w:t>anggotanya</w:t>
      </w:r>
      <w:r w:rsidRPr="00F83BA4">
        <w:rPr>
          <w:rFonts w:ascii="Times New Roman" w:hAnsi="Times New Roman" w:cs="Times New Roman"/>
          <w:sz w:val="24"/>
          <w:szCs w:val="24"/>
        </w:rPr>
        <w:t xml:space="preserve">. Pada </w:t>
      </w:r>
      <w:r w:rsidRPr="00F83BA4">
        <w:rPr>
          <w:rFonts w:ascii="Times New Roman" w:hAnsi="Times New Roman" w:cs="Times New Roman"/>
          <w:sz w:val="24"/>
          <w:szCs w:val="24"/>
        </w:rPr>
        <w:t>tahun</w:t>
      </w:r>
      <w:r w:rsidRPr="00F83BA4">
        <w:rPr>
          <w:rFonts w:ascii="Times New Roman" w:hAnsi="Times New Roman" w:cs="Times New Roman"/>
          <w:sz w:val="24"/>
          <w:szCs w:val="24"/>
        </w:rPr>
        <w:t xml:space="preserve"> 1993 status BTPN </w:t>
      </w:r>
      <w:r w:rsidRPr="00F83BA4">
        <w:rPr>
          <w:rFonts w:ascii="Times New Roman" w:hAnsi="Times New Roman" w:cs="Times New Roman"/>
          <w:sz w:val="24"/>
          <w:szCs w:val="24"/>
        </w:rPr>
        <w:t>menjadi</w:t>
      </w:r>
      <w:r w:rsidRPr="00F83BA4">
        <w:rPr>
          <w:rFonts w:ascii="Times New Roman" w:hAnsi="Times New Roman" w:cs="Times New Roman"/>
          <w:sz w:val="24"/>
          <w:szCs w:val="24"/>
        </w:rPr>
        <w:t xml:space="preserve"> Bank Umum. Pada 12 Maret 2008 BTPN </w:t>
      </w:r>
      <w:r w:rsidRPr="00F83BA4">
        <w:rPr>
          <w:rFonts w:ascii="Times New Roman" w:hAnsi="Times New Roman" w:cs="Times New Roman"/>
          <w:sz w:val="24"/>
          <w:szCs w:val="24"/>
        </w:rPr>
        <w:t>sukses</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melakukan</w:t>
      </w:r>
      <w:r w:rsidRPr="00F83BA4">
        <w:rPr>
          <w:rFonts w:ascii="Times New Roman" w:hAnsi="Times New Roman" w:cs="Times New Roman"/>
          <w:sz w:val="24"/>
          <w:szCs w:val="24"/>
        </w:rPr>
        <w:t xml:space="preserve"> go public </w:t>
      </w:r>
      <w:r w:rsidRPr="00F83BA4">
        <w:rPr>
          <w:rFonts w:ascii="Times New Roman" w:hAnsi="Times New Roman" w:cs="Times New Roman"/>
          <w:sz w:val="24"/>
          <w:szCs w:val="24"/>
        </w:rPr>
        <w:t>dengan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melepas</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saham</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milik</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pemerintah</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c.q</w:t>
      </w:r>
      <w:r w:rsidRPr="00F83BA4">
        <w:rPr>
          <w:rFonts w:ascii="Times New Roman" w:hAnsi="Times New Roman" w:cs="Times New Roman"/>
          <w:sz w:val="24"/>
          <w:szCs w:val="24"/>
        </w:rPr>
        <w:t xml:space="preserve">. PT Perusahaan </w:t>
      </w:r>
      <w:r w:rsidRPr="00F83BA4">
        <w:rPr>
          <w:rFonts w:ascii="Times New Roman" w:hAnsi="Times New Roman" w:cs="Times New Roman"/>
          <w:sz w:val="24"/>
          <w:szCs w:val="24"/>
        </w:rPr>
        <w:t>Pengelola</w:t>
      </w:r>
      <w:r w:rsidRPr="00F83BA4">
        <w:rPr>
          <w:rFonts w:ascii="Times New Roman" w:hAnsi="Times New Roman" w:cs="Times New Roman"/>
          <w:sz w:val="24"/>
          <w:szCs w:val="24"/>
        </w:rPr>
        <w:t xml:space="preserve"> Aset (PPA) </w:t>
      </w:r>
      <w:r w:rsidRPr="00F83BA4">
        <w:rPr>
          <w:rFonts w:ascii="Times New Roman" w:hAnsi="Times New Roman" w:cs="Times New Roman"/>
          <w:sz w:val="24"/>
          <w:szCs w:val="24"/>
        </w:rPr>
        <w:t>sebesar</w:t>
      </w:r>
      <w:r w:rsidRPr="00F83BA4">
        <w:rPr>
          <w:rFonts w:ascii="Times New Roman" w:hAnsi="Times New Roman" w:cs="Times New Roman"/>
          <w:sz w:val="24"/>
          <w:szCs w:val="24"/>
        </w:rPr>
        <w:t xml:space="preserve"> 28,39%. Pada 14 Maret 2008, TPG Nusantara, </w:t>
      </w:r>
      <w:r w:rsidRPr="00F83BA4">
        <w:rPr>
          <w:rFonts w:ascii="Times New Roman" w:hAnsi="Times New Roman" w:cs="Times New Roman"/>
          <w:sz w:val="24"/>
          <w:szCs w:val="24"/>
        </w:rPr>
        <w:t>S.a.r.l</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mengakuisisi</w:t>
      </w:r>
      <w:r w:rsidRPr="00F83BA4">
        <w:rPr>
          <w:rFonts w:ascii="Times New Roman" w:hAnsi="Times New Roman" w:cs="Times New Roman"/>
          <w:sz w:val="24"/>
          <w:szCs w:val="24"/>
        </w:rPr>
        <w:t xml:space="preserve"> 71,6% </w:t>
      </w:r>
      <w:r w:rsidRPr="00F83BA4">
        <w:rPr>
          <w:rFonts w:ascii="Times New Roman" w:hAnsi="Times New Roman" w:cs="Times New Roman"/>
          <w:sz w:val="24"/>
          <w:szCs w:val="24"/>
        </w:rPr>
        <w:t>saham</w:t>
      </w:r>
      <w:r w:rsidRPr="00F83BA4">
        <w:rPr>
          <w:rFonts w:ascii="Times New Roman" w:hAnsi="Times New Roman" w:cs="Times New Roman"/>
          <w:sz w:val="24"/>
          <w:szCs w:val="24"/>
        </w:rPr>
        <w:t xml:space="preserve"> BTPN, </w:t>
      </w:r>
      <w:r w:rsidRPr="00F83BA4">
        <w:rPr>
          <w:rFonts w:ascii="Times New Roman" w:hAnsi="Times New Roman" w:cs="Times New Roman"/>
          <w:sz w:val="24"/>
          <w:szCs w:val="24"/>
        </w:rPr>
        <w:t>sehingga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menjadi</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pemegang</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saham</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utama</w:t>
      </w:r>
      <w:r w:rsidRPr="00F83BA4">
        <w:rPr>
          <w:rFonts w:ascii="Times New Roman" w:hAnsi="Times New Roman" w:cs="Times New Roman"/>
          <w:sz w:val="24"/>
          <w:szCs w:val="24"/>
        </w:rPr>
        <w:t xml:space="preserve">. Bank BTPN </w:t>
      </w:r>
      <w:r w:rsidRPr="00F83BA4">
        <w:rPr>
          <w:rFonts w:ascii="Times New Roman" w:hAnsi="Times New Roman" w:cs="Times New Roman"/>
          <w:sz w:val="24"/>
          <w:szCs w:val="24"/>
        </w:rPr>
        <w:t>merupakan</w:t>
      </w:r>
      <w:r w:rsidRPr="00F83BA4">
        <w:rPr>
          <w:rFonts w:ascii="Times New Roman" w:hAnsi="Times New Roman" w:cs="Times New Roman"/>
          <w:sz w:val="24"/>
          <w:szCs w:val="24"/>
        </w:rPr>
        <w:t xml:space="preserve"> bank </w:t>
      </w:r>
      <w:r w:rsidRPr="00F83BA4">
        <w:rPr>
          <w:rFonts w:ascii="Times New Roman" w:hAnsi="Times New Roman" w:cs="Times New Roman"/>
          <w:sz w:val="24"/>
          <w:szCs w:val="24"/>
        </w:rPr>
        <w:t>devisa</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hasil</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penggabungan</w:t>
      </w:r>
      <w:r w:rsidRPr="00F83BA4">
        <w:rPr>
          <w:rFonts w:ascii="Times New Roman" w:hAnsi="Times New Roman" w:cs="Times New Roman"/>
          <w:sz w:val="24"/>
          <w:szCs w:val="24"/>
        </w:rPr>
        <w:t xml:space="preserve"> </w:t>
      </w:r>
      <w:r w:rsidRPr="00F83BA4">
        <w:rPr>
          <w:rFonts w:ascii="Times New Roman" w:hAnsi="Times New Roman" w:cs="Times New Roman"/>
          <w:sz w:val="24"/>
          <w:szCs w:val="24"/>
        </w:rPr>
        <w:t>usaha</w:t>
      </w:r>
      <w:r w:rsidRPr="00F83BA4">
        <w:rPr>
          <w:rFonts w:ascii="Times New Roman" w:hAnsi="Times New Roman" w:cs="Times New Roman"/>
          <w:sz w:val="24"/>
          <w:szCs w:val="24"/>
        </w:rPr>
        <w:t xml:space="preserve"> PT Bank Tabungan </w:t>
      </w:r>
      <w:r w:rsidRPr="00F83BA4">
        <w:rPr>
          <w:rFonts w:ascii="Times New Roman" w:hAnsi="Times New Roman" w:cs="Times New Roman"/>
          <w:sz w:val="24"/>
          <w:szCs w:val="24"/>
        </w:rPr>
        <w:t>Pensiunan</w:t>
      </w:r>
      <w:r w:rsidRPr="00F83BA4">
        <w:rPr>
          <w:rFonts w:ascii="Times New Roman" w:hAnsi="Times New Roman" w:cs="Times New Roman"/>
          <w:sz w:val="24"/>
          <w:szCs w:val="24"/>
        </w:rPr>
        <w:t xml:space="preserve"> Nasional </w:t>
      </w:r>
      <w:r w:rsidRPr="00F83BA4">
        <w:rPr>
          <w:rFonts w:ascii="Times New Roman" w:hAnsi="Times New Roman" w:cs="Times New Roman"/>
          <w:sz w:val="24"/>
          <w:szCs w:val="24"/>
        </w:rPr>
        <w:t>Tbk</w:t>
      </w:r>
      <w:r w:rsidRPr="00F83BA4">
        <w:rPr>
          <w:rFonts w:ascii="Times New Roman" w:hAnsi="Times New Roman" w:cs="Times New Roman"/>
          <w:sz w:val="24"/>
          <w:szCs w:val="24"/>
        </w:rPr>
        <w:t xml:space="preserve"> (BTPN) </w:t>
      </w:r>
      <w:r w:rsidRPr="00F83BA4">
        <w:rPr>
          <w:rFonts w:ascii="Times New Roman" w:hAnsi="Times New Roman" w:cs="Times New Roman"/>
          <w:sz w:val="24"/>
          <w:szCs w:val="24"/>
        </w:rPr>
        <w:t>dengan</w:t>
      </w:r>
      <w:r w:rsidRPr="00F83BA4">
        <w:rPr>
          <w:rFonts w:ascii="Times New Roman" w:hAnsi="Times New Roman" w:cs="Times New Roman"/>
          <w:sz w:val="24"/>
          <w:szCs w:val="24"/>
        </w:rPr>
        <w:t xml:space="preserve"> PT Bank Sumitomo Mitsui Indonesia (SMBCI).</w:t>
      </w:r>
    </w:p>
    <w:p w:rsidR="00FF6A7C" w:rsidP="00D62471" w14:paraId="03E5F184" w14:textId="2CD19CD3">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w:t>
      </w:r>
      <w:r w:rsidRPr="00FF6A7C">
        <w:rPr>
          <w:rFonts w:ascii="Times New Roman" w:hAnsi="Times New Roman" w:cs="Times New Roman"/>
          <w:b/>
          <w:bCs/>
          <w:sz w:val="24"/>
          <w:szCs w:val="24"/>
        </w:rPr>
        <w:t>Oke</w:t>
      </w:r>
      <w:r w:rsidRPr="00FF6A7C">
        <w:rPr>
          <w:rFonts w:ascii="Times New Roman" w:hAnsi="Times New Roman" w:cs="Times New Roman"/>
          <w:b/>
          <w:bCs/>
          <w:sz w:val="24"/>
          <w:szCs w:val="24"/>
        </w:rPr>
        <w:t xml:space="preserve"> Indonesia</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F83BA4" w:rsidRPr="00F83BA4" w:rsidP="00814DE0" w14:paraId="7BE1D6F2" w14:textId="5E293B3D">
      <w:pPr>
        <w:pStyle w:val="ListParagraph"/>
        <w:spacing w:after="0" w:line="480" w:lineRule="auto"/>
        <w:ind w:left="1146" w:firstLine="294"/>
        <w:jc w:val="both"/>
        <w:rPr>
          <w:rFonts w:ascii="Times New Roman" w:hAnsi="Times New Roman" w:cs="Times New Roman"/>
          <w:sz w:val="24"/>
          <w:szCs w:val="24"/>
        </w:rPr>
      </w:pPr>
      <w:r w:rsidRPr="00814DE0">
        <w:rPr>
          <w:rFonts w:ascii="Times New Roman" w:hAnsi="Times New Roman" w:cs="Times New Roman"/>
          <w:sz w:val="24"/>
          <w:szCs w:val="24"/>
        </w:rPr>
        <w:t xml:space="preserve">Bank </w:t>
      </w:r>
      <w:r w:rsidRPr="00814DE0">
        <w:rPr>
          <w:rFonts w:ascii="Times New Roman" w:hAnsi="Times New Roman" w:cs="Times New Roman"/>
          <w:sz w:val="24"/>
          <w:szCs w:val="24"/>
        </w:rPr>
        <w:t>ini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awalnya</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didirikan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dengan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nama</w:t>
      </w:r>
      <w:r w:rsidRPr="00814DE0">
        <w:rPr>
          <w:rFonts w:ascii="Times New Roman" w:hAnsi="Times New Roman" w:cs="Times New Roman"/>
          <w:sz w:val="24"/>
          <w:szCs w:val="24"/>
        </w:rPr>
        <w:t xml:space="preserve"> PT Liman International Bank pada 1990. </w:t>
      </w:r>
      <w:r w:rsidRPr="00814DE0">
        <w:rPr>
          <w:rFonts w:ascii="Times New Roman" w:hAnsi="Times New Roman" w:cs="Times New Roman"/>
          <w:sz w:val="24"/>
          <w:szCs w:val="24"/>
        </w:rPr>
        <w:t>Izin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operasi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sebagai</w:t>
      </w:r>
      <w:r w:rsidRPr="00814DE0">
        <w:rPr>
          <w:rFonts w:ascii="Times New Roman" w:hAnsi="Times New Roman" w:cs="Times New Roman"/>
          <w:sz w:val="24"/>
          <w:szCs w:val="24"/>
        </w:rPr>
        <w:t xml:space="preserve"> bank </w:t>
      </w:r>
      <w:r w:rsidRPr="00814DE0">
        <w:rPr>
          <w:rFonts w:ascii="Times New Roman" w:hAnsi="Times New Roman" w:cs="Times New Roman"/>
          <w:sz w:val="24"/>
          <w:szCs w:val="24"/>
        </w:rPr>
        <w:t>umum</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terbit</w:t>
      </w:r>
      <w:r w:rsidRPr="00814DE0">
        <w:rPr>
          <w:rFonts w:ascii="Times New Roman" w:hAnsi="Times New Roman" w:cs="Times New Roman"/>
          <w:sz w:val="24"/>
          <w:szCs w:val="24"/>
        </w:rPr>
        <w:t xml:space="preserve"> pada 1991. Pada 8 November 2012 </w:t>
      </w:r>
      <w:r w:rsidRPr="00814DE0">
        <w:rPr>
          <w:rFonts w:ascii="Times New Roman" w:hAnsi="Times New Roman" w:cs="Times New Roman"/>
          <w:sz w:val="24"/>
          <w:szCs w:val="24"/>
        </w:rPr>
        <w:t>dilakukan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perubahan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nama</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menjadi</w:t>
      </w:r>
      <w:r w:rsidRPr="00814DE0">
        <w:rPr>
          <w:rFonts w:ascii="Times New Roman" w:hAnsi="Times New Roman" w:cs="Times New Roman"/>
          <w:sz w:val="24"/>
          <w:szCs w:val="24"/>
        </w:rPr>
        <w:t xml:space="preserve"> PT Bank Dinar Indonesia. </w:t>
      </w:r>
      <w:r w:rsidRPr="00814DE0">
        <w:rPr>
          <w:rFonts w:ascii="Times New Roman" w:hAnsi="Times New Roman" w:cs="Times New Roman"/>
          <w:sz w:val="24"/>
          <w:szCs w:val="24"/>
        </w:rPr>
        <w:t>Kemudian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sejak</w:t>
      </w:r>
      <w:r w:rsidRPr="00814DE0">
        <w:rPr>
          <w:rFonts w:ascii="Times New Roman" w:hAnsi="Times New Roman" w:cs="Times New Roman"/>
          <w:sz w:val="24"/>
          <w:szCs w:val="24"/>
        </w:rPr>
        <w:t xml:space="preserve"> 11 Juli 2014, </w:t>
      </w:r>
      <w:r w:rsidRPr="00814DE0">
        <w:rPr>
          <w:rFonts w:ascii="Times New Roman" w:hAnsi="Times New Roman" w:cs="Times New Roman"/>
          <w:sz w:val="24"/>
          <w:szCs w:val="24"/>
        </w:rPr>
        <w:t>saham</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perseroan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resmi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tercatat</w:t>
      </w:r>
      <w:r w:rsidRPr="00814DE0">
        <w:rPr>
          <w:rFonts w:ascii="Times New Roman" w:hAnsi="Times New Roman" w:cs="Times New Roman"/>
          <w:sz w:val="24"/>
          <w:szCs w:val="24"/>
        </w:rPr>
        <w:t xml:space="preserve"> di Bursa </w:t>
      </w:r>
      <w:r w:rsidRPr="00814DE0">
        <w:rPr>
          <w:rFonts w:ascii="Times New Roman" w:hAnsi="Times New Roman" w:cs="Times New Roman"/>
          <w:sz w:val="24"/>
          <w:szCs w:val="24"/>
        </w:rPr>
        <w:t>Efek</w:t>
      </w:r>
      <w:r w:rsidRPr="00814DE0">
        <w:rPr>
          <w:rFonts w:ascii="Times New Roman" w:hAnsi="Times New Roman" w:cs="Times New Roman"/>
          <w:sz w:val="24"/>
          <w:szCs w:val="24"/>
        </w:rPr>
        <w:t xml:space="preserve"> Indonesia (BEI) </w:t>
      </w:r>
      <w:r w:rsidRPr="00814DE0">
        <w:rPr>
          <w:rFonts w:ascii="Times New Roman" w:hAnsi="Times New Roman" w:cs="Times New Roman"/>
          <w:sz w:val="24"/>
          <w:szCs w:val="24"/>
        </w:rPr>
        <w:t>dengan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kode</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saham</w:t>
      </w:r>
      <w:r w:rsidRPr="00814DE0">
        <w:rPr>
          <w:rFonts w:ascii="Times New Roman" w:hAnsi="Times New Roman" w:cs="Times New Roman"/>
          <w:sz w:val="24"/>
          <w:szCs w:val="24"/>
        </w:rPr>
        <w:t xml:space="preserve"> DNAR, </w:t>
      </w:r>
      <w:r w:rsidRPr="00814DE0">
        <w:rPr>
          <w:rFonts w:ascii="Times New Roman" w:hAnsi="Times New Roman" w:cs="Times New Roman"/>
          <w:sz w:val="24"/>
          <w:szCs w:val="24"/>
        </w:rPr>
        <w:t>sehingga</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nama</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perseroan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saat</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itu</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menjadi</w:t>
      </w:r>
      <w:r w:rsidRPr="00814DE0">
        <w:rPr>
          <w:rFonts w:ascii="Times New Roman" w:hAnsi="Times New Roman" w:cs="Times New Roman"/>
          <w:sz w:val="24"/>
          <w:szCs w:val="24"/>
        </w:rPr>
        <w:t xml:space="preserve"> PT Bank Dinar Indonesia </w:t>
      </w:r>
      <w:r w:rsidRPr="00814DE0">
        <w:rPr>
          <w:rFonts w:ascii="Times New Roman" w:hAnsi="Times New Roman" w:cs="Times New Roman"/>
          <w:sz w:val="24"/>
          <w:szCs w:val="24"/>
        </w:rPr>
        <w:t>Tbk</w:t>
      </w:r>
      <w:r w:rsidRPr="00814DE0">
        <w:rPr>
          <w:rFonts w:ascii="Times New Roman" w:hAnsi="Times New Roman" w:cs="Times New Roman"/>
          <w:sz w:val="24"/>
          <w:szCs w:val="24"/>
        </w:rPr>
        <w:t xml:space="preserve">. Pada 2018, Bank Dinar </w:t>
      </w:r>
      <w:r w:rsidRPr="00814DE0">
        <w:rPr>
          <w:rFonts w:ascii="Times New Roman" w:hAnsi="Times New Roman" w:cs="Times New Roman"/>
          <w:sz w:val="24"/>
          <w:szCs w:val="24"/>
        </w:rPr>
        <w:t>resmi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diakuisisi</w:t>
      </w:r>
      <w:r w:rsidRPr="00814DE0">
        <w:rPr>
          <w:rFonts w:ascii="Times New Roman" w:hAnsi="Times New Roman" w:cs="Times New Roman"/>
          <w:sz w:val="24"/>
          <w:szCs w:val="24"/>
        </w:rPr>
        <w:t xml:space="preserve"> APRO Financial Co Ltd (APRO). </w:t>
      </w:r>
      <w:r w:rsidRPr="00814DE0">
        <w:rPr>
          <w:rFonts w:ascii="Times New Roman" w:hAnsi="Times New Roman" w:cs="Times New Roman"/>
          <w:sz w:val="24"/>
          <w:szCs w:val="24"/>
        </w:rPr>
        <w:t>Transaksi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akuisisi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dilakukan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melalui</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pembelian</w:t>
      </w:r>
      <w:r w:rsidRPr="00814DE0">
        <w:rPr>
          <w:rFonts w:ascii="Times New Roman" w:hAnsi="Times New Roman" w:cs="Times New Roman"/>
          <w:sz w:val="24"/>
          <w:szCs w:val="24"/>
        </w:rPr>
        <w:t xml:space="preserve"> 77,38% </w:t>
      </w:r>
      <w:r w:rsidRPr="00814DE0">
        <w:rPr>
          <w:rFonts w:ascii="Times New Roman" w:hAnsi="Times New Roman" w:cs="Times New Roman"/>
          <w:sz w:val="24"/>
          <w:szCs w:val="24"/>
        </w:rPr>
        <w:t>saham</w:t>
      </w:r>
      <w:r w:rsidRPr="00814DE0">
        <w:rPr>
          <w:rFonts w:ascii="Times New Roman" w:hAnsi="Times New Roman" w:cs="Times New Roman"/>
          <w:sz w:val="24"/>
          <w:szCs w:val="24"/>
        </w:rPr>
        <w:t xml:space="preserve"> Bank Dinar. Bank Dinar </w:t>
      </w:r>
      <w:r w:rsidRPr="00814DE0">
        <w:rPr>
          <w:rFonts w:ascii="Times New Roman" w:hAnsi="Times New Roman" w:cs="Times New Roman"/>
          <w:sz w:val="24"/>
          <w:szCs w:val="24"/>
        </w:rPr>
        <w:t>lalu</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melakukan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penggabungan</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usaha</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dengan</w:t>
      </w:r>
      <w:r w:rsidRPr="00814DE0">
        <w:rPr>
          <w:rFonts w:ascii="Times New Roman" w:hAnsi="Times New Roman" w:cs="Times New Roman"/>
          <w:sz w:val="24"/>
          <w:szCs w:val="24"/>
        </w:rPr>
        <w:t xml:space="preserve"> PT Bank </w:t>
      </w:r>
      <w:r w:rsidRPr="00814DE0">
        <w:rPr>
          <w:rFonts w:ascii="Times New Roman" w:hAnsi="Times New Roman" w:cs="Times New Roman"/>
          <w:sz w:val="24"/>
          <w:szCs w:val="24"/>
        </w:rPr>
        <w:t>Oke</w:t>
      </w:r>
      <w:r w:rsidRPr="00814DE0">
        <w:rPr>
          <w:rFonts w:ascii="Times New Roman" w:hAnsi="Times New Roman" w:cs="Times New Roman"/>
          <w:sz w:val="24"/>
          <w:szCs w:val="24"/>
        </w:rPr>
        <w:t xml:space="preserve"> Indonesia, yang juga </w:t>
      </w:r>
      <w:r w:rsidRPr="00814DE0">
        <w:rPr>
          <w:rFonts w:ascii="Times New Roman" w:hAnsi="Times New Roman" w:cs="Times New Roman"/>
          <w:sz w:val="24"/>
          <w:szCs w:val="24"/>
        </w:rPr>
        <w:t>dimiliki</w:t>
      </w:r>
      <w:r w:rsidRPr="00814DE0">
        <w:rPr>
          <w:rFonts w:ascii="Times New Roman" w:hAnsi="Times New Roman" w:cs="Times New Roman"/>
          <w:sz w:val="24"/>
          <w:szCs w:val="24"/>
        </w:rPr>
        <w:t xml:space="preserve"> oleh APRO </w:t>
      </w:r>
      <w:r w:rsidRPr="00814DE0">
        <w:rPr>
          <w:rFonts w:ascii="Times New Roman" w:hAnsi="Times New Roman" w:cs="Times New Roman"/>
          <w:sz w:val="24"/>
          <w:szCs w:val="24"/>
        </w:rPr>
        <w:t>sebesar</w:t>
      </w:r>
      <w:r w:rsidRPr="00814DE0">
        <w:rPr>
          <w:rFonts w:ascii="Times New Roman" w:hAnsi="Times New Roman" w:cs="Times New Roman"/>
          <w:sz w:val="24"/>
          <w:szCs w:val="24"/>
        </w:rPr>
        <w:t xml:space="preserve"> 99% pada 8 Juli 2019</w:t>
      </w:r>
      <w:r>
        <w:rPr>
          <w:rFonts w:ascii="Times New Roman" w:hAnsi="Times New Roman" w:cs="Times New Roman"/>
          <w:sz w:val="24"/>
          <w:szCs w:val="24"/>
        </w:rPr>
        <w:t xml:space="preserve">. Dan </w:t>
      </w:r>
      <w:r>
        <w:rPr>
          <w:rFonts w:ascii="Times New Roman" w:hAnsi="Times New Roman" w:cs="Times New Roman"/>
          <w:sz w:val="24"/>
          <w:szCs w:val="24"/>
        </w:rPr>
        <w:t>s</w:t>
      </w:r>
      <w:r w:rsidRPr="00814DE0">
        <w:rPr>
          <w:rFonts w:ascii="Times New Roman" w:hAnsi="Times New Roman" w:cs="Times New Roman"/>
          <w:sz w:val="24"/>
          <w:szCs w:val="24"/>
        </w:rPr>
        <w:t>ejak</w:t>
      </w:r>
      <w:r w:rsidRPr="00814DE0">
        <w:rPr>
          <w:rFonts w:ascii="Times New Roman" w:hAnsi="Times New Roman" w:cs="Times New Roman"/>
          <w:sz w:val="24"/>
          <w:szCs w:val="24"/>
        </w:rPr>
        <w:t xml:space="preserve"> 26 Agustus 2019, PT Bank Dinar Indonesia </w:t>
      </w:r>
      <w:r w:rsidRPr="00814DE0">
        <w:rPr>
          <w:rFonts w:ascii="Times New Roman" w:hAnsi="Times New Roman" w:cs="Times New Roman"/>
          <w:sz w:val="24"/>
          <w:szCs w:val="24"/>
        </w:rPr>
        <w:t>Tbk</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berubah</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nama</w:t>
      </w:r>
      <w:r w:rsidRPr="00814DE0">
        <w:rPr>
          <w:rFonts w:ascii="Times New Roman" w:hAnsi="Times New Roman" w:cs="Times New Roman"/>
          <w:sz w:val="24"/>
          <w:szCs w:val="24"/>
        </w:rPr>
        <w:t xml:space="preserve"> </w:t>
      </w:r>
      <w:r w:rsidRPr="00814DE0">
        <w:rPr>
          <w:rFonts w:ascii="Times New Roman" w:hAnsi="Times New Roman" w:cs="Times New Roman"/>
          <w:sz w:val="24"/>
          <w:szCs w:val="24"/>
        </w:rPr>
        <w:t>menjadi</w:t>
      </w:r>
      <w:r w:rsidRPr="00814DE0">
        <w:rPr>
          <w:rFonts w:ascii="Times New Roman" w:hAnsi="Times New Roman" w:cs="Times New Roman"/>
          <w:sz w:val="24"/>
          <w:szCs w:val="24"/>
        </w:rPr>
        <w:t xml:space="preserve"> PT Bank </w:t>
      </w:r>
      <w:r w:rsidRPr="00814DE0">
        <w:rPr>
          <w:rFonts w:ascii="Times New Roman" w:hAnsi="Times New Roman" w:cs="Times New Roman"/>
          <w:sz w:val="24"/>
          <w:szCs w:val="24"/>
        </w:rPr>
        <w:t>Oke</w:t>
      </w:r>
      <w:r w:rsidRPr="00814DE0">
        <w:rPr>
          <w:rFonts w:ascii="Times New Roman" w:hAnsi="Times New Roman" w:cs="Times New Roman"/>
          <w:sz w:val="24"/>
          <w:szCs w:val="24"/>
        </w:rPr>
        <w:t xml:space="preserve"> Indonesia </w:t>
      </w:r>
      <w:r w:rsidRPr="00814DE0">
        <w:rPr>
          <w:rFonts w:ascii="Times New Roman" w:hAnsi="Times New Roman" w:cs="Times New Roman"/>
          <w:sz w:val="24"/>
          <w:szCs w:val="24"/>
        </w:rPr>
        <w:t>Tbk</w:t>
      </w:r>
      <w:r w:rsidRPr="00814DE0">
        <w:rPr>
          <w:rFonts w:ascii="Times New Roman" w:hAnsi="Times New Roman" w:cs="Times New Roman"/>
          <w:sz w:val="24"/>
          <w:szCs w:val="24"/>
        </w:rPr>
        <w:t>.</w:t>
      </w:r>
    </w:p>
    <w:p w:rsidR="00FF6A7C" w:rsidP="00D62471" w14:paraId="6C2D0737" w14:textId="609E638C">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Artha </w:t>
      </w:r>
      <w:r w:rsidRPr="00FF6A7C">
        <w:rPr>
          <w:rFonts w:ascii="Times New Roman" w:hAnsi="Times New Roman" w:cs="Times New Roman"/>
          <w:b/>
          <w:bCs/>
          <w:sz w:val="24"/>
          <w:szCs w:val="24"/>
        </w:rPr>
        <w:t>Graha</w:t>
      </w:r>
      <w:r w:rsidRPr="00FF6A7C">
        <w:rPr>
          <w:rFonts w:ascii="Times New Roman" w:hAnsi="Times New Roman" w:cs="Times New Roman"/>
          <w:b/>
          <w:bCs/>
          <w:sz w:val="24"/>
          <w:szCs w:val="24"/>
        </w:rPr>
        <w:t xml:space="preserve"> </w:t>
      </w:r>
      <w:r w:rsidRPr="00FF6A7C">
        <w:rPr>
          <w:rFonts w:ascii="Times New Roman" w:hAnsi="Times New Roman" w:cs="Times New Roman"/>
          <w:b/>
          <w:bCs/>
          <w:sz w:val="24"/>
          <w:szCs w:val="24"/>
        </w:rPr>
        <w:t>Internasional</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814DE0" w:rsidRPr="00814DE0" w:rsidP="00D731D3" w14:paraId="1B3ED892" w14:textId="22470E27">
      <w:pPr>
        <w:pStyle w:val="ListParagraph"/>
        <w:spacing w:after="0" w:line="480" w:lineRule="auto"/>
        <w:ind w:left="1146" w:firstLine="294"/>
        <w:jc w:val="both"/>
        <w:rPr>
          <w:rFonts w:ascii="Times New Roman" w:hAnsi="Times New Roman" w:cs="Times New Roman"/>
          <w:sz w:val="24"/>
          <w:szCs w:val="24"/>
        </w:rPr>
      </w:pPr>
      <w:r w:rsidRPr="00D731D3">
        <w:rPr>
          <w:rFonts w:ascii="Times New Roman" w:hAnsi="Times New Roman" w:cs="Times New Roman"/>
          <w:sz w:val="24"/>
          <w:szCs w:val="24"/>
        </w:rPr>
        <w:t xml:space="preserve">Bank Artha </w:t>
      </w:r>
      <w:r w:rsidRPr="00D731D3">
        <w:rPr>
          <w:rFonts w:ascii="Times New Roman" w:hAnsi="Times New Roman" w:cs="Times New Roman"/>
          <w:sz w:val="24"/>
          <w:szCs w:val="24"/>
        </w:rPr>
        <w:t>Graha</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Internasional</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adalah</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perusahaan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swasta</w:t>
      </w:r>
      <w:r w:rsidRPr="00D731D3">
        <w:rPr>
          <w:rFonts w:ascii="Times New Roman" w:hAnsi="Times New Roman" w:cs="Times New Roman"/>
          <w:sz w:val="24"/>
          <w:szCs w:val="24"/>
        </w:rPr>
        <w:t xml:space="preserve"> yang </w:t>
      </w:r>
      <w:r w:rsidRPr="00D731D3">
        <w:rPr>
          <w:rFonts w:ascii="Times New Roman" w:hAnsi="Times New Roman" w:cs="Times New Roman"/>
          <w:sz w:val="24"/>
          <w:szCs w:val="24"/>
        </w:rPr>
        <w:t>berbentuk</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perseroan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terbatas</w:t>
      </w:r>
      <w:r w:rsidRPr="00D731D3">
        <w:rPr>
          <w:rFonts w:ascii="Times New Roman" w:hAnsi="Times New Roman" w:cs="Times New Roman"/>
          <w:sz w:val="24"/>
          <w:szCs w:val="24"/>
        </w:rPr>
        <w:t xml:space="preserve"> dan </w:t>
      </w:r>
      <w:r w:rsidRPr="00D731D3">
        <w:rPr>
          <w:rFonts w:ascii="Times New Roman" w:hAnsi="Times New Roman" w:cs="Times New Roman"/>
          <w:sz w:val="24"/>
          <w:szCs w:val="24"/>
        </w:rPr>
        <w:t>bergerak</w:t>
      </w:r>
      <w:r w:rsidRPr="00D731D3">
        <w:rPr>
          <w:rFonts w:ascii="Times New Roman" w:hAnsi="Times New Roman" w:cs="Times New Roman"/>
          <w:sz w:val="24"/>
          <w:szCs w:val="24"/>
        </w:rPr>
        <w:t xml:space="preserve"> di </w:t>
      </w:r>
      <w:r w:rsidRPr="00D731D3">
        <w:rPr>
          <w:rFonts w:ascii="Times New Roman" w:hAnsi="Times New Roman" w:cs="Times New Roman"/>
          <w:sz w:val="24"/>
          <w:szCs w:val="24"/>
        </w:rPr>
        <w:t>bidang</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jasa</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keuangan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perbankan</w:t>
      </w:r>
      <w:r w:rsidRPr="00D731D3">
        <w:rPr>
          <w:rFonts w:ascii="Times New Roman" w:hAnsi="Times New Roman" w:cs="Times New Roman"/>
          <w:sz w:val="24"/>
          <w:szCs w:val="24"/>
        </w:rPr>
        <w:t xml:space="preserve">. Bank </w:t>
      </w:r>
      <w:r w:rsidRPr="00D731D3">
        <w:rPr>
          <w:rFonts w:ascii="Times New Roman" w:hAnsi="Times New Roman" w:cs="Times New Roman"/>
          <w:sz w:val="24"/>
          <w:szCs w:val="24"/>
        </w:rPr>
        <w:t>ini</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berbasis</w:t>
      </w:r>
      <w:r w:rsidRPr="00D731D3">
        <w:rPr>
          <w:rFonts w:ascii="Times New Roman" w:hAnsi="Times New Roman" w:cs="Times New Roman"/>
          <w:sz w:val="24"/>
          <w:szCs w:val="24"/>
        </w:rPr>
        <w:t xml:space="preserve"> di Jakarta. </w:t>
      </w:r>
      <w:r w:rsidRPr="00D731D3">
        <w:rPr>
          <w:rFonts w:ascii="Times New Roman" w:hAnsi="Times New Roman" w:cs="Times New Roman"/>
          <w:sz w:val="24"/>
          <w:szCs w:val="24"/>
        </w:rPr>
        <w:t>Didirikan</w:t>
      </w:r>
      <w:r w:rsidRPr="00D731D3">
        <w:rPr>
          <w:rFonts w:ascii="Times New Roman" w:hAnsi="Times New Roman" w:cs="Times New Roman"/>
          <w:sz w:val="24"/>
          <w:szCs w:val="24"/>
        </w:rPr>
        <w:t xml:space="preserve"> pada </w:t>
      </w:r>
      <w:r w:rsidRPr="00D731D3">
        <w:rPr>
          <w:rFonts w:ascii="Times New Roman" w:hAnsi="Times New Roman" w:cs="Times New Roman"/>
          <w:sz w:val="24"/>
          <w:szCs w:val="24"/>
        </w:rPr>
        <w:t>tahun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 xml:space="preserve">1973.Bank </w:t>
      </w:r>
      <w:r w:rsidRPr="00D731D3">
        <w:rPr>
          <w:rFonts w:ascii="Times New Roman" w:hAnsi="Times New Roman" w:cs="Times New Roman"/>
          <w:sz w:val="24"/>
          <w:szCs w:val="24"/>
        </w:rPr>
        <w:t>ini</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merupakan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hasil</w:t>
      </w:r>
      <w:r w:rsidRPr="00D731D3">
        <w:rPr>
          <w:rFonts w:ascii="Times New Roman" w:hAnsi="Times New Roman" w:cs="Times New Roman"/>
          <w:sz w:val="24"/>
          <w:szCs w:val="24"/>
        </w:rPr>
        <w:t xml:space="preserve"> merger </w:t>
      </w:r>
      <w:r w:rsidRPr="00D731D3">
        <w:rPr>
          <w:rFonts w:ascii="Times New Roman" w:hAnsi="Times New Roman" w:cs="Times New Roman"/>
          <w:sz w:val="24"/>
          <w:szCs w:val="24"/>
        </w:rPr>
        <w:t>antara</w:t>
      </w:r>
      <w:r w:rsidRPr="00D731D3">
        <w:rPr>
          <w:rFonts w:ascii="Times New Roman" w:hAnsi="Times New Roman" w:cs="Times New Roman"/>
          <w:sz w:val="24"/>
          <w:szCs w:val="24"/>
        </w:rPr>
        <w:t xml:space="preserve"> Bank </w:t>
      </w:r>
      <w:r w:rsidRPr="00D731D3">
        <w:rPr>
          <w:rFonts w:ascii="Times New Roman" w:hAnsi="Times New Roman" w:cs="Times New Roman"/>
          <w:sz w:val="24"/>
          <w:szCs w:val="24"/>
        </w:rPr>
        <w:t>Interpacific</w:t>
      </w:r>
      <w:r w:rsidRPr="00D731D3">
        <w:rPr>
          <w:rFonts w:ascii="Times New Roman" w:hAnsi="Times New Roman" w:cs="Times New Roman"/>
          <w:sz w:val="24"/>
          <w:szCs w:val="24"/>
        </w:rPr>
        <w:t xml:space="preserve"> dan Bank Artha </w:t>
      </w:r>
      <w:r w:rsidRPr="00D731D3">
        <w:rPr>
          <w:rFonts w:ascii="Times New Roman" w:hAnsi="Times New Roman" w:cs="Times New Roman"/>
          <w:sz w:val="24"/>
          <w:szCs w:val="24"/>
        </w:rPr>
        <w:t>Graha</w:t>
      </w:r>
      <w:r w:rsidRPr="00D731D3">
        <w:rPr>
          <w:rFonts w:ascii="Times New Roman" w:hAnsi="Times New Roman" w:cs="Times New Roman"/>
          <w:sz w:val="24"/>
          <w:szCs w:val="24"/>
        </w:rPr>
        <w:t xml:space="preserve"> yang lama pada 2005 </w:t>
      </w:r>
      <w:r w:rsidRPr="00D731D3">
        <w:rPr>
          <w:rFonts w:ascii="Times New Roman" w:hAnsi="Times New Roman" w:cs="Times New Roman"/>
          <w:sz w:val="24"/>
          <w:szCs w:val="24"/>
        </w:rPr>
        <w:t>melalui</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peleburan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terbalik</w:t>
      </w:r>
      <w:r w:rsidRPr="00D731D3">
        <w:rPr>
          <w:rFonts w:ascii="Times New Roman" w:hAnsi="Times New Roman" w:cs="Times New Roman"/>
          <w:sz w:val="24"/>
          <w:szCs w:val="24"/>
        </w:rPr>
        <w:t xml:space="preserve"> (reverse merger). Bank </w:t>
      </w:r>
      <w:r w:rsidRPr="00D731D3">
        <w:rPr>
          <w:rFonts w:ascii="Times New Roman" w:hAnsi="Times New Roman" w:cs="Times New Roman"/>
          <w:sz w:val="24"/>
          <w:szCs w:val="24"/>
        </w:rPr>
        <w:t>Interpacific</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adalah</w:t>
      </w:r>
      <w:r w:rsidRPr="00D731D3">
        <w:rPr>
          <w:rFonts w:ascii="Times New Roman" w:hAnsi="Times New Roman" w:cs="Times New Roman"/>
          <w:sz w:val="24"/>
          <w:szCs w:val="24"/>
        </w:rPr>
        <w:t xml:space="preserve"> bank yang </w:t>
      </w:r>
      <w:r w:rsidRPr="00D731D3">
        <w:rPr>
          <w:rFonts w:ascii="Times New Roman" w:hAnsi="Times New Roman" w:cs="Times New Roman"/>
          <w:sz w:val="24"/>
          <w:szCs w:val="24"/>
        </w:rPr>
        <w:t>berdiri</w:t>
      </w:r>
      <w:r w:rsidRPr="00D731D3">
        <w:rPr>
          <w:rFonts w:ascii="Times New Roman" w:hAnsi="Times New Roman" w:cs="Times New Roman"/>
          <w:sz w:val="24"/>
          <w:szCs w:val="24"/>
        </w:rPr>
        <w:t xml:space="preserve"> pada 1973, </w:t>
      </w:r>
      <w:r w:rsidRPr="00D731D3">
        <w:rPr>
          <w:rFonts w:ascii="Times New Roman" w:hAnsi="Times New Roman" w:cs="Times New Roman"/>
          <w:sz w:val="24"/>
          <w:szCs w:val="24"/>
        </w:rPr>
        <w:t>awalnya</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adalah</w:t>
      </w:r>
      <w:r w:rsidRPr="00D731D3">
        <w:rPr>
          <w:rFonts w:ascii="Times New Roman" w:hAnsi="Times New Roman" w:cs="Times New Roman"/>
          <w:sz w:val="24"/>
          <w:szCs w:val="24"/>
        </w:rPr>
        <w:t xml:space="preserve"> Lembaga </w:t>
      </w:r>
      <w:r w:rsidRPr="00D731D3">
        <w:rPr>
          <w:rFonts w:ascii="Times New Roman" w:hAnsi="Times New Roman" w:cs="Times New Roman"/>
          <w:sz w:val="24"/>
          <w:szCs w:val="24"/>
        </w:rPr>
        <w:t>Keuangan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Bukan</w:t>
      </w:r>
      <w:r w:rsidRPr="00D731D3">
        <w:rPr>
          <w:rFonts w:ascii="Times New Roman" w:hAnsi="Times New Roman" w:cs="Times New Roman"/>
          <w:sz w:val="24"/>
          <w:szCs w:val="24"/>
        </w:rPr>
        <w:t xml:space="preserve"> Bank yang </w:t>
      </w:r>
      <w:r w:rsidRPr="00D731D3">
        <w:rPr>
          <w:rFonts w:ascii="Times New Roman" w:hAnsi="Times New Roman" w:cs="Times New Roman"/>
          <w:sz w:val="24"/>
          <w:szCs w:val="24"/>
        </w:rPr>
        <w:t>digagas</w:t>
      </w:r>
      <w:r w:rsidRPr="00D731D3">
        <w:rPr>
          <w:rFonts w:ascii="Times New Roman" w:hAnsi="Times New Roman" w:cs="Times New Roman"/>
          <w:sz w:val="24"/>
          <w:szCs w:val="24"/>
        </w:rPr>
        <w:t xml:space="preserve"> oleh </w:t>
      </w:r>
      <w:r w:rsidRPr="00D731D3">
        <w:rPr>
          <w:rFonts w:ascii="Times New Roman" w:hAnsi="Times New Roman" w:cs="Times New Roman"/>
          <w:sz w:val="24"/>
          <w:szCs w:val="24"/>
        </w:rPr>
        <w:t>beberapa</w:t>
      </w:r>
      <w:r w:rsidRPr="00D731D3">
        <w:rPr>
          <w:rFonts w:ascii="Times New Roman" w:hAnsi="Times New Roman" w:cs="Times New Roman"/>
          <w:sz w:val="24"/>
          <w:szCs w:val="24"/>
        </w:rPr>
        <w:t xml:space="preserve"> bank </w:t>
      </w:r>
      <w:r w:rsidRPr="00D731D3">
        <w:rPr>
          <w:rFonts w:ascii="Times New Roman" w:hAnsi="Times New Roman" w:cs="Times New Roman"/>
          <w:sz w:val="24"/>
          <w:szCs w:val="24"/>
        </w:rPr>
        <w:t>dalam</w:t>
      </w:r>
      <w:r w:rsidRPr="00D731D3">
        <w:rPr>
          <w:rFonts w:ascii="Times New Roman" w:hAnsi="Times New Roman" w:cs="Times New Roman"/>
          <w:sz w:val="24"/>
          <w:szCs w:val="24"/>
        </w:rPr>
        <w:t xml:space="preserve"> dan </w:t>
      </w:r>
      <w:r w:rsidRPr="00D731D3">
        <w:rPr>
          <w:rFonts w:ascii="Times New Roman" w:hAnsi="Times New Roman" w:cs="Times New Roman"/>
          <w:sz w:val="24"/>
          <w:szCs w:val="24"/>
        </w:rPr>
        <w:t>luar</w:t>
      </w:r>
      <w:r w:rsidRPr="00D731D3">
        <w:rPr>
          <w:rFonts w:ascii="Times New Roman" w:hAnsi="Times New Roman" w:cs="Times New Roman"/>
          <w:sz w:val="24"/>
          <w:szCs w:val="24"/>
        </w:rPr>
        <w:t xml:space="preserve"> negeri. Pada 1990 </w:t>
      </w:r>
      <w:r w:rsidRPr="00D731D3">
        <w:rPr>
          <w:rFonts w:ascii="Times New Roman" w:hAnsi="Times New Roman" w:cs="Times New Roman"/>
          <w:sz w:val="24"/>
          <w:szCs w:val="24"/>
        </w:rPr>
        <w:t>dilakukan</w:t>
      </w:r>
      <w:r w:rsidRPr="00D731D3">
        <w:rPr>
          <w:rFonts w:ascii="Times New Roman" w:hAnsi="Times New Roman" w:cs="Times New Roman"/>
          <w:sz w:val="24"/>
          <w:szCs w:val="24"/>
        </w:rPr>
        <w:t xml:space="preserve"> IPO dan </w:t>
      </w:r>
      <w:r w:rsidRPr="00D731D3">
        <w:rPr>
          <w:rFonts w:ascii="Times New Roman" w:hAnsi="Times New Roman" w:cs="Times New Roman"/>
          <w:sz w:val="24"/>
          <w:szCs w:val="24"/>
        </w:rPr>
        <w:t>berubah</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menjadi</w:t>
      </w:r>
      <w:r w:rsidRPr="00D731D3">
        <w:rPr>
          <w:rFonts w:ascii="Times New Roman" w:hAnsi="Times New Roman" w:cs="Times New Roman"/>
          <w:sz w:val="24"/>
          <w:szCs w:val="24"/>
        </w:rPr>
        <w:t xml:space="preserve"> Bank </w:t>
      </w:r>
      <w:r w:rsidRPr="00D731D3">
        <w:rPr>
          <w:rFonts w:ascii="Times New Roman" w:hAnsi="Times New Roman" w:cs="Times New Roman"/>
          <w:sz w:val="24"/>
          <w:szCs w:val="24"/>
        </w:rPr>
        <w:t>Interpacific</w:t>
      </w:r>
      <w:r w:rsidRPr="00D731D3">
        <w:rPr>
          <w:rFonts w:ascii="Times New Roman" w:hAnsi="Times New Roman" w:cs="Times New Roman"/>
          <w:sz w:val="24"/>
          <w:szCs w:val="24"/>
        </w:rPr>
        <w:t xml:space="preserve">. 8 </w:t>
      </w:r>
      <w:r w:rsidRPr="00D731D3">
        <w:rPr>
          <w:rFonts w:ascii="Times New Roman" w:hAnsi="Times New Roman" w:cs="Times New Roman"/>
          <w:sz w:val="24"/>
          <w:szCs w:val="24"/>
        </w:rPr>
        <w:t>tahun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kemudian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berstatus</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Tbk</w:t>
      </w:r>
      <w:r w:rsidRPr="00D731D3">
        <w:rPr>
          <w:rFonts w:ascii="Times New Roman" w:hAnsi="Times New Roman" w:cs="Times New Roman"/>
          <w:sz w:val="24"/>
          <w:szCs w:val="24"/>
        </w:rPr>
        <w:t xml:space="preserve">. 1999 </w:t>
      </w:r>
      <w:r w:rsidRPr="00D731D3">
        <w:rPr>
          <w:rFonts w:ascii="Times New Roman" w:hAnsi="Times New Roman" w:cs="Times New Roman"/>
          <w:sz w:val="24"/>
          <w:szCs w:val="24"/>
        </w:rPr>
        <w:t>pembatalan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pencatatan</w:t>
      </w:r>
      <w:r w:rsidRPr="00D731D3">
        <w:rPr>
          <w:rFonts w:ascii="Times New Roman" w:hAnsi="Times New Roman" w:cs="Times New Roman"/>
          <w:sz w:val="24"/>
          <w:szCs w:val="24"/>
        </w:rPr>
        <w:t xml:space="preserve"> </w:t>
      </w:r>
      <w:r w:rsidRPr="00D731D3">
        <w:rPr>
          <w:rFonts w:ascii="Times New Roman" w:hAnsi="Times New Roman" w:cs="Times New Roman"/>
          <w:sz w:val="24"/>
          <w:szCs w:val="24"/>
        </w:rPr>
        <w:t>saham</w:t>
      </w:r>
      <w:r w:rsidRPr="00D731D3">
        <w:rPr>
          <w:rFonts w:ascii="Times New Roman" w:hAnsi="Times New Roman" w:cs="Times New Roman"/>
          <w:sz w:val="24"/>
          <w:szCs w:val="24"/>
        </w:rPr>
        <w:t xml:space="preserve"> di Bursa </w:t>
      </w:r>
      <w:r w:rsidRPr="00D731D3">
        <w:rPr>
          <w:rFonts w:ascii="Times New Roman" w:hAnsi="Times New Roman" w:cs="Times New Roman"/>
          <w:sz w:val="24"/>
          <w:szCs w:val="24"/>
        </w:rPr>
        <w:t>Efek</w:t>
      </w:r>
      <w:r w:rsidRPr="00D731D3">
        <w:rPr>
          <w:rFonts w:ascii="Times New Roman" w:hAnsi="Times New Roman" w:cs="Times New Roman"/>
          <w:sz w:val="24"/>
          <w:szCs w:val="24"/>
        </w:rPr>
        <w:t xml:space="preserve"> Surabaya. Dan pada 2005, bank </w:t>
      </w:r>
      <w:r w:rsidRPr="00D731D3">
        <w:rPr>
          <w:rFonts w:ascii="Times New Roman" w:hAnsi="Times New Roman" w:cs="Times New Roman"/>
          <w:sz w:val="24"/>
          <w:szCs w:val="24"/>
        </w:rPr>
        <w:t>ini</w:t>
      </w:r>
      <w:r w:rsidRPr="00D731D3">
        <w:rPr>
          <w:rFonts w:ascii="Times New Roman" w:hAnsi="Times New Roman" w:cs="Times New Roman"/>
          <w:sz w:val="24"/>
          <w:szCs w:val="24"/>
        </w:rPr>
        <w:t xml:space="preserve"> merger </w:t>
      </w:r>
      <w:r w:rsidRPr="00D731D3">
        <w:rPr>
          <w:rFonts w:ascii="Times New Roman" w:hAnsi="Times New Roman" w:cs="Times New Roman"/>
          <w:sz w:val="24"/>
          <w:szCs w:val="24"/>
        </w:rPr>
        <w:t>bersama</w:t>
      </w:r>
      <w:r w:rsidRPr="00D731D3">
        <w:rPr>
          <w:rFonts w:ascii="Times New Roman" w:hAnsi="Times New Roman" w:cs="Times New Roman"/>
          <w:sz w:val="24"/>
          <w:szCs w:val="24"/>
        </w:rPr>
        <w:t xml:space="preserve"> Bank Artha </w:t>
      </w:r>
      <w:r w:rsidRPr="00D731D3">
        <w:rPr>
          <w:rFonts w:ascii="Times New Roman" w:hAnsi="Times New Roman" w:cs="Times New Roman"/>
          <w:sz w:val="24"/>
          <w:szCs w:val="24"/>
        </w:rPr>
        <w:t>Graha</w:t>
      </w:r>
      <w:r w:rsidRPr="00D731D3">
        <w:rPr>
          <w:rFonts w:ascii="Times New Roman" w:hAnsi="Times New Roman" w:cs="Times New Roman"/>
          <w:sz w:val="24"/>
          <w:szCs w:val="24"/>
        </w:rPr>
        <w:t>.</w:t>
      </w:r>
    </w:p>
    <w:p w:rsidR="00FF6A7C" w:rsidP="00D62471" w14:paraId="54A1A833" w14:textId="50519353">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 xml:space="preserve">Bank </w:t>
      </w:r>
      <w:r w:rsidRPr="00FF6A7C">
        <w:rPr>
          <w:rFonts w:ascii="Times New Roman" w:hAnsi="Times New Roman" w:cs="Times New Roman"/>
          <w:b/>
          <w:bCs/>
          <w:sz w:val="24"/>
          <w:szCs w:val="24"/>
        </w:rPr>
        <w:t>Mayapada</w:t>
      </w:r>
      <w:r w:rsidRPr="00FF6A7C">
        <w:rPr>
          <w:rFonts w:ascii="Times New Roman" w:hAnsi="Times New Roman" w:cs="Times New Roman"/>
          <w:b/>
          <w:bCs/>
          <w:sz w:val="24"/>
          <w:szCs w:val="24"/>
        </w:rPr>
        <w:t xml:space="preserve"> </w:t>
      </w:r>
      <w:r w:rsidRPr="00FF6A7C">
        <w:rPr>
          <w:rFonts w:ascii="Times New Roman" w:hAnsi="Times New Roman" w:cs="Times New Roman"/>
          <w:b/>
          <w:bCs/>
          <w:sz w:val="24"/>
          <w:szCs w:val="24"/>
        </w:rPr>
        <w:t>Internasional</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D977B4" w:rsidRPr="004361B6" w:rsidP="00D977B4" w14:paraId="554CA69A" w14:textId="3D891533">
      <w:pPr>
        <w:pStyle w:val="ListParagraph"/>
        <w:spacing w:after="0" w:line="480" w:lineRule="auto"/>
        <w:ind w:left="1146"/>
        <w:jc w:val="both"/>
        <w:rPr>
          <w:rFonts w:ascii="Times New Roman" w:hAnsi="Times New Roman" w:cs="Times New Roman"/>
          <w:sz w:val="24"/>
          <w:szCs w:val="24"/>
        </w:rPr>
      </w:pPr>
      <w:r w:rsidRPr="004361B6">
        <w:rPr>
          <w:rFonts w:ascii="Times New Roman" w:hAnsi="Times New Roman" w:cs="Times New Roman"/>
          <w:sz w:val="24"/>
          <w:szCs w:val="24"/>
        </w:rPr>
        <w:t xml:space="preserve">PT. Bank </w:t>
      </w:r>
      <w:r w:rsidRPr="004361B6">
        <w:rPr>
          <w:rFonts w:ascii="Times New Roman" w:hAnsi="Times New Roman" w:cs="Times New Roman"/>
          <w:sz w:val="24"/>
          <w:szCs w:val="24"/>
        </w:rPr>
        <w:t>Mayapada</w:t>
      </w:r>
      <w:r w:rsidRPr="004361B6">
        <w:rPr>
          <w:rFonts w:ascii="Times New Roman" w:hAnsi="Times New Roman" w:cs="Times New Roman"/>
          <w:sz w:val="24"/>
          <w:szCs w:val="24"/>
        </w:rPr>
        <w:t xml:space="preserve"> International, </w:t>
      </w:r>
      <w:r w:rsidRPr="004361B6">
        <w:rPr>
          <w:rFonts w:ascii="Times New Roman" w:hAnsi="Times New Roman" w:cs="Times New Roman"/>
          <w:sz w:val="24"/>
          <w:szCs w:val="24"/>
        </w:rPr>
        <w:t>Tbk</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dibentuk</w:t>
      </w:r>
      <w:r w:rsidRPr="004361B6">
        <w:rPr>
          <w:rFonts w:ascii="Times New Roman" w:hAnsi="Times New Roman" w:cs="Times New Roman"/>
          <w:sz w:val="24"/>
          <w:szCs w:val="24"/>
        </w:rPr>
        <w:t xml:space="preserve"> pada 7 September 1989 di Jakarta, </w:t>
      </w:r>
      <w:r w:rsidRPr="004361B6">
        <w:rPr>
          <w:rFonts w:ascii="Times New Roman" w:hAnsi="Times New Roman" w:cs="Times New Roman"/>
          <w:sz w:val="24"/>
          <w:szCs w:val="24"/>
        </w:rPr>
        <w:t>disahkan</w:t>
      </w:r>
      <w:r w:rsidRPr="004361B6">
        <w:rPr>
          <w:rFonts w:ascii="Times New Roman" w:hAnsi="Times New Roman" w:cs="Times New Roman"/>
          <w:sz w:val="24"/>
          <w:szCs w:val="24"/>
        </w:rPr>
        <w:t xml:space="preserve"> oleh Menteri </w:t>
      </w:r>
      <w:r w:rsidRPr="004361B6">
        <w:rPr>
          <w:rFonts w:ascii="Times New Roman" w:hAnsi="Times New Roman" w:cs="Times New Roman"/>
          <w:sz w:val="24"/>
          <w:szCs w:val="24"/>
        </w:rPr>
        <w:t>Kehakiman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Republik</w:t>
      </w:r>
      <w:r w:rsidRPr="004361B6">
        <w:rPr>
          <w:rFonts w:ascii="Times New Roman" w:hAnsi="Times New Roman" w:cs="Times New Roman"/>
          <w:sz w:val="24"/>
          <w:szCs w:val="24"/>
        </w:rPr>
        <w:t xml:space="preserve"> Indonesia pada 10 Januari 1990, </w:t>
      </w:r>
      <w:r w:rsidRPr="004361B6">
        <w:rPr>
          <w:rFonts w:ascii="Times New Roman" w:hAnsi="Times New Roman" w:cs="Times New Roman"/>
          <w:sz w:val="24"/>
          <w:szCs w:val="24"/>
        </w:rPr>
        <w:t>kemudian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mulai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beroperasi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secara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komersial</w:t>
      </w:r>
      <w:r w:rsidRPr="004361B6">
        <w:rPr>
          <w:rFonts w:ascii="Times New Roman" w:hAnsi="Times New Roman" w:cs="Times New Roman"/>
          <w:sz w:val="24"/>
          <w:szCs w:val="24"/>
        </w:rPr>
        <w:t xml:space="preserve"> pada </w:t>
      </w:r>
      <w:r w:rsidRPr="004361B6">
        <w:rPr>
          <w:rFonts w:ascii="Times New Roman" w:hAnsi="Times New Roman" w:cs="Times New Roman"/>
          <w:sz w:val="24"/>
          <w:szCs w:val="24"/>
        </w:rPr>
        <w:t>tanggal</w:t>
      </w:r>
      <w:r w:rsidRPr="004361B6">
        <w:rPr>
          <w:rFonts w:ascii="Times New Roman" w:hAnsi="Times New Roman" w:cs="Times New Roman"/>
          <w:sz w:val="24"/>
          <w:szCs w:val="24"/>
        </w:rPr>
        <w:t xml:space="preserve"> 16 Maret 1990. </w:t>
      </w:r>
      <w:r w:rsidRPr="004361B6">
        <w:rPr>
          <w:rFonts w:ascii="Times New Roman" w:hAnsi="Times New Roman" w:cs="Times New Roman"/>
          <w:sz w:val="24"/>
          <w:szCs w:val="24"/>
        </w:rPr>
        <w:t>Sejak</w:t>
      </w:r>
      <w:r w:rsidRPr="004361B6">
        <w:rPr>
          <w:rFonts w:ascii="Times New Roman" w:hAnsi="Times New Roman" w:cs="Times New Roman"/>
          <w:sz w:val="24"/>
          <w:szCs w:val="24"/>
        </w:rPr>
        <w:t xml:space="preserve"> 23 Maret 1990 Perusahaan </w:t>
      </w:r>
      <w:r w:rsidRPr="004361B6">
        <w:rPr>
          <w:rFonts w:ascii="Times New Roman" w:hAnsi="Times New Roman" w:cs="Times New Roman"/>
          <w:sz w:val="24"/>
          <w:szCs w:val="24"/>
        </w:rPr>
        <w:t>resmi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menjadi</w:t>
      </w:r>
      <w:r w:rsidRPr="004361B6">
        <w:rPr>
          <w:rFonts w:ascii="Times New Roman" w:hAnsi="Times New Roman" w:cs="Times New Roman"/>
          <w:sz w:val="24"/>
          <w:szCs w:val="24"/>
        </w:rPr>
        <w:t xml:space="preserve"> bank </w:t>
      </w:r>
      <w:r w:rsidRPr="004361B6">
        <w:rPr>
          <w:rFonts w:ascii="Times New Roman" w:hAnsi="Times New Roman" w:cs="Times New Roman"/>
          <w:sz w:val="24"/>
          <w:szCs w:val="24"/>
        </w:rPr>
        <w:t>umum</w:t>
      </w:r>
      <w:r w:rsidRPr="004361B6">
        <w:rPr>
          <w:rFonts w:ascii="Times New Roman" w:hAnsi="Times New Roman" w:cs="Times New Roman"/>
          <w:sz w:val="24"/>
          <w:szCs w:val="24"/>
        </w:rPr>
        <w:t xml:space="preserve">, yang </w:t>
      </w:r>
      <w:r w:rsidRPr="004361B6">
        <w:rPr>
          <w:rFonts w:ascii="Times New Roman" w:hAnsi="Times New Roman" w:cs="Times New Roman"/>
          <w:sz w:val="24"/>
          <w:szCs w:val="24"/>
        </w:rPr>
        <w:t>diikuti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perolehan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ijin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dari</w:t>
      </w:r>
      <w:r w:rsidRPr="004361B6">
        <w:rPr>
          <w:rFonts w:ascii="Times New Roman" w:hAnsi="Times New Roman" w:cs="Times New Roman"/>
          <w:sz w:val="24"/>
          <w:szCs w:val="24"/>
        </w:rPr>
        <w:t xml:space="preserve"> Bank Indonesia </w:t>
      </w:r>
      <w:r w:rsidRPr="004361B6">
        <w:rPr>
          <w:rFonts w:ascii="Times New Roman" w:hAnsi="Times New Roman" w:cs="Times New Roman"/>
          <w:sz w:val="24"/>
          <w:szCs w:val="24"/>
        </w:rPr>
        <w:t>sebagai</w:t>
      </w:r>
      <w:r w:rsidRPr="004361B6">
        <w:rPr>
          <w:rFonts w:ascii="Times New Roman" w:hAnsi="Times New Roman" w:cs="Times New Roman"/>
          <w:sz w:val="24"/>
          <w:szCs w:val="24"/>
        </w:rPr>
        <w:t xml:space="preserve"> bank </w:t>
      </w:r>
      <w:r w:rsidRPr="004361B6">
        <w:rPr>
          <w:rFonts w:ascii="Times New Roman" w:hAnsi="Times New Roman" w:cs="Times New Roman"/>
          <w:sz w:val="24"/>
          <w:szCs w:val="24"/>
        </w:rPr>
        <w:t>devisa</w:t>
      </w:r>
      <w:r w:rsidRPr="004361B6">
        <w:rPr>
          <w:rFonts w:ascii="Times New Roman" w:hAnsi="Times New Roman" w:cs="Times New Roman"/>
          <w:sz w:val="24"/>
          <w:szCs w:val="24"/>
        </w:rPr>
        <w:t xml:space="preserve"> pada </w:t>
      </w:r>
      <w:r w:rsidRPr="004361B6">
        <w:rPr>
          <w:rFonts w:ascii="Times New Roman" w:hAnsi="Times New Roman" w:cs="Times New Roman"/>
          <w:sz w:val="24"/>
          <w:szCs w:val="24"/>
        </w:rPr>
        <w:t>tahun</w:t>
      </w:r>
      <w:r w:rsidRPr="004361B6">
        <w:rPr>
          <w:rFonts w:ascii="Times New Roman" w:hAnsi="Times New Roman" w:cs="Times New Roman"/>
          <w:sz w:val="24"/>
          <w:szCs w:val="24"/>
        </w:rPr>
        <w:t xml:space="preserve"> 1993. Pada </w:t>
      </w:r>
      <w:r w:rsidRPr="004361B6">
        <w:rPr>
          <w:rFonts w:ascii="Times New Roman" w:hAnsi="Times New Roman" w:cs="Times New Roman"/>
          <w:sz w:val="24"/>
          <w:szCs w:val="24"/>
        </w:rPr>
        <w:t>tahun</w:t>
      </w:r>
      <w:r w:rsidRPr="004361B6">
        <w:rPr>
          <w:rFonts w:ascii="Times New Roman" w:hAnsi="Times New Roman" w:cs="Times New Roman"/>
          <w:sz w:val="24"/>
          <w:szCs w:val="24"/>
        </w:rPr>
        <w:t xml:space="preserve"> 1995 Bank </w:t>
      </w:r>
      <w:r w:rsidRPr="004361B6">
        <w:rPr>
          <w:rFonts w:ascii="Times New Roman" w:hAnsi="Times New Roman" w:cs="Times New Roman"/>
          <w:sz w:val="24"/>
          <w:szCs w:val="24"/>
        </w:rPr>
        <w:t>berubah</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nama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menjadi</w:t>
      </w:r>
      <w:r w:rsidRPr="004361B6">
        <w:rPr>
          <w:rFonts w:ascii="Times New Roman" w:hAnsi="Times New Roman" w:cs="Times New Roman"/>
          <w:sz w:val="24"/>
          <w:szCs w:val="24"/>
        </w:rPr>
        <w:t xml:space="preserve"> PT. Bank </w:t>
      </w:r>
      <w:r w:rsidRPr="004361B6">
        <w:rPr>
          <w:rFonts w:ascii="Times New Roman" w:hAnsi="Times New Roman" w:cs="Times New Roman"/>
          <w:sz w:val="24"/>
          <w:szCs w:val="24"/>
        </w:rPr>
        <w:t>Mayapada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Internasional</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Tbk</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setelah</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itu</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tahun</w:t>
      </w:r>
      <w:r w:rsidRPr="004361B6">
        <w:rPr>
          <w:rFonts w:ascii="Times New Roman" w:hAnsi="Times New Roman" w:cs="Times New Roman"/>
          <w:sz w:val="24"/>
          <w:szCs w:val="24"/>
        </w:rPr>
        <w:t xml:space="preserve"> 1997 </w:t>
      </w:r>
      <w:r w:rsidRPr="004361B6">
        <w:rPr>
          <w:rFonts w:ascii="Times New Roman" w:hAnsi="Times New Roman" w:cs="Times New Roman"/>
          <w:sz w:val="24"/>
          <w:szCs w:val="24"/>
        </w:rPr>
        <w:t>mengambil</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inisiatif</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untuk</w:t>
      </w:r>
      <w:r w:rsidRPr="004361B6">
        <w:rPr>
          <w:rFonts w:ascii="Times New Roman" w:hAnsi="Times New Roman" w:cs="Times New Roman"/>
          <w:sz w:val="24"/>
          <w:szCs w:val="24"/>
        </w:rPr>
        <w:t xml:space="preserve"> go public dan </w:t>
      </w:r>
      <w:r w:rsidRPr="004361B6">
        <w:rPr>
          <w:rFonts w:ascii="Times New Roman" w:hAnsi="Times New Roman" w:cs="Times New Roman"/>
          <w:sz w:val="24"/>
          <w:szCs w:val="24"/>
        </w:rPr>
        <w:t>hingga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sekarang</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dikenal</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dengan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nama</w:t>
      </w:r>
      <w:r w:rsidRPr="004361B6">
        <w:rPr>
          <w:rFonts w:ascii="Times New Roman" w:hAnsi="Times New Roman" w:cs="Times New Roman"/>
          <w:sz w:val="24"/>
          <w:szCs w:val="24"/>
        </w:rPr>
        <w:t xml:space="preserve"> PT. Bank </w:t>
      </w:r>
      <w:r w:rsidRPr="004361B6">
        <w:rPr>
          <w:rFonts w:ascii="Times New Roman" w:hAnsi="Times New Roman" w:cs="Times New Roman"/>
          <w:sz w:val="24"/>
          <w:szCs w:val="24"/>
        </w:rPr>
        <w:t>Mayapada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Internasional</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Tbk</w:t>
      </w:r>
      <w:r w:rsidRPr="004361B6">
        <w:rPr>
          <w:rFonts w:ascii="Times New Roman" w:hAnsi="Times New Roman" w:cs="Times New Roman"/>
          <w:sz w:val="24"/>
          <w:szCs w:val="24"/>
        </w:rPr>
        <w:t>.</w:t>
      </w:r>
    </w:p>
    <w:p w:rsidR="00FF6A7C" w:rsidP="00D62471" w14:paraId="6F039A4A" w14:textId="5B081BC2">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China Construction Bank Indonesia</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4361B6" w:rsidRPr="004361B6" w:rsidP="004361B6" w14:paraId="2E8C6E13" w14:textId="3E5F1D05">
      <w:pPr>
        <w:pStyle w:val="ListParagraph"/>
        <w:spacing w:after="0" w:line="480" w:lineRule="auto"/>
        <w:ind w:left="1146" w:firstLine="294"/>
        <w:jc w:val="both"/>
        <w:rPr>
          <w:rFonts w:ascii="Times New Roman" w:hAnsi="Times New Roman" w:cs="Times New Roman"/>
          <w:sz w:val="24"/>
          <w:szCs w:val="24"/>
        </w:rPr>
      </w:pPr>
      <w:r w:rsidRPr="004361B6">
        <w:rPr>
          <w:rFonts w:ascii="Times New Roman" w:hAnsi="Times New Roman" w:cs="Times New Roman"/>
          <w:sz w:val="24"/>
          <w:szCs w:val="24"/>
        </w:rPr>
        <w:t xml:space="preserve">PT Bank China Construction Bank Indonesia </w:t>
      </w:r>
      <w:r w:rsidRPr="004361B6">
        <w:rPr>
          <w:rFonts w:ascii="Times New Roman" w:hAnsi="Times New Roman" w:cs="Times New Roman"/>
          <w:sz w:val="24"/>
          <w:szCs w:val="24"/>
        </w:rPr>
        <w:t>Tbk</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atau</w:t>
      </w:r>
      <w:r w:rsidRPr="004361B6">
        <w:rPr>
          <w:rFonts w:ascii="Times New Roman" w:hAnsi="Times New Roman" w:cs="Times New Roman"/>
          <w:sz w:val="24"/>
          <w:szCs w:val="24"/>
        </w:rPr>
        <w:t xml:space="preserve"> Bank CCB Indonesia </w:t>
      </w:r>
      <w:r w:rsidRPr="004361B6">
        <w:rPr>
          <w:rFonts w:ascii="Times New Roman" w:hAnsi="Times New Roman" w:cs="Times New Roman"/>
          <w:sz w:val="24"/>
          <w:szCs w:val="24"/>
        </w:rPr>
        <w:t>awalnya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didirikan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dengan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nama</w:t>
      </w:r>
      <w:r w:rsidRPr="004361B6">
        <w:rPr>
          <w:rFonts w:ascii="Times New Roman" w:hAnsi="Times New Roman" w:cs="Times New Roman"/>
          <w:sz w:val="24"/>
          <w:szCs w:val="24"/>
        </w:rPr>
        <w:t xml:space="preserve"> Bank </w:t>
      </w:r>
      <w:r w:rsidRPr="004361B6">
        <w:rPr>
          <w:rFonts w:ascii="Times New Roman" w:hAnsi="Times New Roman" w:cs="Times New Roman"/>
          <w:sz w:val="24"/>
          <w:szCs w:val="24"/>
        </w:rPr>
        <w:t>Multicor</w:t>
      </w:r>
      <w:r w:rsidRPr="004361B6">
        <w:rPr>
          <w:rFonts w:ascii="Times New Roman" w:hAnsi="Times New Roman" w:cs="Times New Roman"/>
          <w:sz w:val="24"/>
          <w:szCs w:val="24"/>
        </w:rPr>
        <w:t xml:space="preserve"> pada 2 April 1974. Bank </w:t>
      </w:r>
      <w:r w:rsidRPr="004361B6">
        <w:rPr>
          <w:rFonts w:ascii="Times New Roman" w:hAnsi="Times New Roman" w:cs="Times New Roman"/>
          <w:sz w:val="24"/>
          <w:szCs w:val="24"/>
        </w:rPr>
        <w:t>Multicor</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kemudian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melakukan</w:t>
      </w:r>
      <w:r w:rsidRPr="004361B6">
        <w:rPr>
          <w:rFonts w:ascii="Times New Roman" w:hAnsi="Times New Roman" w:cs="Times New Roman"/>
          <w:sz w:val="24"/>
          <w:szCs w:val="24"/>
        </w:rPr>
        <w:t xml:space="preserve"> merger </w:t>
      </w:r>
      <w:r w:rsidRPr="004361B6">
        <w:rPr>
          <w:rFonts w:ascii="Times New Roman" w:hAnsi="Times New Roman" w:cs="Times New Roman"/>
          <w:sz w:val="24"/>
          <w:szCs w:val="24"/>
        </w:rPr>
        <w:t>dengan</w:t>
      </w:r>
      <w:r w:rsidRPr="004361B6">
        <w:rPr>
          <w:rFonts w:ascii="Times New Roman" w:hAnsi="Times New Roman" w:cs="Times New Roman"/>
          <w:sz w:val="24"/>
          <w:szCs w:val="24"/>
        </w:rPr>
        <w:t xml:space="preserve"> Bank Windu </w:t>
      </w:r>
      <w:r w:rsidRPr="004361B6">
        <w:rPr>
          <w:rFonts w:ascii="Times New Roman" w:hAnsi="Times New Roman" w:cs="Times New Roman"/>
          <w:sz w:val="24"/>
          <w:szCs w:val="24"/>
        </w:rPr>
        <w:t>Kencana</w:t>
      </w:r>
      <w:r w:rsidRPr="004361B6">
        <w:rPr>
          <w:rFonts w:ascii="Times New Roman" w:hAnsi="Times New Roman" w:cs="Times New Roman"/>
          <w:sz w:val="24"/>
          <w:szCs w:val="24"/>
        </w:rPr>
        <w:t xml:space="preserve"> dan </w:t>
      </w:r>
      <w:r w:rsidRPr="004361B6">
        <w:rPr>
          <w:rFonts w:ascii="Times New Roman" w:hAnsi="Times New Roman" w:cs="Times New Roman"/>
          <w:sz w:val="24"/>
          <w:szCs w:val="24"/>
        </w:rPr>
        <w:t>berganti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nama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menjadi</w:t>
      </w:r>
      <w:r w:rsidRPr="004361B6">
        <w:rPr>
          <w:rFonts w:ascii="Times New Roman" w:hAnsi="Times New Roman" w:cs="Times New Roman"/>
          <w:sz w:val="24"/>
          <w:szCs w:val="24"/>
        </w:rPr>
        <w:t xml:space="preserve"> Bank Windu </w:t>
      </w:r>
      <w:r w:rsidRPr="004361B6">
        <w:rPr>
          <w:rFonts w:ascii="Times New Roman" w:hAnsi="Times New Roman" w:cs="Times New Roman"/>
          <w:sz w:val="24"/>
          <w:szCs w:val="24"/>
        </w:rPr>
        <w:t>Kentjana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 xml:space="preserve">International pada 2008. Pada 30 November 2016, Bank Windu </w:t>
      </w:r>
      <w:r w:rsidRPr="004361B6">
        <w:rPr>
          <w:rFonts w:ascii="Times New Roman" w:hAnsi="Times New Roman" w:cs="Times New Roman"/>
          <w:sz w:val="24"/>
          <w:szCs w:val="24"/>
        </w:rPr>
        <w:t>Kentjana</w:t>
      </w:r>
      <w:r w:rsidRPr="004361B6">
        <w:rPr>
          <w:rFonts w:ascii="Times New Roman" w:hAnsi="Times New Roman" w:cs="Times New Roman"/>
          <w:sz w:val="24"/>
          <w:szCs w:val="24"/>
        </w:rPr>
        <w:t xml:space="preserve"> International </w:t>
      </w:r>
      <w:r w:rsidRPr="004361B6">
        <w:rPr>
          <w:rFonts w:ascii="Times New Roman" w:hAnsi="Times New Roman" w:cs="Times New Roman"/>
          <w:sz w:val="24"/>
          <w:szCs w:val="24"/>
        </w:rPr>
        <w:t>melakukan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penggabungan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usaha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dengan</w:t>
      </w:r>
      <w:r w:rsidRPr="004361B6">
        <w:rPr>
          <w:rFonts w:ascii="Times New Roman" w:hAnsi="Times New Roman" w:cs="Times New Roman"/>
          <w:sz w:val="24"/>
          <w:szCs w:val="24"/>
        </w:rPr>
        <w:t xml:space="preserve"> Bank </w:t>
      </w:r>
      <w:r w:rsidRPr="004361B6">
        <w:rPr>
          <w:rFonts w:ascii="Times New Roman" w:hAnsi="Times New Roman" w:cs="Times New Roman"/>
          <w:sz w:val="24"/>
          <w:szCs w:val="24"/>
        </w:rPr>
        <w:t>Antardaerah</w:t>
      </w:r>
      <w:r w:rsidRPr="004361B6">
        <w:rPr>
          <w:rFonts w:ascii="Times New Roman" w:hAnsi="Times New Roman" w:cs="Times New Roman"/>
          <w:sz w:val="24"/>
          <w:szCs w:val="24"/>
        </w:rPr>
        <w:t xml:space="preserve"> (Bank Anda) dan </w:t>
      </w:r>
      <w:r w:rsidRPr="004361B6">
        <w:rPr>
          <w:rFonts w:ascii="Times New Roman" w:hAnsi="Times New Roman" w:cs="Times New Roman"/>
          <w:sz w:val="24"/>
          <w:szCs w:val="24"/>
        </w:rPr>
        <w:t>resmi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mengganti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namanya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menjadi</w:t>
      </w:r>
      <w:r w:rsidRPr="004361B6">
        <w:rPr>
          <w:rFonts w:ascii="Times New Roman" w:hAnsi="Times New Roman" w:cs="Times New Roman"/>
          <w:sz w:val="24"/>
          <w:szCs w:val="24"/>
        </w:rPr>
        <w:t xml:space="preserve"> PT Bank China Construction Bank Indonesia </w:t>
      </w:r>
      <w:r w:rsidRPr="004361B6">
        <w:rPr>
          <w:rFonts w:ascii="Times New Roman" w:hAnsi="Times New Roman" w:cs="Times New Roman"/>
          <w:sz w:val="24"/>
          <w:szCs w:val="24"/>
        </w:rPr>
        <w:t>Tbk</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Perubahan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nama</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disebabkan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masuknya</w:t>
      </w:r>
      <w:r w:rsidRPr="004361B6">
        <w:rPr>
          <w:rFonts w:ascii="Times New Roman" w:hAnsi="Times New Roman" w:cs="Times New Roman"/>
          <w:sz w:val="24"/>
          <w:szCs w:val="24"/>
        </w:rPr>
        <w:t xml:space="preserve"> China Construction Bank Corporation </w:t>
      </w:r>
      <w:r w:rsidRPr="004361B6">
        <w:rPr>
          <w:rFonts w:ascii="Times New Roman" w:hAnsi="Times New Roman" w:cs="Times New Roman"/>
          <w:sz w:val="24"/>
          <w:szCs w:val="24"/>
        </w:rPr>
        <w:t>sebagai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pemegang</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saham</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pengendali</w:t>
      </w:r>
      <w:r w:rsidRPr="004361B6">
        <w:rPr>
          <w:rFonts w:ascii="Times New Roman" w:hAnsi="Times New Roman" w:cs="Times New Roman"/>
          <w:sz w:val="24"/>
          <w:szCs w:val="24"/>
        </w:rPr>
        <w:t xml:space="preserve"> bank. Bank yang </w:t>
      </w:r>
      <w:r w:rsidRPr="004361B6">
        <w:rPr>
          <w:rFonts w:ascii="Times New Roman" w:hAnsi="Times New Roman" w:cs="Times New Roman"/>
          <w:sz w:val="24"/>
          <w:szCs w:val="24"/>
        </w:rPr>
        <w:t>terdaftar</w:t>
      </w:r>
      <w:r w:rsidRPr="004361B6">
        <w:rPr>
          <w:rFonts w:ascii="Times New Roman" w:hAnsi="Times New Roman" w:cs="Times New Roman"/>
          <w:sz w:val="24"/>
          <w:szCs w:val="24"/>
        </w:rPr>
        <w:t xml:space="preserve"> di Bursa </w:t>
      </w:r>
      <w:r w:rsidRPr="004361B6">
        <w:rPr>
          <w:rFonts w:ascii="Times New Roman" w:hAnsi="Times New Roman" w:cs="Times New Roman"/>
          <w:sz w:val="24"/>
          <w:szCs w:val="24"/>
        </w:rPr>
        <w:t>Efek</w:t>
      </w:r>
      <w:r w:rsidRPr="004361B6">
        <w:rPr>
          <w:rFonts w:ascii="Times New Roman" w:hAnsi="Times New Roman" w:cs="Times New Roman"/>
          <w:sz w:val="24"/>
          <w:szCs w:val="24"/>
        </w:rPr>
        <w:t xml:space="preserve"> Indonesia (BEI) </w:t>
      </w:r>
      <w:r w:rsidRPr="004361B6">
        <w:rPr>
          <w:rFonts w:ascii="Times New Roman" w:hAnsi="Times New Roman" w:cs="Times New Roman"/>
          <w:sz w:val="24"/>
          <w:szCs w:val="24"/>
        </w:rPr>
        <w:t>dengan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kode</w:t>
      </w:r>
      <w:r w:rsidRPr="004361B6">
        <w:rPr>
          <w:rFonts w:ascii="Times New Roman" w:hAnsi="Times New Roman" w:cs="Times New Roman"/>
          <w:sz w:val="24"/>
          <w:szCs w:val="24"/>
        </w:rPr>
        <w:t xml:space="preserve"> MCOR </w:t>
      </w:r>
      <w:r w:rsidRPr="004361B6">
        <w:rPr>
          <w:rFonts w:ascii="Times New Roman" w:hAnsi="Times New Roman" w:cs="Times New Roman"/>
          <w:sz w:val="24"/>
          <w:szCs w:val="24"/>
        </w:rPr>
        <w:t>ini</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melakukan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penawaran</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umum</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saham</w:t>
      </w:r>
      <w:r w:rsidRPr="004361B6">
        <w:rPr>
          <w:rFonts w:ascii="Times New Roman" w:hAnsi="Times New Roman" w:cs="Times New Roman"/>
          <w:sz w:val="24"/>
          <w:szCs w:val="24"/>
        </w:rPr>
        <w:t xml:space="preserve"> </w:t>
      </w:r>
      <w:r w:rsidRPr="004361B6">
        <w:rPr>
          <w:rFonts w:ascii="Times New Roman" w:hAnsi="Times New Roman" w:cs="Times New Roman"/>
          <w:sz w:val="24"/>
          <w:szCs w:val="24"/>
        </w:rPr>
        <w:t>perdananya</w:t>
      </w:r>
      <w:r w:rsidRPr="004361B6">
        <w:rPr>
          <w:rFonts w:ascii="Times New Roman" w:hAnsi="Times New Roman" w:cs="Times New Roman"/>
          <w:sz w:val="24"/>
          <w:szCs w:val="24"/>
        </w:rPr>
        <w:t xml:space="preserve"> pada 3 Juli 2007.</w:t>
      </w:r>
    </w:p>
    <w:p w:rsidR="00FF6A7C" w:rsidP="00D62471" w14:paraId="1FBA8B97" w14:textId="03F7EBE7">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Mega</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4361B6" w:rsidRPr="000874B2" w:rsidP="000874B2" w14:paraId="47C0DA41" w14:textId="07D8D386">
      <w:pPr>
        <w:pStyle w:val="ListParagraph"/>
        <w:spacing w:after="0" w:line="480" w:lineRule="auto"/>
        <w:ind w:left="1146" w:firstLine="294"/>
        <w:jc w:val="both"/>
        <w:rPr>
          <w:rFonts w:ascii="Times New Roman" w:hAnsi="Times New Roman" w:cs="Times New Roman"/>
          <w:sz w:val="24"/>
          <w:szCs w:val="24"/>
        </w:rPr>
      </w:pPr>
      <w:r w:rsidRPr="000874B2">
        <w:rPr>
          <w:rFonts w:ascii="Times New Roman" w:hAnsi="Times New Roman" w:cs="Times New Roman"/>
          <w:sz w:val="24"/>
          <w:szCs w:val="24"/>
        </w:rPr>
        <w:t xml:space="preserve">PT Bank Mega </w:t>
      </w:r>
      <w:r w:rsidRPr="000874B2">
        <w:rPr>
          <w:rFonts w:ascii="Times New Roman" w:hAnsi="Times New Roman" w:cs="Times New Roman"/>
          <w:sz w:val="24"/>
          <w:szCs w:val="24"/>
        </w:rPr>
        <w:t>Tbk</w:t>
      </w:r>
      <w:r w:rsidRPr="000874B2">
        <w:rPr>
          <w:rFonts w:ascii="Times New Roman" w:hAnsi="Times New Roman" w:cs="Times New Roman"/>
          <w:sz w:val="24"/>
          <w:szCs w:val="24"/>
        </w:rPr>
        <w:t xml:space="preserve">. (MEGA) </w:t>
      </w:r>
      <w:r w:rsidRPr="000874B2">
        <w:rPr>
          <w:rFonts w:ascii="Times New Roman" w:hAnsi="Times New Roman" w:cs="Times New Roman"/>
          <w:sz w:val="24"/>
          <w:szCs w:val="24"/>
        </w:rPr>
        <w:t>berdiri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berdasarkan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Akta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Pendirian</w:t>
      </w:r>
      <w:r w:rsidRPr="000874B2">
        <w:rPr>
          <w:rFonts w:ascii="Times New Roman" w:hAnsi="Times New Roman" w:cs="Times New Roman"/>
          <w:sz w:val="24"/>
          <w:szCs w:val="24"/>
        </w:rPr>
        <w:t xml:space="preserve"> PT Bank Karman No.32 </w:t>
      </w:r>
      <w:r w:rsidRPr="000874B2">
        <w:rPr>
          <w:rFonts w:ascii="Times New Roman" w:hAnsi="Times New Roman" w:cs="Times New Roman"/>
          <w:sz w:val="24"/>
          <w:szCs w:val="24"/>
        </w:rPr>
        <w:t>tanggal</w:t>
      </w:r>
      <w:r w:rsidRPr="000874B2">
        <w:rPr>
          <w:rFonts w:ascii="Times New Roman" w:hAnsi="Times New Roman" w:cs="Times New Roman"/>
          <w:sz w:val="24"/>
          <w:szCs w:val="24"/>
        </w:rPr>
        <w:t xml:space="preserve"> 15 April 1969 </w:t>
      </w:r>
      <w:r w:rsidRPr="000874B2">
        <w:rPr>
          <w:rFonts w:ascii="Times New Roman" w:hAnsi="Times New Roman" w:cs="Times New Roman"/>
          <w:sz w:val="24"/>
          <w:szCs w:val="24"/>
        </w:rPr>
        <w:t>juncto</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akta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perubahan</w:t>
      </w:r>
      <w:r w:rsidRPr="000874B2">
        <w:rPr>
          <w:rFonts w:ascii="Times New Roman" w:hAnsi="Times New Roman" w:cs="Times New Roman"/>
          <w:sz w:val="24"/>
          <w:szCs w:val="24"/>
        </w:rPr>
        <w:t xml:space="preserve"> No.47 </w:t>
      </w:r>
      <w:r w:rsidRPr="000874B2">
        <w:rPr>
          <w:rFonts w:ascii="Times New Roman" w:hAnsi="Times New Roman" w:cs="Times New Roman"/>
          <w:sz w:val="24"/>
          <w:szCs w:val="24"/>
        </w:rPr>
        <w:t>tanggal</w:t>
      </w:r>
      <w:r w:rsidRPr="000874B2">
        <w:rPr>
          <w:rFonts w:ascii="Times New Roman" w:hAnsi="Times New Roman" w:cs="Times New Roman"/>
          <w:sz w:val="24"/>
          <w:szCs w:val="24"/>
        </w:rPr>
        <w:t xml:space="preserve"> 26 November 1969 di Surabaya </w:t>
      </w:r>
      <w:r w:rsidRPr="000874B2">
        <w:rPr>
          <w:rFonts w:ascii="Times New Roman" w:hAnsi="Times New Roman" w:cs="Times New Roman"/>
          <w:sz w:val="24"/>
          <w:szCs w:val="24"/>
        </w:rPr>
        <w:t>dengan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nama</w:t>
      </w:r>
      <w:r w:rsidRPr="000874B2">
        <w:rPr>
          <w:rFonts w:ascii="Times New Roman" w:hAnsi="Times New Roman" w:cs="Times New Roman"/>
          <w:sz w:val="24"/>
          <w:szCs w:val="24"/>
        </w:rPr>
        <w:t xml:space="preserve"> PT Bank Karman. Pada 1992 Bank Karman </w:t>
      </w:r>
      <w:r w:rsidRPr="000874B2">
        <w:rPr>
          <w:rFonts w:ascii="Times New Roman" w:hAnsi="Times New Roman" w:cs="Times New Roman"/>
          <w:sz w:val="24"/>
          <w:szCs w:val="24"/>
        </w:rPr>
        <w:t>merelokasi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kantor</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pusatnya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ke</w:t>
      </w:r>
      <w:r w:rsidRPr="000874B2">
        <w:rPr>
          <w:rFonts w:ascii="Times New Roman" w:hAnsi="Times New Roman" w:cs="Times New Roman"/>
          <w:sz w:val="24"/>
          <w:szCs w:val="24"/>
        </w:rPr>
        <w:t xml:space="preserve"> Jakarta dan </w:t>
      </w:r>
      <w:r w:rsidRPr="000874B2">
        <w:rPr>
          <w:rFonts w:ascii="Times New Roman" w:hAnsi="Times New Roman" w:cs="Times New Roman"/>
          <w:sz w:val="24"/>
          <w:szCs w:val="24"/>
        </w:rPr>
        <w:t>mengubah</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nama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menjadi</w:t>
      </w:r>
      <w:r w:rsidRPr="000874B2">
        <w:rPr>
          <w:rFonts w:ascii="Times New Roman" w:hAnsi="Times New Roman" w:cs="Times New Roman"/>
          <w:sz w:val="24"/>
          <w:szCs w:val="24"/>
        </w:rPr>
        <w:t xml:space="preserve"> PT Mega Bank. Lalu pada 1996, PARA Group, yang </w:t>
      </w:r>
      <w:r w:rsidRPr="000874B2">
        <w:rPr>
          <w:rFonts w:ascii="Times New Roman" w:hAnsi="Times New Roman" w:cs="Times New Roman"/>
          <w:sz w:val="24"/>
          <w:szCs w:val="24"/>
        </w:rPr>
        <w:t>terdiri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dari</w:t>
      </w:r>
      <w:r w:rsidRPr="000874B2">
        <w:rPr>
          <w:rFonts w:ascii="Times New Roman" w:hAnsi="Times New Roman" w:cs="Times New Roman"/>
          <w:sz w:val="24"/>
          <w:szCs w:val="24"/>
        </w:rPr>
        <w:t xml:space="preserve"> PT Para Global </w:t>
      </w:r>
      <w:r w:rsidRPr="000874B2">
        <w:rPr>
          <w:rFonts w:ascii="Times New Roman" w:hAnsi="Times New Roman" w:cs="Times New Roman"/>
          <w:sz w:val="24"/>
          <w:szCs w:val="24"/>
        </w:rPr>
        <w:t>Investindo</w:t>
      </w:r>
      <w:r w:rsidRPr="000874B2">
        <w:rPr>
          <w:rFonts w:ascii="Times New Roman" w:hAnsi="Times New Roman" w:cs="Times New Roman"/>
          <w:sz w:val="24"/>
          <w:szCs w:val="24"/>
        </w:rPr>
        <w:t xml:space="preserve"> dan PT Para Rekan </w:t>
      </w:r>
      <w:r w:rsidRPr="000874B2">
        <w:rPr>
          <w:rFonts w:ascii="Times New Roman" w:hAnsi="Times New Roman" w:cs="Times New Roman"/>
          <w:sz w:val="24"/>
          <w:szCs w:val="24"/>
        </w:rPr>
        <w:t>Investama</w:t>
      </w:r>
      <w:r>
        <w:rPr>
          <w:rFonts w:ascii="Times New Roman" w:hAnsi="Times New Roman" w:cs="Times New Roman"/>
          <w:sz w:val="24"/>
          <w:szCs w:val="24"/>
        </w:rPr>
        <w:t xml:space="preserve"> </w:t>
      </w:r>
      <w:r w:rsidRPr="000874B2">
        <w:rPr>
          <w:rFonts w:ascii="Times New Roman" w:hAnsi="Times New Roman" w:cs="Times New Roman"/>
          <w:sz w:val="24"/>
          <w:szCs w:val="24"/>
        </w:rPr>
        <w:t>sebuah</w:t>
      </w:r>
      <w:r w:rsidRPr="000874B2">
        <w:rPr>
          <w:rFonts w:ascii="Times New Roman" w:hAnsi="Times New Roman" w:cs="Times New Roman"/>
          <w:sz w:val="24"/>
          <w:szCs w:val="24"/>
        </w:rPr>
        <w:t xml:space="preserve"> </w:t>
      </w:r>
      <w:r w:rsidRPr="000874B2">
        <w:rPr>
          <w:rFonts w:ascii="Times New Roman" w:hAnsi="Times New Roman" w:cs="Times New Roman"/>
          <w:i/>
          <w:iCs/>
          <w:sz w:val="24"/>
          <w:szCs w:val="24"/>
        </w:rPr>
        <w:t>holding company</w:t>
      </w:r>
      <w:r w:rsidRPr="000874B2">
        <w:rPr>
          <w:rFonts w:ascii="Times New Roman" w:hAnsi="Times New Roman" w:cs="Times New Roman"/>
          <w:sz w:val="24"/>
          <w:szCs w:val="24"/>
        </w:rPr>
        <w:t xml:space="preserve"> yang </w:t>
      </w:r>
      <w:r w:rsidRPr="000874B2">
        <w:rPr>
          <w:rFonts w:ascii="Times New Roman" w:hAnsi="Times New Roman" w:cs="Times New Roman"/>
          <w:sz w:val="24"/>
          <w:szCs w:val="24"/>
        </w:rPr>
        <w:t>kini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dimiliki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pengusaha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nasional</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Chairul</w:t>
      </w:r>
      <w:r w:rsidRPr="000874B2">
        <w:rPr>
          <w:rFonts w:ascii="Times New Roman" w:hAnsi="Times New Roman" w:cs="Times New Roman"/>
          <w:sz w:val="24"/>
          <w:szCs w:val="24"/>
        </w:rPr>
        <w:t xml:space="preserve"> Tanjung, </w:t>
      </w:r>
      <w:r w:rsidRPr="000874B2">
        <w:rPr>
          <w:rFonts w:ascii="Times New Roman" w:hAnsi="Times New Roman" w:cs="Times New Roman"/>
          <w:sz w:val="24"/>
          <w:szCs w:val="24"/>
        </w:rPr>
        <w:t>mengambil</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alih</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kepemilikan</w:t>
      </w:r>
      <w:r w:rsidRPr="000874B2">
        <w:rPr>
          <w:rFonts w:ascii="Times New Roman" w:hAnsi="Times New Roman" w:cs="Times New Roman"/>
          <w:sz w:val="24"/>
          <w:szCs w:val="24"/>
        </w:rPr>
        <w:t xml:space="preserve"> Bank Mega. Dalam </w:t>
      </w:r>
      <w:r w:rsidRPr="000874B2">
        <w:rPr>
          <w:rFonts w:ascii="Times New Roman" w:hAnsi="Times New Roman" w:cs="Times New Roman"/>
          <w:sz w:val="24"/>
          <w:szCs w:val="24"/>
        </w:rPr>
        <w:t>rangka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memperkuat</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struktur</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permodalan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maka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tahun</w:t>
      </w:r>
      <w:r w:rsidRPr="000874B2">
        <w:rPr>
          <w:rFonts w:ascii="Times New Roman" w:hAnsi="Times New Roman" w:cs="Times New Roman"/>
          <w:sz w:val="24"/>
          <w:szCs w:val="24"/>
        </w:rPr>
        <w:t xml:space="preserve"> 2000, Bank Mega </w:t>
      </w:r>
      <w:r w:rsidRPr="000874B2">
        <w:rPr>
          <w:rFonts w:ascii="Times New Roman" w:hAnsi="Times New Roman" w:cs="Times New Roman"/>
          <w:sz w:val="24"/>
          <w:szCs w:val="24"/>
        </w:rPr>
        <w:t>melaksanakan</w:t>
      </w:r>
      <w:r>
        <w:rPr>
          <w:rFonts w:ascii="Times New Roman" w:hAnsi="Times New Roman" w:cs="Times New Roman"/>
          <w:sz w:val="24"/>
          <w:szCs w:val="24"/>
        </w:rPr>
        <w:t xml:space="preserve"> IPO</w:t>
      </w:r>
      <w:r w:rsidRPr="000874B2">
        <w:rPr>
          <w:rFonts w:ascii="Times New Roman" w:hAnsi="Times New Roman" w:cs="Times New Roman"/>
          <w:sz w:val="24"/>
          <w:szCs w:val="24"/>
        </w:rPr>
        <w:t xml:space="preserve"> dan </w:t>
      </w:r>
      <w:r w:rsidRPr="000874B2">
        <w:rPr>
          <w:rFonts w:ascii="Times New Roman" w:hAnsi="Times New Roman" w:cs="Times New Roman"/>
          <w:sz w:val="24"/>
          <w:szCs w:val="24"/>
        </w:rPr>
        <w:t>mencatatkan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sahamnya</w:t>
      </w:r>
      <w:r w:rsidRPr="000874B2">
        <w:rPr>
          <w:rFonts w:ascii="Times New Roman" w:hAnsi="Times New Roman" w:cs="Times New Roman"/>
          <w:sz w:val="24"/>
          <w:szCs w:val="24"/>
        </w:rPr>
        <w:t xml:space="preserve"> di Bursa </w:t>
      </w:r>
      <w:r w:rsidRPr="000874B2">
        <w:rPr>
          <w:rFonts w:ascii="Times New Roman" w:hAnsi="Times New Roman" w:cs="Times New Roman"/>
          <w:sz w:val="24"/>
          <w:szCs w:val="24"/>
        </w:rPr>
        <w:t>Efek</w:t>
      </w:r>
      <w:r w:rsidRPr="000874B2">
        <w:rPr>
          <w:rFonts w:ascii="Times New Roman" w:hAnsi="Times New Roman" w:cs="Times New Roman"/>
          <w:sz w:val="24"/>
          <w:szCs w:val="24"/>
        </w:rPr>
        <w:t xml:space="preserve"> Indonesia </w:t>
      </w:r>
      <w:r w:rsidRPr="000874B2">
        <w:rPr>
          <w:rFonts w:ascii="Times New Roman" w:hAnsi="Times New Roman" w:cs="Times New Roman"/>
          <w:sz w:val="24"/>
          <w:szCs w:val="24"/>
        </w:rPr>
        <w:t>dengan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kode</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saham</w:t>
      </w:r>
      <w:r w:rsidRPr="000874B2">
        <w:rPr>
          <w:rFonts w:ascii="Times New Roman" w:hAnsi="Times New Roman" w:cs="Times New Roman"/>
          <w:sz w:val="24"/>
          <w:szCs w:val="24"/>
        </w:rPr>
        <w:t xml:space="preserve"> MEGA.</w:t>
      </w:r>
    </w:p>
    <w:p w:rsidR="00FF6A7C" w:rsidP="00D62471" w14:paraId="271ACB15" w14:textId="0D5F3778">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OCBC NISP</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0874B2" w:rsidRPr="000874B2" w:rsidP="000874B2" w14:paraId="7BF2973F" w14:textId="048D9F59">
      <w:pPr>
        <w:pStyle w:val="ListParagraph"/>
        <w:spacing w:after="0" w:line="480" w:lineRule="auto"/>
        <w:ind w:left="1146" w:firstLine="294"/>
        <w:jc w:val="both"/>
        <w:rPr>
          <w:rFonts w:ascii="Times New Roman" w:hAnsi="Times New Roman" w:cs="Times New Roman"/>
          <w:sz w:val="24"/>
          <w:szCs w:val="24"/>
        </w:rPr>
      </w:pPr>
      <w:r w:rsidRPr="000874B2">
        <w:rPr>
          <w:rFonts w:ascii="Times New Roman" w:hAnsi="Times New Roman" w:cs="Times New Roman"/>
          <w:sz w:val="24"/>
          <w:szCs w:val="24"/>
        </w:rPr>
        <w:t xml:space="preserve">PT Bank OCBC NISP </w:t>
      </w:r>
      <w:r w:rsidRPr="000874B2">
        <w:rPr>
          <w:rFonts w:ascii="Times New Roman" w:hAnsi="Times New Roman" w:cs="Times New Roman"/>
          <w:sz w:val="24"/>
          <w:szCs w:val="24"/>
        </w:rPr>
        <w:t>Tbk</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didirikan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dengan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nama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awal</w:t>
      </w:r>
      <w:r w:rsidRPr="000874B2">
        <w:rPr>
          <w:rFonts w:ascii="Times New Roman" w:hAnsi="Times New Roman" w:cs="Times New Roman"/>
          <w:sz w:val="24"/>
          <w:szCs w:val="24"/>
        </w:rPr>
        <w:t xml:space="preserve"> </w:t>
      </w:r>
      <w:r w:rsidRPr="000874B2">
        <w:rPr>
          <w:rFonts w:ascii="Times New Roman" w:hAnsi="Times New Roman" w:cs="Times New Roman"/>
          <w:i/>
          <w:iCs/>
          <w:sz w:val="24"/>
          <w:szCs w:val="24"/>
        </w:rPr>
        <w:t xml:space="preserve">NV. </w:t>
      </w:r>
      <w:r w:rsidRPr="000874B2">
        <w:rPr>
          <w:rFonts w:ascii="Times New Roman" w:hAnsi="Times New Roman" w:cs="Times New Roman"/>
          <w:i/>
          <w:iCs/>
          <w:sz w:val="24"/>
          <w:szCs w:val="24"/>
        </w:rPr>
        <w:t>Nederlandsch</w:t>
      </w:r>
      <w:r w:rsidRPr="000874B2">
        <w:rPr>
          <w:rFonts w:ascii="Times New Roman" w:hAnsi="Times New Roman" w:cs="Times New Roman"/>
          <w:i/>
          <w:iCs/>
          <w:sz w:val="24"/>
          <w:szCs w:val="24"/>
        </w:rPr>
        <w:t xml:space="preserve"> </w:t>
      </w:r>
      <w:r w:rsidRPr="000874B2">
        <w:rPr>
          <w:rFonts w:ascii="Times New Roman" w:hAnsi="Times New Roman" w:cs="Times New Roman"/>
          <w:i/>
          <w:iCs/>
          <w:sz w:val="24"/>
          <w:szCs w:val="24"/>
        </w:rPr>
        <w:t>Indische</w:t>
      </w:r>
      <w:r w:rsidRPr="000874B2">
        <w:rPr>
          <w:rFonts w:ascii="Times New Roman" w:hAnsi="Times New Roman" w:cs="Times New Roman"/>
          <w:i/>
          <w:iCs/>
          <w:sz w:val="24"/>
          <w:szCs w:val="24"/>
        </w:rPr>
        <w:t xml:space="preserve"> Spaar En Deposito Bank </w:t>
      </w:r>
      <w:r w:rsidRPr="000874B2">
        <w:rPr>
          <w:rFonts w:ascii="Times New Roman" w:hAnsi="Times New Roman" w:cs="Times New Roman"/>
          <w:sz w:val="24"/>
          <w:szCs w:val="24"/>
        </w:rPr>
        <w:t xml:space="preserve">(NISP) pada 4 April </w:t>
      </w:r>
      <w:r w:rsidRPr="000874B2">
        <w:rPr>
          <w:rFonts w:ascii="Times New Roman" w:hAnsi="Times New Roman" w:cs="Times New Roman"/>
          <w:sz w:val="24"/>
          <w:szCs w:val="24"/>
        </w:rPr>
        <w:t xml:space="preserve">1941. Bank </w:t>
      </w:r>
      <w:r w:rsidRPr="000874B2">
        <w:rPr>
          <w:rFonts w:ascii="Times New Roman" w:hAnsi="Times New Roman" w:cs="Times New Roman"/>
          <w:sz w:val="24"/>
          <w:szCs w:val="24"/>
        </w:rPr>
        <w:t>ini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mulanya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beroperasi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sebagai</w:t>
      </w:r>
      <w:r w:rsidRPr="000874B2">
        <w:rPr>
          <w:rFonts w:ascii="Times New Roman" w:hAnsi="Times New Roman" w:cs="Times New Roman"/>
          <w:sz w:val="24"/>
          <w:szCs w:val="24"/>
        </w:rPr>
        <w:t xml:space="preserve"> bank </w:t>
      </w:r>
      <w:r w:rsidRPr="000874B2">
        <w:rPr>
          <w:rFonts w:ascii="Times New Roman" w:hAnsi="Times New Roman" w:cs="Times New Roman"/>
          <w:sz w:val="24"/>
          <w:szCs w:val="24"/>
        </w:rPr>
        <w:t>tabungan</w:t>
      </w:r>
      <w:r w:rsidRPr="000874B2">
        <w:rPr>
          <w:rFonts w:ascii="Times New Roman" w:hAnsi="Times New Roman" w:cs="Times New Roman"/>
          <w:sz w:val="24"/>
          <w:szCs w:val="24"/>
        </w:rPr>
        <w:t xml:space="preserve"> dan </w:t>
      </w:r>
      <w:r w:rsidRPr="000874B2">
        <w:rPr>
          <w:rFonts w:ascii="Times New Roman" w:hAnsi="Times New Roman" w:cs="Times New Roman"/>
          <w:sz w:val="24"/>
          <w:szCs w:val="24"/>
        </w:rPr>
        <w:t>menjadi</w:t>
      </w:r>
      <w:r w:rsidRPr="000874B2">
        <w:rPr>
          <w:rFonts w:ascii="Times New Roman" w:hAnsi="Times New Roman" w:cs="Times New Roman"/>
          <w:sz w:val="24"/>
          <w:szCs w:val="24"/>
        </w:rPr>
        <w:t xml:space="preserve"> bank </w:t>
      </w:r>
      <w:r w:rsidRPr="000874B2">
        <w:rPr>
          <w:rFonts w:ascii="Times New Roman" w:hAnsi="Times New Roman" w:cs="Times New Roman"/>
          <w:sz w:val="24"/>
          <w:szCs w:val="24"/>
        </w:rPr>
        <w:t>umum</w:t>
      </w:r>
      <w:r w:rsidRPr="000874B2">
        <w:rPr>
          <w:rFonts w:ascii="Times New Roman" w:hAnsi="Times New Roman" w:cs="Times New Roman"/>
          <w:sz w:val="24"/>
          <w:szCs w:val="24"/>
        </w:rPr>
        <w:t xml:space="preserve"> pada 1967. Bank NISP </w:t>
      </w:r>
      <w:r w:rsidRPr="000874B2">
        <w:rPr>
          <w:rFonts w:ascii="Times New Roman" w:hAnsi="Times New Roman" w:cs="Times New Roman"/>
          <w:sz w:val="24"/>
          <w:szCs w:val="24"/>
        </w:rPr>
        <w:t>kemudian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memperoleh</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izin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menjadi</w:t>
      </w:r>
      <w:r w:rsidRPr="000874B2">
        <w:rPr>
          <w:rFonts w:ascii="Times New Roman" w:hAnsi="Times New Roman" w:cs="Times New Roman"/>
          <w:sz w:val="24"/>
          <w:szCs w:val="24"/>
        </w:rPr>
        <w:t xml:space="preserve"> bank </w:t>
      </w:r>
      <w:r w:rsidRPr="000874B2">
        <w:rPr>
          <w:rFonts w:ascii="Times New Roman" w:hAnsi="Times New Roman" w:cs="Times New Roman"/>
          <w:sz w:val="24"/>
          <w:szCs w:val="24"/>
        </w:rPr>
        <w:t>devisa</w:t>
      </w:r>
      <w:r w:rsidRPr="000874B2">
        <w:rPr>
          <w:rFonts w:ascii="Times New Roman" w:hAnsi="Times New Roman" w:cs="Times New Roman"/>
          <w:sz w:val="24"/>
          <w:szCs w:val="24"/>
        </w:rPr>
        <w:t xml:space="preserve"> pada 1990 dan </w:t>
      </w:r>
      <w:r w:rsidRPr="000874B2">
        <w:rPr>
          <w:rFonts w:ascii="Times New Roman" w:hAnsi="Times New Roman" w:cs="Times New Roman"/>
          <w:sz w:val="24"/>
          <w:szCs w:val="24"/>
        </w:rPr>
        <w:t>mencatatkan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saham</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perdananya</w:t>
      </w:r>
      <w:r w:rsidRPr="000874B2">
        <w:rPr>
          <w:rFonts w:ascii="Times New Roman" w:hAnsi="Times New Roman" w:cs="Times New Roman"/>
          <w:sz w:val="24"/>
          <w:szCs w:val="24"/>
        </w:rPr>
        <w:t xml:space="preserve"> di Bursa </w:t>
      </w:r>
      <w:r w:rsidRPr="000874B2">
        <w:rPr>
          <w:rFonts w:ascii="Times New Roman" w:hAnsi="Times New Roman" w:cs="Times New Roman"/>
          <w:sz w:val="24"/>
          <w:szCs w:val="24"/>
        </w:rPr>
        <w:t>Efek</w:t>
      </w:r>
      <w:r w:rsidRPr="000874B2">
        <w:rPr>
          <w:rFonts w:ascii="Times New Roman" w:hAnsi="Times New Roman" w:cs="Times New Roman"/>
          <w:sz w:val="24"/>
          <w:szCs w:val="24"/>
        </w:rPr>
        <w:t xml:space="preserve"> Indonesia (BEI) pada 1994. Pada 2004, OCBC Bank-Singapura </w:t>
      </w:r>
      <w:r w:rsidRPr="000874B2">
        <w:rPr>
          <w:rFonts w:ascii="Times New Roman" w:hAnsi="Times New Roman" w:cs="Times New Roman"/>
          <w:sz w:val="24"/>
          <w:szCs w:val="24"/>
        </w:rPr>
        <w:t>menjadi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pemegang</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saham</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mayoritas</w:t>
      </w:r>
      <w:r w:rsidRPr="000874B2">
        <w:rPr>
          <w:rFonts w:ascii="Times New Roman" w:hAnsi="Times New Roman" w:cs="Times New Roman"/>
          <w:sz w:val="24"/>
          <w:szCs w:val="24"/>
        </w:rPr>
        <w:t xml:space="preserve"> Bank NISP </w:t>
      </w:r>
      <w:r w:rsidRPr="000874B2">
        <w:rPr>
          <w:rFonts w:ascii="Times New Roman" w:hAnsi="Times New Roman" w:cs="Times New Roman"/>
          <w:sz w:val="24"/>
          <w:szCs w:val="24"/>
        </w:rPr>
        <w:t>dengan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kepemilikan</w:t>
      </w:r>
      <w:r w:rsidRPr="000874B2">
        <w:rPr>
          <w:rFonts w:ascii="Times New Roman" w:hAnsi="Times New Roman" w:cs="Times New Roman"/>
          <w:sz w:val="24"/>
          <w:szCs w:val="24"/>
        </w:rPr>
        <w:t xml:space="preserve"> 22,5%. Bank OCBC Indonesia </w:t>
      </w:r>
      <w:r w:rsidRPr="000874B2">
        <w:rPr>
          <w:rFonts w:ascii="Times New Roman" w:hAnsi="Times New Roman" w:cs="Times New Roman"/>
          <w:sz w:val="24"/>
          <w:szCs w:val="24"/>
        </w:rPr>
        <w:t>secara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resmi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bergabung</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ke</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dalam</w:t>
      </w:r>
      <w:r w:rsidRPr="000874B2">
        <w:rPr>
          <w:rFonts w:ascii="Times New Roman" w:hAnsi="Times New Roman" w:cs="Times New Roman"/>
          <w:sz w:val="24"/>
          <w:szCs w:val="24"/>
        </w:rPr>
        <w:t xml:space="preserve"> Bank NISP dan </w:t>
      </w:r>
      <w:r w:rsidRPr="000874B2">
        <w:rPr>
          <w:rFonts w:ascii="Times New Roman" w:hAnsi="Times New Roman" w:cs="Times New Roman"/>
          <w:sz w:val="24"/>
          <w:szCs w:val="24"/>
        </w:rPr>
        <w:t>menjadi</w:t>
      </w:r>
      <w:r w:rsidRPr="000874B2">
        <w:rPr>
          <w:rFonts w:ascii="Times New Roman" w:hAnsi="Times New Roman" w:cs="Times New Roman"/>
          <w:sz w:val="24"/>
          <w:szCs w:val="24"/>
        </w:rPr>
        <w:t xml:space="preserve"> Bank OCBC NISP pada 2011.</w:t>
      </w:r>
    </w:p>
    <w:p w:rsidR="00FF6A7C" w:rsidP="00D62471" w14:paraId="7777895D" w14:textId="3E6185C6">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Pr>
          <w:rFonts w:ascii="Times New Roman" w:hAnsi="Times New Roman" w:cs="Times New Roman"/>
          <w:b/>
          <w:bCs/>
          <w:sz w:val="24"/>
          <w:szCs w:val="24"/>
        </w:rPr>
        <w:t>Bank Pan Indonesia</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0874B2" w:rsidRPr="000874B2" w:rsidP="000874B2" w14:paraId="13FC0DD5" w14:textId="59B97E7C">
      <w:pPr>
        <w:pStyle w:val="ListParagraph"/>
        <w:spacing w:after="0" w:line="480" w:lineRule="auto"/>
        <w:ind w:left="1146" w:firstLine="294"/>
        <w:jc w:val="both"/>
        <w:rPr>
          <w:rFonts w:ascii="Times New Roman" w:hAnsi="Times New Roman" w:cs="Times New Roman"/>
          <w:sz w:val="24"/>
          <w:szCs w:val="24"/>
        </w:rPr>
      </w:pPr>
      <w:r w:rsidRPr="000874B2">
        <w:rPr>
          <w:rFonts w:ascii="Times New Roman" w:hAnsi="Times New Roman" w:cs="Times New Roman"/>
          <w:sz w:val="24"/>
          <w:szCs w:val="24"/>
        </w:rPr>
        <w:t xml:space="preserve">PT Bank Pan Indonesia </w:t>
      </w:r>
      <w:r w:rsidRPr="000874B2">
        <w:rPr>
          <w:rFonts w:ascii="Times New Roman" w:hAnsi="Times New Roman" w:cs="Times New Roman"/>
          <w:sz w:val="24"/>
          <w:szCs w:val="24"/>
        </w:rPr>
        <w:t>Tbk</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atau</w:t>
      </w:r>
      <w:r w:rsidRPr="000874B2">
        <w:rPr>
          <w:rFonts w:ascii="Times New Roman" w:hAnsi="Times New Roman" w:cs="Times New Roman"/>
          <w:sz w:val="24"/>
          <w:szCs w:val="24"/>
        </w:rPr>
        <w:t xml:space="preserve"> yang </w:t>
      </w:r>
      <w:r w:rsidRPr="000874B2">
        <w:rPr>
          <w:rFonts w:ascii="Times New Roman" w:hAnsi="Times New Roman" w:cs="Times New Roman"/>
          <w:sz w:val="24"/>
          <w:szCs w:val="24"/>
        </w:rPr>
        <w:t>lebih</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dikenal</w:t>
      </w:r>
      <w:r w:rsidRPr="000874B2">
        <w:rPr>
          <w:rFonts w:ascii="Times New Roman" w:hAnsi="Times New Roman" w:cs="Times New Roman"/>
          <w:sz w:val="24"/>
          <w:szCs w:val="24"/>
        </w:rPr>
        <w:t xml:space="preserve"> Bank Panin </w:t>
      </w:r>
      <w:r w:rsidRPr="000874B2">
        <w:rPr>
          <w:rFonts w:ascii="Times New Roman" w:hAnsi="Times New Roman" w:cs="Times New Roman"/>
          <w:sz w:val="24"/>
          <w:szCs w:val="24"/>
        </w:rPr>
        <w:t>didirikan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tahun</w:t>
      </w:r>
      <w:r w:rsidRPr="000874B2">
        <w:rPr>
          <w:rFonts w:ascii="Times New Roman" w:hAnsi="Times New Roman" w:cs="Times New Roman"/>
          <w:sz w:val="24"/>
          <w:szCs w:val="24"/>
        </w:rPr>
        <w:t xml:space="preserve"> 1971 yang </w:t>
      </w:r>
      <w:r w:rsidRPr="000874B2">
        <w:rPr>
          <w:rFonts w:ascii="Times New Roman" w:hAnsi="Times New Roman" w:cs="Times New Roman"/>
          <w:sz w:val="24"/>
          <w:szCs w:val="24"/>
        </w:rPr>
        <w:t>merupakan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penggabungan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usaha</w:t>
      </w:r>
      <w:r w:rsidRPr="000874B2">
        <w:rPr>
          <w:rFonts w:ascii="Times New Roman" w:hAnsi="Times New Roman" w:cs="Times New Roman"/>
          <w:sz w:val="24"/>
          <w:szCs w:val="24"/>
        </w:rPr>
        <w:t xml:space="preserve"> Bank </w:t>
      </w:r>
      <w:r w:rsidRPr="000874B2">
        <w:rPr>
          <w:rFonts w:ascii="Times New Roman" w:hAnsi="Times New Roman" w:cs="Times New Roman"/>
          <w:sz w:val="24"/>
          <w:szCs w:val="24"/>
        </w:rPr>
        <w:t>Kemakmuran</w:t>
      </w:r>
      <w:r w:rsidRPr="000874B2">
        <w:rPr>
          <w:rFonts w:ascii="Times New Roman" w:hAnsi="Times New Roman" w:cs="Times New Roman"/>
          <w:sz w:val="24"/>
          <w:szCs w:val="24"/>
        </w:rPr>
        <w:t xml:space="preserve">, Bank </w:t>
      </w:r>
      <w:r w:rsidRPr="000874B2">
        <w:rPr>
          <w:rFonts w:ascii="Times New Roman" w:hAnsi="Times New Roman" w:cs="Times New Roman"/>
          <w:sz w:val="24"/>
          <w:szCs w:val="24"/>
        </w:rPr>
        <w:t>Industri</w:t>
      </w:r>
      <w:r w:rsidRPr="000874B2">
        <w:rPr>
          <w:rFonts w:ascii="Times New Roman" w:hAnsi="Times New Roman" w:cs="Times New Roman"/>
          <w:sz w:val="24"/>
          <w:szCs w:val="24"/>
        </w:rPr>
        <w:t xml:space="preserve"> Djaja, </w:t>
      </w:r>
      <w:r w:rsidRPr="000874B2">
        <w:rPr>
          <w:rFonts w:ascii="Times New Roman" w:hAnsi="Times New Roman" w:cs="Times New Roman"/>
          <w:sz w:val="24"/>
          <w:szCs w:val="24"/>
        </w:rPr>
        <w:t>serta</w:t>
      </w:r>
      <w:r w:rsidRPr="000874B2">
        <w:rPr>
          <w:rFonts w:ascii="Times New Roman" w:hAnsi="Times New Roman" w:cs="Times New Roman"/>
          <w:sz w:val="24"/>
          <w:szCs w:val="24"/>
        </w:rPr>
        <w:t xml:space="preserve"> Bank </w:t>
      </w:r>
      <w:r w:rsidRPr="000874B2">
        <w:rPr>
          <w:rFonts w:ascii="Times New Roman" w:hAnsi="Times New Roman" w:cs="Times New Roman"/>
          <w:sz w:val="24"/>
          <w:szCs w:val="24"/>
        </w:rPr>
        <w:t>Industri</w:t>
      </w:r>
      <w:r w:rsidRPr="000874B2">
        <w:rPr>
          <w:rFonts w:ascii="Times New Roman" w:hAnsi="Times New Roman" w:cs="Times New Roman"/>
          <w:sz w:val="24"/>
          <w:szCs w:val="24"/>
        </w:rPr>
        <w:t xml:space="preserve"> dan </w:t>
      </w:r>
      <w:r w:rsidRPr="000874B2">
        <w:rPr>
          <w:rFonts w:ascii="Times New Roman" w:hAnsi="Times New Roman" w:cs="Times New Roman"/>
          <w:sz w:val="24"/>
          <w:szCs w:val="24"/>
        </w:rPr>
        <w:t>Dagang</w:t>
      </w:r>
      <w:r w:rsidRPr="000874B2">
        <w:rPr>
          <w:rFonts w:ascii="Times New Roman" w:hAnsi="Times New Roman" w:cs="Times New Roman"/>
          <w:sz w:val="24"/>
          <w:szCs w:val="24"/>
        </w:rPr>
        <w:t xml:space="preserve"> Indonesia. </w:t>
      </w:r>
      <w:r w:rsidRPr="000874B2">
        <w:rPr>
          <w:rFonts w:ascii="Times New Roman" w:hAnsi="Times New Roman" w:cs="Times New Roman"/>
          <w:sz w:val="24"/>
          <w:szCs w:val="24"/>
        </w:rPr>
        <w:t>Selanjutnya</w:t>
      </w:r>
      <w:r w:rsidRPr="000874B2">
        <w:rPr>
          <w:rFonts w:ascii="Times New Roman" w:hAnsi="Times New Roman" w:cs="Times New Roman"/>
          <w:sz w:val="24"/>
          <w:szCs w:val="24"/>
        </w:rPr>
        <w:t xml:space="preserve">, Bank Panin </w:t>
      </w:r>
      <w:r w:rsidRPr="000874B2">
        <w:rPr>
          <w:rFonts w:ascii="Times New Roman" w:hAnsi="Times New Roman" w:cs="Times New Roman"/>
          <w:sz w:val="24"/>
          <w:szCs w:val="24"/>
        </w:rPr>
        <w:t>meningkatkan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pengembangan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usahanya</w:t>
      </w:r>
      <w:r w:rsidRPr="000874B2">
        <w:rPr>
          <w:rFonts w:ascii="Times New Roman" w:hAnsi="Times New Roman" w:cs="Times New Roman"/>
          <w:sz w:val="24"/>
          <w:szCs w:val="24"/>
        </w:rPr>
        <w:t xml:space="preserve"> dan </w:t>
      </w:r>
      <w:r w:rsidRPr="000874B2">
        <w:rPr>
          <w:rFonts w:ascii="Times New Roman" w:hAnsi="Times New Roman" w:cs="Times New Roman"/>
          <w:sz w:val="24"/>
          <w:szCs w:val="24"/>
        </w:rPr>
        <w:t>melakukan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kerja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sama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dengan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institusi</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keuangan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internasional</w:t>
      </w:r>
      <w:r w:rsidRPr="000874B2">
        <w:rPr>
          <w:rFonts w:ascii="Times New Roman" w:hAnsi="Times New Roman" w:cs="Times New Roman"/>
          <w:sz w:val="24"/>
          <w:szCs w:val="24"/>
        </w:rPr>
        <w:t xml:space="preserve"> Dai-Ichi Kangyo Bank, </w:t>
      </w:r>
      <w:r w:rsidRPr="000874B2">
        <w:rPr>
          <w:rFonts w:ascii="Times New Roman" w:hAnsi="Times New Roman" w:cs="Times New Roman"/>
          <w:sz w:val="24"/>
          <w:szCs w:val="24"/>
        </w:rPr>
        <w:t>Jepang</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bersama</w:t>
      </w:r>
      <w:r w:rsidRPr="000874B2">
        <w:rPr>
          <w:rFonts w:ascii="Times New Roman" w:hAnsi="Times New Roman" w:cs="Times New Roman"/>
          <w:sz w:val="24"/>
          <w:szCs w:val="24"/>
        </w:rPr>
        <w:t xml:space="preserve"> Credit Lyonnais </w:t>
      </w:r>
      <w:r w:rsidRPr="000874B2">
        <w:rPr>
          <w:rFonts w:ascii="Times New Roman" w:hAnsi="Times New Roman" w:cs="Times New Roman"/>
          <w:sz w:val="24"/>
          <w:szCs w:val="24"/>
        </w:rPr>
        <w:t>Perancis</w:t>
      </w:r>
      <w:r w:rsidRPr="000874B2">
        <w:rPr>
          <w:rFonts w:ascii="Times New Roman" w:hAnsi="Times New Roman" w:cs="Times New Roman"/>
          <w:sz w:val="24"/>
          <w:szCs w:val="24"/>
        </w:rPr>
        <w:t xml:space="preserve">, Westpac Banking Corporation Australia yang </w:t>
      </w:r>
      <w:r w:rsidRPr="000874B2">
        <w:rPr>
          <w:rFonts w:ascii="Times New Roman" w:hAnsi="Times New Roman" w:cs="Times New Roman"/>
          <w:sz w:val="24"/>
          <w:szCs w:val="24"/>
        </w:rPr>
        <w:t>kemudian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diambil</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alih</w:t>
      </w:r>
      <w:r w:rsidRPr="000874B2">
        <w:rPr>
          <w:rFonts w:ascii="Times New Roman" w:hAnsi="Times New Roman" w:cs="Times New Roman"/>
          <w:sz w:val="24"/>
          <w:szCs w:val="24"/>
        </w:rPr>
        <w:t xml:space="preserve"> oleh ANZ Banking Group. Pada </w:t>
      </w:r>
      <w:r w:rsidRPr="000874B2">
        <w:rPr>
          <w:rFonts w:ascii="Times New Roman" w:hAnsi="Times New Roman" w:cs="Times New Roman"/>
          <w:sz w:val="24"/>
          <w:szCs w:val="24"/>
        </w:rPr>
        <w:t>tanggal</w:t>
      </w:r>
      <w:r w:rsidRPr="000874B2">
        <w:rPr>
          <w:rFonts w:ascii="Times New Roman" w:hAnsi="Times New Roman" w:cs="Times New Roman"/>
          <w:sz w:val="24"/>
          <w:szCs w:val="24"/>
        </w:rPr>
        <w:t xml:space="preserve"> 28 Oktober 1982, bank </w:t>
      </w:r>
      <w:r w:rsidRPr="000874B2">
        <w:rPr>
          <w:rFonts w:ascii="Times New Roman" w:hAnsi="Times New Roman" w:cs="Times New Roman"/>
          <w:sz w:val="24"/>
          <w:szCs w:val="24"/>
        </w:rPr>
        <w:t>menawarkan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saham</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perdananya</w:t>
      </w:r>
      <w:r w:rsidRPr="000874B2">
        <w:rPr>
          <w:rFonts w:ascii="Times New Roman" w:hAnsi="Times New Roman" w:cs="Times New Roman"/>
          <w:sz w:val="24"/>
          <w:szCs w:val="24"/>
        </w:rPr>
        <w:t xml:space="preserve"> di Bursa </w:t>
      </w:r>
      <w:r w:rsidRPr="000874B2">
        <w:rPr>
          <w:rFonts w:ascii="Times New Roman" w:hAnsi="Times New Roman" w:cs="Times New Roman"/>
          <w:sz w:val="24"/>
          <w:szCs w:val="24"/>
        </w:rPr>
        <w:t>Efek</w:t>
      </w:r>
      <w:r w:rsidRPr="000874B2">
        <w:rPr>
          <w:rFonts w:ascii="Times New Roman" w:hAnsi="Times New Roman" w:cs="Times New Roman"/>
          <w:sz w:val="24"/>
          <w:szCs w:val="24"/>
        </w:rPr>
        <w:t xml:space="preserve"> Indonesia </w:t>
      </w:r>
      <w:r w:rsidRPr="000874B2">
        <w:rPr>
          <w:rFonts w:ascii="Times New Roman" w:hAnsi="Times New Roman" w:cs="Times New Roman"/>
          <w:sz w:val="24"/>
          <w:szCs w:val="24"/>
        </w:rPr>
        <w:t>sebanyak</w:t>
      </w:r>
      <w:r w:rsidRPr="000874B2">
        <w:rPr>
          <w:rFonts w:ascii="Times New Roman" w:hAnsi="Times New Roman" w:cs="Times New Roman"/>
          <w:sz w:val="24"/>
          <w:szCs w:val="24"/>
        </w:rPr>
        <w:t xml:space="preserve"> 1,64 </w:t>
      </w:r>
      <w:r w:rsidRPr="000874B2">
        <w:rPr>
          <w:rFonts w:ascii="Times New Roman" w:hAnsi="Times New Roman" w:cs="Times New Roman"/>
          <w:sz w:val="24"/>
          <w:szCs w:val="24"/>
        </w:rPr>
        <w:t>juta</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lembar</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saham</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dengan</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kode</w:t>
      </w:r>
      <w:r w:rsidRPr="000874B2">
        <w:rPr>
          <w:rFonts w:ascii="Times New Roman" w:hAnsi="Times New Roman" w:cs="Times New Roman"/>
          <w:sz w:val="24"/>
          <w:szCs w:val="24"/>
        </w:rPr>
        <w:t xml:space="preserve"> PNBN. Pada </w:t>
      </w:r>
      <w:r w:rsidRPr="000874B2">
        <w:rPr>
          <w:rFonts w:ascii="Times New Roman" w:hAnsi="Times New Roman" w:cs="Times New Roman"/>
          <w:sz w:val="24"/>
          <w:szCs w:val="24"/>
        </w:rPr>
        <w:t>tahun</w:t>
      </w:r>
      <w:r w:rsidRPr="000874B2">
        <w:rPr>
          <w:rFonts w:ascii="Times New Roman" w:hAnsi="Times New Roman" w:cs="Times New Roman"/>
          <w:sz w:val="24"/>
          <w:szCs w:val="24"/>
        </w:rPr>
        <w:t xml:space="preserve"> 2018 bank </w:t>
      </w:r>
      <w:r w:rsidRPr="000874B2">
        <w:rPr>
          <w:rFonts w:ascii="Times New Roman" w:hAnsi="Times New Roman" w:cs="Times New Roman"/>
          <w:sz w:val="24"/>
          <w:szCs w:val="24"/>
        </w:rPr>
        <w:t>tersebut</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memiliki</w:t>
      </w:r>
      <w:r w:rsidRPr="000874B2">
        <w:rPr>
          <w:rFonts w:ascii="Times New Roman" w:hAnsi="Times New Roman" w:cs="Times New Roman"/>
          <w:sz w:val="24"/>
          <w:szCs w:val="24"/>
        </w:rPr>
        <w:t xml:space="preserve"> 57 </w:t>
      </w:r>
      <w:r w:rsidRPr="000874B2">
        <w:rPr>
          <w:rFonts w:ascii="Times New Roman" w:hAnsi="Times New Roman" w:cs="Times New Roman"/>
          <w:sz w:val="24"/>
          <w:szCs w:val="24"/>
        </w:rPr>
        <w:t>kantor</w:t>
      </w:r>
      <w:r w:rsidRPr="000874B2">
        <w:rPr>
          <w:rFonts w:ascii="Times New Roman" w:hAnsi="Times New Roman" w:cs="Times New Roman"/>
          <w:sz w:val="24"/>
          <w:szCs w:val="24"/>
        </w:rPr>
        <w:t xml:space="preserve"> </w:t>
      </w:r>
      <w:r w:rsidRPr="000874B2">
        <w:rPr>
          <w:rFonts w:ascii="Times New Roman" w:hAnsi="Times New Roman" w:cs="Times New Roman"/>
          <w:sz w:val="24"/>
          <w:szCs w:val="24"/>
        </w:rPr>
        <w:t>cabang</w:t>
      </w:r>
      <w:r w:rsidRPr="000874B2">
        <w:rPr>
          <w:rFonts w:ascii="Times New Roman" w:hAnsi="Times New Roman" w:cs="Times New Roman"/>
          <w:sz w:val="24"/>
          <w:szCs w:val="24"/>
        </w:rPr>
        <w:t xml:space="preserve"> di Indonesia dan </w:t>
      </w:r>
      <w:r w:rsidRPr="000874B2">
        <w:rPr>
          <w:rFonts w:ascii="Times New Roman" w:hAnsi="Times New Roman" w:cs="Times New Roman"/>
          <w:sz w:val="24"/>
          <w:szCs w:val="24"/>
        </w:rPr>
        <w:t>satu</w:t>
      </w:r>
      <w:r w:rsidRPr="000874B2">
        <w:rPr>
          <w:rFonts w:ascii="Times New Roman" w:hAnsi="Times New Roman" w:cs="Times New Roman"/>
          <w:sz w:val="24"/>
          <w:szCs w:val="24"/>
        </w:rPr>
        <w:t xml:space="preserve"> Kantor </w:t>
      </w:r>
      <w:r w:rsidRPr="000874B2">
        <w:rPr>
          <w:rFonts w:ascii="Times New Roman" w:hAnsi="Times New Roman" w:cs="Times New Roman"/>
          <w:sz w:val="24"/>
          <w:szCs w:val="24"/>
        </w:rPr>
        <w:t>Perwakilan</w:t>
      </w:r>
      <w:r w:rsidRPr="000874B2">
        <w:rPr>
          <w:rFonts w:ascii="Times New Roman" w:hAnsi="Times New Roman" w:cs="Times New Roman"/>
          <w:sz w:val="24"/>
          <w:szCs w:val="24"/>
        </w:rPr>
        <w:t xml:space="preserve"> di Singapura.</w:t>
      </w:r>
    </w:p>
    <w:p w:rsidR="007F0E1B" w:rsidP="007F0E1B" w14:paraId="723CD543" w14:textId="45FD1045">
      <w:pPr>
        <w:pStyle w:val="ListParagraph"/>
        <w:numPr>
          <w:ilvl w:val="0"/>
          <w:numId w:val="53"/>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PT </w:t>
      </w:r>
      <w:r w:rsidRPr="00FF6A7C" w:rsidR="00FF6A7C">
        <w:rPr>
          <w:rFonts w:ascii="Times New Roman" w:hAnsi="Times New Roman" w:cs="Times New Roman"/>
          <w:b/>
          <w:bCs/>
          <w:sz w:val="24"/>
          <w:szCs w:val="24"/>
        </w:rPr>
        <w:t xml:space="preserve">Bank Woori </w:t>
      </w:r>
      <w:r w:rsidRPr="00FF6A7C" w:rsidR="00FF6A7C">
        <w:rPr>
          <w:rFonts w:ascii="Times New Roman" w:hAnsi="Times New Roman" w:cs="Times New Roman"/>
          <w:b/>
          <w:bCs/>
          <w:sz w:val="24"/>
          <w:szCs w:val="24"/>
        </w:rPr>
        <w:t>Saudara</w:t>
      </w:r>
      <w:r w:rsidRPr="00FF6A7C" w:rsidR="00FF6A7C">
        <w:rPr>
          <w:rFonts w:ascii="Times New Roman" w:hAnsi="Times New Roman" w:cs="Times New Roman"/>
          <w:b/>
          <w:bCs/>
          <w:sz w:val="24"/>
          <w:szCs w:val="24"/>
        </w:rPr>
        <w:t xml:space="preserve"> Indonesia 1906</w:t>
      </w:r>
      <w:r>
        <w:rPr>
          <w:rFonts w:ascii="Times New Roman" w:hAnsi="Times New Roman" w:cs="Times New Roman"/>
          <w:b/>
          <w:bCs/>
          <w:sz w:val="24"/>
          <w:szCs w:val="24"/>
        </w:rPr>
        <w:t xml:space="preserve"> </w:t>
      </w:r>
      <w:r>
        <w:rPr>
          <w:rFonts w:ascii="Times New Roman" w:hAnsi="Times New Roman" w:cs="Times New Roman"/>
          <w:b/>
          <w:bCs/>
          <w:sz w:val="24"/>
          <w:szCs w:val="24"/>
        </w:rPr>
        <w:t>Tbk</w:t>
      </w:r>
      <w:r>
        <w:rPr>
          <w:rFonts w:ascii="Times New Roman" w:hAnsi="Times New Roman" w:cs="Times New Roman"/>
          <w:b/>
          <w:bCs/>
          <w:sz w:val="24"/>
          <w:szCs w:val="24"/>
        </w:rPr>
        <w:t>.</w:t>
      </w:r>
    </w:p>
    <w:p w:rsidR="0028685A" w:rsidRPr="00C479F3" w:rsidP="00C479F3" w14:paraId="5F5FA437" w14:textId="284F792B">
      <w:pPr>
        <w:pStyle w:val="ListParagraph"/>
        <w:spacing w:after="0" w:line="480" w:lineRule="auto"/>
        <w:ind w:left="1146" w:firstLine="294"/>
        <w:jc w:val="both"/>
        <w:rPr>
          <w:rFonts w:ascii="Times New Roman" w:hAnsi="Times New Roman" w:cs="Times New Roman"/>
          <w:sz w:val="24"/>
          <w:szCs w:val="24"/>
        </w:rPr>
      </w:pPr>
      <w:r w:rsidRPr="007F0E1B">
        <w:rPr>
          <w:rFonts w:ascii="Times New Roman" w:hAnsi="Times New Roman" w:cs="Times New Roman"/>
          <w:sz w:val="24"/>
          <w:szCs w:val="24"/>
        </w:rPr>
        <w:t xml:space="preserve">PT Bank Woori </w:t>
      </w:r>
      <w:r w:rsidRPr="007F0E1B">
        <w:rPr>
          <w:rFonts w:ascii="Times New Roman" w:hAnsi="Times New Roman" w:cs="Times New Roman"/>
          <w:sz w:val="24"/>
          <w:szCs w:val="24"/>
        </w:rPr>
        <w:t>Saudara</w:t>
      </w:r>
      <w:r w:rsidRPr="007F0E1B">
        <w:rPr>
          <w:rFonts w:ascii="Times New Roman" w:hAnsi="Times New Roman" w:cs="Times New Roman"/>
          <w:sz w:val="24"/>
          <w:szCs w:val="24"/>
        </w:rPr>
        <w:t xml:space="preserve"> Indonesia 1906 </w:t>
      </w:r>
      <w:r w:rsidRPr="007F0E1B">
        <w:rPr>
          <w:rFonts w:ascii="Times New Roman" w:hAnsi="Times New Roman" w:cs="Times New Roman"/>
          <w:sz w:val="24"/>
          <w:szCs w:val="24"/>
        </w:rPr>
        <w:t>Tbk</w:t>
      </w:r>
      <w:r w:rsidRPr="007F0E1B">
        <w:rPr>
          <w:rFonts w:ascii="Times New Roman" w:hAnsi="Times New Roman" w:cs="Times New Roman"/>
          <w:sz w:val="24"/>
          <w:szCs w:val="24"/>
        </w:rPr>
        <w:t xml:space="preserve">. (BWS) </w:t>
      </w:r>
      <w:r w:rsidRPr="007F0E1B">
        <w:rPr>
          <w:rFonts w:ascii="Times New Roman" w:hAnsi="Times New Roman" w:cs="Times New Roman"/>
          <w:sz w:val="24"/>
          <w:szCs w:val="24"/>
        </w:rPr>
        <w:t>berawal</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dari</w:t>
      </w:r>
      <w:r w:rsidRPr="007F0E1B">
        <w:rPr>
          <w:rFonts w:ascii="Times New Roman" w:hAnsi="Times New Roman" w:cs="Times New Roman"/>
          <w:sz w:val="24"/>
          <w:szCs w:val="24"/>
        </w:rPr>
        <w:t xml:space="preserve"> 10 </w:t>
      </w:r>
      <w:r w:rsidRPr="007F0E1B">
        <w:rPr>
          <w:rFonts w:ascii="Times New Roman" w:hAnsi="Times New Roman" w:cs="Times New Roman"/>
          <w:sz w:val="24"/>
          <w:szCs w:val="24"/>
        </w:rPr>
        <w:t>saudagar</w:t>
      </w:r>
      <w:r w:rsidRPr="007F0E1B">
        <w:rPr>
          <w:rFonts w:ascii="Times New Roman" w:hAnsi="Times New Roman" w:cs="Times New Roman"/>
          <w:sz w:val="24"/>
          <w:szCs w:val="24"/>
        </w:rPr>
        <w:t xml:space="preserve"> di Pasar Baru yang </w:t>
      </w:r>
      <w:r w:rsidRPr="007F0E1B">
        <w:rPr>
          <w:rFonts w:ascii="Times New Roman" w:hAnsi="Times New Roman" w:cs="Times New Roman"/>
          <w:sz w:val="24"/>
          <w:szCs w:val="24"/>
        </w:rPr>
        <w:t>mendirikan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organisasi</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simpan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pinjam</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bernama</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Himpoenan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Soedara</w:t>
      </w:r>
      <w:r w:rsidRPr="007F0E1B">
        <w:rPr>
          <w:rFonts w:ascii="Times New Roman" w:hAnsi="Times New Roman" w:cs="Times New Roman"/>
          <w:sz w:val="24"/>
          <w:szCs w:val="24"/>
        </w:rPr>
        <w:t xml:space="preserve">. Bank </w:t>
      </w:r>
      <w:r w:rsidRPr="007F0E1B">
        <w:rPr>
          <w:rFonts w:ascii="Times New Roman" w:hAnsi="Times New Roman" w:cs="Times New Roman"/>
          <w:sz w:val="24"/>
          <w:szCs w:val="24"/>
        </w:rPr>
        <w:t>tersebut</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baru</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mendapat</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pengakuan</w:t>
      </w:r>
      <w:r w:rsidRPr="007F0E1B">
        <w:rPr>
          <w:rFonts w:ascii="Times New Roman" w:hAnsi="Times New Roman" w:cs="Times New Roman"/>
          <w:sz w:val="24"/>
          <w:szCs w:val="24"/>
        </w:rPr>
        <w:t xml:space="preserve"> dan </w:t>
      </w:r>
      <w:r w:rsidRPr="007F0E1B">
        <w:rPr>
          <w:rFonts w:ascii="Times New Roman" w:hAnsi="Times New Roman" w:cs="Times New Roman"/>
          <w:sz w:val="24"/>
          <w:szCs w:val="24"/>
        </w:rPr>
        <w:t>pengesahan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dari</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pemerintah</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kolonial</w:t>
      </w:r>
      <w:r w:rsidRPr="007F0E1B">
        <w:rPr>
          <w:rFonts w:ascii="Times New Roman" w:hAnsi="Times New Roman" w:cs="Times New Roman"/>
          <w:sz w:val="24"/>
          <w:szCs w:val="24"/>
        </w:rPr>
        <w:t xml:space="preserve"> Belanda </w:t>
      </w:r>
      <w:r w:rsidRPr="007F0E1B">
        <w:rPr>
          <w:rFonts w:ascii="Times New Roman" w:hAnsi="Times New Roman" w:cs="Times New Roman"/>
          <w:sz w:val="24"/>
          <w:szCs w:val="24"/>
        </w:rPr>
        <w:t>sebagai</w:t>
      </w:r>
      <w:r w:rsidRPr="007F0E1B">
        <w:rPr>
          <w:rFonts w:ascii="Times New Roman" w:hAnsi="Times New Roman" w:cs="Times New Roman"/>
          <w:i/>
          <w:iCs/>
          <w:sz w:val="24"/>
          <w:szCs w:val="24"/>
        </w:rPr>
        <w:t xml:space="preserve"> Vereeniging</w:t>
      </w:r>
      <w:r>
        <w:rPr>
          <w:rFonts w:ascii="Times New Roman" w:hAnsi="Times New Roman" w:cs="Times New Roman"/>
          <w:sz w:val="24"/>
          <w:szCs w:val="24"/>
        </w:rPr>
        <w:t xml:space="preserve"> </w:t>
      </w:r>
      <w:r w:rsidRPr="007F0E1B">
        <w:rPr>
          <w:rFonts w:ascii="Times New Roman" w:hAnsi="Times New Roman" w:cs="Times New Roman"/>
          <w:sz w:val="24"/>
          <w:szCs w:val="24"/>
        </w:rPr>
        <w:t>pada</w:t>
      </w:r>
      <w:r>
        <w:rPr>
          <w:rFonts w:ascii="Times New Roman" w:hAnsi="Times New Roman" w:cs="Times New Roman"/>
          <w:sz w:val="24"/>
          <w:szCs w:val="24"/>
        </w:rPr>
        <w:t xml:space="preserve"> </w:t>
      </w:r>
      <w:r w:rsidRPr="007F0E1B">
        <w:rPr>
          <w:rFonts w:ascii="Times New Roman" w:hAnsi="Times New Roman" w:cs="Times New Roman"/>
          <w:sz w:val="24"/>
          <w:szCs w:val="24"/>
        </w:rPr>
        <w:t xml:space="preserve">4 Oktober 1913. Perseroan </w:t>
      </w:r>
      <w:r w:rsidRPr="007F0E1B">
        <w:rPr>
          <w:rFonts w:ascii="Times New Roman" w:hAnsi="Times New Roman" w:cs="Times New Roman"/>
          <w:sz w:val="24"/>
          <w:szCs w:val="24"/>
        </w:rPr>
        <w:t>mulai</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mendapatkan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izin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dari</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Pemerintah</w:t>
      </w:r>
      <w:r w:rsidRPr="007F0E1B">
        <w:rPr>
          <w:rFonts w:ascii="Times New Roman" w:hAnsi="Times New Roman" w:cs="Times New Roman"/>
          <w:sz w:val="24"/>
          <w:szCs w:val="24"/>
        </w:rPr>
        <w:t xml:space="preserve"> Indonesia </w:t>
      </w:r>
      <w:r w:rsidRPr="007F0E1B">
        <w:rPr>
          <w:rFonts w:ascii="Times New Roman" w:hAnsi="Times New Roman" w:cs="Times New Roman"/>
          <w:sz w:val="24"/>
          <w:szCs w:val="24"/>
        </w:rPr>
        <w:t>untuk</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menjalankan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usaha</w:t>
      </w:r>
      <w:r w:rsidRPr="007F0E1B">
        <w:rPr>
          <w:rFonts w:ascii="Times New Roman" w:hAnsi="Times New Roman" w:cs="Times New Roman"/>
          <w:sz w:val="24"/>
          <w:szCs w:val="24"/>
        </w:rPr>
        <w:t xml:space="preserve"> bank </w:t>
      </w:r>
      <w:r w:rsidRPr="007F0E1B">
        <w:rPr>
          <w:rFonts w:ascii="Times New Roman" w:hAnsi="Times New Roman" w:cs="Times New Roman"/>
          <w:sz w:val="24"/>
          <w:szCs w:val="24"/>
        </w:rPr>
        <w:t>tabungan</w:t>
      </w:r>
      <w:r w:rsidRPr="007F0E1B">
        <w:rPr>
          <w:rFonts w:ascii="Times New Roman" w:hAnsi="Times New Roman" w:cs="Times New Roman"/>
          <w:sz w:val="24"/>
          <w:szCs w:val="24"/>
        </w:rPr>
        <w:t xml:space="preserve"> pada 4 </w:t>
      </w:r>
      <w:r w:rsidRPr="007F0E1B">
        <w:rPr>
          <w:rFonts w:ascii="Times New Roman" w:hAnsi="Times New Roman" w:cs="Times New Roman"/>
          <w:sz w:val="24"/>
          <w:szCs w:val="24"/>
        </w:rPr>
        <w:t>Februari</w:t>
      </w:r>
      <w:r w:rsidRPr="007F0E1B">
        <w:rPr>
          <w:rFonts w:ascii="Times New Roman" w:hAnsi="Times New Roman" w:cs="Times New Roman"/>
          <w:sz w:val="24"/>
          <w:szCs w:val="24"/>
        </w:rPr>
        <w:t xml:space="preserve"> 1955. Bank </w:t>
      </w:r>
      <w:r w:rsidRPr="007F0E1B">
        <w:rPr>
          <w:rFonts w:ascii="Times New Roman" w:hAnsi="Times New Roman" w:cs="Times New Roman"/>
          <w:sz w:val="24"/>
          <w:szCs w:val="24"/>
        </w:rPr>
        <w:t>kemudian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berubah</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bentuk</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menjadi</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perseroan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terbatas</w:t>
      </w:r>
      <w:r w:rsidRPr="007F0E1B">
        <w:rPr>
          <w:rFonts w:ascii="Times New Roman" w:hAnsi="Times New Roman" w:cs="Times New Roman"/>
          <w:sz w:val="24"/>
          <w:szCs w:val="24"/>
        </w:rPr>
        <w:t xml:space="preserve"> (PT) </w:t>
      </w:r>
      <w:r w:rsidRPr="007F0E1B">
        <w:rPr>
          <w:rFonts w:ascii="Times New Roman" w:hAnsi="Times New Roman" w:cs="Times New Roman"/>
          <w:sz w:val="24"/>
          <w:szCs w:val="24"/>
        </w:rPr>
        <w:t>dengan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nama</w:t>
      </w:r>
      <w:r w:rsidRPr="007F0E1B">
        <w:rPr>
          <w:rFonts w:ascii="Times New Roman" w:hAnsi="Times New Roman" w:cs="Times New Roman"/>
          <w:sz w:val="24"/>
          <w:szCs w:val="24"/>
        </w:rPr>
        <w:t xml:space="preserve"> Bank Tabungan HS 1906 pada 1974. Bank </w:t>
      </w:r>
      <w:r w:rsidRPr="007F0E1B">
        <w:rPr>
          <w:rFonts w:ascii="Times New Roman" w:hAnsi="Times New Roman" w:cs="Times New Roman"/>
          <w:sz w:val="24"/>
          <w:szCs w:val="24"/>
        </w:rPr>
        <w:t>Saudara</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menawarkan</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saham</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perdana</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kepada</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masyarakat</w:t>
      </w:r>
      <w:r w:rsidRPr="007F0E1B">
        <w:rPr>
          <w:rFonts w:ascii="Times New Roman" w:hAnsi="Times New Roman" w:cs="Times New Roman"/>
          <w:sz w:val="24"/>
          <w:szCs w:val="24"/>
        </w:rPr>
        <w:t xml:space="preserve"> dan </w:t>
      </w:r>
      <w:r w:rsidRPr="007F0E1B">
        <w:rPr>
          <w:rFonts w:ascii="Times New Roman" w:hAnsi="Times New Roman" w:cs="Times New Roman"/>
          <w:sz w:val="24"/>
          <w:szCs w:val="24"/>
        </w:rPr>
        <w:t>mencatatkannya</w:t>
      </w:r>
      <w:r w:rsidRPr="007F0E1B">
        <w:rPr>
          <w:rFonts w:ascii="Times New Roman" w:hAnsi="Times New Roman" w:cs="Times New Roman"/>
          <w:sz w:val="24"/>
          <w:szCs w:val="24"/>
        </w:rPr>
        <w:t xml:space="preserve"> di Bursa </w:t>
      </w:r>
      <w:r w:rsidRPr="007F0E1B">
        <w:rPr>
          <w:rFonts w:ascii="Times New Roman" w:hAnsi="Times New Roman" w:cs="Times New Roman"/>
          <w:sz w:val="24"/>
          <w:szCs w:val="24"/>
        </w:rPr>
        <w:t>Efek</w:t>
      </w:r>
      <w:r w:rsidRPr="007F0E1B">
        <w:rPr>
          <w:rFonts w:ascii="Times New Roman" w:hAnsi="Times New Roman" w:cs="Times New Roman"/>
          <w:sz w:val="24"/>
          <w:szCs w:val="24"/>
        </w:rPr>
        <w:t xml:space="preserve"> Indonesia (BEI) pada </w:t>
      </w:r>
      <w:r w:rsidRPr="007F0E1B">
        <w:rPr>
          <w:rFonts w:ascii="Times New Roman" w:hAnsi="Times New Roman" w:cs="Times New Roman"/>
          <w:sz w:val="24"/>
          <w:szCs w:val="24"/>
        </w:rPr>
        <w:t>Desember</w:t>
      </w:r>
      <w:r w:rsidRPr="007F0E1B">
        <w:rPr>
          <w:rFonts w:ascii="Times New Roman" w:hAnsi="Times New Roman" w:cs="Times New Roman"/>
          <w:sz w:val="24"/>
          <w:szCs w:val="24"/>
        </w:rPr>
        <w:t xml:space="preserve"> 2006. Pada 30 </w:t>
      </w:r>
      <w:r w:rsidRPr="007F0E1B">
        <w:rPr>
          <w:rFonts w:ascii="Times New Roman" w:hAnsi="Times New Roman" w:cs="Times New Roman"/>
          <w:sz w:val="24"/>
          <w:szCs w:val="24"/>
        </w:rPr>
        <w:t>Desember</w:t>
      </w:r>
      <w:r w:rsidRPr="007F0E1B">
        <w:rPr>
          <w:rFonts w:ascii="Times New Roman" w:hAnsi="Times New Roman" w:cs="Times New Roman"/>
          <w:sz w:val="24"/>
          <w:szCs w:val="24"/>
        </w:rPr>
        <w:t xml:space="preserve"> 2014, PT Bank Woori Indonesia </w:t>
      </w:r>
      <w:r w:rsidRPr="007F0E1B">
        <w:rPr>
          <w:rFonts w:ascii="Times New Roman" w:hAnsi="Times New Roman" w:cs="Times New Roman"/>
          <w:sz w:val="24"/>
          <w:szCs w:val="24"/>
        </w:rPr>
        <w:t>membeli</w:t>
      </w:r>
      <w:r w:rsidRPr="007F0E1B">
        <w:rPr>
          <w:rFonts w:ascii="Times New Roman" w:hAnsi="Times New Roman" w:cs="Times New Roman"/>
          <w:sz w:val="24"/>
          <w:szCs w:val="24"/>
        </w:rPr>
        <w:t xml:space="preserve"> 33% </w:t>
      </w:r>
      <w:r w:rsidRPr="007F0E1B">
        <w:rPr>
          <w:rFonts w:ascii="Times New Roman" w:hAnsi="Times New Roman" w:cs="Times New Roman"/>
          <w:sz w:val="24"/>
          <w:szCs w:val="24"/>
        </w:rPr>
        <w:t>saham</w:t>
      </w:r>
      <w:r w:rsidRPr="007F0E1B">
        <w:rPr>
          <w:rFonts w:ascii="Times New Roman" w:hAnsi="Times New Roman" w:cs="Times New Roman"/>
          <w:sz w:val="24"/>
          <w:szCs w:val="24"/>
        </w:rPr>
        <w:t xml:space="preserve"> Bank </w:t>
      </w:r>
      <w:r w:rsidRPr="007F0E1B">
        <w:rPr>
          <w:rFonts w:ascii="Times New Roman" w:hAnsi="Times New Roman" w:cs="Times New Roman"/>
          <w:sz w:val="24"/>
          <w:szCs w:val="24"/>
        </w:rPr>
        <w:t>Saudara</w:t>
      </w:r>
      <w:r w:rsidRPr="007F0E1B">
        <w:rPr>
          <w:rFonts w:ascii="Times New Roman" w:hAnsi="Times New Roman" w:cs="Times New Roman"/>
          <w:sz w:val="24"/>
          <w:szCs w:val="24"/>
        </w:rPr>
        <w:t xml:space="preserve">. Namanya pun </w:t>
      </w:r>
      <w:r w:rsidRPr="007F0E1B">
        <w:rPr>
          <w:rFonts w:ascii="Times New Roman" w:hAnsi="Times New Roman" w:cs="Times New Roman"/>
          <w:sz w:val="24"/>
          <w:szCs w:val="24"/>
        </w:rPr>
        <w:t>berubah</w:t>
      </w:r>
      <w:r w:rsidRPr="007F0E1B">
        <w:rPr>
          <w:rFonts w:ascii="Times New Roman" w:hAnsi="Times New Roman" w:cs="Times New Roman"/>
          <w:sz w:val="24"/>
          <w:szCs w:val="24"/>
        </w:rPr>
        <w:t xml:space="preserve"> </w:t>
      </w:r>
      <w:r w:rsidRPr="007F0E1B">
        <w:rPr>
          <w:rFonts w:ascii="Times New Roman" w:hAnsi="Times New Roman" w:cs="Times New Roman"/>
          <w:sz w:val="24"/>
          <w:szCs w:val="24"/>
        </w:rPr>
        <w:t>menjadi</w:t>
      </w:r>
      <w:r w:rsidRPr="007F0E1B">
        <w:rPr>
          <w:rFonts w:ascii="Times New Roman" w:hAnsi="Times New Roman" w:cs="Times New Roman"/>
          <w:sz w:val="24"/>
          <w:szCs w:val="24"/>
        </w:rPr>
        <w:t xml:space="preserve"> PT Bank Woori </w:t>
      </w:r>
      <w:r w:rsidRPr="007F0E1B">
        <w:rPr>
          <w:rFonts w:ascii="Times New Roman" w:hAnsi="Times New Roman" w:cs="Times New Roman"/>
          <w:sz w:val="24"/>
          <w:szCs w:val="24"/>
        </w:rPr>
        <w:t>Saudara</w:t>
      </w:r>
      <w:r w:rsidRPr="007F0E1B">
        <w:rPr>
          <w:rFonts w:ascii="Times New Roman" w:hAnsi="Times New Roman" w:cs="Times New Roman"/>
          <w:sz w:val="24"/>
          <w:szCs w:val="24"/>
        </w:rPr>
        <w:t xml:space="preserve"> Indonesia 1906 </w:t>
      </w:r>
      <w:r w:rsidRPr="007F0E1B">
        <w:rPr>
          <w:rFonts w:ascii="Times New Roman" w:hAnsi="Times New Roman" w:cs="Times New Roman"/>
          <w:sz w:val="24"/>
          <w:szCs w:val="24"/>
        </w:rPr>
        <w:t>Tbk</w:t>
      </w:r>
      <w:r>
        <w:rPr>
          <w:rFonts w:ascii="Times New Roman" w:hAnsi="Times New Roman" w:cs="Times New Roman"/>
          <w:sz w:val="24"/>
          <w:szCs w:val="24"/>
        </w:rPr>
        <w:t>.</w:t>
      </w:r>
      <w:r w:rsidRPr="007F0E1B">
        <w:rPr>
          <w:rFonts w:ascii="Times New Roman" w:hAnsi="Times New Roman" w:cs="Times New Roman"/>
          <w:sz w:val="24"/>
          <w:szCs w:val="24"/>
        </w:rPr>
        <w:t xml:space="preserve"> per </w:t>
      </w:r>
      <w:r w:rsidRPr="007F0E1B">
        <w:rPr>
          <w:rFonts w:ascii="Times New Roman" w:hAnsi="Times New Roman" w:cs="Times New Roman"/>
          <w:sz w:val="24"/>
          <w:szCs w:val="24"/>
        </w:rPr>
        <w:t>tanggal</w:t>
      </w:r>
      <w:r w:rsidRPr="007F0E1B">
        <w:rPr>
          <w:rFonts w:ascii="Times New Roman" w:hAnsi="Times New Roman" w:cs="Times New Roman"/>
          <w:sz w:val="24"/>
          <w:szCs w:val="24"/>
        </w:rPr>
        <w:t xml:space="preserve"> 26 </w:t>
      </w:r>
      <w:r w:rsidRPr="007F0E1B">
        <w:rPr>
          <w:rFonts w:ascii="Times New Roman" w:hAnsi="Times New Roman" w:cs="Times New Roman"/>
          <w:sz w:val="24"/>
          <w:szCs w:val="24"/>
        </w:rPr>
        <w:t>Februari</w:t>
      </w:r>
      <w:r w:rsidRPr="007F0E1B">
        <w:rPr>
          <w:rFonts w:ascii="Times New Roman" w:hAnsi="Times New Roman" w:cs="Times New Roman"/>
          <w:sz w:val="24"/>
          <w:szCs w:val="24"/>
        </w:rPr>
        <w:t xml:space="preserve"> 2015.</w:t>
      </w:r>
    </w:p>
    <w:p w:rsidR="00BC7847" w:rsidP="00BC7847" w14:paraId="41CCB1A5" w14:textId="3673D4BE">
      <w:pPr>
        <w:pStyle w:val="ListParagraph"/>
        <w:numPr>
          <w:ilvl w:val="0"/>
          <w:numId w:val="47"/>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Analisis</w:t>
      </w:r>
      <w:r>
        <w:rPr>
          <w:rFonts w:ascii="Times New Roman" w:hAnsi="Times New Roman" w:cs="Times New Roman"/>
          <w:b/>
          <w:bCs/>
          <w:sz w:val="24"/>
          <w:szCs w:val="24"/>
        </w:rPr>
        <w:t xml:space="preserve"> Data</w:t>
      </w:r>
    </w:p>
    <w:p w:rsidR="00E8704F" w:rsidP="00486A74" w14:paraId="4F9D17F6" w14:textId="0C71ADDD">
      <w:pPr>
        <w:pStyle w:val="ListParagraph"/>
        <w:numPr>
          <w:ilvl w:val="1"/>
          <w:numId w:val="76"/>
        </w:numPr>
        <w:spacing w:after="0" w:line="480" w:lineRule="auto"/>
        <w:ind w:left="851" w:hanging="425"/>
        <w:rPr>
          <w:rFonts w:ascii="Times New Roman" w:hAnsi="Times New Roman" w:cs="Times New Roman"/>
          <w:b/>
          <w:bCs/>
          <w:sz w:val="24"/>
          <w:szCs w:val="24"/>
        </w:rPr>
      </w:pPr>
      <w:r>
        <w:rPr>
          <w:rFonts w:ascii="Times New Roman" w:hAnsi="Times New Roman" w:cs="Times New Roman"/>
          <w:b/>
          <w:bCs/>
          <w:sz w:val="24"/>
          <w:szCs w:val="24"/>
        </w:rPr>
        <w:t>Analisis</w:t>
      </w:r>
      <w:r>
        <w:rPr>
          <w:rFonts w:ascii="Times New Roman" w:hAnsi="Times New Roman" w:cs="Times New Roman"/>
          <w:b/>
          <w:bCs/>
          <w:sz w:val="24"/>
          <w:szCs w:val="24"/>
        </w:rPr>
        <w:t xml:space="preserve"> </w:t>
      </w:r>
      <w:r>
        <w:rPr>
          <w:rFonts w:ascii="Times New Roman" w:hAnsi="Times New Roman" w:cs="Times New Roman"/>
          <w:b/>
          <w:bCs/>
          <w:sz w:val="24"/>
          <w:szCs w:val="24"/>
        </w:rPr>
        <w:t>Deskriptif</w:t>
      </w:r>
      <w:r w:rsidR="002615FB">
        <w:rPr>
          <w:rFonts w:ascii="Times New Roman" w:hAnsi="Times New Roman" w:cs="Times New Roman"/>
          <w:b/>
          <w:bCs/>
          <w:sz w:val="24"/>
          <w:szCs w:val="24"/>
        </w:rPr>
        <w:t xml:space="preserve"> </w:t>
      </w:r>
      <w:r w:rsidR="002615FB">
        <w:rPr>
          <w:rFonts w:ascii="Times New Roman" w:hAnsi="Times New Roman" w:cs="Times New Roman"/>
          <w:b/>
          <w:bCs/>
          <w:sz w:val="24"/>
          <w:szCs w:val="24"/>
        </w:rPr>
        <w:t>Variabel</w:t>
      </w:r>
      <w:r w:rsidR="002615FB">
        <w:rPr>
          <w:rFonts w:ascii="Times New Roman" w:hAnsi="Times New Roman" w:cs="Times New Roman"/>
          <w:b/>
          <w:bCs/>
          <w:sz w:val="24"/>
          <w:szCs w:val="24"/>
        </w:rPr>
        <w:t xml:space="preserve"> </w:t>
      </w:r>
      <w:r w:rsidR="002615FB">
        <w:rPr>
          <w:rFonts w:ascii="Times New Roman" w:hAnsi="Times New Roman" w:cs="Times New Roman"/>
          <w:b/>
          <w:bCs/>
          <w:sz w:val="24"/>
          <w:szCs w:val="24"/>
        </w:rPr>
        <w:t>Penelitian</w:t>
      </w:r>
    </w:p>
    <w:p w:rsidR="00C22428" w:rsidRPr="002615FB" w:rsidP="002615FB" w14:paraId="4048D922" w14:textId="48C15C38">
      <w:pPr>
        <w:pStyle w:val="ListParagraph"/>
        <w:spacing w:after="0" w:line="480" w:lineRule="auto"/>
        <w:ind w:left="851" w:firstLine="589"/>
        <w:jc w:val="both"/>
        <w:rPr>
          <w:rFonts w:ascii="Times New Roman" w:hAnsi="Times New Roman" w:cs="Times New Roman"/>
          <w:sz w:val="24"/>
          <w:szCs w:val="24"/>
        </w:rPr>
      </w:pPr>
      <w:r w:rsidRPr="00486A74">
        <w:rPr>
          <w:rFonts w:ascii="Times New Roman" w:hAnsi="Times New Roman" w:cs="Times New Roman"/>
          <w:sz w:val="24"/>
          <w:szCs w:val="24"/>
        </w:rPr>
        <w:t>Analisis</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statistik</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deskriptif</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adalah</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metode</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untuk</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mendeskripsikan</w:t>
      </w:r>
      <w:r w:rsidRPr="00486A74">
        <w:rPr>
          <w:rFonts w:ascii="Times New Roman" w:hAnsi="Times New Roman" w:cs="Times New Roman"/>
          <w:sz w:val="24"/>
          <w:szCs w:val="24"/>
        </w:rPr>
        <w:t>,</w:t>
      </w:r>
      <w:r>
        <w:rPr>
          <w:rFonts w:ascii="Times New Roman" w:hAnsi="Times New Roman" w:cs="Times New Roman"/>
          <w:sz w:val="24"/>
          <w:szCs w:val="24"/>
        </w:rPr>
        <w:t xml:space="preserve"> </w:t>
      </w:r>
      <w:r w:rsidRPr="00486A74">
        <w:rPr>
          <w:rFonts w:ascii="Times New Roman" w:hAnsi="Times New Roman" w:cs="Times New Roman"/>
          <w:sz w:val="24"/>
          <w:szCs w:val="24"/>
        </w:rPr>
        <w:t>meringkas</w:t>
      </w:r>
      <w:r w:rsidRPr="00486A74">
        <w:rPr>
          <w:rFonts w:ascii="Times New Roman" w:hAnsi="Times New Roman" w:cs="Times New Roman"/>
          <w:sz w:val="24"/>
          <w:szCs w:val="24"/>
        </w:rPr>
        <w:t xml:space="preserve">, dan </w:t>
      </w:r>
      <w:r w:rsidRPr="00486A74">
        <w:rPr>
          <w:rFonts w:ascii="Times New Roman" w:hAnsi="Times New Roman" w:cs="Times New Roman"/>
          <w:sz w:val="24"/>
          <w:szCs w:val="24"/>
        </w:rPr>
        <w:t>menganalisis</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karakteristik</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dasar</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dari</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suatu</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kumpulan</w:t>
      </w:r>
      <w:r w:rsidRPr="00486A74">
        <w:rPr>
          <w:rFonts w:ascii="Times New Roman" w:hAnsi="Times New Roman" w:cs="Times New Roman"/>
          <w:sz w:val="24"/>
          <w:szCs w:val="24"/>
        </w:rPr>
        <w:t xml:space="preserve"> data </w:t>
      </w:r>
      <w:r w:rsidRPr="00486A74">
        <w:rPr>
          <w:rFonts w:ascii="Times New Roman" w:hAnsi="Times New Roman" w:cs="Times New Roman"/>
          <w:sz w:val="24"/>
          <w:szCs w:val="24"/>
        </w:rPr>
        <w:t>secara</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sistematis</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Analisis</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statistik</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deskriptif</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digunakan</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untuk</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memberikan</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gambaran</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mengenai</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distribusi</w:t>
      </w:r>
      <w:r w:rsidRPr="00486A74">
        <w:rPr>
          <w:rFonts w:ascii="Times New Roman" w:hAnsi="Times New Roman" w:cs="Times New Roman"/>
          <w:sz w:val="24"/>
          <w:szCs w:val="24"/>
        </w:rPr>
        <w:t xml:space="preserve"> dan </w:t>
      </w:r>
      <w:r w:rsidRPr="00486A74">
        <w:rPr>
          <w:rFonts w:ascii="Times New Roman" w:hAnsi="Times New Roman" w:cs="Times New Roman"/>
          <w:sz w:val="24"/>
          <w:szCs w:val="24"/>
        </w:rPr>
        <w:t>perilaku</w:t>
      </w:r>
      <w:r w:rsidRPr="00486A74">
        <w:rPr>
          <w:rFonts w:ascii="Times New Roman" w:hAnsi="Times New Roman" w:cs="Times New Roman"/>
          <w:sz w:val="24"/>
          <w:szCs w:val="24"/>
        </w:rPr>
        <w:t xml:space="preserve"> data </w:t>
      </w:r>
      <w:r w:rsidRPr="00486A74">
        <w:rPr>
          <w:rFonts w:ascii="Times New Roman" w:hAnsi="Times New Roman" w:cs="Times New Roman"/>
          <w:sz w:val="24"/>
          <w:szCs w:val="24"/>
        </w:rPr>
        <w:t>sampel</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penelitian</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dengan</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melihat</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nilai</w:t>
      </w:r>
      <w:r w:rsidRPr="00486A74">
        <w:rPr>
          <w:rFonts w:ascii="Times New Roman" w:hAnsi="Times New Roman" w:cs="Times New Roman"/>
          <w:sz w:val="24"/>
          <w:szCs w:val="24"/>
        </w:rPr>
        <w:t xml:space="preserve"> minimum, </w:t>
      </w:r>
      <w:r w:rsidRPr="00486A74">
        <w:rPr>
          <w:rFonts w:ascii="Times New Roman" w:hAnsi="Times New Roman" w:cs="Times New Roman"/>
          <w:sz w:val="24"/>
          <w:szCs w:val="24"/>
        </w:rPr>
        <w:t>nilai</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ma</w:t>
      </w:r>
      <w:r w:rsidR="00D958F8">
        <w:rPr>
          <w:rFonts w:ascii="Times New Roman" w:hAnsi="Times New Roman" w:cs="Times New Roman"/>
          <w:sz w:val="24"/>
          <w:szCs w:val="24"/>
        </w:rPr>
        <w:t>ks</w:t>
      </w:r>
      <w:r w:rsidRPr="00486A74">
        <w:rPr>
          <w:rFonts w:ascii="Times New Roman" w:hAnsi="Times New Roman" w:cs="Times New Roman"/>
          <w:sz w:val="24"/>
          <w:szCs w:val="24"/>
        </w:rPr>
        <w:t>imum</w:t>
      </w:r>
      <w:r w:rsidRPr="00486A74">
        <w:rPr>
          <w:rFonts w:ascii="Times New Roman" w:hAnsi="Times New Roman" w:cs="Times New Roman"/>
          <w:sz w:val="24"/>
          <w:szCs w:val="24"/>
        </w:rPr>
        <w:t>, rata – rata (</w:t>
      </w:r>
      <w:r w:rsidRPr="008937C2">
        <w:rPr>
          <w:rFonts w:ascii="Times New Roman" w:hAnsi="Times New Roman" w:cs="Times New Roman"/>
          <w:i/>
          <w:iCs/>
          <w:sz w:val="24"/>
          <w:szCs w:val="24"/>
        </w:rPr>
        <w:t>mean</w:t>
      </w:r>
      <w:r w:rsidRPr="00486A74">
        <w:rPr>
          <w:rFonts w:ascii="Times New Roman" w:hAnsi="Times New Roman" w:cs="Times New Roman"/>
          <w:sz w:val="24"/>
          <w:szCs w:val="24"/>
        </w:rPr>
        <w:t xml:space="preserve">), dan </w:t>
      </w:r>
      <w:r w:rsidRPr="00486A74">
        <w:rPr>
          <w:rFonts w:ascii="Times New Roman" w:hAnsi="Times New Roman" w:cs="Times New Roman"/>
          <w:sz w:val="24"/>
          <w:szCs w:val="24"/>
        </w:rPr>
        <w:t>standar</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deviasi</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dari</w:t>
      </w:r>
      <w:r w:rsidRPr="00486A74">
        <w:rPr>
          <w:rFonts w:ascii="Times New Roman" w:hAnsi="Times New Roman" w:cs="Times New Roman"/>
          <w:sz w:val="24"/>
          <w:szCs w:val="24"/>
        </w:rPr>
        <w:t xml:space="preserve"> masing-masing </w:t>
      </w:r>
      <w:r w:rsidRPr="00486A74">
        <w:rPr>
          <w:rFonts w:ascii="Times New Roman" w:hAnsi="Times New Roman" w:cs="Times New Roman"/>
          <w:sz w:val="24"/>
          <w:szCs w:val="24"/>
        </w:rPr>
        <w:t>variabel</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independen</w:t>
      </w:r>
      <w:r w:rsidRPr="00486A74">
        <w:rPr>
          <w:rFonts w:ascii="Times New Roman" w:hAnsi="Times New Roman" w:cs="Times New Roman"/>
          <w:sz w:val="24"/>
          <w:szCs w:val="24"/>
        </w:rPr>
        <w:t xml:space="preserve"> dan </w:t>
      </w:r>
      <w:r w:rsidRPr="00486A74">
        <w:rPr>
          <w:rFonts w:ascii="Times New Roman" w:hAnsi="Times New Roman" w:cs="Times New Roman"/>
          <w:sz w:val="24"/>
          <w:szCs w:val="24"/>
        </w:rPr>
        <w:t>variabel</w:t>
      </w:r>
      <w:r w:rsidRPr="00486A74">
        <w:rPr>
          <w:rFonts w:ascii="Times New Roman" w:hAnsi="Times New Roman" w:cs="Times New Roman"/>
          <w:sz w:val="24"/>
          <w:szCs w:val="24"/>
        </w:rPr>
        <w:t xml:space="preserve"> </w:t>
      </w:r>
      <w:r w:rsidRPr="00486A74">
        <w:rPr>
          <w:rFonts w:ascii="Times New Roman" w:hAnsi="Times New Roman" w:cs="Times New Roman"/>
          <w:sz w:val="24"/>
          <w:szCs w:val="24"/>
        </w:rPr>
        <w:t>dependen</w:t>
      </w:r>
      <w:r w:rsidRPr="00486A74">
        <w:rPr>
          <w:rFonts w:ascii="Times New Roman" w:hAnsi="Times New Roman" w:cs="Times New Roman"/>
          <w:sz w:val="24"/>
          <w:szCs w:val="24"/>
        </w:rPr>
        <w:t>.</w:t>
      </w:r>
      <w:r>
        <w:rPr>
          <w:rFonts w:ascii="Times New Roman" w:hAnsi="Times New Roman" w:cs="Times New Roman"/>
          <w:sz w:val="24"/>
          <w:szCs w:val="24"/>
        </w:rPr>
        <w:t xml:space="preserve"> Pada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jumlah</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sampel</w:t>
      </w:r>
      <w:r w:rsidR="00FB32FC">
        <w:rPr>
          <w:rFonts w:ascii="Times New Roman" w:hAnsi="Times New Roman" w:cs="Times New Roman"/>
          <w:sz w:val="24"/>
          <w:szCs w:val="24"/>
        </w:rPr>
        <w:t xml:space="preserve"> yang </w:t>
      </w:r>
      <w:r w:rsidR="00FB32FC">
        <w:rPr>
          <w:rFonts w:ascii="Times New Roman" w:hAnsi="Times New Roman" w:cs="Times New Roman"/>
          <w:sz w:val="24"/>
          <w:szCs w:val="24"/>
        </w:rPr>
        <w:t>digunakan</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sebanyak</w:t>
      </w:r>
      <w:r w:rsidR="00FB32FC">
        <w:rPr>
          <w:rFonts w:ascii="Times New Roman" w:hAnsi="Times New Roman" w:cs="Times New Roman"/>
          <w:sz w:val="24"/>
          <w:szCs w:val="24"/>
        </w:rPr>
        <w:t xml:space="preserve"> 23 </w:t>
      </w:r>
      <w:r w:rsidR="00FB32FC">
        <w:rPr>
          <w:rFonts w:ascii="Times New Roman" w:hAnsi="Times New Roman" w:cs="Times New Roman"/>
          <w:sz w:val="24"/>
          <w:szCs w:val="24"/>
        </w:rPr>
        <w:t>perusahaan</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dengan</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periode</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tahun</w:t>
      </w:r>
      <w:r w:rsidR="00FB32FC">
        <w:rPr>
          <w:rFonts w:ascii="Times New Roman" w:hAnsi="Times New Roman" w:cs="Times New Roman"/>
          <w:sz w:val="24"/>
          <w:szCs w:val="24"/>
        </w:rPr>
        <w:t xml:space="preserve"> 2019-2023 </w:t>
      </w:r>
      <w:r w:rsidR="00FB32FC">
        <w:rPr>
          <w:rFonts w:ascii="Times New Roman" w:hAnsi="Times New Roman" w:cs="Times New Roman"/>
          <w:sz w:val="24"/>
          <w:szCs w:val="24"/>
        </w:rPr>
        <w:t>menghasilkan</w:t>
      </w:r>
      <w:r w:rsidR="00FB32FC">
        <w:rPr>
          <w:rFonts w:ascii="Times New Roman" w:hAnsi="Times New Roman" w:cs="Times New Roman"/>
          <w:sz w:val="24"/>
          <w:szCs w:val="24"/>
        </w:rPr>
        <w:t xml:space="preserve"> data </w:t>
      </w:r>
      <w:r w:rsidR="00FB32FC">
        <w:rPr>
          <w:rFonts w:ascii="Times New Roman" w:hAnsi="Times New Roman" w:cs="Times New Roman"/>
          <w:sz w:val="24"/>
          <w:szCs w:val="24"/>
        </w:rPr>
        <w:t>sebanyak</w:t>
      </w:r>
      <w:r w:rsidR="00FB32FC">
        <w:rPr>
          <w:rFonts w:ascii="Times New Roman" w:hAnsi="Times New Roman" w:cs="Times New Roman"/>
          <w:sz w:val="24"/>
          <w:szCs w:val="24"/>
        </w:rPr>
        <w:t xml:space="preserve"> 115 data </w:t>
      </w:r>
      <w:r w:rsidR="00FB32FC">
        <w:rPr>
          <w:rFonts w:ascii="Times New Roman" w:hAnsi="Times New Roman" w:cs="Times New Roman"/>
          <w:sz w:val="24"/>
          <w:szCs w:val="24"/>
        </w:rPr>
        <w:t>laporan</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keuangan</w:t>
      </w:r>
      <w:r w:rsidR="00FB32FC">
        <w:rPr>
          <w:rFonts w:ascii="Times New Roman" w:hAnsi="Times New Roman" w:cs="Times New Roman"/>
          <w:sz w:val="24"/>
          <w:szCs w:val="24"/>
        </w:rPr>
        <w:t xml:space="preserve">. Hasil </w:t>
      </w:r>
      <w:r w:rsidR="00FB32FC">
        <w:rPr>
          <w:rFonts w:ascii="Times New Roman" w:hAnsi="Times New Roman" w:cs="Times New Roman"/>
          <w:sz w:val="24"/>
          <w:szCs w:val="24"/>
        </w:rPr>
        <w:t>analisis</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deskriptif</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tersaji</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dalam</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tabel</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sebagai</w:t>
      </w:r>
      <w:r w:rsidR="00FB32FC">
        <w:rPr>
          <w:rFonts w:ascii="Times New Roman" w:hAnsi="Times New Roman" w:cs="Times New Roman"/>
          <w:sz w:val="24"/>
          <w:szCs w:val="24"/>
        </w:rPr>
        <w:t xml:space="preserve"> </w:t>
      </w:r>
      <w:r w:rsidR="00FB32FC">
        <w:rPr>
          <w:rFonts w:ascii="Times New Roman" w:hAnsi="Times New Roman" w:cs="Times New Roman"/>
          <w:sz w:val="24"/>
          <w:szCs w:val="24"/>
        </w:rPr>
        <w:t>berikut</w:t>
      </w:r>
      <w:r w:rsidR="00FB32FC">
        <w:rPr>
          <w:rFonts w:ascii="Times New Roman" w:hAnsi="Times New Roman" w:cs="Times New Roman"/>
          <w:sz w:val="24"/>
          <w:szCs w:val="24"/>
        </w:rPr>
        <w:t>:</w:t>
      </w:r>
    </w:p>
    <w:p w:rsidR="009303FA" w:rsidRPr="00C22428" w:rsidP="00C22428" w14:paraId="6229338E" w14:textId="34EE0EB6">
      <w:pPr>
        <w:pStyle w:val="ListParagraph"/>
        <w:spacing w:after="0" w:line="240" w:lineRule="auto"/>
        <w:ind w:left="851" w:firstLine="589"/>
        <w:jc w:val="center"/>
        <w:rPr>
          <w:rFonts w:ascii="Times New Roman" w:hAnsi="Times New Roman" w:cs="Times New Roman"/>
          <w:sz w:val="24"/>
          <w:szCs w:val="24"/>
        </w:rPr>
      </w:pPr>
      <w:r w:rsidRPr="00C22428">
        <w:rPr>
          <w:rFonts w:ascii="Times New Roman" w:hAnsi="Times New Roman" w:cs="Times New Roman"/>
          <w:b/>
          <w:bCs/>
          <w:sz w:val="24"/>
          <w:szCs w:val="24"/>
        </w:rPr>
        <w:t xml:space="preserve">Tabel </w:t>
      </w:r>
      <w:r w:rsidRPr="00C22428" w:rsidR="00E20D14">
        <w:rPr>
          <w:rFonts w:ascii="Times New Roman" w:hAnsi="Times New Roman" w:cs="Times New Roman"/>
          <w:b/>
          <w:bCs/>
          <w:sz w:val="24"/>
          <w:szCs w:val="24"/>
        </w:rPr>
        <w:t>10</w:t>
      </w:r>
    </w:p>
    <w:p w:rsidR="00FB32FC" w:rsidRPr="009303FA" w:rsidP="00B80896" w14:paraId="7409AB83" w14:textId="7691E7E5">
      <w:pPr>
        <w:pStyle w:val="ListParagraph"/>
        <w:spacing w:after="0" w:line="240" w:lineRule="auto"/>
        <w:ind w:left="851" w:firstLine="589"/>
        <w:jc w:val="center"/>
        <w:rPr>
          <w:rFonts w:ascii="Times New Roman" w:hAnsi="Times New Roman" w:cs="Times New Roman"/>
          <w:b/>
          <w:bCs/>
          <w:sz w:val="24"/>
          <w:szCs w:val="24"/>
        </w:rPr>
      </w:pPr>
      <w:r w:rsidRPr="009303FA">
        <w:rPr>
          <w:rFonts w:ascii="Times New Roman" w:hAnsi="Times New Roman" w:cs="Times New Roman"/>
          <w:b/>
          <w:bCs/>
          <w:sz w:val="24"/>
          <w:szCs w:val="24"/>
        </w:rPr>
        <w:t xml:space="preserve">Hasil </w:t>
      </w:r>
      <w:r w:rsidRPr="009303FA">
        <w:rPr>
          <w:rFonts w:ascii="Times New Roman" w:hAnsi="Times New Roman" w:cs="Times New Roman"/>
          <w:b/>
          <w:bCs/>
          <w:sz w:val="24"/>
          <w:szCs w:val="24"/>
        </w:rPr>
        <w:t>Analisis</w:t>
      </w:r>
      <w:r w:rsidRPr="009303FA">
        <w:rPr>
          <w:rFonts w:ascii="Times New Roman" w:hAnsi="Times New Roman" w:cs="Times New Roman"/>
          <w:b/>
          <w:bCs/>
          <w:sz w:val="24"/>
          <w:szCs w:val="24"/>
        </w:rPr>
        <w:t xml:space="preserve"> </w:t>
      </w:r>
      <w:r w:rsidRPr="009303FA">
        <w:rPr>
          <w:rFonts w:ascii="Times New Roman" w:hAnsi="Times New Roman" w:cs="Times New Roman"/>
          <w:b/>
          <w:bCs/>
          <w:sz w:val="24"/>
          <w:szCs w:val="24"/>
        </w:rPr>
        <w:t>Statistik</w:t>
      </w:r>
      <w:r w:rsidRPr="009303FA">
        <w:rPr>
          <w:rFonts w:ascii="Times New Roman" w:hAnsi="Times New Roman" w:cs="Times New Roman"/>
          <w:b/>
          <w:bCs/>
          <w:sz w:val="24"/>
          <w:szCs w:val="24"/>
        </w:rPr>
        <w:t xml:space="preserve"> </w:t>
      </w:r>
      <w:r w:rsidRPr="009303FA">
        <w:rPr>
          <w:rFonts w:ascii="Times New Roman" w:hAnsi="Times New Roman" w:cs="Times New Roman"/>
          <w:b/>
          <w:bCs/>
          <w:sz w:val="24"/>
          <w:szCs w:val="24"/>
        </w:rPr>
        <w:t>Deskriptif</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11"/>
        <w:gridCol w:w="524"/>
        <w:gridCol w:w="1134"/>
        <w:gridCol w:w="1134"/>
        <w:gridCol w:w="1134"/>
        <w:gridCol w:w="1418"/>
      </w:tblGrid>
      <w:tr w14:paraId="1F9A1653" w14:textId="77777777" w:rsidTr="00A37732">
        <w:tblPrEx>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7655" w:type="dxa"/>
            <w:gridSpan w:val="6"/>
            <w:shd w:val="clear" w:color="auto" w:fill="FFFFFF"/>
            <w:vAlign w:val="center"/>
          </w:tcPr>
          <w:p w:rsidR="00FB32FC" w:rsidRPr="009303FA" w:rsidP="009303FA" w14:paraId="3205B268"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9303FA">
              <w:rPr>
                <w:rFonts w:ascii="Times New Roman" w:hAnsi="Times New Roman" w:cs="Times New Roman"/>
                <w:b/>
                <w:bCs/>
                <w:color w:val="010205"/>
                <w:sz w:val="20"/>
                <w:szCs w:val="20"/>
              </w:rPr>
              <w:t>Descriptive Statistics</w:t>
            </w:r>
          </w:p>
        </w:tc>
      </w:tr>
      <w:tr w14:paraId="65EB7733" w14:textId="77777777" w:rsidTr="00C22428">
        <w:tblPrEx>
          <w:tblW w:w="7655" w:type="dxa"/>
          <w:tblInd w:w="562" w:type="dxa"/>
          <w:tblLayout w:type="fixed"/>
          <w:tblCellMar>
            <w:left w:w="0" w:type="dxa"/>
            <w:right w:w="0" w:type="dxa"/>
          </w:tblCellMar>
          <w:tblLook w:val="0000"/>
        </w:tblPrEx>
        <w:trPr>
          <w:cantSplit/>
        </w:trPr>
        <w:tc>
          <w:tcPr>
            <w:tcW w:w="2311" w:type="dxa"/>
            <w:shd w:val="clear" w:color="auto" w:fill="FFFFFF"/>
            <w:vAlign w:val="bottom"/>
          </w:tcPr>
          <w:p w:rsidR="00FB32FC" w:rsidRPr="009303FA" w:rsidP="009303FA" w14:paraId="7557401F" w14:textId="77777777">
            <w:pPr>
              <w:autoSpaceDE w:val="0"/>
              <w:autoSpaceDN w:val="0"/>
              <w:adjustRightInd w:val="0"/>
              <w:spacing w:after="0" w:line="240" w:lineRule="auto"/>
              <w:rPr>
                <w:rFonts w:ascii="Times New Roman" w:hAnsi="Times New Roman" w:cs="Times New Roman"/>
                <w:sz w:val="20"/>
                <w:szCs w:val="20"/>
              </w:rPr>
            </w:pPr>
          </w:p>
        </w:tc>
        <w:tc>
          <w:tcPr>
            <w:tcW w:w="524" w:type="dxa"/>
            <w:shd w:val="clear" w:color="auto" w:fill="FFFFFF"/>
            <w:vAlign w:val="bottom"/>
          </w:tcPr>
          <w:p w:rsidR="00FB32FC" w:rsidRPr="009303FA" w:rsidP="009303FA" w14:paraId="2F43DA87"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N</w:t>
            </w:r>
          </w:p>
        </w:tc>
        <w:tc>
          <w:tcPr>
            <w:tcW w:w="1134" w:type="dxa"/>
            <w:shd w:val="clear" w:color="auto" w:fill="FFFFFF"/>
            <w:vAlign w:val="bottom"/>
          </w:tcPr>
          <w:p w:rsidR="00FB32FC" w:rsidRPr="009303FA" w:rsidP="009303FA" w14:paraId="59232ADC"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Minimum</w:t>
            </w:r>
          </w:p>
        </w:tc>
        <w:tc>
          <w:tcPr>
            <w:tcW w:w="1134" w:type="dxa"/>
            <w:shd w:val="clear" w:color="auto" w:fill="FFFFFF"/>
            <w:vAlign w:val="bottom"/>
          </w:tcPr>
          <w:p w:rsidR="00FB32FC" w:rsidRPr="009303FA" w:rsidP="009303FA" w14:paraId="35300E24"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Maximum</w:t>
            </w:r>
          </w:p>
        </w:tc>
        <w:tc>
          <w:tcPr>
            <w:tcW w:w="1134" w:type="dxa"/>
            <w:shd w:val="clear" w:color="auto" w:fill="FFFFFF"/>
            <w:vAlign w:val="bottom"/>
          </w:tcPr>
          <w:p w:rsidR="00FB32FC" w:rsidRPr="009303FA" w:rsidP="009303FA" w14:paraId="0F9B5B37"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Mean</w:t>
            </w:r>
          </w:p>
        </w:tc>
        <w:tc>
          <w:tcPr>
            <w:tcW w:w="1418" w:type="dxa"/>
            <w:shd w:val="clear" w:color="auto" w:fill="FFFFFF"/>
            <w:vAlign w:val="bottom"/>
          </w:tcPr>
          <w:p w:rsidR="00FB32FC" w:rsidRPr="009303FA" w:rsidP="009303FA" w14:paraId="5607022E"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Std. Deviation</w:t>
            </w:r>
          </w:p>
        </w:tc>
      </w:tr>
      <w:tr w14:paraId="74DA6B5A" w14:textId="77777777" w:rsidTr="00C22428">
        <w:tblPrEx>
          <w:tblW w:w="7655" w:type="dxa"/>
          <w:tblInd w:w="562" w:type="dxa"/>
          <w:tblLayout w:type="fixed"/>
          <w:tblCellMar>
            <w:left w:w="0" w:type="dxa"/>
            <w:right w:w="0" w:type="dxa"/>
          </w:tblCellMar>
          <w:tblLook w:val="0000"/>
        </w:tblPrEx>
        <w:trPr>
          <w:cantSplit/>
          <w:trHeight w:val="356"/>
        </w:trPr>
        <w:tc>
          <w:tcPr>
            <w:tcW w:w="2311" w:type="dxa"/>
            <w:shd w:val="clear" w:color="auto" w:fill="E0E0E0"/>
          </w:tcPr>
          <w:p w:rsidR="00FB32FC" w:rsidRPr="009303FA" w:rsidP="009303FA" w14:paraId="1548CD3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Corporate Social Responsibility</w:t>
            </w:r>
          </w:p>
        </w:tc>
        <w:tc>
          <w:tcPr>
            <w:tcW w:w="524" w:type="dxa"/>
            <w:shd w:val="clear" w:color="auto" w:fill="F9F9FB"/>
          </w:tcPr>
          <w:p w:rsidR="00FB32FC" w:rsidRPr="009303FA" w:rsidP="009303FA" w14:paraId="24F5DA8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115</w:t>
            </w:r>
          </w:p>
        </w:tc>
        <w:tc>
          <w:tcPr>
            <w:tcW w:w="1134" w:type="dxa"/>
            <w:shd w:val="clear" w:color="auto" w:fill="F9F9FB"/>
          </w:tcPr>
          <w:p w:rsidR="00FB32FC" w:rsidRPr="009303FA" w:rsidP="009303FA" w14:paraId="06CE1AB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5.49</w:t>
            </w:r>
          </w:p>
        </w:tc>
        <w:tc>
          <w:tcPr>
            <w:tcW w:w="1134" w:type="dxa"/>
            <w:shd w:val="clear" w:color="auto" w:fill="F9F9FB"/>
          </w:tcPr>
          <w:p w:rsidR="00FB32FC" w:rsidRPr="009303FA" w:rsidP="009303FA" w14:paraId="2BE3502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67.03</w:t>
            </w:r>
          </w:p>
        </w:tc>
        <w:tc>
          <w:tcPr>
            <w:tcW w:w="1134" w:type="dxa"/>
            <w:shd w:val="clear" w:color="auto" w:fill="F9F9FB"/>
          </w:tcPr>
          <w:p w:rsidR="00FB32FC" w:rsidRPr="009303FA" w:rsidP="009303FA" w14:paraId="4A87673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32.7278</w:t>
            </w:r>
          </w:p>
        </w:tc>
        <w:tc>
          <w:tcPr>
            <w:tcW w:w="1418" w:type="dxa"/>
            <w:shd w:val="clear" w:color="auto" w:fill="F9F9FB"/>
          </w:tcPr>
          <w:p w:rsidR="00FB32FC" w:rsidRPr="009303FA" w:rsidP="009303FA" w14:paraId="478FDB3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16.58904</w:t>
            </w:r>
          </w:p>
        </w:tc>
      </w:tr>
      <w:tr w14:paraId="09E98E36" w14:textId="77777777" w:rsidTr="00C22428">
        <w:tblPrEx>
          <w:tblW w:w="7655" w:type="dxa"/>
          <w:tblInd w:w="562" w:type="dxa"/>
          <w:tblLayout w:type="fixed"/>
          <w:tblCellMar>
            <w:left w:w="0" w:type="dxa"/>
            <w:right w:w="0" w:type="dxa"/>
          </w:tblCellMar>
          <w:tblLook w:val="0000"/>
        </w:tblPrEx>
        <w:trPr>
          <w:cantSplit/>
        </w:trPr>
        <w:tc>
          <w:tcPr>
            <w:tcW w:w="2311" w:type="dxa"/>
            <w:shd w:val="clear" w:color="auto" w:fill="E0E0E0"/>
          </w:tcPr>
          <w:p w:rsidR="00FB32FC" w:rsidRPr="009303FA" w:rsidP="009303FA" w14:paraId="7A5564BC"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Green Banking</w:t>
            </w:r>
          </w:p>
        </w:tc>
        <w:tc>
          <w:tcPr>
            <w:tcW w:w="524" w:type="dxa"/>
            <w:shd w:val="clear" w:color="auto" w:fill="F9F9FB"/>
          </w:tcPr>
          <w:p w:rsidR="00FB32FC" w:rsidRPr="009303FA" w:rsidP="009303FA" w14:paraId="3906890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115</w:t>
            </w:r>
          </w:p>
        </w:tc>
        <w:tc>
          <w:tcPr>
            <w:tcW w:w="1134" w:type="dxa"/>
            <w:shd w:val="clear" w:color="auto" w:fill="F9F9FB"/>
          </w:tcPr>
          <w:p w:rsidR="00FB32FC" w:rsidRPr="009303FA" w:rsidP="009303FA" w14:paraId="4AC4318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25.00</w:t>
            </w:r>
          </w:p>
        </w:tc>
        <w:tc>
          <w:tcPr>
            <w:tcW w:w="1134" w:type="dxa"/>
            <w:shd w:val="clear" w:color="auto" w:fill="F9F9FB"/>
          </w:tcPr>
          <w:p w:rsidR="00FB32FC" w:rsidRPr="009303FA" w:rsidP="009303FA" w14:paraId="63ABF8C7"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81.25</w:t>
            </w:r>
          </w:p>
        </w:tc>
        <w:tc>
          <w:tcPr>
            <w:tcW w:w="1134" w:type="dxa"/>
            <w:shd w:val="clear" w:color="auto" w:fill="F9F9FB"/>
          </w:tcPr>
          <w:p w:rsidR="00FB32FC" w:rsidRPr="009303FA" w:rsidP="009303FA" w14:paraId="5773DF1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58.8043</w:t>
            </w:r>
          </w:p>
        </w:tc>
        <w:tc>
          <w:tcPr>
            <w:tcW w:w="1418" w:type="dxa"/>
            <w:shd w:val="clear" w:color="auto" w:fill="F9F9FB"/>
          </w:tcPr>
          <w:p w:rsidR="00FB32FC" w:rsidRPr="009303FA" w:rsidP="009303FA" w14:paraId="1342EF7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16.34620</w:t>
            </w:r>
          </w:p>
        </w:tc>
      </w:tr>
      <w:tr w14:paraId="2426D46D" w14:textId="77777777" w:rsidTr="00C22428">
        <w:tblPrEx>
          <w:tblW w:w="7655" w:type="dxa"/>
          <w:tblInd w:w="562" w:type="dxa"/>
          <w:tblLayout w:type="fixed"/>
          <w:tblCellMar>
            <w:left w:w="0" w:type="dxa"/>
            <w:right w:w="0" w:type="dxa"/>
          </w:tblCellMar>
          <w:tblLook w:val="0000"/>
        </w:tblPrEx>
        <w:trPr>
          <w:cantSplit/>
        </w:trPr>
        <w:tc>
          <w:tcPr>
            <w:tcW w:w="2311" w:type="dxa"/>
            <w:shd w:val="clear" w:color="auto" w:fill="E0E0E0"/>
          </w:tcPr>
          <w:p w:rsidR="00FB32FC" w:rsidRPr="009303FA" w:rsidP="009303FA" w14:paraId="6001694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Return On Assets</w:t>
            </w:r>
          </w:p>
        </w:tc>
        <w:tc>
          <w:tcPr>
            <w:tcW w:w="524" w:type="dxa"/>
            <w:shd w:val="clear" w:color="auto" w:fill="F9F9FB"/>
          </w:tcPr>
          <w:p w:rsidR="00FB32FC" w:rsidRPr="009303FA" w:rsidP="009303FA" w14:paraId="312FF94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115</w:t>
            </w:r>
          </w:p>
        </w:tc>
        <w:tc>
          <w:tcPr>
            <w:tcW w:w="1134" w:type="dxa"/>
            <w:shd w:val="clear" w:color="auto" w:fill="F9F9FB"/>
          </w:tcPr>
          <w:p w:rsidR="00FB32FC" w:rsidRPr="009303FA" w:rsidP="009303FA" w14:paraId="187B96C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-.73</w:t>
            </w:r>
          </w:p>
        </w:tc>
        <w:tc>
          <w:tcPr>
            <w:tcW w:w="1134" w:type="dxa"/>
            <w:shd w:val="clear" w:color="auto" w:fill="F9F9FB"/>
          </w:tcPr>
          <w:p w:rsidR="00FB32FC" w:rsidRPr="009303FA" w:rsidP="009303FA" w14:paraId="5855072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4.31</w:t>
            </w:r>
          </w:p>
        </w:tc>
        <w:tc>
          <w:tcPr>
            <w:tcW w:w="1134" w:type="dxa"/>
            <w:shd w:val="clear" w:color="auto" w:fill="F9F9FB"/>
          </w:tcPr>
          <w:p w:rsidR="00FB32FC" w:rsidRPr="009303FA" w:rsidP="009303FA" w14:paraId="5100EE8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1.7230</w:t>
            </w:r>
          </w:p>
        </w:tc>
        <w:tc>
          <w:tcPr>
            <w:tcW w:w="1418" w:type="dxa"/>
            <w:shd w:val="clear" w:color="auto" w:fill="F9F9FB"/>
          </w:tcPr>
          <w:p w:rsidR="00FB32FC" w:rsidRPr="009303FA" w:rsidP="009303FA" w14:paraId="2BCAF507"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1.13757</w:t>
            </w:r>
          </w:p>
        </w:tc>
      </w:tr>
      <w:tr w14:paraId="28453A6E" w14:textId="77777777" w:rsidTr="00C22428">
        <w:tblPrEx>
          <w:tblW w:w="7655" w:type="dxa"/>
          <w:tblInd w:w="562" w:type="dxa"/>
          <w:tblLayout w:type="fixed"/>
          <w:tblCellMar>
            <w:left w:w="0" w:type="dxa"/>
            <w:right w:w="0" w:type="dxa"/>
          </w:tblCellMar>
          <w:tblLook w:val="0000"/>
        </w:tblPrEx>
        <w:trPr>
          <w:cantSplit/>
        </w:trPr>
        <w:tc>
          <w:tcPr>
            <w:tcW w:w="2311" w:type="dxa"/>
            <w:shd w:val="clear" w:color="auto" w:fill="E0E0E0"/>
          </w:tcPr>
          <w:p w:rsidR="00FB32FC" w:rsidRPr="009303FA" w:rsidP="009303FA" w14:paraId="00B02CF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Return On Equity</w:t>
            </w:r>
          </w:p>
        </w:tc>
        <w:tc>
          <w:tcPr>
            <w:tcW w:w="524" w:type="dxa"/>
            <w:shd w:val="clear" w:color="auto" w:fill="F9F9FB"/>
          </w:tcPr>
          <w:p w:rsidR="00FB32FC" w:rsidRPr="009303FA" w:rsidP="009303FA" w14:paraId="01BAEC7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115</w:t>
            </w:r>
          </w:p>
        </w:tc>
        <w:tc>
          <w:tcPr>
            <w:tcW w:w="1134" w:type="dxa"/>
            <w:shd w:val="clear" w:color="auto" w:fill="F9F9FB"/>
          </w:tcPr>
          <w:p w:rsidR="00FB32FC" w:rsidRPr="009303FA" w:rsidP="009303FA" w14:paraId="7B0F0D36"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-6.02</w:t>
            </w:r>
          </w:p>
        </w:tc>
        <w:tc>
          <w:tcPr>
            <w:tcW w:w="1134" w:type="dxa"/>
            <w:shd w:val="clear" w:color="auto" w:fill="F9F9FB"/>
          </w:tcPr>
          <w:p w:rsidR="00FB32FC" w:rsidRPr="009303FA" w:rsidP="009303FA" w14:paraId="0B7AD6DA"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27.31</w:t>
            </w:r>
          </w:p>
        </w:tc>
        <w:tc>
          <w:tcPr>
            <w:tcW w:w="1134" w:type="dxa"/>
            <w:shd w:val="clear" w:color="auto" w:fill="F9F9FB"/>
          </w:tcPr>
          <w:p w:rsidR="00FB32FC" w:rsidRPr="009303FA" w:rsidP="009303FA" w14:paraId="029128AA"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9.7895</w:t>
            </w:r>
          </w:p>
        </w:tc>
        <w:tc>
          <w:tcPr>
            <w:tcW w:w="1418" w:type="dxa"/>
            <w:shd w:val="clear" w:color="auto" w:fill="F9F9FB"/>
          </w:tcPr>
          <w:p w:rsidR="00FB32FC" w:rsidRPr="009303FA" w:rsidP="009303FA" w14:paraId="15D1AF7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6.91964</w:t>
            </w:r>
          </w:p>
        </w:tc>
      </w:tr>
      <w:tr w14:paraId="0670484A" w14:textId="77777777" w:rsidTr="00C22428">
        <w:tblPrEx>
          <w:tblW w:w="7655" w:type="dxa"/>
          <w:tblInd w:w="562" w:type="dxa"/>
          <w:tblLayout w:type="fixed"/>
          <w:tblCellMar>
            <w:left w:w="0" w:type="dxa"/>
            <w:right w:w="0" w:type="dxa"/>
          </w:tblCellMar>
          <w:tblLook w:val="0000"/>
        </w:tblPrEx>
        <w:trPr>
          <w:cantSplit/>
        </w:trPr>
        <w:tc>
          <w:tcPr>
            <w:tcW w:w="2311" w:type="dxa"/>
            <w:shd w:val="clear" w:color="auto" w:fill="E0E0E0"/>
          </w:tcPr>
          <w:p w:rsidR="00FB32FC" w:rsidRPr="009303FA" w:rsidP="009303FA" w14:paraId="02DF6269"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Net Interest Margin</w:t>
            </w:r>
          </w:p>
        </w:tc>
        <w:tc>
          <w:tcPr>
            <w:tcW w:w="524" w:type="dxa"/>
            <w:shd w:val="clear" w:color="auto" w:fill="F9F9FB"/>
          </w:tcPr>
          <w:p w:rsidR="00FB32FC" w:rsidRPr="009303FA" w:rsidP="009303FA" w14:paraId="4ECEFE7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115</w:t>
            </w:r>
          </w:p>
        </w:tc>
        <w:tc>
          <w:tcPr>
            <w:tcW w:w="1134" w:type="dxa"/>
            <w:shd w:val="clear" w:color="auto" w:fill="F9F9FB"/>
          </w:tcPr>
          <w:p w:rsidR="00FB32FC" w:rsidRPr="009303FA" w:rsidP="009303FA" w14:paraId="76049DB4"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.47</w:t>
            </w:r>
          </w:p>
        </w:tc>
        <w:tc>
          <w:tcPr>
            <w:tcW w:w="1134" w:type="dxa"/>
            <w:shd w:val="clear" w:color="auto" w:fill="F9F9FB"/>
          </w:tcPr>
          <w:p w:rsidR="00FB32FC" w:rsidRPr="009303FA" w:rsidP="009303FA" w14:paraId="2A22F30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8.30</w:t>
            </w:r>
          </w:p>
        </w:tc>
        <w:tc>
          <w:tcPr>
            <w:tcW w:w="1134" w:type="dxa"/>
            <w:shd w:val="clear" w:color="auto" w:fill="F9F9FB"/>
          </w:tcPr>
          <w:p w:rsidR="00FB32FC" w:rsidRPr="009303FA" w:rsidP="009303FA" w14:paraId="19D16DD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5.0564</w:t>
            </w:r>
          </w:p>
        </w:tc>
        <w:tc>
          <w:tcPr>
            <w:tcW w:w="1418" w:type="dxa"/>
            <w:shd w:val="clear" w:color="auto" w:fill="F9F9FB"/>
          </w:tcPr>
          <w:p w:rsidR="00FB32FC" w:rsidRPr="009303FA" w:rsidP="009303FA" w14:paraId="1270A4D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1.34117</w:t>
            </w:r>
          </w:p>
        </w:tc>
      </w:tr>
      <w:tr w14:paraId="4B1F8845" w14:textId="77777777" w:rsidTr="00C22428">
        <w:tblPrEx>
          <w:tblW w:w="7655" w:type="dxa"/>
          <w:tblInd w:w="562" w:type="dxa"/>
          <w:tblLayout w:type="fixed"/>
          <w:tblCellMar>
            <w:left w:w="0" w:type="dxa"/>
            <w:right w:w="0" w:type="dxa"/>
          </w:tblCellMar>
          <w:tblLook w:val="0000"/>
        </w:tblPrEx>
        <w:trPr>
          <w:cantSplit/>
        </w:trPr>
        <w:tc>
          <w:tcPr>
            <w:tcW w:w="2311" w:type="dxa"/>
            <w:shd w:val="clear" w:color="auto" w:fill="E0E0E0"/>
          </w:tcPr>
          <w:p w:rsidR="00FB32FC" w:rsidRPr="009303FA" w:rsidP="009303FA" w14:paraId="1C91E83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Valid N (listwise)</w:t>
            </w:r>
          </w:p>
        </w:tc>
        <w:tc>
          <w:tcPr>
            <w:tcW w:w="524" w:type="dxa"/>
            <w:shd w:val="clear" w:color="auto" w:fill="F9F9FB"/>
          </w:tcPr>
          <w:p w:rsidR="00FB32FC" w:rsidRPr="009303FA" w:rsidP="009303FA" w14:paraId="2487768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115</w:t>
            </w:r>
          </w:p>
        </w:tc>
        <w:tc>
          <w:tcPr>
            <w:tcW w:w="1134" w:type="dxa"/>
            <w:shd w:val="clear" w:color="auto" w:fill="F9F9FB"/>
            <w:vAlign w:val="center"/>
          </w:tcPr>
          <w:p w:rsidR="00FB32FC" w:rsidRPr="009303FA" w:rsidP="009303FA" w14:paraId="7BDBEBDE" w14:textId="77777777">
            <w:pPr>
              <w:autoSpaceDE w:val="0"/>
              <w:autoSpaceDN w:val="0"/>
              <w:adjustRightInd w:val="0"/>
              <w:spacing w:after="0" w:line="240" w:lineRule="auto"/>
              <w:rPr>
                <w:rFonts w:ascii="Times New Roman" w:hAnsi="Times New Roman" w:cs="Times New Roman"/>
                <w:sz w:val="20"/>
                <w:szCs w:val="20"/>
              </w:rPr>
            </w:pPr>
          </w:p>
        </w:tc>
        <w:tc>
          <w:tcPr>
            <w:tcW w:w="1134" w:type="dxa"/>
            <w:shd w:val="clear" w:color="auto" w:fill="F9F9FB"/>
            <w:vAlign w:val="center"/>
          </w:tcPr>
          <w:p w:rsidR="00FB32FC" w:rsidRPr="009303FA" w:rsidP="009303FA" w14:paraId="3EF48C06" w14:textId="77777777">
            <w:pPr>
              <w:autoSpaceDE w:val="0"/>
              <w:autoSpaceDN w:val="0"/>
              <w:adjustRightInd w:val="0"/>
              <w:spacing w:after="0" w:line="240" w:lineRule="auto"/>
              <w:rPr>
                <w:rFonts w:ascii="Times New Roman" w:hAnsi="Times New Roman" w:cs="Times New Roman"/>
                <w:sz w:val="20"/>
                <w:szCs w:val="20"/>
              </w:rPr>
            </w:pPr>
          </w:p>
        </w:tc>
        <w:tc>
          <w:tcPr>
            <w:tcW w:w="1134" w:type="dxa"/>
            <w:shd w:val="clear" w:color="auto" w:fill="F9F9FB"/>
            <w:vAlign w:val="center"/>
          </w:tcPr>
          <w:p w:rsidR="00FB32FC" w:rsidRPr="009303FA" w:rsidP="009303FA" w14:paraId="46AC9D11" w14:textId="77777777">
            <w:pPr>
              <w:autoSpaceDE w:val="0"/>
              <w:autoSpaceDN w:val="0"/>
              <w:adjustRightInd w:val="0"/>
              <w:spacing w:after="0" w:line="240" w:lineRule="auto"/>
              <w:rPr>
                <w:rFonts w:ascii="Times New Roman" w:hAnsi="Times New Roman" w:cs="Times New Roman"/>
                <w:sz w:val="20"/>
                <w:szCs w:val="20"/>
              </w:rPr>
            </w:pPr>
          </w:p>
        </w:tc>
        <w:tc>
          <w:tcPr>
            <w:tcW w:w="1418" w:type="dxa"/>
            <w:shd w:val="clear" w:color="auto" w:fill="F9F9FB"/>
            <w:vAlign w:val="center"/>
          </w:tcPr>
          <w:p w:rsidR="00FB32FC" w:rsidRPr="009303FA" w:rsidP="009303FA" w14:paraId="67127BAD" w14:textId="77777777">
            <w:pPr>
              <w:autoSpaceDE w:val="0"/>
              <w:autoSpaceDN w:val="0"/>
              <w:adjustRightInd w:val="0"/>
              <w:spacing w:after="0" w:line="240" w:lineRule="auto"/>
              <w:rPr>
                <w:rFonts w:ascii="Times New Roman" w:hAnsi="Times New Roman" w:cs="Times New Roman"/>
                <w:sz w:val="20"/>
                <w:szCs w:val="20"/>
              </w:rPr>
            </w:pPr>
          </w:p>
        </w:tc>
      </w:tr>
    </w:tbl>
    <w:p w:rsidR="00FB32FC" w:rsidRPr="008D7897" w:rsidP="00FB32FC" w14:paraId="13BB928A" w14:textId="2076CB0A">
      <w:pPr>
        <w:autoSpaceDE w:val="0"/>
        <w:autoSpaceDN w:val="0"/>
        <w:adjustRightInd w:val="0"/>
        <w:spacing w:after="0" w:line="400" w:lineRule="atLeast"/>
        <w:rPr>
          <w:rFonts w:ascii="Times New Roman" w:hAnsi="Times New Roman" w:cs="Times New Roman"/>
          <w:b/>
          <w:bCs/>
          <w:sz w:val="24"/>
          <w:szCs w:val="24"/>
        </w:rPr>
      </w:pPr>
      <w:r>
        <w:rPr>
          <w:rFonts w:ascii="Times New Roman" w:hAnsi="Times New Roman" w:cs="Times New Roman"/>
          <w:sz w:val="24"/>
          <w:szCs w:val="24"/>
        </w:rPr>
        <w:tab/>
      </w: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 xml:space="preserve">: Data yang </w:t>
      </w:r>
      <w:r w:rsidRPr="008D7897">
        <w:rPr>
          <w:rFonts w:ascii="Times New Roman" w:hAnsi="Times New Roman" w:cs="Times New Roman"/>
          <w:b/>
          <w:bCs/>
          <w:sz w:val="24"/>
          <w:szCs w:val="24"/>
        </w:rPr>
        <w:t>diolah</w:t>
      </w:r>
      <w:r w:rsidRP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Pr>
          <w:rFonts w:ascii="Times New Roman" w:hAnsi="Times New Roman" w:cs="Times New Roman"/>
          <w:b/>
          <w:bCs/>
          <w:sz w:val="24"/>
          <w:szCs w:val="24"/>
        </w:rPr>
        <w:t>, 2024</w:t>
      </w:r>
    </w:p>
    <w:p w:rsidR="008D7897" w:rsidRPr="008D7897" w:rsidP="00FB32FC" w14:paraId="10C87EC1" w14:textId="77777777">
      <w:pPr>
        <w:autoSpaceDE w:val="0"/>
        <w:autoSpaceDN w:val="0"/>
        <w:adjustRightInd w:val="0"/>
        <w:spacing w:after="0" w:line="400" w:lineRule="atLeast"/>
        <w:rPr>
          <w:rFonts w:ascii="Times New Roman" w:hAnsi="Times New Roman" w:cs="Times New Roman"/>
          <w:b/>
          <w:bCs/>
          <w:sz w:val="24"/>
          <w:szCs w:val="24"/>
        </w:rPr>
      </w:pPr>
    </w:p>
    <w:p w:rsidR="00FB32FC" w:rsidP="00D958F8" w14:paraId="7C999B3C" w14:textId="7D965E94">
      <w:pPr>
        <w:pStyle w:val="ListParagraph"/>
        <w:spacing w:after="0" w:line="480" w:lineRule="auto"/>
        <w:ind w:left="851" w:firstLine="360"/>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tabel</w:t>
      </w:r>
      <w:r>
        <w:rPr>
          <w:rFonts w:ascii="Times New Roman" w:hAnsi="Times New Roman" w:cs="Times New Roman"/>
          <w:sz w:val="24"/>
          <w:szCs w:val="24"/>
        </w:rPr>
        <w:t xml:space="preserve"> </w:t>
      </w:r>
      <w:r>
        <w:rPr>
          <w:rFonts w:ascii="Times New Roman" w:hAnsi="Times New Roman" w:cs="Times New Roman"/>
          <w:sz w:val="24"/>
          <w:szCs w:val="24"/>
        </w:rPr>
        <w:t>diatas</w:t>
      </w:r>
      <w:r>
        <w:rPr>
          <w:rFonts w:ascii="Times New Roman" w:hAnsi="Times New Roman" w:cs="Times New Roman"/>
          <w:sz w:val="24"/>
          <w:szCs w:val="24"/>
        </w:rPr>
        <w:t xml:space="preserve">, </w:t>
      </w:r>
      <w:r w:rsidR="009E0450">
        <w:rPr>
          <w:rFonts w:ascii="Times New Roman" w:hAnsi="Times New Roman" w:cs="Times New Roman"/>
          <w:sz w:val="24"/>
          <w:szCs w:val="24"/>
        </w:rPr>
        <w:t>dapat</w:t>
      </w:r>
      <w:r w:rsidR="009E0450">
        <w:rPr>
          <w:rFonts w:ascii="Times New Roman" w:hAnsi="Times New Roman" w:cs="Times New Roman"/>
          <w:sz w:val="24"/>
          <w:szCs w:val="24"/>
        </w:rPr>
        <w:t xml:space="preserve"> </w:t>
      </w:r>
      <w:r w:rsidR="009E0450">
        <w:rPr>
          <w:rFonts w:ascii="Times New Roman" w:hAnsi="Times New Roman" w:cs="Times New Roman"/>
          <w:sz w:val="24"/>
          <w:szCs w:val="24"/>
        </w:rPr>
        <w:t>dijelaskan</w:t>
      </w:r>
      <w:r w:rsidR="009E0450">
        <w:rPr>
          <w:rFonts w:ascii="Times New Roman" w:hAnsi="Times New Roman" w:cs="Times New Roman"/>
          <w:sz w:val="24"/>
          <w:szCs w:val="24"/>
        </w:rPr>
        <w:t xml:space="preserve"> </w:t>
      </w:r>
      <w:r w:rsidR="009E0450">
        <w:rPr>
          <w:rFonts w:ascii="Times New Roman" w:hAnsi="Times New Roman" w:cs="Times New Roman"/>
          <w:sz w:val="24"/>
          <w:szCs w:val="24"/>
        </w:rPr>
        <w:t>hasil</w:t>
      </w:r>
      <w:r w:rsidR="009E0450">
        <w:rPr>
          <w:rFonts w:ascii="Times New Roman" w:hAnsi="Times New Roman" w:cs="Times New Roman"/>
          <w:sz w:val="24"/>
          <w:szCs w:val="24"/>
        </w:rPr>
        <w:t xml:space="preserve"> </w:t>
      </w:r>
      <w:r w:rsidR="009E0450">
        <w:rPr>
          <w:rFonts w:ascii="Times New Roman" w:hAnsi="Times New Roman" w:cs="Times New Roman"/>
          <w:sz w:val="24"/>
          <w:szCs w:val="24"/>
        </w:rPr>
        <w:t>analisis</w:t>
      </w:r>
      <w:r w:rsidR="009E0450">
        <w:rPr>
          <w:rFonts w:ascii="Times New Roman" w:hAnsi="Times New Roman" w:cs="Times New Roman"/>
          <w:sz w:val="24"/>
          <w:szCs w:val="24"/>
        </w:rPr>
        <w:t xml:space="preserve"> </w:t>
      </w:r>
      <w:r w:rsidR="009E0450">
        <w:rPr>
          <w:rFonts w:ascii="Times New Roman" w:hAnsi="Times New Roman" w:cs="Times New Roman"/>
          <w:sz w:val="24"/>
          <w:szCs w:val="24"/>
        </w:rPr>
        <w:t>sebagai</w:t>
      </w:r>
      <w:r w:rsidR="009E0450">
        <w:rPr>
          <w:rFonts w:ascii="Times New Roman" w:hAnsi="Times New Roman" w:cs="Times New Roman"/>
          <w:sz w:val="24"/>
          <w:szCs w:val="24"/>
        </w:rPr>
        <w:t xml:space="preserve"> </w:t>
      </w:r>
      <w:r w:rsidR="009E0450">
        <w:rPr>
          <w:rFonts w:ascii="Times New Roman" w:hAnsi="Times New Roman" w:cs="Times New Roman"/>
          <w:sz w:val="24"/>
          <w:szCs w:val="24"/>
        </w:rPr>
        <w:t>berikut</w:t>
      </w:r>
      <w:r w:rsidR="009E0450">
        <w:rPr>
          <w:rFonts w:ascii="Times New Roman" w:hAnsi="Times New Roman" w:cs="Times New Roman"/>
          <w:sz w:val="24"/>
          <w:szCs w:val="24"/>
        </w:rPr>
        <w:t>:</w:t>
      </w:r>
    </w:p>
    <w:p w:rsidR="009E0450" w:rsidP="009E0450" w14:paraId="6DCA1D89" w14:textId="275AC4E0">
      <w:pPr>
        <w:pStyle w:val="ListParagraph"/>
        <w:numPr>
          <w:ilvl w:val="0"/>
          <w:numId w:val="54"/>
        </w:numPr>
        <w:spacing w:after="0" w:line="480" w:lineRule="auto"/>
        <w:jc w:val="both"/>
        <w:rPr>
          <w:rFonts w:ascii="Times New Roman" w:hAnsi="Times New Roman" w:cs="Times New Roman"/>
          <w:sz w:val="24"/>
          <w:szCs w:val="24"/>
        </w:rPr>
      </w:pPr>
      <w:r w:rsidRPr="008937C2">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(CSR) </w:t>
      </w:r>
      <w:r>
        <w:rPr>
          <w:rFonts w:ascii="Times New Roman" w:hAnsi="Times New Roman" w:cs="Times New Roman"/>
          <w:sz w:val="24"/>
          <w:szCs w:val="24"/>
        </w:rPr>
        <w:t>variabel</w:t>
      </w:r>
      <w:r>
        <w:rPr>
          <w:rFonts w:ascii="Times New Roman" w:hAnsi="Times New Roman" w:cs="Times New Roman"/>
          <w:sz w:val="24"/>
          <w:szCs w:val="24"/>
        </w:rPr>
        <w:t xml:space="preserve"> X,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minimum </w:t>
      </w:r>
      <w:r>
        <w:rPr>
          <w:rFonts w:ascii="Times New Roman" w:hAnsi="Times New Roman" w:cs="Times New Roman"/>
          <w:sz w:val="24"/>
          <w:szCs w:val="24"/>
        </w:rPr>
        <w:t>sebesar</w:t>
      </w:r>
      <w:r>
        <w:rPr>
          <w:rFonts w:ascii="Times New Roman" w:hAnsi="Times New Roman" w:cs="Times New Roman"/>
          <w:sz w:val="24"/>
          <w:szCs w:val="24"/>
        </w:rPr>
        <w:t xml:space="preserve"> 5,49 dan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maksimum</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67,03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mean</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32,73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deviasinya</w:t>
      </w:r>
      <w:r>
        <w:rPr>
          <w:rFonts w:ascii="Times New Roman" w:hAnsi="Times New Roman" w:cs="Times New Roman"/>
          <w:sz w:val="24"/>
          <w:szCs w:val="24"/>
        </w:rPr>
        <w:t xml:space="preserve"> yang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kecil</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mean</w:t>
      </w:r>
      <w:r>
        <w:rPr>
          <w:rFonts w:ascii="Times New Roman" w:hAnsi="Times New Roman" w:cs="Times New Roman"/>
          <w:sz w:val="24"/>
          <w:szCs w:val="24"/>
        </w:rPr>
        <w:t xml:space="preserve"> </w:t>
      </w:r>
      <w:r>
        <w:rPr>
          <w:rFonts w:ascii="Times New Roman" w:hAnsi="Times New Roman" w:cs="Times New Roman"/>
          <w:sz w:val="24"/>
          <w:szCs w:val="24"/>
        </w:rPr>
        <w:t>nya</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16,59. Hal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data CSR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baik</w:t>
      </w:r>
      <w:r>
        <w:rPr>
          <w:rFonts w:ascii="Times New Roman" w:hAnsi="Times New Roman" w:cs="Times New Roman"/>
          <w:sz w:val="24"/>
          <w:szCs w:val="24"/>
        </w:rPr>
        <w:t xml:space="preserve"> dan </w:t>
      </w:r>
      <w:r>
        <w:rPr>
          <w:rFonts w:ascii="Times New Roman" w:hAnsi="Times New Roman" w:cs="Times New Roman"/>
          <w:sz w:val="24"/>
          <w:szCs w:val="24"/>
        </w:rPr>
        <w:t>tersebar</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normal.</w:t>
      </w:r>
    </w:p>
    <w:p w:rsidR="009E0450" w:rsidP="009E0450" w14:paraId="000BBDDA" w14:textId="3564E349">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statistik</w:t>
      </w:r>
      <w:r>
        <w:rPr>
          <w:rFonts w:ascii="Times New Roman" w:hAnsi="Times New Roman" w:cs="Times New Roman"/>
          <w:sz w:val="24"/>
          <w:szCs w:val="24"/>
        </w:rPr>
        <w:t xml:space="preserve"> </w:t>
      </w:r>
      <w:r>
        <w:rPr>
          <w:rFonts w:ascii="Times New Roman" w:hAnsi="Times New Roman" w:cs="Times New Roman"/>
          <w:sz w:val="24"/>
          <w:szCs w:val="24"/>
        </w:rPr>
        <w:t>deskriptif</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mediasi</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minimum dan </w:t>
      </w:r>
      <w:r>
        <w:rPr>
          <w:rFonts w:ascii="Times New Roman" w:hAnsi="Times New Roman" w:cs="Times New Roman"/>
          <w:sz w:val="24"/>
          <w:szCs w:val="24"/>
        </w:rPr>
        <w:t>maksimum</w:t>
      </w:r>
      <w:r>
        <w:rPr>
          <w:rFonts w:ascii="Times New Roman" w:hAnsi="Times New Roman" w:cs="Times New Roman"/>
          <w:sz w:val="24"/>
          <w:szCs w:val="24"/>
        </w:rPr>
        <w:t xml:space="preserve"> masing-masing </w:t>
      </w:r>
      <w:r>
        <w:rPr>
          <w:rFonts w:ascii="Times New Roman" w:hAnsi="Times New Roman" w:cs="Times New Roman"/>
          <w:sz w:val="24"/>
          <w:szCs w:val="24"/>
        </w:rPr>
        <w:t>sebesar</w:t>
      </w:r>
      <w:r>
        <w:rPr>
          <w:rFonts w:ascii="Times New Roman" w:hAnsi="Times New Roman" w:cs="Times New Roman"/>
          <w:sz w:val="24"/>
          <w:szCs w:val="24"/>
        </w:rPr>
        <w:t xml:space="preserve"> </w:t>
      </w:r>
      <w:r w:rsidR="004F1D6B">
        <w:rPr>
          <w:rFonts w:ascii="Times New Roman" w:hAnsi="Times New Roman" w:cs="Times New Roman"/>
          <w:sz w:val="24"/>
          <w:szCs w:val="24"/>
        </w:rPr>
        <w:t xml:space="preserve">25 dan 81,25 </w:t>
      </w:r>
      <w:r w:rsidR="004F1D6B">
        <w:rPr>
          <w:rFonts w:ascii="Times New Roman" w:hAnsi="Times New Roman" w:cs="Times New Roman"/>
          <w:sz w:val="24"/>
          <w:szCs w:val="24"/>
        </w:rPr>
        <w:t>dengan</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nilai</w:t>
      </w:r>
      <w:r w:rsidR="004F1D6B">
        <w:rPr>
          <w:rFonts w:ascii="Times New Roman" w:hAnsi="Times New Roman" w:cs="Times New Roman"/>
          <w:sz w:val="24"/>
          <w:szCs w:val="24"/>
        </w:rPr>
        <w:t xml:space="preserve"> rata-rata (</w:t>
      </w:r>
      <w:r w:rsidRPr="008937C2" w:rsidR="004F1D6B">
        <w:rPr>
          <w:rFonts w:ascii="Times New Roman" w:hAnsi="Times New Roman" w:cs="Times New Roman"/>
          <w:i/>
          <w:iCs/>
          <w:sz w:val="24"/>
          <w:szCs w:val="24"/>
        </w:rPr>
        <w:t>mean</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sebesar</w:t>
      </w:r>
      <w:r w:rsidR="004F1D6B">
        <w:rPr>
          <w:rFonts w:ascii="Times New Roman" w:hAnsi="Times New Roman" w:cs="Times New Roman"/>
          <w:sz w:val="24"/>
          <w:szCs w:val="24"/>
        </w:rPr>
        <w:t xml:space="preserve"> 58,80 </w:t>
      </w:r>
      <w:r w:rsidR="004F1D6B">
        <w:rPr>
          <w:rFonts w:ascii="Times New Roman" w:hAnsi="Times New Roman" w:cs="Times New Roman"/>
          <w:sz w:val="24"/>
          <w:szCs w:val="24"/>
        </w:rPr>
        <w:t>serta</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standar</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deviasinya</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sebesar</w:t>
      </w:r>
      <w:r w:rsidR="004F1D6B">
        <w:rPr>
          <w:rFonts w:ascii="Times New Roman" w:hAnsi="Times New Roman" w:cs="Times New Roman"/>
          <w:sz w:val="24"/>
          <w:szCs w:val="24"/>
        </w:rPr>
        <w:t xml:space="preserve"> 16,35. Dimana </w:t>
      </w:r>
      <w:r w:rsidR="004F1D6B">
        <w:rPr>
          <w:rFonts w:ascii="Times New Roman" w:hAnsi="Times New Roman" w:cs="Times New Roman"/>
          <w:sz w:val="24"/>
          <w:szCs w:val="24"/>
        </w:rPr>
        <w:t>nilai</w:t>
      </w:r>
      <w:r w:rsidR="004F1D6B">
        <w:rPr>
          <w:rFonts w:ascii="Times New Roman" w:hAnsi="Times New Roman" w:cs="Times New Roman"/>
          <w:sz w:val="24"/>
          <w:szCs w:val="24"/>
        </w:rPr>
        <w:t xml:space="preserve"> </w:t>
      </w:r>
      <w:r w:rsidRPr="008937C2" w:rsidR="004F1D6B">
        <w:rPr>
          <w:rFonts w:ascii="Times New Roman" w:hAnsi="Times New Roman" w:cs="Times New Roman"/>
          <w:i/>
          <w:iCs/>
          <w:sz w:val="24"/>
          <w:szCs w:val="24"/>
        </w:rPr>
        <w:t xml:space="preserve">mean </w:t>
      </w:r>
      <w:r w:rsidR="004F1D6B">
        <w:rPr>
          <w:rFonts w:ascii="Times New Roman" w:hAnsi="Times New Roman" w:cs="Times New Roman"/>
          <w:sz w:val="24"/>
          <w:szCs w:val="24"/>
        </w:rPr>
        <w:t>lebih</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besar</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dari</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nilai</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standar</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deviasi</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artinya</w:t>
      </w:r>
      <w:r w:rsidR="004F1D6B">
        <w:rPr>
          <w:rFonts w:ascii="Times New Roman" w:hAnsi="Times New Roman" w:cs="Times New Roman"/>
          <w:sz w:val="24"/>
          <w:szCs w:val="24"/>
        </w:rPr>
        <w:t xml:space="preserve"> data </w:t>
      </w:r>
      <w:r w:rsidR="004F1D6B">
        <w:rPr>
          <w:rFonts w:ascii="Times New Roman" w:hAnsi="Times New Roman" w:cs="Times New Roman"/>
          <w:sz w:val="24"/>
          <w:szCs w:val="24"/>
        </w:rPr>
        <w:t>tersebut</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dikatakan</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baik</w:t>
      </w:r>
      <w:r w:rsidR="004F1D6B">
        <w:rPr>
          <w:rFonts w:ascii="Times New Roman" w:hAnsi="Times New Roman" w:cs="Times New Roman"/>
          <w:sz w:val="24"/>
          <w:szCs w:val="24"/>
        </w:rPr>
        <w:t xml:space="preserve"> dan </w:t>
      </w:r>
      <w:r w:rsidR="004F1D6B">
        <w:rPr>
          <w:rFonts w:ascii="Times New Roman" w:hAnsi="Times New Roman" w:cs="Times New Roman"/>
          <w:sz w:val="24"/>
          <w:szCs w:val="24"/>
        </w:rPr>
        <w:t>penyebaran</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datanya</w:t>
      </w:r>
      <w:r w:rsidR="004F1D6B">
        <w:rPr>
          <w:rFonts w:ascii="Times New Roman" w:hAnsi="Times New Roman" w:cs="Times New Roman"/>
          <w:sz w:val="24"/>
          <w:szCs w:val="24"/>
        </w:rPr>
        <w:t xml:space="preserve"> </w:t>
      </w:r>
      <w:r w:rsidR="004F1D6B">
        <w:rPr>
          <w:rFonts w:ascii="Times New Roman" w:hAnsi="Times New Roman" w:cs="Times New Roman"/>
          <w:sz w:val="24"/>
          <w:szCs w:val="24"/>
        </w:rPr>
        <w:t>dikatakan</w:t>
      </w:r>
      <w:r w:rsidR="004F1D6B">
        <w:rPr>
          <w:rFonts w:ascii="Times New Roman" w:hAnsi="Times New Roman" w:cs="Times New Roman"/>
          <w:sz w:val="24"/>
          <w:szCs w:val="24"/>
        </w:rPr>
        <w:t xml:space="preserve"> normal.</w:t>
      </w:r>
    </w:p>
    <w:p w:rsidR="004F1D6B" w:rsidP="009E0450" w14:paraId="3BF0617B" w14:textId="6BEDBF98">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w:t>
      </w:r>
      <w:r w:rsidR="003D4003">
        <w:rPr>
          <w:rFonts w:ascii="Times New Roman" w:hAnsi="Times New Roman" w:cs="Times New Roman"/>
          <w:sz w:val="24"/>
          <w:szCs w:val="24"/>
        </w:rPr>
        <w:t>a</w:t>
      </w:r>
      <w:r>
        <w:rPr>
          <w:rFonts w:ascii="Times New Roman" w:hAnsi="Times New Roman" w:cs="Times New Roman"/>
          <w:sz w:val="24"/>
          <w:szCs w:val="24"/>
        </w:rPr>
        <w:t>bel</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proksi</w:t>
      </w:r>
      <w:r>
        <w:rPr>
          <w:rFonts w:ascii="Times New Roman" w:hAnsi="Times New Roman" w:cs="Times New Roman"/>
          <w:sz w:val="24"/>
          <w:szCs w:val="24"/>
        </w:rPr>
        <w:t xml:space="preserve"> </w:t>
      </w:r>
      <w:r w:rsidRPr="008937C2">
        <w:rPr>
          <w:rFonts w:ascii="Times New Roman" w:hAnsi="Times New Roman" w:cs="Times New Roman"/>
          <w:i/>
          <w:iCs/>
          <w:sz w:val="24"/>
          <w:szCs w:val="24"/>
        </w:rPr>
        <w:t>return on asset</w:t>
      </w:r>
      <w:r>
        <w:rPr>
          <w:rFonts w:ascii="Times New Roman" w:hAnsi="Times New Roman" w:cs="Times New Roman"/>
          <w:sz w:val="24"/>
          <w:szCs w:val="24"/>
        </w:rPr>
        <w:t xml:space="preserve"> (Y1) </w:t>
      </w:r>
      <w:r>
        <w:rPr>
          <w:rFonts w:ascii="Times New Roman" w:hAnsi="Times New Roman" w:cs="Times New Roman"/>
          <w:sz w:val="24"/>
          <w:szCs w:val="24"/>
        </w:rPr>
        <w:t>menujukkan</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deskriptif</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minimum </w:t>
      </w:r>
      <w:r>
        <w:rPr>
          <w:rFonts w:ascii="Times New Roman" w:hAnsi="Times New Roman" w:cs="Times New Roman"/>
          <w:sz w:val="24"/>
          <w:szCs w:val="24"/>
        </w:rPr>
        <w:t>sebesar</w:t>
      </w:r>
      <w:r>
        <w:rPr>
          <w:rFonts w:ascii="Times New Roman" w:hAnsi="Times New Roman" w:cs="Times New Roman"/>
          <w:sz w:val="24"/>
          <w:szCs w:val="24"/>
        </w:rPr>
        <w:t xml:space="preserve"> -0,73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maksimumnya</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4,31.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 xml:space="preserve">mean </w:t>
      </w:r>
      <w:r>
        <w:rPr>
          <w:rFonts w:ascii="Times New Roman" w:hAnsi="Times New Roman" w:cs="Times New Roman"/>
          <w:sz w:val="24"/>
          <w:szCs w:val="24"/>
        </w:rPr>
        <w:t xml:space="preserve">dan </w:t>
      </w:r>
      <w:r>
        <w:rPr>
          <w:rFonts w:ascii="Times New Roman" w:hAnsi="Times New Roman" w:cs="Times New Roman"/>
          <w:sz w:val="24"/>
          <w:szCs w:val="24"/>
        </w:rPr>
        <w:t>standar</w:t>
      </w:r>
      <w:r>
        <w:rPr>
          <w:rFonts w:ascii="Times New Roman" w:hAnsi="Times New Roman" w:cs="Times New Roman"/>
          <w:sz w:val="24"/>
          <w:szCs w:val="24"/>
        </w:rPr>
        <w:t xml:space="preserve"> </w:t>
      </w:r>
      <w:r>
        <w:rPr>
          <w:rFonts w:ascii="Times New Roman" w:hAnsi="Times New Roman" w:cs="Times New Roman"/>
          <w:sz w:val="24"/>
          <w:szCs w:val="24"/>
        </w:rPr>
        <w:t>deviasi</w:t>
      </w:r>
      <w:r>
        <w:rPr>
          <w:rFonts w:ascii="Times New Roman" w:hAnsi="Times New Roman" w:cs="Times New Roman"/>
          <w:sz w:val="24"/>
          <w:szCs w:val="24"/>
        </w:rPr>
        <w:t xml:space="preserve"> masing-masing </w:t>
      </w:r>
      <w:r>
        <w:rPr>
          <w:rFonts w:ascii="Times New Roman" w:hAnsi="Times New Roman" w:cs="Times New Roman"/>
          <w:sz w:val="24"/>
          <w:szCs w:val="24"/>
        </w:rPr>
        <w:t>sebesar</w:t>
      </w:r>
      <w:r>
        <w:rPr>
          <w:rFonts w:ascii="Times New Roman" w:hAnsi="Times New Roman" w:cs="Times New Roman"/>
          <w:sz w:val="24"/>
          <w:szCs w:val="24"/>
        </w:rPr>
        <w:t xml:space="preserve"> 1,72 dan 1,14. </w:t>
      </w:r>
      <w:r>
        <w:rPr>
          <w:rFonts w:ascii="Times New Roman" w:hAnsi="Times New Roman" w:cs="Times New Roman"/>
          <w:sz w:val="24"/>
          <w:szCs w:val="24"/>
        </w:rPr>
        <w:t xml:space="preserve">Data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juga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baik</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mean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standar</w:t>
      </w:r>
      <w:r>
        <w:rPr>
          <w:rFonts w:ascii="Times New Roman" w:hAnsi="Times New Roman" w:cs="Times New Roman"/>
          <w:sz w:val="24"/>
          <w:szCs w:val="24"/>
        </w:rPr>
        <w:t xml:space="preserve"> </w:t>
      </w:r>
      <w:r>
        <w:rPr>
          <w:rFonts w:ascii="Times New Roman" w:hAnsi="Times New Roman" w:cs="Times New Roman"/>
          <w:sz w:val="24"/>
          <w:szCs w:val="24"/>
        </w:rPr>
        <w:t>deviasinya</w:t>
      </w:r>
      <w:r>
        <w:rPr>
          <w:rFonts w:ascii="Times New Roman" w:hAnsi="Times New Roman" w:cs="Times New Roman"/>
          <w:sz w:val="24"/>
          <w:szCs w:val="24"/>
        </w:rPr>
        <w:t>.</w:t>
      </w:r>
    </w:p>
    <w:p w:rsidR="00A37732" w:rsidP="00A37732" w14:paraId="1DE5E255" w14:textId="17AFE0A2">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statistik</w:t>
      </w:r>
      <w:r>
        <w:rPr>
          <w:rFonts w:ascii="Times New Roman" w:hAnsi="Times New Roman" w:cs="Times New Roman"/>
          <w:sz w:val="24"/>
          <w:szCs w:val="24"/>
        </w:rPr>
        <w:t xml:space="preserve"> </w:t>
      </w:r>
      <w:r>
        <w:rPr>
          <w:rFonts w:ascii="Times New Roman" w:hAnsi="Times New Roman" w:cs="Times New Roman"/>
          <w:sz w:val="24"/>
          <w:szCs w:val="24"/>
        </w:rPr>
        <w:t>deskriptif</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proksi</w:t>
      </w:r>
      <w:r>
        <w:rPr>
          <w:rFonts w:ascii="Times New Roman" w:hAnsi="Times New Roman" w:cs="Times New Roman"/>
          <w:sz w:val="24"/>
          <w:szCs w:val="24"/>
        </w:rPr>
        <w:t xml:space="preserve"> </w:t>
      </w:r>
      <w:r w:rsidRPr="008937C2">
        <w:rPr>
          <w:rFonts w:ascii="Times New Roman" w:hAnsi="Times New Roman" w:cs="Times New Roman"/>
          <w:i/>
          <w:iCs/>
          <w:sz w:val="24"/>
          <w:szCs w:val="24"/>
        </w:rPr>
        <w:t>return on equity</w:t>
      </w:r>
      <w:r>
        <w:rPr>
          <w:rFonts w:ascii="Times New Roman" w:hAnsi="Times New Roman" w:cs="Times New Roman"/>
          <w:sz w:val="24"/>
          <w:szCs w:val="24"/>
        </w:rPr>
        <w:t xml:space="preserve"> (Y2)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minimum dan </w:t>
      </w:r>
      <w:r>
        <w:rPr>
          <w:rFonts w:ascii="Times New Roman" w:hAnsi="Times New Roman" w:cs="Times New Roman"/>
          <w:sz w:val="24"/>
          <w:szCs w:val="24"/>
        </w:rPr>
        <w:t>maksimum</w:t>
      </w:r>
      <w:r>
        <w:rPr>
          <w:rFonts w:ascii="Times New Roman" w:hAnsi="Times New Roman" w:cs="Times New Roman"/>
          <w:sz w:val="24"/>
          <w:szCs w:val="24"/>
        </w:rPr>
        <w:t xml:space="preserve"> masing-masing </w:t>
      </w:r>
      <w:r>
        <w:rPr>
          <w:rFonts w:ascii="Times New Roman" w:hAnsi="Times New Roman" w:cs="Times New Roman"/>
          <w:sz w:val="24"/>
          <w:szCs w:val="24"/>
        </w:rPr>
        <w:t>sebesar</w:t>
      </w:r>
      <w:r>
        <w:rPr>
          <w:rFonts w:ascii="Times New Roman" w:hAnsi="Times New Roman" w:cs="Times New Roman"/>
          <w:sz w:val="24"/>
          <w:szCs w:val="24"/>
        </w:rPr>
        <w:t xml:space="preserve"> -6,02 dan 27,31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rata-rata (</w:t>
      </w:r>
      <w:r w:rsidRPr="008937C2">
        <w:rPr>
          <w:rFonts w:ascii="Times New Roman" w:hAnsi="Times New Roman" w:cs="Times New Roman"/>
          <w:i/>
          <w:iCs/>
          <w:sz w:val="24"/>
          <w:szCs w:val="24"/>
        </w:rPr>
        <w:t>mean</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9,79 </w:t>
      </w:r>
      <w:r>
        <w:rPr>
          <w:rFonts w:ascii="Times New Roman" w:hAnsi="Times New Roman" w:cs="Times New Roman"/>
          <w:sz w:val="24"/>
          <w:szCs w:val="24"/>
        </w:rPr>
        <w:t>serta</w:t>
      </w:r>
      <w:r>
        <w:rPr>
          <w:rFonts w:ascii="Times New Roman" w:hAnsi="Times New Roman" w:cs="Times New Roman"/>
          <w:sz w:val="24"/>
          <w:szCs w:val="24"/>
        </w:rPr>
        <w:t xml:space="preserve"> </w:t>
      </w:r>
      <w:r>
        <w:rPr>
          <w:rFonts w:ascii="Times New Roman" w:hAnsi="Times New Roman" w:cs="Times New Roman"/>
          <w:sz w:val="24"/>
          <w:szCs w:val="24"/>
        </w:rPr>
        <w:t>standar</w:t>
      </w:r>
      <w:r>
        <w:rPr>
          <w:rFonts w:ascii="Times New Roman" w:hAnsi="Times New Roman" w:cs="Times New Roman"/>
          <w:sz w:val="24"/>
          <w:szCs w:val="24"/>
        </w:rPr>
        <w:t xml:space="preserve"> </w:t>
      </w:r>
      <w:r>
        <w:rPr>
          <w:rFonts w:ascii="Times New Roman" w:hAnsi="Times New Roman" w:cs="Times New Roman"/>
          <w:sz w:val="24"/>
          <w:szCs w:val="24"/>
        </w:rPr>
        <w:t>deviasinya</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6,92. Dimana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mean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standar</w:t>
      </w:r>
      <w:r>
        <w:rPr>
          <w:rFonts w:ascii="Times New Roman" w:hAnsi="Times New Roman" w:cs="Times New Roman"/>
          <w:sz w:val="24"/>
          <w:szCs w:val="24"/>
        </w:rPr>
        <w:t xml:space="preserve"> </w:t>
      </w:r>
      <w:r>
        <w:rPr>
          <w:rFonts w:ascii="Times New Roman" w:hAnsi="Times New Roman" w:cs="Times New Roman"/>
          <w:sz w:val="24"/>
          <w:szCs w:val="24"/>
        </w:rPr>
        <w:t>deviasi</w:t>
      </w:r>
      <w:r>
        <w:rPr>
          <w:rFonts w:ascii="Times New Roman" w:hAnsi="Times New Roman" w:cs="Times New Roman"/>
          <w:sz w:val="24"/>
          <w:szCs w:val="24"/>
        </w:rPr>
        <w:t xml:space="preserve">, </w:t>
      </w:r>
      <w:r>
        <w:rPr>
          <w:rFonts w:ascii="Times New Roman" w:hAnsi="Times New Roman" w:cs="Times New Roman"/>
          <w:sz w:val="24"/>
          <w:szCs w:val="24"/>
        </w:rPr>
        <w:t>artinya</w:t>
      </w:r>
      <w:r>
        <w:rPr>
          <w:rFonts w:ascii="Times New Roman" w:hAnsi="Times New Roman" w:cs="Times New Roman"/>
          <w:sz w:val="24"/>
          <w:szCs w:val="24"/>
        </w:rPr>
        <w:t xml:space="preserve"> data </w:t>
      </w:r>
      <w:r>
        <w:rPr>
          <w:rFonts w:ascii="Times New Roman" w:hAnsi="Times New Roman" w:cs="Times New Roman"/>
          <w:sz w:val="24"/>
          <w:szCs w:val="24"/>
        </w:rPr>
        <w:t>tersebut</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baik</w:t>
      </w:r>
      <w:r>
        <w:rPr>
          <w:rFonts w:ascii="Times New Roman" w:hAnsi="Times New Roman" w:cs="Times New Roman"/>
          <w:sz w:val="24"/>
          <w:szCs w:val="24"/>
        </w:rPr>
        <w:t xml:space="preserve"> dan </w:t>
      </w:r>
      <w:r>
        <w:rPr>
          <w:rFonts w:ascii="Times New Roman" w:hAnsi="Times New Roman" w:cs="Times New Roman"/>
          <w:sz w:val="24"/>
          <w:szCs w:val="24"/>
        </w:rPr>
        <w:t>penyebaran</w:t>
      </w:r>
      <w:r>
        <w:rPr>
          <w:rFonts w:ascii="Times New Roman" w:hAnsi="Times New Roman" w:cs="Times New Roman"/>
          <w:sz w:val="24"/>
          <w:szCs w:val="24"/>
        </w:rPr>
        <w:t xml:space="preserve"> </w:t>
      </w:r>
      <w:r>
        <w:rPr>
          <w:rFonts w:ascii="Times New Roman" w:hAnsi="Times New Roman" w:cs="Times New Roman"/>
          <w:sz w:val="24"/>
          <w:szCs w:val="24"/>
        </w:rPr>
        <w:t>datanya</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normal.</w:t>
      </w:r>
    </w:p>
    <w:p w:rsidR="00A37732" w:rsidP="00154755" w14:paraId="2A5BD003" w14:textId="1ADC1B5D">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w:t>
      </w:r>
      <w:r w:rsidR="003D4003">
        <w:rPr>
          <w:rFonts w:ascii="Times New Roman" w:hAnsi="Times New Roman" w:cs="Times New Roman"/>
          <w:sz w:val="24"/>
          <w:szCs w:val="24"/>
        </w:rPr>
        <w:t>a</w:t>
      </w:r>
      <w:r>
        <w:rPr>
          <w:rFonts w:ascii="Times New Roman" w:hAnsi="Times New Roman" w:cs="Times New Roman"/>
          <w:sz w:val="24"/>
          <w:szCs w:val="24"/>
        </w:rPr>
        <w:t>bel</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proksi</w:t>
      </w:r>
      <w:r>
        <w:rPr>
          <w:rFonts w:ascii="Times New Roman" w:hAnsi="Times New Roman" w:cs="Times New Roman"/>
          <w:sz w:val="24"/>
          <w:szCs w:val="24"/>
        </w:rPr>
        <w:t xml:space="preserve"> </w:t>
      </w:r>
      <w:r w:rsidRPr="008937C2">
        <w:rPr>
          <w:rFonts w:ascii="Times New Roman" w:hAnsi="Times New Roman" w:cs="Times New Roman"/>
          <w:i/>
          <w:iCs/>
          <w:sz w:val="24"/>
          <w:szCs w:val="24"/>
        </w:rPr>
        <w:t>net interest margin</w:t>
      </w:r>
      <w:r>
        <w:rPr>
          <w:rFonts w:ascii="Times New Roman" w:hAnsi="Times New Roman" w:cs="Times New Roman"/>
          <w:sz w:val="24"/>
          <w:szCs w:val="24"/>
        </w:rPr>
        <w:t xml:space="preserve"> (Y3) </w:t>
      </w:r>
      <w:r>
        <w:rPr>
          <w:rFonts w:ascii="Times New Roman" w:hAnsi="Times New Roman" w:cs="Times New Roman"/>
          <w:sz w:val="24"/>
          <w:szCs w:val="24"/>
        </w:rPr>
        <w:t>menujukkan</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deskriptif</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minimum </w:t>
      </w:r>
      <w:r>
        <w:rPr>
          <w:rFonts w:ascii="Times New Roman" w:hAnsi="Times New Roman" w:cs="Times New Roman"/>
          <w:sz w:val="24"/>
          <w:szCs w:val="24"/>
        </w:rPr>
        <w:t>sebesar</w:t>
      </w:r>
      <w:r>
        <w:rPr>
          <w:rFonts w:ascii="Times New Roman" w:hAnsi="Times New Roman" w:cs="Times New Roman"/>
          <w:sz w:val="24"/>
          <w:szCs w:val="24"/>
        </w:rPr>
        <w:t xml:space="preserve"> </w:t>
      </w:r>
      <w:r w:rsidR="00154755">
        <w:rPr>
          <w:rFonts w:ascii="Times New Roman" w:hAnsi="Times New Roman" w:cs="Times New Roman"/>
          <w:sz w:val="24"/>
          <w:szCs w:val="24"/>
        </w:rPr>
        <w:t>0,47</w:t>
      </w:r>
      <w:r>
        <w:rPr>
          <w:rFonts w:ascii="Times New Roman" w:hAnsi="Times New Roman" w:cs="Times New Roman"/>
          <w:sz w:val="24"/>
          <w:szCs w:val="24"/>
        </w:rPr>
        <w:t xml:space="preserve">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maksimumnya</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w:t>
      </w:r>
      <w:r w:rsidR="00154755">
        <w:rPr>
          <w:rFonts w:ascii="Times New Roman" w:hAnsi="Times New Roman" w:cs="Times New Roman"/>
          <w:sz w:val="24"/>
          <w:szCs w:val="24"/>
        </w:rPr>
        <w:t>8,30</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 xml:space="preserve">mean </w:t>
      </w:r>
      <w:r>
        <w:rPr>
          <w:rFonts w:ascii="Times New Roman" w:hAnsi="Times New Roman" w:cs="Times New Roman"/>
          <w:sz w:val="24"/>
          <w:szCs w:val="24"/>
        </w:rPr>
        <w:t xml:space="preserve">dan </w:t>
      </w:r>
      <w:r>
        <w:rPr>
          <w:rFonts w:ascii="Times New Roman" w:hAnsi="Times New Roman" w:cs="Times New Roman"/>
          <w:sz w:val="24"/>
          <w:szCs w:val="24"/>
        </w:rPr>
        <w:t>standar</w:t>
      </w:r>
      <w:r>
        <w:rPr>
          <w:rFonts w:ascii="Times New Roman" w:hAnsi="Times New Roman" w:cs="Times New Roman"/>
          <w:sz w:val="24"/>
          <w:szCs w:val="24"/>
        </w:rPr>
        <w:t xml:space="preserve"> </w:t>
      </w:r>
      <w:r>
        <w:rPr>
          <w:rFonts w:ascii="Times New Roman" w:hAnsi="Times New Roman" w:cs="Times New Roman"/>
          <w:sz w:val="24"/>
          <w:szCs w:val="24"/>
        </w:rPr>
        <w:t>deviasi</w:t>
      </w:r>
      <w:r>
        <w:rPr>
          <w:rFonts w:ascii="Times New Roman" w:hAnsi="Times New Roman" w:cs="Times New Roman"/>
          <w:sz w:val="24"/>
          <w:szCs w:val="24"/>
        </w:rPr>
        <w:t xml:space="preserve"> masing-masing </w:t>
      </w:r>
      <w:r>
        <w:rPr>
          <w:rFonts w:ascii="Times New Roman" w:hAnsi="Times New Roman" w:cs="Times New Roman"/>
          <w:sz w:val="24"/>
          <w:szCs w:val="24"/>
        </w:rPr>
        <w:t>sebesar</w:t>
      </w:r>
      <w:r>
        <w:rPr>
          <w:rFonts w:ascii="Times New Roman" w:hAnsi="Times New Roman" w:cs="Times New Roman"/>
          <w:sz w:val="24"/>
          <w:szCs w:val="24"/>
        </w:rPr>
        <w:t xml:space="preserve"> </w:t>
      </w:r>
      <w:r w:rsidR="00154755">
        <w:rPr>
          <w:rFonts w:ascii="Times New Roman" w:hAnsi="Times New Roman" w:cs="Times New Roman"/>
          <w:sz w:val="24"/>
          <w:szCs w:val="24"/>
        </w:rPr>
        <w:t>5,06</w:t>
      </w:r>
      <w:r>
        <w:rPr>
          <w:rFonts w:ascii="Times New Roman" w:hAnsi="Times New Roman" w:cs="Times New Roman"/>
          <w:sz w:val="24"/>
          <w:szCs w:val="24"/>
        </w:rPr>
        <w:t xml:space="preserve"> dan </w:t>
      </w:r>
      <w:r w:rsidR="00154755">
        <w:rPr>
          <w:rFonts w:ascii="Times New Roman" w:hAnsi="Times New Roman" w:cs="Times New Roman"/>
          <w:sz w:val="24"/>
          <w:szCs w:val="24"/>
        </w:rPr>
        <w:t>1,34</w:t>
      </w:r>
      <w:r>
        <w:rPr>
          <w:rFonts w:ascii="Times New Roman" w:hAnsi="Times New Roman" w:cs="Times New Roman"/>
          <w:sz w:val="24"/>
          <w:szCs w:val="24"/>
        </w:rPr>
        <w:t xml:space="preserve">. Data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juga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baik</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mean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standar</w:t>
      </w:r>
      <w:r>
        <w:rPr>
          <w:rFonts w:ascii="Times New Roman" w:hAnsi="Times New Roman" w:cs="Times New Roman"/>
          <w:sz w:val="24"/>
          <w:szCs w:val="24"/>
        </w:rPr>
        <w:t xml:space="preserve"> </w:t>
      </w:r>
      <w:r>
        <w:rPr>
          <w:rFonts w:ascii="Times New Roman" w:hAnsi="Times New Roman" w:cs="Times New Roman"/>
          <w:sz w:val="24"/>
          <w:szCs w:val="24"/>
        </w:rPr>
        <w:t>deviasinya</w:t>
      </w:r>
      <w:r>
        <w:rPr>
          <w:rFonts w:ascii="Times New Roman" w:hAnsi="Times New Roman" w:cs="Times New Roman"/>
          <w:sz w:val="24"/>
          <w:szCs w:val="24"/>
        </w:rPr>
        <w:t>.</w:t>
      </w:r>
    </w:p>
    <w:p w:rsidR="00D958F8" w:rsidRPr="00D958F8" w:rsidP="00D958F8" w14:paraId="150910BB" w14:textId="6630E0BA">
      <w:pPr>
        <w:pStyle w:val="ListParagraph"/>
        <w:numPr>
          <w:ilvl w:val="1"/>
          <w:numId w:val="76"/>
        </w:numPr>
        <w:spacing w:after="0" w:line="480" w:lineRule="auto"/>
        <w:jc w:val="both"/>
        <w:rPr>
          <w:rFonts w:ascii="Times New Roman" w:hAnsi="Times New Roman" w:cs="Times New Roman"/>
          <w:b/>
          <w:bCs/>
          <w:sz w:val="24"/>
          <w:szCs w:val="24"/>
        </w:rPr>
      </w:pPr>
      <w:r w:rsidRPr="00D958F8">
        <w:rPr>
          <w:rFonts w:ascii="Times New Roman" w:hAnsi="Times New Roman" w:cs="Times New Roman"/>
          <w:b/>
          <w:bCs/>
          <w:sz w:val="24"/>
          <w:szCs w:val="24"/>
        </w:rPr>
        <w:t xml:space="preserve">Uji </w:t>
      </w:r>
      <w:r w:rsidRPr="00D958F8">
        <w:rPr>
          <w:rFonts w:ascii="Times New Roman" w:hAnsi="Times New Roman" w:cs="Times New Roman"/>
          <w:b/>
          <w:bCs/>
          <w:sz w:val="24"/>
          <w:szCs w:val="24"/>
        </w:rPr>
        <w:t>Asumsi</w:t>
      </w:r>
      <w:r w:rsidRPr="00D958F8">
        <w:rPr>
          <w:rFonts w:ascii="Times New Roman" w:hAnsi="Times New Roman" w:cs="Times New Roman"/>
          <w:b/>
          <w:bCs/>
          <w:sz w:val="24"/>
          <w:szCs w:val="24"/>
        </w:rPr>
        <w:t xml:space="preserve"> </w:t>
      </w:r>
      <w:r w:rsidRPr="00D958F8">
        <w:rPr>
          <w:rFonts w:ascii="Times New Roman" w:hAnsi="Times New Roman" w:cs="Times New Roman"/>
          <w:b/>
          <w:bCs/>
          <w:sz w:val="24"/>
          <w:szCs w:val="24"/>
        </w:rPr>
        <w:t>Klasik</w:t>
      </w:r>
    </w:p>
    <w:p w:rsidR="00D958F8" w:rsidP="00D958F8" w14:paraId="671C615A" w14:textId="08EED6C7">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D958F8" w:rsidP="006D7BF6" w14:paraId="105E4948" w14:textId="1BCA1F75">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normalitas</w:t>
      </w:r>
      <w:r>
        <w:rPr>
          <w:rFonts w:ascii="Times New Roman" w:hAnsi="Times New Roman" w:cs="Times New Roman"/>
          <w:sz w:val="24"/>
          <w:szCs w:val="24"/>
        </w:rPr>
        <w:t xml:space="preserve">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unutk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sidRPr="00D131AA">
        <w:rPr>
          <w:rFonts w:ascii="Times New Roman" w:hAnsi="Times New Roman" w:cs="Times New Roman"/>
          <w:sz w:val="24"/>
          <w:szCs w:val="24"/>
        </w:rPr>
        <w:t>apakah</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nilai</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residu</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berdistribusi</w:t>
      </w:r>
      <w:r w:rsidRPr="00D131AA">
        <w:rPr>
          <w:rFonts w:ascii="Times New Roman" w:hAnsi="Times New Roman" w:cs="Times New Roman"/>
          <w:sz w:val="24"/>
          <w:szCs w:val="24"/>
        </w:rPr>
        <w:t xml:space="preserve"> normal </w:t>
      </w:r>
      <w:r w:rsidRPr="00D131AA">
        <w:rPr>
          <w:rFonts w:ascii="Times New Roman" w:hAnsi="Times New Roman" w:cs="Times New Roman"/>
          <w:sz w:val="24"/>
          <w:szCs w:val="24"/>
        </w:rPr>
        <w:t>atau</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tidak</w:t>
      </w:r>
      <w:r w:rsidRPr="00D131AA">
        <w:rPr>
          <w:rFonts w:ascii="Times New Roman" w:hAnsi="Times New Roman" w:cs="Times New Roman"/>
          <w:sz w:val="24"/>
          <w:szCs w:val="24"/>
        </w:rPr>
        <w:t xml:space="preserve">. </w:t>
      </w:r>
      <w:r>
        <w:rPr>
          <w:rFonts w:ascii="Times New Roman" w:hAnsi="Times New Roman" w:cs="Times New Roman"/>
          <w:sz w:val="24"/>
          <w:szCs w:val="24"/>
        </w:rPr>
        <w:t xml:space="preserve">Pada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u</w:t>
      </w:r>
      <w:r w:rsidRPr="00D131AA">
        <w:rPr>
          <w:rFonts w:ascii="Times New Roman" w:hAnsi="Times New Roman" w:cs="Times New Roman"/>
          <w:sz w:val="24"/>
          <w:szCs w:val="24"/>
        </w:rPr>
        <w:t xml:space="preserve">ji </w:t>
      </w:r>
      <w:r w:rsidRPr="00D131AA">
        <w:rPr>
          <w:rFonts w:ascii="Times New Roman" w:hAnsi="Times New Roman" w:cs="Times New Roman"/>
          <w:sz w:val="24"/>
          <w:szCs w:val="24"/>
        </w:rPr>
        <w:t>normalitas</w:t>
      </w:r>
      <w:r w:rsidRPr="00D131AA">
        <w:rPr>
          <w:rFonts w:ascii="Times New Roman" w:hAnsi="Times New Roman" w:cs="Times New Roman"/>
          <w:sz w:val="24"/>
          <w:szCs w:val="24"/>
        </w:rPr>
        <w:t xml:space="preserve"> data </w:t>
      </w:r>
      <w:r w:rsidRPr="00D131AA">
        <w:rPr>
          <w:rFonts w:ascii="Times New Roman" w:hAnsi="Times New Roman" w:cs="Times New Roman"/>
          <w:sz w:val="24"/>
          <w:szCs w:val="24"/>
        </w:rPr>
        <w:t>dilakukan</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dengan</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menggunakan</w:t>
      </w:r>
      <w:r w:rsidRPr="00D131AA">
        <w:rPr>
          <w:rFonts w:ascii="Times New Roman" w:hAnsi="Times New Roman" w:cs="Times New Roman"/>
          <w:sz w:val="24"/>
          <w:szCs w:val="24"/>
        </w:rPr>
        <w:t xml:space="preserve"> model </w:t>
      </w:r>
      <w:r w:rsidRPr="00D131AA">
        <w:rPr>
          <w:rFonts w:ascii="Times New Roman" w:hAnsi="Times New Roman" w:cs="Times New Roman"/>
          <w:i/>
          <w:iCs/>
          <w:sz w:val="24"/>
          <w:szCs w:val="24"/>
        </w:rPr>
        <w:t>Kolmogorov Smirnov</w:t>
      </w:r>
      <w:r w:rsidRPr="00D131AA">
        <w:rPr>
          <w:rFonts w:ascii="Times New Roman" w:hAnsi="Times New Roman" w:cs="Times New Roman"/>
          <w:sz w:val="24"/>
          <w:szCs w:val="24"/>
        </w:rPr>
        <w:t xml:space="preserve"> </w:t>
      </w:r>
      <w:r w:rsidRPr="00D131AA">
        <w:rPr>
          <w:rFonts w:ascii="Times New Roman" w:hAnsi="Times New Roman" w:cs="Times New Roman"/>
          <w:sz w:val="24"/>
          <w:szCs w:val="24"/>
        </w:rPr>
        <w:t>dengan</w:t>
      </w:r>
      <w:r w:rsidRPr="00D131AA">
        <w:rPr>
          <w:rFonts w:ascii="Times New Roman" w:hAnsi="Times New Roman" w:cs="Times New Roman"/>
          <w:sz w:val="24"/>
          <w:szCs w:val="24"/>
        </w:rPr>
        <w:t xml:space="preserve"> alfa </w:t>
      </w:r>
      <w:r w:rsidRPr="00D131AA">
        <w:rPr>
          <w:rFonts w:ascii="Times New Roman" w:hAnsi="Times New Roman" w:cs="Times New Roman"/>
          <w:sz w:val="24"/>
          <w:szCs w:val="24"/>
        </w:rPr>
        <w:t>pengujian</w:t>
      </w:r>
      <w:r w:rsidRPr="00D131AA">
        <w:rPr>
          <w:rFonts w:ascii="Times New Roman" w:hAnsi="Times New Roman" w:cs="Times New Roman"/>
          <w:sz w:val="24"/>
          <w:szCs w:val="24"/>
        </w:rPr>
        <w:t xml:space="preserve"> 5%</w:t>
      </w:r>
      <w:r>
        <w:rPr>
          <w:rFonts w:ascii="Times New Roman" w:hAnsi="Times New Roman" w:cs="Times New Roman"/>
          <w:sz w:val="24"/>
          <w:szCs w:val="24"/>
        </w:rPr>
        <w:t xml:space="preserve"> (0,05)</w:t>
      </w:r>
      <w:r w:rsidRPr="00D131A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kriteria</w:t>
      </w:r>
      <w:r>
        <w:rPr>
          <w:rFonts w:ascii="Times New Roman" w:hAnsi="Times New Roman" w:cs="Times New Roman"/>
          <w:sz w:val="24"/>
          <w:szCs w:val="24"/>
        </w:rPr>
        <w:t xml:space="preserve">, </w:t>
      </w:r>
      <w:r>
        <w:rPr>
          <w:rFonts w:ascii="Times New Roman" w:hAnsi="Times New Roman" w:cs="Times New Roman"/>
          <w:sz w:val="24"/>
          <w:szCs w:val="24"/>
        </w:rPr>
        <w:t>jika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α (0,05) </w:t>
      </w:r>
      <w:r>
        <w:rPr>
          <w:rFonts w:ascii="Times New Roman" w:hAnsi="Times New Roman" w:cs="Times New Roman"/>
          <w:sz w:val="24"/>
          <w:szCs w:val="24"/>
        </w:rPr>
        <w:t>maka</w:t>
      </w:r>
      <w:r>
        <w:rPr>
          <w:rFonts w:ascii="Times New Roman" w:hAnsi="Times New Roman" w:cs="Times New Roman"/>
          <w:sz w:val="24"/>
          <w:szCs w:val="24"/>
        </w:rPr>
        <w:t xml:space="preserve"> data </w:t>
      </w:r>
      <w:r>
        <w:rPr>
          <w:rFonts w:ascii="Times New Roman" w:hAnsi="Times New Roman" w:cs="Times New Roman"/>
          <w:sz w:val="24"/>
          <w:szCs w:val="24"/>
        </w:rPr>
        <w:t>dikatakan</w:t>
      </w:r>
      <w:r>
        <w:rPr>
          <w:rFonts w:ascii="Times New Roman" w:hAnsi="Times New Roman" w:cs="Times New Roman"/>
          <w:sz w:val="24"/>
          <w:szCs w:val="24"/>
        </w:rPr>
        <w:t xml:space="preserve"> normal.</w:t>
      </w:r>
    </w:p>
    <w:p w:rsidR="004C2E91" w:rsidP="00D131AA" w14:paraId="2531A4AF" w14:textId="77777777">
      <w:pPr>
        <w:pStyle w:val="ListParagraph"/>
        <w:spacing w:after="0" w:line="360" w:lineRule="auto"/>
        <w:ind w:left="1430"/>
        <w:jc w:val="center"/>
        <w:rPr>
          <w:rFonts w:ascii="Times New Roman" w:hAnsi="Times New Roman" w:cs="Times New Roman"/>
          <w:b/>
          <w:bCs/>
          <w:sz w:val="24"/>
          <w:szCs w:val="24"/>
        </w:rPr>
      </w:pPr>
    </w:p>
    <w:p w:rsidR="004C2E91" w:rsidP="00D131AA" w14:paraId="77546B89" w14:textId="77777777">
      <w:pPr>
        <w:pStyle w:val="ListParagraph"/>
        <w:spacing w:after="0" w:line="360" w:lineRule="auto"/>
        <w:ind w:left="1430"/>
        <w:jc w:val="center"/>
        <w:rPr>
          <w:rFonts w:ascii="Times New Roman" w:hAnsi="Times New Roman" w:cs="Times New Roman"/>
          <w:b/>
          <w:bCs/>
          <w:sz w:val="24"/>
          <w:szCs w:val="24"/>
        </w:rPr>
      </w:pPr>
    </w:p>
    <w:p w:rsidR="004C2E91" w:rsidP="00EB768E" w14:paraId="027881D5" w14:textId="67CA189C">
      <w:pPr>
        <w:autoSpaceDE w:val="0"/>
        <w:autoSpaceDN w:val="0"/>
        <w:adjustRightInd w:val="0"/>
        <w:spacing w:after="0" w:line="240" w:lineRule="auto"/>
        <w:ind w:left="71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89120" cy="3353636"/>
            <wp:effectExtent l="0" t="0" r="0" b="0"/>
            <wp:docPr id="68144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425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418110" cy="3375786"/>
                    </a:xfrm>
                    <a:prstGeom prst="rect">
                      <a:avLst/>
                    </a:prstGeom>
                    <a:noFill/>
                    <a:ln>
                      <a:noFill/>
                    </a:ln>
                  </pic:spPr>
                </pic:pic>
              </a:graphicData>
            </a:graphic>
          </wp:inline>
        </w:drawing>
      </w:r>
    </w:p>
    <w:p w:rsidR="00EB768E" w:rsidP="004C2E91" w14:paraId="61C677E7" w14:textId="6AC1677C">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EB768E">
        <w:rPr>
          <w:rFonts w:ascii="Times New Roman" w:hAnsi="Times New Roman" w:cs="Times New Roman"/>
          <w:b/>
          <w:bCs/>
          <w:sz w:val="24"/>
          <w:szCs w:val="24"/>
        </w:rPr>
        <w:t>Sumber</w:t>
      </w:r>
      <w:r w:rsidRPr="00EB768E">
        <w:rPr>
          <w:rFonts w:ascii="Times New Roman" w:hAnsi="Times New Roman" w:cs="Times New Roman"/>
          <w:b/>
          <w:bCs/>
          <w:sz w:val="24"/>
          <w:szCs w:val="24"/>
        </w:rPr>
        <w:t xml:space="preserve">: Data yang </w:t>
      </w:r>
      <w:r w:rsidRPr="00EB768E">
        <w:rPr>
          <w:rFonts w:ascii="Times New Roman" w:hAnsi="Times New Roman" w:cs="Times New Roman"/>
          <w:b/>
          <w:bCs/>
          <w:sz w:val="24"/>
          <w:szCs w:val="24"/>
        </w:rPr>
        <w:t>diolah</w:t>
      </w:r>
      <w:r w:rsidRPr="00EB768E">
        <w:rPr>
          <w:rFonts w:ascii="Times New Roman" w:hAnsi="Times New Roman" w:cs="Times New Roman"/>
          <w:b/>
          <w:bCs/>
          <w:sz w:val="24"/>
          <w:szCs w:val="24"/>
        </w:rPr>
        <w:t xml:space="preserve"> SPSS 25, 202</w:t>
      </w:r>
      <w:r>
        <w:rPr>
          <w:rFonts w:ascii="Times New Roman" w:hAnsi="Times New Roman" w:cs="Times New Roman"/>
          <w:b/>
          <w:bCs/>
          <w:sz w:val="24"/>
          <w:szCs w:val="24"/>
        </w:rPr>
        <w:t>4</w:t>
      </w:r>
    </w:p>
    <w:p w:rsidR="00EB768E" w:rsidRPr="00EB768E" w:rsidP="004C2E91" w14:paraId="1892946F" w14:textId="77777777">
      <w:pPr>
        <w:autoSpaceDE w:val="0"/>
        <w:autoSpaceDN w:val="0"/>
        <w:adjustRightInd w:val="0"/>
        <w:spacing w:after="0" w:line="240" w:lineRule="auto"/>
        <w:ind w:left="710" w:firstLine="720"/>
        <w:jc w:val="center"/>
        <w:rPr>
          <w:rFonts w:ascii="Times New Roman" w:hAnsi="Times New Roman" w:cs="Times New Roman"/>
          <w:b/>
          <w:bCs/>
          <w:sz w:val="24"/>
          <w:szCs w:val="24"/>
        </w:rPr>
      </w:pPr>
    </w:p>
    <w:p w:rsidR="00482711" w:rsidRPr="00482711" w:rsidP="00482711" w14:paraId="4F8E0A0C" w14:textId="3210C829">
      <w:pPr>
        <w:pStyle w:val="ListParagraph"/>
        <w:spacing w:after="0" w:line="240" w:lineRule="auto"/>
        <w:ind w:left="1430"/>
        <w:jc w:val="center"/>
        <w:rPr>
          <w:rFonts w:ascii="Times New Roman" w:hAnsi="Times New Roman" w:cs="Times New Roman"/>
          <w:b/>
          <w:bCs/>
          <w:sz w:val="24"/>
          <w:szCs w:val="24"/>
        </w:rPr>
      </w:pPr>
      <w:r>
        <w:rPr>
          <w:rFonts w:ascii="Times New Roman" w:hAnsi="Times New Roman" w:cs="Times New Roman"/>
          <w:b/>
          <w:bCs/>
          <w:sz w:val="24"/>
          <w:szCs w:val="24"/>
        </w:rPr>
        <w:t>Gambar 6</w:t>
      </w:r>
    </w:p>
    <w:p w:rsidR="004C2E91" w:rsidP="00482711" w14:paraId="40CAA85B" w14:textId="4FC65762">
      <w:pPr>
        <w:pStyle w:val="ListParagraph"/>
        <w:spacing w:after="0" w:line="240" w:lineRule="auto"/>
        <w:ind w:left="1430"/>
        <w:jc w:val="center"/>
        <w:rPr>
          <w:rFonts w:ascii="Times New Roman" w:hAnsi="Times New Roman" w:cs="Times New Roman"/>
          <w:b/>
          <w:bCs/>
          <w:sz w:val="24"/>
          <w:szCs w:val="24"/>
        </w:rPr>
      </w:pPr>
      <w:r>
        <w:rPr>
          <w:rFonts w:ascii="Times New Roman" w:hAnsi="Times New Roman" w:cs="Times New Roman"/>
          <w:b/>
          <w:bCs/>
          <w:sz w:val="24"/>
          <w:szCs w:val="24"/>
        </w:rPr>
        <w:t xml:space="preserve">Histogram Hasil Uji Normalitas </w:t>
      </w:r>
      <w:r>
        <w:rPr>
          <w:rFonts w:ascii="Times New Roman" w:hAnsi="Times New Roman" w:cs="Times New Roman"/>
          <w:b/>
          <w:bCs/>
          <w:sz w:val="24"/>
          <w:szCs w:val="24"/>
        </w:rPr>
        <w:t>Persamaan</w:t>
      </w:r>
      <w:r>
        <w:rPr>
          <w:rFonts w:ascii="Times New Roman" w:hAnsi="Times New Roman" w:cs="Times New Roman"/>
          <w:b/>
          <w:bCs/>
          <w:sz w:val="24"/>
          <w:szCs w:val="24"/>
        </w:rPr>
        <w:t xml:space="preserve"> I</w:t>
      </w:r>
    </w:p>
    <w:p w:rsidR="00830769" w:rsidP="00482711" w14:paraId="23CE7215" w14:textId="77777777">
      <w:pPr>
        <w:pStyle w:val="ListParagraph"/>
        <w:spacing w:after="0" w:line="240" w:lineRule="auto"/>
        <w:ind w:left="1430"/>
        <w:jc w:val="center"/>
        <w:rPr>
          <w:rFonts w:ascii="Times New Roman" w:hAnsi="Times New Roman" w:cs="Times New Roman"/>
          <w:b/>
          <w:bCs/>
          <w:sz w:val="24"/>
          <w:szCs w:val="24"/>
        </w:rPr>
      </w:pPr>
    </w:p>
    <w:p w:rsidR="004C2E91" w:rsidRPr="004C2E91" w:rsidP="00830769" w14:paraId="359611A9" w14:textId="5CDD6C6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57700" cy="3063377"/>
            <wp:effectExtent l="0" t="0" r="0" b="3810"/>
            <wp:docPr id="232229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29839" name="Picture 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5856" cy="3089598"/>
                    </a:xfrm>
                    <a:prstGeom prst="rect">
                      <a:avLst/>
                    </a:prstGeom>
                    <a:noFill/>
                    <a:ln>
                      <a:noFill/>
                    </a:ln>
                  </pic:spPr>
                </pic:pic>
              </a:graphicData>
            </a:graphic>
          </wp:inline>
        </w:drawing>
      </w:r>
    </w:p>
    <w:p w:rsidR="00EB768E" w:rsidP="00EB768E" w14:paraId="3BACD480" w14:textId="77777777">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EB768E">
        <w:rPr>
          <w:rFonts w:ascii="Times New Roman" w:hAnsi="Times New Roman" w:cs="Times New Roman"/>
          <w:b/>
          <w:bCs/>
          <w:sz w:val="24"/>
          <w:szCs w:val="24"/>
        </w:rPr>
        <w:t>Sumber</w:t>
      </w:r>
      <w:r w:rsidRPr="00EB768E">
        <w:rPr>
          <w:rFonts w:ascii="Times New Roman" w:hAnsi="Times New Roman" w:cs="Times New Roman"/>
          <w:b/>
          <w:bCs/>
          <w:sz w:val="24"/>
          <w:szCs w:val="24"/>
        </w:rPr>
        <w:t xml:space="preserve">: Data yang </w:t>
      </w:r>
      <w:r w:rsidRPr="00EB768E">
        <w:rPr>
          <w:rFonts w:ascii="Times New Roman" w:hAnsi="Times New Roman" w:cs="Times New Roman"/>
          <w:b/>
          <w:bCs/>
          <w:sz w:val="24"/>
          <w:szCs w:val="24"/>
        </w:rPr>
        <w:t>diolah</w:t>
      </w:r>
      <w:r w:rsidRPr="00EB768E">
        <w:rPr>
          <w:rFonts w:ascii="Times New Roman" w:hAnsi="Times New Roman" w:cs="Times New Roman"/>
          <w:b/>
          <w:bCs/>
          <w:sz w:val="24"/>
          <w:szCs w:val="24"/>
        </w:rPr>
        <w:t xml:space="preserve"> SPSS 25, 202</w:t>
      </w:r>
      <w:r>
        <w:rPr>
          <w:rFonts w:ascii="Times New Roman" w:hAnsi="Times New Roman" w:cs="Times New Roman"/>
          <w:b/>
          <w:bCs/>
          <w:sz w:val="24"/>
          <w:szCs w:val="24"/>
        </w:rPr>
        <w:t>4</w:t>
      </w:r>
    </w:p>
    <w:p w:rsidR="00EB768E" w:rsidP="00482711" w14:paraId="40F35ACE" w14:textId="77777777">
      <w:pPr>
        <w:autoSpaceDE w:val="0"/>
        <w:autoSpaceDN w:val="0"/>
        <w:adjustRightInd w:val="0"/>
        <w:spacing w:after="0" w:line="240" w:lineRule="auto"/>
        <w:ind w:left="710" w:firstLine="720"/>
        <w:jc w:val="center"/>
        <w:rPr>
          <w:rFonts w:ascii="Times New Roman" w:hAnsi="Times New Roman" w:cs="Times New Roman"/>
          <w:b/>
          <w:bCs/>
          <w:sz w:val="24"/>
          <w:szCs w:val="24"/>
        </w:rPr>
      </w:pPr>
    </w:p>
    <w:p w:rsidR="00482711" w:rsidRPr="004C2E91" w:rsidP="00482711" w14:paraId="701E2188" w14:textId="4A552EDB">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4C2E91">
        <w:rPr>
          <w:rFonts w:ascii="Times New Roman" w:hAnsi="Times New Roman" w:cs="Times New Roman"/>
          <w:b/>
          <w:bCs/>
          <w:sz w:val="24"/>
          <w:szCs w:val="24"/>
        </w:rPr>
        <w:t xml:space="preserve">Gambar </w:t>
      </w:r>
      <w:r>
        <w:rPr>
          <w:rFonts w:ascii="Times New Roman" w:hAnsi="Times New Roman" w:cs="Times New Roman"/>
          <w:b/>
          <w:bCs/>
          <w:sz w:val="24"/>
          <w:szCs w:val="24"/>
        </w:rPr>
        <w:t>7</w:t>
      </w:r>
    </w:p>
    <w:p w:rsidR="00482711" w:rsidP="00830769" w14:paraId="0632E02A" w14:textId="1D4BDEED">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4C2E91">
        <w:rPr>
          <w:rFonts w:ascii="Times New Roman" w:hAnsi="Times New Roman" w:cs="Times New Roman"/>
          <w:b/>
          <w:bCs/>
          <w:sz w:val="24"/>
          <w:szCs w:val="24"/>
        </w:rPr>
        <w:t xml:space="preserve">P-Plot Hasil Uji Normalitas </w:t>
      </w:r>
      <w:r w:rsidRPr="004C2E91">
        <w:rPr>
          <w:rFonts w:ascii="Times New Roman" w:hAnsi="Times New Roman" w:cs="Times New Roman"/>
          <w:b/>
          <w:bCs/>
          <w:sz w:val="24"/>
          <w:szCs w:val="24"/>
        </w:rPr>
        <w:t>Persamaan</w:t>
      </w:r>
      <w:r w:rsidRPr="004C2E91">
        <w:rPr>
          <w:rFonts w:ascii="Times New Roman" w:hAnsi="Times New Roman" w:cs="Times New Roman"/>
          <w:b/>
          <w:bCs/>
          <w:sz w:val="24"/>
          <w:szCs w:val="24"/>
        </w:rPr>
        <w:t xml:space="preserve"> II</w:t>
      </w:r>
    </w:p>
    <w:p w:rsidR="00D131AA" w:rsidRPr="00D131AA" w:rsidP="004C2E91" w14:paraId="0DB97301" w14:textId="39A9790F">
      <w:pPr>
        <w:pStyle w:val="ListParagraph"/>
        <w:spacing w:after="0" w:line="240" w:lineRule="auto"/>
        <w:ind w:left="1430"/>
        <w:jc w:val="center"/>
        <w:rPr>
          <w:rFonts w:ascii="Times New Roman" w:hAnsi="Times New Roman" w:cs="Times New Roman"/>
          <w:b/>
          <w:bCs/>
          <w:sz w:val="24"/>
          <w:szCs w:val="24"/>
        </w:rPr>
      </w:pPr>
      <w:r w:rsidRPr="00D131AA">
        <w:rPr>
          <w:rFonts w:ascii="Times New Roman" w:hAnsi="Times New Roman" w:cs="Times New Roman"/>
          <w:b/>
          <w:bCs/>
          <w:sz w:val="24"/>
          <w:szCs w:val="24"/>
        </w:rPr>
        <w:t>Tabel 1</w:t>
      </w:r>
      <w:r w:rsidR="00E20D14">
        <w:rPr>
          <w:rFonts w:ascii="Times New Roman" w:hAnsi="Times New Roman" w:cs="Times New Roman"/>
          <w:b/>
          <w:bCs/>
          <w:sz w:val="24"/>
          <w:szCs w:val="24"/>
        </w:rPr>
        <w:t>1</w:t>
      </w:r>
    </w:p>
    <w:p w:rsidR="00D131AA" w:rsidRPr="00D131AA" w:rsidP="004C2E91" w14:paraId="148E7246" w14:textId="4DD8B1A0">
      <w:pPr>
        <w:pStyle w:val="ListParagraph"/>
        <w:spacing w:after="0" w:line="240" w:lineRule="auto"/>
        <w:ind w:left="1430"/>
        <w:jc w:val="center"/>
        <w:rPr>
          <w:rFonts w:ascii="Times New Roman" w:hAnsi="Times New Roman" w:cs="Times New Roman"/>
          <w:b/>
          <w:bCs/>
          <w:sz w:val="24"/>
          <w:szCs w:val="24"/>
        </w:rPr>
      </w:pPr>
      <w:r w:rsidRPr="00D131AA">
        <w:rPr>
          <w:rFonts w:ascii="Times New Roman" w:hAnsi="Times New Roman" w:cs="Times New Roman"/>
          <w:b/>
          <w:bCs/>
          <w:sz w:val="24"/>
          <w:szCs w:val="24"/>
        </w:rPr>
        <w:t xml:space="preserve">Hasil Uji Normalitas Model </w:t>
      </w:r>
      <w:r w:rsidRPr="00D131AA">
        <w:rPr>
          <w:rFonts w:ascii="Times New Roman" w:hAnsi="Times New Roman" w:cs="Times New Roman"/>
          <w:b/>
          <w:bCs/>
          <w:sz w:val="24"/>
          <w:szCs w:val="24"/>
        </w:rPr>
        <w:t>Persamaan</w:t>
      </w:r>
      <w:r w:rsidRPr="00D131AA">
        <w:rPr>
          <w:rFonts w:ascii="Times New Roman" w:hAnsi="Times New Roman" w:cs="Times New Roman"/>
          <w:b/>
          <w:bCs/>
          <w:sz w:val="24"/>
          <w:szCs w:val="24"/>
        </w:rPr>
        <w:t xml:space="preserve"> I</w:t>
      </w:r>
    </w:p>
    <w:tbl>
      <w:tblPr>
        <w:tblW w:w="652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9"/>
        <w:gridCol w:w="1878"/>
        <w:gridCol w:w="1350"/>
        <w:gridCol w:w="1811"/>
      </w:tblGrid>
      <w:tr w14:paraId="3EE311C8" w14:textId="77777777" w:rsidTr="00830769">
        <w:tblPrEx>
          <w:tblW w:w="652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39"/>
        </w:trPr>
        <w:tc>
          <w:tcPr>
            <w:tcW w:w="6528" w:type="dxa"/>
            <w:gridSpan w:val="4"/>
            <w:shd w:val="clear" w:color="auto" w:fill="FFFFFF"/>
            <w:vAlign w:val="center"/>
          </w:tcPr>
          <w:p w:rsidR="00D131AA" w:rsidRPr="00D131AA" w:rsidP="00D131AA" w14:paraId="37C29536"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131AA">
              <w:rPr>
                <w:rFonts w:ascii="Times New Roman" w:hAnsi="Times New Roman" w:cs="Times New Roman"/>
                <w:b/>
                <w:bCs/>
                <w:color w:val="010205"/>
                <w:sz w:val="20"/>
                <w:szCs w:val="20"/>
              </w:rPr>
              <w:t>One-Sample Kolmogorov-Smirnov Test</w:t>
            </w:r>
          </w:p>
        </w:tc>
      </w:tr>
      <w:tr w14:paraId="0BC82E10" w14:textId="77777777" w:rsidTr="00830769">
        <w:tblPrEx>
          <w:tblW w:w="6528" w:type="dxa"/>
          <w:tblInd w:w="1271" w:type="dxa"/>
          <w:tblLayout w:type="fixed"/>
          <w:tblCellMar>
            <w:left w:w="0" w:type="dxa"/>
            <w:right w:w="0" w:type="dxa"/>
          </w:tblCellMar>
          <w:tblLook w:val="0000"/>
        </w:tblPrEx>
        <w:trPr>
          <w:cantSplit/>
          <w:trHeight w:val="480"/>
        </w:trPr>
        <w:tc>
          <w:tcPr>
            <w:tcW w:w="4717" w:type="dxa"/>
            <w:gridSpan w:val="3"/>
            <w:shd w:val="clear" w:color="auto" w:fill="FFFFFF"/>
            <w:vAlign w:val="bottom"/>
          </w:tcPr>
          <w:p w:rsidR="00D131AA" w:rsidRPr="00D131AA" w:rsidP="00D131AA" w14:paraId="282E0557" w14:textId="77777777">
            <w:pPr>
              <w:autoSpaceDE w:val="0"/>
              <w:autoSpaceDN w:val="0"/>
              <w:adjustRightInd w:val="0"/>
              <w:spacing w:after="0" w:line="240" w:lineRule="auto"/>
              <w:rPr>
                <w:rFonts w:ascii="Times New Roman" w:hAnsi="Times New Roman" w:cs="Times New Roman"/>
                <w:sz w:val="20"/>
                <w:szCs w:val="20"/>
              </w:rPr>
            </w:pPr>
          </w:p>
        </w:tc>
        <w:tc>
          <w:tcPr>
            <w:tcW w:w="1811" w:type="dxa"/>
            <w:shd w:val="clear" w:color="auto" w:fill="FFFFFF"/>
            <w:vAlign w:val="bottom"/>
          </w:tcPr>
          <w:p w:rsidR="00D131AA" w:rsidRPr="00D131AA" w:rsidP="00D131AA" w14:paraId="088FB2BA"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131AA">
              <w:rPr>
                <w:rFonts w:ascii="Times New Roman" w:hAnsi="Times New Roman" w:cs="Times New Roman"/>
                <w:color w:val="264A60"/>
                <w:sz w:val="20"/>
                <w:szCs w:val="20"/>
              </w:rPr>
              <w:t>Unstandardized Residual</w:t>
            </w:r>
          </w:p>
        </w:tc>
      </w:tr>
      <w:tr w14:paraId="4E0D2448" w14:textId="77777777" w:rsidTr="00830769">
        <w:tblPrEx>
          <w:tblW w:w="6528" w:type="dxa"/>
          <w:tblInd w:w="1271" w:type="dxa"/>
          <w:tblLayout w:type="fixed"/>
          <w:tblCellMar>
            <w:left w:w="0" w:type="dxa"/>
            <w:right w:w="0" w:type="dxa"/>
          </w:tblCellMar>
          <w:tblLook w:val="0000"/>
        </w:tblPrEx>
        <w:trPr>
          <w:cantSplit/>
          <w:trHeight w:val="239"/>
        </w:trPr>
        <w:tc>
          <w:tcPr>
            <w:tcW w:w="4717" w:type="dxa"/>
            <w:gridSpan w:val="3"/>
            <w:shd w:val="clear" w:color="auto" w:fill="E0E0E0"/>
          </w:tcPr>
          <w:p w:rsidR="00D131AA" w:rsidRPr="00D131AA" w:rsidP="00D131AA" w14:paraId="199BE0E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N</w:t>
            </w:r>
          </w:p>
        </w:tc>
        <w:tc>
          <w:tcPr>
            <w:tcW w:w="1811" w:type="dxa"/>
            <w:shd w:val="clear" w:color="auto" w:fill="F9F9FB"/>
          </w:tcPr>
          <w:p w:rsidR="00D131AA" w:rsidRPr="00D131AA" w:rsidP="00D131AA" w14:paraId="0C0F9D2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115</w:t>
            </w:r>
          </w:p>
        </w:tc>
      </w:tr>
      <w:tr w14:paraId="69F4CAC4" w14:textId="77777777" w:rsidTr="00830769">
        <w:tblPrEx>
          <w:tblW w:w="6528" w:type="dxa"/>
          <w:tblInd w:w="1271" w:type="dxa"/>
          <w:tblLayout w:type="fixed"/>
          <w:tblCellMar>
            <w:left w:w="0" w:type="dxa"/>
            <w:right w:w="0" w:type="dxa"/>
          </w:tblCellMar>
          <w:tblLook w:val="0000"/>
        </w:tblPrEx>
        <w:trPr>
          <w:cantSplit/>
          <w:trHeight w:val="239"/>
        </w:trPr>
        <w:tc>
          <w:tcPr>
            <w:tcW w:w="1489" w:type="dxa"/>
            <w:vMerge w:val="restart"/>
            <w:shd w:val="clear" w:color="auto" w:fill="E0E0E0"/>
          </w:tcPr>
          <w:p w:rsidR="00D131AA" w:rsidRPr="00D131AA" w:rsidP="00D131AA" w14:paraId="6935B7B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 xml:space="preserve">Normal </w:t>
            </w:r>
            <w:r w:rsidRPr="00D131AA">
              <w:rPr>
                <w:rFonts w:ascii="Times New Roman" w:hAnsi="Times New Roman" w:cs="Times New Roman"/>
                <w:color w:val="264A60"/>
                <w:sz w:val="20"/>
                <w:szCs w:val="20"/>
              </w:rPr>
              <w:t>Parameters</w:t>
            </w:r>
            <w:r w:rsidRPr="00D131AA">
              <w:rPr>
                <w:rFonts w:ascii="Times New Roman" w:hAnsi="Times New Roman" w:cs="Times New Roman"/>
                <w:color w:val="264A60"/>
                <w:sz w:val="20"/>
                <w:szCs w:val="20"/>
                <w:vertAlign w:val="superscript"/>
              </w:rPr>
              <w:t>a,b</w:t>
            </w:r>
          </w:p>
        </w:tc>
        <w:tc>
          <w:tcPr>
            <w:tcW w:w="3227" w:type="dxa"/>
            <w:gridSpan w:val="2"/>
            <w:shd w:val="clear" w:color="auto" w:fill="E0E0E0"/>
          </w:tcPr>
          <w:p w:rsidR="00D131AA" w:rsidRPr="00D131AA" w:rsidP="00D131AA" w14:paraId="4CD503D3"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Mean</w:t>
            </w:r>
          </w:p>
        </w:tc>
        <w:tc>
          <w:tcPr>
            <w:tcW w:w="1811" w:type="dxa"/>
            <w:shd w:val="clear" w:color="auto" w:fill="F9F9FB"/>
          </w:tcPr>
          <w:p w:rsidR="00D131AA" w:rsidRPr="00D131AA" w:rsidP="00D131AA" w14:paraId="23009F87"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.0000000</w:t>
            </w:r>
          </w:p>
        </w:tc>
      </w:tr>
      <w:tr w14:paraId="39670260" w14:textId="77777777" w:rsidTr="00830769">
        <w:tblPrEx>
          <w:tblW w:w="6528" w:type="dxa"/>
          <w:tblInd w:w="1271" w:type="dxa"/>
          <w:tblLayout w:type="fixed"/>
          <w:tblCellMar>
            <w:left w:w="0" w:type="dxa"/>
            <w:right w:w="0" w:type="dxa"/>
          </w:tblCellMar>
          <w:tblLook w:val="0000"/>
        </w:tblPrEx>
        <w:trPr>
          <w:cantSplit/>
          <w:trHeight w:val="149"/>
        </w:trPr>
        <w:tc>
          <w:tcPr>
            <w:tcW w:w="1489" w:type="dxa"/>
            <w:vMerge/>
            <w:shd w:val="clear" w:color="auto" w:fill="E0E0E0"/>
          </w:tcPr>
          <w:p w:rsidR="00D131AA" w:rsidRPr="00D131AA" w:rsidP="00D131AA" w14:paraId="6F13C167" w14:textId="77777777">
            <w:pPr>
              <w:autoSpaceDE w:val="0"/>
              <w:autoSpaceDN w:val="0"/>
              <w:adjustRightInd w:val="0"/>
              <w:spacing w:after="0" w:line="240" w:lineRule="auto"/>
              <w:rPr>
                <w:rFonts w:ascii="Times New Roman" w:hAnsi="Times New Roman" w:cs="Times New Roman"/>
                <w:color w:val="010205"/>
                <w:sz w:val="20"/>
                <w:szCs w:val="20"/>
              </w:rPr>
            </w:pPr>
          </w:p>
        </w:tc>
        <w:tc>
          <w:tcPr>
            <w:tcW w:w="3227" w:type="dxa"/>
            <w:gridSpan w:val="2"/>
            <w:shd w:val="clear" w:color="auto" w:fill="E0E0E0"/>
          </w:tcPr>
          <w:p w:rsidR="00D131AA" w:rsidRPr="00D131AA" w:rsidP="00D131AA" w14:paraId="63EF8474"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Std. Deviation</w:t>
            </w:r>
          </w:p>
        </w:tc>
        <w:tc>
          <w:tcPr>
            <w:tcW w:w="1811" w:type="dxa"/>
            <w:shd w:val="clear" w:color="auto" w:fill="F9F9FB"/>
          </w:tcPr>
          <w:p w:rsidR="00D131AA" w:rsidRPr="00D131AA" w:rsidP="00D131AA" w14:paraId="76B92FA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7.71437050</w:t>
            </w:r>
          </w:p>
        </w:tc>
      </w:tr>
      <w:tr w14:paraId="02A34929" w14:textId="77777777" w:rsidTr="00830769">
        <w:tblPrEx>
          <w:tblW w:w="6528" w:type="dxa"/>
          <w:tblInd w:w="1271" w:type="dxa"/>
          <w:tblLayout w:type="fixed"/>
          <w:tblCellMar>
            <w:left w:w="0" w:type="dxa"/>
            <w:right w:w="0" w:type="dxa"/>
          </w:tblCellMar>
          <w:tblLook w:val="0000"/>
        </w:tblPrEx>
        <w:trPr>
          <w:cantSplit/>
          <w:trHeight w:val="239"/>
        </w:trPr>
        <w:tc>
          <w:tcPr>
            <w:tcW w:w="1489" w:type="dxa"/>
            <w:vMerge w:val="restart"/>
            <w:shd w:val="clear" w:color="auto" w:fill="E0E0E0"/>
          </w:tcPr>
          <w:p w:rsidR="00D131AA" w:rsidRPr="00D131AA" w:rsidP="00D131AA" w14:paraId="3FD2E089"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Most Extreme Differences</w:t>
            </w:r>
          </w:p>
        </w:tc>
        <w:tc>
          <w:tcPr>
            <w:tcW w:w="3227" w:type="dxa"/>
            <w:gridSpan w:val="2"/>
            <w:shd w:val="clear" w:color="auto" w:fill="E0E0E0"/>
          </w:tcPr>
          <w:p w:rsidR="00D131AA" w:rsidRPr="00D131AA" w:rsidP="00D131AA" w14:paraId="17FCC26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Absolute</w:t>
            </w:r>
          </w:p>
        </w:tc>
        <w:tc>
          <w:tcPr>
            <w:tcW w:w="1811" w:type="dxa"/>
            <w:shd w:val="clear" w:color="auto" w:fill="F9F9FB"/>
          </w:tcPr>
          <w:p w:rsidR="00D131AA" w:rsidRPr="00D131AA" w:rsidP="00D131AA" w14:paraId="56BBEDE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.058</w:t>
            </w:r>
          </w:p>
        </w:tc>
      </w:tr>
      <w:tr w14:paraId="14336A7B" w14:textId="77777777" w:rsidTr="00830769">
        <w:tblPrEx>
          <w:tblW w:w="6528" w:type="dxa"/>
          <w:tblInd w:w="1271" w:type="dxa"/>
          <w:tblLayout w:type="fixed"/>
          <w:tblCellMar>
            <w:left w:w="0" w:type="dxa"/>
            <w:right w:w="0" w:type="dxa"/>
          </w:tblCellMar>
          <w:tblLook w:val="0000"/>
        </w:tblPrEx>
        <w:trPr>
          <w:cantSplit/>
          <w:trHeight w:val="149"/>
        </w:trPr>
        <w:tc>
          <w:tcPr>
            <w:tcW w:w="1489" w:type="dxa"/>
            <w:vMerge/>
            <w:shd w:val="clear" w:color="auto" w:fill="E0E0E0"/>
          </w:tcPr>
          <w:p w:rsidR="00D131AA" w:rsidRPr="00D131AA" w:rsidP="00D131AA" w14:paraId="4D3A55E1" w14:textId="77777777">
            <w:pPr>
              <w:autoSpaceDE w:val="0"/>
              <w:autoSpaceDN w:val="0"/>
              <w:adjustRightInd w:val="0"/>
              <w:spacing w:after="0" w:line="240" w:lineRule="auto"/>
              <w:rPr>
                <w:rFonts w:ascii="Times New Roman" w:hAnsi="Times New Roman" w:cs="Times New Roman"/>
                <w:color w:val="010205"/>
                <w:sz w:val="20"/>
                <w:szCs w:val="20"/>
              </w:rPr>
            </w:pPr>
          </w:p>
        </w:tc>
        <w:tc>
          <w:tcPr>
            <w:tcW w:w="3227" w:type="dxa"/>
            <w:gridSpan w:val="2"/>
            <w:shd w:val="clear" w:color="auto" w:fill="E0E0E0"/>
          </w:tcPr>
          <w:p w:rsidR="00D131AA" w:rsidRPr="00D131AA" w:rsidP="00D131AA" w14:paraId="51FD641E"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Positive</w:t>
            </w:r>
          </w:p>
        </w:tc>
        <w:tc>
          <w:tcPr>
            <w:tcW w:w="1811" w:type="dxa"/>
            <w:shd w:val="clear" w:color="auto" w:fill="F9F9FB"/>
          </w:tcPr>
          <w:p w:rsidR="00D131AA" w:rsidRPr="00D131AA" w:rsidP="00D131AA" w14:paraId="00F6B96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.058</w:t>
            </w:r>
          </w:p>
        </w:tc>
      </w:tr>
      <w:tr w14:paraId="38C5556C" w14:textId="77777777" w:rsidTr="00830769">
        <w:tblPrEx>
          <w:tblW w:w="6528" w:type="dxa"/>
          <w:tblInd w:w="1271" w:type="dxa"/>
          <w:tblLayout w:type="fixed"/>
          <w:tblCellMar>
            <w:left w:w="0" w:type="dxa"/>
            <w:right w:w="0" w:type="dxa"/>
          </w:tblCellMar>
          <w:tblLook w:val="0000"/>
        </w:tblPrEx>
        <w:trPr>
          <w:cantSplit/>
          <w:trHeight w:val="149"/>
        </w:trPr>
        <w:tc>
          <w:tcPr>
            <w:tcW w:w="1489" w:type="dxa"/>
            <w:vMerge/>
            <w:shd w:val="clear" w:color="auto" w:fill="E0E0E0"/>
          </w:tcPr>
          <w:p w:rsidR="00D131AA" w:rsidRPr="00D131AA" w:rsidP="00D131AA" w14:paraId="13889DCB" w14:textId="77777777">
            <w:pPr>
              <w:autoSpaceDE w:val="0"/>
              <w:autoSpaceDN w:val="0"/>
              <w:adjustRightInd w:val="0"/>
              <w:spacing w:after="0" w:line="240" w:lineRule="auto"/>
              <w:rPr>
                <w:rFonts w:ascii="Times New Roman" w:hAnsi="Times New Roman" w:cs="Times New Roman"/>
                <w:color w:val="010205"/>
                <w:sz w:val="20"/>
                <w:szCs w:val="20"/>
              </w:rPr>
            </w:pPr>
          </w:p>
        </w:tc>
        <w:tc>
          <w:tcPr>
            <w:tcW w:w="3227" w:type="dxa"/>
            <w:gridSpan w:val="2"/>
            <w:shd w:val="clear" w:color="auto" w:fill="E0E0E0"/>
          </w:tcPr>
          <w:p w:rsidR="00D131AA" w:rsidRPr="00D131AA" w:rsidP="00D131AA" w14:paraId="7B1A410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Negative</w:t>
            </w:r>
          </w:p>
        </w:tc>
        <w:tc>
          <w:tcPr>
            <w:tcW w:w="1811" w:type="dxa"/>
            <w:shd w:val="clear" w:color="auto" w:fill="F9F9FB"/>
          </w:tcPr>
          <w:p w:rsidR="00D131AA" w:rsidRPr="00D131AA" w:rsidP="00D131AA" w14:paraId="393EC98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-.054</w:t>
            </w:r>
          </w:p>
        </w:tc>
      </w:tr>
      <w:tr w14:paraId="5BECD95C" w14:textId="77777777" w:rsidTr="00830769">
        <w:tblPrEx>
          <w:tblW w:w="6528" w:type="dxa"/>
          <w:tblInd w:w="1271" w:type="dxa"/>
          <w:tblLayout w:type="fixed"/>
          <w:tblCellMar>
            <w:left w:w="0" w:type="dxa"/>
            <w:right w:w="0" w:type="dxa"/>
          </w:tblCellMar>
          <w:tblLook w:val="0000"/>
        </w:tblPrEx>
        <w:trPr>
          <w:cantSplit/>
          <w:trHeight w:val="239"/>
        </w:trPr>
        <w:tc>
          <w:tcPr>
            <w:tcW w:w="4717" w:type="dxa"/>
            <w:gridSpan w:val="3"/>
            <w:shd w:val="clear" w:color="auto" w:fill="E0E0E0"/>
          </w:tcPr>
          <w:p w:rsidR="00D131AA" w:rsidRPr="00D131AA" w:rsidP="00D131AA" w14:paraId="056AD7D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Test Statistic</w:t>
            </w:r>
          </w:p>
        </w:tc>
        <w:tc>
          <w:tcPr>
            <w:tcW w:w="1811" w:type="dxa"/>
            <w:shd w:val="clear" w:color="auto" w:fill="F9F9FB"/>
          </w:tcPr>
          <w:p w:rsidR="00D131AA" w:rsidRPr="00D131AA" w:rsidP="00D131AA" w14:paraId="6EE82BFF"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.058</w:t>
            </w:r>
          </w:p>
        </w:tc>
      </w:tr>
      <w:tr w14:paraId="74A1EE1C" w14:textId="77777777" w:rsidTr="00830769">
        <w:tblPrEx>
          <w:tblW w:w="6528" w:type="dxa"/>
          <w:tblInd w:w="1271" w:type="dxa"/>
          <w:tblLayout w:type="fixed"/>
          <w:tblCellMar>
            <w:left w:w="0" w:type="dxa"/>
            <w:right w:w="0" w:type="dxa"/>
          </w:tblCellMar>
          <w:tblLook w:val="0000"/>
        </w:tblPrEx>
        <w:trPr>
          <w:cantSplit/>
          <w:trHeight w:val="239"/>
        </w:trPr>
        <w:tc>
          <w:tcPr>
            <w:tcW w:w="4717" w:type="dxa"/>
            <w:gridSpan w:val="3"/>
            <w:shd w:val="clear" w:color="auto" w:fill="E0E0E0"/>
          </w:tcPr>
          <w:p w:rsidR="00D131AA" w:rsidRPr="00D131AA" w:rsidP="00D131AA" w14:paraId="285B84D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Asymp</w:t>
            </w:r>
            <w:r w:rsidRPr="00D131AA">
              <w:rPr>
                <w:rFonts w:ascii="Times New Roman" w:hAnsi="Times New Roman" w:cs="Times New Roman"/>
                <w:color w:val="264A60"/>
                <w:sz w:val="20"/>
                <w:szCs w:val="20"/>
              </w:rPr>
              <w:t>. Sig. (2-</w:t>
            </w:r>
            <w:r w:rsidRPr="00D131AA">
              <w:rPr>
                <w:rFonts w:ascii="Times New Roman" w:hAnsi="Times New Roman" w:cs="Times New Roman"/>
                <w:color w:val="264A60"/>
                <w:sz w:val="20"/>
                <w:szCs w:val="20"/>
              </w:rPr>
              <w:t>tailed)</w:t>
            </w:r>
            <w:r w:rsidRPr="00D131AA">
              <w:rPr>
                <w:rFonts w:ascii="Times New Roman" w:hAnsi="Times New Roman" w:cs="Times New Roman"/>
                <w:color w:val="264A60"/>
                <w:sz w:val="20"/>
                <w:szCs w:val="20"/>
                <w:vertAlign w:val="superscript"/>
              </w:rPr>
              <w:t>c</w:t>
            </w:r>
          </w:p>
        </w:tc>
        <w:tc>
          <w:tcPr>
            <w:tcW w:w="1811" w:type="dxa"/>
            <w:shd w:val="clear" w:color="auto" w:fill="F9F9FB"/>
          </w:tcPr>
          <w:p w:rsidR="00D131AA" w:rsidRPr="00D131AA" w:rsidP="00D131AA" w14:paraId="5A045E4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.200</w:t>
            </w:r>
            <w:r w:rsidRPr="00D131AA">
              <w:rPr>
                <w:rFonts w:ascii="Times New Roman" w:hAnsi="Times New Roman" w:cs="Times New Roman"/>
                <w:color w:val="010205"/>
                <w:sz w:val="20"/>
                <w:szCs w:val="20"/>
                <w:vertAlign w:val="superscript"/>
              </w:rPr>
              <w:t>d</w:t>
            </w:r>
          </w:p>
        </w:tc>
      </w:tr>
      <w:tr w14:paraId="12E567BE" w14:textId="77777777" w:rsidTr="00830769">
        <w:tblPrEx>
          <w:tblW w:w="6528" w:type="dxa"/>
          <w:tblInd w:w="1271" w:type="dxa"/>
          <w:tblLayout w:type="fixed"/>
          <w:tblCellMar>
            <w:left w:w="0" w:type="dxa"/>
            <w:right w:w="0" w:type="dxa"/>
          </w:tblCellMar>
          <w:tblLook w:val="0000"/>
        </w:tblPrEx>
        <w:trPr>
          <w:cantSplit/>
          <w:trHeight w:val="239"/>
        </w:trPr>
        <w:tc>
          <w:tcPr>
            <w:tcW w:w="1489" w:type="dxa"/>
            <w:vMerge w:val="restart"/>
            <w:shd w:val="clear" w:color="auto" w:fill="E0E0E0"/>
          </w:tcPr>
          <w:p w:rsidR="00D131AA" w:rsidRPr="00D131AA" w:rsidP="00D131AA" w14:paraId="03388EF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Monte Carlo Sig. (2-</w:t>
            </w:r>
            <w:r w:rsidRPr="00D131AA">
              <w:rPr>
                <w:rFonts w:ascii="Times New Roman" w:hAnsi="Times New Roman" w:cs="Times New Roman"/>
                <w:color w:val="264A60"/>
                <w:sz w:val="20"/>
                <w:szCs w:val="20"/>
              </w:rPr>
              <w:t>tailed)</w:t>
            </w:r>
            <w:r w:rsidRPr="00D131AA">
              <w:rPr>
                <w:rFonts w:ascii="Times New Roman" w:hAnsi="Times New Roman" w:cs="Times New Roman"/>
                <w:color w:val="264A60"/>
                <w:sz w:val="20"/>
                <w:szCs w:val="20"/>
                <w:vertAlign w:val="superscript"/>
              </w:rPr>
              <w:t>e</w:t>
            </w:r>
          </w:p>
        </w:tc>
        <w:tc>
          <w:tcPr>
            <w:tcW w:w="3227" w:type="dxa"/>
            <w:gridSpan w:val="2"/>
            <w:shd w:val="clear" w:color="auto" w:fill="E0E0E0"/>
          </w:tcPr>
          <w:p w:rsidR="00D131AA" w:rsidRPr="00D131AA" w:rsidP="00D131AA" w14:paraId="2BD1C864"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Sig.</w:t>
            </w:r>
          </w:p>
        </w:tc>
        <w:tc>
          <w:tcPr>
            <w:tcW w:w="1811" w:type="dxa"/>
            <w:shd w:val="clear" w:color="auto" w:fill="F9F9FB"/>
          </w:tcPr>
          <w:p w:rsidR="00D131AA" w:rsidRPr="00D131AA" w:rsidP="00D131AA" w14:paraId="2A01675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.453</w:t>
            </w:r>
          </w:p>
        </w:tc>
      </w:tr>
      <w:tr w14:paraId="7BBB979C" w14:textId="77777777" w:rsidTr="00830769">
        <w:tblPrEx>
          <w:tblW w:w="6528" w:type="dxa"/>
          <w:tblInd w:w="1271" w:type="dxa"/>
          <w:tblLayout w:type="fixed"/>
          <w:tblCellMar>
            <w:left w:w="0" w:type="dxa"/>
            <w:right w:w="0" w:type="dxa"/>
          </w:tblCellMar>
          <w:tblLook w:val="0000"/>
        </w:tblPrEx>
        <w:trPr>
          <w:cantSplit/>
          <w:trHeight w:val="149"/>
        </w:trPr>
        <w:tc>
          <w:tcPr>
            <w:tcW w:w="1489" w:type="dxa"/>
            <w:vMerge/>
            <w:shd w:val="clear" w:color="auto" w:fill="E0E0E0"/>
          </w:tcPr>
          <w:p w:rsidR="00D131AA" w:rsidRPr="00D131AA" w:rsidP="00D131AA" w14:paraId="05C9AB49" w14:textId="77777777">
            <w:pPr>
              <w:autoSpaceDE w:val="0"/>
              <w:autoSpaceDN w:val="0"/>
              <w:adjustRightInd w:val="0"/>
              <w:spacing w:after="0" w:line="240" w:lineRule="auto"/>
              <w:rPr>
                <w:rFonts w:ascii="Times New Roman" w:hAnsi="Times New Roman" w:cs="Times New Roman"/>
                <w:color w:val="010205"/>
                <w:sz w:val="20"/>
                <w:szCs w:val="20"/>
              </w:rPr>
            </w:pPr>
          </w:p>
        </w:tc>
        <w:tc>
          <w:tcPr>
            <w:tcW w:w="1878" w:type="dxa"/>
            <w:vMerge w:val="restart"/>
            <w:shd w:val="clear" w:color="auto" w:fill="E0E0E0"/>
          </w:tcPr>
          <w:p w:rsidR="00D131AA" w:rsidRPr="00D131AA" w:rsidP="00D131AA" w14:paraId="24BCB908"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99% Confidence Interval</w:t>
            </w:r>
          </w:p>
        </w:tc>
        <w:tc>
          <w:tcPr>
            <w:tcW w:w="1349" w:type="dxa"/>
            <w:shd w:val="clear" w:color="auto" w:fill="E0E0E0"/>
          </w:tcPr>
          <w:p w:rsidR="00D131AA" w:rsidRPr="00D131AA" w:rsidP="00D131AA" w14:paraId="7713338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Lower Bound</w:t>
            </w:r>
          </w:p>
        </w:tc>
        <w:tc>
          <w:tcPr>
            <w:tcW w:w="1811" w:type="dxa"/>
            <w:shd w:val="clear" w:color="auto" w:fill="F9F9FB"/>
          </w:tcPr>
          <w:p w:rsidR="00D131AA" w:rsidRPr="00D131AA" w:rsidP="00D131AA" w14:paraId="36ABE6A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.440</w:t>
            </w:r>
          </w:p>
        </w:tc>
      </w:tr>
      <w:tr w14:paraId="5744CC17" w14:textId="77777777" w:rsidTr="00830769">
        <w:tblPrEx>
          <w:tblW w:w="6528" w:type="dxa"/>
          <w:tblInd w:w="1271" w:type="dxa"/>
          <w:tblLayout w:type="fixed"/>
          <w:tblCellMar>
            <w:left w:w="0" w:type="dxa"/>
            <w:right w:w="0" w:type="dxa"/>
          </w:tblCellMar>
          <w:tblLook w:val="0000"/>
        </w:tblPrEx>
        <w:trPr>
          <w:cantSplit/>
          <w:trHeight w:val="149"/>
        </w:trPr>
        <w:tc>
          <w:tcPr>
            <w:tcW w:w="1489" w:type="dxa"/>
            <w:vMerge/>
            <w:shd w:val="clear" w:color="auto" w:fill="E0E0E0"/>
          </w:tcPr>
          <w:p w:rsidR="00D131AA" w:rsidRPr="00D131AA" w:rsidP="00D131AA" w14:paraId="66B435CE" w14:textId="77777777">
            <w:pPr>
              <w:autoSpaceDE w:val="0"/>
              <w:autoSpaceDN w:val="0"/>
              <w:adjustRightInd w:val="0"/>
              <w:spacing w:after="0" w:line="240" w:lineRule="auto"/>
              <w:rPr>
                <w:rFonts w:ascii="Times New Roman" w:hAnsi="Times New Roman" w:cs="Times New Roman"/>
                <w:color w:val="010205"/>
                <w:sz w:val="20"/>
                <w:szCs w:val="20"/>
              </w:rPr>
            </w:pPr>
          </w:p>
        </w:tc>
        <w:tc>
          <w:tcPr>
            <w:tcW w:w="1878" w:type="dxa"/>
            <w:vMerge/>
            <w:shd w:val="clear" w:color="auto" w:fill="E0E0E0"/>
          </w:tcPr>
          <w:p w:rsidR="00D131AA" w:rsidRPr="00D131AA" w:rsidP="00D131AA" w14:paraId="2A80FCAC" w14:textId="77777777">
            <w:pPr>
              <w:autoSpaceDE w:val="0"/>
              <w:autoSpaceDN w:val="0"/>
              <w:adjustRightInd w:val="0"/>
              <w:spacing w:after="0" w:line="240" w:lineRule="auto"/>
              <w:rPr>
                <w:rFonts w:ascii="Times New Roman" w:hAnsi="Times New Roman" w:cs="Times New Roman"/>
                <w:color w:val="010205"/>
                <w:sz w:val="20"/>
                <w:szCs w:val="20"/>
              </w:rPr>
            </w:pPr>
          </w:p>
        </w:tc>
        <w:tc>
          <w:tcPr>
            <w:tcW w:w="1349" w:type="dxa"/>
            <w:shd w:val="clear" w:color="auto" w:fill="E0E0E0"/>
          </w:tcPr>
          <w:p w:rsidR="00D131AA" w:rsidRPr="00D131AA" w:rsidP="00D131AA" w14:paraId="316A2E59"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131AA">
              <w:rPr>
                <w:rFonts w:ascii="Times New Roman" w:hAnsi="Times New Roman" w:cs="Times New Roman"/>
                <w:color w:val="264A60"/>
                <w:sz w:val="20"/>
                <w:szCs w:val="20"/>
              </w:rPr>
              <w:t>Upper Bound</w:t>
            </w:r>
          </w:p>
        </w:tc>
        <w:tc>
          <w:tcPr>
            <w:tcW w:w="1811" w:type="dxa"/>
            <w:shd w:val="clear" w:color="auto" w:fill="F9F9FB"/>
          </w:tcPr>
          <w:p w:rsidR="00D131AA" w:rsidRPr="00D131AA" w:rsidP="00D131AA" w14:paraId="5180DA5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131AA">
              <w:rPr>
                <w:rFonts w:ascii="Times New Roman" w:hAnsi="Times New Roman" w:cs="Times New Roman"/>
                <w:color w:val="010205"/>
                <w:sz w:val="20"/>
                <w:szCs w:val="20"/>
              </w:rPr>
              <w:t>.465</w:t>
            </w:r>
          </w:p>
        </w:tc>
      </w:tr>
    </w:tbl>
    <w:p w:rsidR="006D7BF6" w:rsidP="00DB1F21" w14:paraId="402780D3" w14:textId="3317D504">
      <w:pPr>
        <w:autoSpaceDE w:val="0"/>
        <w:autoSpaceDN w:val="0"/>
        <w:adjustRightInd w:val="0"/>
        <w:spacing w:after="0" w:line="480" w:lineRule="auto"/>
        <w:ind w:left="1418"/>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D131AA" w:rsidP="006D7BF6" w14:paraId="1DA88939" w14:textId="195F58D1">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rPr>
        <w:t>tabel</w:t>
      </w:r>
      <w:r>
        <w:rPr>
          <w:rFonts w:ascii="Times New Roman" w:hAnsi="Times New Roman" w:cs="Times New Roman"/>
          <w:sz w:val="24"/>
          <w:szCs w:val="24"/>
        </w:rPr>
        <w:t xml:space="preserve"> 1</w:t>
      </w:r>
      <w:r w:rsidR="00E20D14">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model </w:t>
      </w:r>
      <w:r>
        <w:rPr>
          <w:rFonts w:ascii="Times New Roman" w:hAnsi="Times New Roman" w:cs="Times New Roman"/>
          <w:sz w:val="24"/>
          <w:szCs w:val="24"/>
        </w:rPr>
        <w:t>persamaan</w:t>
      </w:r>
      <w:r>
        <w:rPr>
          <w:rFonts w:ascii="Times New Roman" w:hAnsi="Times New Roman" w:cs="Times New Roman"/>
          <w:sz w:val="24"/>
          <w:szCs w:val="24"/>
        </w:rPr>
        <w:t xml:space="preserve"> I </w:t>
      </w:r>
      <w:r>
        <w:rPr>
          <w:rFonts w:ascii="Times New Roman" w:hAnsi="Times New Roman" w:cs="Times New Roman"/>
          <w:sz w:val="24"/>
          <w:szCs w:val="24"/>
        </w:rPr>
        <w:t>dimana</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signnifikan</w:t>
      </w:r>
      <w:r>
        <w:rPr>
          <w:rFonts w:ascii="Times New Roman" w:hAnsi="Times New Roman" w:cs="Times New Roman"/>
          <w:sz w:val="24"/>
          <w:szCs w:val="24"/>
        </w:rPr>
        <w:t xml:space="preserve"> yang </w:t>
      </w:r>
      <w:r>
        <w:rPr>
          <w:rFonts w:ascii="Times New Roman" w:hAnsi="Times New Roman" w:cs="Times New Roman"/>
          <w:sz w:val="24"/>
          <w:szCs w:val="24"/>
        </w:rPr>
        <w:t>dihasilkan</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0,200. Dimana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sidRPr="008937C2">
        <w:rPr>
          <w:rFonts w:ascii="Times New Roman" w:hAnsi="Times New Roman" w:cs="Times New Roman"/>
          <w:i/>
          <w:iCs/>
          <w:sz w:val="24"/>
          <w:szCs w:val="24"/>
        </w:rPr>
        <w:t>asymp</w:t>
      </w:r>
      <w:r w:rsidRPr="008937C2">
        <w:rPr>
          <w:rFonts w:ascii="Times New Roman" w:hAnsi="Times New Roman" w:cs="Times New Roman"/>
          <w:i/>
          <w:iCs/>
          <w:sz w:val="24"/>
          <w:szCs w:val="24"/>
        </w:rPr>
        <w:t xml:space="preserve"> sig.</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α (0,05),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data </w:t>
      </w:r>
      <w:r>
        <w:rPr>
          <w:rFonts w:ascii="Times New Roman" w:hAnsi="Times New Roman" w:cs="Times New Roman"/>
          <w:sz w:val="24"/>
          <w:szCs w:val="24"/>
        </w:rPr>
        <w:t>persamaan</w:t>
      </w:r>
      <w:r>
        <w:rPr>
          <w:rFonts w:ascii="Times New Roman" w:hAnsi="Times New Roman" w:cs="Times New Roman"/>
          <w:sz w:val="24"/>
          <w:szCs w:val="24"/>
        </w:rPr>
        <w:t xml:space="preserve"> I </w:t>
      </w:r>
      <w:r>
        <w:rPr>
          <w:rFonts w:ascii="Times New Roman" w:hAnsi="Times New Roman" w:cs="Times New Roman"/>
          <w:sz w:val="24"/>
          <w:szCs w:val="24"/>
        </w:rPr>
        <w:t>terdistribusi</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normal.</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Dapat</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dilihat</w:t>
      </w:r>
      <w:r w:rsidR="00402D0B">
        <w:rPr>
          <w:rFonts w:ascii="Times New Roman" w:hAnsi="Times New Roman" w:cs="Times New Roman"/>
          <w:sz w:val="24"/>
          <w:szCs w:val="24"/>
        </w:rPr>
        <w:t xml:space="preserve"> juga </w:t>
      </w:r>
      <w:r w:rsidR="00402D0B">
        <w:rPr>
          <w:rFonts w:ascii="Times New Roman" w:hAnsi="Times New Roman" w:cs="Times New Roman"/>
          <w:sz w:val="24"/>
          <w:szCs w:val="24"/>
        </w:rPr>
        <w:t>dari</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gambar</w:t>
      </w:r>
      <w:r w:rsidR="00402D0B">
        <w:rPr>
          <w:rFonts w:ascii="Times New Roman" w:hAnsi="Times New Roman" w:cs="Times New Roman"/>
          <w:sz w:val="24"/>
          <w:szCs w:val="24"/>
        </w:rPr>
        <w:t xml:space="preserve"> histogram yang </w:t>
      </w:r>
      <w:r w:rsidR="00402D0B">
        <w:rPr>
          <w:rFonts w:ascii="Times New Roman" w:hAnsi="Times New Roman" w:cs="Times New Roman"/>
          <w:sz w:val="24"/>
          <w:szCs w:val="24"/>
        </w:rPr>
        <w:t>menghasilkan</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pola</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seperti</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lonceng</w:t>
      </w:r>
      <w:r w:rsidR="00402D0B">
        <w:rPr>
          <w:rFonts w:ascii="Times New Roman" w:hAnsi="Times New Roman" w:cs="Times New Roman"/>
          <w:sz w:val="24"/>
          <w:szCs w:val="24"/>
        </w:rPr>
        <w:t xml:space="preserve"> dan pada </w:t>
      </w:r>
      <w:r w:rsidR="00402D0B">
        <w:rPr>
          <w:rFonts w:ascii="Times New Roman" w:hAnsi="Times New Roman" w:cs="Times New Roman"/>
          <w:sz w:val="24"/>
          <w:szCs w:val="24"/>
        </w:rPr>
        <w:t>pola</w:t>
      </w:r>
      <w:r w:rsidR="00402D0B">
        <w:rPr>
          <w:rFonts w:ascii="Times New Roman" w:hAnsi="Times New Roman" w:cs="Times New Roman"/>
          <w:sz w:val="24"/>
          <w:szCs w:val="24"/>
        </w:rPr>
        <w:t xml:space="preserve"> P-Plot </w:t>
      </w:r>
      <w:r w:rsidR="00402D0B">
        <w:rPr>
          <w:rFonts w:ascii="Times New Roman" w:hAnsi="Times New Roman" w:cs="Times New Roman"/>
          <w:sz w:val="24"/>
          <w:szCs w:val="24"/>
        </w:rPr>
        <w:t>titik-titknya</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mengikuti</w:t>
      </w:r>
      <w:r w:rsidR="00402D0B">
        <w:rPr>
          <w:rFonts w:ascii="Times New Roman" w:hAnsi="Times New Roman" w:cs="Times New Roman"/>
          <w:sz w:val="24"/>
          <w:szCs w:val="24"/>
        </w:rPr>
        <w:t xml:space="preserve"> garis </w:t>
      </w:r>
      <w:r w:rsidR="00402D0B">
        <w:rPr>
          <w:rFonts w:ascii="Times New Roman" w:hAnsi="Times New Roman" w:cs="Times New Roman"/>
          <w:sz w:val="24"/>
          <w:szCs w:val="24"/>
        </w:rPr>
        <w:t>keatas</w:t>
      </w:r>
      <w:r w:rsidR="00402D0B">
        <w:rPr>
          <w:rFonts w:ascii="Times New Roman" w:hAnsi="Times New Roman" w:cs="Times New Roman"/>
          <w:sz w:val="24"/>
          <w:szCs w:val="24"/>
        </w:rPr>
        <w:t xml:space="preserve"> yang </w:t>
      </w:r>
      <w:r w:rsidR="00402D0B">
        <w:rPr>
          <w:rFonts w:ascii="Times New Roman" w:hAnsi="Times New Roman" w:cs="Times New Roman"/>
          <w:sz w:val="24"/>
          <w:szCs w:val="24"/>
        </w:rPr>
        <w:t>bisa</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dikatakan</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bahwa</w:t>
      </w:r>
      <w:r w:rsidR="00402D0B">
        <w:rPr>
          <w:rFonts w:ascii="Times New Roman" w:hAnsi="Times New Roman" w:cs="Times New Roman"/>
          <w:sz w:val="24"/>
          <w:szCs w:val="24"/>
        </w:rPr>
        <w:t xml:space="preserve"> data </w:t>
      </w:r>
      <w:r w:rsidR="00402D0B">
        <w:rPr>
          <w:rFonts w:ascii="Times New Roman" w:hAnsi="Times New Roman" w:cs="Times New Roman"/>
          <w:sz w:val="24"/>
          <w:szCs w:val="24"/>
        </w:rPr>
        <w:t>bersifat</w:t>
      </w:r>
      <w:r w:rsidR="00402D0B">
        <w:rPr>
          <w:rFonts w:ascii="Times New Roman" w:hAnsi="Times New Roman" w:cs="Times New Roman"/>
          <w:sz w:val="24"/>
          <w:szCs w:val="24"/>
        </w:rPr>
        <w:t xml:space="preserve"> normal.</w:t>
      </w:r>
    </w:p>
    <w:p w:rsidR="004C2E91" w:rsidP="00830769" w14:paraId="3D324959" w14:textId="5396EA83">
      <w:pPr>
        <w:autoSpaceDE w:val="0"/>
        <w:autoSpaceDN w:val="0"/>
        <w:adjustRightInd w:val="0"/>
        <w:spacing w:after="0" w:line="240" w:lineRule="auto"/>
        <w:ind w:left="71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055620" cy="2042051"/>
            <wp:effectExtent l="0" t="0" r="0" b="0"/>
            <wp:docPr id="1284350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50520" name="Picture 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59943" cy="2044940"/>
                    </a:xfrm>
                    <a:prstGeom prst="rect">
                      <a:avLst/>
                    </a:prstGeom>
                    <a:noFill/>
                    <a:ln>
                      <a:noFill/>
                    </a:ln>
                  </pic:spPr>
                </pic:pic>
              </a:graphicData>
            </a:graphic>
          </wp:inline>
        </w:drawing>
      </w:r>
    </w:p>
    <w:p w:rsidR="00830769" w:rsidP="00830769" w14:paraId="269CA3D5" w14:textId="77777777">
      <w:pPr>
        <w:pStyle w:val="ListParagraph"/>
        <w:spacing w:after="0" w:line="240" w:lineRule="auto"/>
        <w:ind w:left="1430"/>
        <w:jc w:val="center"/>
        <w:rPr>
          <w:rFonts w:ascii="Times New Roman" w:hAnsi="Times New Roman" w:cs="Times New Roman"/>
          <w:b/>
          <w:bCs/>
          <w:sz w:val="24"/>
          <w:szCs w:val="24"/>
        </w:rPr>
      </w:pPr>
      <w:r>
        <w:rPr>
          <w:rFonts w:ascii="Times New Roman" w:hAnsi="Times New Roman" w:cs="Times New Roman"/>
          <w:b/>
          <w:bCs/>
          <w:sz w:val="24"/>
          <w:szCs w:val="24"/>
        </w:rPr>
        <w:t>Gambar 8</w:t>
      </w:r>
    </w:p>
    <w:p w:rsidR="004C2E91" w:rsidP="00830769" w14:paraId="3E97D5F9" w14:textId="2C5CD4DE">
      <w:pPr>
        <w:pStyle w:val="ListParagraph"/>
        <w:spacing w:after="0" w:line="240" w:lineRule="auto"/>
        <w:ind w:left="1430"/>
        <w:jc w:val="center"/>
        <w:rPr>
          <w:rFonts w:ascii="Times New Roman" w:hAnsi="Times New Roman" w:cs="Times New Roman"/>
          <w:b/>
          <w:bCs/>
          <w:sz w:val="24"/>
          <w:szCs w:val="24"/>
        </w:rPr>
      </w:pPr>
      <w:r>
        <w:rPr>
          <w:rFonts w:ascii="Times New Roman" w:hAnsi="Times New Roman" w:cs="Times New Roman"/>
          <w:b/>
          <w:bCs/>
          <w:sz w:val="24"/>
          <w:szCs w:val="24"/>
        </w:rPr>
        <w:t xml:space="preserve">Histogram Hasil Uji Normalitas </w:t>
      </w:r>
      <w:r>
        <w:rPr>
          <w:rFonts w:ascii="Times New Roman" w:hAnsi="Times New Roman" w:cs="Times New Roman"/>
          <w:b/>
          <w:bCs/>
          <w:sz w:val="24"/>
          <w:szCs w:val="24"/>
        </w:rPr>
        <w:t>Persamaan</w:t>
      </w:r>
      <w:r>
        <w:rPr>
          <w:rFonts w:ascii="Times New Roman" w:hAnsi="Times New Roman" w:cs="Times New Roman"/>
          <w:b/>
          <w:bCs/>
          <w:sz w:val="24"/>
          <w:szCs w:val="24"/>
        </w:rPr>
        <w:t xml:space="preserve"> II</w:t>
      </w:r>
    </w:p>
    <w:p w:rsidR="004C2E91" w:rsidP="00402D0B" w14:paraId="7534B4E6" w14:textId="559A9E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50781" cy="2087880"/>
            <wp:effectExtent l="0" t="0" r="0" b="7620"/>
            <wp:docPr id="69751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1433" name="Picture 7"/>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61815" cy="2094368"/>
                    </a:xfrm>
                    <a:prstGeom prst="rect">
                      <a:avLst/>
                    </a:prstGeom>
                    <a:noFill/>
                    <a:ln>
                      <a:noFill/>
                    </a:ln>
                  </pic:spPr>
                </pic:pic>
              </a:graphicData>
            </a:graphic>
          </wp:inline>
        </w:drawing>
      </w:r>
    </w:p>
    <w:p w:rsidR="00830769" w:rsidP="00830769" w14:paraId="054E5CCA" w14:textId="77777777">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EB768E">
        <w:rPr>
          <w:rFonts w:ascii="Times New Roman" w:hAnsi="Times New Roman" w:cs="Times New Roman"/>
          <w:b/>
          <w:bCs/>
          <w:sz w:val="24"/>
          <w:szCs w:val="24"/>
        </w:rPr>
        <w:t>Sumber</w:t>
      </w:r>
      <w:r w:rsidRPr="00EB768E">
        <w:rPr>
          <w:rFonts w:ascii="Times New Roman" w:hAnsi="Times New Roman" w:cs="Times New Roman"/>
          <w:b/>
          <w:bCs/>
          <w:sz w:val="24"/>
          <w:szCs w:val="24"/>
        </w:rPr>
        <w:t xml:space="preserve">: Data yang </w:t>
      </w:r>
      <w:r w:rsidRPr="00EB768E">
        <w:rPr>
          <w:rFonts w:ascii="Times New Roman" w:hAnsi="Times New Roman" w:cs="Times New Roman"/>
          <w:b/>
          <w:bCs/>
          <w:sz w:val="24"/>
          <w:szCs w:val="24"/>
        </w:rPr>
        <w:t>diolah</w:t>
      </w:r>
      <w:r w:rsidRPr="00EB768E">
        <w:rPr>
          <w:rFonts w:ascii="Times New Roman" w:hAnsi="Times New Roman" w:cs="Times New Roman"/>
          <w:b/>
          <w:bCs/>
          <w:sz w:val="24"/>
          <w:szCs w:val="24"/>
        </w:rPr>
        <w:t xml:space="preserve"> SPSS 25, 202</w:t>
      </w:r>
      <w:r>
        <w:rPr>
          <w:rFonts w:ascii="Times New Roman" w:hAnsi="Times New Roman" w:cs="Times New Roman"/>
          <w:b/>
          <w:bCs/>
          <w:sz w:val="24"/>
          <w:szCs w:val="24"/>
        </w:rPr>
        <w:t>4</w:t>
      </w:r>
    </w:p>
    <w:p w:rsidR="00830769" w:rsidP="00402D0B" w14:paraId="2675353F" w14:textId="77777777">
      <w:pPr>
        <w:autoSpaceDE w:val="0"/>
        <w:autoSpaceDN w:val="0"/>
        <w:adjustRightInd w:val="0"/>
        <w:spacing w:after="0" w:line="240" w:lineRule="auto"/>
        <w:jc w:val="center"/>
        <w:rPr>
          <w:rFonts w:ascii="Times New Roman" w:hAnsi="Times New Roman" w:cs="Times New Roman"/>
          <w:sz w:val="24"/>
          <w:szCs w:val="24"/>
        </w:rPr>
      </w:pPr>
    </w:p>
    <w:p w:rsidR="00830769" w:rsidRPr="004C2E91" w:rsidP="00830769" w14:paraId="574FED9B" w14:textId="77777777">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4C2E91">
        <w:rPr>
          <w:rFonts w:ascii="Times New Roman" w:hAnsi="Times New Roman" w:cs="Times New Roman"/>
          <w:b/>
          <w:bCs/>
          <w:sz w:val="24"/>
          <w:szCs w:val="24"/>
        </w:rPr>
        <w:t xml:space="preserve">Gambar </w:t>
      </w:r>
      <w:r>
        <w:rPr>
          <w:rFonts w:ascii="Times New Roman" w:hAnsi="Times New Roman" w:cs="Times New Roman"/>
          <w:b/>
          <w:bCs/>
          <w:sz w:val="24"/>
          <w:szCs w:val="24"/>
        </w:rPr>
        <w:t>9</w:t>
      </w:r>
    </w:p>
    <w:p w:rsidR="00830769" w:rsidP="00830769" w14:paraId="305B35B1" w14:textId="77777777">
      <w:pPr>
        <w:autoSpaceDE w:val="0"/>
        <w:autoSpaceDN w:val="0"/>
        <w:adjustRightInd w:val="0"/>
        <w:spacing w:after="0" w:line="240" w:lineRule="auto"/>
        <w:ind w:left="710" w:firstLine="720"/>
        <w:jc w:val="center"/>
        <w:rPr>
          <w:rFonts w:ascii="Times New Roman" w:hAnsi="Times New Roman" w:cs="Times New Roman"/>
          <w:b/>
          <w:bCs/>
          <w:sz w:val="24"/>
          <w:szCs w:val="24"/>
        </w:rPr>
      </w:pPr>
      <w:r w:rsidRPr="004C2E91">
        <w:rPr>
          <w:rFonts w:ascii="Times New Roman" w:hAnsi="Times New Roman" w:cs="Times New Roman"/>
          <w:b/>
          <w:bCs/>
          <w:sz w:val="24"/>
          <w:szCs w:val="24"/>
        </w:rPr>
        <w:t xml:space="preserve">P-Plot Hasil Uji Normalitas </w:t>
      </w:r>
      <w:r w:rsidRPr="004C2E91">
        <w:rPr>
          <w:rFonts w:ascii="Times New Roman" w:hAnsi="Times New Roman" w:cs="Times New Roman"/>
          <w:b/>
          <w:bCs/>
          <w:sz w:val="24"/>
          <w:szCs w:val="24"/>
        </w:rPr>
        <w:t>Persamaan</w:t>
      </w:r>
      <w:r w:rsidRPr="004C2E91">
        <w:rPr>
          <w:rFonts w:ascii="Times New Roman" w:hAnsi="Times New Roman" w:cs="Times New Roman"/>
          <w:b/>
          <w:bCs/>
          <w:sz w:val="24"/>
          <w:szCs w:val="24"/>
        </w:rPr>
        <w:t xml:space="preserve"> II</w:t>
      </w:r>
    </w:p>
    <w:p w:rsidR="00830769" w:rsidP="004C2E91" w14:paraId="0567C270" w14:textId="77777777">
      <w:pPr>
        <w:autoSpaceDE w:val="0"/>
        <w:autoSpaceDN w:val="0"/>
        <w:adjustRightInd w:val="0"/>
        <w:spacing w:after="0" w:line="240" w:lineRule="auto"/>
        <w:ind w:left="1440" w:firstLine="720"/>
        <w:jc w:val="center"/>
        <w:rPr>
          <w:rFonts w:ascii="Times New Roman" w:hAnsi="Times New Roman" w:cs="Times New Roman"/>
          <w:b/>
          <w:bCs/>
          <w:sz w:val="24"/>
          <w:szCs w:val="24"/>
        </w:rPr>
      </w:pPr>
    </w:p>
    <w:p w:rsidR="006D7BF6" w:rsidRPr="00DB1F21" w:rsidP="004C2E91" w14:paraId="1D1F0580" w14:textId="2A4A7498">
      <w:pPr>
        <w:autoSpaceDE w:val="0"/>
        <w:autoSpaceDN w:val="0"/>
        <w:adjustRightInd w:val="0"/>
        <w:spacing w:after="0" w:line="240" w:lineRule="auto"/>
        <w:ind w:left="1440" w:firstLine="720"/>
        <w:jc w:val="center"/>
        <w:rPr>
          <w:rFonts w:ascii="Times New Roman" w:hAnsi="Times New Roman" w:cs="Times New Roman"/>
          <w:b/>
          <w:bCs/>
          <w:sz w:val="24"/>
          <w:szCs w:val="24"/>
        </w:rPr>
      </w:pPr>
      <w:r w:rsidRPr="00DB1F21">
        <w:rPr>
          <w:rFonts w:ascii="Times New Roman" w:hAnsi="Times New Roman" w:cs="Times New Roman"/>
          <w:b/>
          <w:bCs/>
          <w:sz w:val="24"/>
          <w:szCs w:val="24"/>
        </w:rPr>
        <w:t>Tabel 1</w:t>
      </w:r>
      <w:r w:rsidR="00E20D14">
        <w:rPr>
          <w:rFonts w:ascii="Times New Roman" w:hAnsi="Times New Roman" w:cs="Times New Roman"/>
          <w:b/>
          <w:bCs/>
          <w:sz w:val="24"/>
          <w:szCs w:val="24"/>
        </w:rPr>
        <w:t>2</w:t>
      </w:r>
    </w:p>
    <w:p w:rsidR="00DB1F21" w:rsidRPr="00DB1F21" w:rsidP="004C2E91" w14:paraId="65B25FCF" w14:textId="3480F943">
      <w:pPr>
        <w:autoSpaceDE w:val="0"/>
        <w:autoSpaceDN w:val="0"/>
        <w:adjustRightInd w:val="0"/>
        <w:spacing w:after="0" w:line="240" w:lineRule="auto"/>
        <w:ind w:left="1440" w:firstLine="720"/>
        <w:jc w:val="center"/>
        <w:rPr>
          <w:rFonts w:ascii="Times New Roman" w:hAnsi="Times New Roman" w:cs="Times New Roman"/>
          <w:b/>
          <w:bCs/>
          <w:sz w:val="24"/>
          <w:szCs w:val="24"/>
        </w:rPr>
      </w:pPr>
      <w:r w:rsidRPr="00DB1F21">
        <w:rPr>
          <w:rFonts w:ascii="Times New Roman" w:hAnsi="Times New Roman" w:cs="Times New Roman"/>
          <w:b/>
          <w:bCs/>
          <w:sz w:val="24"/>
          <w:szCs w:val="24"/>
        </w:rPr>
        <w:t xml:space="preserve">Hasil Uji Normalitas Model </w:t>
      </w:r>
      <w:r w:rsidRPr="00DB1F21">
        <w:rPr>
          <w:rFonts w:ascii="Times New Roman" w:hAnsi="Times New Roman" w:cs="Times New Roman"/>
          <w:b/>
          <w:bCs/>
          <w:sz w:val="24"/>
          <w:szCs w:val="24"/>
        </w:rPr>
        <w:t>Persamaan</w:t>
      </w:r>
      <w:r w:rsidRPr="00DB1F21">
        <w:rPr>
          <w:rFonts w:ascii="Times New Roman" w:hAnsi="Times New Roman" w:cs="Times New Roman"/>
          <w:b/>
          <w:bCs/>
          <w:sz w:val="24"/>
          <w:szCs w:val="24"/>
        </w:rPr>
        <w:t xml:space="preserve"> II</w:t>
      </w:r>
    </w:p>
    <w:tbl>
      <w:tblPr>
        <w:tblW w:w="6804"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8"/>
        <w:gridCol w:w="1834"/>
        <w:gridCol w:w="1276"/>
        <w:gridCol w:w="2126"/>
      </w:tblGrid>
      <w:tr w14:paraId="67BAE621" w14:textId="77777777" w:rsidTr="00DB1F21">
        <w:tblPrEx>
          <w:tblW w:w="6804"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6804" w:type="dxa"/>
            <w:gridSpan w:val="4"/>
            <w:shd w:val="clear" w:color="auto" w:fill="FFFFFF"/>
            <w:vAlign w:val="center"/>
          </w:tcPr>
          <w:p w:rsidR="00DB1F21" w:rsidRPr="00DB1F21" w:rsidP="00DB1F21" w14:paraId="0712650A"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1F21">
              <w:rPr>
                <w:rFonts w:ascii="Times New Roman" w:hAnsi="Times New Roman" w:cs="Times New Roman"/>
                <w:b/>
                <w:bCs/>
                <w:color w:val="010205"/>
                <w:sz w:val="20"/>
                <w:szCs w:val="20"/>
              </w:rPr>
              <w:t>One-Sample Kolmogorov-Smirnov Test</w:t>
            </w:r>
          </w:p>
        </w:tc>
      </w:tr>
      <w:tr w14:paraId="0B2A05A0" w14:textId="77777777" w:rsidTr="00DB1F21">
        <w:tblPrEx>
          <w:tblW w:w="6804" w:type="dxa"/>
          <w:tblInd w:w="1271" w:type="dxa"/>
          <w:tblLayout w:type="fixed"/>
          <w:tblCellMar>
            <w:left w:w="0" w:type="dxa"/>
            <w:right w:w="0" w:type="dxa"/>
          </w:tblCellMar>
          <w:tblLook w:val="0000"/>
        </w:tblPrEx>
        <w:trPr>
          <w:cantSplit/>
        </w:trPr>
        <w:tc>
          <w:tcPr>
            <w:tcW w:w="4678" w:type="dxa"/>
            <w:gridSpan w:val="3"/>
            <w:shd w:val="clear" w:color="auto" w:fill="FFFFFF"/>
            <w:vAlign w:val="bottom"/>
          </w:tcPr>
          <w:p w:rsidR="00DB1F21" w:rsidRPr="00DB1F21" w:rsidP="00DB1F21" w14:paraId="081B745B" w14:textId="77777777">
            <w:pPr>
              <w:autoSpaceDE w:val="0"/>
              <w:autoSpaceDN w:val="0"/>
              <w:adjustRightInd w:val="0"/>
              <w:spacing w:after="0" w:line="240" w:lineRule="auto"/>
              <w:rPr>
                <w:rFonts w:ascii="Times New Roman" w:hAnsi="Times New Roman" w:cs="Times New Roman"/>
                <w:sz w:val="20"/>
                <w:szCs w:val="20"/>
              </w:rPr>
            </w:pPr>
          </w:p>
        </w:tc>
        <w:tc>
          <w:tcPr>
            <w:tcW w:w="2126" w:type="dxa"/>
            <w:shd w:val="clear" w:color="auto" w:fill="FFFFFF"/>
            <w:vAlign w:val="bottom"/>
          </w:tcPr>
          <w:p w:rsidR="00DB1F21" w:rsidRPr="00DB1F21" w:rsidP="00DB1F21" w14:paraId="204B7DE9"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B1F21">
              <w:rPr>
                <w:rFonts w:ascii="Times New Roman" w:hAnsi="Times New Roman" w:cs="Times New Roman"/>
                <w:color w:val="264A60"/>
                <w:sz w:val="20"/>
                <w:szCs w:val="20"/>
              </w:rPr>
              <w:t>Unstandardized Residual</w:t>
            </w:r>
          </w:p>
        </w:tc>
      </w:tr>
      <w:tr w14:paraId="74265326" w14:textId="77777777" w:rsidTr="00DB1F21">
        <w:tblPrEx>
          <w:tblW w:w="6804" w:type="dxa"/>
          <w:tblInd w:w="1271" w:type="dxa"/>
          <w:tblLayout w:type="fixed"/>
          <w:tblCellMar>
            <w:left w:w="0" w:type="dxa"/>
            <w:right w:w="0" w:type="dxa"/>
          </w:tblCellMar>
          <w:tblLook w:val="0000"/>
        </w:tblPrEx>
        <w:trPr>
          <w:cantSplit/>
        </w:trPr>
        <w:tc>
          <w:tcPr>
            <w:tcW w:w="4678" w:type="dxa"/>
            <w:gridSpan w:val="3"/>
            <w:shd w:val="clear" w:color="auto" w:fill="E0E0E0"/>
          </w:tcPr>
          <w:p w:rsidR="00DB1F21" w:rsidRPr="00DB1F21" w:rsidP="00DB1F21" w14:paraId="66268485"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N</w:t>
            </w:r>
          </w:p>
        </w:tc>
        <w:tc>
          <w:tcPr>
            <w:tcW w:w="2126" w:type="dxa"/>
            <w:shd w:val="clear" w:color="auto" w:fill="F9F9FB"/>
          </w:tcPr>
          <w:p w:rsidR="00DB1F21" w:rsidRPr="00DB1F21" w:rsidP="00DB1F21" w14:paraId="6EB6C166"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115</w:t>
            </w:r>
          </w:p>
        </w:tc>
      </w:tr>
      <w:tr w14:paraId="54251B3F" w14:textId="77777777" w:rsidTr="00DB1F21">
        <w:tblPrEx>
          <w:tblW w:w="6804" w:type="dxa"/>
          <w:tblInd w:w="1271" w:type="dxa"/>
          <w:tblLayout w:type="fixed"/>
          <w:tblCellMar>
            <w:left w:w="0" w:type="dxa"/>
            <w:right w:w="0" w:type="dxa"/>
          </w:tblCellMar>
          <w:tblLook w:val="0000"/>
        </w:tblPrEx>
        <w:trPr>
          <w:cantSplit/>
        </w:trPr>
        <w:tc>
          <w:tcPr>
            <w:tcW w:w="1568" w:type="dxa"/>
            <w:vMerge w:val="restart"/>
            <w:shd w:val="clear" w:color="auto" w:fill="E0E0E0"/>
          </w:tcPr>
          <w:p w:rsidR="00DB1F21" w:rsidRPr="00DB1F21" w:rsidP="00DB1F21" w14:paraId="7D50C4A0"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 xml:space="preserve">Normal </w:t>
            </w:r>
            <w:r w:rsidRPr="00DB1F21">
              <w:rPr>
                <w:rFonts w:ascii="Times New Roman" w:hAnsi="Times New Roman" w:cs="Times New Roman"/>
                <w:color w:val="264A60"/>
                <w:sz w:val="20"/>
                <w:szCs w:val="20"/>
              </w:rPr>
              <w:t>Parameters</w:t>
            </w:r>
            <w:r w:rsidRPr="00DB1F21">
              <w:rPr>
                <w:rFonts w:ascii="Times New Roman" w:hAnsi="Times New Roman" w:cs="Times New Roman"/>
                <w:color w:val="264A60"/>
                <w:sz w:val="20"/>
                <w:szCs w:val="20"/>
                <w:vertAlign w:val="superscript"/>
              </w:rPr>
              <w:t>a,b</w:t>
            </w:r>
          </w:p>
        </w:tc>
        <w:tc>
          <w:tcPr>
            <w:tcW w:w="3110" w:type="dxa"/>
            <w:gridSpan w:val="2"/>
            <w:shd w:val="clear" w:color="auto" w:fill="E0E0E0"/>
          </w:tcPr>
          <w:p w:rsidR="00DB1F21" w:rsidRPr="00DB1F21" w:rsidP="00DB1F21" w14:paraId="1E9416A7"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Mean</w:t>
            </w:r>
          </w:p>
        </w:tc>
        <w:tc>
          <w:tcPr>
            <w:tcW w:w="2126" w:type="dxa"/>
            <w:shd w:val="clear" w:color="auto" w:fill="F9F9FB"/>
          </w:tcPr>
          <w:p w:rsidR="00DB1F21" w:rsidRPr="00DB1F21" w:rsidP="00DB1F21" w14:paraId="3235C72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.0000000</w:t>
            </w:r>
          </w:p>
        </w:tc>
      </w:tr>
      <w:tr w14:paraId="6A5CE08B" w14:textId="77777777" w:rsidTr="00DB1F21">
        <w:tblPrEx>
          <w:tblW w:w="6804" w:type="dxa"/>
          <w:tblInd w:w="1271" w:type="dxa"/>
          <w:tblLayout w:type="fixed"/>
          <w:tblCellMar>
            <w:left w:w="0" w:type="dxa"/>
            <w:right w:w="0" w:type="dxa"/>
          </w:tblCellMar>
          <w:tblLook w:val="0000"/>
        </w:tblPrEx>
        <w:trPr>
          <w:cantSplit/>
        </w:trPr>
        <w:tc>
          <w:tcPr>
            <w:tcW w:w="1568" w:type="dxa"/>
            <w:vMerge/>
            <w:shd w:val="clear" w:color="auto" w:fill="E0E0E0"/>
          </w:tcPr>
          <w:p w:rsidR="00DB1F21" w:rsidRPr="00DB1F21" w:rsidP="00DB1F21" w14:paraId="2E932D0F" w14:textId="77777777">
            <w:pPr>
              <w:autoSpaceDE w:val="0"/>
              <w:autoSpaceDN w:val="0"/>
              <w:adjustRightInd w:val="0"/>
              <w:spacing w:after="0" w:line="240" w:lineRule="auto"/>
              <w:rPr>
                <w:rFonts w:ascii="Times New Roman" w:hAnsi="Times New Roman" w:cs="Times New Roman"/>
                <w:color w:val="010205"/>
                <w:sz w:val="20"/>
                <w:szCs w:val="20"/>
              </w:rPr>
            </w:pPr>
          </w:p>
        </w:tc>
        <w:tc>
          <w:tcPr>
            <w:tcW w:w="3110" w:type="dxa"/>
            <w:gridSpan w:val="2"/>
            <w:shd w:val="clear" w:color="auto" w:fill="E0E0E0"/>
          </w:tcPr>
          <w:p w:rsidR="00DB1F21" w:rsidRPr="00DB1F21" w:rsidP="00DB1F21" w14:paraId="5F3464E0"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Std. Deviation</w:t>
            </w:r>
          </w:p>
        </w:tc>
        <w:tc>
          <w:tcPr>
            <w:tcW w:w="2126" w:type="dxa"/>
            <w:shd w:val="clear" w:color="auto" w:fill="F9F9FB"/>
          </w:tcPr>
          <w:p w:rsidR="00DB1F21" w:rsidRPr="00DB1F21" w:rsidP="00DB1F21" w14:paraId="780EC9B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1.25137468</w:t>
            </w:r>
          </w:p>
        </w:tc>
      </w:tr>
      <w:tr w14:paraId="6456963A" w14:textId="77777777" w:rsidTr="00DB1F21">
        <w:tblPrEx>
          <w:tblW w:w="6804" w:type="dxa"/>
          <w:tblInd w:w="1271" w:type="dxa"/>
          <w:tblLayout w:type="fixed"/>
          <w:tblCellMar>
            <w:left w:w="0" w:type="dxa"/>
            <w:right w:w="0" w:type="dxa"/>
          </w:tblCellMar>
          <w:tblLook w:val="0000"/>
        </w:tblPrEx>
        <w:trPr>
          <w:cantSplit/>
        </w:trPr>
        <w:tc>
          <w:tcPr>
            <w:tcW w:w="1568" w:type="dxa"/>
            <w:vMerge w:val="restart"/>
            <w:shd w:val="clear" w:color="auto" w:fill="E0E0E0"/>
          </w:tcPr>
          <w:p w:rsidR="00DB1F21" w:rsidRPr="00DB1F21" w:rsidP="00DB1F21" w14:paraId="081F32E7"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Most Extreme Differences</w:t>
            </w:r>
          </w:p>
        </w:tc>
        <w:tc>
          <w:tcPr>
            <w:tcW w:w="3110" w:type="dxa"/>
            <w:gridSpan w:val="2"/>
            <w:shd w:val="clear" w:color="auto" w:fill="E0E0E0"/>
          </w:tcPr>
          <w:p w:rsidR="00DB1F21" w:rsidRPr="00DB1F21" w:rsidP="00DB1F21" w14:paraId="2FF08BCE"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Absolute</w:t>
            </w:r>
          </w:p>
        </w:tc>
        <w:tc>
          <w:tcPr>
            <w:tcW w:w="2126" w:type="dxa"/>
            <w:shd w:val="clear" w:color="auto" w:fill="F9F9FB"/>
          </w:tcPr>
          <w:p w:rsidR="00DB1F21" w:rsidRPr="00DB1F21" w:rsidP="00DB1F21" w14:paraId="3A30270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.073</w:t>
            </w:r>
          </w:p>
        </w:tc>
      </w:tr>
      <w:tr w14:paraId="20CA86F0" w14:textId="77777777" w:rsidTr="00DB1F21">
        <w:tblPrEx>
          <w:tblW w:w="6804" w:type="dxa"/>
          <w:tblInd w:w="1271" w:type="dxa"/>
          <w:tblLayout w:type="fixed"/>
          <w:tblCellMar>
            <w:left w:w="0" w:type="dxa"/>
            <w:right w:w="0" w:type="dxa"/>
          </w:tblCellMar>
          <w:tblLook w:val="0000"/>
        </w:tblPrEx>
        <w:trPr>
          <w:cantSplit/>
        </w:trPr>
        <w:tc>
          <w:tcPr>
            <w:tcW w:w="1568" w:type="dxa"/>
            <w:vMerge/>
            <w:shd w:val="clear" w:color="auto" w:fill="E0E0E0"/>
          </w:tcPr>
          <w:p w:rsidR="00DB1F21" w:rsidRPr="00DB1F21" w:rsidP="00DB1F21" w14:paraId="68CE28FA" w14:textId="77777777">
            <w:pPr>
              <w:autoSpaceDE w:val="0"/>
              <w:autoSpaceDN w:val="0"/>
              <w:adjustRightInd w:val="0"/>
              <w:spacing w:after="0" w:line="240" w:lineRule="auto"/>
              <w:rPr>
                <w:rFonts w:ascii="Times New Roman" w:hAnsi="Times New Roman" w:cs="Times New Roman"/>
                <w:color w:val="010205"/>
                <w:sz w:val="20"/>
                <w:szCs w:val="20"/>
              </w:rPr>
            </w:pPr>
          </w:p>
        </w:tc>
        <w:tc>
          <w:tcPr>
            <w:tcW w:w="3110" w:type="dxa"/>
            <w:gridSpan w:val="2"/>
            <w:shd w:val="clear" w:color="auto" w:fill="E0E0E0"/>
          </w:tcPr>
          <w:p w:rsidR="00DB1F21" w:rsidRPr="00DB1F21" w:rsidP="00DB1F21" w14:paraId="4806ECF7"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Positive</w:t>
            </w:r>
          </w:p>
        </w:tc>
        <w:tc>
          <w:tcPr>
            <w:tcW w:w="2126" w:type="dxa"/>
            <w:shd w:val="clear" w:color="auto" w:fill="F9F9FB"/>
          </w:tcPr>
          <w:p w:rsidR="00DB1F21" w:rsidRPr="00DB1F21" w:rsidP="00DB1F21" w14:paraId="4CBD9A0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.043</w:t>
            </w:r>
          </w:p>
        </w:tc>
      </w:tr>
      <w:tr w14:paraId="4B4BEAAF" w14:textId="77777777" w:rsidTr="00DB1F21">
        <w:tblPrEx>
          <w:tblW w:w="6804" w:type="dxa"/>
          <w:tblInd w:w="1271" w:type="dxa"/>
          <w:tblLayout w:type="fixed"/>
          <w:tblCellMar>
            <w:left w:w="0" w:type="dxa"/>
            <w:right w:w="0" w:type="dxa"/>
          </w:tblCellMar>
          <w:tblLook w:val="0000"/>
        </w:tblPrEx>
        <w:trPr>
          <w:cantSplit/>
        </w:trPr>
        <w:tc>
          <w:tcPr>
            <w:tcW w:w="1568" w:type="dxa"/>
            <w:vMerge/>
            <w:shd w:val="clear" w:color="auto" w:fill="E0E0E0"/>
          </w:tcPr>
          <w:p w:rsidR="00DB1F21" w:rsidRPr="00DB1F21" w:rsidP="00DB1F21" w14:paraId="14A765DB" w14:textId="77777777">
            <w:pPr>
              <w:autoSpaceDE w:val="0"/>
              <w:autoSpaceDN w:val="0"/>
              <w:adjustRightInd w:val="0"/>
              <w:spacing w:after="0" w:line="240" w:lineRule="auto"/>
              <w:rPr>
                <w:rFonts w:ascii="Times New Roman" w:hAnsi="Times New Roman" w:cs="Times New Roman"/>
                <w:color w:val="010205"/>
                <w:sz w:val="20"/>
                <w:szCs w:val="20"/>
              </w:rPr>
            </w:pPr>
          </w:p>
        </w:tc>
        <w:tc>
          <w:tcPr>
            <w:tcW w:w="3110" w:type="dxa"/>
            <w:gridSpan w:val="2"/>
            <w:shd w:val="clear" w:color="auto" w:fill="E0E0E0"/>
          </w:tcPr>
          <w:p w:rsidR="00DB1F21" w:rsidRPr="00DB1F21" w:rsidP="00DB1F21" w14:paraId="74FB2CA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Negative</w:t>
            </w:r>
          </w:p>
        </w:tc>
        <w:tc>
          <w:tcPr>
            <w:tcW w:w="2126" w:type="dxa"/>
            <w:shd w:val="clear" w:color="auto" w:fill="F9F9FB"/>
          </w:tcPr>
          <w:p w:rsidR="00DB1F21" w:rsidRPr="00DB1F21" w:rsidP="00DB1F21" w14:paraId="62ED791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-.073</w:t>
            </w:r>
          </w:p>
        </w:tc>
      </w:tr>
      <w:tr w14:paraId="52173C3C" w14:textId="77777777" w:rsidTr="00DB1F21">
        <w:tblPrEx>
          <w:tblW w:w="6804" w:type="dxa"/>
          <w:tblInd w:w="1271" w:type="dxa"/>
          <w:tblLayout w:type="fixed"/>
          <w:tblCellMar>
            <w:left w:w="0" w:type="dxa"/>
            <w:right w:w="0" w:type="dxa"/>
          </w:tblCellMar>
          <w:tblLook w:val="0000"/>
        </w:tblPrEx>
        <w:trPr>
          <w:cantSplit/>
        </w:trPr>
        <w:tc>
          <w:tcPr>
            <w:tcW w:w="4678" w:type="dxa"/>
            <w:gridSpan w:val="3"/>
            <w:shd w:val="clear" w:color="auto" w:fill="E0E0E0"/>
          </w:tcPr>
          <w:p w:rsidR="00DB1F21" w:rsidRPr="00DB1F21" w:rsidP="00DB1F21" w14:paraId="3A77084D"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Test Statistic</w:t>
            </w:r>
          </w:p>
        </w:tc>
        <w:tc>
          <w:tcPr>
            <w:tcW w:w="2126" w:type="dxa"/>
            <w:shd w:val="clear" w:color="auto" w:fill="F9F9FB"/>
          </w:tcPr>
          <w:p w:rsidR="00DB1F21" w:rsidRPr="00DB1F21" w:rsidP="00DB1F21" w14:paraId="03864BD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.073</w:t>
            </w:r>
          </w:p>
        </w:tc>
      </w:tr>
      <w:tr w14:paraId="6B78E382" w14:textId="77777777" w:rsidTr="00DB1F21">
        <w:tblPrEx>
          <w:tblW w:w="6804" w:type="dxa"/>
          <w:tblInd w:w="1271" w:type="dxa"/>
          <w:tblLayout w:type="fixed"/>
          <w:tblCellMar>
            <w:left w:w="0" w:type="dxa"/>
            <w:right w:w="0" w:type="dxa"/>
          </w:tblCellMar>
          <w:tblLook w:val="0000"/>
        </w:tblPrEx>
        <w:trPr>
          <w:cantSplit/>
        </w:trPr>
        <w:tc>
          <w:tcPr>
            <w:tcW w:w="4678" w:type="dxa"/>
            <w:gridSpan w:val="3"/>
            <w:shd w:val="clear" w:color="auto" w:fill="E0E0E0"/>
          </w:tcPr>
          <w:p w:rsidR="00DB1F21" w:rsidRPr="00DB1F21" w:rsidP="00DB1F21" w14:paraId="606EA32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Asymp</w:t>
            </w:r>
            <w:r w:rsidRPr="00DB1F21">
              <w:rPr>
                <w:rFonts w:ascii="Times New Roman" w:hAnsi="Times New Roman" w:cs="Times New Roman"/>
                <w:color w:val="264A60"/>
                <w:sz w:val="20"/>
                <w:szCs w:val="20"/>
              </w:rPr>
              <w:t>. Sig. (2-</w:t>
            </w:r>
            <w:r w:rsidRPr="00DB1F21">
              <w:rPr>
                <w:rFonts w:ascii="Times New Roman" w:hAnsi="Times New Roman" w:cs="Times New Roman"/>
                <w:color w:val="264A60"/>
                <w:sz w:val="20"/>
                <w:szCs w:val="20"/>
              </w:rPr>
              <w:t>tailed)</w:t>
            </w:r>
            <w:r w:rsidRPr="00DB1F21">
              <w:rPr>
                <w:rFonts w:ascii="Times New Roman" w:hAnsi="Times New Roman" w:cs="Times New Roman"/>
                <w:color w:val="264A60"/>
                <w:sz w:val="20"/>
                <w:szCs w:val="20"/>
                <w:vertAlign w:val="superscript"/>
              </w:rPr>
              <w:t>c</w:t>
            </w:r>
          </w:p>
        </w:tc>
        <w:tc>
          <w:tcPr>
            <w:tcW w:w="2126" w:type="dxa"/>
            <w:shd w:val="clear" w:color="auto" w:fill="F9F9FB"/>
          </w:tcPr>
          <w:p w:rsidR="00DB1F21" w:rsidRPr="00DB1F21" w:rsidP="00DB1F21" w14:paraId="0F7736AA"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.192</w:t>
            </w:r>
          </w:p>
        </w:tc>
      </w:tr>
      <w:tr w14:paraId="5D54C604" w14:textId="77777777" w:rsidTr="00DB1F21">
        <w:tblPrEx>
          <w:tblW w:w="6804" w:type="dxa"/>
          <w:tblInd w:w="1271" w:type="dxa"/>
          <w:tblLayout w:type="fixed"/>
          <w:tblCellMar>
            <w:left w:w="0" w:type="dxa"/>
            <w:right w:w="0" w:type="dxa"/>
          </w:tblCellMar>
          <w:tblLook w:val="0000"/>
        </w:tblPrEx>
        <w:trPr>
          <w:cantSplit/>
        </w:trPr>
        <w:tc>
          <w:tcPr>
            <w:tcW w:w="1568" w:type="dxa"/>
            <w:vMerge w:val="restart"/>
            <w:shd w:val="clear" w:color="auto" w:fill="E0E0E0"/>
          </w:tcPr>
          <w:p w:rsidR="00DB1F21" w:rsidRPr="00DB1F21" w:rsidP="00DB1F21" w14:paraId="17BCE49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Monte Carlo Sig. (2-</w:t>
            </w:r>
            <w:r w:rsidRPr="00DB1F21">
              <w:rPr>
                <w:rFonts w:ascii="Times New Roman" w:hAnsi="Times New Roman" w:cs="Times New Roman"/>
                <w:color w:val="264A60"/>
                <w:sz w:val="20"/>
                <w:szCs w:val="20"/>
              </w:rPr>
              <w:t>tailed)</w:t>
            </w:r>
            <w:r w:rsidRPr="00DB1F21">
              <w:rPr>
                <w:rFonts w:ascii="Times New Roman" w:hAnsi="Times New Roman" w:cs="Times New Roman"/>
                <w:color w:val="264A60"/>
                <w:sz w:val="20"/>
                <w:szCs w:val="20"/>
                <w:vertAlign w:val="superscript"/>
              </w:rPr>
              <w:t>d</w:t>
            </w:r>
          </w:p>
        </w:tc>
        <w:tc>
          <w:tcPr>
            <w:tcW w:w="3110" w:type="dxa"/>
            <w:gridSpan w:val="2"/>
            <w:shd w:val="clear" w:color="auto" w:fill="E0E0E0"/>
          </w:tcPr>
          <w:p w:rsidR="00DB1F21" w:rsidRPr="00DB1F21" w:rsidP="00DB1F21" w14:paraId="44996FB5"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Sig.</w:t>
            </w:r>
          </w:p>
        </w:tc>
        <w:tc>
          <w:tcPr>
            <w:tcW w:w="2126" w:type="dxa"/>
            <w:shd w:val="clear" w:color="auto" w:fill="F9F9FB"/>
          </w:tcPr>
          <w:p w:rsidR="00DB1F21" w:rsidRPr="00DB1F21" w:rsidP="00DB1F21" w14:paraId="4D5F5536"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.143</w:t>
            </w:r>
          </w:p>
        </w:tc>
      </w:tr>
      <w:tr w14:paraId="5DA754DA" w14:textId="77777777" w:rsidTr="00DB1F21">
        <w:tblPrEx>
          <w:tblW w:w="6804" w:type="dxa"/>
          <w:tblInd w:w="1271" w:type="dxa"/>
          <w:tblLayout w:type="fixed"/>
          <w:tblCellMar>
            <w:left w:w="0" w:type="dxa"/>
            <w:right w:w="0" w:type="dxa"/>
          </w:tblCellMar>
          <w:tblLook w:val="0000"/>
        </w:tblPrEx>
        <w:trPr>
          <w:cantSplit/>
        </w:trPr>
        <w:tc>
          <w:tcPr>
            <w:tcW w:w="1568" w:type="dxa"/>
            <w:vMerge/>
            <w:shd w:val="clear" w:color="auto" w:fill="E0E0E0"/>
          </w:tcPr>
          <w:p w:rsidR="00DB1F21" w:rsidRPr="00DB1F21" w:rsidP="00DB1F21" w14:paraId="183D79A6" w14:textId="77777777">
            <w:pPr>
              <w:autoSpaceDE w:val="0"/>
              <w:autoSpaceDN w:val="0"/>
              <w:adjustRightInd w:val="0"/>
              <w:spacing w:after="0" w:line="240" w:lineRule="auto"/>
              <w:rPr>
                <w:rFonts w:ascii="Times New Roman" w:hAnsi="Times New Roman" w:cs="Times New Roman"/>
                <w:color w:val="010205"/>
                <w:sz w:val="20"/>
                <w:szCs w:val="20"/>
              </w:rPr>
            </w:pPr>
          </w:p>
        </w:tc>
        <w:tc>
          <w:tcPr>
            <w:tcW w:w="1834" w:type="dxa"/>
            <w:vMerge w:val="restart"/>
            <w:shd w:val="clear" w:color="auto" w:fill="E0E0E0"/>
          </w:tcPr>
          <w:p w:rsidR="00DB1F21" w:rsidRPr="00DB1F21" w:rsidP="00DB1F21" w14:paraId="097081E4"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99% Confidence Interval</w:t>
            </w:r>
          </w:p>
        </w:tc>
        <w:tc>
          <w:tcPr>
            <w:tcW w:w="1276" w:type="dxa"/>
            <w:shd w:val="clear" w:color="auto" w:fill="E0E0E0"/>
          </w:tcPr>
          <w:p w:rsidR="00DB1F21" w:rsidRPr="00DB1F21" w:rsidP="00DB1F21" w14:paraId="3C33BE3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Lower Bound</w:t>
            </w:r>
          </w:p>
        </w:tc>
        <w:tc>
          <w:tcPr>
            <w:tcW w:w="2126" w:type="dxa"/>
            <w:shd w:val="clear" w:color="auto" w:fill="F9F9FB"/>
          </w:tcPr>
          <w:p w:rsidR="00DB1F21" w:rsidRPr="00DB1F21" w:rsidP="00DB1F21" w14:paraId="28158BF7"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.134</w:t>
            </w:r>
          </w:p>
        </w:tc>
      </w:tr>
      <w:tr w14:paraId="31EEA875" w14:textId="77777777" w:rsidTr="00DB1F21">
        <w:tblPrEx>
          <w:tblW w:w="6804" w:type="dxa"/>
          <w:tblInd w:w="1271" w:type="dxa"/>
          <w:tblLayout w:type="fixed"/>
          <w:tblCellMar>
            <w:left w:w="0" w:type="dxa"/>
            <w:right w:w="0" w:type="dxa"/>
          </w:tblCellMar>
          <w:tblLook w:val="0000"/>
        </w:tblPrEx>
        <w:trPr>
          <w:cantSplit/>
        </w:trPr>
        <w:tc>
          <w:tcPr>
            <w:tcW w:w="1568" w:type="dxa"/>
            <w:vMerge/>
            <w:shd w:val="clear" w:color="auto" w:fill="E0E0E0"/>
          </w:tcPr>
          <w:p w:rsidR="00DB1F21" w:rsidRPr="00DB1F21" w:rsidP="00DB1F21" w14:paraId="776F0C07" w14:textId="77777777">
            <w:pPr>
              <w:autoSpaceDE w:val="0"/>
              <w:autoSpaceDN w:val="0"/>
              <w:adjustRightInd w:val="0"/>
              <w:spacing w:after="0" w:line="240" w:lineRule="auto"/>
              <w:rPr>
                <w:rFonts w:ascii="Times New Roman" w:hAnsi="Times New Roman" w:cs="Times New Roman"/>
                <w:color w:val="010205"/>
                <w:sz w:val="20"/>
                <w:szCs w:val="20"/>
              </w:rPr>
            </w:pPr>
          </w:p>
        </w:tc>
        <w:tc>
          <w:tcPr>
            <w:tcW w:w="1834" w:type="dxa"/>
            <w:vMerge/>
            <w:shd w:val="clear" w:color="auto" w:fill="E0E0E0"/>
          </w:tcPr>
          <w:p w:rsidR="00DB1F21" w:rsidRPr="00DB1F21" w:rsidP="00DB1F21" w14:paraId="7A2D6AC4" w14:textId="77777777">
            <w:pPr>
              <w:autoSpaceDE w:val="0"/>
              <w:autoSpaceDN w:val="0"/>
              <w:adjustRightInd w:val="0"/>
              <w:spacing w:after="0" w:line="240" w:lineRule="auto"/>
              <w:rPr>
                <w:rFonts w:ascii="Times New Roman" w:hAnsi="Times New Roman" w:cs="Times New Roman"/>
                <w:color w:val="010205"/>
                <w:sz w:val="20"/>
                <w:szCs w:val="20"/>
              </w:rPr>
            </w:pPr>
          </w:p>
        </w:tc>
        <w:tc>
          <w:tcPr>
            <w:tcW w:w="1276" w:type="dxa"/>
            <w:shd w:val="clear" w:color="auto" w:fill="E0E0E0"/>
          </w:tcPr>
          <w:p w:rsidR="00DB1F21" w:rsidRPr="00DB1F21" w:rsidP="00DB1F21" w14:paraId="3B65D5B8"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B1F21">
              <w:rPr>
                <w:rFonts w:ascii="Times New Roman" w:hAnsi="Times New Roman" w:cs="Times New Roman"/>
                <w:color w:val="264A60"/>
                <w:sz w:val="20"/>
                <w:szCs w:val="20"/>
              </w:rPr>
              <w:t>Upper Bound</w:t>
            </w:r>
          </w:p>
        </w:tc>
        <w:tc>
          <w:tcPr>
            <w:tcW w:w="2126" w:type="dxa"/>
            <w:shd w:val="clear" w:color="auto" w:fill="F9F9FB"/>
          </w:tcPr>
          <w:p w:rsidR="00DB1F21" w:rsidRPr="00DB1F21" w:rsidP="00DB1F21" w14:paraId="4CC4B8B4"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B1F21">
              <w:rPr>
                <w:rFonts w:ascii="Times New Roman" w:hAnsi="Times New Roman" w:cs="Times New Roman"/>
                <w:color w:val="010205"/>
                <w:sz w:val="20"/>
                <w:szCs w:val="20"/>
              </w:rPr>
              <w:t>.152</w:t>
            </w:r>
          </w:p>
        </w:tc>
      </w:tr>
    </w:tbl>
    <w:p w:rsidR="00DB1F21" w:rsidP="00DB1F21" w14:paraId="4F499548" w14:textId="0B5AFD15">
      <w:pPr>
        <w:autoSpaceDE w:val="0"/>
        <w:autoSpaceDN w:val="0"/>
        <w:adjustRightInd w:val="0"/>
        <w:spacing w:after="0" w:line="480" w:lineRule="auto"/>
        <w:ind w:left="1276" w:firstLine="164"/>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Pr="008D7897" w:rsidR="008D7897">
        <w:rPr>
          <w:rFonts w:ascii="Times New Roman" w:hAnsi="Times New Roman" w:cs="Times New Roman"/>
          <w:b/>
          <w:bCs/>
          <w:sz w:val="24"/>
          <w:szCs w:val="24"/>
        </w:rPr>
        <w:t xml:space="preserve"> 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D131AA" w:rsidRPr="00DB1F21" w:rsidP="009303FA" w14:paraId="4DF9D800" w14:textId="558D6C5B">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rPr>
        <w:t>hasil</w:t>
      </w:r>
      <w:r>
        <w:rPr>
          <w:rFonts w:ascii="Times New Roman" w:hAnsi="Times New Roman" w:cs="Times New Roman"/>
          <w:sz w:val="24"/>
          <w:szCs w:val="24"/>
        </w:rPr>
        <w:t xml:space="preserve"> uji </w:t>
      </w:r>
      <w:r>
        <w:rPr>
          <w:rFonts w:ascii="Times New Roman" w:hAnsi="Times New Roman" w:cs="Times New Roman"/>
          <w:sz w:val="24"/>
          <w:szCs w:val="24"/>
        </w:rPr>
        <w:t>normalitas</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model </w:t>
      </w:r>
      <w:r>
        <w:rPr>
          <w:rFonts w:ascii="Times New Roman" w:hAnsi="Times New Roman" w:cs="Times New Roman"/>
          <w:sz w:val="24"/>
          <w:szCs w:val="24"/>
        </w:rPr>
        <w:t>persamaan</w:t>
      </w:r>
      <w:r>
        <w:rPr>
          <w:rFonts w:ascii="Times New Roman" w:hAnsi="Times New Roman" w:cs="Times New Roman"/>
          <w:sz w:val="24"/>
          <w:szCs w:val="24"/>
        </w:rPr>
        <w:t xml:space="preserve"> II </w:t>
      </w:r>
      <w:r>
        <w:rPr>
          <w:rFonts w:ascii="Times New Roman" w:hAnsi="Times New Roman" w:cs="Times New Roman"/>
          <w:sz w:val="24"/>
          <w:szCs w:val="24"/>
        </w:rPr>
        <w:t>dimana</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dan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independen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data juga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terdistribusi</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normal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signfikansi</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dari</w:t>
      </w:r>
      <w:r w:rsidR="008937C2">
        <w:rPr>
          <w:rFonts w:ascii="Times New Roman" w:hAnsi="Times New Roman" w:cs="Times New Roman"/>
          <w:sz w:val="24"/>
          <w:szCs w:val="24"/>
        </w:rPr>
        <w:t xml:space="preserve"> α =</w:t>
      </w:r>
      <w:r>
        <w:rPr>
          <w:rFonts w:ascii="Times New Roman" w:hAnsi="Times New Roman" w:cs="Times New Roman"/>
          <w:sz w:val="24"/>
          <w:szCs w:val="24"/>
        </w:rPr>
        <w:t xml:space="preserve"> 0,05.</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Dilihat</w:t>
      </w:r>
      <w:r w:rsidR="00402D0B">
        <w:rPr>
          <w:rFonts w:ascii="Times New Roman" w:hAnsi="Times New Roman" w:cs="Times New Roman"/>
          <w:sz w:val="24"/>
          <w:szCs w:val="24"/>
        </w:rPr>
        <w:t xml:space="preserve"> juga </w:t>
      </w:r>
      <w:r w:rsidR="00402D0B">
        <w:rPr>
          <w:rFonts w:ascii="Times New Roman" w:hAnsi="Times New Roman" w:cs="Times New Roman"/>
          <w:sz w:val="24"/>
          <w:szCs w:val="24"/>
        </w:rPr>
        <w:t>dari</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pola</w:t>
      </w:r>
      <w:r w:rsidR="00402D0B">
        <w:rPr>
          <w:rFonts w:ascii="Times New Roman" w:hAnsi="Times New Roman" w:cs="Times New Roman"/>
          <w:sz w:val="24"/>
          <w:szCs w:val="24"/>
        </w:rPr>
        <w:t xml:space="preserve"> histogram yang </w:t>
      </w:r>
      <w:r w:rsidR="00402D0B">
        <w:rPr>
          <w:rFonts w:ascii="Times New Roman" w:hAnsi="Times New Roman" w:cs="Times New Roman"/>
          <w:sz w:val="24"/>
          <w:szCs w:val="24"/>
        </w:rPr>
        <w:t>menghasilkan</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pola</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seperti</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lonceng</w:t>
      </w:r>
      <w:r w:rsidR="00402D0B">
        <w:rPr>
          <w:rFonts w:ascii="Times New Roman" w:hAnsi="Times New Roman" w:cs="Times New Roman"/>
          <w:sz w:val="24"/>
          <w:szCs w:val="24"/>
        </w:rPr>
        <w:t xml:space="preserve"> dan </w:t>
      </w:r>
      <w:r w:rsidR="00402D0B">
        <w:rPr>
          <w:rFonts w:ascii="Times New Roman" w:hAnsi="Times New Roman" w:cs="Times New Roman"/>
          <w:sz w:val="24"/>
          <w:szCs w:val="24"/>
        </w:rPr>
        <w:t>titik</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padaa</w:t>
      </w:r>
      <w:r w:rsidR="00402D0B">
        <w:rPr>
          <w:rFonts w:ascii="Times New Roman" w:hAnsi="Times New Roman" w:cs="Times New Roman"/>
          <w:sz w:val="24"/>
          <w:szCs w:val="24"/>
        </w:rPr>
        <w:t xml:space="preserve"> P-Plot yang </w:t>
      </w:r>
      <w:r w:rsidR="00402D0B">
        <w:rPr>
          <w:rFonts w:ascii="Times New Roman" w:hAnsi="Times New Roman" w:cs="Times New Roman"/>
          <w:sz w:val="24"/>
          <w:szCs w:val="24"/>
        </w:rPr>
        <w:t>selalu</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mengikuti</w:t>
      </w:r>
      <w:r w:rsidR="00402D0B">
        <w:rPr>
          <w:rFonts w:ascii="Times New Roman" w:hAnsi="Times New Roman" w:cs="Times New Roman"/>
          <w:sz w:val="24"/>
          <w:szCs w:val="24"/>
        </w:rPr>
        <w:t xml:space="preserve"> garis </w:t>
      </w:r>
      <w:r w:rsidR="00402D0B">
        <w:rPr>
          <w:rFonts w:ascii="Times New Roman" w:hAnsi="Times New Roman" w:cs="Times New Roman"/>
          <w:sz w:val="24"/>
          <w:szCs w:val="24"/>
        </w:rPr>
        <w:t>se</w:t>
      </w:r>
      <w:r w:rsidR="00604BED">
        <w:rPr>
          <w:rFonts w:ascii="Times New Roman" w:hAnsi="Times New Roman" w:cs="Times New Roman"/>
          <w:sz w:val="24"/>
          <w:szCs w:val="24"/>
        </w:rPr>
        <w:t>h</w:t>
      </w:r>
      <w:r w:rsidR="00402D0B">
        <w:rPr>
          <w:rFonts w:ascii="Times New Roman" w:hAnsi="Times New Roman" w:cs="Times New Roman"/>
          <w:sz w:val="24"/>
          <w:szCs w:val="24"/>
        </w:rPr>
        <w:t>ingga</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bisa</w:t>
      </w:r>
      <w:r w:rsidR="00402D0B">
        <w:rPr>
          <w:rFonts w:ascii="Times New Roman" w:hAnsi="Times New Roman" w:cs="Times New Roman"/>
          <w:sz w:val="24"/>
          <w:szCs w:val="24"/>
        </w:rPr>
        <w:t xml:space="preserve"> </w:t>
      </w:r>
      <w:r w:rsidR="00402D0B">
        <w:rPr>
          <w:rFonts w:ascii="Times New Roman" w:hAnsi="Times New Roman" w:cs="Times New Roman"/>
          <w:sz w:val="24"/>
          <w:szCs w:val="24"/>
        </w:rPr>
        <w:t>dikatakan</w:t>
      </w:r>
      <w:r w:rsidR="00402D0B">
        <w:rPr>
          <w:rFonts w:ascii="Times New Roman" w:hAnsi="Times New Roman" w:cs="Times New Roman"/>
          <w:sz w:val="24"/>
          <w:szCs w:val="24"/>
        </w:rPr>
        <w:t xml:space="preserve"> data </w:t>
      </w:r>
      <w:r w:rsidR="00402D0B">
        <w:rPr>
          <w:rFonts w:ascii="Times New Roman" w:hAnsi="Times New Roman" w:cs="Times New Roman"/>
          <w:sz w:val="24"/>
          <w:szCs w:val="24"/>
        </w:rPr>
        <w:t>bersifat</w:t>
      </w:r>
      <w:r w:rsidR="00402D0B">
        <w:rPr>
          <w:rFonts w:ascii="Times New Roman" w:hAnsi="Times New Roman" w:cs="Times New Roman"/>
          <w:sz w:val="24"/>
          <w:szCs w:val="24"/>
        </w:rPr>
        <w:t xml:space="preserve"> normal.</w:t>
      </w:r>
    </w:p>
    <w:p w:rsidR="009303FA" w:rsidP="009303FA" w14:paraId="09876538" w14:textId="0C771F3E">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Multikolineraritas</w:t>
      </w:r>
    </w:p>
    <w:p w:rsidR="009303FA" w:rsidP="004C2E91" w14:paraId="40846DBD" w14:textId="539B2F50">
      <w:pPr>
        <w:pStyle w:val="ListParagraph"/>
        <w:spacing w:after="0" w:line="480" w:lineRule="auto"/>
        <w:ind w:left="1440" w:firstLine="720"/>
        <w:jc w:val="both"/>
        <w:rPr>
          <w:rFonts w:ascii="Times New Roman" w:hAnsi="Times New Roman" w:cs="Times New Roman"/>
          <w:sz w:val="24"/>
          <w:szCs w:val="24"/>
        </w:rPr>
      </w:pPr>
      <w:r w:rsidRPr="009303FA">
        <w:rPr>
          <w:rFonts w:ascii="Times New Roman" w:hAnsi="Times New Roman" w:cs="Times New Roman"/>
          <w:sz w:val="24"/>
          <w:szCs w:val="24"/>
        </w:rPr>
        <w:t xml:space="preserve">Uji </w:t>
      </w:r>
      <w:r w:rsidRPr="009303FA">
        <w:rPr>
          <w:rFonts w:ascii="Times New Roman" w:hAnsi="Times New Roman" w:cs="Times New Roman"/>
          <w:sz w:val="24"/>
          <w:szCs w:val="24"/>
        </w:rPr>
        <w:t>Multikolinearitas</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bertujuan</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untuk</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menguji</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apakah</w:t>
      </w:r>
      <w:r w:rsidRPr="009303FA">
        <w:rPr>
          <w:rFonts w:ascii="Times New Roman" w:hAnsi="Times New Roman" w:cs="Times New Roman"/>
          <w:sz w:val="24"/>
          <w:szCs w:val="24"/>
        </w:rPr>
        <w:t xml:space="preserve"> model </w:t>
      </w:r>
      <w:r w:rsidRPr="009303FA">
        <w:rPr>
          <w:rFonts w:ascii="Times New Roman" w:hAnsi="Times New Roman" w:cs="Times New Roman"/>
          <w:sz w:val="24"/>
          <w:szCs w:val="24"/>
        </w:rPr>
        <w:t>regresi</w:t>
      </w:r>
      <w:r>
        <w:rPr>
          <w:rFonts w:ascii="Times New Roman" w:hAnsi="Times New Roman" w:cs="Times New Roman"/>
          <w:sz w:val="24"/>
          <w:szCs w:val="24"/>
        </w:rPr>
        <w:t xml:space="preserve"> </w:t>
      </w:r>
      <w:r w:rsidRPr="009303FA">
        <w:rPr>
          <w:rFonts w:ascii="Times New Roman" w:hAnsi="Times New Roman" w:cs="Times New Roman"/>
          <w:sz w:val="24"/>
          <w:szCs w:val="24"/>
        </w:rPr>
        <w:t>memiliki</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hubungan</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korelasi</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antar</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variabel</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independen</w:t>
      </w:r>
      <w:r w:rsidRPr="009303FA">
        <w:rPr>
          <w:rFonts w:ascii="Times New Roman" w:hAnsi="Times New Roman" w:cs="Times New Roman"/>
          <w:sz w:val="24"/>
          <w:szCs w:val="24"/>
        </w:rPr>
        <w:t xml:space="preserve"> dan </w:t>
      </w:r>
      <w:r w:rsidRPr="009303FA">
        <w:rPr>
          <w:rFonts w:ascii="Times New Roman" w:hAnsi="Times New Roman" w:cs="Times New Roman"/>
          <w:sz w:val="24"/>
          <w:szCs w:val="24"/>
        </w:rPr>
        <w:t>menguji</w:t>
      </w:r>
      <w:r>
        <w:rPr>
          <w:rFonts w:ascii="Times New Roman" w:hAnsi="Times New Roman" w:cs="Times New Roman"/>
          <w:sz w:val="24"/>
          <w:szCs w:val="24"/>
        </w:rPr>
        <w:t xml:space="preserve"> </w:t>
      </w:r>
      <w:r w:rsidRPr="009303FA">
        <w:rPr>
          <w:rFonts w:ascii="Times New Roman" w:hAnsi="Times New Roman" w:cs="Times New Roman"/>
          <w:sz w:val="24"/>
          <w:szCs w:val="24"/>
        </w:rPr>
        <w:t>apakah</w:t>
      </w:r>
      <w:r w:rsidRPr="009303FA">
        <w:rPr>
          <w:rFonts w:ascii="Times New Roman" w:hAnsi="Times New Roman" w:cs="Times New Roman"/>
          <w:sz w:val="24"/>
          <w:szCs w:val="24"/>
        </w:rPr>
        <w:t xml:space="preserve"> model </w:t>
      </w:r>
      <w:r w:rsidRPr="009303FA">
        <w:rPr>
          <w:rFonts w:ascii="Times New Roman" w:hAnsi="Times New Roman" w:cs="Times New Roman"/>
          <w:sz w:val="24"/>
          <w:szCs w:val="24"/>
        </w:rPr>
        <w:t>regresi</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terjadi</w:t>
      </w:r>
      <w:r w:rsidRPr="009303FA">
        <w:rPr>
          <w:rFonts w:ascii="Times New Roman" w:hAnsi="Times New Roman" w:cs="Times New Roman"/>
          <w:sz w:val="24"/>
          <w:szCs w:val="24"/>
        </w:rPr>
        <w:t xml:space="preserve"> linear </w:t>
      </w:r>
      <w:r w:rsidRPr="009303FA">
        <w:rPr>
          <w:rFonts w:ascii="Times New Roman" w:hAnsi="Times New Roman" w:cs="Times New Roman"/>
          <w:sz w:val="24"/>
          <w:szCs w:val="24"/>
        </w:rPr>
        <w:t>sempurna</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atau</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mendekati</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sempurna</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diantara</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variabel</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bebasnya</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Besarnya</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tingkat</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kolinearitas</w:t>
      </w:r>
      <w:r w:rsidRPr="009303FA">
        <w:rPr>
          <w:rFonts w:ascii="Times New Roman" w:hAnsi="Times New Roman" w:cs="Times New Roman"/>
          <w:sz w:val="24"/>
          <w:szCs w:val="24"/>
        </w:rPr>
        <w:t xml:space="preserve"> yang </w:t>
      </w:r>
      <w:r w:rsidRPr="009303FA">
        <w:rPr>
          <w:rFonts w:ascii="Times New Roman" w:hAnsi="Times New Roman" w:cs="Times New Roman"/>
          <w:sz w:val="24"/>
          <w:szCs w:val="24"/>
        </w:rPr>
        <w:t>masih</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dapat</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ditolerir</w:t>
      </w:r>
      <w:r w:rsidRPr="009303FA">
        <w:rPr>
          <w:rFonts w:ascii="Times New Roman" w:hAnsi="Times New Roman" w:cs="Times New Roman"/>
          <w:sz w:val="24"/>
          <w:szCs w:val="24"/>
        </w:rPr>
        <w:t xml:space="preserve"> </w:t>
      </w:r>
      <w:r w:rsidRPr="009303FA">
        <w:rPr>
          <w:rFonts w:ascii="Times New Roman" w:hAnsi="Times New Roman" w:cs="Times New Roman"/>
          <w:sz w:val="24"/>
          <w:szCs w:val="24"/>
        </w:rPr>
        <w:t>yaitu</w:t>
      </w:r>
      <w:r w:rsidRPr="009303FA">
        <w:rPr>
          <w:rFonts w:ascii="Times New Roman" w:hAnsi="Times New Roman" w:cs="Times New Roman"/>
          <w:sz w:val="24"/>
          <w:szCs w:val="24"/>
        </w:rPr>
        <w:t xml:space="preserve">, </w:t>
      </w:r>
      <w:r w:rsidRPr="008937C2" w:rsidR="008937C2">
        <w:rPr>
          <w:rFonts w:ascii="Times New Roman" w:hAnsi="Times New Roman" w:cs="Times New Roman"/>
          <w:i/>
          <w:iCs/>
          <w:sz w:val="24"/>
          <w:szCs w:val="24"/>
        </w:rPr>
        <w:t>T</w:t>
      </w:r>
      <w:r w:rsidRPr="008937C2">
        <w:rPr>
          <w:rFonts w:ascii="Times New Roman" w:hAnsi="Times New Roman" w:cs="Times New Roman"/>
          <w:i/>
          <w:iCs/>
          <w:sz w:val="24"/>
          <w:szCs w:val="24"/>
        </w:rPr>
        <w:t>olerance</w:t>
      </w:r>
      <w:r w:rsidRPr="009303FA">
        <w:rPr>
          <w:rFonts w:ascii="Times New Roman" w:hAnsi="Times New Roman" w:cs="Times New Roman"/>
          <w:sz w:val="24"/>
          <w:szCs w:val="24"/>
        </w:rPr>
        <w:t xml:space="preserve"> &gt; 0,10 dan </w:t>
      </w:r>
      <w:r w:rsidRPr="008937C2">
        <w:rPr>
          <w:rFonts w:ascii="Times New Roman" w:hAnsi="Times New Roman" w:cs="Times New Roman"/>
          <w:i/>
          <w:iCs/>
          <w:sz w:val="24"/>
          <w:szCs w:val="24"/>
        </w:rPr>
        <w:t>Variance Inflation Factor</w:t>
      </w:r>
      <w:r w:rsidRPr="009303FA">
        <w:rPr>
          <w:rFonts w:ascii="Times New Roman" w:hAnsi="Times New Roman" w:cs="Times New Roman"/>
          <w:sz w:val="24"/>
          <w:szCs w:val="24"/>
        </w:rPr>
        <w:t xml:space="preserve"> (VIF) &lt; 10. </w:t>
      </w:r>
      <w:r w:rsidRPr="009303FA">
        <w:rPr>
          <w:rFonts w:ascii="Times New Roman" w:hAnsi="Times New Roman" w:cs="Times New Roman"/>
          <w:sz w:val="24"/>
          <w:szCs w:val="24"/>
        </w:rPr>
        <w:t>Berikut</w:t>
      </w:r>
      <w:r w:rsidRPr="009303FA">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uji </w:t>
      </w:r>
      <w:r>
        <w:rPr>
          <w:rFonts w:ascii="Times New Roman" w:hAnsi="Times New Roman" w:cs="Times New Roman"/>
          <w:sz w:val="24"/>
          <w:szCs w:val="24"/>
        </w:rPr>
        <w:t>multikolinearitas</w:t>
      </w:r>
      <w:r>
        <w:rPr>
          <w:rFonts w:ascii="Times New Roman" w:hAnsi="Times New Roman" w:cs="Times New Roman"/>
          <w:sz w:val="24"/>
          <w:szCs w:val="24"/>
        </w:rPr>
        <w:t xml:space="preserve"> </w:t>
      </w:r>
      <w:r>
        <w:rPr>
          <w:rFonts w:ascii="Times New Roman" w:hAnsi="Times New Roman" w:cs="Times New Roman"/>
          <w:sz w:val="24"/>
          <w:szCs w:val="24"/>
        </w:rPr>
        <w:t>menggunakan</w:t>
      </w:r>
      <w:r>
        <w:rPr>
          <w:rFonts w:ascii="Times New Roman" w:hAnsi="Times New Roman" w:cs="Times New Roman"/>
          <w:sz w:val="24"/>
          <w:szCs w:val="24"/>
        </w:rPr>
        <w:t xml:space="preserve"> SPSS:</w:t>
      </w:r>
    </w:p>
    <w:p w:rsidR="009303FA" w:rsidRPr="009303FA" w:rsidP="004C2E91" w14:paraId="55DE9EDD" w14:textId="18D85B97">
      <w:pPr>
        <w:autoSpaceDE w:val="0"/>
        <w:autoSpaceDN w:val="0"/>
        <w:adjustRightInd w:val="0"/>
        <w:spacing w:after="0" w:line="240" w:lineRule="auto"/>
        <w:jc w:val="center"/>
        <w:rPr>
          <w:rFonts w:ascii="Times New Roman" w:hAnsi="Times New Roman" w:cs="Times New Roman"/>
          <w:b/>
          <w:bCs/>
          <w:sz w:val="24"/>
          <w:szCs w:val="24"/>
        </w:rPr>
      </w:pPr>
      <w:r w:rsidRPr="009303FA">
        <w:rPr>
          <w:rFonts w:ascii="Times New Roman" w:hAnsi="Times New Roman" w:cs="Times New Roman"/>
          <w:b/>
          <w:bCs/>
          <w:sz w:val="24"/>
          <w:szCs w:val="24"/>
        </w:rPr>
        <w:t>Tabel 1</w:t>
      </w:r>
      <w:r w:rsidR="00E20D14">
        <w:rPr>
          <w:rFonts w:ascii="Times New Roman" w:hAnsi="Times New Roman" w:cs="Times New Roman"/>
          <w:b/>
          <w:bCs/>
          <w:sz w:val="24"/>
          <w:szCs w:val="24"/>
        </w:rPr>
        <w:t>3</w:t>
      </w:r>
    </w:p>
    <w:p w:rsidR="009303FA" w:rsidRPr="009303FA" w:rsidP="004C2E91" w14:paraId="34BC4B18" w14:textId="78DA4A6C">
      <w:pPr>
        <w:autoSpaceDE w:val="0"/>
        <w:autoSpaceDN w:val="0"/>
        <w:adjustRightInd w:val="0"/>
        <w:spacing w:after="0" w:line="240" w:lineRule="auto"/>
        <w:jc w:val="center"/>
        <w:rPr>
          <w:rFonts w:ascii="Times New Roman" w:hAnsi="Times New Roman" w:cs="Times New Roman"/>
          <w:b/>
          <w:bCs/>
          <w:sz w:val="24"/>
          <w:szCs w:val="24"/>
        </w:rPr>
      </w:pPr>
      <w:r w:rsidRPr="009303FA">
        <w:rPr>
          <w:rFonts w:ascii="Times New Roman" w:hAnsi="Times New Roman" w:cs="Times New Roman"/>
          <w:b/>
          <w:bCs/>
          <w:sz w:val="24"/>
          <w:szCs w:val="24"/>
        </w:rPr>
        <w:t xml:space="preserve">Hasil Uji </w:t>
      </w:r>
      <w:r w:rsidRPr="009303FA">
        <w:rPr>
          <w:rFonts w:ascii="Times New Roman" w:hAnsi="Times New Roman" w:cs="Times New Roman"/>
          <w:b/>
          <w:bCs/>
          <w:sz w:val="24"/>
          <w:szCs w:val="24"/>
        </w:rPr>
        <w:t>Multikolinearitas</w:t>
      </w:r>
      <w:r w:rsidR="002866A4">
        <w:rPr>
          <w:rFonts w:ascii="Times New Roman" w:hAnsi="Times New Roman" w:cs="Times New Roman"/>
          <w:b/>
          <w:bCs/>
          <w:sz w:val="24"/>
          <w:szCs w:val="24"/>
        </w:rPr>
        <w:t xml:space="preserve"> Model </w:t>
      </w:r>
      <w:r w:rsidR="002866A4">
        <w:rPr>
          <w:rFonts w:ascii="Times New Roman" w:hAnsi="Times New Roman" w:cs="Times New Roman"/>
          <w:b/>
          <w:bCs/>
          <w:sz w:val="24"/>
          <w:szCs w:val="24"/>
        </w:rPr>
        <w:t>Persamaan</w:t>
      </w:r>
      <w:r w:rsidR="002866A4">
        <w:rPr>
          <w:rFonts w:ascii="Times New Roman" w:hAnsi="Times New Roman" w:cs="Times New Roman"/>
          <w:b/>
          <w:bCs/>
          <w:sz w:val="24"/>
          <w:szCs w:val="24"/>
        </w:rPr>
        <w:t xml:space="preserve"> I</w:t>
      </w:r>
    </w:p>
    <w:tbl>
      <w:tblPr>
        <w:tblW w:w="3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
        <w:gridCol w:w="2830"/>
        <w:gridCol w:w="1179"/>
        <w:gridCol w:w="843"/>
        <w:gridCol w:w="14"/>
      </w:tblGrid>
      <w:tr w14:paraId="7E5FC4E7" w14:textId="77777777" w:rsidTr="00830769">
        <w:tblPrEx>
          <w:tblW w:w="30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54"/>
          <w:jc w:val="center"/>
        </w:trPr>
        <w:tc>
          <w:tcPr>
            <w:tcW w:w="5000" w:type="pct"/>
            <w:gridSpan w:val="5"/>
            <w:shd w:val="clear" w:color="auto" w:fill="FFFFFF"/>
            <w:vAlign w:val="center"/>
          </w:tcPr>
          <w:p w:rsidR="009303FA" w:rsidRPr="009303FA" w:rsidP="002866A4" w14:paraId="1E6AB2F3"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9303FA">
              <w:rPr>
                <w:rFonts w:ascii="Times New Roman" w:hAnsi="Times New Roman" w:cs="Times New Roman"/>
                <w:b/>
                <w:bCs/>
                <w:color w:val="010205"/>
                <w:sz w:val="20"/>
                <w:szCs w:val="20"/>
              </w:rPr>
              <w:t>Coefficients</w:t>
            </w:r>
            <w:r w:rsidRPr="009303FA">
              <w:rPr>
                <w:rFonts w:ascii="Times New Roman" w:hAnsi="Times New Roman" w:cs="Times New Roman"/>
                <w:b/>
                <w:bCs/>
                <w:color w:val="010205"/>
                <w:sz w:val="20"/>
                <w:szCs w:val="20"/>
                <w:vertAlign w:val="superscript"/>
              </w:rPr>
              <w:t>a</w:t>
            </w:r>
          </w:p>
        </w:tc>
      </w:tr>
      <w:tr w14:paraId="6B9C7428" w14:textId="77777777" w:rsidTr="00830769">
        <w:tblPrEx>
          <w:tblW w:w="3094" w:type="pct"/>
          <w:jc w:val="center"/>
          <w:tblLayout w:type="fixed"/>
          <w:tblCellMar>
            <w:left w:w="0" w:type="dxa"/>
            <w:right w:w="0" w:type="dxa"/>
          </w:tblCellMar>
          <w:tblLook w:val="0000"/>
        </w:tblPrEx>
        <w:trPr>
          <w:cantSplit/>
          <w:trHeight w:val="308"/>
          <w:jc w:val="center"/>
        </w:trPr>
        <w:tc>
          <w:tcPr>
            <w:tcW w:w="2925" w:type="pct"/>
            <w:gridSpan w:val="2"/>
            <w:vMerge w:val="restart"/>
            <w:shd w:val="clear" w:color="auto" w:fill="FFFFFF"/>
            <w:vAlign w:val="bottom"/>
          </w:tcPr>
          <w:p w:rsidR="009303FA" w:rsidRPr="009303FA" w:rsidP="002866A4" w14:paraId="3B11CDB3"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Model</w:t>
            </w:r>
          </w:p>
        </w:tc>
        <w:tc>
          <w:tcPr>
            <w:tcW w:w="2074" w:type="pct"/>
            <w:gridSpan w:val="3"/>
            <w:shd w:val="clear" w:color="auto" w:fill="FFFFFF"/>
            <w:vAlign w:val="bottom"/>
          </w:tcPr>
          <w:p w:rsidR="009303FA" w:rsidRPr="009303FA" w:rsidP="002866A4" w14:paraId="23AAD43A"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Collinearity Statistics</w:t>
            </w:r>
          </w:p>
        </w:tc>
      </w:tr>
      <w:tr w14:paraId="26CDBBCE" w14:textId="77777777" w:rsidTr="00830769">
        <w:tblPrEx>
          <w:tblW w:w="3094" w:type="pct"/>
          <w:jc w:val="center"/>
          <w:tblLayout w:type="fixed"/>
          <w:tblCellMar>
            <w:left w:w="0" w:type="dxa"/>
            <w:right w:w="0" w:type="dxa"/>
          </w:tblCellMar>
          <w:tblLook w:val="0000"/>
        </w:tblPrEx>
        <w:trPr>
          <w:cantSplit/>
          <w:trHeight w:val="97"/>
          <w:jc w:val="center"/>
        </w:trPr>
        <w:tc>
          <w:tcPr>
            <w:tcW w:w="2925" w:type="pct"/>
            <w:gridSpan w:val="2"/>
            <w:vMerge/>
            <w:shd w:val="clear" w:color="auto" w:fill="FFFFFF"/>
            <w:vAlign w:val="bottom"/>
          </w:tcPr>
          <w:p w:rsidR="009303FA" w:rsidRPr="009303FA" w:rsidP="002866A4" w14:paraId="6C21207C" w14:textId="77777777">
            <w:pPr>
              <w:autoSpaceDE w:val="0"/>
              <w:autoSpaceDN w:val="0"/>
              <w:adjustRightInd w:val="0"/>
              <w:spacing w:after="0" w:line="240" w:lineRule="auto"/>
              <w:rPr>
                <w:rFonts w:ascii="Times New Roman" w:hAnsi="Times New Roman" w:cs="Times New Roman"/>
                <w:color w:val="264A60"/>
                <w:sz w:val="20"/>
                <w:szCs w:val="20"/>
              </w:rPr>
            </w:pPr>
          </w:p>
        </w:tc>
        <w:tc>
          <w:tcPr>
            <w:tcW w:w="1202" w:type="pct"/>
            <w:shd w:val="clear" w:color="auto" w:fill="FFFFFF"/>
            <w:vAlign w:val="bottom"/>
          </w:tcPr>
          <w:p w:rsidR="009303FA" w:rsidRPr="009303FA" w:rsidP="002866A4" w14:paraId="658CC23F"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Tolerance</w:t>
            </w:r>
          </w:p>
        </w:tc>
        <w:tc>
          <w:tcPr>
            <w:tcW w:w="872" w:type="pct"/>
            <w:gridSpan w:val="2"/>
            <w:shd w:val="clear" w:color="auto" w:fill="FFFFFF"/>
            <w:vAlign w:val="bottom"/>
          </w:tcPr>
          <w:p w:rsidR="009303FA" w:rsidRPr="009303FA" w:rsidP="002866A4" w14:paraId="6404CA32"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303FA">
              <w:rPr>
                <w:rFonts w:ascii="Times New Roman" w:hAnsi="Times New Roman" w:cs="Times New Roman"/>
                <w:color w:val="264A60"/>
                <w:sz w:val="20"/>
                <w:szCs w:val="20"/>
              </w:rPr>
              <w:t>VIF</w:t>
            </w:r>
          </w:p>
        </w:tc>
      </w:tr>
      <w:tr w14:paraId="2B622361" w14:textId="77777777" w:rsidTr="00830769">
        <w:tblPrEx>
          <w:tblW w:w="3094" w:type="pct"/>
          <w:jc w:val="center"/>
          <w:tblLayout w:type="fixed"/>
          <w:tblCellMar>
            <w:left w:w="0" w:type="dxa"/>
            <w:right w:w="0" w:type="dxa"/>
          </w:tblCellMar>
          <w:tblLook w:val="0000"/>
        </w:tblPrEx>
        <w:trPr>
          <w:gridAfter w:val="1"/>
          <w:wAfter w:w="14" w:type="pct"/>
          <w:cantSplit/>
          <w:trHeight w:val="154"/>
          <w:jc w:val="center"/>
        </w:trPr>
        <w:tc>
          <w:tcPr>
            <w:tcW w:w="40" w:type="pct"/>
            <w:vMerge w:val="restart"/>
            <w:shd w:val="clear" w:color="auto" w:fill="E0E0E0"/>
          </w:tcPr>
          <w:p w:rsidR="009303FA" w:rsidRPr="009303FA" w:rsidP="002866A4" w14:paraId="3DAA86E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1</w:t>
            </w:r>
          </w:p>
        </w:tc>
        <w:tc>
          <w:tcPr>
            <w:tcW w:w="2885" w:type="pct"/>
            <w:shd w:val="clear" w:color="auto" w:fill="E0E0E0"/>
          </w:tcPr>
          <w:p w:rsidR="009303FA" w:rsidRPr="009303FA" w:rsidP="002866A4" w14:paraId="52074209"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(Constant)</w:t>
            </w:r>
          </w:p>
        </w:tc>
        <w:tc>
          <w:tcPr>
            <w:tcW w:w="1202" w:type="pct"/>
            <w:shd w:val="clear" w:color="auto" w:fill="F9F9FB"/>
            <w:vAlign w:val="center"/>
          </w:tcPr>
          <w:p w:rsidR="009303FA" w:rsidRPr="009303FA" w:rsidP="002866A4" w14:paraId="7FB87266" w14:textId="77777777">
            <w:pPr>
              <w:autoSpaceDE w:val="0"/>
              <w:autoSpaceDN w:val="0"/>
              <w:adjustRightInd w:val="0"/>
              <w:spacing w:after="0" w:line="240" w:lineRule="auto"/>
              <w:rPr>
                <w:rFonts w:ascii="Times New Roman" w:hAnsi="Times New Roman" w:cs="Times New Roman"/>
                <w:sz w:val="20"/>
                <w:szCs w:val="20"/>
              </w:rPr>
            </w:pPr>
          </w:p>
        </w:tc>
        <w:tc>
          <w:tcPr>
            <w:tcW w:w="859" w:type="pct"/>
            <w:shd w:val="clear" w:color="auto" w:fill="F9F9FB"/>
            <w:vAlign w:val="center"/>
          </w:tcPr>
          <w:p w:rsidR="009303FA" w:rsidRPr="009303FA" w:rsidP="002866A4" w14:paraId="6209C1F1" w14:textId="77777777">
            <w:pPr>
              <w:autoSpaceDE w:val="0"/>
              <w:autoSpaceDN w:val="0"/>
              <w:adjustRightInd w:val="0"/>
              <w:spacing w:after="0" w:line="240" w:lineRule="auto"/>
              <w:rPr>
                <w:rFonts w:ascii="Times New Roman" w:hAnsi="Times New Roman" w:cs="Times New Roman"/>
                <w:sz w:val="20"/>
                <w:szCs w:val="20"/>
              </w:rPr>
            </w:pPr>
          </w:p>
        </w:tc>
      </w:tr>
      <w:tr w14:paraId="43C5CA14" w14:textId="77777777" w:rsidTr="00830769">
        <w:tblPrEx>
          <w:tblW w:w="3094" w:type="pct"/>
          <w:jc w:val="center"/>
          <w:tblLayout w:type="fixed"/>
          <w:tblCellMar>
            <w:left w:w="0" w:type="dxa"/>
            <w:right w:w="0" w:type="dxa"/>
          </w:tblCellMar>
          <w:tblLook w:val="0000"/>
        </w:tblPrEx>
        <w:trPr>
          <w:gridAfter w:val="1"/>
          <w:wAfter w:w="14" w:type="pct"/>
          <w:cantSplit/>
          <w:trHeight w:val="154"/>
          <w:jc w:val="center"/>
        </w:trPr>
        <w:tc>
          <w:tcPr>
            <w:tcW w:w="40" w:type="pct"/>
            <w:vMerge/>
            <w:shd w:val="clear" w:color="auto" w:fill="E0E0E0"/>
          </w:tcPr>
          <w:p w:rsidR="009303FA" w:rsidRPr="009303FA" w:rsidP="002866A4" w14:paraId="6EF3F822" w14:textId="77777777">
            <w:pPr>
              <w:autoSpaceDE w:val="0"/>
              <w:autoSpaceDN w:val="0"/>
              <w:adjustRightInd w:val="0"/>
              <w:spacing w:after="0" w:line="240" w:lineRule="auto"/>
              <w:rPr>
                <w:rFonts w:ascii="Times New Roman" w:hAnsi="Times New Roman" w:cs="Times New Roman"/>
                <w:sz w:val="20"/>
                <w:szCs w:val="20"/>
              </w:rPr>
            </w:pPr>
          </w:p>
        </w:tc>
        <w:tc>
          <w:tcPr>
            <w:tcW w:w="2885" w:type="pct"/>
            <w:shd w:val="clear" w:color="auto" w:fill="E0E0E0"/>
          </w:tcPr>
          <w:p w:rsidR="009303FA" w:rsidRPr="009303FA" w:rsidP="002866A4" w14:paraId="20831D8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303FA">
              <w:rPr>
                <w:rFonts w:ascii="Times New Roman" w:hAnsi="Times New Roman" w:cs="Times New Roman"/>
                <w:color w:val="264A60"/>
                <w:sz w:val="20"/>
                <w:szCs w:val="20"/>
              </w:rPr>
              <w:t>Corporate Social Responsibility</w:t>
            </w:r>
          </w:p>
        </w:tc>
        <w:tc>
          <w:tcPr>
            <w:tcW w:w="1202" w:type="pct"/>
            <w:shd w:val="clear" w:color="auto" w:fill="F9F9FB"/>
          </w:tcPr>
          <w:p w:rsidR="009303FA" w:rsidRPr="009303FA" w:rsidP="002866A4" w14:paraId="7BABC1C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1.000</w:t>
            </w:r>
          </w:p>
        </w:tc>
        <w:tc>
          <w:tcPr>
            <w:tcW w:w="859" w:type="pct"/>
            <w:shd w:val="clear" w:color="auto" w:fill="F9F9FB"/>
          </w:tcPr>
          <w:p w:rsidR="009303FA" w:rsidRPr="009303FA" w:rsidP="002866A4" w14:paraId="073628BF"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303FA">
              <w:rPr>
                <w:rFonts w:ascii="Times New Roman" w:hAnsi="Times New Roman" w:cs="Times New Roman"/>
                <w:color w:val="010205"/>
                <w:sz w:val="20"/>
                <w:szCs w:val="20"/>
              </w:rPr>
              <w:t>1.000</w:t>
            </w:r>
          </w:p>
        </w:tc>
      </w:tr>
      <w:tr w14:paraId="3D08E5E3" w14:textId="77777777" w:rsidTr="00830769">
        <w:tblPrEx>
          <w:tblW w:w="3094" w:type="pct"/>
          <w:jc w:val="center"/>
          <w:tblLayout w:type="fixed"/>
          <w:tblCellMar>
            <w:left w:w="0" w:type="dxa"/>
            <w:right w:w="0" w:type="dxa"/>
          </w:tblCellMar>
          <w:tblLook w:val="0000"/>
        </w:tblPrEx>
        <w:trPr>
          <w:cantSplit/>
          <w:trHeight w:val="154"/>
          <w:jc w:val="center"/>
        </w:trPr>
        <w:tc>
          <w:tcPr>
            <w:tcW w:w="5000" w:type="pct"/>
            <w:gridSpan w:val="5"/>
            <w:shd w:val="clear" w:color="auto" w:fill="FFFFFF"/>
          </w:tcPr>
          <w:p w:rsidR="009303FA" w:rsidRPr="009303FA" w:rsidP="002866A4" w14:paraId="15E63EEE"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9303FA">
              <w:rPr>
                <w:rFonts w:ascii="Times New Roman" w:hAnsi="Times New Roman" w:cs="Times New Roman"/>
                <w:color w:val="010205"/>
                <w:sz w:val="20"/>
                <w:szCs w:val="20"/>
              </w:rPr>
              <w:t>a. Dependent Variable: Green Banking</w:t>
            </w:r>
          </w:p>
        </w:tc>
      </w:tr>
    </w:tbl>
    <w:p w:rsidR="002866A4" w:rsidP="003F6441" w14:paraId="34D7CEE4" w14:textId="244DD6F7">
      <w:pPr>
        <w:autoSpaceDE w:val="0"/>
        <w:autoSpaceDN w:val="0"/>
        <w:adjustRightInd w:val="0"/>
        <w:spacing w:after="0" w:line="480" w:lineRule="auto"/>
        <w:ind w:left="1854" w:firstLine="306"/>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830769" w:rsidRPr="00830769" w:rsidP="00830769" w14:paraId="2FC9CE29" w14:textId="7EC01412">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I </w:t>
      </w:r>
      <w:r>
        <w:rPr>
          <w:rFonts w:ascii="Times New Roman" w:hAnsi="Times New Roman" w:cs="Times New Roman"/>
          <w:sz w:val="24"/>
          <w:szCs w:val="24"/>
        </w:rPr>
        <w:t>dengan</w:t>
      </w:r>
      <w:r>
        <w:rPr>
          <w:rFonts w:ascii="Times New Roman" w:hAnsi="Times New Roman" w:cs="Times New Roman"/>
          <w:sz w:val="24"/>
          <w:szCs w:val="24"/>
        </w:rPr>
        <w:t xml:space="preserve"> </w:t>
      </w:r>
      <w:r w:rsidRPr="00830769">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t>dihasilkan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Tolerance</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1,00 dan VIF </w:t>
      </w:r>
      <w:r>
        <w:rPr>
          <w:rFonts w:ascii="Times New Roman" w:hAnsi="Times New Roman" w:cs="Times New Roman"/>
          <w:sz w:val="24"/>
          <w:szCs w:val="24"/>
        </w:rPr>
        <w:t>sebesar</w:t>
      </w:r>
      <w:r>
        <w:rPr>
          <w:rFonts w:ascii="Times New Roman" w:hAnsi="Times New Roman" w:cs="Times New Roman"/>
          <w:sz w:val="24"/>
          <w:szCs w:val="24"/>
        </w:rPr>
        <w:t xml:space="preserve"> 1,00, </w:t>
      </w:r>
      <w:r>
        <w:rPr>
          <w:rFonts w:ascii="Times New Roman" w:hAnsi="Times New Roman" w:cs="Times New Roman"/>
          <w:sz w:val="24"/>
          <w:szCs w:val="24"/>
        </w:rPr>
        <w:t>maka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pada uji </w:t>
      </w:r>
      <w:r>
        <w:rPr>
          <w:rFonts w:ascii="Times New Roman" w:hAnsi="Times New Roman" w:cs="Times New Roman"/>
          <w:sz w:val="24"/>
          <w:szCs w:val="24"/>
        </w:rPr>
        <w:t>regresi</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gejala</w:t>
      </w:r>
      <w:r>
        <w:rPr>
          <w:rFonts w:ascii="Times New Roman" w:hAnsi="Times New Roman" w:cs="Times New Roman"/>
          <w:sz w:val="24"/>
          <w:szCs w:val="24"/>
        </w:rPr>
        <w:t xml:space="preserve"> </w:t>
      </w:r>
      <w:r>
        <w:rPr>
          <w:rFonts w:ascii="Times New Roman" w:hAnsi="Times New Roman" w:cs="Times New Roman"/>
          <w:sz w:val="24"/>
          <w:szCs w:val="24"/>
        </w:rPr>
        <w:t>multikolineritas</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tolerance</w:t>
      </w:r>
      <w:r>
        <w:rPr>
          <w:rFonts w:ascii="Times New Roman" w:hAnsi="Times New Roman" w:cs="Times New Roman"/>
          <w:sz w:val="24"/>
          <w:szCs w:val="24"/>
        </w:rPr>
        <w:t xml:space="preserve"> &gt; 0,10 dan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VIF &lt; 10.</w:t>
      </w:r>
    </w:p>
    <w:p w:rsidR="002866A4" w:rsidRPr="002866A4" w:rsidP="002615FB" w14:paraId="4EC24A9A" w14:textId="53DBBC0B">
      <w:pPr>
        <w:autoSpaceDE w:val="0"/>
        <w:autoSpaceDN w:val="0"/>
        <w:adjustRightInd w:val="0"/>
        <w:spacing w:after="0" w:line="240" w:lineRule="auto"/>
        <w:jc w:val="center"/>
        <w:rPr>
          <w:rFonts w:ascii="Times New Roman" w:hAnsi="Times New Roman" w:cs="Times New Roman"/>
          <w:b/>
          <w:bCs/>
          <w:sz w:val="24"/>
          <w:szCs w:val="24"/>
        </w:rPr>
      </w:pPr>
      <w:r w:rsidRPr="002866A4">
        <w:rPr>
          <w:rFonts w:ascii="Times New Roman" w:hAnsi="Times New Roman" w:cs="Times New Roman"/>
          <w:b/>
          <w:bCs/>
          <w:sz w:val="24"/>
          <w:szCs w:val="24"/>
        </w:rPr>
        <w:t>Tabel 1</w:t>
      </w:r>
      <w:r w:rsidR="00E20D14">
        <w:rPr>
          <w:rFonts w:ascii="Times New Roman" w:hAnsi="Times New Roman" w:cs="Times New Roman"/>
          <w:b/>
          <w:bCs/>
          <w:sz w:val="24"/>
          <w:szCs w:val="24"/>
        </w:rPr>
        <w:t>4</w:t>
      </w:r>
    </w:p>
    <w:p w:rsidR="002866A4" w:rsidRPr="002866A4" w:rsidP="002615FB" w14:paraId="54DB8478" w14:textId="02293145">
      <w:pPr>
        <w:autoSpaceDE w:val="0"/>
        <w:autoSpaceDN w:val="0"/>
        <w:adjustRightInd w:val="0"/>
        <w:spacing w:after="0" w:line="240" w:lineRule="auto"/>
        <w:jc w:val="center"/>
        <w:rPr>
          <w:rFonts w:ascii="Times New Roman" w:hAnsi="Times New Roman" w:cs="Times New Roman"/>
          <w:b/>
          <w:bCs/>
          <w:sz w:val="24"/>
          <w:szCs w:val="24"/>
        </w:rPr>
      </w:pPr>
      <w:r w:rsidRPr="002866A4">
        <w:rPr>
          <w:rFonts w:ascii="Times New Roman" w:hAnsi="Times New Roman" w:cs="Times New Roman"/>
          <w:b/>
          <w:bCs/>
          <w:sz w:val="24"/>
          <w:szCs w:val="24"/>
        </w:rPr>
        <w:t xml:space="preserve">Hasil Uji </w:t>
      </w:r>
      <w:r w:rsidRPr="002866A4">
        <w:rPr>
          <w:rFonts w:ascii="Times New Roman" w:hAnsi="Times New Roman" w:cs="Times New Roman"/>
          <w:b/>
          <w:bCs/>
          <w:sz w:val="24"/>
          <w:szCs w:val="24"/>
        </w:rPr>
        <w:t>Multikolinearitas</w:t>
      </w:r>
      <w:r w:rsidRPr="002866A4">
        <w:rPr>
          <w:rFonts w:ascii="Times New Roman" w:hAnsi="Times New Roman" w:cs="Times New Roman"/>
          <w:b/>
          <w:bCs/>
          <w:sz w:val="24"/>
          <w:szCs w:val="24"/>
        </w:rPr>
        <w:t xml:space="preserve"> Model </w:t>
      </w:r>
      <w:r w:rsidRPr="002866A4">
        <w:rPr>
          <w:rFonts w:ascii="Times New Roman" w:hAnsi="Times New Roman" w:cs="Times New Roman"/>
          <w:b/>
          <w:bCs/>
          <w:sz w:val="24"/>
          <w:szCs w:val="24"/>
        </w:rPr>
        <w:t>Persamaan</w:t>
      </w:r>
      <w:r w:rsidRPr="002866A4">
        <w:rPr>
          <w:rFonts w:ascii="Times New Roman" w:hAnsi="Times New Roman" w:cs="Times New Roman"/>
          <w:b/>
          <w:bCs/>
          <w:sz w:val="24"/>
          <w:szCs w:val="24"/>
        </w:rPr>
        <w:t xml:space="preserve"> II</w:t>
      </w:r>
    </w:p>
    <w:tbl>
      <w:tblPr>
        <w:tblW w:w="3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10"/>
        <w:gridCol w:w="2202"/>
        <w:gridCol w:w="1223"/>
        <w:gridCol w:w="872"/>
      </w:tblGrid>
      <w:tr w14:paraId="3527FFB9" w14:textId="77777777" w:rsidTr="00830769">
        <w:tblPrEx>
          <w:tblW w:w="3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Height w:val="225"/>
          <w:jc w:val="center"/>
        </w:trPr>
        <w:tc>
          <w:tcPr>
            <w:tcW w:w="5000" w:type="pct"/>
            <w:gridSpan w:val="4"/>
            <w:shd w:val="clear" w:color="auto" w:fill="FFFFFF"/>
            <w:vAlign w:val="center"/>
          </w:tcPr>
          <w:p w:rsidR="002866A4" w:rsidRPr="002866A4" w:rsidP="002866A4" w14:paraId="0475C58A"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2866A4">
              <w:rPr>
                <w:rFonts w:ascii="Times New Roman" w:hAnsi="Times New Roman" w:cs="Times New Roman"/>
                <w:b/>
                <w:bCs/>
                <w:color w:val="010205"/>
                <w:sz w:val="20"/>
                <w:szCs w:val="20"/>
              </w:rPr>
              <w:t>Coefficients</w:t>
            </w:r>
            <w:r w:rsidRPr="002866A4">
              <w:rPr>
                <w:rFonts w:ascii="Times New Roman" w:hAnsi="Times New Roman" w:cs="Times New Roman"/>
                <w:b/>
                <w:bCs/>
                <w:color w:val="010205"/>
                <w:sz w:val="20"/>
                <w:szCs w:val="20"/>
                <w:vertAlign w:val="superscript"/>
              </w:rPr>
              <w:t>a</w:t>
            </w:r>
          </w:p>
        </w:tc>
      </w:tr>
      <w:tr w14:paraId="43065BE6" w14:textId="77777777" w:rsidTr="00830769">
        <w:tblPrEx>
          <w:tblW w:w="3095" w:type="pct"/>
          <w:jc w:val="center"/>
          <w:tblCellMar>
            <w:left w:w="0" w:type="dxa"/>
            <w:right w:w="0" w:type="dxa"/>
          </w:tblCellMar>
          <w:tblLook w:val="0000"/>
        </w:tblPrEx>
        <w:trPr>
          <w:cantSplit/>
          <w:trHeight w:val="450"/>
          <w:jc w:val="center"/>
        </w:trPr>
        <w:tc>
          <w:tcPr>
            <w:tcW w:w="2865" w:type="pct"/>
            <w:gridSpan w:val="2"/>
            <w:vMerge w:val="restart"/>
            <w:shd w:val="clear" w:color="auto" w:fill="FFFFFF"/>
            <w:vAlign w:val="bottom"/>
          </w:tcPr>
          <w:p w:rsidR="002866A4" w:rsidRPr="002866A4" w:rsidP="002866A4" w14:paraId="5A8A25B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2866A4">
              <w:rPr>
                <w:rFonts w:ascii="Times New Roman" w:hAnsi="Times New Roman" w:cs="Times New Roman"/>
                <w:color w:val="264A60"/>
                <w:sz w:val="20"/>
                <w:szCs w:val="20"/>
              </w:rPr>
              <w:t>Model</w:t>
            </w:r>
          </w:p>
        </w:tc>
        <w:tc>
          <w:tcPr>
            <w:tcW w:w="2135" w:type="pct"/>
            <w:gridSpan w:val="2"/>
            <w:shd w:val="clear" w:color="auto" w:fill="FFFFFF"/>
            <w:vAlign w:val="bottom"/>
          </w:tcPr>
          <w:p w:rsidR="002866A4" w:rsidRPr="002866A4" w:rsidP="002866A4" w14:paraId="51CD10B2"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2866A4">
              <w:rPr>
                <w:rFonts w:ascii="Times New Roman" w:hAnsi="Times New Roman" w:cs="Times New Roman"/>
                <w:color w:val="264A60"/>
                <w:sz w:val="20"/>
                <w:szCs w:val="20"/>
              </w:rPr>
              <w:t>Collinearity Statistics</w:t>
            </w:r>
          </w:p>
        </w:tc>
      </w:tr>
      <w:tr w14:paraId="078EB632" w14:textId="77777777" w:rsidTr="00830769">
        <w:tblPrEx>
          <w:tblW w:w="3095" w:type="pct"/>
          <w:jc w:val="center"/>
          <w:tblCellMar>
            <w:left w:w="0" w:type="dxa"/>
            <w:right w:w="0" w:type="dxa"/>
          </w:tblCellMar>
          <w:tblLook w:val="0000"/>
        </w:tblPrEx>
        <w:trPr>
          <w:cantSplit/>
          <w:trHeight w:val="142"/>
          <w:jc w:val="center"/>
        </w:trPr>
        <w:tc>
          <w:tcPr>
            <w:tcW w:w="2865" w:type="pct"/>
            <w:gridSpan w:val="2"/>
            <w:vMerge/>
            <w:shd w:val="clear" w:color="auto" w:fill="FFFFFF"/>
            <w:vAlign w:val="bottom"/>
          </w:tcPr>
          <w:p w:rsidR="002866A4" w:rsidRPr="002866A4" w:rsidP="002866A4" w14:paraId="66005B39" w14:textId="77777777">
            <w:pPr>
              <w:autoSpaceDE w:val="0"/>
              <w:autoSpaceDN w:val="0"/>
              <w:adjustRightInd w:val="0"/>
              <w:spacing w:after="0" w:line="240" w:lineRule="auto"/>
              <w:rPr>
                <w:rFonts w:ascii="Times New Roman" w:hAnsi="Times New Roman" w:cs="Times New Roman"/>
                <w:color w:val="264A60"/>
                <w:sz w:val="20"/>
                <w:szCs w:val="20"/>
              </w:rPr>
            </w:pPr>
          </w:p>
        </w:tc>
        <w:tc>
          <w:tcPr>
            <w:tcW w:w="1246" w:type="pct"/>
            <w:shd w:val="clear" w:color="auto" w:fill="FFFFFF"/>
            <w:vAlign w:val="bottom"/>
          </w:tcPr>
          <w:p w:rsidR="002866A4" w:rsidRPr="002866A4" w:rsidP="002866A4" w14:paraId="54157744"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2866A4">
              <w:rPr>
                <w:rFonts w:ascii="Times New Roman" w:hAnsi="Times New Roman" w:cs="Times New Roman"/>
                <w:color w:val="264A60"/>
                <w:sz w:val="20"/>
                <w:szCs w:val="20"/>
              </w:rPr>
              <w:t>Tolerance</w:t>
            </w:r>
          </w:p>
        </w:tc>
        <w:tc>
          <w:tcPr>
            <w:tcW w:w="889" w:type="pct"/>
            <w:shd w:val="clear" w:color="auto" w:fill="FFFFFF"/>
            <w:vAlign w:val="bottom"/>
          </w:tcPr>
          <w:p w:rsidR="002866A4" w:rsidRPr="002866A4" w:rsidP="002866A4" w14:paraId="568D58A6"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2866A4">
              <w:rPr>
                <w:rFonts w:ascii="Times New Roman" w:hAnsi="Times New Roman" w:cs="Times New Roman"/>
                <w:color w:val="264A60"/>
                <w:sz w:val="20"/>
                <w:szCs w:val="20"/>
              </w:rPr>
              <w:t>VIF</w:t>
            </w:r>
          </w:p>
        </w:tc>
      </w:tr>
      <w:tr w14:paraId="67104158" w14:textId="77777777" w:rsidTr="00830769">
        <w:tblPrEx>
          <w:tblW w:w="3095" w:type="pct"/>
          <w:jc w:val="center"/>
          <w:tblCellMar>
            <w:left w:w="0" w:type="dxa"/>
            <w:right w:w="0" w:type="dxa"/>
          </w:tblCellMar>
          <w:tblLook w:val="0000"/>
        </w:tblPrEx>
        <w:trPr>
          <w:cantSplit/>
          <w:trHeight w:val="225"/>
          <w:jc w:val="center"/>
        </w:trPr>
        <w:tc>
          <w:tcPr>
            <w:tcW w:w="621" w:type="pct"/>
            <w:vMerge w:val="restart"/>
            <w:shd w:val="clear" w:color="auto" w:fill="E0E0E0"/>
          </w:tcPr>
          <w:p w:rsidR="002866A4" w:rsidRPr="002866A4" w:rsidP="002866A4" w14:paraId="08F0402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2866A4">
              <w:rPr>
                <w:rFonts w:ascii="Times New Roman" w:hAnsi="Times New Roman" w:cs="Times New Roman"/>
                <w:color w:val="264A60"/>
                <w:sz w:val="20"/>
                <w:szCs w:val="20"/>
              </w:rPr>
              <w:t>1</w:t>
            </w:r>
          </w:p>
        </w:tc>
        <w:tc>
          <w:tcPr>
            <w:tcW w:w="2244" w:type="pct"/>
            <w:shd w:val="clear" w:color="auto" w:fill="E0E0E0"/>
          </w:tcPr>
          <w:p w:rsidR="002866A4" w:rsidRPr="002866A4" w:rsidP="002866A4" w14:paraId="03D9130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2866A4">
              <w:rPr>
                <w:rFonts w:ascii="Times New Roman" w:hAnsi="Times New Roman" w:cs="Times New Roman"/>
                <w:color w:val="264A60"/>
                <w:sz w:val="20"/>
                <w:szCs w:val="20"/>
              </w:rPr>
              <w:t>(Constant)</w:t>
            </w:r>
          </w:p>
        </w:tc>
        <w:tc>
          <w:tcPr>
            <w:tcW w:w="1246" w:type="pct"/>
            <w:shd w:val="clear" w:color="auto" w:fill="F9F9FB"/>
            <w:vAlign w:val="center"/>
          </w:tcPr>
          <w:p w:rsidR="002866A4" w:rsidRPr="002866A4" w:rsidP="002866A4" w14:paraId="228D7EC7" w14:textId="77777777">
            <w:pPr>
              <w:autoSpaceDE w:val="0"/>
              <w:autoSpaceDN w:val="0"/>
              <w:adjustRightInd w:val="0"/>
              <w:spacing w:after="0" w:line="240" w:lineRule="auto"/>
              <w:rPr>
                <w:rFonts w:ascii="Times New Roman" w:hAnsi="Times New Roman" w:cs="Times New Roman"/>
                <w:sz w:val="20"/>
                <w:szCs w:val="20"/>
              </w:rPr>
            </w:pPr>
          </w:p>
        </w:tc>
        <w:tc>
          <w:tcPr>
            <w:tcW w:w="889" w:type="pct"/>
            <w:shd w:val="clear" w:color="auto" w:fill="F9F9FB"/>
            <w:vAlign w:val="center"/>
          </w:tcPr>
          <w:p w:rsidR="002866A4" w:rsidRPr="002866A4" w:rsidP="002866A4" w14:paraId="29456A6B" w14:textId="77777777">
            <w:pPr>
              <w:autoSpaceDE w:val="0"/>
              <w:autoSpaceDN w:val="0"/>
              <w:adjustRightInd w:val="0"/>
              <w:spacing w:after="0" w:line="240" w:lineRule="auto"/>
              <w:rPr>
                <w:rFonts w:ascii="Times New Roman" w:hAnsi="Times New Roman" w:cs="Times New Roman"/>
                <w:sz w:val="20"/>
                <w:szCs w:val="20"/>
              </w:rPr>
            </w:pPr>
          </w:p>
        </w:tc>
      </w:tr>
      <w:tr w14:paraId="11480598" w14:textId="77777777" w:rsidTr="00830769">
        <w:tblPrEx>
          <w:tblW w:w="3095" w:type="pct"/>
          <w:jc w:val="center"/>
          <w:tblCellMar>
            <w:left w:w="0" w:type="dxa"/>
            <w:right w:w="0" w:type="dxa"/>
          </w:tblCellMar>
          <w:tblLook w:val="0000"/>
        </w:tblPrEx>
        <w:trPr>
          <w:cantSplit/>
          <w:trHeight w:val="142"/>
          <w:jc w:val="center"/>
        </w:trPr>
        <w:tc>
          <w:tcPr>
            <w:tcW w:w="621" w:type="pct"/>
            <w:vMerge/>
            <w:shd w:val="clear" w:color="auto" w:fill="E0E0E0"/>
          </w:tcPr>
          <w:p w:rsidR="002866A4" w:rsidRPr="002866A4" w:rsidP="002866A4" w14:paraId="75A7A8D4" w14:textId="77777777">
            <w:pPr>
              <w:autoSpaceDE w:val="0"/>
              <w:autoSpaceDN w:val="0"/>
              <w:adjustRightInd w:val="0"/>
              <w:spacing w:after="0" w:line="240" w:lineRule="auto"/>
              <w:rPr>
                <w:rFonts w:ascii="Times New Roman" w:hAnsi="Times New Roman" w:cs="Times New Roman"/>
                <w:sz w:val="20"/>
                <w:szCs w:val="20"/>
              </w:rPr>
            </w:pPr>
          </w:p>
        </w:tc>
        <w:tc>
          <w:tcPr>
            <w:tcW w:w="2244" w:type="pct"/>
            <w:shd w:val="clear" w:color="auto" w:fill="E0E0E0"/>
          </w:tcPr>
          <w:p w:rsidR="002866A4" w:rsidRPr="002866A4" w:rsidP="002866A4" w14:paraId="3C04C161"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2866A4">
              <w:rPr>
                <w:rFonts w:ascii="Times New Roman" w:hAnsi="Times New Roman" w:cs="Times New Roman"/>
                <w:color w:val="264A60"/>
                <w:sz w:val="20"/>
                <w:szCs w:val="20"/>
              </w:rPr>
              <w:t>Corporate Social Responsibility</w:t>
            </w:r>
          </w:p>
        </w:tc>
        <w:tc>
          <w:tcPr>
            <w:tcW w:w="1246" w:type="pct"/>
            <w:shd w:val="clear" w:color="auto" w:fill="F9F9FB"/>
          </w:tcPr>
          <w:p w:rsidR="002866A4" w:rsidRPr="002866A4" w:rsidP="002866A4" w14:paraId="7EBDFD0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2866A4">
              <w:rPr>
                <w:rFonts w:ascii="Times New Roman" w:hAnsi="Times New Roman" w:cs="Times New Roman"/>
                <w:color w:val="010205"/>
                <w:sz w:val="20"/>
                <w:szCs w:val="20"/>
              </w:rPr>
              <w:t>.223</w:t>
            </w:r>
          </w:p>
        </w:tc>
        <w:tc>
          <w:tcPr>
            <w:tcW w:w="889" w:type="pct"/>
            <w:shd w:val="clear" w:color="auto" w:fill="F9F9FB"/>
          </w:tcPr>
          <w:p w:rsidR="002866A4" w:rsidRPr="002866A4" w:rsidP="002866A4" w14:paraId="59A104F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2866A4">
              <w:rPr>
                <w:rFonts w:ascii="Times New Roman" w:hAnsi="Times New Roman" w:cs="Times New Roman"/>
                <w:color w:val="010205"/>
                <w:sz w:val="20"/>
                <w:szCs w:val="20"/>
              </w:rPr>
              <w:t>4.490</w:t>
            </w:r>
          </w:p>
        </w:tc>
      </w:tr>
      <w:tr w14:paraId="200AA95D" w14:textId="77777777" w:rsidTr="00830769">
        <w:tblPrEx>
          <w:tblW w:w="3095" w:type="pct"/>
          <w:jc w:val="center"/>
          <w:tblCellMar>
            <w:left w:w="0" w:type="dxa"/>
            <w:right w:w="0" w:type="dxa"/>
          </w:tblCellMar>
          <w:tblLook w:val="0000"/>
        </w:tblPrEx>
        <w:trPr>
          <w:cantSplit/>
          <w:trHeight w:val="142"/>
          <w:jc w:val="center"/>
        </w:trPr>
        <w:tc>
          <w:tcPr>
            <w:tcW w:w="621" w:type="pct"/>
            <w:vMerge/>
            <w:shd w:val="clear" w:color="auto" w:fill="E0E0E0"/>
          </w:tcPr>
          <w:p w:rsidR="002866A4" w:rsidRPr="002866A4" w:rsidP="002866A4" w14:paraId="130B62DA" w14:textId="77777777">
            <w:pPr>
              <w:autoSpaceDE w:val="0"/>
              <w:autoSpaceDN w:val="0"/>
              <w:adjustRightInd w:val="0"/>
              <w:spacing w:after="0" w:line="240" w:lineRule="auto"/>
              <w:rPr>
                <w:rFonts w:ascii="Times New Roman" w:hAnsi="Times New Roman" w:cs="Times New Roman"/>
                <w:color w:val="010205"/>
                <w:sz w:val="20"/>
                <w:szCs w:val="20"/>
              </w:rPr>
            </w:pPr>
          </w:p>
        </w:tc>
        <w:tc>
          <w:tcPr>
            <w:tcW w:w="2244" w:type="pct"/>
            <w:shd w:val="clear" w:color="auto" w:fill="E0E0E0"/>
          </w:tcPr>
          <w:p w:rsidR="002866A4" w:rsidRPr="002866A4" w:rsidP="002866A4" w14:paraId="36DBF560"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2866A4">
              <w:rPr>
                <w:rFonts w:ascii="Times New Roman" w:hAnsi="Times New Roman" w:cs="Times New Roman"/>
                <w:color w:val="264A60"/>
                <w:sz w:val="20"/>
                <w:szCs w:val="20"/>
              </w:rPr>
              <w:t>Green Banking</w:t>
            </w:r>
          </w:p>
        </w:tc>
        <w:tc>
          <w:tcPr>
            <w:tcW w:w="1246" w:type="pct"/>
            <w:shd w:val="clear" w:color="auto" w:fill="F9F9FB"/>
          </w:tcPr>
          <w:p w:rsidR="002866A4" w:rsidRPr="002866A4" w:rsidP="002866A4" w14:paraId="5B250A3F"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2866A4">
              <w:rPr>
                <w:rFonts w:ascii="Times New Roman" w:hAnsi="Times New Roman" w:cs="Times New Roman"/>
                <w:color w:val="010205"/>
                <w:sz w:val="20"/>
                <w:szCs w:val="20"/>
              </w:rPr>
              <w:t>.223</w:t>
            </w:r>
          </w:p>
        </w:tc>
        <w:tc>
          <w:tcPr>
            <w:tcW w:w="889" w:type="pct"/>
            <w:shd w:val="clear" w:color="auto" w:fill="F9F9FB"/>
          </w:tcPr>
          <w:p w:rsidR="002866A4" w:rsidRPr="002866A4" w:rsidP="002866A4" w14:paraId="3706EEF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2866A4">
              <w:rPr>
                <w:rFonts w:ascii="Times New Roman" w:hAnsi="Times New Roman" w:cs="Times New Roman"/>
                <w:color w:val="010205"/>
                <w:sz w:val="20"/>
                <w:szCs w:val="20"/>
              </w:rPr>
              <w:t>4.490</w:t>
            </w:r>
          </w:p>
        </w:tc>
      </w:tr>
      <w:tr w14:paraId="0A809152" w14:textId="77777777" w:rsidTr="00830769">
        <w:tblPrEx>
          <w:tblW w:w="3095" w:type="pct"/>
          <w:jc w:val="center"/>
          <w:tblCellMar>
            <w:left w:w="0" w:type="dxa"/>
            <w:right w:w="0" w:type="dxa"/>
          </w:tblCellMar>
          <w:tblLook w:val="0000"/>
        </w:tblPrEx>
        <w:trPr>
          <w:cantSplit/>
          <w:trHeight w:val="225"/>
          <w:jc w:val="center"/>
        </w:trPr>
        <w:tc>
          <w:tcPr>
            <w:tcW w:w="5000" w:type="pct"/>
            <w:gridSpan w:val="4"/>
            <w:shd w:val="clear" w:color="auto" w:fill="FFFFFF"/>
          </w:tcPr>
          <w:p w:rsidR="002866A4" w:rsidRPr="002866A4" w:rsidP="002866A4" w14:paraId="541025A2"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2866A4">
              <w:rPr>
                <w:rFonts w:ascii="Times New Roman" w:hAnsi="Times New Roman" w:cs="Times New Roman"/>
                <w:color w:val="010205"/>
                <w:sz w:val="20"/>
                <w:szCs w:val="20"/>
              </w:rPr>
              <w:t xml:space="preserve">a. Dependent Variable: Return </w:t>
            </w:r>
            <w:r w:rsidRPr="002866A4">
              <w:rPr>
                <w:rFonts w:ascii="Times New Roman" w:hAnsi="Times New Roman" w:cs="Times New Roman"/>
                <w:color w:val="010205"/>
                <w:sz w:val="20"/>
                <w:szCs w:val="20"/>
              </w:rPr>
              <w:t>On</w:t>
            </w:r>
            <w:r w:rsidRPr="002866A4">
              <w:rPr>
                <w:rFonts w:ascii="Times New Roman" w:hAnsi="Times New Roman" w:cs="Times New Roman"/>
                <w:color w:val="010205"/>
                <w:sz w:val="20"/>
                <w:szCs w:val="20"/>
              </w:rPr>
              <w:t xml:space="preserve"> Equity</w:t>
            </w:r>
          </w:p>
        </w:tc>
      </w:tr>
    </w:tbl>
    <w:p w:rsidR="002866A4" w:rsidP="003F6441" w14:paraId="0153A5A0" w14:textId="029F5EF1">
      <w:pPr>
        <w:autoSpaceDE w:val="0"/>
        <w:autoSpaceDN w:val="0"/>
        <w:adjustRightInd w:val="0"/>
        <w:spacing w:after="0" w:line="480" w:lineRule="auto"/>
        <w:ind w:left="2138" w:firstLine="22"/>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3F6441" w:rsidRPr="002866A4" w:rsidP="002615FB" w14:paraId="764AC8C6" w14:textId="6E5BD241">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rPr>
        <w:t>hasil</w:t>
      </w:r>
      <w:r>
        <w:rPr>
          <w:rFonts w:ascii="Times New Roman" w:hAnsi="Times New Roman" w:cs="Times New Roman"/>
          <w:sz w:val="24"/>
          <w:szCs w:val="24"/>
        </w:rPr>
        <w:t xml:space="preserve"> uji </w:t>
      </w:r>
      <w:r>
        <w:rPr>
          <w:rFonts w:ascii="Times New Roman" w:hAnsi="Times New Roman" w:cs="Times New Roman"/>
          <w:sz w:val="24"/>
          <w:szCs w:val="24"/>
        </w:rPr>
        <w:t>multikolinearitas</w:t>
      </w:r>
      <w:r>
        <w:rPr>
          <w:rFonts w:ascii="Times New Roman" w:hAnsi="Times New Roman" w:cs="Times New Roman"/>
          <w:sz w:val="24"/>
          <w:szCs w:val="24"/>
        </w:rPr>
        <w:t xml:space="preserve"> </w:t>
      </w:r>
      <w:r>
        <w:rPr>
          <w:rFonts w:ascii="Times New Roman" w:hAnsi="Times New Roman" w:cs="Times New Roman"/>
          <w:sz w:val="24"/>
          <w:szCs w:val="24"/>
        </w:rPr>
        <w:t>persamaan</w:t>
      </w:r>
      <w:r>
        <w:rPr>
          <w:rFonts w:ascii="Times New Roman" w:hAnsi="Times New Roman" w:cs="Times New Roman"/>
          <w:sz w:val="24"/>
          <w:szCs w:val="24"/>
        </w:rPr>
        <w:t xml:space="preserve"> II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sidR="00A44C6D">
        <w:rPr>
          <w:rFonts w:ascii="Times New Roman" w:hAnsi="Times New Roman" w:cs="Times New Roman"/>
          <w:sz w:val="24"/>
          <w:szCs w:val="24"/>
        </w:rPr>
        <w:t>dependen</w:t>
      </w:r>
      <w:r w:rsidR="00A44C6D">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Tolerance</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kedua</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0,223 &gt; 0,10,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VIF </w:t>
      </w:r>
      <w:r>
        <w:rPr>
          <w:rFonts w:ascii="Times New Roman" w:hAnsi="Times New Roman" w:cs="Times New Roman"/>
          <w:sz w:val="24"/>
          <w:szCs w:val="24"/>
        </w:rPr>
        <w:t>dihasilkan</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4,490 &lt; 10. Maka,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pada uji </w:t>
      </w:r>
      <w:r>
        <w:rPr>
          <w:rFonts w:ascii="Times New Roman" w:hAnsi="Times New Roman" w:cs="Times New Roman"/>
          <w:sz w:val="24"/>
          <w:szCs w:val="24"/>
        </w:rPr>
        <w:t>regresi</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persamaan</w:t>
      </w:r>
      <w:r>
        <w:rPr>
          <w:rFonts w:ascii="Times New Roman" w:hAnsi="Times New Roman" w:cs="Times New Roman"/>
          <w:sz w:val="24"/>
          <w:szCs w:val="24"/>
        </w:rPr>
        <w:t xml:space="preserve"> II juga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gejala</w:t>
      </w:r>
      <w:r>
        <w:rPr>
          <w:rFonts w:ascii="Times New Roman" w:hAnsi="Times New Roman" w:cs="Times New Roman"/>
          <w:sz w:val="24"/>
          <w:szCs w:val="24"/>
        </w:rPr>
        <w:t xml:space="preserve"> </w:t>
      </w:r>
      <w:r>
        <w:rPr>
          <w:rFonts w:ascii="Times New Roman" w:hAnsi="Times New Roman" w:cs="Times New Roman"/>
          <w:sz w:val="24"/>
          <w:szCs w:val="24"/>
        </w:rPr>
        <w:t>multikolinearitas</w:t>
      </w:r>
      <w:r>
        <w:rPr>
          <w:rFonts w:ascii="Times New Roman" w:hAnsi="Times New Roman" w:cs="Times New Roman"/>
          <w:sz w:val="24"/>
          <w:szCs w:val="24"/>
        </w:rPr>
        <w:t>.</w:t>
      </w:r>
    </w:p>
    <w:p w:rsidR="003F6441" w:rsidP="005F061C" w14:paraId="1A1E003C" w14:textId="0D57C737">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Hetero</w:t>
      </w:r>
      <w:r w:rsidR="002C2257">
        <w:rPr>
          <w:rFonts w:ascii="Times New Roman" w:hAnsi="Times New Roman" w:cs="Times New Roman"/>
          <w:sz w:val="24"/>
          <w:szCs w:val="24"/>
        </w:rPr>
        <w:t>s</w:t>
      </w:r>
      <w:r>
        <w:rPr>
          <w:rFonts w:ascii="Times New Roman" w:hAnsi="Times New Roman" w:cs="Times New Roman"/>
          <w:sz w:val="24"/>
          <w:szCs w:val="24"/>
        </w:rPr>
        <w:t>kedastisitas</w:t>
      </w:r>
    </w:p>
    <w:p w:rsidR="009405AB" w:rsidP="00C554C4" w14:paraId="484D4CBB" w14:textId="469849E2">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heteroskedastisitas</w:t>
      </w:r>
      <w:r>
        <w:rPr>
          <w:rFonts w:ascii="Times New Roman" w:hAnsi="Times New Roman" w:cs="Times New Roman"/>
          <w:sz w:val="24"/>
          <w:szCs w:val="24"/>
        </w:rPr>
        <w:t xml:space="preserve"> </w:t>
      </w:r>
      <w:r>
        <w:rPr>
          <w:rFonts w:ascii="Times New Roman" w:hAnsi="Times New Roman" w:cs="Times New Roman"/>
          <w:sz w:val="24"/>
          <w:szCs w:val="24"/>
        </w:rPr>
        <w:t>dilakukan</w:t>
      </w:r>
      <w:r>
        <w:rPr>
          <w:rFonts w:ascii="Times New Roman" w:hAnsi="Times New Roman" w:cs="Times New Roman"/>
          <w:sz w:val="24"/>
          <w:szCs w:val="24"/>
        </w:rPr>
        <w:t xml:space="preserve"> </w:t>
      </w:r>
      <w:r>
        <w:rPr>
          <w:rFonts w:ascii="Times New Roman" w:hAnsi="Times New Roman" w:cs="Times New Roman"/>
          <w:sz w:val="24"/>
          <w:szCs w:val="24"/>
        </w:rPr>
        <w:t>bertujuan</w:t>
      </w:r>
      <w:r>
        <w:rPr>
          <w:rFonts w:ascii="Times New Roman" w:hAnsi="Times New Roman" w:cs="Times New Roman"/>
          <w:sz w:val="24"/>
          <w:szCs w:val="24"/>
        </w:rPr>
        <w:t xml:space="preserve"> </w:t>
      </w:r>
      <w:r>
        <w:rPr>
          <w:rFonts w:ascii="Times New Roman" w:hAnsi="Times New Roman" w:cs="Times New Roman"/>
          <w:sz w:val="24"/>
          <w:szCs w:val="24"/>
        </w:rPr>
        <w:t>unt</w:t>
      </w:r>
      <w:r w:rsidR="000368BE">
        <w:rPr>
          <w:rFonts w:ascii="Times New Roman" w:hAnsi="Times New Roman" w:cs="Times New Roman"/>
          <w:sz w:val="24"/>
          <w:szCs w:val="24"/>
        </w:rPr>
        <w:t>u</w:t>
      </w:r>
      <w:r>
        <w:rPr>
          <w:rFonts w:ascii="Times New Roman" w:hAnsi="Times New Roman" w:cs="Times New Roman"/>
          <w:sz w:val="24"/>
          <w:szCs w:val="24"/>
        </w:rPr>
        <w:t>k</w:t>
      </w:r>
      <w:r>
        <w:rPr>
          <w:rFonts w:ascii="Times New Roman" w:hAnsi="Times New Roman" w:cs="Times New Roman"/>
          <w:sz w:val="24"/>
          <w:szCs w:val="24"/>
        </w:rPr>
        <w:t xml:space="preserve"> </w:t>
      </w:r>
      <w:r>
        <w:rPr>
          <w:rFonts w:ascii="Times New Roman" w:hAnsi="Times New Roman" w:cs="Times New Roman"/>
          <w:sz w:val="24"/>
          <w:szCs w:val="24"/>
        </w:rPr>
        <w:t>menguji</w:t>
      </w:r>
      <w:r>
        <w:rPr>
          <w:rFonts w:ascii="Times New Roman" w:hAnsi="Times New Roman" w:cs="Times New Roman"/>
          <w:sz w:val="24"/>
          <w:szCs w:val="24"/>
        </w:rPr>
        <w:t xml:space="preserve"> </w:t>
      </w: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terdapat</w:t>
      </w:r>
      <w:r>
        <w:rPr>
          <w:rFonts w:ascii="Times New Roman" w:hAnsi="Times New Roman" w:cs="Times New Roman"/>
          <w:sz w:val="24"/>
          <w:szCs w:val="24"/>
        </w:rPr>
        <w:t xml:space="preserve"> </w:t>
      </w:r>
      <w:r>
        <w:rPr>
          <w:rFonts w:ascii="Times New Roman" w:hAnsi="Times New Roman" w:cs="Times New Roman"/>
          <w:sz w:val="24"/>
          <w:szCs w:val="24"/>
        </w:rPr>
        <w:t>ketidaksamaan</w:t>
      </w:r>
      <w:r w:rsidRPr="008937C2">
        <w:rPr>
          <w:rFonts w:ascii="Times New Roman" w:hAnsi="Times New Roman" w:cs="Times New Roman"/>
          <w:i/>
          <w:iCs/>
          <w:sz w:val="24"/>
          <w:szCs w:val="24"/>
        </w:rPr>
        <w:t xml:space="preserve"> variance</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residual </w:t>
      </w:r>
      <w:r>
        <w:rPr>
          <w:rFonts w:ascii="Times New Roman" w:hAnsi="Times New Roman" w:cs="Times New Roman"/>
          <w:sz w:val="24"/>
          <w:szCs w:val="24"/>
        </w:rPr>
        <w:t>suatu</w:t>
      </w:r>
      <w:r>
        <w:rPr>
          <w:rFonts w:ascii="Times New Roman" w:hAnsi="Times New Roman" w:cs="Times New Roman"/>
          <w:sz w:val="24"/>
          <w:szCs w:val="24"/>
        </w:rPr>
        <w:t xml:space="preserve"> model </w:t>
      </w:r>
      <w:r>
        <w:rPr>
          <w:rFonts w:ascii="Times New Roman" w:hAnsi="Times New Roman" w:cs="Times New Roman"/>
          <w:sz w:val="24"/>
          <w:szCs w:val="24"/>
        </w:rPr>
        <w:t>regresi</w:t>
      </w:r>
      <w:r>
        <w:rPr>
          <w:rFonts w:ascii="Times New Roman" w:hAnsi="Times New Roman" w:cs="Times New Roman"/>
          <w:sz w:val="24"/>
          <w:szCs w:val="24"/>
        </w:rPr>
        <w:t xml:space="preserve">. Dalam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menguji</w:t>
      </w:r>
      <w:r>
        <w:rPr>
          <w:rFonts w:ascii="Times New Roman" w:hAnsi="Times New Roman" w:cs="Times New Roman"/>
          <w:sz w:val="24"/>
          <w:szCs w:val="24"/>
        </w:rPr>
        <w:t xml:space="preserve"> </w:t>
      </w:r>
      <w:r>
        <w:rPr>
          <w:rFonts w:ascii="Times New Roman" w:hAnsi="Times New Roman" w:cs="Times New Roman"/>
          <w:sz w:val="24"/>
          <w:szCs w:val="24"/>
        </w:rPr>
        <w:t>heteroskedastisitas</w:t>
      </w:r>
      <w:r>
        <w:rPr>
          <w:rFonts w:ascii="Times New Roman" w:hAnsi="Times New Roman" w:cs="Times New Roman"/>
          <w:sz w:val="24"/>
          <w:szCs w:val="24"/>
        </w:rPr>
        <w:t xml:space="preserve"> </w:t>
      </w:r>
      <w:r>
        <w:rPr>
          <w:rFonts w:ascii="Times New Roman" w:hAnsi="Times New Roman" w:cs="Times New Roman"/>
          <w:sz w:val="24"/>
          <w:szCs w:val="24"/>
        </w:rPr>
        <w:t>menggunakan</w:t>
      </w:r>
      <w:r>
        <w:rPr>
          <w:rFonts w:ascii="Times New Roman" w:hAnsi="Times New Roman" w:cs="Times New Roman"/>
          <w:sz w:val="24"/>
          <w:szCs w:val="24"/>
        </w:rPr>
        <w:t xml:space="preserve"> </w:t>
      </w:r>
      <w:r w:rsidRPr="008937C2">
        <w:rPr>
          <w:rFonts w:ascii="Times New Roman" w:hAnsi="Times New Roman" w:cs="Times New Roman"/>
          <w:i/>
          <w:iCs/>
          <w:sz w:val="24"/>
          <w:szCs w:val="24"/>
        </w:rPr>
        <w:t>scatterplot</w:t>
      </w:r>
      <w:r>
        <w:rPr>
          <w:rFonts w:ascii="Times New Roman" w:hAnsi="Times New Roman" w:cs="Times New Roman"/>
          <w:sz w:val="24"/>
          <w:szCs w:val="24"/>
        </w:rPr>
        <w:t xml:space="preserve"> dan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glejser</w:t>
      </w:r>
      <w:r w:rsidR="00C554C4">
        <w:rPr>
          <w:rFonts w:ascii="Times New Roman" w:hAnsi="Times New Roman" w:cs="Times New Roman"/>
          <w:sz w:val="24"/>
          <w:szCs w:val="24"/>
        </w:rPr>
        <w:t xml:space="preserve"> </w:t>
      </w:r>
      <w:r w:rsidR="00C554C4">
        <w:rPr>
          <w:rFonts w:ascii="Times New Roman" w:hAnsi="Times New Roman" w:cs="Times New Roman"/>
          <w:sz w:val="24"/>
          <w:szCs w:val="24"/>
        </w:rPr>
        <w:t>dengan</w:t>
      </w:r>
      <w:r w:rsidR="00C554C4">
        <w:rPr>
          <w:rFonts w:ascii="Times New Roman" w:hAnsi="Times New Roman" w:cs="Times New Roman"/>
          <w:sz w:val="24"/>
          <w:szCs w:val="24"/>
        </w:rPr>
        <w:t xml:space="preserve"> </w:t>
      </w:r>
      <w:r w:rsidR="00C554C4">
        <w:rPr>
          <w:rFonts w:ascii="Times New Roman" w:hAnsi="Times New Roman" w:cs="Times New Roman"/>
          <w:sz w:val="24"/>
          <w:szCs w:val="24"/>
        </w:rPr>
        <w:t>nilai</w:t>
      </w:r>
      <w:r w:rsidR="00C554C4">
        <w:rPr>
          <w:rFonts w:ascii="Times New Roman" w:hAnsi="Times New Roman" w:cs="Times New Roman"/>
          <w:sz w:val="24"/>
          <w:szCs w:val="24"/>
        </w:rPr>
        <w:t xml:space="preserve"> α = 0,05</w:t>
      </w:r>
      <w:r>
        <w:rPr>
          <w:rFonts w:ascii="Times New Roman" w:hAnsi="Times New Roman" w:cs="Times New Roman"/>
          <w:sz w:val="24"/>
          <w:szCs w:val="24"/>
        </w:rPr>
        <w:t xml:space="preserve">. Hasil </w:t>
      </w:r>
      <w:r>
        <w:rPr>
          <w:rFonts w:ascii="Times New Roman" w:hAnsi="Times New Roman" w:cs="Times New Roman"/>
          <w:sz w:val="24"/>
          <w:szCs w:val="24"/>
        </w:rPr>
        <w:t>dari</w:t>
      </w:r>
      <w:r>
        <w:rPr>
          <w:rFonts w:ascii="Times New Roman" w:hAnsi="Times New Roman" w:cs="Times New Roman"/>
          <w:sz w:val="24"/>
          <w:szCs w:val="24"/>
        </w:rPr>
        <w:t xml:space="preserve"> uji </w:t>
      </w:r>
      <w:r>
        <w:rPr>
          <w:rFonts w:ascii="Times New Roman" w:hAnsi="Times New Roman" w:cs="Times New Roman"/>
          <w:sz w:val="24"/>
          <w:szCs w:val="24"/>
        </w:rPr>
        <w:t>heteroskedastisitas</w:t>
      </w:r>
      <w:r>
        <w:rPr>
          <w:rFonts w:ascii="Times New Roman" w:hAnsi="Times New Roman" w:cs="Times New Roman"/>
          <w:sz w:val="24"/>
          <w:szCs w:val="24"/>
        </w:rPr>
        <w:t xml:space="preserve"> </w:t>
      </w:r>
      <w:r>
        <w:rPr>
          <w:rFonts w:ascii="Times New Roman" w:hAnsi="Times New Roman" w:cs="Times New Roman"/>
          <w:sz w:val="24"/>
          <w:szCs w:val="24"/>
        </w:rPr>
        <w:t>disajikan</w:t>
      </w:r>
      <w:r>
        <w:rPr>
          <w:rFonts w:ascii="Times New Roman" w:hAnsi="Times New Roman" w:cs="Times New Roman"/>
          <w:sz w:val="24"/>
          <w:szCs w:val="24"/>
        </w:rPr>
        <w:t xml:space="preserve"> </w:t>
      </w:r>
      <w:r>
        <w:rPr>
          <w:rFonts w:ascii="Times New Roman" w:hAnsi="Times New Roman" w:cs="Times New Roman"/>
          <w:sz w:val="24"/>
          <w:szCs w:val="24"/>
        </w:rPr>
        <w:t>menggunakan</w:t>
      </w:r>
      <w:r>
        <w:rPr>
          <w:rFonts w:ascii="Times New Roman" w:hAnsi="Times New Roman" w:cs="Times New Roman"/>
          <w:sz w:val="24"/>
          <w:szCs w:val="24"/>
        </w:rPr>
        <w:t xml:space="preserve"> SPSS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w:t>
      </w:r>
    </w:p>
    <w:p w:rsidR="00A44C6D" w:rsidP="00FB3CEF" w14:paraId="2785ED6C" w14:textId="3BC0E7D0">
      <w:pPr>
        <w:autoSpaceDE w:val="0"/>
        <w:autoSpaceDN w:val="0"/>
        <w:adjustRightInd w:val="0"/>
        <w:spacing w:after="0" w:line="240" w:lineRule="auto"/>
        <w:ind w:left="710"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24300" cy="2963545"/>
            <wp:effectExtent l="0" t="0" r="0" b="8255"/>
            <wp:docPr id="17909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13517" name="Picture 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924300" cy="2963545"/>
                    </a:xfrm>
                    <a:prstGeom prst="rect">
                      <a:avLst/>
                    </a:prstGeom>
                    <a:noFill/>
                    <a:ln>
                      <a:noFill/>
                    </a:ln>
                  </pic:spPr>
                </pic:pic>
              </a:graphicData>
            </a:graphic>
          </wp:inline>
        </w:drawing>
      </w:r>
    </w:p>
    <w:p w:rsidR="00830769" w:rsidP="00FB3CEF" w14:paraId="5A5DB219" w14:textId="0AAD15FC">
      <w:pPr>
        <w:autoSpaceDE w:val="0"/>
        <w:autoSpaceDN w:val="0"/>
        <w:adjustRightInd w:val="0"/>
        <w:spacing w:after="0" w:line="240" w:lineRule="auto"/>
        <w:ind w:left="710" w:firstLine="720"/>
        <w:rPr>
          <w:rFonts w:ascii="Times New Roman" w:hAnsi="Times New Roman" w:cs="Times New Roman"/>
          <w:b/>
          <w:bCs/>
          <w:sz w:val="24"/>
          <w:szCs w:val="24"/>
        </w:rPr>
      </w:pPr>
      <w:r w:rsidRPr="00830769">
        <w:rPr>
          <w:rFonts w:ascii="Times New Roman" w:hAnsi="Times New Roman" w:cs="Times New Roman"/>
          <w:b/>
          <w:bCs/>
          <w:sz w:val="24"/>
          <w:szCs w:val="24"/>
        </w:rPr>
        <w:t>Sumber</w:t>
      </w:r>
      <w:r w:rsidRPr="00830769">
        <w:rPr>
          <w:rFonts w:ascii="Times New Roman" w:hAnsi="Times New Roman" w:cs="Times New Roman"/>
          <w:b/>
          <w:bCs/>
          <w:sz w:val="24"/>
          <w:szCs w:val="24"/>
        </w:rPr>
        <w:t xml:space="preserve">: Data yang </w:t>
      </w:r>
      <w:r w:rsidRPr="00830769">
        <w:rPr>
          <w:rFonts w:ascii="Times New Roman" w:hAnsi="Times New Roman" w:cs="Times New Roman"/>
          <w:b/>
          <w:bCs/>
          <w:sz w:val="24"/>
          <w:szCs w:val="24"/>
        </w:rPr>
        <w:t>diolah</w:t>
      </w:r>
      <w:r w:rsidRPr="00830769">
        <w:rPr>
          <w:rFonts w:ascii="Times New Roman" w:hAnsi="Times New Roman" w:cs="Times New Roman"/>
          <w:b/>
          <w:bCs/>
          <w:sz w:val="24"/>
          <w:szCs w:val="24"/>
        </w:rPr>
        <w:t xml:space="preserve"> SPSS,2024</w:t>
      </w:r>
    </w:p>
    <w:p w:rsidR="00830769" w:rsidRPr="00830769" w:rsidP="00FB3CEF" w14:paraId="52648DF8" w14:textId="77777777">
      <w:pPr>
        <w:autoSpaceDE w:val="0"/>
        <w:autoSpaceDN w:val="0"/>
        <w:adjustRightInd w:val="0"/>
        <w:spacing w:after="0" w:line="240" w:lineRule="auto"/>
        <w:ind w:left="710" w:firstLine="720"/>
        <w:rPr>
          <w:rFonts w:ascii="Times New Roman" w:hAnsi="Times New Roman" w:cs="Times New Roman"/>
          <w:b/>
          <w:bCs/>
          <w:sz w:val="24"/>
          <w:szCs w:val="24"/>
        </w:rPr>
      </w:pPr>
    </w:p>
    <w:p w:rsidR="00830769" w:rsidRPr="002C2257" w:rsidP="00830769" w14:paraId="220BC055" w14:textId="77777777">
      <w:pPr>
        <w:pStyle w:val="ListParagraph"/>
        <w:spacing w:after="0" w:line="276" w:lineRule="auto"/>
        <w:ind w:left="1430"/>
        <w:jc w:val="center"/>
        <w:rPr>
          <w:rFonts w:ascii="Times New Roman" w:hAnsi="Times New Roman" w:cs="Times New Roman"/>
          <w:b/>
          <w:bCs/>
          <w:sz w:val="24"/>
          <w:szCs w:val="24"/>
        </w:rPr>
      </w:pPr>
      <w:r w:rsidRPr="002C2257">
        <w:rPr>
          <w:rFonts w:ascii="Times New Roman" w:hAnsi="Times New Roman" w:cs="Times New Roman"/>
          <w:b/>
          <w:bCs/>
          <w:sz w:val="24"/>
          <w:szCs w:val="24"/>
        </w:rPr>
        <w:t xml:space="preserve">Gambar </w:t>
      </w:r>
      <w:r>
        <w:rPr>
          <w:rFonts w:ascii="Times New Roman" w:hAnsi="Times New Roman" w:cs="Times New Roman"/>
          <w:b/>
          <w:bCs/>
          <w:sz w:val="24"/>
          <w:szCs w:val="24"/>
        </w:rPr>
        <w:t>10</w:t>
      </w:r>
    </w:p>
    <w:p w:rsidR="00830769" w:rsidRPr="002C2257" w:rsidP="00830769" w14:paraId="37DE4303" w14:textId="77777777">
      <w:pPr>
        <w:pStyle w:val="ListParagraph"/>
        <w:spacing w:after="0" w:line="276" w:lineRule="auto"/>
        <w:ind w:left="1430"/>
        <w:jc w:val="center"/>
        <w:rPr>
          <w:rFonts w:ascii="Times New Roman" w:hAnsi="Times New Roman" w:cs="Times New Roman"/>
          <w:b/>
          <w:bCs/>
          <w:sz w:val="24"/>
          <w:szCs w:val="24"/>
        </w:rPr>
      </w:pPr>
      <w:r w:rsidRPr="002C2257">
        <w:rPr>
          <w:rFonts w:ascii="Times New Roman" w:hAnsi="Times New Roman" w:cs="Times New Roman"/>
          <w:b/>
          <w:bCs/>
          <w:sz w:val="24"/>
          <w:szCs w:val="24"/>
        </w:rPr>
        <w:t xml:space="preserve">Uji </w:t>
      </w:r>
      <w:r w:rsidRPr="002C2257">
        <w:rPr>
          <w:rFonts w:ascii="Times New Roman" w:hAnsi="Times New Roman" w:cs="Times New Roman"/>
          <w:b/>
          <w:bCs/>
          <w:sz w:val="24"/>
          <w:szCs w:val="24"/>
        </w:rPr>
        <w:t>Heteroskedastisitas</w:t>
      </w:r>
      <w:r w:rsidRPr="002C2257">
        <w:rPr>
          <w:rFonts w:ascii="Times New Roman" w:hAnsi="Times New Roman" w:cs="Times New Roman"/>
          <w:b/>
          <w:bCs/>
          <w:sz w:val="24"/>
          <w:szCs w:val="24"/>
        </w:rPr>
        <w:t xml:space="preserve"> </w:t>
      </w:r>
      <w:r w:rsidRPr="002C2257">
        <w:rPr>
          <w:rFonts w:ascii="Times New Roman" w:hAnsi="Times New Roman" w:cs="Times New Roman"/>
          <w:b/>
          <w:bCs/>
          <w:sz w:val="24"/>
          <w:szCs w:val="24"/>
        </w:rPr>
        <w:t>Menggunakan</w:t>
      </w:r>
      <w:r w:rsidRPr="002C2257">
        <w:rPr>
          <w:rFonts w:ascii="Times New Roman" w:hAnsi="Times New Roman" w:cs="Times New Roman"/>
          <w:b/>
          <w:bCs/>
          <w:sz w:val="24"/>
          <w:szCs w:val="24"/>
        </w:rPr>
        <w:t xml:space="preserve"> Scatterplot Model </w:t>
      </w:r>
      <w:r w:rsidRPr="002C2257">
        <w:rPr>
          <w:rFonts w:ascii="Times New Roman" w:hAnsi="Times New Roman" w:cs="Times New Roman"/>
          <w:b/>
          <w:bCs/>
          <w:sz w:val="24"/>
          <w:szCs w:val="24"/>
        </w:rPr>
        <w:t>Persamaan</w:t>
      </w:r>
      <w:r w:rsidRPr="002C2257">
        <w:rPr>
          <w:rFonts w:ascii="Times New Roman" w:hAnsi="Times New Roman" w:cs="Times New Roman"/>
          <w:b/>
          <w:bCs/>
          <w:sz w:val="24"/>
          <w:szCs w:val="24"/>
        </w:rPr>
        <w:t xml:space="preserve"> I</w:t>
      </w:r>
    </w:p>
    <w:p w:rsidR="00C554C4" w:rsidRPr="00C554C4" w:rsidP="00C554C4" w14:paraId="54039150" w14:textId="0626EA20">
      <w:pPr>
        <w:autoSpaceDE w:val="0"/>
        <w:autoSpaceDN w:val="0"/>
        <w:adjustRightInd w:val="0"/>
        <w:spacing w:after="0" w:line="276" w:lineRule="auto"/>
        <w:ind w:left="710" w:firstLine="720"/>
        <w:jc w:val="center"/>
        <w:rPr>
          <w:rFonts w:ascii="Times New Roman" w:hAnsi="Times New Roman" w:cs="Times New Roman"/>
          <w:b/>
          <w:bCs/>
          <w:sz w:val="24"/>
          <w:szCs w:val="24"/>
        </w:rPr>
      </w:pPr>
      <w:r w:rsidRPr="00C554C4">
        <w:rPr>
          <w:rFonts w:ascii="Times New Roman" w:hAnsi="Times New Roman" w:cs="Times New Roman"/>
          <w:b/>
          <w:bCs/>
          <w:sz w:val="24"/>
          <w:szCs w:val="24"/>
        </w:rPr>
        <w:t>Tabel 1</w:t>
      </w:r>
      <w:r w:rsidR="00E20D14">
        <w:rPr>
          <w:rFonts w:ascii="Times New Roman" w:hAnsi="Times New Roman" w:cs="Times New Roman"/>
          <w:b/>
          <w:bCs/>
          <w:sz w:val="24"/>
          <w:szCs w:val="24"/>
        </w:rPr>
        <w:t>5</w:t>
      </w:r>
    </w:p>
    <w:p w:rsidR="00C554C4" w:rsidRPr="00C554C4" w:rsidP="00C554C4" w14:paraId="2D3A8DC1" w14:textId="6EF172B4">
      <w:pPr>
        <w:autoSpaceDE w:val="0"/>
        <w:autoSpaceDN w:val="0"/>
        <w:adjustRightInd w:val="0"/>
        <w:spacing w:after="0" w:line="276" w:lineRule="auto"/>
        <w:ind w:left="710" w:firstLine="720"/>
        <w:jc w:val="center"/>
        <w:rPr>
          <w:rFonts w:ascii="Times New Roman" w:hAnsi="Times New Roman" w:cs="Times New Roman"/>
          <w:b/>
          <w:bCs/>
          <w:sz w:val="24"/>
          <w:szCs w:val="24"/>
        </w:rPr>
      </w:pPr>
      <w:r w:rsidRPr="00C554C4">
        <w:rPr>
          <w:rFonts w:ascii="Times New Roman" w:hAnsi="Times New Roman" w:cs="Times New Roman"/>
          <w:b/>
          <w:bCs/>
          <w:sz w:val="24"/>
          <w:szCs w:val="24"/>
        </w:rPr>
        <w:t xml:space="preserve">Metode </w:t>
      </w:r>
      <w:r w:rsidRPr="00C554C4">
        <w:rPr>
          <w:rFonts w:ascii="Times New Roman" w:hAnsi="Times New Roman" w:cs="Times New Roman"/>
          <w:b/>
          <w:bCs/>
          <w:sz w:val="24"/>
          <w:szCs w:val="24"/>
        </w:rPr>
        <w:t>Glejser</w:t>
      </w:r>
      <w:r w:rsidRPr="00C554C4">
        <w:rPr>
          <w:rFonts w:ascii="Times New Roman" w:hAnsi="Times New Roman" w:cs="Times New Roman"/>
          <w:b/>
          <w:bCs/>
          <w:sz w:val="24"/>
          <w:szCs w:val="24"/>
        </w:rPr>
        <w:t xml:space="preserve"> </w:t>
      </w:r>
      <w:r w:rsidRPr="00C554C4">
        <w:rPr>
          <w:rFonts w:ascii="Times New Roman" w:hAnsi="Times New Roman" w:cs="Times New Roman"/>
          <w:b/>
          <w:bCs/>
          <w:sz w:val="24"/>
          <w:szCs w:val="24"/>
        </w:rPr>
        <w:t>Persamaan</w:t>
      </w:r>
      <w:r w:rsidRPr="00C554C4">
        <w:rPr>
          <w:rFonts w:ascii="Times New Roman" w:hAnsi="Times New Roman" w:cs="Times New Roman"/>
          <w:b/>
          <w:bCs/>
          <w:sz w:val="24"/>
          <w:szCs w:val="24"/>
        </w:rPr>
        <w:t xml:space="preserve"> I</w:t>
      </w:r>
    </w:p>
    <w:tbl>
      <w:tblPr>
        <w:tblW w:w="43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3"/>
        <w:gridCol w:w="1611"/>
        <w:gridCol w:w="847"/>
        <w:gridCol w:w="1418"/>
        <w:gridCol w:w="1279"/>
        <w:gridCol w:w="852"/>
        <w:gridCol w:w="706"/>
      </w:tblGrid>
      <w:tr w14:paraId="1924310E" w14:textId="77777777" w:rsidTr="00C554C4">
        <w:tblPrEx>
          <w:tblW w:w="43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C554C4" w:rsidRPr="00C554C4" w:rsidP="00C554C4" w14:paraId="3A5CE75A" w14:textId="77777777">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C554C4">
              <w:rPr>
                <w:rFonts w:ascii="Times New Roman" w:hAnsi="Times New Roman" w:cs="Times New Roman"/>
                <w:b/>
                <w:bCs/>
                <w:color w:val="010205"/>
                <w:sz w:val="20"/>
                <w:szCs w:val="20"/>
              </w:rPr>
              <w:t>Coefficients</w:t>
            </w:r>
            <w:r w:rsidRPr="00C554C4">
              <w:rPr>
                <w:rFonts w:ascii="Times New Roman" w:hAnsi="Times New Roman" w:cs="Times New Roman"/>
                <w:b/>
                <w:bCs/>
                <w:color w:val="010205"/>
                <w:sz w:val="20"/>
                <w:szCs w:val="20"/>
                <w:vertAlign w:val="superscript"/>
              </w:rPr>
              <w:t>a</w:t>
            </w:r>
          </w:p>
        </w:tc>
      </w:tr>
      <w:tr w14:paraId="07F49CA6" w14:textId="77777777" w:rsidTr="00C554C4">
        <w:tblPrEx>
          <w:tblW w:w="4381" w:type="pct"/>
          <w:tblInd w:w="1129" w:type="dxa"/>
          <w:tblCellMar>
            <w:left w:w="0" w:type="dxa"/>
            <w:right w:w="0" w:type="dxa"/>
          </w:tblCellMar>
          <w:tblLook w:val="0000"/>
        </w:tblPrEx>
        <w:trPr>
          <w:cantSplit/>
        </w:trPr>
        <w:tc>
          <w:tcPr>
            <w:tcW w:w="1327" w:type="pct"/>
            <w:gridSpan w:val="2"/>
            <w:vMerge w:val="restart"/>
            <w:shd w:val="clear" w:color="auto" w:fill="FFFFFF"/>
            <w:vAlign w:val="bottom"/>
          </w:tcPr>
          <w:p w:rsidR="00C554C4" w:rsidRPr="00C554C4" w:rsidP="00C554C4" w14:paraId="1C7A92E5" w14:textId="77777777">
            <w:pPr>
              <w:autoSpaceDE w:val="0"/>
              <w:autoSpaceDN w:val="0"/>
              <w:adjustRightInd w:val="0"/>
              <w:spacing w:after="0" w:line="320" w:lineRule="atLeast"/>
              <w:ind w:left="60" w:right="60"/>
              <w:rPr>
                <w:rFonts w:ascii="Times New Roman" w:hAnsi="Times New Roman" w:cs="Times New Roman"/>
                <w:color w:val="264A60"/>
                <w:sz w:val="20"/>
                <w:szCs w:val="20"/>
              </w:rPr>
            </w:pPr>
            <w:r w:rsidRPr="00C554C4">
              <w:rPr>
                <w:rFonts w:ascii="Times New Roman" w:hAnsi="Times New Roman" w:cs="Times New Roman"/>
                <w:color w:val="264A60"/>
                <w:sz w:val="20"/>
                <w:szCs w:val="20"/>
              </w:rPr>
              <w:t>Model</w:t>
            </w:r>
          </w:p>
        </w:tc>
        <w:tc>
          <w:tcPr>
            <w:tcW w:w="1630" w:type="pct"/>
            <w:gridSpan w:val="2"/>
            <w:shd w:val="clear" w:color="auto" w:fill="FFFFFF"/>
            <w:vAlign w:val="bottom"/>
          </w:tcPr>
          <w:p w:rsidR="00C554C4" w:rsidRPr="00C554C4" w:rsidP="00C554C4" w14:paraId="2562267F"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Unstandardized Coefficients</w:t>
            </w:r>
          </w:p>
        </w:tc>
        <w:tc>
          <w:tcPr>
            <w:tcW w:w="921" w:type="pct"/>
            <w:shd w:val="clear" w:color="auto" w:fill="FFFFFF"/>
            <w:vAlign w:val="bottom"/>
          </w:tcPr>
          <w:p w:rsidR="00C554C4" w:rsidRPr="00C554C4" w:rsidP="00C554C4" w14:paraId="416B9EAB"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Standardized Coefficients</w:t>
            </w:r>
          </w:p>
        </w:tc>
        <w:tc>
          <w:tcPr>
            <w:tcW w:w="613" w:type="pct"/>
            <w:vMerge w:val="restart"/>
            <w:shd w:val="clear" w:color="auto" w:fill="FFFFFF"/>
            <w:vAlign w:val="bottom"/>
          </w:tcPr>
          <w:p w:rsidR="00C554C4" w:rsidRPr="00C554C4" w:rsidP="00C554C4" w14:paraId="58B2D95E"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t</w:t>
            </w:r>
          </w:p>
        </w:tc>
        <w:tc>
          <w:tcPr>
            <w:tcW w:w="509" w:type="pct"/>
            <w:vMerge w:val="restart"/>
            <w:shd w:val="clear" w:color="auto" w:fill="FFFFFF"/>
            <w:vAlign w:val="bottom"/>
          </w:tcPr>
          <w:p w:rsidR="00C554C4" w:rsidRPr="00C554C4" w:rsidP="00C554C4" w14:paraId="6049BD6B"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Sig.</w:t>
            </w:r>
          </w:p>
        </w:tc>
      </w:tr>
      <w:tr w14:paraId="3CF375F5" w14:textId="77777777" w:rsidTr="00C554C4">
        <w:tblPrEx>
          <w:tblW w:w="4381" w:type="pct"/>
          <w:tblInd w:w="1129" w:type="dxa"/>
          <w:tblCellMar>
            <w:left w:w="0" w:type="dxa"/>
            <w:right w:w="0" w:type="dxa"/>
          </w:tblCellMar>
          <w:tblLook w:val="0000"/>
        </w:tblPrEx>
        <w:trPr>
          <w:cantSplit/>
        </w:trPr>
        <w:tc>
          <w:tcPr>
            <w:tcW w:w="1327" w:type="pct"/>
            <w:gridSpan w:val="2"/>
            <w:vMerge/>
            <w:shd w:val="clear" w:color="auto" w:fill="FFFFFF"/>
            <w:vAlign w:val="bottom"/>
          </w:tcPr>
          <w:p w:rsidR="00C554C4" w:rsidRPr="00C554C4" w:rsidP="00C554C4" w14:paraId="4E2A3990" w14:textId="77777777">
            <w:pPr>
              <w:autoSpaceDE w:val="0"/>
              <w:autoSpaceDN w:val="0"/>
              <w:adjustRightInd w:val="0"/>
              <w:spacing w:after="0" w:line="240" w:lineRule="auto"/>
              <w:rPr>
                <w:rFonts w:ascii="Times New Roman" w:hAnsi="Times New Roman" w:cs="Times New Roman"/>
                <w:color w:val="264A60"/>
                <w:sz w:val="20"/>
                <w:szCs w:val="20"/>
              </w:rPr>
            </w:pPr>
          </w:p>
        </w:tc>
        <w:tc>
          <w:tcPr>
            <w:tcW w:w="610" w:type="pct"/>
            <w:shd w:val="clear" w:color="auto" w:fill="FFFFFF"/>
            <w:vAlign w:val="bottom"/>
          </w:tcPr>
          <w:p w:rsidR="00C554C4" w:rsidRPr="00C554C4" w:rsidP="00C554C4" w14:paraId="44EF1810"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B</w:t>
            </w:r>
          </w:p>
        </w:tc>
        <w:tc>
          <w:tcPr>
            <w:tcW w:w="1021" w:type="pct"/>
            <w:shd w:val="clear" w:color="auto" w:fill="FFFFFF"/>
            <w:vAlign w:val="bottom"/>
          </w:tcPr>
          <w:p w:rsidR="00C554C4" w:rsidRPr="00C554C4" w:rsidP="00C554C4" w14:paraId="237AF3FB"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Std. Error</w:t>
            </w:r>
          </w:p>
        </w:tc>
        <w:tc>
          <w:tcPr>
            <w:tcW w:w="921" w:type="pct"/>
            <w:shd w:val="clear" w:color="auto" w:fill="FFFFFF"/>
            <w:vAlign w:val="bottom"/>
          </w:tcPr>
          <w:p w:rsidR="00C554C4" w:rsidRPr="00C554C4" w:rsidP="00C554C4" w14:paraId="3EEEB9AD" w14:textId="77777777">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C554C4">
              <w:rPr>
                <w:rFonts w:ascii="Times New Roman" w:hAnsi="Times New Roman" w:cs="Times New Roman"/>
                <w:color w:val="264A60"/>
                <w:sz w:val="20"/>
                <w:szCs w:val="20"/>
              </w:rPr>
              <w:t>Beta</w:t>
            </w:r>
          </w:p>
        </w:tc>
        <w:tc>
          <w:tcPr>
            <w:tcW w:w="613" w:type="pct"/>
            <w:vMerge/>
            <w:shd w:val="clear" w:color="auto" w:fill="FFFFFF"/>
            <w:vAlign w:val="bottom"/>
          </w:tcPr>
          <w:p w:rsidR="00C554C4" w:rsidRPr="00C554C4" w:rsidP="00C554C4" w14:paraId="6756055A" w14:textId="77777777">
            <w:pPr>
              <w:autoSpaceDE w:val="0"/>
              <w:autoSpaceDN w:val="0"/>
              <w:adjustRightInd w:val="0"/>
              <w:spacing w:after="0" w:line="240" w:lineRule="auto"/>
              <w:rPr>
                <w:rFonts w:ascii="Times New Roman" w:hAnsi="Times New Roman" w:cs="Times New Roman"/>
                <w:color w:val="264A60"/>
                <w:sz w:val="20"/>
                <w:szCs w:val="20"/>
              </w:rPr>
            </w:pPr>
          </w:p>
        </w:tc>
        <w:tc>
          <w:tcPr>
            <w:tcW w:w="509" w:type="pct"/>
            <w:vMerge/>
            <w:shd w:val="clear" w:color="auto" w:fill="FFFFFF"/>
            <w:vAlign w:val="bottom"/>
          </w:tcPr>
          <w:p w:rsidR="00C554C4" w:rsidRPr="00C554C4" w:rsidP="00C554C4" w14:paraId="6A182FED" w14:textId="77777777">
            <w:pPr>
              <w:autoSpaceDE w:val="0"/>
              <w:autoSpaceDN w:val="0"/>
              <w:adjustRightInd w:val="0"/>
              <w:spacing w:after="0" w:line="240" w:lineRule="auto"/>
              <w:rPr>
                <w:rFonts w:ascii="Times New Roman" w:hAnsi="Times New Roman" w:cs="Times New Roman"/>
                <w:color w:val="264A60"/>
                <w:sz w:val="20"/>
                <w:szCs w:val="20"/>
              </w:rPr>
            </w:pPr>
          </w:p>
        </w:tc>
      </w:tr>
      <w:tr w14:paraId="5E2F6FD1" w14:textId="77777777" w:rsidTr="00C554C4">
        <w:tblPrEx>
          <w:tblW w:w="4381" w:type="pct"/>
          <w:tblInd w:w="1129" w:type="dxa"/>
          <w:tblCellMar>
            <w:left w:w="0" w:type="dxa"/>
            <w:right w:w="0" w:type="dxa"/>
          </w:tblCellMar>
          <w:tblLook w:val="0000"/>
        </w:tblPrEx>
        <w:trPr>
          <w:cantSplit/>
        </w:trPr>
        <w:tc>
          <w:tcPr>
            <w:tcW w:w="167" w:type="pct"/>
            <w:vMerge w:val="restart"/>
            <w:shd w:val="clear" w:color="auto" w:fill="E0E0E0"/>
          </w:tcPr>
          <w:p w:rsidR="00C554C4" w:rsidRPr="00C554C4" w:rsidP="00C554C4" w14:paraId="63011031" w14:textId="77777777">
            <w:pPr>
              <w:autoSpaceDE w:val="0"/>
              <w:autoSpaceDN w:val="0"/>
              <w:adjustRightInd w:val="0"/>
              <w:spacing w:after="0" w:line="320" w:lineRule="atLeast"/>
              <w:ind w:left="60" w:right="60"/>
              <w:rPr>
                <w:rFonts w:ascii="Times New Roman" w:hAnsi="Times New Roman" w:cs="Times New Roman"/>
                <w:color w:val="264A60"/>
                <w:sz w:val="20"/>
                <w:szCs w:val="20"/>
              </w:rPr>
            </w:pPr>
            <w:r w:rsidRPr="00C554C4">
              <w:rPr>
                <w:rFonts w:ascii="Times New Roman" w:hAnsi="Times New Roman" w:cs="Times New Roman"/>
                <w:color w:val="264A60"/>
                <w:sz w:val="20"/>
                <w:szCs w:val="20"/>
              </w:rPr>
              <w:t>1</w:t>
            </w:r>
          </w:p>
        </w:tc>
        <w:tc>
          <w:tcPr>
            <w:tcW w:w="1160" w:type="pct"/>
            <w:shd w:val="clear" w:color="auto" w:fill="E0E0E0"/>
          </w:tcPr>
          <w:p w:rsidR="00C554C4" w:rsidRPr="00C554C4" w:rsidP="00C554C4" w14:paraId="3AD71FFD" w14:textId="77777777">
            <w:pPr>
              <w:autoSpaceDE w:val="0"/>
              <w:autoSpaceDN w:val="0"/>
              <w:adjustRightInd w:val="0"/>
              <w:spacing w:after="0" w:line="320" w:lineRule="atLeast"/>
              <w:ind w:left="60" w:right="60"/>
              <w:rPr>
                <w:rFonts w:ascii="Times New Roman" w:hAnsi="Times New Roman" w:cs="Times New Roman"/>
                <w:color w:val="264A60"/>
                <w:sz w:val="20"/>
                <w:szCs w:val="20"/>
              </w:rPr>
            </w:pPr>
            <w:r w:rsidRPr="00C554C4">
              <w:rPr>
                <w:rFonts w:ascii="Times New Roman" w:hAnsi="Times New Roman" w:cs="Times New Roman"/>
                <w:color w:val="264A60"/>
                <w:sz w:val="20"/>
                <w:szCs w:val="20"/>
              </w:rPr>
              <w:t>(Constant)</w:t>
            </w:r>
          </w:p>
        </w:tc>
        <w:tc>
          <w:tcPr>
            <w:tcW w:w="610" w:type="pct"/>
            <w:shd w:val="clear" w:color="auto" w:fill="F9F9FB"/>
          </w:tcPr>
          <w:p w:rsidR="00C554C4" w:rsidRPr="00C554C4" w:rsidP="00C554C4" w14:paraId="69F2EDDF"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7.213</w:t>
            </w:r>
          </w:p>
        </w:tc>
        <w:tc>
          <w:tcPr>
            <w:tcW w:w="1021" w:type="pct"/>
            <w:shd w:val="clear" w:color="auto" w:fill="F9F9FB"/>
          </w:tcPr>
          <w:p w:rsidR="00C554C4" w:rsidRPr="00C554C4" w:rsidP="00C554C4" w14:paraId="279C705C"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.914</w:t>
            </w:r>
          </w:p>
        </w:tc>
        <w:tc>
          <w:tcPr>
            <w:tcW w:w="921" w:type="pct"/>
            <w:shd w:val="clear" w:color="auto" w:fill="F9F9FB"/>
            <w:vAlign w:val="center"/>
          </w:tcPr>
          <w:p w:rsidR="00C554C4" w:rsidRPr="00C554C4" w:rsidP="00C554C4" w14:paraId="378F45ED" w14:textId="77777777">
            <w:pPr>
              <w:autoSpaceDE w:val="0"/>
              <w:autoSpaceDN w:val="0"/>
              <w:adjustRightInd w:val="0"/>
              <w:spacing w:after="0" w:line="240" w:lineRule="auto"/>
              <w:rPr>
                <w:rFonts w:ascii="Times New Roman" w:hAnsi="Times New Roman" w:cs="Times New Roman"/>
                <w:sz w:val="20"/>
                <w:szCs w:val="20"/>
              </w:rPr>
            </w:pPr>
          </w:p>
        </w:tc>
        <w:tc>
          <w:tcPr>
            <w:tcW w:w="613" w:type="pct"/>
            <w:shd w:val="clear" w:color="auto" w:fill="F9F9FB"/>
          </w:tcPr>
          <w:p w:rsidR="00C554C4" w:rsidRPr="00C554C4" w:rsidP="00C554C4" w14:paraId="0E7A5A09"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7.894</w:t>
            </w:r>
          </w:p>
        </w:tc>
        <w:tc>
          <w:tcPr>
            <w:tcW w:w="509" w:type="pct"/>
            <w:shd w:val="clear" w:color="auto" w:fill="F9F9FB"/>
          </w:tcPr>
          <w:p w:rsidR="00C554C4" w:rsidRPr="00C554C4" w:rsidP="00C554C4" w14:paraId="06DCC2F2"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&lt;,001</w:t>
            </w:r>
          </w:p>
        </w:tc>
      </w:tr>
      <w:tr w14:paraId="39B29AA3" w14:textId="77777777" w:rsidTr="00C554C4">
        <w:tblPrEx>
          <w:tblW w:w="4381" w:type="pct"/>
          <w:tblInd w:w="1129" w:type="dxa"/>
          <w:tblCellMar>
            <w:left w:w="0" w:type="dxa"/>
            <w:right w:w="0" w:type="dxa"/>
          </w:tblCellMar>
          <w:tblLook w:val="0000"/>
        </w:tblPrEx>
        <w:trPr>
          <w:cantSplit/>
        </w:trPr>
        <w:tc>
          <w:tcPr>
            <w:tcW w:w="167" w:type="pct"/>
            <w:vMerge/>
            <w:shd w:val="clear" w:color="auto" w:fill="E0E0E0"/>
          </w:tcPr>
          <w:p w:rsidR="00C554C4" w:rsidRPr="00C554C4" w:rsidP="00C554C4" w14:paraId="5CE17DB7" w14:textId="77777777">
            <w:pPr>
              <w:autoSpaceDE w:val="0"/>
              <w:autoSpaceDN w:val="0"/>
              <w:adjustRightInd w:val="0"/>
              <w:spacing w:after="0" w:line="240" w:lineRule="auto"/>
              <w:rPr>
                <w:rFonts w:ascii="Times New Roman" w:hAnsi="Times New Roman" w:cs="Times New Roman"/>
                <w:color w:val="010205"/>
                <w:sz w:val="20"/>
                <w:szCs w:val="20"/>
              </w:rPr>
            </w:pPr>
          </w:p>
        </w:tc>
        <w:tc>
          <w:tcPr>
            <w:tcW w:w="1160" w:type="pct"/>
            <w:shd w:val="clear" w:color="auto" w:fill="E0E0E0"/>
          </w:tcPr>
          <w:p w:rsidR="00C554C4" w:rsidRPr="00C554C4" w:rsidP="00C554C4" w14:paraId="51A0B8AF" w14:textId="77777777">
            <w:pPr>
              <w:autoSpaceDE w:val="0"/>
              <w:autoSpaceDN w:val="0"/>
              <w:adjustRightInd w:val="0"/>
              <w:spacing w:after="0" w:line="320" w:lineRule="atLeast"/>
              <w:ind w:left="60" w:right="60"/>
              <w:rPr>
                <w:rFonts w:ascii="Times New Roman" w:hAnsi="Times New Roman" w:cs="Times New Roman"/>
                <w:color w:val="264A60"/>
                <w:sz w:val="20"/>
                <w:szCs w:val="20"/>
              </w:rPr>
            </w:pPr>
            <w:r w:rsidRPr="00C554C4">
              <w:rPr>
                <w:rFonts w:ascii="Times New Roman" w:hAnsi="Times New Roman" w:cs="Times New Roman"/>
                <w:color w:val="264A60"/>
                <w:sz w:val="20"/>
                <w:szCs w:val="20"/>
              </w:rPr>
              <w:t>Corporate Social Responsibility</w:t>
            </w:r>
          </w:p>
        </w:tc>
        <w:tc>
          <w:tcPr>
            <w:tcW w:w="610" w:type="pct"/>
            <w:shd w:val="clear" w:color="auto" w:fill="F9F9FB"/>
          </w:tcPr>
          <w:p w:rsidR="00C554C4" w:rsidRPr="00C554C4" w:rsidP="00C554C4" w14:paraId="1DD9FE4C"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-.028</w:t>
            </w:r>
          </w:p>
        </w:tc>
        <w:tc>
          <w:tcPr>
            <w:tcW w:w="1021" w:type="pct"/>
            <w:shd w:val="clear" w:color="auto" w:fill="F9F9FB"/>
          </w:tcPr>
          <w:p w:rsidR="00C554C4" w:rsidRPr="00C554C4" w:rsidP="00C554C4" w14:paraId="4EFD7297"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.025</w:t>
            </w:r>
          </w:p>
        </w:tc>
        <w:tc>
          <w:tcPr>
            <w:tcW w:w="921" w:type="pct"/>
            <w:shd w:val="clear" w:color="auto" w:fill="F9F9FB"/>
          </w:tcPr>
          <w:p w:rsidR="00C554C4" w:rsidRPr="00C554C4" w:rsidP="00C554C4" w14:paraId="6C21E18C"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-.105</w:t>
            </w:r>
          </w:p>
        </w:tc>
        <w:tc>
          <w:tcPr>
            <w:tcW w:w="613" w:type="pct"/>
            <w:shd w:val="clear" w:color="auto" w:fill="F9F9FB"/>
          </w:tcPr>
          <w:p w:rsidR="00C554C4" w:rsidRPr="00C554C4" w:rsidP="00C554C4" w14:paraId="6AD697C4"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-1.126</w:t>
            </w:r>
          </w:p>
        </w:tc>
        <w:tc>
          <w:tcPr>
            <w:tcW w:w="509" w:type="pct"/>
            <w:shd w:val="clear" w:color="auto" w:fill="F9F9FB"/>
          </w:tcPr>
          <w:p w:rsidR="00C554C4" w:rsidRPr="00C554C4" w:rsidP="00C554C4" w14:paraId="45892739" w14:textId="7777777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C554C4">
              <w:rPr>
                <w:rFonts w:ascii="Times New Roman" w:hAnsi="Times New Roman" w:cs="Times New Roman"/>
                <w:color w:val="010205"/>
                <w:sz w:val="20"/>
                <w:szCs w:val="20"/>
              </w:rPr>
              <w:t>.263</w:t>
            </w:r>
          </w:p>
        </w:tc>
      </w:tr>
    </w:tbl>
    <w:p w:rsidR="00C554C4" w:rsidP="00C554C4" w14:paraId="3F51C758" w14:textId="15DD87A2">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C554C4" w:rsidRPr="00C554C4" w:rsidP="00A44C6D" w14:paraId="6F216039" w14:textId="43554777">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I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titik-titik</w:t>
      </w:r>
      <w:r>
        <w:rPr>
          <w:rFonts w:ascii="Times New Roman" w:hAnsi="Times New Roman" w:cs="Times New Roman"/>
          <w:sz w:val="24"/>
          <w:szCs w:val="24"/>
        </w:rPr>
        <w:t xml:space="preserve"> di </w:t>
      </w:r>
      <w:r w:rsidRPr="008937C2">
        <w:rPr>
          <w:rFonts w:ascii="Times New Roman" w:hAnsi="Times New Roman" w:cs="Times New Roman"/>
          <w:i/>
          <w:iCs/>
          <w:sz w:val="24"/>
          <w:szCs w:val="24"/>
        </w:rPr>
        <w:t>scatterplot</w:t>
      </w:r>
      <w:r>
        <w:rPr>
          <w:rFonts w:ascii="Times New Roman" w:hAnsi="Times New Roman" w:cs="Times New Roman"/>
          <w:sz w:val="24"/>
          <w:szCs w:val="24"/>
        </w:rPr>
        <w:t xml:space="preserve"> </w:t>
      </w:r>
      <w:r>
        <w:rPr>
          <w:rFonts w:ascii="Times New Roman" w:hAnsi="Times New Roman" w:cs="Times New Roman"/>
          <w:sz w:val="24"/>
          <w:szCs w:val="24"/>
        </w:rPr>
        <w:t>menyebar</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w:t>
      </w:r>
      <w:r>
        <w:rPr>
          <w:rFonts w:ascii="Times New Roman" w:hAnsi="Times New Roman" w:cs="Times New Roman"/>
          <w:sz w:val="24"/>
          <w:szCs w:val="24"/>
        </w:rPr>
        <w:t>acak</w:t>
      </w:r>
      <w:r>
        <w:rPr>
          <w:rFonts w:ascii="Times New Roman" w:hAnsi="Times New Roman" w:cs="Times New Roman"/>
          <w:sz w:val="24"/>
          <w:szCs w:val="24"/>
        </w:rPr>
        <w:t xml:space="preserve"> </w:t>
      </w:r>
      <w:r>
        <w:rPr>
          <w:rFonts w:ascii="Times New Roman" w:hAnsi="Times New Roman" w:cs="Times New Roman"/>
          <w:sz w:val="24"/>
          <w:szCs w:val="24"/>
        </w:rPr>
        <w:t>serta</w:t>
      </w:r>
      <w:r>
        <w:rPr>
          <w:rFonts w:ascii="Times New Roman" w:hAnsi="Times New Roman" w:cs="Times New Roman"/>
          <w:sz w:val="24"/>
          <w:szCs w:val="24"/>
        </w:rPr>
        <w:t xml:space="preserve"> </w:t>
      </w:r>
      <w:r>
        <w:rPr>
          <w:rFonts w:ascii="Times New Roman" w:hAnsi="Times New Roman" w:cs="Times New Roman"/>
          <w:sz w:val="24"/>
          <w:szCs w:val="24"/>
        </w:rPr>
        <w:t>tersebar</w:t>
      </w:r>
      <w:r>
        <w:rPr>
          <w:rFonts w:ascii="Times New Roman" w:hAnsi="Times New Roman" w:cs="Times New Roman"/>
          <w:sz w:val="24"/>
          <w:szCs w:val="24"/>
        </w:rPr>
        <w:t xml:space="preserve"> di </w:t>
      </w:r>
      <w:r>
        <w:rPr>
          <w:rFonts w:ascii="Times New Roman" w:hAnsi="Times New Roman" w:cs="Times New Roman"/>
          <w:sz w:val="24"/>
          <w:szCs w:val="24"/>
        </w:rPr>
        <w:t>atas</w:t>
      </w:r>
      <w:r>
        <w:rPr>
          <w:rFonts w:ascii="Times New Roman" w:hAnsi="Times New Roman" w:cs="Times New Roman"/>
          <w:sz w:val="24"/>
          <w:szCs w:val="24"/>
        </w:rPr>
        <w:t xml:space="preserve"> </w:t>
      </w:r>
      <w:r>
        <w:rPr>
          <w:rFonts w:ascii="Times New Roman" w:hAnsi="Times New Roman" w:cs="Times New Roman"/>
          <w:sz w:val="24"/>
          <w:szCs w:val="24"/>
        </w:rPr>
        <w:t>maupun</w:t>
      </w:r>
      <w:r>
        <w:rPr>
          <w:rFonts w:ascii="Times New Roman" w:hAnsi="Times New Roman" w:cs="Times New Roman"/>
          <w:sz w:val="24"/>
          <w:szCs w:val="24"/>
        </w:rPr>
        <w:t xml:space="preserve"> di </w:t>
      </w:r>
      <w:r>
        <w:rPr>
          <w:rFonts w:ascii="Times New Roman" w:hAnsi="Times New Roman" w:cs="Times New Roman"/>
          <w:sz w:val="24"/>
          <w:szCs w:val="24"/>
        </w:rPr>
        <w:t>bawah</w:t>
      </w:r>
      <w:r>
        <w:rPr>
          <w:rFonts w:ascii="Times New Roman" w:hAnsi="Times New Roman" w:cs="Times New Roman"/>
          <w:sz w:val="24"/>
          <w:szCs w:val="24"/>
        </w:rPr>
        <w:t xml:space="preserve"> </w:t>
      </w:r>
      <w:r>
        <w:rPr>
          <w:rFonts w:ascii="Times New Roman" w:hAnsi="Times New Roman" w:cs="Times New Roman"/>
          <w:sz w:val="24"/>
          <w:szCs w:val="24"/>
        </w:rPr>
        <w:t>angka</w:t>
      </w:r>
      <w:r>
        <w:rPr>
          <w:rFonts w:ascii="Times New Roman" w:hAnsi="Times New Roman" w:cs="Times New Roman"/>
          <w:sz w:val="24"/>
          <w:szCs w:val="24"/>
        </w:rPr>
        <w:t xml:space="preserve"> 0 pada </w:t>
      </w:r>
      <w:r>
        <w:rPr>
          <w:rFonts w:ascii="Times New Roman" w:hAnsi="Times New Roman" w:cs="Times New Roman"/>
          <w:sz w:val="24"/>
          <w:szCs w:val="24"/>
        </w:rPr>
        <w:t>sumbu</w:t>
      </w:r>
      <w:r>
        <w:rPr>
          <w:rFonts w:ascii="Times New Roman" w:hAnsi="Times New Roman" w:cs="Times New Roman"/>
          <w:sz w:val="24"/>
          <w:szCs w:val="24"/>
        </w:rPr>
        <w:t xml:space="preserve"> Y.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un</w:t>
      </w:r>
      <w:r w:rsidR="001C5178">
        <w:rPr>
          <w:rFonts w:ascii="Times New Roman" w:hAnsi="Times New Roman" w:cs="Times New Roman"/>
          <w:sz w:val="24"/>
          <w:szCs w:val="24"/>
        </w:rPr>
        <w:t>tuk</w:t>
      </w:r>
      <w:r>
        <w:rPr>
          <w:rFonts w:ascii="Times New Roman" w:hAnsi="Times New Roman" w:cs="Times New Roman"/>
          <w:sz w:val="24"/>
          <w:szCs w:val="24"/>
        </w:rPr>
        <w:t xml:space="preserve"> uji </w:t>
      </w:r>
      <w:r>
        <w:rPr>
          <w:rFonts w:ascii="Times New Roman" w:hAnsi="Times New Roman" w:cs="Times New Roman"/>
          <w:sz w:val="24"/>
          <w:szCs w:val="24"/>
        </w:rPr>
        <w:t>menggunakan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glejser</w:t>
      </w:r>
      <w:r>
        <w:rPr>
          <w:rFonts w:ascii="Times New Roman" w:hAnsi="Times New Roman" w:cs="Times New Roman"/>
          <w:sz w:val="24"/>
          <w:szCs w:val="24"/>
        </w:rPr>
        <w:t xml:space="preserve"> juga </w:t>
      </w:r>
      <w:r>
        <w:rPr>
          <w:rFonts w:ascii="Times New Roman" w:hAnsi="Times New Roman" w:cs="Times New Roman"/>
          <w:sz w:val="24"/>
          <w:szCs w:val="24"/>
        </w:rPr>
        <w:t>terlihat</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0,263 &gt; 0,05 yang </w:t>
      </w:r>
      <w:r>
        <w:rPr>
          <w:rFonts w:ascii="Times New Roman" w:hAnsi="Times New Roman" w:cs="Times New Roman"/>
          <w:sz w:val="24"/>
          <w:szCs w:val="24"/>
        </w:rPr>
        <w:t>artinya</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pada uji </w:t>
      </w:r>
      <w:r>
        <w:rPr>
          <w:rFonts w:ascii="Times New Roman" w:hAnsi="Times New Roman" w:cs="Times New Roman"/>
          <w:sz w:val="24"/>
          <w:szCs w:val="24"/>
        </w:rPr>
        <w:t>regresi</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gejala</w:t>
      </w:r>
      <w:r>
        <w:rPr>
          <w:rFonts w:ascii="Times New Roman" w:hAnsi="Times New Roman" w:cs="Times New Roman"/>
          <w:sz w:val="24"/>
          <w:szCs w:val="24"/>
        </w:rPr>
        <w:t xml:space="preserve"> </w:t>
      </w:r>
      <w:r>
        <w:rPr>
          <w:rFonts w:ascii="Times New Roman" w:hAnsi="Times New Roman" w:cs="Times New Roman"/>
          <w:sz w:val="24"/>
          <w:szCs w:val="24"/>
        </w:rPr>
        <w:t>heteroskedastisitas</w:t>
      </w:r>
      <w:r>
        <w:rPr>
          <w:rFonts w:ascii="Times New Roman" w:hAnsi="Times New Roman" w:cs="Times New Roman"/>
          <w:sz w:val="24"/>
          <w:szCs w:val="24"/>
        </w:rPr>
        <w:t>.</w:t>
      </w:r>
    </w:p>
    <w:p w:rsidR="00A44C6D" w:rsidP="00A44C6D" w14:paraId="6F88ADEA" w14:textId="57F21DA7">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38600" cy="2724902"/>
            <wp:effectExtent l="0" t="0" r="0" b="0"/>
            <wp:docPr id="454520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20291"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045292" cy="2729417"/>
                    </a:xfrm>
                    <a:prstGeom prst="rect">
                      <a:avLst/>
                    </a:prstGeom>
                    <a:noFill/>
                    <a:ln>
                      <a:noFill/>
                    </a:ln>
                  </pic:spPr>
                </pic:pic>
              </a:graphicData>
            </a:graphic>
          </wp:inline>
        </w:drawing>
      </w:r>
    </w:p>
    <w:p w:rsidR="00830769" w:rsidP="003E4282" w14:paraId="320EC4E9" w14:textId="18B96B8E">
      <w:pPr>
        <w:autoSpaceDE w:val="0"/>
        <w:autoSpaceDN w:val="0"/>
        <w:adjustRightInd w:val="0"/>
        <w:spacing w:after="0" w:line="240" w:lineRule="auto"/>
        <w:ind w:left="710" w:firstLine="720"/>
        <w:rPr>
          <w:rFonts w:ascii="Times New Roman" w:hAnsi="Times New Roman" w:cs="Times New Roman"/>
          <w:b/>
          <w:bCs/>
          <w:sz w:val="24"/>
          <w:szCs w:val="24"/>
        </w:rPr>
      </w:pPr>
      <w:r w:rsidRPr="003E4282">
        <w:rPr>
          <w:rFonts w:ascii="Times New Roman" w:hAnsi="Times New Roman" w:cs="Times New Roman"/>
          <w:b/>
          <w:bCs/>
          <w:sz w:val="24"/>
          <w:szCs w:val="24"/>
        </w:rPr>
        <w:t>Sumber</w:t>
      </w:r>
      <w:r w:rsidRPr="003E4282">
        <w:rPr>
          <w:rFonts w:ascii="Times New Roman" w:hAnsi="Times New Roman" w:cs="Times New Roman"/>
          <w:b/>
          <w:bCs/>
          <w:sz w:val="24"/>
          <w:szCs w:val="24"/>
        </w:rPr>
        <w:t xml:space="preserve">: Data yang </w:t>
      </w:r>
      <w:r w:rsidRPr="003E4282">
        <w:rPr>
          <w:rFonts w:ascii="Times New Roman" w:hAnsi="Times New Roman" w:cs="Times New Roman"/>
          <w:b/>
          <w:bCs/>
          <w:sz w:val="24"/>
          <w:szCs w:val="24"/>
        </w:rPr>
        <w:t>diolah</w:t>
      </w:r>
      <w:r w:rsidRPr="003E4282">
        <w:rPr>
          <w:rFonts w:ascii="Times New Roman" w:hAnsi="Times New Roman" w:cs="Times New Roman"/>
          <w:b/>
          <w:bCs/>
          <w:sz w:val="24"/>
          <w:szCs w:val="24"/>
        </w:rPr>
        <w:t xml:space="preserve"> SPSS,2024</w:t>
      </w:r>
    </w:p>
    <w:p w:rsidR="003E4282" w:rsidRPr="003E4282" w:rsidP="00830769" w14:paraId="27904335" w14:textId="77777777">
      <w:pPr>
        <w:autoSpaceDE w:val="0"/>
        <w:autoSpaceDN w:val="0"/>
        <w:adjustRightInd w:val="0"/>
        <w:spacing w:after="0" w:line="240" w:lineRule="auto"/>
        <w:ind w:firstLine="720"/>
        <w:rPr>
          <w:rFonts w:ascii="Times New Roman" w:hAnsi="Times New Roman" w:cs="Times New Roman"/>
          <w:b/>
          <w:bCs/>
          <w:sz w:val="24"/>
          <w:szCs w:val="24"/>
        </w:rPr>
      </w:pPr>
    </w:p>
    <w:p w:rsidR="00830769" w:rsidRPr="00A44C6D" w:rsidP="00830769" w14:paraId="17E6F433" w14:textId="77777777">
      <w:pPr>
        <w:autoSpaceDE w:val="0"/>
        <w:autoSpaceDN w:val="0"/>
        <w:adjustRightInd w:val="0"/>
        <w:spacing w:after="0" w:line="276" w:lineRule="auto"/>
        <w:ind w:left="710" w:firstLine="720"/>
        <w:jc w:val="center"/>
        <w:rPr>
          <w:rFonts w:ascii="Times New Roman" w:hAnsi="Times New Roman" w:cs="Times New Roman"/>
          <w:b/>
          <w:bCs/>
          <w:sz w:val="24"/>
          <w:szCs w:val="24"/>
        </w:rPr>
      </w:pPr>
      <w:r w:rsidRPr="00A44C6D">
        <w:rPr>
          <w:rFonts w:ascii="Times New Roman" w:hAnsi="Times New Roman" w:cs="Times New Roman"/>
          <w:b/>
          <w:bCs/>
          <w:sz w:val="24"/>
          <w:szCs w:val="24"/>
        </w:rPr>
        <w:t xml:space="preserve">Gambar </w:t>
      </w:r>
      <w:r>
        <w:rPr>
          <w:rFonts w:ascii="Times New Roman" w:hAnsi="Times New Roman" w:cs="Times New Roman"/>
          <w:b/>
          <w:bCs/>
          <w:sz w:val="24"/>
          <w:szCs w:val="24"/>
        </w:rPr>
        <w:t>11</w:t>
      </w:r>
    </w:p>
    <w:p w:rsidR="00830769" w:rsidP="00830769" w14:paraId="1232FD34" w14:textId="77777777">
      <w:pPr>
        <w:pStyle w:val="ListParagraph"/>
        <w:spacing w:after="0" w:line="276" w:lineRule="auto"/>
        <w:ind w:left="1430"/>
        <w:jc w:val="center"/>
        <w:rPr>
          <w:rFonts w:ascii="Times New Roman" w:hAnsi="Times New Roman" w:cs="Times New Roman"/>
          <w:b/>
          <w:bCs/>
          <w:sz w:val="24"/>
          <w:szCs w:val="24"/>
        </w:rPr>
      </w:pPr>
      <w:r w:rsidRPr="002C2257">
        <w:rPr>
          <w:rFonts w:ascii="Times New Roman" w:hAnsi="Times New Roman" w:cs="Times New Roman"/>
          <w:b/>
          <w:bCs/>
          <w:sz w:val="24"/>
          <w:szCs w:val="24"/>
        </w:rPr>
        <w:t xml:space="preserve">Uji </w:t>
      </w:r>
      <w:r w:rsidRPr="002C2257">
        <w:rPr>
          <w:rFonts w:ascii="Times New Roman" w:hAnsi="Times New Roman" w:cs="Times New Roman"/>
          <w:b/>
          <w:bCs/>
          <w:sz w:val="24"/>
          <w:szCs w:val="24"/>
        </w:rPr>
        <w:t>Heteroskedastisitas</w:t>
      </w:r>
      <w:r w:rsidRPr="002C2257">
        <w:rPr>
          <w:rFonts w:ascii="Times New Roman" w:hAnsi="Times New Roman" w:cs="Times New Roman"/>
          <w:b/>
          <w:bCs/>
          <w:sz w:val="24"/>
          <w:szCs w:val="24"/>
        </w:rPr>
        <w:t xml:space="preserve"> </w:t>
      </w:r>
      <w:r w:rsidRPr="002C2257">
        <w:rPr>
          <w:rFonts w:ascii="Times New Roman" w:hAnsi="Times New Roman" w:cs="Times New Roman"/>
          <w:b/>
          <w:bCs/>
          <w:sz w:val="24"/>
          <w:szCs w:val="24"/>
        </w:rPr>
        <w:t>Menggunakan</w:t>
      </w:r>
      <w:r w:rsidRPr="002C2257">
        <w:rPr>
          <w:rFonts w:ascii="Times New Roman" w:hAnsi="Times New Roman" w:cs="Times New Roman"/>
          <w:b/>
          <w:bCs/>
          <w:sz w:val="24"/>
          <w:szCs w:val="24"/>
        </w:rPr>
        <w:t xml:space="preserve"> Scatterplot Model </w:t>
      </w:r>
      <w:r w:rsidRPr="002C2257">
        <w:rPr>
          <w:rFonts w:ascii="Times New Roman" w:hAnsi="Times New Roman" w:cs="Times New Roman"/>
          <w:b/>
          <w:bCs/>
          <w:sz w:val="24"/>
          <w:szCs w:val="24"/>
        </w:rPr>
        <w:t>Persamaan</w:t>
      </w:r>
      <w:r w:rsidRPr="002C2257">
        <w:rPr>
          <w:rFonts w:ascii="Times New Roman" w:hAnsi="Times New Roman" w:cs="Times New Roman"/>
          <w:b/>
          <w:bCs/>
          <w:sz w:val="24"/>
          <w:szCs w:val="24"/>
        </w:rPr>
        <w:t xml:space="preserve"> </w:t>
      </w:r>
      <w:r>
        <w:rPr>
          <w:rFonts w:ascii="Times New Roman" w:hAnsi="Times New Roman" w:cs="Times New Roman"/>
          <w:b/>
          <w:bCs/>
          <w:sz w:val="24"/>
          <w:szCs w:val="24"/>
        </w:rPr>
        <w:t>II</w:t>
      </w:r>
    </w:p>
    <w:p w:rsidR="00A44C6D" w:rsidP="00A44C6D" w14:paraId="6984D65A" w14:textId="77777777">
      <w:pPr>
        <w:autoSpaceDE w:val="0"/>
        <w:autoSpaceDN w:val="0"/>
        <w:adjustRightInd w:val="0"/>
        <w:spacing w:after="0" w:line="276" w:lineRule="auto"/>
        <w:jc w:val="center"/>
        <w:rPr>
          <w:rFonts w:ascii="Times New Roman" w:hAnsi="Times New Roman" w:cs="Times New Roman"/>
          <w:sz w:val="24"/>
          <w:szCs w:val="24"/>
        </w:rPr>
      </w:pPr>
    </w:p>
    <w:p w:rsidR="00A44C6D" w:rsidP="00A44C6D" w14:paraId="4E1EA899" w14:textId="2FDD4560">
      <w:pPr>
        <w:pStyle w:val="ListParagraph"/>
        <w:spacing w:after="0" w:line="276" w:lineRule="auto"/>
        <w:ind w:left="1430"/>
        <w:jc w:val="center"/>
        <w:rPr>
          <w:rFonts w:ascii="Times New Roman" w:hAnsi="Times New Roman" w:cs="Times New Roman"/>
          <w:b/>
          <w:bCs/>
          <w:sz w:val="24"/>
          <w:szCs w:val="24"/>
        </w:rPr>
      </w:pPr>
      <w:r>
        <w:rPr>
          <w:rFonts w:ascii="Times New Roman" w:hAnsi="Times New Roman" w:cs="Times New Roman"/>
          <w:b/>
          <w:bCs/>
          <w:sz w:val="24"/>
          <w:szCs w:val="24"/>
        </w:rPr>
        <w:t>Tabel 1</w:t>
      </w:r>
      <w:r w:rsidR="00E20D14">
        <w:rPr>
          <w:rFonts w:ascii="Times New Roman" w:hAnsi="Times New Roman" w:cs="Times New Roman"/>
          <w:b/>
          <w:bCs/>
          <w:sz w:val="24"/>
          <w:szCs w:val="24"/>
        </w:rPr>
        <w:t>6</w:t>
      </w:r>
    </w:p>
    <w:p w:rsidR="00A44C6D" w:rsidRPr="00A44C6D" w:rsidP="00A44C6D" w14:paraId="200855DB" w14:textId="019779C7">
      <w:pPr>
        <w:pStyle w:val="ListParagraph"/>
        <w:spacing w:after="0" w:line="276" w:lineRule="auto"/>
        <w:ind w:left="1430"/>
        <w:jc w:val="center"/>
        <w:rPr>
          <w:rFonts w:ascii="Times New Roman" w:hAnsi="Times New Roman" w:cs="Times New Roman"/>
          <w:b/>
          <w:bCs/>
          <w:sz w:val="24"/>
          <w:szCs w:val="24"/>
        </w:rPr>
      </w:pPr>
      <w:r>
        <w:rPr>
          <w:rFonts w:ascii="Times New Roman" w:hAnsi="Times New Roman" w:cs="Times New Roman"/>
          <w:b/>
          <w:bCs/>
          <w:sz w:val="24"/>
          <w:szCs w:val="24"/>
        </w:rPr>
        <w:t xml:space="preserve">Metode </w:t>
      </w:r>
      <w:r>
        <w:rPr>
          <w:rFonts w:ascii="Times New Roman" w:hAnsi="Times New Roman" w:cs="Times New Roman"/>
          <w:b/>
          <w:bCs/>
          <w:sz w:val="24"/>
          <w:szCs w:val="24"/>
        </w:rPr>
        <w:t>Glejser</w:t>
      </w:r>
      <w:r>
        <w:rPr>
          <w:rFonts w:ascii="Times New Roman" w:hAnsi="Times New Roman" w:cs="Times New Roman"/>
          <w:b/>
          <w:bCs/>
          <w:sz w:val="24"/>
          <w:szCs w:val="24"/>
        </w:rPr>
        <w:t xml:space="preserve"> </w:t>
      </w:r>
      <w:r>
        <w:rPr>
          <w:rFonts w:ascii="Times New Roman" w:hAnsi="Times New Roman" w:cs="Times New Roman"/>
          <w:b/>
          <w:bCs/>
          <w:sz w:val="24"/>
          <w:szCs w:val="24"/>
        </w:rPr>
        <w:t>Persamaan</w:t>
      </w:r>
      <w:r>
        <w:rPr>
          <w:rFonts w:ascii="Times New Roman" w:hAnsi="Times New Roman" w:cs="Times New Roman"/>
          <w:b/>
          <w:bCs/>
          <w:sz w:val="24"/>
          <w:szCs w:val="24"/>
        </w:rPr>
        <w:t xml:space="preserve"> II</w:t>
      </w:r>
    </w:p>
    <w:tbl>
      <w:tblPr>
        <w:tblW w:w="461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1"/>
        <w:gridCol w:w="1599"/>
        <w:gridCol w:w="1288"/>
        <w:gridCol w:w="1296"/>
        <w:gridCol w:w="1224"/>
        <w:gridCol w:w="840"/>
        <w:gridCol w:w="842"/>
      </w:tblGrid>
      <w:tr w14:paraId="767E6378" w14:textId="77777777" w:rsidTr="001C5178">
        <w:tblPrEx>
          <w:tblW w:w="4617"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A44C6D" w:rsidRPr="00A44C6D" w:rsidP="00A44C6D" w14:paraId="7AD27278"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44C6D">
              <w:rPr>
                <w:rFonts w:ascii="Times New Roman" w:hAnsi="Times New Roman" w:cs="Times New Roman"/>
                <w:b/>
                <w:bCs/>
                <w:color w:val="010205"/>
                <w:sz w:val="20"/>
                <w:szCs w:val="20"/>
              </w:rPr>
              <w:t>Coefficients</w:t>
            </w:r>
            <w:r w:rsidRPr="00A44C6D">
              <w:rPr>
                <w:rFonts w:ascii="Times New Roman" w:hAnsi="Times New Roman" w:cs="Times New Roman"/>
                <w:b/>
                <w:bCs/>
                <w:color w:val="010205"/>
                <w:sz w:val="20"/>
                <w:szCs w:val="20"/>
                <w:vertAlign w:val="superscript"/>
              </w:rPr>
              <w:t>a</w:t>
            </w:r>
          </w:p>
        </w:tc>
      </w:tr>
      <w:tr w14:paraId="02FD2B9F" w14:textId="77777777" w:rsidTr="001C5178">
        <w:tblPrEx>
          <w:tblW w:w="4617" w:type="pct"/>
          <w:tblInd w:w="988" w:type="dxa"/>
          <w:tblCellMar>
            <w:left w:w="0" w:type="dxa"/>
            <w:right w:w="0" w:type="dxa"/>
          </w:tblCellMar>
          <w:tblLook w:val="0000"/>
        </w:tblPrEx>
        <w:trPr>
          <w:cantSplit/>
        </w:trPr>
        <w:tc>
          <w:tcPr>
            <w:tcW w:w="1250" w:type="pct"/>
            <w:gridSpan w:val="2"/>
            <w:vMerge w:val="restart"/>
            <w:shd w:val="clear" w:color="auto" w:fill="FFFFFF"/>
            <w:vAlign w:val="bottom"/>
          </w:tcPr>
          <w:p w:rsidR="00A44C6D" w:rsidRPr="00A44C6D" w:rsidP="00A44C6D" w14:paraId="69BAF8C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4C6D">
              <w:rPr>
                <w:rFonts w:ascii="Times New Roman" w:hAnsi="Times New Roman" w:cs="Times New Roman"/>
                <w:color w:val="264A60"/>
                <w:sz w:val="20"/>
                <w:szCs w:val="20"/>
              </w:rPr>
              <w:t>Model</w:t>
            </w:r>
          </w:p>
        </w:tc>
        <w:tc>
          <w:tcPr>
            <w:tcW w:w="1765" w:type="pct"/>
            <w:gridSpan w:val="2"/>
            <w:shd w:val="clear" w:color="auto" w:fill="FFFFFF"/>
            <w:vAlign w:val="bottom"/>
          </w:tcPr>
          <w:p w:rsidR="00A44C6D" w:rsidRPr="00A44C6D" w:rsidP="00A44C6D" w14:paraId="44E7438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Unstandardized Coefficients</w:t>
            </w:r>
          </w:p>
        </w:tc>
        <w:tc>
          <w:tcPr>
            <w:tcW w:w="836" w:type="pct"/>
            <w:shd w:val="clear" w:color="auto" w:fill="FFFFFF"/>
            <w:vAlign w:val="bottom"/>
          </w:tcPr>
          <w:p w:rsidR="00A44C6D" w:rsidRPr="00A44C6D" w:rsidP="00A44C6D" w14:paraId="7715C22B"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Standardized Coefficients</w:t>
            </w:r>
          </w:p>
        </w:tc>
        <w:tc>
          <w:tcPr>
            <w:tcW w:w="574" w:type="pct"/>
            <w:vMerge w:val="restart"/>
            <w:shd w:val="clear" w:color="auto" w:fill="FFFFFF"/>
            <w:vAlign w:val="bottom"/>
          </w:tcPr>
          <w:p w:rsidR="00A44C6D" w:rsidRPr="00A44C6D" w:rsidP="00A44C6D" w14:paraId="18C6D3B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t</w:t>
            </w:r>
          </w:p>
        </w:tc>
        <w:tc>
          <w:tcPr>
            <w:tcW w:w="575" w:type="pct"/>
            <w:vMerge w:val="restart"/>
            <w:shd w:val="clear" w:color="auto" w:fill="FFFFFF"/>
            <w:vAlign w:val="bottom"/>
          </w:tcPr>
          <w:p w:rsidR="00A44C6D" w:rsidRPr="00A44C6D" w:rsidP="00A44C6D" w14:paraId="1EB4390B"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Sig.</w:t>
            </w:r>
          </w:p>
        </w:tc>
      </w:tr>
      <w:tr w14:paraId="4F5DBDB3" w14:textId="77777777" w:rsidTr="001C5178">
        <w:tblPrEx>
          <w:tblW w:w="4617" w:type="pct"/>
          <w:tblInd w:w="988" w:type="dxa"/>
          <w:tblCellMar>
            <w:left w:w="0" w:type="dxa"/>
            <w:right w:w="0" w:type="dxa"/>
          </w:tblCellMar>
          <w:tblLook w:val="0000"/>
        </w:tblPrEx>
        <w:trPr>
          <w:cantSplit/>
        </w:trPr>
        <w:tc>
          <w:tcPr>
            <w:tcW w:w="1250" w:type="pct"/>
            <w:gridSpan w:val="2"/>
            <w:vMerge/>
            <w:shd w:val="clear" w:color="auto" w:fill="FFFFFF"/>
            <w:vAlign w:val="bottom"/>
          </w:tcPr>
          <w:p w:rsidR="00A44C6D" w:rsidRPr="00A44C6D" w:rsidP="00A44C6D" w14:paraId="457F3752" w14:textId="77777777">
            <w:pPr>
              <w:autoSpaceDE w:val="0"/>
              <w:autoSpaceDN w:val="0"/>
              <w:adjustRightInd w:val="0"/>
              <w:spacing w:after="0" w:line="240" w:lineRule="auto"/>
              <w:rPr>
                <w:rFonts w:ascii="Times New Roman" w:hAnsi="Times New Roman" w:cs="Times New Roman"/>
                <w:color w:val="264A60"/>
                <w:sz w:val="20"/>
                <w:szCs w:val="20"/>
              </w:rPr>
            </w:pPr>
          </w:p>
        </w:tc>
        <w:tc>
          <w:tcPr>
            <w:tcW w:w="880" w:type="pct"/>
            <w:shd w:val="clear" w:color="auto" w:fill="FFFFFF"/>
            <w:vAlign w:val="bottom"/>
          </w:tcPr>
          <w:p w:rsidR="00A44C6D" w:rsidRPr="00A44C6D" w:rsidP="00A44C6D" w14:paraId="3C7A2659"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B</w:t>
            </w:r>
          </w:p>
        </w:tc>
        <w:tc>
          <w:tcPr>
            <w:tcW w:w="885" w:type="pct"/>
            <w:shd w:val="clear" w:color="auto" w:fill="FFFFFF"/>
            <w:vAlign w:val="bottom"/>
          </w:tcPr>
          <w:p w:rsidR="00A44C6D" w:rsidRPr="00A44C6D" w:rsidP="00A44C6D" w14:paraId="351E01D8"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Std. Error</w:t>
            </w:r>
          </w:p>
        </w:tc>
        <w:tc>
          <w:tcPr>
            <w:tcW w:w="836" w:type="pct"/>
            <w:shd w:val="clear" w:color="auto" w:fill="FFFFFF"/>
            <w:vAlign w:val="bottom"/>
          </w:tcPr>
          <w:p w:rsidR="00A44C6D" w:rsidRPr="00A44C6D" w:rsidP="00A44C6D" w14:paraId="5B39895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4C6D">
              <w:rPr>
                <w:rFonts w:ascii="Times New Roman" w:hAnsi="Times New Roman" w:cs="Times New Roman"/>
                <w:color w:val="264A60"/>
                <w:sz w:val="20"/>
                <w:szCs w:val="20"/>
              </w:rPr>
              <w:t>Beta</w:t>
            </w:r>
          </w:p>
        </w:tc>
        <w:tc>
          <w:tcPr>
            <w:tcW w:w="574" w:type="pct"/>
            <w:vMerge/>
            <w:shd w:val="clear" w:color="auto" w:fill="FFFFFF"/>
            <w:vAlign w:val="bottom"/>
          </w:tcPr>
          <w:p w:rsidR="00A44C6D" w:rsidRPr="00A44C6D" w:rsidP="00A44C6D" w14:paraId="4955DE10" w14:textId="77777777">
            <w:pPr>
              <w:autoSpaceDE w:val="0"/>
              <w:autoSpaceDN w:val="0"/>
              <w:adjustRightInd w:val="0"/>
              <w:spacing w:after="0" w:line="240" w:lineRule="auto"/>
              <w:rPr>
                <w:rFonts w:ascii="Times New Roman" w:hAnsi="Times New Roman" w:cs="Times New Roman"/>
                <w:color w:val="264A60"/>
                <w:sz w:val="20"/>
                <w:szCs w:val="20"/>
              </w:rPr>
            </w:pPr>
          </w:p>
        </w:tc>
        <w:tc>
          <w:tcPr>
            <w:tcW w:w="575" w:type="pct"/>
            <w:vMerge/>
            <w:shd w:val="clear" w:color="auto" w:fill="FFFFFF"/>
            <w:vAlign w:val="bottom"/>
          </w:tcPr>
          <w:p w:rsidR="00A44C6D" w:rsidRPr="00A44C6D" w:rsidP="00A44C6D" w14:paraId="7E34EC64" w14:textId="77777777">
            <w:pPr>
              <w:autoSpaceDE w:val="0"/>
              <w:autoSpaceDN w:val="0"/>
              <w:adjustRightInd w:val="0"/>
              <w:spacing w:after="0" w:line="240" w:lineRule="auto"/>
              <w:rPr>
                <w:rFonts w:ascii="Times New Roman" w:hAnsi="Times New Roman" w:cs="Times New Roman"/>
                <w:color w:val="264A60"/>
                <w:sz w:val="20"/>
                <w:szCs w:val="20"/>
              </w:rPr>
            </w:pPr>
          </w:p>
        </w:tc>
      </w:tr>
      <w:tr w14:paraId="0A46EC0D" w14:textId="77777777" w:rsidTr="001C5178">
        <w:tblPrEx>
          <w:tblW w:w="4617" w:type="pct"/>
          <w:tblInd w:w="988" w:type="dxa"/>
          <w:tblCellMar>
            <w:left w:w="0" w:type="dxa"/>
            <w:right w:w="0" w:type="dxa"/>
          </w:tblCellMar>
          <w:tblLook w:val="0000"/>
        </w:tblPrEx>
        <w:trPr>
          <w:cantSplit/>
        </w:trPr>
        <w:tc>
          <w:tcPr>
            <w:tcW w:w="158" w:type="pct"/>
            <w:vMerge w:val="restart"/>
            <w:shd w:val="clear" w:color="auto" w:fill="E0E0E0"/>
          </w:tcPr>
          <w:p w:rsidR="00A44C6D" w:rsidRPr="00A44C6D" w:rsidP="00A44C6D" w14:paraId="5A436227"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4C6D">
              <w:rPr>
                <w:rFonts w:ascii="Times New Roman" w:hAnsi="Times New Roman" w:cs="Times New Roman"/>
                <w:color w:val="264A60"/>
                <w:sz w:val="20"/>
                <w:szCs w:val="20"/>
              </w:rPr>
              <w:t>1</w:t>
            </w:r>
          </w:p>
        </w:tc>
        <w:tc>
          <w:tcPr>
            <w:tcW w:w="1092" w:type="pct"/>
            <w:shd w:val="clear" w:color="auto" w:fill="E0E0E0"/>
          </w:tcPr>
          <w:p w:rsidR="00A44C6D" w:rsidRPr="00A44C6D" w:rsidP="00A44C6D" w14:paraId="6619621C"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4C6D">
              <w:rPr>
                <w:rFonts w:ascii="Times New Roman" w:hAnsi="Times New Roman" w:cs="Times New Roman"/>
                <w:color w:val="264A60"/>
                <w:sz w:val="20"/>
                <w:szCs w:val="20"/>
              </w:rPr>
              <w:t>(Constant)</w:t>
            </w:r>
          </w:p>
        </w:tc>
        <w:tc>
          <w:tcPr>
            <w:tcW w:w="880" w:type="pct"/>
            <w:shd w:val="clear" w:color="auto" w:fill="F9F9FB"/>
          </w:tcPr>
          <w:p w:rsidR="00A44C6D" w:rsidRPr="00A44C6D" w:rsidP="00A44C6D" w14:paraId="76D5B43F"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.724</w:t>
            </w:r>
          </w:p>
        </w:tc>
        <w:tc>
          <w:tcPr>
            <w:tcW w:w="885" w:type="pct"/>
            <w:shd w:val="clear" w:color="auto" w:fill="F9F9FB"/>
          </w:tcPr>
          <w:p w:rsidR="00A44C6D" w:rsidRPr="00A44C6D" w:rsidP="00A44C6D" w14:paraId="7F70BA3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.237</w:t>
            </w:r>
          </w:p>
        </w:tc>
        <w:tc>
          <w:tcPr>
            <w:tcW w:w="836" w:type="pct"/>
            <w:shd w:val="clear" w:color="auto" w:fill="F9F9FB"/>
            <w:vAlign w:val="center"/>
          </w:tcPr>
          <w:p w:rsidR="00A44C6D" w:rsidRPr="00A44C6D" w:rsidP="00A44C6D" w14:paraId="22A3B375" w14:textId="77777777">
            <w:pPr>
              <w:autoSpaceDE w:val="0"/>
              <w:autoSpaceDN w:val="0"/>
              <w:adjustRightInd w:val="0"/>
              <w:spacing w:after="0" w:line="240" w:lineRule="auto"/>
              <w:rPr>
                <w:rFonts w:ascii="Times New Roman" w:hAnsi="Times New Roman" w:cs="Times New Roman"/>
                <w:sz w:val="20"/>
                <w:szCs w:val="20"/>
              </w:rPr>
            </w:pPr>
          </w:p>
        </w:tc>
        <w:tc>
          <w:tcPr>
            <w:tcW w:w="574" w:type="pct"/>
            <w:shd w:val="clear" w:color="auto" w:fill="F9F9FB"/>
          </w:tcPr>
          <w:p w:rsidR="00A44C6D" w:rsidRPr="00A44C6D" w:rsidP="00A44C6D" w14:paraId="7D28584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3.056</w:t>
            </w:r>
          </w:p>
        </w:tc>
        <w:tc>
          <w:tcPr>
            <w:tcW w:w="575" w:type="pct"/>
            <w:shd w:val="clear" w:color="auto" w:fill="F9F9FB"/>
          </w:tcPr>
          <w:p w:rsidR="00A44C6D" w:rsidRPr="00A44C6D" w:rsidP="00A44C6D" w14:paraId="0FCEC42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.003</w:t>
            </w:r>
          </w:p>
        </w:tc>
      </w:tr>
      <w:tr w14:paraId="49738E20" w14:textId="77777777" w:rsidTr="001C5178">
        <w:tblPrEx>
          <w:tblW w:w="4617" w:type="pct"/>
          <w:tblInd w:w="988" w:type="dxa"/>
          <w:tblCellMar>
            <w:left w:w="0" w:type="dxa"/>
            <w:right w:w="0" w:type="dxa"/>
          </w:tblCellMar>
          <w:tblLook w:val="0000"/>
        </w:tblPrEx>
        <w:trPr>
          <w:cantSplit/>
        </w:trPr>
        <w:tc>
          <w:tcPr>
            <w:tcW w:w="158" w:type="pct"/>
            <w:vMerge/>
            <w:shd w:val="clear" w:color="auto" w:fill="E0E0E0"/>
          </w:tcPr>
          <w:p w:rsidR="00A44C6D" w:rsidRPr="00A44C6D" w:rsidP="00A44C6D" w14:paraId="5DDA5BD4" w14:textId="77777777">
            <w:pPr>
              <w:autoSpaceDE w:val="0"/>
              <w:autoSpaceDN w:val="0"/>
              <w:adjustRightInd w:val="0"/>
              <w:spacing w:after="0" w:line="240" w:lineRule="auto"/>
              <w:rPr>
                <w:rFonts w:ascii="Times New Roman" w:hAnsi="Times New Roman" w:cs="Times New Roman"/>
                <w:color w:val="010205"/>
                <w:sz w:val="20"/>
                <w:szCs w:val="20"/>
              </w:rPr>
            </w:pPr>
          </w:p>
        </w:tc>
        <w:tc>
          <w:tcPr>
            <w:tcW w:w="1092" w:type="pct"/>
            <w:shd w:val="clear" w:color="auto" w:fill="E0E0E0"/>
          </w:tcPr>
          <w:p w:rsidR="00A44C6D" w:rsidRPr="00A44C6D" w:rsidP="00A44C6D" w14:paraId="1D01BB3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4C6D">
              <w:rPr>
                <w:rFonts w:ascii="Times New Roman" w:hAnsi="Times New Roman" w:cs="Times New Roman"/>
                <w:color w:val="264A60"/>
                <w:sz w:val="20"/>
                <w:szCs w:val="20"/>
              </w:rPr>
              <w:t>Corporate Social Responsibility</w:t>
            </w:r>
          </w:p>
        </w:tc>
        <w:tc>
          <w:tcPr>
            <w:tcW w:w="880" w:type="pct"/>
            <w:shd w:val="clear" w:color="auto" w:fill="F9F9FB"/>
          </w:tcPr>
          <w:p w:rsidR="00A44C6D" w:rsidRPr="00A44C6D" w:rsidP="00A44C6D" w14:paraId="6677253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-.011</w:t>
            </w:r>
          </w:p>
        </w:tc>
        <w:tc>
          <w:tcPr>
            <w:tcW w:w="885" w:type="pct"/>
            <w:shd w:val="clear" w:color="auto" w:fill="F9F9FB"/>
          </w:tcPr>
          <w:p w:rsidR="00A44C6D" w:rsidRPr="00A44C6D" w:rsidP="00A44C6D" w14:paraId="03DB5D5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.007</w:t>
            </w:r>
          </w:p>
        </w:tc>
        <w:tc>
          <w:tcPr>
            <w:tcW w:w="836" w:type="pct"/>
            <w:shd w:val="clear" w:color="auto" w:fill="F9F9FB"/>
          </w:tcPr>
          <w:p w:rsidR="00A44C6D" w:rsidRPr="00A44C6D" w:rsidP="00A44C6D" w14:paraId="11997CF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-.322</w:t>
            </w:r>
          </w:p>
        </w:tc>
        <w:tc>
          <w:tcPr>
            <w:tcW w:w="574" w:type="pct"/>
            <w:shd w:val="clear" w:color="auto" w:fill="F9F9FB"/>
          </w:tcPr>
          <w:p w:rsidR="00A44C6D" w:rsidRPr="00A44C6D" w:rsidP="00A44C6D" w14:paraId="485C1B2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-1.632</w:t>
            </w:r>
          </w:p>
        </w:tc>
        <w:tc>
          <w:tcPr>
            <w:tcW w:w="575" w:type="pct"/>
            <w:shd w:val="clear" w:color="auto" w:fill="F9F9FB"/>
          </w:tcPr>
          <w:p w:rsidR="00A44C6D" w:rsidRPr="00A44C6D" w:rsidP="00A44C6D" w14:paraId="108B421A"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.105</w:t>
            </w:r>
          </w:p>
        </w:tc>
      </w:tr>
      <w:tr w14:paraId="038AF211" w14:textId="77777777" w:rsidTr="001C5178">
        <w:tblPrEx>
          <w:tblW w:w="4617" w:type="pct"/>
          <w:tblInd w:w="988" w:type="dxa"/>
          <w:tblCellMar>
            <w:left w:w="0" w:type="dxa"/>
            <w:right w:w="0" w:type="dxa"/>
          </w:tblCellMar>
          <w:tblLook w:val="0000"/>
        </w:tblPrEx>
        <w:trPr>
          <w:cantSplit/>
        </w:trPr>
        <w:tc>
          <w:tcPr>
            <w:tcW w:w="158" w:type="pct"/>
            <w:vMerge/>
            <w:shd w:val="clear" w:color="auto" w:fill="E0E0E0"/>
          </w:tcPr>
          <w:p w:rsidR="00A44C6D" w:rsidRPr="00A44C6D" w:rsidP="00A44C6D" w14:paraId="712041AE" w14:textId="77777777">
            <w:pPr>
              <w:autoSpaceDE w:val="0"/>
              <w:autoSpaceDN w:val="0"/>
              <w:adjustRightInd w:val="0"/>
              <w:spacing w:after="0" w:line="240" w:lineRule="auto"/>
              <w:rPr>
                <w:rFonts w:ascii="Times New Roman" w:hAnsi="Times New Roman" w:cs="Times New Roman"/>
                <w:color w:val="010205"/>
                <w:sz w:val="20"/>
                <w:szCs w:val="20"/>
              </w:rPr>
            </w:pPr>
          </w:p>
        </w:tc>
        <w:tc>
          <w:tcPr>
            <w:tcW w:w="1092" w:type="pct"/>
            <w:shd w:val="clear" w:color="auto" w:fill="E0E0E0"/>
          </w:tcPr>
          <w:p w:rsidR="00A44C6D" w:rsidRPr="00A44C6D" w:rsidP="00A44C6D" w14:paraId="7D84AB2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4C6D">
              <w:rPr>
                <w:rFonts w:ascii="Times New Roman" w:hAnsi="Times New Roman" w:cs="Times New Roman"/>
                <w:color w:val="264A60"/>
                <w:sz w:val="20"/>
                <w:szCs w:val="20"/>
              </w:rPr>
              <w:t>Green Banking</w:t>
            </w:r>
          </w:p>
        </w:tc>
        <w:tc>
          <w:tcPr>
            <w:tcW w:w="880" w:type="pct"/>
            <w:shd w:val="clear" w:color="auto" w:fill="F9F9FB"/>
          </w:tcPr>
          <w:p w:rsidR="00A44C6D" w:rsidRPr="00A44C6D" w:rsidP="00A44C6D" w14:paraId="65A76D4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.008</w:t>
            </w:r>
          </w:p>
        </w:tc>
        <w:tc>
          <w:tcPr>
            <w:tcW w:w="885" w:type="pct"/>
            <w:shd w:val="clear" w:color="auto" w:fill="F9F9FB"/>
          </w:tcPr>
          <w:p w:rsidR="00A44C6D" w:rsidRPr="00A44C6D" w:rsidP="00A44C6D" w14:paraId="63193DB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.007</w:t>
            </w:r>
          </w:p>
        </w:tc>
        <w:tc>
          <w:tcPr>
            <w:tcW w:w="836" w:type="pct"/>
            <w:shd w:val="clear" w:color="auto" w:fill="F9F9FB"/>
          </w:tcPr>
          <w:p w:rsidR="00A44C6D" w:rsidRPr="00A44C6D" w:rsidP="00A44C6D" w14:paraId="5A60D93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.230</w:t>
            </w:r>
          </w:p>
        </w:tc>
        <w:tc>
          <w:tcPr>
            <w:tcW w:w="574" w:type="pct"/>
            <w:shd w:val="clear" w:color="auto" w:fill="F9F9FB"/>
          </w:tcPr>
          <w:p w:rsidR="00A44C6D" w:rsidRPr="00A44C6D" w:rsidP="00A44C6D" w14:paraId="507AD18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1.162</w:t>
            </w:r>
          </w:p>
        </w:tc>
        <w:tc>
          <w:tcPr>
            <w:tcW w:w="575" w:type="pct"/>
            <w:shd w:val="clear" w:color="auto" w:fill="F9F9FB"/>
          </w:tcPr>
          <w:p w:rsidR="00A44C6D" w:rsidRPr="00A44C6D" w:rsidP="00A44C6D" w14:paraId="12C3FB4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4C6D">
              <w:rPr>
                <w:rFonts w:ascii="Times New Roman" w:hAnsi="Times New Roman" w:cs="Times New Roman"/>
                <w:color w:val="010205"/>
                <w:sz w:val="20"/>
                <w:szCs w:val="20"/>
              </w:rPr>
              <w:t>.248</w:t>
            </w:r>
          </w:p>
        </w:tc>
      </w:tr>
      <w:tr w14:paraId="1AEEBE52" w14:textId="77777777" w:rsidTr="001C5178">
        <w:tblPrEx>
          <w:tblW w:w="4617" w:type="pct"/>
          <w:tblInd w:w="988" w:type="dxa"/>
          <w:tblCellMar>
            <w:left w:w="0" w:type="dxa"/>
            <w:right w:w="0" w:type="dxa"/>
          </w:tblCellMar>
          <w:tblLook w:val="0000"/>
        </w:tblPrEx>
        <w:trPr>
          <w:cantSplit/>
        </w:trPr>
        <w:tc>
          <w:tcPr>
            <w:tcW w:w="5000" w:type="pct"/>
            <w:gridSpan w:val="7"/>
            <w:shd w:val="clear" w:color="auto" w:fill="FFFFFF"/>
          </w:tcPr>
          <w:p w:rsidR="00A44C6D" w:rsidRPr="00A44C6D" w:rsidP="00A44C6D" w14:paraId="0475168C"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A44C6D">
              <w:rPr>
                <w:rFonts w:ascii="Times New Roman" w:hAnsi="Times New Roman" w:cs="Times New Roman"/>
                <w:color w:val="010205"/>
                <w:sz w:val="20"/>
                <w:szCs w:val="20"/>
              </w:rPr>
              <w:t>a. Dependent Variable: Abs_res2</w:t>
            </w:r>
          </w:p>
        </w:tc>
      </w:tr>
    </w:tbl>
    <w:p w:rsidR="001C5178" w:rsidP="001C5178" w14:paraId="7A9F49FD" w14:textId="646F031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2C2257" w:rsidRPr="001C5178" w:rsidP="001C5178" w14:paraId="56E83492" w14:textId="3933FBEE">
      <w:pPr>
        <w:autoSpaceDE w:val="0"/>
        <w:autoSpaceDN w:val="0"/>
        <w:adjustRightInd w:val="0"/>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II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Pr>
          <w:rFonts w:ascii="Times New Roman" w:hAnsi="Times New Roman" w:cs="Times New Roman"/>
          <w:sz w:val="24"/>
          <w:szCs w:val="24"/>
        </w:rPr>
        <w:t>titik-titik</w:t>
      </w:r>
      <w:r>
        <w:rPr>
          <w:rFonts w:ascii="Times New Roman" w:hAnsi="Times New Roman" w:cs="Times New Roman"/>
          <w:sz w:val="24"/>
          <w:szCs w:val="24"/>
        </w:rPr>
        <w:t xml:space="preserve"> di </w:t>
      </w:r>
      <w:r w:rsidRPr="008937C2">
        <w:rPr>
          <w:rFonts w:ascii="Times New Roman" w:hAnsi="Times New Roman" w:cs="Times New Roman"/>
          <w:i/>
          <w:iCs/>
          <w:sz w:val="24"/>
          <w:szCs w:val="24"/>
        </w:rPr>
        <w:t xml:space="preserve">scatterplot </w:t>
      </w:r>
      <w:r>
        <w:rPr>
          <w:rFonts w:ascii="Times New Roman" w:hAnsi="Times New Roman" w:cs="Times New Roman"/>
          <w:sz w:val="24"/>
          <w:szCs w:val="24"/>
        </w:rPr>
        <w:t>menyebar</w:t>
      </w:r>
      <w:r>
        <w:rPr>
          <w:rFonts w:ascii="Times New Roman" w:hAnsi="Times New Roman" w:cs="Times New Roman"/>
          <w:sz w:val="24"/>
          <w:szCs w:val="24"/>
        </w:rPr>
        <w:t xml:space="preserve"> </w:t>
      </w:r>
      <w:r>
        <w:rPr>
          <w:rFonts w:ascii="Times New Roman" w:hAnsi="Times New Roman" w:cs="Times New Roman"/>
          <w:sz w:val="24"/>
          <w:szCs w:val="24"/>
        </w:rPr>
        <w:t>secara</w:t>
      </w:r>
      <w:r>
        <w:rPr>
          <w:rFonts w:ascii="Times New Roman" w:hAnsi="Times New Roman" w:cs="Times New Roman"/>
          <w:sz w:val="24"/>
          <w:szCs w:val="24"/>
        </w:rPr>
        <w:t xml:space="preserve"> </w:t>
      </w:r>
      <w:r>
        <w:rPr>
          <w:rFonts w:ascii="Times New Roman" w:hAnsi="Times New Roman" w:cs="Times New Roman"/>
          <w:sz w:val="24"/>
          <w:szCs w:val="24"/>
        </w:rPr>
        <w:t>acak</w:t>
      </w:r>
      <w:r>
        <w:rPr>
          <w:rFonts w:ascii="Times New Roman" w:hAnsi="Times New Roman" w:cs="Times New Roman"/>
          <w:sz w:val="24"/>
          <w:szCs w:val="24"/>
        </w:rPr>
        <w:t xml:space="preserve"> </w:t>
      </w:r>
      <w:r>
        <w:rPr>
          <w:rFonts w:ascii="Times New Roman" w:hAnsi="Times New Roman" w:cs="Times New Roman"/>
          <w:sz w:val="24"/>
          <w:szCs w:val="24"/>
        </w:rPr>
        <w:t>serta</w:t>
      </w:r>
      <w:r>
        <w:rPr>
          <w:rFonts w:ascii="Times New Roman" w:hAnsi="Times New Roman" w:cs="Times New Roman"/>
          <w:sz w:val="24"/>
          <w:szCs w:val="24"/>
        </w:rPr>
        <w:t xml:space="preserve"> </w:t>
      </w:r>
      <w:r>
        <w:rPr>
          <w:rFonts w:ascii="Times New Roman" w:hAnsi="Times New Roman" w:cs="Times New Roman"/>
          <w:sz w:val="24"/>
          <w:szCs w:val="24"/>
        </w:rPr>
        <w:t>tersebar</w:t>
      </w:r>
      <w:r>
        <w:rPr>
          <w:rFonts w:ascii="Times New Roman" w:hAnsi="Times New Roman" w:cs="Times New Roman"/>
          <w:sz w:val="24"/>
          <w:szCs w:val="24"/>
        </w:rPr>
        <w:t xml:space="preserve"> di </w:t>
      </w:r>
      <w:r>
        <w:rPr>
          <w:rFonts w:ascii="Times New Roman" w:hAnsi="Times New Roman" w:cs="Times New Roman"/>
          <w:sz w:val="24"/>
          <w:szCs w:val="24"/>
        </w:rPr>
        <w:t>atas</w:t>
      </w:r>
      <w:r>
        <w:rPr>
          <w:rFonts w:ascii="Times New Roman" w:hAnsi="Times New Roman" w:cs="Times New Roman"/>
          <w:sz w:val="24"/>
          <w:szCs w:val="24"/>
        </w:rPr>
        <w:t xml:space="preserve"> </w:t>
      </w:r>
      <w:r>
        <w:rPr>
          <w:rFonts w:ascii="Times New Roman" w:hAnsi="Times New Roman" w:cs="Times New Roman"/>
          <w:sz w:val="24"/>
          <w:szCs w:val="24"/>
        </w:rPr>
        <w:t>maupun</w:t>
      </w:r>
      <w:r>
        <w:rPr>
          <w:rFonts w:ascii="Times New Roman" w:hAnsi="Times New Roman" w:cs="Times New Roman"/>
          <w:sz w:val="24"/>
          <w:szCs w:val="24"/>
        </w:rPr>
        <w:t xml:space="preserve"> di </w:t>
      </w:r>
      <w:r>
        <w:rPr>
          <w:rFonts w:ascii="Times New Roman" w:hAnsi="Times New Roman" w:cs="Times New Roman"/>
          <w:sz w:val="24"/>
          <w:szCs w:val="24"/>
        </w:rPr>
        <w:t>bawah</w:t>
      </w:r>
      <w:r>
        <w:rPr>
          <w:rFonts w:ascii="Times New Roman" w:hAnsi="Times New Roman" w:cs="Times New Roman"/>
          <w:sz w:val="24"/>
          <w:szCs w:val="24"/>
        </w:rPr>
        <w:t xml:space="preserve"> </w:t>
      </w:r>
      <w:r>
        <w:rPr>
          <w:rFonts w:ascii="Times New Roman" w:hAnsi="Times New Roman" w:cs="Times New Roman"/>
          <w:sz w:val="24"/>
          <w:szCs w:val="24"/>
        </w:rPr>
        <w:t>angka</w:t>
      </w:r>
      <w:r>
        <w:rPr>
          <w:rFonts w:ascii="Times New Roman" w:hAnsi="Times New Roman" w:cs="Times New Roman"/>
          <w:sz w:val="24"/>
          <w:szCs w:val="24"/>
        </w:rPr>
        <w:t xml:space="preserve"> 0 pada </w:t>
      </w:r>
      <w:r>
        <w:rPr>
          <w:rFonts w:ascii="Times New Roman" w:hAnsi="Times New Roman" w:cs="Times New Roman"/>
          <w:sz w:val="24"/>
          <w:szCs w:val="24"/>
        </w:rPr>
        <w:t>sumbu</w:t>
      </w:r>
      <w:r>
        <w:rPr>
          <w:rFonts w:ascii="Times New Roman" w:hAnsi="Times New Roman" w:cs="Times New Roman"/>
          <w:sz w:val="24"/>
          <w:szCs w:val="24"/>
        </w:rPr>
        <w:t xml:space="preserve"> Y.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uji </w:t>
      </w:r>
      <w:r>
        <w:rPr>
          <w:rFonts w:ascii="Times New Roman" w:hAnsi="Times New Roman" w:cs="Times New Roman"/>
          <w:sz w:val="24"/>
          <w:szCs w:val="24"/>
        </w:rPr>
        <w:t>menggunakan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Pr>
          <w:rFonts w:ascii="Times New Roman" w:hAnsi="Times New Roman" w:cs="Times New Roman"/>
          <w:sz w:val="24"/>
          <w:szCs w:val="24"/>
        </w:rPr>
        <w:t>glejser</w:t>
      </w:r>
      <w:r>
        <w:rPr>
          <w:rFonts w:ascii="Times New Roman" w:hAnsi="Times New Roman" w:cs="Times New Roman"/>
          <w:sz w:val="24"/>
          <w:szCs w:val="24"/>
        </w:rPr>
        <w:t xml:space="preserve"> juga </w:t>
      </w:r>
      <w:r>
        <w:rPr>
          <w:rFonts w:ascii="Times New Roman" w:hAnsi="Times New Roman" w:cs="Times New Roman"/>
          <w:sz w:val="24"/>
          <w:szCs w:val="24"/>
        </w:rPr>
        <w:t>terlihat</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CSR </w:t>
      </w:r>
      <w:r>
        <w:rPr>
          <w:rFonts w:ascii="Times New Roman" w:hAnsi="Times New Roman" w:cs="Times New Roman"/>
          <w:sz w:val="24"/>
          <w:szCs w:val="24"/>
        </w:rPr>
        <w:t>sebesar</w:t>
      </w:r>
      <w:r>
        <w:rPr>
          <w:rFonts w:ascii="Times New Roman" w:hAnsi="Times New Roman" w:cs="Times New Roman"/>
          <w:sz w:val="24"/>
          <w:szCs w:val="24"/>
        </w:rPr>
        <w:t xml:space="preserve"> 0,105 &gt; 0,05 dan </w:t>
      </w:r>
      <w:r>
        <w:rPr>
          <w:rFonts w:ascii="Times New Roman" w:hAnsi="Times New Roman" w:cs="Times New Roman"/>
          <w:sz w:val="24"/>
          <w:szCs w:val="24"/>
        </w:rPr>
        <w:t>variabel</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0,248 &gt; 0,05. Maka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pada uji </w:t>
      </w:r>
      <w:r>
        <w:rPr>
          <w:rFonts w:ascii="Times New Roman" w:hAnsi="Times New Roman" w:cs="Times New Roman"/>
          <w:sz w:val="24"/>
          <w:szCs w:val="24"/>
        </w:rPr>
        <w:t>regresi</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gejala</w:t>
      </w:r>
      <w:r>
        <w:rPr>
          <w:rFonts w:ascii="Times New Roman" w:hAnsi="Times New Roman" w:cs="Times New Roman"/>
          <w:sz w:val="24"/>
          <w:szCs w:val="24"/>
        </w:rPr>
        <w:t xml:space="preserve"> </w:t>
      </w:r>
      <w:r>
        <w:rPr>
          <w:rFonts w:ascii="Times New Roman" w:hAnsi="Times New Roman" w:cs="Times New Roman"/>
          <w:sz w:val="24"/>
          <w:szCs w:val="24"/>
        </w:rPr>
        <w:t>heteroskedastisitas</w:t>
      </w:r>
      <w:r>
        <w:rPr>
          <w:rFonts w:ascii="Times New Roman" w:hAnsi="Times New Roman" w:cs="Times New Roman"/>
          <w:sz w:val="24"/>
          <w:szCs w:val="24"/>
        </w:rPr>
        <w:t>.</w:t>
      </w:r>
    </w:p>
    <w:p w:rsidR="00D958F8" w:rsidP="00D958F8" w14:paraId="4CCA1228" w14:textId="310E5BE2">
      <w:pPr>
        <w:pStyle w:val="ListParagraph"/>
        <w:numPr>
          <w:ilvl w:val="0"/>
          <w:numId w:val="5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Autokorelasi</w:t>
      </w:r>
    </w:p>
    <w:p w:rsidR="001C5178" w:rsidP="00D07E78" w14:paraId="3C9AD7BA" w14:textId="648A6AD4">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Uji </w:t>
      </w:r>
      <w:r>
        <w:rPr>
          <w:rFonts w:ascii="Times New Roman" w:hAnsi="Times New Roman" w:cs="Times New Roman"/>
          <w:sz w:val="24"/>
          <w:szCs w:val="24"/>
        </w:rPr>
        <w:t>autokorelasi</w:t>
      </w:r>
      <w:r>
        <w:rPr>
          <w:rFonts w:ascii="Times New Roman" w:hAnsi="Times New Roman" w:cs="Times New Roman"/>
          <w:sz w:val="24"/>
          <w:szCs w:val="24"/>
        </w:rPr>
        <w:t xml:space="preserve"> </w:t>
      </w:r>
      <w:r>
        <w:rPr>
          <w:rFonts w:ascii="Times New Roman" w:hAnsi="Times New Roman" w:cs="Times New Roman"/>
          <w:sz w:val="24"/>
          <w:szCs w:val="24"/>
        </w:rPr>
        <w:t>bertujuan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mengetahui</w:t>
      </w:r>
      <w:r>
        <w:rPr>
          <w:rFonts w:ascii="Times New Roman" w:hAnsi="Times New Roman" w:cs="Times New Roman"/>
          <w:sz w:val="24"/>
          <w:szCs w:val="24"/>
        </w:rPr>
        <w:t xml:space="preserve"> </w:t>
      </w:r>
      <w:r>
        <w:rPr>
          <w:rFonts w:ascii="Times New Roman" w:hAnsi="Times New Roman" w:cs="Times New Roman"/>
          <w:sz w:val="24"/>
          <w:szCs w:val="24"/>
        </w:rPr>
        <w:t>apakah</w:t>
      </w:r>
      <w:r>
        <w:rPr>
          <w:rFonts w:ascii="Times New Roman" w:hAnsi="Times New Roman" w:cs="Times New Roman"/>
          <w:sz w:val="24"/>
          <w:szCs w:val="24"/>
        </w:rPr>
        <w:t xml:space="preserve">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korelasi</w:t>
      </w:r>
      <w:r>
        <w:rPr>
          <w:rFonts w:ascii="Times New Roman" w:hAnsi="Times New Roman" w:cs="Times New Roman"/>
          <w:sz w:val="24"/>
          <w:szCs w:val="24"/>
        </w:rPr>
        <w:t xml:space="preserve"> (</w:t>
      </w:r>
      <w:r>
        <w:rPr>
          <w:rFonts w:ascii="Times New Roman" w:hAnsi="Times New Roman" w:cs="Times New Roman"/>
          <w:sz w:val="24"/>
          <w:szCs w:val="24"/>
        </w:rPr>
        <w:t>hubungan</w:t>
      </w:r>
      <w:r>
        <w:rPr>
          <w:rFonts w:ascii="Times New Roman" w:hAnsi="Times New Roman" w:cs="Times New Roman"/>
          <w:sz w:val="24"/>
          <w:szCs w:val="24"/>
        </w:rPr>
        <w:t xml:space="preserve">) </w:t>
      </w:r>
      <w:r>
        <w:rPr>
          <w:rFonts w:ascii="Times New Roman" w:hAnsi="Times New Roman" w:cs="Times New Roman"/>
          <w:sz w:val="24"/>
          <w:szCs w:val="24"/>
        </w:rPr>
        <w:t>antara</w:t>
      </w:r>
      <w:r>
        <w:rPr>
          <w:rFonts w:ascii="Times New Roman" w:hAnsi="Times New Roman" w:cs="Times New Roman"/>
          <w:sz w:val="24"/>
          <w:szCs w:val="24"/>
        </w:rPr>
        <w:t xml:space="preserve"> </w:t>
      </w:r>
      <w:r>
        <w:rPr>
          <w:rFonts w:ascii="Times New Roman" w:hAnsi="Times New Roman" w:cs="Times New Roman"/>
          <w:sz w:val="24"/>
          <w:szCs w:val="24"/>
        </w:rPr>
        <w:t>serangkaian</w:t>
      </w:r>
      <w:r>
        <w:rPr>
          <w:rFonts w:ascii="Times New Roman" w:hAnsi="Times New Roman" w:cs="Times New Roman"/>
          <w:sz w:val="24"/>
          <w:szCs w:val="24"/>
        </w:rPr>
        <w:t xml:space="preserve"> data </w:t>
      </w:r>
      <w:r>
        <w:rPr>
          <w:rFonts w:ascii="Times New Roman" w:hAnsi="Times New Roman" w:cs="Times New Roman"/>
          <w:sz w:val="24"/>
          <w:szCs w:val="24"/>
        </w:rPr>
        <w:t>observasi</w:t>
      </w:r>
      <w:r>
        <w:rPr>
          <w:rFonts w:ascii="Times New Roman" w:hAnsi="Times New Roman" w:cs="Times New Roman"/>
          <w:sz w:val="24"/>
          <w:szCs w:val="24"/>
        </w:rPr>
        <w:t xml:space="preserve"> yang </w:t>
      </w:r>
      <w:r>
        <w:rPr>
          <w:rFonts w:ascii="Times New Roman" w:hAnsi="Times New Roman" w:cs="Times New Roman"/>
          <w:sz w:val="24"/>
          <w:szCs w:val="24"/>
        </w:rPr>
        <w:t>diuraikan</w:t>
      </w:r>
      <w:r>
        <w:rPr>
          <w:rFonts w:ascii="Times New Roman" w:hAnsi="Times New Roman" w:cs="Times New Roman"/>
          <w:sz w:val="24"/>
          <w:szCs w:val="24"/>
        </w:rPr>
        <w:t xml:space="preserve"> </w:t>
      </w:r>
      <w:r>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t>waktu</w:t>
      </w:r>
      <w:r>
        <w:rPr>
          <w:rFonts w:ascii="Times New Roman" w:hAnsi="Times New Roman" w:cs="Times New Roman"/>
          <w:sz w:val="24"/>
          <w:szCs w:val="24"/>
        </w:rPr>
        <w:t xml:space="preserve"> (</w:t>
      </w:r>
      <w:r>
        <w:rPr>
          <w:rFonts w:ascii="Times New Roman" w:hAnsi="Times New Roman" w:cs="Times New Roman"/>
          <w:i/>
          <w:iCs/>
          <w:sz w:val="24"/>
          <w:szCs w:val="24"/>
        </w:rPr>
        <w:t>time-series</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w:t>
      </w:r>
      <w:r>
        <w:rPr>
          <w:rFonts w:ascii="Times New Roman" w:hAnsi="Times New Roman" w:cs="Times New Roman"/>
          <w:sz w:val="24"/>
          <w:szCs w:val="24"/>
        </w:rPr>
        <w:t>ruang</w:t>
      </w:r>
      <w:r>
        <w:rPr>
          <w:rFonts w:ascii="Times New Roman" w:hAnsi="Times New Roman" w:cs="Times New Roman"/>
          <w:sz w:val="24"/>
          <w:szCs w:val="24"/>
        </w:rPr>
        <w:t xml:space="preserve"> (</w:t>
      </w:r>
      <w:r>
        <w:rPr>
          <w:rFonts w:ascii="Times New Roman" w:hAnsi="Times New Roman" w:cs="Times New Roman"/>
          <w:i/>
          <w:iCs/>
          <w:sz w:val="24"/>
          <w:szCs w:val="24"/>
        </w:rPr>
        <w:t>cross section</w:t>
      </w:r>
      <w:r>
        <w:rPr>
          <w:rFonts w:ascii="Times New Roman" w:hAnsi="Times New Roman" w:cs="Times New Roman"/>
          <w:sz w:val="24"/>
          <w:szCs w:val="24"/>
        </w:rPr>
        <w:t xml:space="preserve">). Pada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menggunakan</w:t>
      </w:r>
      <w:r>
        <w:rPr>
          <w:rFonts w:ascii="Times New Roman" w:hAnsi="Times New Roman" w:cs="Times New Roman"/>
          <w:sz w:val="24"/>
          <w:szCs w:val="24"/>
        </w:rPr>
        <w:t xml:space="preserve"> </w:t>
      </w:r>
      <w:r>
        <w:rPr>
          <w:rFonts w:ascii="Times New Roman" w:hAnsi="Times New Roman" w:cs="Times New Roman"/>
          <w:sz w:val="24"/>
          <w:szCs w:val="24"/>
        </w:rPr>
        <w:t>metode</w:t>
      </w:r>
      <w:r>
        <w:rPr>
          <w:rFonts w:ascii="Times New Roman" w:hAnsi="Times New Roman" w:cs="Times New Roman"/>
          <w:sz w:val="24"/>
          <w:szCs w:val="24"/>
        </w:rPr>
        <w:t xml:space="preserve"> </w:t>
      </w:r>
      <w:r w:rsidRPr="00A57B3B">
        <w:rPr>
          <w:rFonts w:ascii="Times New Roman" w:hAnsi="Times New Roman" w:cs="Times New Roman"/>
          <w:i/>
          <w:iCs/>
          <w:sz w:val="24"/>
          <w:szCs w:val="24"/>
        </w:rPr>
        <w:t>Lagrange Multiplier</w:t>
      </w:r>
      <w:r>
        <w:rPr>
          <w:rFonts w:ascii="Times New Roman" w:hAnsi="Times New Roman" w:cs="Times New Roman"/>
          <w:sz w:val="24"/>
          <w:szCs w:val="24"/>
        </w:rPr>
        <w:t xml:space="preserve"> (LM Test). Hasil </w:t>
      </w:r>
      <w:r>
        <w:rPr>
          <w:rFonts w:ascii="Times New Roman" w:hAnsi="Times New Roman" w:cs="Times New Roman"/>
          <w:sz w:val="24"/>
          <w:szCs w:val="24"/>
        </w:rPr>
        <w:t>analisis</w:t>
      </w:r>
      <w:r>
        <w:rPr>
          <w:rFonts w:ascii="Times New Roman" w:hAnsi="Times New Roman" w:cs="Times New Roman"/>
          <w:sz w:val="24"/>
          <w:szCs w:val="24"/>
        </w:rPr>
        <w:t xml:space="preserve"> </w:t>
      </w:r>
      <w:r>
        <w:rPr>
          <w:rFonts w:ascii="Times New Roman" w:hAnsi="Times New Roman" w:cs="Times New Roman"/>
          <w:sz w:val="24"/>
          <w:szCs w:val="24"/>
        </w:rPr>
        <w:t>disajikan</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w:t>
      </w:r>
    </w:p>
    <w:p w:rsidR="001C5178" w:rsidRPr="00D07E78" w:rsidP="00D07E78" w14:paraId="5463D996" w14:textId="6925C839">
      <w:pPr>
        <w:pStyle w:val="ListParagraph"/>
        <w:spacing w:after="0" w:line="276" w:lineRule="auto"/>
        <w:ind w:left="1430"/>
        <w:jc w:val="center"/>
        <w:rPr>
          <w:rFonts w:ascii="Times New Roman" w:hAnsi="Times New Roman" w:cs="Times New Roman"/>
          <w:b/>
          <w:bCs/>
          <w:sz w:val="24"/>
          <w:szCs w:val="24"/>
        </w:rPr>
      </w:pPr>
      <w:r w:rsidRPr="00D07E78">
        <w:rPr>
          <w:rFonts w:ascii="Times New Roman" w:hAnsi="Times New Roman" w:cs="Times New Roman"/>
          <w:b/>
          <w:bCs/>
          <w:sz w:val="24"/>
          <w:szCs w:val="24"/>
        </w:rPr>
        <w:t>Tabel 1</w:t>
      </w:r>
      <w:r w:rsidR="00E20D14">
        <w:rPr>
          <w:rFonts w:ascii="Times New Roman" w:hAnsi="Times New Roman" w:cs="Times New Roman"/>
          <w:b/>
          <w:bCs/>
          <w:sz w:val="24"/>
          <w:szCs w:val="24"/>
        </w:rPr>
        <w:t>7</w:t>
      </w:r>
    </w:p>
    <w:p w:rsidR="00D07E78" w:rsidRPr="00D07E78" w:rsidP="00D07E78" w14:paraId="514A39E5" w14:textId="1A6C00E6">
      <w:pPr>
        <w:pStyle w:val="ListParagraph"/>
        <w:spacing w:after="0" w:line="276" w:lineRule="auto"/>
        <w:ind w:left="1430"/>
        <w:jc w:val="center"/>
        <w:rPr>
          <w:rFonts w:ascii="Times New Roman" w:hAnsi="Times New Roman" w:cs="Times New Roman"/>
          <w:b/>
          <w:bCs/>
          <w:sz w:val="24"/>
          <w:szCs w:val="24"/>
        </w:rPr>
      </w:pPr>
      <w:r w:rsidRPr="00D07E78">
        <w:rPr>
          <w:rFonts w:ascii="Times New Roman" w:hAnsi="Times New Roman" w:cs="Times New Roman"/>
          <w:b/>
          <w:bCs/>
          <w:sz w:val="24"/>
          <w:szCs w:val="24"/>
        </w:rPr>
        <w:t xml:space="preserve">Hasil Uji </w:t>
      </w:r>
      <w:r w:rsidRPr="00D07E78">
        <w:rPr>
          <w:rFonts w:ascii="Times New Roman" w:hAnsi="Times New Roman" w:cs="Times New Roman"/>
          <w:b/>
          <w:bCs/>
          <w:sz w:val="24"/>
          <w:szCs w:val="24"/>
        </w:rPr>
        <w:t>Autokorelasi</w:t>
      </w:r>
      <w:r>
        <w:rPr>
          <w:rFonts w:ascii="Times New Roman" w:hAnsi="Times New Roman" w:cs="Times New Roman"/>
          <w:b/>
          <w:bCs/>
          <w:sz w:val="24"/>
          <w:szCs w:val="24"/>
        </w:rPr>
        <w:t xml:space="preserve"> </w:t>
      </w:r>
      <w:r>
        <w:rPr>
          <w:rFonts w:ascii="Times New Roman" w:hAnsi="Times New Roman" w:cs="Times New Roman"/>
          <w:b/>
          <w:bCs/>
          <w:sz w:val="24"/>
          <w:szCs w:val="24"/>
        </w:rPr>
        <w:t>Persamaan</w:t>
      </w:r>
      <w:r>
        <w:rPr>
          <w:rFonts w:ascii="Times New Roman" w:hAnsi="Times New Roman" w:cs="Times New Roman"/>
          <w:b/>
          <w:bCs/>
          <w:sz w:val="24"/>
          <w:szCs w:val="24"/>
        </w:rPr>
        <w:t xml:space="preserve"> I</w:t>
      </w:r>
    </w:p>
    <w:tbl>
      <w:tblPr>
        <w:tblW w:w="4202"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3"/>
        <w:gridCol w:w="791"/>
        <w:gridCol w:w="1074"/>
        <w:gridCol w:w="2406"/>
        <w:gridCol w:w="1738"/>
      </w:tblGrid>
      <w:tr w14:paraId="21674AA9" w14:textId="77777777" w:rsidTr="00D07E78">
        <w:tblPrEx>
          <w:tblW w:w="4202"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D07E78" w:rsidRPr="00D07E78" w:rsidP="00D07E78" w14:paraId="279BDC83"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07E78">
              <w:rPr>
                <w:rFonts w:ascii="Times New Roman" w:hAnsi="Times New Roman" w:cs="Times New Roman"/>
                <w:b/>
                <w:bCs/>
                <w:color w:val="010205"/>
                <w:sz w:val="20"/>
                <w:szCs w:val="20"/>
              </w:rPr>
              <w:t>Model Summary</w:t>
            </w:r>
          </w:p>
        </w:tc>
      </w:tr>
      <w:tr w14:paraId="37FB46AD" w14:textId="77777777" w:rsidTr="00D07E78">
        <w:tblPrEx>
          <w:tblW w:w="4202" w:type="pct"/>
          <w:tblInd w:w="1413" w:type="dxa"/>
          <w:tblCellMar>
            <w:left w:w="0" w:type="dxa"/>
            <w:right w:w="0" w:type="dxa"/>
          </w:tblCellMar>
          <w:tblLook w:val="0000"/>
        </w:tblPrEx>
        <w:trPr>
          <w:cantSplit/>
        </w:trPr>
        <w:tc>
          <w:tcPr>
            <w:tcW w:w="171" w:type="pct"/>
            <w:shd w:val="clear" w:color="auto" w:fill="FFFFFF"/>
            <w:vAlign w:val="bottom"/>
          </w:tcPr>
          <w:p w:rsidR="00D07E78" w:rsidRPr="00D07E78" w:rsidP="00D07E78" w14:paraId="12A7EA4C"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07E78">
              <w:rPr>
                <w:rFonts w:ascii="Times New Roman" w:hAnsi="Times New Roman" w:cs="Times New Roman"/>
                <w:color w:val="264A60"/>
                <w:sz w:val="20"/>
                <w:szCs w:val="20"/>
              </w:rPr>
              <w:t>Model</w:t>
            </w:r>
          </w:p>
        </w:tc>
        <w:tc>
          <w:tcPr>
            <w:tcW w:w="674" w:type="pct"/>
            <w:shd w:val="clear" w:color="auto" w:fill="FFFFFF"/>
            <w:vAlign w:val="bottom"/>
          </w:tcPr>
          <w:p w:rsidR="00D07E78" w:rsidRPr="00D07E78" w:rsidP="00D07E78" w14:paraId="4ED4223A"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07E78">
              <w:rPr>
                <w:rFonts w:ascii="Times New Roman" w:hAnsi="Times New Roman" w:cs="Times New Roman"/>
                <w:color w:val="264A60"/>
                <w:sz w:val="20"/>
                <w:szCs w:val="20"/>
              </w:rPr>
              <w:t>R</w:t>
            </w:r>
          </w:p>
        </w:tc>
        <w:tc>
          <w:tcPr>
            <w:tcW w:w="886" w:type="pct"/>
            <w:shd w:val="clear" w:color="auto" w:fill="FFFFFF"/>
            <w:vAlign w:val="bottom"/>
          </w:tcPr>
          <w:p w:rsidR="00D07E78" w:rsidRPr="00D07E78" w:rsidP="00D07E78" w14:paraId="3B31E2E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07E78">
              <w:rPr>
                <w:rFonts w:ascii="Times New Roman" w:hAnsi="Times New Roman" w:cs="Times New Roman"/>
                <w:color w:val="264A60"/>
                <w:sz w:val="20"/>
                <w:szCs w:val="20"/>
              </w:rPr>
              <w:t>R Square</w:t>
            </w:r>
          </w:p>
        </w:tc>
        <w:tc>
          <w:tcPr>
            <w:tcW w:w="1885" w:type="pct"/>
            <w:shd w:val="clear" w:color="auto" w:fill="FFFFFF"/>
            <w:vAlign w:val="bottom"/>
          </w:tcPr>
          <w:p w:rsidR="00D07E78" w:rsidRPr="00D07E78" w:rsidP="00D07E78" w14:paraId="03D9F3D0"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07E78">
              <w:rPr>
                <w:rFonts w:ascii="Times New Roman" w:hAnsi="Times New Roman" w:cs="Times New Roman"/>
                <w:color w:val="264A60"/>
                <w:sz w:val="20"/>
                <w:szCs w:val="20"/>
              </w:rPr>
              <w:t>Adjusted R Square</w:t>
            </w:r>
          </w:p>
        </w:tc>
        <w:tc>
          <w:tcPr>
            <w:tcW w:w="1383" w:type="pct"/>
            <w:shd w:val="clear" w:color="auto" w:fill="FFFFFF"/>
            <w:vAlign w:val="bottom"/>
          </w:tcPr>
          <w:p w:rsidR="00D07E78" w:rsidRPr="00D07E78" w:rsidP="00D07E78" w14:paraId="5B6B21C4"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D07E78">
              <w:rPr>
                <w:rFonts w:ascii="Times New Roman" w:hAnsi="Times New Roman" w:cs="Times New Roman"/>
                <w:color w:val="264A60"/>
                <w:sz w:val="20"/>
                <w:szCs w:val="20"/>
              </w:rPr>
              <w:t>Std. Error of the Estimate</w:t>
            </w:r>
          </w:p>
        </w:tc>
      </w:tr>
      <w:tr w14:paraId="2F86B58B" w14:textId="77777777" w:rsidTr="00D07E78">
        <w:tblPrEx>
          <w:tblW w:w="4202" w:type="pct"/>
          <w:tblInd w:w="1413" w:type="dxa"/>
          <w:tblCellMar>
            <w:left w:w="0" w:type="dxa"/>
            <w:right w:w="0" w:type="dxa"/>
          </w:tblCellMar>
          <w:tblLook w:val="0000"/>
        </w:tblPrEx>
        <w:trPr>
          <w:cantSplit/>
        </w:trPr>
        <w:tc>
          <w:tcPr>
            <w:tcW w:w="171" w:type="pct"/>
            <w:shd w:val="clear" w:color="auto" w:fill="E0E0E0"/>
          </w:tcPr>
          <w:p w:rsidR="00D07E78" w:rsidRPr="00D07E78" w:rsidP="00D07E78" w14:paraId="3DD338F5"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D07E78">
              <w:rPr>
                <w:rFonts w:ascii="Times New Roman" w:hAnsi="Times New Roman" w:cs="Times New Roman"/>
                <w:color w:val="264A60"/>
                <w:sz w:val="20"/>
                <w:szCs w:val="20"/>
              </w:rPr>
              <w:t>1</w:t>
            </w:r>
          </w:p>
        </w:tc>
        <w:tc>
          <w:tcPr>
            <w:tcW w:w="674" w:type="pct"/>
            <w:shd w:val="clear" w:color="auto" w:fill="F9F9FB"/>
          </w:tcPr>
          <w:p w:rsidR="00D07E78" w:rsidRPr="00D07E78" w:rsidP="00D07E78" w14:paraId="6B3CEE3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07E78">
              <w:rPr>
                <w:rFonts w:ascii="Times New Roman" w:hAnsi="Times New Roman" w:cs="Times New Roman"/>
                <w:color w:val="010205"/>
                <w:sz w:val="20"/>
                <w:szCs w:val="20"/>
              </w:rPr>
              <w:t>.122</w:t>
            </w:r>
            <w:r w:rsidRPr="00D07E78">
              <w:rPr>
                <w:rFonts w:ascii="Times New Roman" w:hAnsi="Times New Roman" w:cs="Times New Roman"/>
                <w:color w:val="010205"/>
                <w:sz w:val="20"/>
                <w:szCs w:val="20"/>
                <w:vertAlign w:val="superscript"/>
              </w:rPr>
              <w:t>a</w:t>
            </w:r>
          </w:p>
        </w:tc>
        <w:tc>
          <w:tcPr>
            <w:tcW w:w="886" w:type="pct"/>
            <w:shd w:val="clear" w:color="auto" w:fill="F9F9FB"/>
          </w:tcPr>
          <w:p w:rsidR="00D07E78" w:rsidRPr="00D07E78" w:rsidP="00D07E78" w14:paraId="1B8C6ED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07E78">
              <w:rPr>
                <w:rFonts w:ascii="Times New Roman" w:hAnsi="Times New Roman" w:cs="Times New Roman"/>
                <w:color w:val="010205"/>
                <w:sz w:val="20"/>
                <w:szCs w:val="20"/>
              </w:rPr>
              <w:t>.015</w:t>
            </w:r>
          </w:p>
        </w:tc>
        <w:tc>
          <w:tcPr>
            <w:tcW w:w="1885" w:type="pct"/>
            <w:shd w:val="clear" w:color="auto" w:fill="F9F9FB"/>
          </w:tcPr>
          <w:p w:rsidR="00D07E78" w:rsidRPr="00D07E78" w:rsidP="00D07E78" w14:paraId="75849EB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07E78">
              <w:rPr>
                <w:rFonts w:ascii="Times New Roman" w:hAnsi="Times New Roman" w:cs="Times New Roman"/>
                <w:color w:val="010205"/>
                <w:sz w:val="20"/>
                <w:szCs w:val="20"/>
              </w:rPr>
              <w:t>-.003</w:t>
            </w:r>
          </w:p>
        </w:tc>
        <w:tc>
          <w:tcPr>
            <w:tcW w:w="1383" w:type="pct"/>
            <w:shd w:val="clear" w:color="auto" w:fill="F9F9FB"/>
          </w:tcPr>
          <w:p w:rsidR="00D07E78" w:rsidRPr="00D07E78" w:rsidP="00D07E78" w14:paraId="7BCAD62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D07E78">
              <w:rPr>
                <w:rFonts w:ascii="Times New Roman" w:hAnsi="Times New Roman" w:cs="Times New Roman"/>
                <w:color w:val="010205"/>
                <w:sz w:val="20"/>
                <w:szCs w:val="20"/>
              </w:rPr>
              <w:t>7.75668189</w:t>
            </w:r>
          </w:p>
        </w:tc>
      </w:tr>
      <w:tr w14:paraId="41D4B2DA" w14:textId="77777777" w:rsidTr="00D07E78">
        <w:tblPrEx>
          <w:tblW w:w="4202" w:type="pct"/>
          <w:tblInd w:w="1413" w:type="dxa"/>
          <w:tblCellMar>
            <w:left w:w="0" w:type="dxa"/>
            <w:right w:w="0" w:type="dxa"/>
          </w:tblCellMar>
          <w:tblLook w:val="0000"/>
        </w:tblPrEx>
        <w:trPr>
          <w:cantSplit/>
        </w:trPr>
        <w:tc>
          <w:tcPr>
            <w:tcW w:w="5000" w:type="pct"/>
            <w:gridSpan w:val="5"/>
            <w:shd w:val="clear" w:color="auto" w:fill="FFFFFF"/>
          </w:tcPr>
          <w:p w:rsidR="00D07E78" w:rsidRPr="00D07E78" w:rsidP="00D07E78" w14:paraId="5DEF5675"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D07E78">
              <w:rPr>
                <w:rFonts w:ascii="Times New Roman" w:hAnsi="Times New Roman" w:cs="Times New Roman"/>
                <w:color w:val="010205"/>
                <w:sz w:val="20"/>
                <w:szCs w:val="20"/>
              </w:rPr>
              <w:t>a. Predictors: (Constant), Ut_1, Corporate Social Responsibility</w:t>
            </w:r>
          </w:p>
        </w:tc>
      </w:tr>
    </w:tbl>
    <w:p w:rsidR="00D07E78" w:rsidP="00D07E78" w14:paraId="17DE21B3" w14:textId="3B9B63E2">
      <w:pPr>
        <w:autoSpaceDE w:val="0"/>
        <w:autoSpaceDN w:val="0"/>
        <w:adjustRightInd w:val="0"/>
        <w:spacing w:after="0" w:line="480" w:lineRule="auto"/>
        <w:ind w:left="1560"/>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D07E78" w:rsidP="00D07E78" w14:paraId="2B8CB64F" w14:textId="4B085D69">
      <w:pPr>
        <w:autoSpaceDE w:val="0"/>
        <w:autoSpaceDN w:val="0"/>
        <w:adjustRightInd w:val="0"/>
        <w:spacing w:after="0" w:line="480" w:lineRule="auto"/>
        <w:ind w:left="1440" w:firstLine="720"/>
        <w:jc w:val="both"/>
        <w:rPr>
          <w:rFonts w:ascii="Times New Roman" w:hAnsi="Times New Roman" w:cs="Times New Roman"/>
          <w:sz w:val="24"/>
          <w:szCs w:val="24"/>
        </w:rPr>
      </w:pPr>
      <w:r w:rsidRPr="00D07E78">
        <w:rPr>
          <w:rFonts w:ascii="Times New Roman" w:hAnsi="Times New Roman" w:cs="Times New Roman"/>
          <w:sz w:val="24"/>
          <w:szCs w:val="24"/>
        </w:rPr>
        <w:t>Berdasarkan</w:t>
      </w:r>
      <w:r w:rsidRPr="00D07E78">
        <w:rPr>
          <w:rFonts w:ascii="Times New Roman" w:hAnsi="Times New Roman" w:cs="Times New Roman"/>
          <w:sz w:val="24"/>
          <w:szCs w:val="24"/>
        </w:rPr>
        <w:t xml:space="preserve"> Tabel </w:t>
      </w:r>
      <w:r>
        <w:rPr>
          <w:rFonts w:ascii="Times New Roman" w:hAnsi="Times New Roman" w:cs="Times New Roman"/>
          <w:sz w:val="24"/>
          <w:szCs w:val="24"/>
        </w:rPr>
        <w:t>1</w:t>
      </w:r>
      <w:r w:rsidR="00E20D14">
        <w:rPr>
          <w:rFonts w:ascii="Times New Roman" w:hAnsi="Times New Roman" w:cs="Times New Roman"/>
          <w:sz w:val="24"/>
          <w:szCs w:val="24"/>
        </w:rPr>
        <w:t>7</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hasil</w:t>
      </w:r>
      <w:r w:rsidRPr="00D07E78">
        <w:rPr>
          <w:rFonts w:ascii="Times New Roman" w:hAnsi="Times New Roman" w:cs="Times New Roman"/>
          <w:sz w:val="24"/>
          <w:szCs w:val="24"/>
        </w:rPr>
        <w:t xml:space="preserve"> output </w:t>
      </w:r>
      <w:r>
        <w:rPr>
          <w:rFonts w:ascii="Times New Roman" w:hAnsi="Times New Roman" w:cs="Times New Roman"/>
          <w:sz w:val="24"/>
          <w:szCs w:val="24"/>
        </w:rPr>
        <w:t>persamaan</w:t>
      </w:r>
      <w:r w:rsidR="00617E2B">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D07E78">
        <w:rPr>
          <w:rFonts w:ascii="Times New Roman" w:hAnsi="Times New Roman" w:cs="Times New Roman"/>
          <w:sz w:val="24"/>
          <w:szCs w:val="24"/>
        </w:rPr>
        <w:t>menunjukkan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bahwa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sidRPr="008937C2">
        <w:rPr>
          <w:rFonts w:ascii="Times New Roman" w:hAnsi="Times New Roman" w:cs="Times New Roman"/>
          <w:i/>
          <w:iCs/>
          <w:sz w:val="24"/>
          <w:szCs w:val="24"/>
        </w:rPr>
        <w:t>R Square</w:t>
      </w:r>
      <w:r>
        <w:rPr>
          <w:rFonts w:ascii="Times New Roman" w:hAnsi="Times New Roman" w:cs="Times New Roman"/>
          <w:sz w:val="24"/>
          <w:szCs w:val="24"/>
        </w:rPr>
        <w:t xml:space="preserve"> </w:t>
      </w:r>
      <w:r w:rsidRPr="00D07E78">
        <w:rPr>
          <w:rFonts w:ascii="Times New Roman" w:hAnsi="Times New Roman" w:cs="Times New Roman"/>
          <w:sz w:val="24"/>
          <w:szCs w:val="24"/>
        </w:rPr>
        <w:t>adalah</w:t>
      </w:r>
      <w:r w:rsidRPr="00D07E78">
        <w:rPr>
          <w:rFonts w:ascii="Times New Roman" w:hAnsi="Times New Roman" w:cs="Times New Roman"/>
          <w:sz w:val="24"/>
          <w:szCs w:val="24"/>
        </w:rPr>
        <w:t xml:space="preserve"> 0</w:t>
      </w:r>
      <w:r>
        <w:rPr>
          <w:rFonts w:ascii="Times New Roman" w:hAnsi="Times New Roman" w:cs="Times New Roman"/>
          <w:sz w:val="24"/>
          <w:szCs w:val="24"/>
        </w:rPr>
        <w:t>,015</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Dengan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jumlah</w:t>
      </w:r>
      <w:r w:rsidRPr="00D07E78">
        <w:rPr>
          <w:rFonts w:ascii="Times New Roman" w:hAnsi="Times New Roman" w:cs="Times New Roman"/>
          <w:sz w:val="24"/>
          <w:szCs w:val="24"/>
        </w:rPr>
        <w:t xml:space="preserve"> n </w:t>
      </w:r>
      <w:r w:rsidRPr="00D07E78">
        <w:rPr>
          <w:rFonts w:ascii="Times New Roman" w:hAnsi="Times New Roman" w:cs="Times New Roman"/>
          <w:sz w:val="24"/>
          <w:szCs w:val="24"/>
        </w:rPr>
        <w:t>observasi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sebanyak</w:t>
      </w:r>
      <w:r w:rsidRPr="00D07E78">
        <w:rPr>
          <w:rFonts w:ascii="Times New Roman" w:hAnsi="Times New Roman" w:cs="Times New Roman"/>
          <w:sz w:val="24"/>
          <w:szCs w:val="24"/>
        </w:rPr>
        <w:t xml:space="preserve"> </w:t>
      </w:r>
      <w:r>
        <w:rPr>
          <w:rFonts w:ascii="Times New Roman" w:hAnsi="Times New Roman" w:cs="Times New Roman"/>
          <w:sz w:val="24"/>
          <w:szCs w:val="24"/>
        </w:rPr>
        <w:t>115</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maka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besarnya</w:t>
      </w:r>
      <w:r>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hitung</w:t>
      </w:r>
      <w:r w:rsidRPr="00D07E78">
        <w:rPr>
          <w:rFonts w:ascii="Times New Roman" w:hAnsi="Times New Roman" w:cs="Times New Roman"/>
          <w:sz w:val="24"/>
          <w:szCs w:val="24"/>
        </w:rPr>
        <w:t xml:space="preserve"> pada </w:t>
      </w:r>
      <w:r w:rsidRPr="00D07E78">
        <w:rPr>
          <w:rFonts w:ascii="Times New Roman" w:hAnsi="Times New Roman" w:cs="Times New Roman"/>
          <w:sz w:val="24"/>
          <w:szCs w:val="24"/>
        </w:rPr>
        <w:t>persamaan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ini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adalah</w:t>
      </w:r>
      <w:r w:rsidRPr="00D07E78">
        <w:rPr>
          <w:rFonts w:ascii="Times New Roman" w:hAnsi="Times New Roman" w:cs="Times New Roman"/>
          <w:sz w:val="24"/>
          <w:szCs w:val="24"/>
        </w:rPr>
        <w:t xml:space="preserve"> (</w:t>
      </w:r>
      <w:r>
        <w:rPr>
          <w:rFonts w:ascii="Times New Roman" w:hAnsi="Times New Roman" w:cs="Times New Roman"/>
          <w:sz w:val="24"/>
          <w:szCs w:val="24"/>
        </w:rPr>
        <w:t>115</w:t>
      </w:r>
      <w:r w:rsidRPr="00D07E78">
        <w:rPr>
          <w:rFonts w:ascii="Times New Roman" w:hAnsi="Times New Roman" w:cs="Times New Roman"/>
          <w:sz w:val="24"/>
          <w:szCs w:val="24"/>
        </w:rPr>
        <w:t>-1)</w:t>
      </w:r>
      <w:r>
        <w:rPr>
          <w:rFonts w:ascii="Times New Roman" w:hAnsi="Times New Roman" w:cs="Times New Roman"/>
          <w:sz w:val="24"/>
          <w:szCs w:val="24"/>
        </w:rPr>
        <w:t xml:space="preserve"> </w:t>
      </w:r>
      <w:r w:rsidRPr="00D07E78">
        <w:rPr>
          <w:rFonts w:ascii="Times New Roman" w:hAnsi="Times New Roman" w:cs="Times New Roman"/>
          <w:sz w:val="24"/>
          <w:szCs w:val="24"/>
        </w:rPr>
        <w:t>x</w:t>
      </w:r>
      <w:r>
        <w:rPr>
          <w:rFonts w:ascii="Times New Roman" w:hAnsi="Times New Roman" w:cs="Times New Roman"/>
          <w:sz w:val="24"/>
          <w:szCs w:val="24"/>
        </w:rPr>
        <w:t xml:space="preserve"> </w:t>
      </w:r>
      <w:r w:rsidRPr="00D07E78">
        <w:rPr>
          <w:rFonts w:ascii="Times New Roman" w:hAnsi="Times New Roman" w:cs="Times New Roman"/>
          <w:sz w:val="24"/>
          <w:szCs w:val="24"/>
        </w:rPr>
        <w:t>0.</w:t>
      </w:r>
      <w:r>
        <w:rPr>
          <w:rFonts w:ascii="Times New Roman" w:hAnsi="Times New Roman" w:cs="Times New Roman"/>
          <w:sz w:val="24"/>
          <w:szCs w:val="24"/>
        </w:rPr>
        <w:t>015</w:t>
      </w:r>
      <w:r w:rsidRPr="00D07E78">
        <w:rPr>
          <w:rFonts w:ascii="Times New Roman" w:hAnsi="Times New Roman" w:cs="Times New Roman"/>
          <w:sz w:val="24"/>
          <w:szCs w:val="24"/>
        </w:rPr>
        <w:t xml:space="preserve"> = </w:t>
      </w:r>
      <w:r>
        <w:rPr>
          <w:rFonts w:ascii="Times New Roman" w:hAnsi="Times New Roman" w:cs="Times New Roman"/>
          <w:sz w:val="24"/>
          <w:szCs w:val="24"/>
        </w:rPr>
        <w:t>1,71</w:t>
      </w:r>
      <w:r w:rsidRPr="00D07E78">
        <w:rPr>
          <w:rFonts w:ascii="Times New Roman" w:hAnsi="Times New Roman" w:cs="Times New Roman"/>
          <w:sz w:val="24"/>
          <w:szCs w:val="24"/>
        </w:rPr>
        <w:t xml:space="preserve">. Nilai </w:t>
      </w:r>
      <w:r w:rsidRPr="00D07E78">
        <w:rPr>
          <w:rFonts w:ascii="Times New Roman" w:hAnsi="Times New Roman" w:cs="Times New Roman"/>
          <w:sz w:val="24"/>
          <w:szCs w:val="24"/>
        </w:rPr>
        <w:t>ini</w:t>
      </w:r>
      <w:r>
        <w:rPr>
          <w:rFonts w:ascii="Times New Roman" w:hAnsi="Times New Roman" w:cs="Times New Roman"/>
          <w:sz w:val="24"/>
          <w:szCs w:val="24"/>
        </w:rPr>
        <w:t xml:space="preserve"> </w:t>
      </w:r>
      <w:r w:rsidRPr="00D07E78">
        <w:rPr>
          <w:rFonts w:ascii="Times New Roman" w:hAnsi="Times New Roman" w:cs="Times New Roman"/>
          <w:sz w:val="24"/>
          <w:szCs w:val="24"/>
        </w:rPr>
        <w:t>dibandingkan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dengan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tabel</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dengan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df</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hitung</w:t>
      </w:r>
      <w:r w:rsidRPr="00D07E78">
        <w:rPr>
          <w:rFonts w:ascii="Times New Roman" w:hAnsi="Times New Roman" w:cs="Times New Roman"/>
          <w:sz w:val="24"/>
          <w:szCs w:val="24"/>
        </w:rPr>
        <w:t xml:space="preserve"> = </w:t>
      </w:r>
      <w:r>
        <w:rPr>
          <w:rFonts w:ascii="Times New Roman" w:hAnsi="Times New Roman" w:cs="Times New Roman"/>
          <w:sz w:val="24"/>
          <w:szCs w:val="24"/>
        </w:rPr>
        <w:t>115</w:t>
      </w:r>
      <w:r w:rsidRPr="00D07E78">
        <w:rPr>
          <w:rFonts w:ascii="Times New Roman" w:hAnsi="Times New Roman" w:cs="Times New Roman"/>
          <w:sz w:val="24"/>
          <w:szCs w:val="24"/>
        </w:rPr>
        <w:t>-</w:t>
      </w:r>
      <w:r>
        <w:rPr>
          <w:rFonts w:ascii="Times New Roman" w:hAnsi="Times New Roman" w:cs="Times New Roman"/>
          <w:sz w:val="24"/>
          <w:szCs w:val="24"/>
        </w:rPr>
        <w:t xml:space="preserve">1 </w:t>
      </w:r>
      <w:r w:rsidRPr="00D07E78">
        <w:rPr>
          <w:rFonts w:ascii="Times New Roman" w:hAnsi="Times New Roman" w:cs="Times New Roman"/>
          <w:sz w:val="24"/>
          <w:szCs w:val="24"/>
        </w:rPr>
        <w:t>=</w:t>
      </w:r>
      <w:r>
        <w:rPr>
          <w:rFonts w:ascii="Times New Roman" w:hAnsi="Times New Roman" w:cs="Times New Roman"/>
          <w:sz w:val="24"/>
          <w:szCs w:val="24"/>
        </w:rPr>
        <w:t xml:space="preserve"> </w:t>
      </w:r>
      <w:r w:rsidR="00001FE9">
        <w:rPr>
          <w:rFonts w:ascii="Times New Roman" w:hAnsi="Times New Roman" w:cs="Times New Roman"/>
          <w:sz w:val="24"/>
          <w:szCs w:val="24"/>
        </w:rPr>
        <w:t>115</w:t>
      </w:r>
      <w:r w:rsidRPr="00D07E78">
        <w:rPr>
          <w:rFonts w:ascii="Times New Roman" w:hAnsi="Times New Roman" w:cs="Times New Roman"/>
          <w:sz w:val="24"/>
          <w:szCs w:val="24"/>
        </w:rPr>
        <w:t xml:space="preserve"> dan </w:t>
      </w:r>
      <w:r w:rsidRPr="00D07E78">
        <w:rPr>
          <w:rFonts w:ascii="Times New Roman" w:hAnsi="Times New Roman" w:cs="Times New Roman"/>
          <w:sz w:val="24"/>
          <w:szCs w:val="24"/>
        </w:rPr>
        <w:t>tingkat</w:t>
      </w:r>
      <w:r>
        <w:rPr>
          <w:rFonts w:ascii="Times New Roman" w:hAnsi="Times New Roman" w:cs="Times New Roman"/>
          <w:sz w:val="24"/>
          <w:szCs w:val="24"/>
        </w:rPr>
        <w:t xml:space="preserve"> </w:t>
      </w:r>
      <w:r w:rsidRPr="00D07E78">
        <w:rPr>
          <w:rFonts w:ascii="Times New Roman" w:hAnsi="Times New Roman" w:cs="Times New Roman"/>
          <w:sz w:val="24"/>
          <w:szCs w:val="24"/>
        </w:rPr>
        <w:t>signifikansinya</w:t>
      </w:r>
      <w:r w:rsidRPr="00D07E78">
        <w:rPr>
          <w:rFonts w:ascii="Times New Roman" w:hAnsi="Times New Roman" w:cs="Times New Roman"/>
          <w:sz w:val="24"/>
          <w:szCs w:val="24"/>
        </w:rPr>
        <w:t xml:space="preserve"> 0,05</w:t>
      </w:r>
      <w:r>
        <w:rPr>
          <w:rFonts w:ascii="Times New Roman" w:hAnsi="Times New Roman" w:cs="Times New Roman"/>
          <w:sz w:val="24"/>
          <w:szCs w:val="24"/>
        </w:rPr>
        <w:t xml:space="preserve"> </w:t>
      </w:r>
      <w:r w:rsidRPr="00D07E78">
        <w:rPr>
          <w:rFonts w:ascii="Times New Roman" w:hAnsi="Times New Roman" w:cs="Times New Roman"/>
          <w:sz w:val="24"/>
          <w:szCs w:val="24"/>
        </w:rPr>
        <w:t>didapat</w:t>
      </w:r>
      <w:r>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tabel</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sebesar</w:t>
      </w:r>
      <w:r w:rsidRPr="00D07E78">
        <w:rPr>
          <w:rFonts w:ascii="Times New Roman" w:hAnsi="Times New Roman" w:cs="Times New Roman"/>
          <w:sz w:val="24"/>
          <w:szCs w:val="24"/>
        </w:rPr>
        <w:t xml:space="preserve"> </w:t>
      </w:r>
      <w:r w:rsidR="001E6162">
        <w:rPr>
          <w:rFonts w:ascii="Times New Roman" w:hAnsi="Times New Roman" w:cs="Times New Roman"/>
          <w:sz w:val="24"/>
          <w:szCs w:val="24"/>
        </w:rPr>
        <w:t>139,921</w:t>
      </w:r>
      <w:r w:rsidRPr="00D07E78">
        <w:rPr>
          <w:rFonts w:ascii="Times New Roman" w:hAnsi="Times New Roman" w:cs="Times New Roman"/>
          <w:sz w:val="24"/>
          <w:szCs w:val="24"/>
        </w:rPr>
        <w:t xml:space="preserve">. Oleh </w:t>
      </w:r>
      <w:r w:rsidRPr="00D07E78">
        <w:rPr>
          <w:rFonts w:ascii="Times New Roman" w:hAnsi="Times New Roman" w:cs="Times New Roman"/>
          <w:sz w:val="24"/>
          <w:szCs w:val="24"/>
        </w:rPr>
        <w:t>karena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nilai</w:t>
      </w:r>
      <w:r>
        <w:rPr>
          <w:rFonts w:ascii="Times New Roman" w:hAnsi="Times New Roman" w:cs="Times New Roman"/>
          <w:sz w:val="24"/>
          <w:szCs w:val="24"/>
        </w:rPr>
        <w:t xml:space="preserve"> 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hitung</w:t>
      </w:r>
      <w:r>
        <w:rPr>
          <w:rFonts w:ascii="Times New Roman" w:hAnsi="Times New Roman" w:cs="Times New Roman"/>
          <w:sz w:val="24"/>
          <w:szCs w:val="24"/>
        </w:rPr>
        <w:t xml:space="preserve"> </w:t>
      </w:r>
      <w:r w:rsidRPr="00D07E78">
        <w:rPr>
          <w:rFonts w:ascii="Times New Roman" w:hAnsi="Times New Roman" w:cs="Times New Roman"/>
          <w:sz w:val="24"/>
          <w:szCs w:val="24"/>
        </w:rPr>
        <w:t xml:space="preserve">&lt;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tabel</w:t>
      </w:r>
      <w:r w:rsidRPr="00D07E78">
        <w:rPr>
          <w:rFonts w:ascii="Times New Roman" w:hAnsi="Times New Roman" w:cs="Times New Roman"/>
          <w:sz w:val="24"/>
          <w:szCs w:val="24"/>
        </w:rPr>
        <w:t>,</w:t>
      </w:r>
      <w:r>
        <w:rPr>
          <w:rFonts w:ascii="Times New Roman" w:hAnsi="Times New Roman" w:cs="Times New Roman"/>
          <w:sz w:val="24"/>
          <w:szCs w:val="24"/>
        </w:rPr>
        <w:t xml:space="preserve"> </w:t>
      </w:r>
      <w:r w:rsidRPr="00D07E78">
        <w:rPr>
          <w:rFonts w:ascii="Times New Roman" w:hAnsi="Times New Roman" w:cs="Times New Roman"/>
          <w:sz w:val="24"/>
          <w:szCs w:val="24"/>
        </w:rPr>
        <w:t>maka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dapat</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disimpulkan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bahwa</w:t>
      </w:r>
      <w:r w:rsidRPr="00D07E78">
        <w:rPr>
          <w:rFonts w:ascii="Times New Roman" w:hAnsi="Times New Roman" w:cs="Times New Roman"/>
          <w:sz w:val="24"/>
          <w:szCs w:val="24"/>
        </w:rPr>
        <w:t xml:space="preserve"> model </w:t>
      </w:r>
      <w:r w:rsidRPr="00D07E78">
        <w:rPr>
          <w:rFonts w:ascii="Times New Roman" w:hAnsi="Times New Roman" w:cs="Times New Roman"/>
          <w:sz w:val="24"/>
          <w:szCs w:val="24"/>
        </w:rPr>
        <w:t>persamaan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ini</w:t>
      </w:r>
      <w:r>
        <w:rPr>
          <w:rFonts w:ascii="Times New Roman" w:hAnsi="Times New Roman" w:cs="Times New Roman"/>
          <w:sz w:val="24"/>
          <w:szCs w:val="24"/>
        </w:rPr>
        <w:t xml:space="preserve"> </w:t>
      </w:r>
      <w:r w:rsidRPr="00D07E78">
        <w:rPr>
          <w:rFonts w:ascii="Times New Roman" w:hAnsi="Times New Roman" w:cs="Times New Roman"/>
          <w:sz w:val="24"/>
          <w:szCs w:val="24"/>
        </w:rPr>
        <w:t>berarti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tidak</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terjadi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Autokorelasi</w:t>
      </w:r>
      <w:r w:rsidRPr="00D07E78">
        <w:rPr>
          <w:rFonts w:ascii="Times New Roman" w:hAnsi="Times New Roman" w:cs="Times New Roman"/>
          <w:sz w:val="24"/>
          <w:szCs w:val="24"/>
        </w:rPr>
        <w:t xml:space="preserve"> pada </w:t>
      </w:r>
      <w:r w:rsidRPr="00D07E78">
        <w:rPr>
          <w:rFonts w:ascii="Times New Roman" w:hAnsi="Times New Roman" w:cs="Times New Roman"/>
          <w:sz w:val="24"/>
          <w:szCs w:val="24"/>
        </w:rPr>
        <w:t>penelitian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ini</w:t>
      </w:r>
      <w:r>
        <w:rPr>
          <w:rFonts w:ascii="Times New Roman" w:hAnsi="Times New Roman" w:cs="Times New Roman"/>
          <w:sz w:val="24"/>
          <w:szCs w:val="24"/>
        </w:rPr>
        <w:t>.</w:t>
      </w:r>
    </w:p>
    <w:p w:rsidR="00617E2B" w:rsidRPr="00985F2E" w:rsidP="00985F2E" w14:paraId="14D466A8" w14:textId="2A7CCBC6">
      <w:pPr>
        <w:autoSpaceDE w:val="0"/>
        <w:autoSpaceDN w:val="0"/>
        <w:adjustRightInd w:val="0"/>
        <w:spacing w:after="0" w:line="276" w:lineRule="auto"/>
        <w:ind w:left="1276"/>
        <w:jc w:val="center"/>
        <w:rPr>
          <w:rFonts w:ascii="Times New Roman" w:hAnsi="Times New Roman" w:cs="Times New Roman"/>
          <w:b/>
          <w:bCs/>
          <w:sz w:val="24"/>
          <w:szCs w:val="24"/>
        </w:rPr>
      </w:pPr>
      <w:r w:rsidRPr="00985F2E">
        <w:rPr>
          <w:rFonts w:ascii="Times New Roman" w:hAnsi="Times New Roman" w:cs="Times New Roman"/>
          <w:b/>
          <w:bCs/>
          <w:sz w:val="24"/>
          <w:szCs w:val="24"/>
        </w:rPr>
        <w:t>Tabel 1</w:t>
      </w:r>
      <w:r w:rsidR="00E20D14">
        <w:rPr>
          <w:rFonts w:ascii="Times New Roman" w:hAnsi="Times New Roman" w:cs="Times New Roman"/>
          <w:b/>
          <w:bCs/>
          <w:sz w:val="24"/>
          <w:szCs w:val="24"/>
        </w:rPr>
        <w:t>8</w:t>
      </w:r>
    </w:p>
    <w:p w:rsidR="00985F2E" w:rsidRPr="00985F2E" w:rsidP="00985F2E" w14:paraId="371B3338" w14:textId="012225BD">
      <w:pPr>
        <w:autoSpaceDE w:val="0"/>
        <w:autoSpaceDN w:val="0"/>
        <w:adjustRightInd w:val="0"/>
        <w:spacing w:after="0" w:line="276" w:lineRule="auto"/>
        <w:ind w:left="1276"/>
        <w:jc w:val="center"/>
        <w:rPr>
          <w:rFonts w:ascii="Times New Roman" w:hAnsi="Times New Roman" w:cs="Times New Roman"/>
          <w:b/>
          <w:bCs/>
          <w:sz w:val="24"/>
          <w:szCs w:val="24"/>
        </w:rPr>
      </w:pPr>
      <w:r w:rsidRPr="00985F2E">
        <w:rPr>
          <w:rFonts w:ascii="Times New Roman" w:hAnsi="Times New Roman" w:cs="Times New Roman"/>
          <w:b/>
          <w:bCs/>
          <w:sz w:val="24"/>
          <w:szCs w:val="24"/>
        </w:rPr>
        <w:t xml:space="preserve">Hasil </w:t>
      </w:r>
      <w:r w:rsidRPr="00985F2E">
        <w:rPr>
          <w:rFonts w:ascii="Times New Roman" w:hAnsi="Times New Roman" w:cs="Times New Roman"/>
          <w:b/>
          <w:bCs/>
          <w:sz w:val="24"/>
          <w:szCs w:val="24"/>
        </w:rPr>
        <w:t>Autokorelasi</w:t>
      </w:r>
      <w:r w:rsidRPr="00985F2E">
        <w:rPr>
          <w:rFonts w:ascii="Times New Roman" w:hAnsi="Times New Roman" w:cs="Times New Roman"/>
          <w:b/>
          <w:bCs/>
          <w:sz w:val="24"/>
          <w:szCs w:val="24"/>
        </w:rPr>
        <w:t xml:space="preserve"> </w:t>
      </w:r>
      <w:r w:rsidRPr="00985F2E">
        <w:rPr>
          <w:rFonts w:ascii="Times New Roman" w:hAnsi="Times New Roman" w:cs="Times New Roman"/>
          <w:b/>
          <w:bCs/>
          <w:sz w:val="24"/>
          <w:szCs w:val="24"/>
        </w:rPr>
        <w:t>Persamaan</w:t>
      </w:r>
      <w:r w:rsidRPr="00985F2E">
        <w:rPr>
          <w:rFonts w:ascii="Times New Roman" w:hAnsi="Times New Roman" w:cs="Times New Roman"/>
          <w:b/>
          <w:bCs/>
          <w:sz w:val="24"/>
          <w:szCs w:val="24"/>
        </w:rPr>
        <w:t xml:space="preserve"> II</w:t>
      </w:r>
    </w:p>
    <w:tbl>
      <w:tblPr>
        <w:tblW w:w="4292"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0"/>
        <w:gridCol w:w="994"/>
        <w:gridCol w:w="1134"/>
        <w:gridCol w:w="1841"/>
        <w:gridCol w:w="1986"/>
      </w:tblGrid>
      <w:tr w14:paraId="7B4718AE" w14:textId="77777777" w:rsidTr="00985F2E">
        <w:tblPrEx>
          <w:tblW w:w="4292" w:type="pct"/>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5"/>
            <w:shd w:val="clear" w:color="auto" w:fill="FFFFFF"/>
            <w:vAlign w:val="center"/>
          </w:tcPr>
          <w:p w:rsidR="00985F2E" w:rsidRPr="00985F2E" w:rsidP="00985F2E" w14:paraId="2988AC4F"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985F2E">
              <w:rPr>
                <w:rFonts w:ascii="Times New Roman" w:hAnsi="Times New Roman" w:cs="Times New Roman"/>
                <w:b/>
                <w:bCs/>
                <w:color w:val="010205"/>
                <w:sz w:val="20"/>
                <w:szCs w:val="20"/>
              </w:rPr>
              <w:t>Model Summary</w:t>
            </w:r>
          </w:p>
        </w:tc>
      </w:tr>
      <w:tr w14:paraId="35612A41" w14:textId="77777777" w:rsidTr="00985F2E">
        <w:tblPrEx>
          <w:tblW w:w="4292" w:type="pct"/>
          <w:tblInd w:w="1413" w:type="dxa"/>
          <w:tblCellMar>
            <w:left w:w="0" w:type="dxa"/>
            <w:right w:w="0" w:type="dxa"/>
          </w:tblCellMar>
          <w:tblLook w:val="0000"/>
        </w:tblPrEx>
        <w:trPr>
          <w:cantSplit/>
        </w:trPr>
        <w:tc>
          <w:tcPr>
            <w:tcW w:w="625" w:type="pct"/>
            <w:shd w:val="clear" w:color="auto" w:fill="FFFFFF"/>
            <w:vAlign w:val="bottom"/>
          </w:tcPr>
          <w:p w:rsidR="00985F2E" w:rsidRPr="00985F2E" w:rsidP="00985F2E" w14:paraId="718ABE13"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85F2E">
              <w:rPr>
                <w:rFonts w:ascii="Times New Roman" w:hAnsi="Times New Roman" w:cs="Times New Roman"/>
                <w:color w:val="264A60"/>
                <w:sz w:val="20"/>
                <w:szCs w:val="20"/>
              </w:rPr>
              <w:t>Model</w:t>
            </w:r>
          </w:p>
        </w:tc>
        <w:tc>
          <w:tcPr>
            <w:tcW w:w="730" w:type="pct"/>
            <w:shd w:val="clear" w:color="auto" w:fill="FFFFFF"/>
            <w:vAlign w:val="bottom"/>
          </w:tcPr>
          <w:p w:rsidR="00985F2E" w:rsidRPr="00985F2E" w:rsidP="00985F2E" w14:paraId="72AACA46"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85F2E">
              <w:rPr>
                <w:rFonts w:ascii="Times New Roman" w:hAnsi="Times New Roman" w:cs="Times New Roman"/>
                <w:color w:val="264A60"/>
                <w:sz w:val="20"/>
                <w:szCs w:val="20"/>
              </w:rPr>
              <w:t>R</w:t>
            </w:r>
          </w:p>
        </w:tc>
        <w:tc>
          <w:tcPr>
            <w:tcW w:w="833" w:type="pct"/>
            <w:shd w:val="clear" w:color="auto" w:fill="FFFFFF"/>
            <w:vAlign w:val="bottom"/>
          </w:tcPr>
          <w:p w:rsidR="00985F2E" w:rsidRPr="00985F2E" w:rsidP="00985F2E" w14:paraId="1D1EC48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85F2E">
              <w:rPr>
                <w:rFonts w:ascii="Times New Roman" w:hAnsi="Times New Roman" w:cs="Times New Roman"/>
                <w:color w:val="264A60"/>
                <w:sz w:val="20"/>
                <w:szCs w:val="20"/>
              </w:rPr>
              <w:t>R Square</w:t>
            </w:r>
          </w:p>
        </w:tc>
        <w:tc>
          <w:tcPr>
            <w:tcW w:w="1353" w:type="pct"/>
            <w:shd w:val="clear" w:color="auto" w:fill="FFFFFF"/>
            <w:vAlign w:val="bottom"/>
          </w:tcPr>
          <w:p w:rsidR="00985F2E" w:rsidRPr="00985F2E" w:rsidP="00985F2E" w14:paraId="40658A6A"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85F2E">
              <w:rPr>
                <w:rFonts w:ascii="Times New Roman" w:hAnsi="Times New Roman" w:cs="Times New Roman"/>
                <w:color w:val="264A60"/>
                <w:sz w:val="20"/>
                <w:szCs w:val="20"/>
              </w:rPr>
              <w:t>Adjusted R Square</w:t>
            </w:r>
          </w:p>
        </w:tc>
        <w:tc>
          <w:tcPr>
            <w:tcW w:w="1459" w:type="pct"/>
            <w:shd w:val="clear" w:color="auto" w:fill="FFFFFF"/>
            <w:vAlign w:val="bottom"/>
          </w:tcPr>
          <w:p w:rsidR="00985F2E" w:rsidRPr="00985F2E" w:rsidP="00985F2E" w14:paraId="127BE086"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985F2E">
              <w:rPr>
                <w:rFonts w:ascii="Times New Roman" w:hAnsi="Times New Roman" w:cs="Times New Roman"/>
                <w:color w:val="264A60"/>
                <w:sz w:val="20"/>
                <w:szCs w:val="20"/>
              </w:rPr>
              <w:t>Std. Error of the Estimate</w:t>
            </w:r>
          </w:p>
        </w:tc>
      </w:tr>
      <w:tr w14:paraId="0949C8AF" w14:textId="77777777" w:rsidTr="00985F2E">
        <w:tblPrEx>
          <w:tblW w:w="4292" w:type="pct"/>
          <w:tblInd w:w="1413" w:type="dxa"/>
          <w:tblCellMar>
            <w:left w:w="0" w:type="dxa"/>
            <w:right w:w="0" w:type="dxa"/>
          </w:tblCellMar>
          <w:tblLook w:val="0000"/>
        </w:tblPrEx>
        <w:trPr>
          <w:cantSplit/>
        </w:trPr>
        <w:tc>
          <w:tcPr>
            <w:tcW w:w="625" w:type="pct"/>
            <w:shd w:val="clear" w:color="auto" w:fill="E0E0E0"/>
          </w:tcPr>
          <w:p w:rsidR="00985F2E" w:rsidRPr="00985F2E" w:rsidP="00985F2E" w14:paraId="6B9ED494"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985F2E">
              <w:rPr>
                <w:rFonts w:ascii="Times New Roman" w:hAnsi="Times New Roman" w:cs="Times New Roman"/>
                <w:color w:val="264A60"/>
                <w:sz w:val="20"/>
                <w:szCs w:val="20"/>
              </w:rPr>
              <w:t>1</w:t>
            </w:r>
          </w:p>
        </w:tc>
        <w:tc>
          <w:tcPr>
            <w:tcW w:w="730" w:type="pct"/>
            <w:shd w:val="clear" w:color="auto" w:fill="F9F9FB"/>
          </w:tcPr>
          <w:p w:rsidR="00985F2E" w:rsidRPr="00985F2E" w:rsidP="00985F2E" w14:paraId="474E313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85F2E">
              <w:rPr>
                <w:rFonts w:ascii="Times New Roman" w:hAnsi="Times New Roman" w:cs="Times New Roman"/>
                <w:color w:val="010205"/>
                <w:sz w:val="20"/>
                <w:szCs w:val="20"/>
              </w:rPr>
              <w:t>.168</w:t>
            </w:r>
            <w:r w:rsidRPr="00985F2E">
              <w:rPr>
                <w:rFonts w:ascii="Times New Roman" w:hAnsi="Times New Roman" w:cs="Times New Roman"/>
                <w:color w:val="010205"/>
                <w:sz w:val="20"/>
                <w:szCs w:val="20"/>
                <w:vertAlign w:val="superscript"/>
              </w:rPr>
              <w:t>a</w:t>
            </w:r>
          </w:p>
        </w:tc>
        <w:tc>
          <w:tcPr>
            <w:tcW w:w="833" w:type="pct"/>
            <w:shd w:val="clear" w:color="auto" w:fill="F9F9FB"/>
          </w:tcPr>
          <w:p w:rsidR="00985F2E" w:rsidRPr="00985F2E" w:rsidP="00985F2E" w14:paraId="1DC30A2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85F2E">
              <w:rPr>
                <w:rFonts w:ascii="Times New Roman" w:hAnsi="Times New Roman" w:cs="Times New Roman"/>
                <w:color w:val="010205"/>
                <w:sz w:val="20"/>
                <w:szCs w:val="20"/>
              </w:rPr>
              <w:t>.028</w:t>
            </w:r>
          </w:p>
        </w:tc>
        <w:tc>
          <w:tcPr>
            <w:tcW w:w="1353" w:type="pct"/>
            <w:shd w:val="clear" w:color="auto" w:fill="F9F9FB"/>
          </w:tcPr>
          <w:p w:rsidR="00985F2E" w:rsidRPr="00985F2E" w:rsidP="00985F2E" w14:paraId="5E689D8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85F2E">
              <w:rPr>
                <w:rFonts w:ascii="Times New Roman" w:hAnsi="Times New Roman" w:cs="Times New Roman"/>
                <w:color w:val="010205"/>
                <w:sz w:val="20"/>
                <w:szCs w:val="20"/>
              </w:rPr>
              <w:t>.002</w:t>
            </w:r>
          </w:p>
        </w:tc>
        <w:tc>
          <w:tcPr>
            <w:tcW w:w="1459" w:type="pct"/>
            <w:shd w:val="clear" w:color="auto" w:fill="F9F9FB"/>
          </w:tcPr>
          <w:p w:rsidR="00985F2E" w:rsidRPr="00985F2E" w:rsidP="00985F2E" w14:paraId="6E713D4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985F2E">
              <w:rPr>
                <w:rFonts w:ascii="Times New Roman" w:hAnsi="Times New Roman" w:cs="Times New Roman"/>
                <w:color w:val="010205"/>
                <w:sz w:val="20"/>
                <w:szCs w:val="20"/>
              </w:rPr>
              <w:t>1.25092754</w:t>
            </w:r>
          </w:p>
        </w:tc>
      </w:tr>
      <w:tr w14:paraId="3A83EA91" w14:textId="77777777" w:rsidTr="00985F2E">
        <w:tblPrEx>
          <w:tblW w:w="4292" w:type="pct"/>
          <w:tblInd w:w="1413" w:type="dxa"/>
          <w:tblCellMar>
            <w:left w:w="0" w:type="dxa"/>
            <w:right w:w="0" w:type="dxa"/>
          </w:tblCellMar>
          <w:tblLook w:val="0000"/>
        </w:tblPrEx>
        <w:trPr>
          <w:cantSplit/>
        </w:trPr>
        <w:tc>
          <w:tcPr>
            <w:tcW w:w="5000" w:type="pct"/>
            <w:gridSpan w:val="5"/>
            <w:shd w:val="clear" w:color="auto" w:fill="FFFFFF"/>
          </w:tcPr>
          <w:p w:rsidR="00985F2E" w:rsidRPr="00985F2E" w:rsidP="00985F2E" w14:paraId="6EA4920D"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985F2E">
              <w:rPr>
                <w:rFonts w:ascii="Times New Roman" w:hAnsi="Times New Roman" w:cs="Times New Roman"/>
                <w:color w:val="010205"/>
                <w:sz w:val="20"/>
                <w:szCs w:val="20"/>
              </w:rPr>
              <w:t>a. Predictors: (Constant), Ut_4, Green Banking, Corporate Social Responsibility</w:t>
            </w:r>
          </w:p>
        </w:tc>
      </w:tr>
    </w:tbl>
    <w:p w:rsidR="00985F2E" w:rsidRPr="008D7897" w:rsidP="00985F2E" w14:paraId="71CAA19A" w14:textId="49BF0400">
      <w:pPr>
        <w:autoSpaceDE w:val="0"/>
        <w:autoSpaceDN w:val="0"/>
        <w:adjustRightInd w:val="0"/>
        <w:spacing w:after="0" w:line="480" w:lineRule="auto"/>
        <w:ind w:left="1134" w:firstLine="306"/>
        <w:rPr>
          <w:rFonts w:ascii="Times New Roman" w:hAnsi="Times New Roman" w:cs="Times New Roman"/>
          <w:b/>
          <w:bCs/>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D07E78" w:rsidP="00985F2E" w14:paraId="0244E20F" w14:textId="135A4D33">
      <w:pPr>
        <w:autoSpaceDE w:val="0"/>
        <w:autoSpaceDN w:val="0"/>
        <w:adjustRightInd w:val="0"/>
        <w:spacing w:after="0" w:line="480" w:lineRule="auto"/>
        <w:ind w:left="1440" w:firstLine="720"/>
        <w:jc w:val="both"/>
        <w:rPr>
          <w:rFonts w:ascii="Times New Roman" w:hAnsi="Times New Roman" w:cs="Times New Roman"/>
          <w:sz w:val="24"/>
          <w:szCs w:val="24"/>
        </w:rPr>
      </w:pPr>
      <w:r w:rsidRPr="00D07E78">
        <w:rPr>
          <w:rFonts w:ascii="Times New Roman" w:hAnsi="Times New Roman" w:cs="Times New Roman"/>
          <w:sz w:val="24"/>
          <w:szCs w:val="24"/>
        </w:rPr>
        <w:t>Berdasarkan</w:t>
      </w:r>
      <w:r w:rsidRPr="00D07E78">
        <w:rPr>
          <w:rFonts w:ascii="Times New Roman" w:hAnsi="Times New Roman" w:cs="Times New Roman"/>
          <w:sz w:val="24"/>
          <w:szCs w:val="24"/>
        </w:rPr>
        <w:t xml:space="preserve"> Tabel </w:t>
      </w:r>
      <w:r>
        <w:rPr>
          <w:rFonts w:ascii="Times New Roman" w:hAnsi="Times New Roman" w:cs="Times New Roman"/>
          <w:sz w:val="24"/>
          <w:szCs w:val="24"/>
        </w:rPr>
        <w:t>17</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hasil</w:t>
      </w:r>
      <w:r w:rsidRPr="00D07E78">
        <w:rPr>
          <w:rFonts w:ascii="Times New Roman" w:hAnsi="Times New Roman" w:cs="Times New Roman"/>
          <w:sz w:val="24"/>
          <w:szCs w:val="24"/>
        </w:rPr>
        <w:t xml:space="preserve"> output </w:t>
      </w:r>
      <w:r>
        <w:rPr>
          <w:rFonts w:ascii="Times New Roman" w:hAnsi="Times New Roman" w:cs="Times New Roman"/>
          <w:sz w:val="24"/>
          <w:szCs w:val="24"/>
        </w:rPr>
        <w:t>persamaan</w:t>
      </w:r>
      <w:r>
        <w:rPr>
          <w:rFonts w:ascii="Times New Roman" w:hAnsi="Times New Roman" w:cs="Times New Roman"/>
          <w:sz w:val="24"/>
          <w:szCs w:val="24"/>
        </w:rPr>
        <w:t xml:space="preserve"> II </w:t>
      </w:r>
      <w:r w:rsidRPr="00D07E78">
        <w:rPr>
          <w:rFonts w:ascii="Times New Roman" w:hAnsi="Times New Roman" w:cs="Times New Roman"/>
          <w:sz w:val="24"/>
          <w:szCs w:val="24"/>
        </w:rPr>
        <w:t>menunjukkan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bahwa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sidRPr="008937C2">
        <w:rPr>
          <w:rFonts w:ascii="Times New Roman" w:hAnsi="Times New Roman" w:cs="Times New Roman"/>
          <w:i/>
          <w:iCs/>
          <w:sz w:val="24"/>
          <w:szCs w:val="24"/>
        </w:rPr>
        <w:t>R Square</w:t>
      </w:r>
      <w:r>
        <w:rPr>
          <w:rFonts w:ascii="Times New Roman" w:hAnsi="Times New Roman" w:cs="Times New Roman"/>
          <w:sz w:val="24"/>
          <w:szCs w:val="24"/>
        </w:rPr>
        <w:t xml:space="preserve"> </w:t>
      </w:r>
      <w:r w:rsidRPr="00D07E78">
        <w:rPr>
          <w:rFonts w:ascii="Times New Roman" w:hAnsi="Times New Roman" w:cs="Times New Roman"/>
          <w:sz w:val="24"/>
          <w:szCs w:val="24"/>
        </w:rPr>
        <w:t>adalah</w:t>
      </w:r>
      <w:r w:rsidRPr="00D07E78">
        <w:rPr>
          <w:rFonts w:ascii="Times New Roman" w:hAnsi="Times New Roman" w:cs="Times New Roman"/>
          <w:sz w:val="24"/>
          <w:szCs w:val="24"/>
        </w:rPr>
        <w:t xml:space="preserve"> 0</w:t>
      </w:r>
      <w:r>
        <w:rPr>
          <w:rFonts w:ascii="Times New Roman" w:hAnsi="Times New Roman" w:cs="Times New Roman"/>
          <w:sz w:val="24"/>
          <w:szCs w:val="24"/>
        </w:rPr>
        <w:t>,028</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Dengan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jumlah</w:t>
      </w:r>
      <w:r w:rsidRPr="00D07E78">
        <w:rPr>
          <w:rFonts w:ascii="Times New Roman" w:hAnsi="Times New Roman" w:cs="Times New Roman"/>
          <w:sz w:val="24"/>
          <w:szCs w:val="24"/>
        </w:rPr>
        <w:t xml:space="preserve"> n </w:t>
      </w:r>
      <w:r w:rsidRPr="00D07E78">
        <w:rPr>
          <w:rFonts w:ascii="Times New Roman" w:hAnsi="Times New Roman" w:cs="Times New Roman"/>
          <w:sz w:val="24"/>
          <w:szCs w:val="24"/>
        </w:rPr>
        <w:t>observasi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sebanyak</w:t>
      </w:r>
      <w:r w:rsidRPr="00D07E78">
        <w:rPr>
          <w:rFonts w:ascii="Times New Roman" w:hAnsi="Times New Roman" w:cs="Times New Roman"/>
          <w:sz w:val="24"/>
          <w:szCs w:val="24"/>
        </w:rPr>
        <w:t xml:space="preserve"> </w:t>
      </w:r>
      <w:r>
        <w:rPr>
          <w:rFonts w:ascii="Times New Roman" w:hAnsi="Times New Roman" w:cs="Times New Roman"/>
          <w:sz w:val="24"/>
          <w:szCs w:val="24"/>
        </w:rPr>
        <w:t>115</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maka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besarnya</w:t>
      </w:r>
      <w:r>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hitung</w:t>
      </w:r>
      <w:r w:rsidRPr="00D07E78">
        <w:rPr>
          <w:rFonts w:ascii="Times New Roman" w:hAnsi="Times New Roman" w:cs="Times New Roman"/>
          <w:sz w:val="24"/>
          <w:szCs w:val="24"/>
        </w:rPr>
        <w:t xml:space="preserve"> pada </w:t>
      </w:r>
      <w:r w:rsidRPr="00D07E78">
        <w:rPr>
          <w:rFonts w:ascii="Times New Roman" w:hAnsi="Times New Roman" w:cs="Times New Roman"/>
          <w:sz w:val="24"/>
          <w:szCs w:val="24"/>
        </w:rPr>
        <w:t>persamaan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ini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adalah</w:t>
      </w:r>
      <w:r w:rsidRPr="00D07E78">
        <w:rPr>
          <w:rFonts w:ascii="Times New Roman" w:hAnsi="Times New Roman" w:cs="Times New Roman"/>
          <w:sz w:val="24"/>
          <w:szCs w:val="24"/>
        </w:rPr>
        <w:t xml:space="preserve"> (</w:t>
      </w:r>
      <w:r>
        <w:rPr>
          <w:rFonts w:ascii="Times New Roman" w:hAnsi="Times New Roman" w:cs="Times New Roman"/>
          <w:sz w:val="24"/>
          <w:szCs w:val="24"/>
        </w:rPr>
        <w:t>115</w:t>
      </w:r>
      <w:r w:rsidRPr="00D07E78">
        <w:rPr>
          <w:rFonts w:ascii="Times New Roman" w:hAnsi="Times New Roman" w:cs="Times New Roman"/>
          <w:sz w:val="24"/>
          <w:szCs w:val="24"/>
        </w:rPr>
        <w:t>-1)</w:t>
      </w:r>
      <w:r>
        <w:rPr>
          <w:rFonts w:ascii="Times New Roman" w:hAnsi="Times New Roman" w:cs="Times New Roman"/>
          <w:sz w:val="24"/>
          <w:szCs w:val="24"/>
        </w:rPr>
        <w:t xml:space="preserve"> </w:t>
      </w:r>
      <w:r w:rsidRPr="00D07E78">
        <w:rPr>
          <w:rFonts w:ascii="Times New Roman" w:hAnsi="Times New Roman" w:cs="Times New Roman"/>
          <w:sz w:val="24"/>
          <w:szCs w:val="24"/>
        </w:rPr>
        <w:t>x</w:t>
      </w:r>
      <w:r>
        <w:rPr>
          <w:rFonts w:ascii="Times New Roman" w:hAnsi="Times New Roman" w:cs="Times New Roman"/>
          <w:sz w:val="24"/>
          <w:szCs w:val="24"/>
        </w:rPr>
        <w:t xml:space="preserve"> </w:t>
      </w:r>
      <w:r w:rsidRPr="00D07E78">
        <w:rPr>
          <w:rFonts w:ascii="Times New Roman" w:hAnsi="Times New Roman" w:cs="Times New Roman"/>
          <w:sz w:val="24"/>
          <w:szCs w:val="24"/>
        </w:rPr>
        <w:t>0.</w:t>
      </w:r>
      <w:r>
        <w:rPr>
          <w:rFonts w:ascii="Times New Roman" w:hAnsi="Times New Roman" w:cs="Times New Roman"/>
          <w:sz w:val="24"/>
          <w:szCs w:val="24"/>
        </w:rPr>
        <w:t>028</w:t>
      </w:r>
      <w:r w:rsidRPr="00D07E78">
        <w:rPr>
          <w:rFonts w:ascii="Times New Roman" w:hAnsi="Times New Roman" w:cs="Times New Roman"/>
          <w:sz w:val="24"/>
          <w:szCs w:val="24"/>
        </w:rPr>
        <w:t xml:space="preserve"> = </w:t>
      </w:r>
      <w:r>
        <w:rPr>
          <w:rFonts w:ascii="Times New Roman" w:hAnsi="Times New Roman" w:cs="Times New Roman"/>
          <w:sz w:val="24"/>
          <w:szCs w:val="24"/>
        </w:rPr>
        <w:t>3,192</w:t>
      </w:r>
      <w:r w:rsidRPr="00D07E78">
        <w:rPr>
          <w:rFonts w:ascii="Times New Roman" w:hAnsi="Times New Roman" w:cs="Times New Roman"/>
          <w:sz w:val="24"/>
          <w:szCs w:val="24"/>
        </w:rPr>
        <w:t xml:space="preserve">. Nilai </w:t>
      </w:r>
      <w:r w:rsidRPr="00D07E78">
        <w:rPr>
          <w:rFonts w:ascii="Times New Roman" w:hAnsi="Times New Roman" w:cs="Times New Roman"/>
          <w:sz w:val="24"/>
          <w:szCs w:val="24"/>
        </w:rPr>
        <w:t>ini</w:t>
      </w:r>
      <w:r>
        <w:rPr>
          <w:rFonts w:ascii="Times New Roman" w:hAnsi="Times New Roman" w:cs="Times New Roman"/>
          <w:sz w:val="24"/>
          <w:szCs w:val="24"/>
        </w:rPr>
        <w:t xml:space="preserve"> </w:t>
      </w:r>
      <w:r w:rsidRPr="00D07E78">
        <w:rPr>
          <w:rFonts w:ascii="Times New Roman" w:hAnsi="Times New Roman" w:cs="Times New Roman"/>
          <w:sz w:val="24"/>
          <w:szCs w:val="24"/>
        </w:rPr>
        <w:t>dibandingkan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dengan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tabel</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dengan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df</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hitung</w:t>
      </w:r>
      <w:r w:rsidRPr="00D07E78">
        <w:rPr>
          <w:rFonts w:ascii="Times New Roman" w:hAnsi="Times New Roman" w:cs="Times New Roman"/>
          <w:sz w:val="24"/>
          <w:szCs w:val="24"/>
        </w:rPr>
        <w:t xml:space="preserve"> = </w:t>
      </w:r>
      <w:r>
        <w:rPr>
          <w:rFonts w:ascii="Times New Roman" w:hAnsi="Times New Roman" w:cs="Times New Roman"/>
          <w:sz w:val="24"/>
          <w:szCs w:val="24"/>
        </w:rPr>
        <w:t>115</w:t>
      </w:r>
      <w:r w:rsidRPr="00D07E78">
        <w:rPr>
          <w:rFonts w:ascii="Times New Roman" w:hAnsi="Times New Roman" w:cs="Times New Roman"/>
          <w:sz w:val="24"/>
          <w:szCs w:val="24"/>
        </w:rPr>
        <w:t>-</w:t>
      </w:r>
      <w:r>
        <w:rPr>
          <w:rFonts w:ascii="Times New Roman" w:hAnsi="Times New Roman" w:cs="Times New Roman"/>
          <w:sz w:val="24"/>
          <w:szCs w:val="24"/>
        </w:rPr>
        <w:t xml:space="preserve">1 </w:t>
      </w:r>
      <w:r w:rsidRPr="00D07E78">
        <w:rPr>
          <w:rFonts w:ascii="Times New Roman" w:hAnsi="Times New Roman" w:cs="Times New Roman"/>
          <w:sz w:val="24"/>
          <w:szCs w:val="24"/>
        </w:rPr>
        <w:t>=</w:t>
      </w:r>
      <w:r>
        <w:rPr>
          <w:rFonts w:ascii="Times New Roman" w:hAnsi="Times New Roman" w:cs="Times New Roman"/>
          <w:sz w:val="24"/>
          <w:szCs w:val="24"/>
        </w:rPr>
        <w:t xml:space="preserve"> </w:t>
      </w:r>
      <w:r w:rsidR="00001FE9">
        <w:rPr>
          <w:rFonts w:ascii="Times New Roman" w:hAnsi="Times New Roman" w:cs="Times New Roman"/>
          <w:sz w:val="24"/>
          <w:szCs w:val="24"/>
        </w:rPr>
        <w:t xml:space="preserve">114 </w:t>
      </w:r>
      <w:r w:rsidRPr="00D07E78">
        <w:rPr>
          <w:rFonts w:ascii="Times New Roman" w:hAnsi="Times New Roman" w:cs="Times New Roman"/>
          <w:sz w:val="24"/>
          <w:szCs w:val="24"/>
        </w:rPr>
        <w:t xml:space="preserve">dan </w:t>
      </w:r>
      <w:r w:rsidRPr="00D07E78">
        <w:rPr>
          <w:rFonts w:ascii="Times New Roman" w:hAnsi="Times New Roman" w:cs="Times New Roman"/>
          <w:sz w:val="24"/>
          <w:szCs w:val="24"/>
        </w:rPr>
        <w:t>tingkat</w:t>
      </w:r>
      <w:r>
        <w:rPr>
          <w:rFonts w:ascii="Times New Roman" w:hAnsi="Times New Roman" w:cs="Times New Roman"/>
          <w:sz w:val="24"/>
          <w:szCs w:val="24"/>
        </w:rPr>
        <w:t xml:space="preserve"> </w:t>
      </w:r>
      <w:r w:rsidRPr="00D07E78">
        <w:rPr>
          <w:rFonts w:ascii="Times New Roman" w:hAnsi="Times New Roman" w:cs="Times New Roman"/>
          <w:sz w:val="24"/>
          <w:szCs w:val="24"/>
        </w:rPr>
        <w:t>signifikansinya</w:t>
      </w:r>
      <w:r w:rsidRPr="00D07E78">
        <w:rPr>
          <w:rFonts w:ascii="Times New Roman" w:hAnsi="Times New Roman" w:cs="Times New Roman"/>
          <w:sz w:val="24"/>
          <w:szCs w:val="24"/>
        </w:rPr>
        <w:t xml:space="preserve"> 0,05</w:t>
      </w:r>
      <w:r>
        <w:rPr>
          <w:rFonts w:ascii="Times New Roman" w:hAnsi="Times New Roman" w:cs="Times New Roman"/>
          <w:sz w:val="24"/>
          <w:szCs w:val="24"/>
        </w:rPr>
        <w:t xml:space="preserve"> </w:t>
      </w:r>
      <w:r w:rsidRPr="00D07E78">
        <w:rPr>
          <w:rFonts w:ascii="Times New Roman" w:hAnsi="Times New Roman" w:cs="Times New Roman"/>
          <w:sz w:val="24"/>
          <w:szCs w:val="24"/>
        </w:rPr>
        <w:t>didapat</w:t>
      </w:r>
      <w:r>
        <w:rPr>
          <w:rFonts w:ascii="Times New Roman" w:hAnsi="Times New Roman" w:cs="Times New Roman"/>
          <w:sz w:val="24"/>
          <w:szCs w:val="24"/>
        </w:rPr>
        <w:t xml:space="preserve"> </w:t>
      </w:r>
      <w:r w:rsidRPr="00D07E78">
        <w:rPr>
          <w:rFonts w:ascii="Times New Roman" w:hAnsi="Times New Roman" w:cs="Times New Roman"/>
          <w:sz w:val="24"/>
          <w:szCs w:val="24"/>
        </w:rPr>
        <w:t>nilai</w:t>
      </w:r>
      <w:r w:rsidRPr="00D07E78">
        <w:rPr>
          <w:rFonts w:ascii="Times New Roman" w:hAnsi="Times New Roman" w:cs="Times New Roman"/>
          <w:sz w:val="24"/>
          <w:szCs w:val="24"/>
        </w:rPr>
        <w:t xml:space="preserve">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tabel</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sebesar</w:t>
      </w:r>
      <w:r w:rsidRPr="00D07E78">
        <w:rPr>
          <w:rFonts w:ascii="Times New Roman" w:hAnsi="Times New Roman" w:cs="Times New Roman"/>
          <w:sz w:val="24"/>
          <w:szCs w:val="24"/>
        </w:rPr>
        <w:t xml:space="preserve"> </w:t>
      </w:r>
      <w:r w:rsidR="001E6162">
        <w:rPr>
          <w:rFonts w:ascii="Times New Roman" w:hAnsi="Times New Roman" w:cs="Times New Roman"/>
          <w:sz w:val="24"/>
          <w:szCs w:val="24"/>
        </w:rPr>
        <w:t>139,921</w:t>
      </w:r>
      <w:r w:rsidRPr="00D07E78">
        <w:rPr>
          <w:rFonts w:ascii="Times New Roman" w:hAnsi="Times New Roman" w:cs="Times New Roman"/>
          <w:sz w:val="24"/>
          <w:szCs w:val="24"/>
        </w:rPr>
        <w:t xml:space="preserve">. Oleh </w:t>
      </w:r>
      <w:r w:rsidRPr="00D07E78">
        <w:rPr>
          <w:rFonts w:ascii="Times New Roman" w:hAnsi="Times New Roman" w:cs="Times New Roman"/>
          <w:sz w:val="24"/>
          <w:szCs w:val="24"/>
        </w:rPr>
        <w:t>karena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nilai</w:t>
      </w:r>
      <w:r>
        <w:rPr>
          <w:rFonts w:ascii="Times New Roman" w:hAnsi="Times New Roman" w:cs="Times New Roman"/>
          <w:sz w:val="24"/>
          <w:szCs w:val="24"/>
        </w:rPr>
        <w:t xml:space="preserve"> 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hitung</w:t>
      </w:r>
      <w:r>
        <w:rPr>
          <w:rFonts w:ascii="Times New Roman" w:hAnsi="Times New Roman" w:cs="Times New Roman"/>
          <w:sz w:val="24"/>
          <w:szCs w:val="24"/>
        </w:rPr>
        <w:t xml:space="preserve"> </w:t>
      </w:r>
      <w:r w:rsidRPr="00D07E78">
        <w:rPr>
          <w:rFonts w:ascii="Times New Roman" w:hAnsi="Times New Roman" w:cs="Times New Roman"/>
          <w:sz w:val="24"/>
          <w:szCs w:val="24"/>
        </w:rPr>
        <w:t xml:space="preserve">&lt; </w:t>
      </w:r>
      <w:r>
        <w:rPr>
          <w:rFonts w:ascii="Times New Roman" w:hAnsi="Times New Roman" w:cs="Times New Roman"/>
          <w:sz w:val="24"/>
          <w:szCs w:val="24"/>
        </w:rPr>
        <w:t>X</w:t>
      </w:r>
      <w:r w:rsidRPr="00D07E78">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07E78">
        <w:rPr>
          <w:rFonts w:ascii="Times New Roman" w:hAnsi="Times New Roman" w:cs="Times New Roman"/>
          <w:sz w:val="24"/>
          <w:szCs w:val="24"/>
        </w:rPr>
        <w:t>tabel</w:t>
      </w:r>
      <w:r w:rsidRPr="00D07E78">
        <w:rPr>
          <w:rFonts w:ascii="Times New Roman" w:hAnsi="Times New Roman" w:cs="Times New Roman"/>
          <w:sz w:val="24"/>
          <w:szCs w:val="24"/>
        </w:rPr>
        <w:t>,</w:t>
      </w:r>
      <w:r>
        <w:rPr>
          <w:rFonts w:ascii="Times New Roman" w:hAnsi="Times New Roman" w:cs="Times New Roman"/>
          <w:sz w:val="24"/>
          <w:szCs w:val="24"/>
        </w:rPr>
        <w:t xml:space="preserve"> </w:t>
      </w:r>
      <w:r w:rsidRPr="00D07E78">
        <w:rPr>
          <w:rFonts w:ascii="Times New Roman" w:hAnsi="Times New Roman" w:cs="Times New Roman"/>
          <w:sz w:val="24"/>
          <w:szCs w:val="24"/>
        </w:rPr>
        <w:t>maka</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dapat</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disimpulkan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bahwa</w:t>
      </w:r>
      <w:r w:rsidRPr="00D07E78">
        <w:rPr>
          <w:rFonts w:ascii="Times New Roman" w:hAnsi="Times New Roman" w:cs="Times New Roman"/>
          <w:sz w:val="24"/>
          <w:szCs w:val="24"/>
        </w:rPr>
        <w:t xml:space="preserve"> model </w:t>
      </w:r>
      <w:r w:rsidRPr="00D07E78">
        <w:rPr>
          <w:rFonts w:ascii="Times New Roman" w:hAnsi="Times New Roman" w:cs="Times New Roman"/>
          <w:sz w:val="24"/>
          <w:szCs w:val="24"/>
        </w:rPr>
        <w:t>persamaan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ini</w:t>
      </w:r>
      <w:r>
        <w:rPr>
          <w:rFonts w:ascii="Times New Roman" w:hAnsi="Times New Roman" w:cs="Times New Roman"/>
          <w:sz w:val="24"/>
          <w:szCs w:val="24"/>
        </w:rPr>
        <w:t xml:space="preserve"> </w:t>
      </w:r>
      <w:r w:rsidRPr="00D07E78">
        <w:rPr>
          <w:rFonts w:ascii="Times New Roman" w:hAnsi="Times New Roman" w:cs="Times New Roman"/>
          <w:sz w:val="24"/>
          <w:szCs w:val="24"/>
        </w:rPr>
        <w:t>berarti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tidak</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terjadi</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Autokorelasi</w:t>
      </w:r>
      <w:r w:rsidRPr="00D07E78">
        <w:rPr>
          <w:rFonts w:ascii="Times New Roman" w:hAnsi="Times New Roman" w:cs="Times New Roman"/>
          <w:sz w:val="24"/>
          <w:szCs w:val="24"/>
        </w:rPr>
        <w:t xml:space="preserve"> pada </w:t>
      </w:r>
      <w:r w:rsidRPr="00D07E78">
        <w:rPr>
          <w:rFonts w:ascii="Times New Roman" w:hAnsi="Times New Roman" w:cs="Times New Roman"/>
          <w:sz w:val="24"/>
          <w:szCs w:val="24"/>
        </w:rPr>
        <w:t>penelitian</w:t>
      </w:r>
      <w:r w:rsidRPr="00D07E78">
        <w:rPr>
          <w:rFonts w:ascii="Times New Roman" w:hAnsi="Times New Roman" w:cs="Times New Roman"/>
          <w:sz w:val="24"/>
          <w:szCs w:val="24"/>
        </w:rPr>
        <w:t xml:space="preserve"> </w:t>
      </w:r>
      <w:r w:rsidRPr="00D07E78">
        <w:rPr>
          <w:rFonts w:ascii="Times New Roman" w:hAnsi="Times New Roman" w:cs="Times New Roman"/>
          <w:sz w:val="24"/>
          <w:szCs w:val="24"/>
        </w:rPr>
        <w:t>ini</w:t>
      </w:r>
      <w:r>
        <w:rPr>
          <w:rFonts w:ascii="Times New Roman" w:hAnsi="Times New Roman" w:cs="Times New Roman"/>
          <w:sz w:val="24"/>
          <w:szCs w:val="24"/>
        </w:rPr>
        <w:t>.</w:t>
      </w:r>
    </w:p>
    <w:p w:rsidR="003E4282" w:rsidRPr="00985F2E" w:rsidP="00985F2E" w14:paraId="043B6FDF" w14:textId="77777777">
      <w:pPr>
        <w:autoSpaceDE w:val="0"/>
        <w:autoSpaceDN w:val="0"/>
        <w:adjustRightInd w:val="0"/>
        <w:spacing w:after="0" w:line="480" w:lineRule="auto"/>
        <w:ind w:left="1440" w:firstLine="720"/>
        <w:jc w:val="both"/>
        <w:rPr>
          <w:rFonts w:ascii="Times New Roman" w:hAnsi="Times New Roman" w:cs="Times New Roman"/>
          <w:sz w:val="24"/>
          <w:szCs w:val="24"/>
        </w:rPr>
      </w:pPr>
    </w:p>
    <w:p w:rsidR="00A40572" w:rsidP="00A40572" w14:paraId="13676BA6" w14:textId="77777777">
      <w:pPr>
        <w:pStyle w:val="ListParagraph"/>
        <w:numPr>
          <w:ilvl w:val="1"/>
          <w:numId w:val="76"/>
        </w:numPr>
        <w:spacing w:after="0" w:line="480" w:lineRule="auto"/>
        <w:jc w:val="both"/>
        <w:rPr>
          <w:rFonts w:ascii="Times New Roman" w:hAnsi="Times New Roman" w:cs="Times New Roman"/>
          <w:b/>
          <w:bCs/>
          <w:sz w:val="24"/>
          <w:szCs w:val="24"/>
        </w:rPr>
      </w:pPr>
      <w:r w:rsidRPr="00D958F8">
        <w:rPr>
          <w:rFonts w:ascii="Times New Roman" w:hAnsi="Times New Roman" w:cs="Times New Roman"/>
          <w:b/>
          <w:bCs/>
          <w:sz w:val="24"/>
          <w:szCs w:val="24"/>
        </w:rPr>
        <w:t>Analisis</w:t>
      </w:r>
      <w:r w:rsidRPr="00D958F8">
        <w:rPr>
          <w:rFonts w:ascii="Times New Roman" w:hAnsi="Times New Roman" w:cs="Times New Roman"/>
          <w:b/>
          <w:bCs/>
          <w:sz w:val="24"/>
          <w:szCs w:val="24"/>
        </w:rPr>
        <w:t xml:space="preserve"> Jalur</w:t>
      </w:r>
    </w:p>
    <w:p w:rsidR="00A40572" w:rsidRPr="00173FA1" w:rsidP="00173FA1" w14:paraId="124B1FB7" w14:textId="33735B08">
      <w:pPr>
        <w:pStyle w:val="ListParagraph"/>
        <w:spacing w:after="0" w:line="480" w:lineRule="auto"/>
        <w:ind w:left="851" w:firstLine="589"/>
        <w:jc w:val="both"/>
        <w:rPr>
          <w:rFonts w:ascii="Times New Roman" w:hAnsi="Times New Roman" w:cs="Times New Roman"/>
          <w:sz w:val="24"/>
          <w:szCs w:val="24"/>
        </w:rPr>
      </w:pPr>
      <w:r w:rsidRPr="00A40572">
        <w:rPr>
          <w:rFonts w:ascii="Times New Roman" w:hAnsi="Times New Roman" w:cs="Times New Roman"/>
          <w:sz w:val="24"/>
          <w:szCs w:val="24"/>
        </w:rPr>
        <w:t>Untuk</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melihat</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pengaruh</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antarvariabel</w:t>
      </w:r>
      <w:r w:rsidRPr="00A40572">
        <w:rPr>
          <w:rFonts w:ascii="Times New Roman" w:hAnsi="Times New Roman" w:cs="Times New Roman"/>
          <w:sz w:val="24"/>
          <w:szCs w:val="24"/>
        </w:rPr>
        <w:t xml:space="preserve"> pada </w:t>
      </w:r>
      <w:r w:rsidRPr="00A40572">
        <w:rPr>
          <w:rFonts w:ascii="Times New Roman" w:hAnsi="Times New Roman" w:cs="Times New Roman"/>
          <w:sz w:val="24"/>
          <w:szCs w:val="24"/>
        </w:rPr>
        <w:t>penelitian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ini</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menggunakan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metode</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analisis</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jalur</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Analisis</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jalur</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adalah</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bagian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dari</w:t>
      </w:r>
      <w:r w:rsidRPr="00A40572">
        <w:rPr>
          <w:rFonts w:ascii="Times New Roman" w:hAnsi="Times New Roman" w:cs="Times New Roman"/>
          <w:sz w:val="24"/>
          <w:szCs w:val="24"/>
        </w:rPr>
        <w:t xml:space="preserve"> model </w:t>
      </w:r>
      <w:r w:rsidRPr="00A40572">
        <w:rPr>
          <w:rFonts w:ascii="Times New Roman" w:hAnsi="Times New Roman" w:cs="Times New Roman"/>
          <w:sz w:val="24"/>
          <w:szCs w:val="24"/>
        </w:rPr>
        <w:t>regresi</w:t>
      </w:r>
      <w:r w:rsidRPr="00A40572">
        <w:rPr>
          <w:rFonts w:ascii="Times New Roman" w:hAnsi="Times New Roman" w:cs="Times New Roman"/>
          <w:sz w:val="24"/>
          <w:szCs w:val="24"/>
        </w:rPr>
        <w:t xml:space="preserve"> yang </w:t>
      </w:r>
      <w:r w:rsidRPr="00A40572">
        <w:rPr>
          <w:rFonts w:ascii="Times New Roman" w:hAnsi="Times New Roman" w:cs="Times New Roman"/>
          <w:sz w:val="24"/>
          <w:szCs w:val="24"/>
        </w:rPr>
        <w:t>dapat</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digunakan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untuk</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menganalisis</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hubungan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akibat</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antar</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satu</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variabel</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dengan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variabel</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lainnya.dalame</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penelitian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ini</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terdapat</w:t>
      </w:r>
      <w:r w:rsidRPr="00A40572">
        <w:rPr>
          <w:rFonts w:ascii="Times New Roman" w:hAnsi="Times New Roman" w:cs="Times New Roman"/>
          <w:sz w:val="24"/>
          <w:szCs w:val="24"/>
        </w:rPr>
        <w:t xml:space="preserve"> 3 </w:t>
      </w:r>
      <w:r w:rsidRPr="00A40572">
        <w:rPr>
          <w:rFonts w:ascii="Times New Roman" w:hAnsi="Times New Roman" w:cs="Times New Roman"/>
          <w:sz w:val="24"/>
          <w:szCs w:val="24"/>
        </w:rPr>
        <w:t>proksi</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kinerja</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keuangan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yaitu</w:t>
      </w:r>
      <w:r w:rsidRPr="00A40572">
        <w:rPr>
          <w:rFonts w:ascii="Times New Roman" w:hAnsi="Times New Roman" w:cs="Times New Roman"/>
          <w:sz w:val="24"/>
          <w:szCs w:val="24"/>
        </w:rPr>
        <w:t xml:space="preserve"> </w:t>
      </w:r>
      <w:r w:rsidRPr="008937C2">
        <w:rPr>
          <w:rFonts w:ascii="Times New Roman" w:hAnsi="Times New Roman" w:cs="Times New Roman"/>
          <w:i/>
          <w:iCs/>
          <w:sz w:val="24"/>
          <w:szCs w:val="24"/>
        </w:rPr>
        <w:t>return on assets</w:t>
      </w:r>
      <w:r w:rsidR="008937C2">
        <w:rPr>
          <w:rFonts w:ascii="Times New Roman" w:hAnsi="Times New Roman" w:cs="Times New Roman"/>
          <w:i/>
          <w:iCs/>
          <w:sz w:val="24"/>
          <w:szCs w:val="24"/>
        </w:rPr>
        <w:t xml:space="preserve"> </w:t>
      </w:r>
      <w:r w:rsidR="008937C2">
        <w:rPr>
          <w:rFonts w:ascii="Times New Roman" w:hAnsi="Times New Roman" w:cs="Times New Roman"/>
          <w:sz w:val="24"/>
          <w:szCs w:val="24"/>
        </w:rPr>
        <w:t>(ROA)</w:t>
      </w:r>
      <w:r w:rsidRPr="00A40572">
        <w:rPr>
          <w:rFonts w:ascii="Times New Roman" w:hAnsi="Times New Roman" w:cs="Times New Roman"/>
          <w:sz w:val="24"/>
          <w:szCs w:val="24"/>
        </w:rPr>
        <w:t xml:space="preserve">, </w:t>
      </w:r>
      <w:r w:rsidRPr="008937C2">
        <w:rPr>
          <w:rFonts w:ascii="Times New Roman" w:hAnsi="Times New Roman" w:cs="Times New Roman"/>
          <w:i/>
          <w:iCs/>
          <w:sz w:val="24"/>
          <w:szCs w:val="24"/>
        </w:rPr>
        <w:t>return on equity</w:t>
      </w:r>
      <w:r w:rsidR="008937C2">
        <w:rPr>
          <w:rFonts w:ascii="Times New Roman" w:hAnsi="Times New Roman" w:cs="Times New Roman"/>
          <w:sz w:val="24"/>
          <w:szCs w:val="24"/>
        </w:rPr>
        <w:t xml:space="preserve"> (ROE)</w:t>
      </w:r>
      <w:r w:rsidRPr="00A40572">
        <w:rPr>
          <w:rFonts w:ascii="Times New Roman" w:hAnsi="Times New Roman" w:cs="Times New Roman"/>
          <w:sz w:val="24"/>
          <w:szCs w:val="24"/>
        </w:rPr>
        <w:t xml:space="preserve">, dan </w:t>
      </w:r>
      <w:r w:rsidRPr="008937C2">
        <w:rPr>
          <w:rFonts w:ascii="Times New Roman" w:hAnsi="Times New Roman" w:cs="Times New Roman"/>
          <w:i/>
          <w:iCs/>
          <w:sz w:val="24"/>
          <w:szCs w:val="24"/>
        </w:rPr>
        <w:t>net interest margin</w:t>
      </w:r>
      <w:r w:rsidR="008937C2">
        <w:rPr>
          <w:rFonts w:ascii="Times New Roman" w:hAnsi="Times New Roman" w:cs="Times New Roman"/>
          <w:sz w:val="24"/>
          <w:szCs w:val="24"/>
        </w:rPr>
        <w:t xml:space="preserve"> (NIM)</w:t>
      </w:r>
      <w:r w:rsidRPr="00A40572">
        <w:rPr>
          <w:rFonts w:ascii="Times New Roman" w:hAnsi="Times New Roman" w:cs="Times New Roman"/>
          <w:sz w:val="24"/>
          <w:szCs w:val="24"/>
        </w:rPr>
        <w:t xml:space="preserve"> yang masing-</w:t>
      </w:r>
      <w:r w:rsidRPr="00A40572">
        <w:rPr>
          <w:rFonts w:ascii="Times New Roman" w:hAnsi="Times New Roman" w:cs="Times New Roman"/>
          <w:sz w:val="24"/>
          <w:szCs w:val="24"/>
        </w:rPr>
        <w:t>masingnya</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diujikan</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dalam</w:t>
      </w:r>
      <w:r w:rsidRPr="00A40572">
        <w:rPr>
          <w:rFonts w:ascii="Times New Roman" w:hAnsi="Times New Roman" w:cs="Times New Roman"/>
          <w:sz w:val="24"/>
          <w:szCs w:val="24"/>
        </w:rPr>
        <w:t xml:space="preserve"> uji </w:t>
      </w:r>
      <w:r w:rsidRPr="00A40572">
        <w:rPr>
          <w:rFonts w:ascii="Times New Roman" w:hAnsi="Times New Roman" w:cs="Times New Roman"/>
          <w:sz w:val="24"/>
          <w:szCs w:val="24"/>
        </w:rPr>
        <w:t>analisis</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jalur</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sebagai</w:t>
      </w:r>
      <w:r w:rsidRPr="00A40572">
        <w:rPr>
          <w:rFonts w:ascii="Times New Roman" w:hAnsi="Times New Roman" w:cs="Times New Roman"/>
          <w:sz w:val="24"/>
          <w:szCs w:val="24"/>
        </w:rPr>
        <w:t xml:space="preserve"> </w:t>
      </w:r>
      <w:r w:rsidRPr="00A40572">
        <w:rPr>
          <w:rFonts w:ascii="Times New Roman" w:hAnsi="Times New Roman" w:cs="Times New Roman"/>
          <w:sz w:val="24"/>
          <w:szCs w:val="24"/>
        </w:rPr>
        <w:t>berikut</w:t>
      </w:r>
      <w:r w:rsidRPr="00A40572">
        <w:rPr>
          <w:rFonts w:ascii="Times New Roman" w:hAnsi="Times New Roman" w:cs="Times New Roman"/>
          <w:sz w:val="24"/>
          <w:szCs w:val="24"/>
        </w:rPr>
        <w:t>:</w:t>
      </w:r>
    </w:p>
    <w:p w:rsidR="00A40572" w:rsidRPr="00A40572" w:rsidP="00173FA1" w14:paraId="255774D2" w14:textId="3AB3DC92">
      <w:pPr>
        <w:pStyle w:val="ListParagraph"/>
        <w:autoSpaceDE w:val="0"/>
        <w:autoSpaceDN w:val="0"/>
        <w:adjustRightInd w:val="0"/>
        <w:spacing w:after="0" w:line="276" w:lineRule="auto"/>
        <w:ind w:left="1800"/>
        <w:jc w:val="center"/>
        <w:rPr>
          <w:rFonts w:ascii="Times New Roman" w:hAnsi="Times New Roman" w:cs="Times New Roman"/>
          <w:b/>
          <w:bCs/>
          <w:sz w:val="24"/>
          <w:szCs w:val="24"/>
        </w:rPr>
      </w:pPr>
      <w:r w:rsidRPr="00A40572">
        <w:rPr>
          <w:rFonts w:ascii="Times New Roman" w:hAnsi="Times New Roman" w:cs="Times New Roman"/>
          <w:b/>
          <w:bCs/>
          <w:sz w:val="24"/>
          <w:szCs w:val="24"/>
        </w:rPr>
        <w:t>Tabel 1</w:t>
      </w:r>
      <w:r w:rsidR="00E20D14">
        <w:rPr>
          <w:rFonts w:ascii="Times New Roman" w:hAnsi="Times New Roman" w:cs="Times New Roman"/>
          <w:b/>
          <w:bCs/>
          <w:sz w:val="24"/>
          <w:szCs w:val="24"/>
        </w:rPr>
        <w:t>9</w:t>
      </w:r>
    </w:p>
    <w:p w:rsidR="00A40572" w:rsidRPr="00A40572" w:rsidP="00173FA1" w14:paraId="67E0E2DC" w14:textId="023754D9">
      <w:pPr>
        <w:pStyle w:val="ListParagraph"/>
        <w:autoSpaceDE w:val="0"/>
        <w:autoSpaceDN w:val="0"/>
        <w:adjustRightInd w:val="0"/>
        <w:spacing w:after="0" w:line="276" w:lineRule="auto"/>
        <w:ind w:left="1800"/>
        <w:jc w:val="center"/>
        <w:rPr>
          <w:rFonts w:ascii="Times New Roman" w:hAnsi="Times New Roman" w:cs="Times New Roman"/>
          <w:b/>
          <w:bCs/>
          <w:sz w:val="24"/>
          <w:szCs w:val="24"/>
        </w:rPr>
      </w:pPr>
      <w:r w:rsidRPr="00A40572">
        <w:rPr>
          <w:rFonts w:ascii="Times New Roman" w:hAnsi="Times New Roman" w:cs="Times New Roman"/>
          <w:b/>
          <w:bCs/>
          <w:sz w:val="24"/>
          <w:szCs w:val="24"/>
        </w:rPr>
        <w:t>Analisis</w:t>
      </w:r>
      <w:r w:rsidRPr="00A40572">
        <w:rPr>
          <w:rFonts w:ascii="Times New Roman" w:hAnsi="Times New Roman" w:cs="Times New Roman"/>
          <w:b/>
          <w:bCs/>
          <w:sz w:val="24"/>
          <w:szCs w:val="24"/>
        </w:rPr>
        <w:t xml:space="preserve"> </w:t>
      </w:r>
      <w:r w:rsidRPr="00A40572">
        <w:rPr>
          <w:rFonts w:ascii="Times New Roman" w:hAnsi="Times New Roman" w:cs="Times New Roman"/>
          <w:b/>
          <w:bCs/>
          <w:sz w:val="24"/>
          <w:szCs w:val="24"/>
        </w:rPr>
        <w:t>jalur</w:t>
      </w:r>
      <w:r w:rsidRPr="00A40572">
        <w:rPr>
          <w:rFonts w:ascii="Times New Roman" w:hAnsi="Times New Roman" w:cs="Times New Roman"/>
          <w:b/>
          <w:bCs/>
          <w:sz w:val="24"/>
          <w:szCs w:val="24"/>
        </w:rPr>
        <w:t xml:space="preserve"> model </w:t>
      </w:r>
      <w:r w:rsidRPr="00A40572">
        <w:rPr>
          <w:rFonts w:ascii="Times New Roman" w:hAnsi="Times New Roman" w:cs="Times New Roman"/>
          <w:b/>
          <w:bCs/>
          <w:sz w:val="24"/>
          <w:szCs w:val="24"/>
        </w:rPr>
        <w:t>persamaan</w:t>
      </w:r>
      <w:r w:rsidRPr="00A40572">
        <w:rPr>
          <w:rFonts w:ascii="Times New Roman" w:hAnsi="Times New Roman" w:cs="Times New Roman"/>
          <w:b/>
          <w:bCs/>
          <w:sz w:val="24"/>
          <w:szCs w:val="24"/>
        </w:rPr>
        <w:t xml:space="preserve"> I</w:t>
      </w:r>
    </w:p>
    <w:tbl>
      <w:tblPr>
        <w:tblW w:w="5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1"/>
        <w:gridCol w:w="851"/>
        <w:gridCol w:w="1134"/>
        <w:gridCol w:w="1134"/>
        <w:gridCol w:w="1294"/>
      </w:tblGrid>
      <w:tr w14:paraId="7997C4D5" w14:textId="77777777" w:rsidTr="00173FA1">
        <w:tblPrEx>
          <w:tblW w:w="5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jc w:val="right"/>
        </w:trPr>
        <w:tc>
          <w:tcPr>
            <w:tcW w:w="5694" w:type="dxa"/>
            <w:gridSpan w:val="5"/>
            <w:shd w:val="clear" w:color="auto" w:fill="FFFFFF"/>
            <w:vAlign w:val="center"/>
          </w:tcPr>
          <w:p w:rsidR="00A40572" w:rsidRPr="00A40572" w:rsidP="00173FA1" w14:paraId="272961C0"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40572">
              <w:rPr>
                <w:rFonts w:ascii="Times New Roman" w:hAnsi="Times New Roman" w:cs="Times New Roman"/>
                <w:b/>
                <w:bCs/>
                <w:color w:val="010205"/>
                <w:sz w:val="20"/>
                <w:szCs w:val="20"/>
              </w:rPr>
              <w:t>Model Summary</w:t>
            </w:r>
          </w:p>
        </w:tc>
      </w:tr>
      <w:tr w14:paraId="7B442965" w14:textId="77777777" w:rsidTr="00173FA1">
        <w:tblPrEx>
          <w:tblW w:w="5694" w:type="dxa"/>
          <w:jc w:val="right"/>
          <w:tblLayout w:type="fixed"/>
          <w:tblCellMar>
            <w:left w:w="0" w:type="dxa"/>
            <w:right w:w="0" w:type="dxa"/>
          </w:tblCellMar>
          <w:tblLook w:val="0000"/>
        </w:tblPrEx>
        <w:trPr>
          <w:cantSplit/>
          <w:jc w:val="right"/>
        </w:trPr>
        <w:tc>
          <w:tcPr>
            <w:tcW w:w="1281" w:type="dxa"/>
            <w:shd w:val="clear" w:color="auto" w:fill="FFFFFF"/>
            <w:vAlign w:val="bottom"/>
          </w:tcPr>
          <w:p w:rsidR="00A40572" w:rsidRPr="00A40572" w:rsidP="00173FA1" w14:paraId="4E67278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0572">
              <w:rPr>
                <w:rFonts w:ascii="Times New Roman" w:hAnsi="Times New Roman" w:cs="Times New Roman"/>
                <w:color w:val="264A60"/>
                <w:sz w:val="20"/>
                <w:szCs w:val="20"/>
              </w:rPr>
              <w:t>Model</w:t>
            </w:r>
          </w:p>
        </w:tc>
        <w:tc>
          <w:tcPr>
            <w:tcW w:w="851" w:type="dxa"/>
            <w:shd w:val="clear" w:color="auto" w:fill="FFFFFF"/>
            <w:vAlign w:val="bottom"/>
          </w:tcPr>
          <w:p w:rsidR="00A40572" w:rsidRPr="00A40572" w:rsidP="00173FA1" w14:paraId="66641B2A"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0572">
              <w:rPr>
                <w:rFonts w:ascii="Times New Roman" w:hAnsi="Times New Roman" w:cs="Times New Roman"/>
                <w:color w:val="264A60"/>
                <w:sz w:val="20"/>
                <w:szCs w:val="20"/>
              </w:rPr>
              <w:t>R</w:t>
            </w:r>
          </w:p>
        </w:tc>
        <w:tc>
          <w:tcPr>
            <w:tcW w:w="1134" w:type="dxa"/>
            <w:shd w:val="clear" w:color="auto" w:fill="FFFFFF"/>
            <w:vAlign w:val="bottom"/>
          </w:tcPr>
          <w:p w:rsidR="00A40572" w:rsidRPr="00A40572" w:rsidP="00173FA1" w14:paraId="29731225"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0572">
              <w:rPr>
                <w:rFonts w:ascii="Times New Roman" w:hAnsi="Times New Roman" w:cs="Times New Roman"/>
                <w:color w:val="264A60"/>
                <w:sz w:val="20"/>
                <w:szCs w:val="20"/>
              </w:rPr>
              <w:t>R Square</w:t>
            </w:r>
          </w:p>
        </w:tc>
        <w:tc>
          <w:tcPr>
            <w:tcW w:w="1134" w:type="dxa"/>
            <w:shd w:val="clear" w:color="auto" w:fill="FFFFFF"/>
            <w:vAlign w:val="bottom"/>
          </w:tcPr>
          <w:p w:rsidR="00A40572" w:rsidRPr="00A40572" w:rsidP="00173FA1" w14:paraId="3E8BE0E5"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0572">
              <w:rPr>
                <w:rFonts w:ascii="Times New Roman" w:hAnsi="Times New Roman" w:cs="Times New Roman"/>
                <w:color w:val="264A60"/>
                <w:sz w:val="20"/>
                <w:szCs w:val="20"/>
              </w:rPr>
              <w:t>Adjusted R Square</w:t>
            </w:r>
          </w:p>
        </w:tc>
        <w:tc>
          <w:tcPr>
            <w:tcW w:w="1294" w:type="dxa"/>
            <w:shd w:val="clear" w:color="auto" w:fill="FFFFFF"/>
            <w:vAlign w:val="bottom"/>
          </w:tcPr>
          <w:p w:rsidR="00A40572" w:rsidRPr="00A40572" w:rsidP="00173FA1" w14:paraId="173F87A9"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A40572">
              <w:rPr>
                <w:rFonts w:ascii="Times New Roman" w:hAnsi="Times New Roman" w:cs="Times New Roman"/>
                <w:color w:val="264A60"/>
                <w:sz w:val="20"/>
                <w:szCs w:val="20"/>
              </w:rPr>
              <w:t>Std. Error of the Estimate</w:t>
            </w:r>
          </w:p>
        </w:tc>
      </w:tr>
      <w:tr w14:paraId="6061F0CB" w14:textId="77777777" w:rsidTr="00173FA1">
        <w:tblPrEx>
          <w:tblW w:w="5694" w:type="dxa"/>
          <w:jc w:val="right"/>
          <w:tblLayout w:type="fixed"/>
          <w:tblCellMar>
            <w:left w:w="0" w:type="dxa"/>
            <w:right w:w="0" w:type="dxa"/>
          </w:tblCellMar>
          <w:tblLook w:val="0000"/>
        </w:tblPrEx>
        <w:trPr>
          <w:cantSplit/>
          <w:jc w:val="right"/>
        </w:trPr>
        <w:tc>
          <w:tcPr>
            <w:tcW w:w="1281" w:type="dxa"/>
            <w:shd w:val="clear" w:color="auto" w:fill="E0E0E0"/>
          </w:tcPr>
          <w:p w:rsidR="00A40572" w:rsidRPr="00A40572" w:rsidP="00173FA1" w14:paraId="00F50114"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A40572">
              <w:rPr>
                <w:rFonts w:ascii="Times New Roman" w:hAnsi="Times New Roman" w:cs="Times New Roman"/>
                <w:color w:val="264A60"/>
                <w:sz w:val="20"/>
                <w:szCs w:val="20"/>
              </w:rPr>
              <w:t>1</w:t>
            </w:r>
          </w:p>
        </w:tc>
        <w:tc>
          <w:tcPr>
            <w:tcW w:w="851" w:type="dxa"/>
            <w:shd w:val="clear" w:color="auto" w:fill="F9F9FB"/>
          </w:tcPr>
          <w:p w:rsidR="00A40572" w:rsidRPr="00A40572" w:rsidP="00173FA1" w14:paraId="523719A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0572">
              <w:rPr>
                <w:rFonts w:ascii="Times New Roman" w:hAnsi="Times New Roman" w:cs="Times New Roman"/>
                <w:color w:val="010205"/>
                <w:sz w:val="20"/>
                <w:szCs w:val="20"/>
              </w:rPr>
              <w:t>.882</w:t>
            </w:r>
            <w:r w:rsidRPr="00A40572">
              <w:rPr>
                <w:rFonts w:ascii="Times New Roman" w:hAnsi="Times New Roman" w:cs="Times New Roman"/>
                <w:color w:val="010205"/>
                <w:sz w:val="20"/>
                <w:szCs w:val="20"/>
                <w:vertAlign w:val="superscript"/>
              </w:rPr>
              <w:t>a</w:t>
            </w:r>
          </w:p>
        </w:tc>
        <w:tc>
          <w:tcPr>
            <w:tcW w:w="1134" w:type="dxa"/>
            <w:shd w:val="clear" w:color="auto" w:fill="F9F9FB"/>
          </w:tcPr>
          <w:p w:rsidR="00A40572" w:rsidRPr="00A40572" w:rsidP="00173FA1" w14:paraId="26DF2CA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0572">
              <w:rPr>
                <w:rFonts w:ascii="Times New Roman" w:hAnsi="Times New Roman" w:cs="Times New Roman"/>
                <w:color w:val="010205"/>
                <w:sz w:val="20"/>
                <w:szCs w:val="20"/>
              </w:rPr>
              <w:t>.777</w:t>
            </w:r>
          </w:p>
        </w:tc>
        <w:tc>
          <w:tcPr>
            <w:tcW w:w="1134" w:type="dxa"/>
            <w:shd w:val="clear" w:color="auto" w:fill="F9F9FB"/>
          </w:tcPr>
          <w:p w:rsidR="00A40572" w:rsidRPr="00A40572" w:rsidP="00173FA1" w14:paraId="5ABFD41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0572">
              <w:rPr>
                <w:rFonts w:ascii="Times New Roman" w:hAnsi="Times New Roman" w:cs="Times New Roman"/>
                <w:color w:val="010205"/>
                <w:sz w:val="20"/>
                <w:szCs w:val="20"/>
              </w:rPr>
              <w:t>.775</w:t>
            </w:r>
          </w:p>
        </w:tc>
        <w:tc>
          <w:tcPr>
            <w:tcW w:w="1294" w:type="dxa"/>
            <w:shd w:val="clear" w:color="auto" w:fill="F9F9FB"/>
          </w:tcPr>
          <w:p w:rsidR="00A40572" w:rsidRPr="00A40572" w:rsidP="00173FA1" w14:paraId="0C38214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A40572">
              <w:rPr>
                <w:rFonts w:ascii="Times New Roman" w:hAnsi="Times New Roman" w:cs="Times New Roman"/>
                <w:color w:val="010205"/>
                <w:sz w:val="20"/>
                <w:szCs w:val="20"/>
              </w:rPr>
              <w:t>7.74843</w:t>
            </w:r>
          </w:p>
        </w:tc>
      </w:tr>
      <w:tr w14:paraId="7287BDA4" w14:textId="77777777" w:rsidTr="00173FA1">
        <w:tblPrEx>
          <w:tblW w:w="5694" w:type="dxa"/>
          <w:jc w:val="right"/>
          <w:tblLayout w:type="fixed"/>
          <w:tblCellMar>
            <w:left w:w="0" w:type="dxa"/>
            <w:right w:w="0" w:type="dxa"/>
          </w:tblCellMar>
          <w:tblLook w:val="0000"/>
        </w:tblPrEx>
        <w:trPr>
          <w:cantSplit/>
          <w:jc w:val="right"/>
        </w:trPr>
        <w:tc>
          <w:tcPr>
            <w:tcW w:w="5694" w:type="dxa"/>
            <w:gridSpan w:val="5"/>
            <w:shd w:val="clear" w:color="auto" w:fill="FFFFFF"/>
          </w:tcPr>
          <w:p w:rsidR="00A40572" w:rsidRPr="00A40572" w:rsidP="00173FA1" w14:paraId="285F7E94"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A40572">
              <w:rPr>
                <w:rFonts w:ascii="Times New Roman" w:hAnsi="Times New Roman" w:cs="Times New Roman"/>
                <w:color w:val="010205"/>
                <w:sz w:val="20"/>
                <w:szCs w:val="20"/>
              </w:rPr>
              <w:t>a. Predictors: (Constant), Corporate Social Responsibility</w:t>
            </w:r>
          </w:p>
        </w:tc>
      </w:tr>
    </w:tbl>
    <w:p w:rsidR="00173FA1" w:rsidRPr="00BF17A6" w:rsidP="00BF17A6" w14:paraId="4F71E12C" w14:textId="6DCA04EB">
      <w:pPr>
        <w:autoSpaceDE w:val="0"/>
        <w:autoSpaceDN w:val="0"/>
        <w:adjustRightInd w:val="0"/>
        <w:spacing w:after="0" w:line="276" w:lineRule="auto"/>
        <w:rPr>
          <w:rFonts w:ascii="Times New Roman" w:hAnsi="Times New Roman" w:cs="Times New Roman"/>
          <w:b/>
          <w:bCs/>
          <w:sz w:val="24"/>
          <w:szCs w:val="24"/>
        </w:rPr>
      </w:pPr>
    </w:p>
    <w:tbl>
      <w:tblPr>
        <w:tblW w:w="384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0"/>
        <w:gridCol w:w="1593"/>
        <w:gridCol w:w="681"/>
        <w:gridCol w:w="1082"/>
        <w:gridCol w:w="1175"/>
        <w:gridCol w:w="680"/>
        <w:gridCol w:w="652"/>
      </w:tblGrid>
      <w:tr w14:paraId="2A1E1D12" w14:textId="77777777" w:rsidTr="00173FA1">
        <w:tblPrEx>
          <w:tblW w:w="384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jc w:val="right"/>
        </w:trPr>
        <w:tc>
          <w:tcPr>
            <w:tcW w:w="5000" w:type="pct"/>
            <w:gridSpan w:val="7"/>
            <w:shd w:val="clear" w:color="auto" w:fill="FFFFFF"/>
            <w:vAlign w:val="center"/>
          </w:tcPr>
          <w:p w:rsidR="00173FA1" w:rsidRPr="00173FA1" w:rsidP="00173FA1" w14:paraId="5ED846B9"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3FA1">
              <w:rPr>
                <w:rFonts w:ascii="Times New Roman" w:hAnsi="Times New Roman" w:cs="Times New Roman"/>
                <w:b/>
                <w:bCs/>
                <w:color w:val="010205"/>
                <w:sz w:val="20"/>
                <w:szCs w:val="20"/>
              </w:rPr>
              <w:t>Coefficients</w:t>
            </w:r>
            <w:r w:rsidRPr="00173FA1">
              <w:rPr>
                <w:rFonts w:ascii="Times New Roman" w:hAnsi="Times New Roman" w:cs="Times New Roman"/>
                <w:b/>
                <w:bCs/>
                <w:color w:val="010205"/>
                <w:sz w:val="20"/>
                <w:szCs w:val="20"/>
                <w:vertAlign w:val="superscript"/>
              </w:rPr>
              <w:t>a</w:t>
            </w:r>
          </w:p>
        </w:tc>
      </w:tr>
      <w:tr w14:paraId="15279C30" w14:textId="77777777" w:rsidTr="00173FA1">
        <w:tblPrEx>
          <w:tblW w:w="3843" w:type="pct"/>
          <w:jc w:val="right"/>
          <w:tblCellMar>
            <w:left w:w="0" w:type="dxa"/>
            <w:right w:w="0" w:type="dxa"/>
          </w:tblCellMar>
          <w:tblLook w:val="0000"/>
        </w:tblPrEx>
        <w:trPr>
          <w:cantSplit/>
          <w:jc w:val="right"/>
        </w:trPr>
        <w:tc>
          <w:tcPr>
            <w:tcW w:w="1537" w:type="pct"/>
            <w:gridSpan w:val="2"/>
            <w:vMerge w:val="restart"/>
            <w:shd w:val="clear" w:color="auto" w:fill="FFFFFF"/>
            <w:vAlign w:val="bottom"/>
          </w:tcPr>
          <w:p w:rsidR="00173FA1" w:rsidRPr="00173FA1" w:rsidP="00173FA1" w14:paraId="604E0AA9"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173FA1">
              <w:rPr>
                <w:rFonts w:ascii="Times New Roman" w:hAnsi="Times New Roman" w:cs="Times New Roman"/>
                <w:color w:val="264A60"/>
                <w:sz w:val="20"/>
                <w:szCs w:val="20"/>
              </w:rPr>
              <w:t>Model</w:t>
            </w:r>
          </w:p>
        </w:tc>
        <w:tc>
          <w:tcPr>
            <w:tcW w:w="1366" w:type="pct"/>
            <w:gridSpan w:val="2"/>
            <w:shd w:val="clear" w:color="auto" w:fill="FFFFFF"/>
            <w:vAlign w:val="bottom"/>
          </w:tcPr>
          <w:p w:rsidR="00173FA1" w:rsidRPr="00173FA1" w:rsidP="00173FA1" w14:paraId="2CFBEE68"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Unstandardized Coefficients</w:t>
            </w:r>
          </w:p>
        </w:tc>
        <w:tc>
          <w:tcPr>
            <w:tcW w:w="964" w:type="pct"/>
            <w:shd w:val="clear" w:color="auto" w:fill="FFFFFF"/>
            <w:vAlign w:val="bottom"/>
          </w:tcPr>
          <w:p w:rsidR="00173FA1" w:rsidRPr="00173FA1" w:rsidP="00173FA1" w14:paraId="57F5CCAB"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Standardized Coefficients</w:t>
            </w:r>
          </w:p>
        </w:tc>
        <w:tc>
          <w:tcPr>
            <w:tcW w:w="558" w:type="pct"/>
            <w:vMerge w:val="restart"/>
            <w:shd w:val="clear" w:color="auto" w:fill="FFFFFF"/>
            <w:vAlign w:val="bottom"/>
          </w:tcPr>
          <w:p w:rsidR="00173FA1" w:rsidRPr="00173FA1" w:rsidP="00173FA1" w14:paraId="0BB9A18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t</w:t>
            </w:r>
          </w:p>
        </w:tc>
        <w:tc>
          <w:tcPr>
            <w:tcW w:w="575" w:type="pct"/>
            <w:vMerge w:val="restart"/>
            <w:shd w:val="clear" w:color="auto" w:fill="FFFFFF"/>
            <w:vAlign w:val="bottom"/>
          </w:tcPr>
          <w:p w:rsidR="00173FA1" w:rsidRPr="00173FA1" w:rsidP="00173FA1" w14:paraId="6B757C1F"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Sig.</w:t>
            </w:r>
          </w:p>
        </w:tc>
      </w:tr>
      <w:tr w14:paraId="56265F29" w14:textId="77777777" w:rsidTr="00173FA1">
        <w:tblPrEx>
          <w:tblW w:w="3843" w:type="pct"/>
          <w:jc w:val="right"/>
          <w:tblCellMar>
            <w:left w:w="0" w:type="dxa"/>
            <w:right w:w="0" w:type="dxa"/>
          </w:tblCellMar>
          <w:tblLook w:val="0000"/>
        </w:tblPrEx>
        <w:trPr>
          <w:cantSplit/>
          <w:jc w:val="right"/>
        </w:trPr>
        <w:tc>
          <w:tcPr>
            <w:tcW w:w="1537" w:type="pct"/>
            <w:gridSpan w:val="2"/>
            <w:vMerge/>
            <w:shd w:val="clear" w:color="auto" w:fill="FFFFFF"/>
            <w:vAlign w:val="bottom"/>
          </w:tcPr>
          <w:p w:rsidR="00173FA1" w:rsidRPr="00173FA1" w:rsidP="00173FA1" w14:paraId="2B9F98B5" w14:textId="77777777">
            <w:pPr>
              <w:autoSpaceDE w:val="0"/>
              <w:autoSpaceDN w:val="0"/>
              <w:adjustRightInd w:val="0"/>
              <w:spacing w:after="0" w:line="240" w:lineRule="auto"/>
              <w:rPr>
                <w:rFonts w:ascii="Times New Roman" w:hAnsi="Times New Roman" w:cs="Times New Roman"/>
                <w:color w:val="264A60"/>
                <w:sz w:val="20"/>
                <w:szCs w:val="20"/>
              </w:rPr>
            </w:pPr>
          </w:p>
        </w:tc>
        <w:tc>
          <w:tcPr>
            <w:tcW w:w="437" w:type="pct"/>
            <w:shd w:val="clear" w:color="auto" w:fill="FFFFFF"/>
            <w:vAlign w:val="bottom"/>
          </w:tcPr>
          <w:p w:rsidR="00173FA1" w:rsidRPr="00173FA1" w:rsidP="00173FA1" w14:paraId="24B2253B"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B</w:t>
            </w:r>
          </w:p>
        </w:tc>
        <w:tc>
          <w:tcPr>
            <w:tcW w:w="929" w:type="pct"/>
            <w:shd w:val="clear" w:color="auto" w:fill="FFFFFF"/>
            <w:vAlign w:val="bottom"/>
          </w:tcPr>
          <w:p w:rsidR="00173FA1" w:rsidRPr="00173FA1" w:rsidP="00173FA1" w14:paraId="614B1B3A"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Std. Error</w:t>
            </w:r>
          </w:p>
        </w:tc>
        <w:tc>
          <w:tcPr>
            <w:tcW w:w="964" w:type="pct"/>
            <w:shd w:val="clear" w:color="auto" w:fill="FFFFFF"/>
            <w:vAlign w:val="bottom"/>
          </w:tcPr>
          <w:p w:rsidR="00173FA1" w:rsidRPr="00173FA1" w:rsidP="00173FA1" w14:paraId="1960754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3FA1">
              <w:rPr>
                <w:rFonts w:ascii="Times New Roman" w:hAnsi="Times New Roman" w:cs="Times New Roman"/>
                <w:color w:val="264A60"/>
                <w:sz w:val="20"/>
                <w:szCs w:val="20"/>
              </w:rPr>
              <w:t>Beta</w:t>
            </w:r>
          </w:p>
        </w:tc>
        <w:tc>
          <w:tcPr>
            <w:tcW w:w="558" w:type="pct"/>
            <w:vMerge/>
            <w:shd w:val="clear" w:color="auto" w:fill="FFFFFF"/>
            <w:vAlign w:val="bottom"/>
          </w:tcPr>
          <w:p w:rsidR="00173FA1" w:rsidRPr="00173FA1" w:rsidP="00173FA1" w14:paraId="247F421D" w14:textId="77777777">
            <w:pPr>
              <w:autoSpaceDE w:val="0"/>
              <w:autoSpaceDN w:val="0"/>
              <w:adjustRightInd w:val="0"/>
              <w:spacing w:after="0" w:line="240" w:lineRule="auto"/>
              <w:rPr>
                <w:rFonts w:ascii="Times New Roman" w:hAnsi="Times New Roman" w:cs="Times New Roman"/>
                <w:color w:val="264A60"/>
                <w:sz w:val="20"/>
                <w:szCs w:val="20"/>
              </w:rPr>
            </w:pPr>
          </w:p>
        </w:tc>
        <w:tc>
          <w:tcPr>
            <w:tcW w:w="575" w:type="pct"/>
            <w:vMerge/>
            <w:shd w:val="clear" w:color="auto" w:fill="FFFFFF"/>
            <w:vAlign w:val="bottom"/>
          </w:tcPr>
          <w:p w:rsidR="00173FA1" w:rsidRPr="00173FA1" w:rsidP="00173FA1" w14:paraId="411823E8" w14:textId="77777777">
            <w:pPr>
              <w:autoSpaceDE w:val="0"/>
              <w:autoSpaceDN w:val="0"/>
              <w:adjustRightInd w:val="0"/>
              <w:spacing w:after="0" w:line="240" w:lineRule="auto"/>
              <w:rPr>
                <w:rFonts w:ascii="Times New Roman" w:hAnsi="Times New Roman" w:cs="Times New Roman"/>
                <w:color w:val="264A60"/>
                <w:sz w:val="20"/>
                <w:szCs w:val="20"/>
              </w:rPr>
            </w:pPr>
          </w:p>
        </w:tc>
      </w:tr>
      <w:tr w14:paraId="0D5FBDD5" w14:textId="77777777" w:rsidTr="00173FA1">
        <w:tblPrEx>
          <w:tblW w:w="3843" w:type="pct"/>
          <w:jc w:val="right"/>
          <w:tblCellMar>
            <w:left w:w="0" w:type="dxa"/>
            <w:right w:w="0" w:type="dxa"/>
          </w:tblCellMar>
          <w:tblLook w:val="0000"/>
        </w:tblPrEx>
        <w:trPr>
          <w:cantSplit/>
          <w:jc w:val="right"/>
        </w:trPr>
        <w:tc>
          <w:tcPr>
            <w:tcW w:w="189" w:type="pct"/>
            <w:vMerge w:val="restart"/>
            <w:shd w:val="clear" w:color="auto" w:fill="E0E0E0"/>
          </w:tcPr>
          <w:p w:rsidR="00173FA1" w:rsidRPr="00173FA1" w:rsidP="00173FA1" w14:paraId="191D869B"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173FA1">
              <w:rPr>
                <w:rFonts w:ascii="Times New Roman" w:hAnsi="Times New Roman" w:cs="Times New Roman"/>
                <w:color w:val="264A60"/>
                <w:sz w:val="20"/>
                <w:szCs w:val="20"/>
              </w:rPr>
              <w:t>1</w:t>
            </w:r>
          </w:p>
        </w:tc>
        <w:tc>
          <w:tcPr>
            <w:tcW w:w="1348" w:type="pct"/>
            <w:shd w:val="clear" w:color="auto" w:fill="E0E0E0"/>
          </w:tcPr>
          <w:p w:rsidR="00173FA1" w:rsidRPr="00173FA1" w:rsidP="00173FA1" w14:paraId="1CC1B291"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173FA1">
              <w:rPr>
                <w:rFonts w:ascii="Times New Roman" w:hAnsi="Times New Roman" w:cs="Times New Roman"/>
                <w:color w:val="264A60"/>
                <w:sz w:val="20"/>
                <w:szCs w:val="20"/>
              </w:rPr>
              <w:t>(Constant)</w:t>
            </w:r>
          </w:p>
        </w:tc>
        <w:tc>
          <w:tcPr>
            <w:tcW w:w="437" w:type="pct"/>
            <w:shd w:val="clear" w:color="auto" w:fill="F9F9FB"/>
          </w:tcPr>
          <w:p w:rsidR="00173FA1" w:rsidRPr="00173FA1" w:rsidP="00173FA1" w14:paraId="4DEC186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30.373</w:t>
            </w:r>
          </w:p>
        </w:tc>
        <w:tc>
          <w:tcPr>
            <w:tcW w:w="929" w:type="pct"/>
            <w:shd w:val="clear" w:color="auto" w:fill="F9F9FB"/>
          </w:tcPr>
          <w:p w:rsidR="00173FA1" w:rsidRPr="00173FA1" w:rsidP="00173FA1" w14:paraId="7570017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1.604</w:t>
            </w:r>
          </w:p>
        </w:tc>
        <w:tc>
          <w:tcPr>
            <w:tcW w:w="964" w:type="pct"/>
            <w:shd w:val="clear" w:color="auto" w:fill="F9F9FB"/>
            <w:vAlign w:val="center"/>
          </w:tcPr>
          <w:p w:rsidR="00173FA1" w:rsidRPr="00173FA1" w:rsidP="00173FA1" w14:paraId="64F48C2A" w14:textId="77777777">
            <w:pPr>
              <w:autoSpaceDE w:val="0"/>
              <w:autoSpaceDN w:val="0"/>
              <w:adjustRightInd w:val="0"/>
              <w:spacing w:after="0" w:line="240" w:lineRule="auto"/>
              <w:rPr>
                <w:rFonts w:ascii="Times New Roman" w:hAnsi="Times New Roman" w:cs="Times New Roman"/>
                <w:sz w:val="20"/>
                <w:szCs w:val="20"/>
              </w:rPr>
            </w:pPr>
          </w:p>
        </w:tc>
        <w:tc>
          <w:tcPr>
            <w:tcW w:w="558" w:type="pct"/>
            <w:shd w:val="clear" w:color="auto" w:fill="F9F9FB"/>
          </w:tcPr>
          <w:p w:rsidR="00173FA1" w:rsidRPr="00173FA1" w:rsidP="00173FA1" w14:paraId="14B21CF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18.939</w:t>
            </w:r>
          </w:p>
        </w:tc>
        <w:tc>
          <w:tcPr>
            <w:tcW w:w="575" w:type="pct"/>
            <w:shd w:val="clear" w:color="auto" w:fill="F9F9FB"/>
          </w:tcPr>
          <w:p w:rsidR="00173FA1" w:rsidRPr="00173FA1" w:rsidP="00173FA1" w14:paraId="100E3DA6"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&lt;,001</w:t>
            </w:r>
          </w:p>
        </w:tc>
      </w:tr>
      <w:tr w14:paraId="4D25CF86" w14:textId="77777777" w:rsidTr="00173FA1">
        <w:tblPrEx>
          <w:tblW w:w="3843" w:type="pct"/>
          <w:jc w:val="right"/>
          <w:tblCellMar>
            <w:left w:w="0" w:type="dxa"/>
            <w:right w:w="0" w:type="dxa"/>
          </w:tblCellMar>
          <w:tblLook w:val="0000"/>
        </w:tblPrEx>
        <w:trPr>
          <w:cantSplit/>
          <w:jc w:val="right"/>
        </w:trPr>
        <w:tc>
          <w:tcPr>
            <w:tcW w:w="189" w:type="pct"/>
            <w:vMerge/>
            <w:shd w:val="clear" w:color="auto" w:fill="E0E0E0"/>
          </w:tcPr>
          <w:p w:rsidR="00173FA1" w:rsidRPr="00173FA1" w:rsidP="00173FA1" w14:paraId="2D025485" w14:textId="77777777">
            <w:pPr>
              <w:autoSpaceDE w:val="0"/>
              <w:autoSpaceDN w:val="0"/>
              <w:adjustRightInd w:val="0"/>
              <w:spacing w:after="0" w:line="240" w:lineRule="auto"/>
              <w:rPr>
                <w:rFonts w:ascii="Times New Roman" w:hAnsi="Times New Roman" w:cs="Times New Roman"/>
                <w:color w:val="010205"/>
                <w:sz w:val="20"/>
                <w:szCs w:val="20"/>
              </w:rPr>
            </w:pPr>
          </w:p>
        </w:tc>
        <w:tc>
          <w:tcPr>
            <w:tcW w:w="1348" w:type="pct"/>
            <w:shd w:val="clear" w:color="auto" w:fill="E0E0E0"/>
          </w:tcPr>
          <w:p w:rsidR="00173FA1" w:rsidRPr="00173FA1" w:rsidP="00173FA1" w14:paraId="4D713860"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173FA1">
              <w:rPr>
                <w:rFonts w:ascii="Times New Roman" w:hAnsi="Times New Roman" w:cs="Times New Roman"/>
                <w:color w:val="264A60"/>
                <w:sz w:val="20"/>
                <w:szCs w:val="20"/>
              </w:rPr>
              <w:t>Corporate Social Responsibility</w:t>
            </w:r>
          </w:p>
        </w:tc>
        <w:tc>
          <w:tcPr>
            <w:tcW w:w="437" w:type="pct"/>
            <w:shd w:val="clear" w:color="auto" w:fill="F9F9FB"/>
          </w:tcPr>
          <w:p w:rsidR="00173FA1" w:rsidRPr="00173FA1" w:rsidP="00173FA1" w14:paraId="0B8C8E5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.869</w:t>
            </w:r>
          </w:p>
        </w:tc>
        <w:tc>
          <w:tcPr>
            <w:tcW w:w="929" w:type="pct"/>
            <w:shd w:val="clear" w:color="auto" w:fill="F9F9FB"/>
          </w:tcPr>
          <w:p w:rsidR="00173FA1" w:rsidRPr="00173FA1" w:rsidP="00173FA1" w14:paraId="2A3DAD26"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.044</w:t>
            </w:r>
          </w:p>
        </w:tc>
        <w:tc>
          <w:tcPr>
            <w:tcW w:w="964" w:type="pct"/>
            <w:shd w:val="clear" w:color="auto" w:fill="F9F9FB"/>
          </w:tcPr>
          <w:p w:rsidR="00173FA1" w:rsidRPr="00173FA1" w:rsidP="00173FA1" w14:paraId="1B2842D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.882</w:t>
            </w:r>
          </w:p>
        </w:tc>
        <w:tc>
          <w:tcPr>
            <w:tcW w:w="558" w:type="pct"/>
            <w:shd w:val="clear" w:color="auto" w:fill="F9F9FB"/>
          </w:tcPr>
          <w:p w:rsidR="00173FA1" w:rsidRPr="00173FA1" w:rsidP="00173FA1" w14:paraId="729979F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19.858</w:t>
            </w:r>
          </w:p>
        </w:tc>
        <w:tc>
          <w:tcPr>
            <w:tcW w:w="575" w:type="pct"/>
            <w:shd w:val="clear" w:color="auto" w:fill="F9F9FB"/>
          </w:tcPr>
          <w:p w:rsidR="00173FA1" w:rsidRPr="00173FA1" w:rsidP="00173FA1" w14:paraId="04E7D6B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73FA1">
              <w:rPr>
                <w:rFonts w:ascii="Times New Roman" w:hAnsi="Times New Roman" w:cs="Times New Roman"/>
                <w:color w:val="010205"/>
                <w:sz w:val="20"/>
                <w:szCs w:val="20"/>
              </w:rPr>
              <w:t>&lt;,001</w:t>
            </w:r>
          </w:p>
        </w:tc>
      </w:tr>
      <w:tr w14:paraId="493542BC" w14:textId="77777777" w:rsidTr="00173FA1">
        <w:tblPrEx>
          <w:tblW w:w="3843" w:type="pct"/>
          <w:jc w:val="right"/>
          <w:tblCellMar>
            <w:left w:w="0" w:type="dxa"/>
            <w:right w:w="0" w:type="dxa"/>
          </w:tblCellMar>
          <w:tblLook w:val="0000"/>
        </w:tblPrEx>
        <w:trPr>
          <w:cantSplit/>
          <w:jc w:val="right"/>
        </w:trPr>
        <w:tc>
          <w:tcPr>
            <w:tcW w:w="5000" w:type="pct"/>
            <w:gridSpan w:val="7"/>
            <w:shd w:val="clear" w:color="auto" w:fill="FFFFFF"/>
          </w:tcPr>
          <w:p w:rsidR="00173FA1" w:rsidRPr="00173FA1" w:rsidP="00173FA1" w14:paraId="3E9730BB"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173FA1">
              <w:rPr>
                <w:rFonts w:ascii="Times New Roman" w:hAnsi="Times New Roman" w:cs="Times New Roman"/>
                <w:color w:val="010205"/>
                <w:sz w:val="20"/>
                <w:szCs w:val="20"/>
              </w:rPr>
              <w:t>a. Dependent Variable: Green Banking</w:t>
            </w:r>
          </w:p>
        </w:tc>
      </w:tr>
    </w:tbl>
    <w:p w:rsidR="00173FA1" w:rsidP="00173FA1" w14:paraId="1B4E071B" w14:textId="432C5E0D">
      <w:pPr>
        <w:autoSpaceDE w:val="0"/>
        <w:autoSpaceDN w:val="0"/>
        <w:adjustRightInd w:val="0"/>
        <w:spacing w:after="0" w:line="480" w:lineRule="auto"/>
        <w:ind w:firstLine="1985"/>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BF17A6" w:rsidRPr="00BF17A6" w:rsidP="003E4282" w14:paraId="53078132" w14:textId="1EB67238">
      <w:pPr>
        <w:autoSpaceDE w:val="0"/>
        <w:autoSpaceDN w:val="0"/>
        <w:adjustRightInd w:val="0"/>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w:t>
      </w:r>
      <w:r>
        <w:rPr>
          <w:rFonts w:ascii="Times New Roman" w:hAnsi="Times New Roman" w:cs="Times New Roman"/>
          <w:sz w:val="24"/>
          <w:szCs w:val="24"/>
        </w:rPr>
        <w:t>pertama</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terlihat</w:t>
      </w:r>
      <w:r>
        <w:rPr>
          <w:rFonts w:ascii="Times New Roman" w:hAnsi="Times New Roman" w:cs="Times New Roman"/>
          <w:sz w:val="24"/>
          <w:szCs w:val="24"/>
        </w:rPr>
        <w:t xml:space="preserve"> pada </w:t>
      </w:r>
      <w:r w:rsidRPr="008937C2">
        <w:rPr>
          <w:rFonts w:ascii="Times New Roman" w:hAnsi="Times New Roman" w:cs="Times New Roman"/>
          <w:i/>
          <w:iCs/>
          <w:sz w:val="24"/>
          <w:szCs w:val="24"/>
        </w:rPr>
        <w:t>model summary</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R Square</w:t>
      </w:r>
      <w:r>
        <w:rPr>
          <w:rFonts w:ascii="Times New Roman" w:hAnsi="Times New Roman" w:cs="Times New Roman"/>
          <w:sz w:val="24"/>
          <w:szCs w:val="24"/>
        </w:rPr>
        <w:t xml:space="preserve"> CSR </w:t>
      </w:r>
      <w:r>
        <w:rPr>
          <w:rFonts w:ascii="Times New Roman" w:hAnsi="Times New Roman" w:cs="Times New Roman"/>
          <w:sz w:val="24"/>
          <w:szCs w:val="24"/>
        </w:rPr>
        <w:t>terhadap</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0,777. </w:t>
      </w:r>
      <w:r>
        <w:rPr>
          <w:rFonts w:ascii="Times New Roman" w:hAnsi="Times New Roman" w:cs="Times New Roman"/>
          <w:sz w:val="24"/>
          <w:szCs w:val="24"/>
        </w:rPr>
        <w:t>Artinya</w:t>
      </w:r>
      <w:r>
        <w:rPr>
          <w:rFonts w:ascii="Times New Roman" w:hAnsi="Times New Roman" w:cs="Times New Roman"/>
          <w:sz w:val="24"/>
          <w:szCs w:val="24"/>
        </w:rPr>
        <w:t xml:space="preserve">, </w:t>
      </w:r>
      <w:r>
        <w:rPr>
          <w:rFonts w:ascii="Times New Roman" w:hAnsi="Times New Roman" w:cs="Times New Roman"/>
          <w:sz w:val="24"/>
          <w:szCs w:val="24"/>
        </w:rPr>
        <w:t>variasi</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dijelaskan</w:t>
      </w:r>
      <w:r>
        <w:rPr>
          <w:rFonts w:ascii="Times New Roman" w:hAnsi="Times New Roman" w:cs="Times New Roman"/>
          <w:sz w:val="24"/>
          <w:szCs w:val="24"/>
        </w:rPr>
        <w:t xml:space="preserve"> oleh </w:t>
      </w:r>
      <w:r>
        <w:rPr>
          <w:rFonts w:ascii="Times New Roman" w:hAnsi="Times New Roman" w:cs="Times New Roman"/>
          <w:sz w:val="24"/>
          <w:szCs w:val="24"/>
        </w:rPr>
        <w:t>variasi</w:t>
      </w:r>
      <w:r>
        <w:rPr>
          <w:rFonts w:ascii="Times New Roman" w:hAnsi="Times New Roman" w:cs="Times New Roman"/>
          <w:sz w:val="24"/>
          <w:szCs w:val="24"/>
        </w:rPr>
        <w:t xml:space="preserve"> CSR </w:t>
      </w:r>
      <w:r>
        <w:rPr>
          <w:rFonts w:ascii="Times New Roman" w:hAnsi="Times New Roman" w:cs="Times New Roman"/>
          <w:sz w:val="24"/>
          <w:szCs w:val="24"/>
        </w:rPr>
        <w:t>sebesar</w:t>
      </w:r>
      <w:r>
        <w:rPr>
          <w:rFonts w:ascii="Times New Roman" w:hAnsi="Times New Roman" w:cs="Times New Roman"/>
          <w:sz w:val="24"/>
          <w:szCs w:val="24"/>
        </w:rPr>
        <w:t xml:space="preserve"> 77,7%, </w:t>
      </w:r>
      <w:r>
        <w:rPr>
          <w:rFonts w:ascii="Times New Roman" w:hAnsi="Times New Roman" w:cs="Times New Roman"/>
          <w:sz w:val="24"/>
          <w:szCs w:val="24"/>
        </w:rPr>
        <w:t>sehingga</w:t>
      </w:r>
      <w:r>
        <w:rPr>
          <w:rFonts w:ascii="Times New Roman" w:hAnsi="Times New Roman" w:cs="Times New Roman"/>
          <w:sz w:val="24"/>
          <w:szCs w:val="24"/>
        </w:rPr>
        <w:t xml:space="preserve"> </w:t>
      </w:r>
      <w:r>
        <w:rPr>
          <w:rFonts w:ascii="Times New Roman" w:hAnsi="Times New Roman" w:cs="Times New Roman"/>
          <w:sz w:val="24"/>
          <w:szCs w:val="24"/>
        </w:rPr>
        <w:t>varian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yang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dijelaskan</w:t>
      </w:r>
      <w:r>
        <w:rPr>
          <w:rFonts w:ascii="Times New Roman" w:hAnsi="Times New Roman" w:cs="Times New Roman"/>
          <w:sz w:val="24"/>
          <w:szCs w:val="24"/>
        </w:rPr>
        <w:t xml:space="preserve"> oleh </w:t>
      </w:r>
      <w:r>
        <w:rPr>
          <w:rFonts w:ascii="Times New Roman" w:hAnsi="Times New Roman" w:cs="Times New Roman"/>
          <w:sz w:val="24"/>
          <w:szCs w:val="24"/>
        </w:rPr>
        <w:t>variabel</w:t>
      </w:r>
      <w:r>
        <w:rPr>
          <w:rFonts w:ascii="Times New Roman" w:hAnsi="Times New Roman" w:cs="Times New Roman"/>
          <w:sz w:val="24"/>
          <w:szCs w:val="24"/>
        </w:rPr>
        <w:t xml:space="preserve"> CSR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e</w:t>
      </w:r>
      <w:r w:rsidRPr="00827419">
        <w:rPr>
          <w:rFonts w:ascii="Times New Roman" w:hAnsi="Times New Roman" w:cs="Times New Roman"/>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 xml:space="preserve">√1-0,777 = 0,472. </w:t>
      </w:r>
      <w:r>
        <w:rPr>
          <w:rFonts w:ascii="Times New Roman" w:hAnsi="Times New Roman" w:cs="Times New Roman"/>
          <w:sz w:val="24"/>
          <w:szCs w:val="24"/>
        </w:rPr>
        <w:t>Sedangkan</w:t>
      </w:r>
      <w:r>
        <w:rPr>
          <w:rFonts w:ascii="Times New Roman" w:hAnsi="Times New Roman" w:cs="Times New Roman"/>
          <w:sz w:val="24"/>
          <w:szCs w:val="24"/>
        </w:rPr>
        <w:t xml:space="preserve"> </w:t>
      </w:r>
      <w:bookmarkStart w:id="0" w:name="_Hlk172574424"/>
      <w:r w:rsidRPr="00AD05C3">
        <w:rPr>
          <w:rFonts w:ascii="Times New Roman" w:hAnsi="Times New Roman" w:cs="Times New Roman"/>
          <w:sz w:val="24"/>
          <w:szCs w:val="24"/>
        </w:rPr>
        <w:t>pada</w:t>
      </w:r>
      <w:r w:rsidRPr="008937C2">
        <w:rPr>
          <w:rFonts w:ascii="Times New Roman" w:hAnsi="Times New Roman" w:cs="Times New Roman"/>
          <w:i/>
          <w:iCs/>
          <w:sz w:val="24"/>
          <w:szCs w:val="24"/>
        </w:rPr>
        <w:t xml:space="preserve"> Unstandardized </w:t>
      </w:r>
      <w:r w:rsidRPr="008937C2">
        <w:rPr>
          <w:rFonts w:ascii="Times New Roman" w:hAnsi="Times New Roman" w:cs="Times New Roman"/>
          <w:i/>
          <w:iCs/>
          <w:sz w:val="24"/>
          <w:szCs w:val="24"/>
        </w:rPr>
        <w:t>Coefficiennts</w:t>
      </w:r>
      <w:r>
        <w:rPr>
          <w:rFonts w:ascii="Times New Roman" w:hAnsi="Times New Roman" w:cs="Times New Roman"/>
          <w:sz w:val="24"/>
          <w:szCs w:val="24"/>
        </w:rPr>
        <w:t xml:space="preserve"> pada </w:t>
      </w:r>
      <w:r>
        <w:rPr>
          <w:rFonts w:ascii="Times New Roman" w:hAnsi="Times New Roman" w:cs="Times New Roman"/>
          <w:sz w:val="24"/>
          <w:szCs w:val="24"/>
        </w:rPr>
        <w:t>persamaan</w:t>
      </w:r>
      <w:r>
        <w:rPr>
          <w:rFonts w:ascii="Times New Roman" w:hAnsi="Times New Roman" w:cs="Times New Roman"/>
          <w:sz w:val="24"/>
          <w:szCs w:val="24"/>
        </w:rPr>
        <w:t xml:space="preserve"> </w:t>
      </w:r>
      <w:r>
        <w:rPr>
          <w:rFonts w:ascii="Times New Roman" w:hAnsi="Times New Roman" w:cs="Times New Roman"/>
          <w:sz w:val="24"/>
          <w:szCs w:val="24"/>
        </w:rPr>
        <w:t>pertama</w:t>
      </w:r>
      <w:r>
        <w:rPr>
          <w:rFonts w:ascii="Times New Roman" w:hAnsi="Times New Roman" w:cs="Times New Roman"/>
          <w:sz w:val="24"/>
          <w:szCs w:val="24"/>
        </w:rPr>
        <w:t xml:space="preserve"> CSR </w:t>
      </w:r>
      <w:r>
        <w:rPr>
          <w:rFonts w:ascii="Times New Roman" w:hAnsi="Times New Roman" w:cs="Times New Roman"/>
          <w:sz w:val="24"/>
          <w:szCs w:val="24"/>
        </w:rPr>
        <w:t>terhadap</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0.869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signifikasi</w:t>
      </w:r>
      <w:r>
        <w:rPr>
          <w:rFonts w:ascii="Times New Roman" w:hAnsi="Times New Roman" w:cs="Times New Roman"/>
          <w:sz w:val="24"/>
          <w:szCs w:val="24"/>
        </w:rPr>
        <w:t xml:space="preserve"> 0,001, </w:t>
      </w:r>
      <w:r>
        <w:rPr>
          <w:rFonts w:ascii="Times New Roman" w:hAnsi="Times New Roman" w:cs="Times New Roman"/>
          <w:sz w:val="24"/>
          <w:szCs w:val="24"/>
        </w:rPr>
        <w:t>berarti</w:t>
      </w:r>
      <w:r>
        <w:rPr>
          <w:rFonts w:ascii="Times New Roman" w:hAnsi="Times New Roman" w:cs="Times New Roman"/>
          <w:sz w:val="24"/>
          <w:szCs w:val="24"/>
        </w:rPr>
        <w:t xml:space="preserve"> </w:t>
      </w:r>
      <w:r>
        <w:rPr>
          <w:rFonts w:ascii="Times New Roman" w:hAnsi="Times New Roman" w:cs="Times New Roman"/>
          <w:sz w:val="24"/>
          <w:szCs w:val="24"/>
        </w:rPr>
        <w:t>terdapat</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CSR </w:t>
      </w:r>
      <w:r>
        <w:rPr>
          <w:rFonts w:ascii="Times New Roman" w:hAnsi="Times New Roman" w:cs="Times New Roman"/>
          <w:sz w:val="24"/>
          <w:szCs w:val="24"/>
        </w:rPr>
        <w:t>terhadap</w:t>
      </w:r>
      <w:r>
        <w:rPr>
          <w:rFonts w:ascii="Times New Roman" w:hAnsi="Times New Roman" w:cs="Times New Roman"/>
          <w:sz w:val="24"/>
          <w:szCs w:val="24"/>
        </w:rPr>
        <w:t xml:space="preserve">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signifikasi</w:t>
      </w:r>
      <w:r>
        <w:rPr>
          <w:rFonts w:ascii="Times New Roman" w:hAnsi="Times New Roman" w:cs="Times New Roman"/>
          <w:sz w:val="24"/>
          <w:szCs w:val="24"/>
        </w:rPr>
        <w:t xml:space="preserve"> 0,001 &lt; 0,05 (H4 </w:t>
      </w:r>
      <w:r>
        <w:rPr>
          <w:rFonts w:ascii="Times New Roman" w:hAnsi="Times New Roman" w:cs="Times New Roman"/>
          <w:sz w:val="24"/>
          <w:szCs w:val="24"/>
        </w:rPr>
        <w:t>diterima</w:t>
      </w:r>
      <w:r>
        <w:rPr>
          <w:rFonts w:ascii="Times New Roman" w:hAnsi="Times New Roman" w:cs="Times New Roman"/>
          <w:sz w:val="24"/>
          <w:szCs w:val="24"/>
        </w:rPr>
        <w:t>).</w:t>
      </w:r>
    </w:p>
    <w:bookmarkEnd w:id="0"/>
    <w:p w:rsidR="00173FA1" w:rsidRPr="00BF17A6" w:rsidP="00173FA1" w14:paraId="234A0EA7" w14:textId="12983900">
      <w:pPr>
        <w:pStyle w:val="ListParagraph"/>
        <w:numPr>
          <w:ilvl w:val="0"/>
          <w:numId w:val="56"/>
        </w:num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Kinerja </w:t>
      </w:r>
      <w:r w:rsidR="008937C2">
        <w:rPr>
          <w:rFonts w:ascii="Times New Roman" w:hAnsi="Times New Roman" w:cs="Times New Roman"/>
          <w:sz w:val="24"/>
          <w:szCs w:val="24"/>
        </w:rPr>
        <w:t>Keuangan</w:t>
      </w:r>
      <w:r w:rsidR="008937C2">
        <w:rPr>
          <w:rFonts w:ascii="Times New Roman" w:hAnsi="Times New Roman" w:cs="Times New Roman"/>
          <w:sz w:val="24"/>
          <w:szCs w:val="24"/>
        </w:rPr>
        <w:t xml:space="preserve"> </w:t>
      </w:r>
      <w:r w:rsidR="008937C2">
        <w:rPr>
          <w:rFonts w:ascii="Times New Roman" w:hAnsi="Times New Roman" w:cs="Times New Roman"/>
          <w:sz w:val="24"/>
          <w:szCs w:val="24"/>
        </w:rPr>
        <w:t>Dengan</w:t>
      </w:r>
      <w:r w:rsidR="008937C2">
        <w:rPr>
          <w:rFonts w:ascii="Times New Roman" w:hAnsi="Times New Roman" w:cs="Times New Roman"/>
          <w:sz w:val="24"/>
          <w:szCs w:val="24"/>
        </w:rPr>
        <w:t xml:space="preserve"> </w:t>
      </w:r>
      <w:r w:rsidR="008937C2">
        <w:rPr>
          <w:rFonts w:ascii="Times New Roman" w:hAnsi="Times New Roman" w:cs="Times New Roman"/>
          <w:sz w:val="24"/>
          <w:szCs w:val="24"/>
        </w:rPr>
        <w:t>Proksi</w:t>
      </w:r>
      <w:r w:rsidR="008937C2">
        <w:rPr>
          <w:rFonts w:ascii="Times New Roman" w:hAnsi="Times New Roman" w:cs="Times New Roman"/>
          <w:sz w:val="24"/>
          <w:szCs w:val="24"/>
        </w:rPr>
        <w:t xml:space="preserve"> </w:t>
      </w:r>
      <w:r w:rsidRPr="008937C2" w:rsidR="008937C2">
        <w:rPr>
          <w:rFonts w:ascii="Times New Roman" w:hAnsi="Times New Roman" w:cs="Times New Roman"/>
          <w:i/>
          <w:iCs/>
          <w:sz w:val="24"/>
          <w:szCs w:val="24"/>
        </w:rPr>
        <w:t xml:space="preserve">Return </w:t>
      </w:r>
      <w:r w:rsidRPr="008937C2" w:rsidR="008937C2">
        <w:rPr>
          <w:rFonts w:ascii="Times New Roman" w:hAnsi="Times New Roman" w:cs="Times New Roman"/>
          <w:i/>
          <w:iCs/>
          <w:sz w:val="24"/>
          <w:szCs w:val="24"/>
        </w:rPr>
        <w:t>On</w:t>
      </w:r>
      <w:r w:rsidRPr="008937C2" w:rsidR="008937C2">
        <w:rPr>
          <w:rFonts w:ascii="Times New Roman" w:hAnsi="Times New Roman" w:cs="Times New Roman"/>
          <w:i/>
          <w:iCs/>
          <w:sz w:val="24"/>
          <w:szCs w:val="24"/>
        </w:rPr>
        <w:t xml:space="preserve"> Assets</w:t>
      </w:r>
      <w:r w:rsidR="008937C2">
        <w:rPr>
          <w:rFonts w:ascii="Times New Roman" w:hAnsi="Times New Roman" w:cs="Times New Roman"/>
          <w:sz w:val="24"/>
          <w:szCs w:val="24"/>
        </w:rPr>
        <w:t xml:space="preserve"> </w:t>
      </w:r>
      <w:r w:rsidR="0092641F">
        <w:rPr>
          <w:rFonts w:ascii="Times New Roman" w:hAnsi="Times New Roman" w:cs="Times New Roman"/>
          <w:sz w:val="24"/>
          <w:szCs w:val="24"/>
        </w:rPr>
        <w:t>(ROA)</w:t>
      </w:r>
    </w:p>
    <w:p w:rsidR="00BF17A6" w:rsidRPr="005761EC" w:rsidP="005761EC" w14:paraId="3FF56D4A" w14:textId="4B7545EC">
      <w:pPr>
        <w:pStyle w:val="ListParagraph"/>
        <w:autoSpaceDE w:val="0"/>
        <w:autoSpaceDN w:val="0"/>
        <w:adjustRightInd w:val="0"/>
        <w:spacing w:after="0" w:line="276" w:lineRule="auto"/>
        <w:ind w:left="1800"/>
        <w:jc w:val="center"/>
        <w:rPr>
          <w:rFonts w:ascii="Times New Roman" w:hAnsi="Times New Roman" w:cs="Times New Roman"/>
          <w:b/>
          <w:bCs/>
          <w:sz w:val="24"/>
          <w:szCs w:val="24"/>
        </w:rPr>
      </w:pPr>
      <w:r w:rsidRPr="005761EC">
        <w:rPr>
          <w:rFonts w:ascii="Times New Roman" w:hAnsi="Times New Roman" w:cs="Times New Roman"/>
          <w:b/>
          <w:bCs/>
          <w:sz w:val="24"/>
          <w:szCs w:val="24"/>
        </w:rPr>
        <w:t xml:space="preserve">Tabel </w:t>
      </w:r>
      <w:r w:rsidR="00E20D14">
        <w:rPr>
          <w:rFonts w:ascii="Times New Roman" w:hAnsi="Times New Roman" w:cs="Times New Roman"/>
          <w:b/>
          <w:bCs/>
          <w:sz w:val="24"/>
          <w:szCs w:val="24"/>
        </w:rPr>
        <w:t>20</w:t>
      </w:r>
    </w:p>
    <w:p w:rsidR="005761EC" w:rsidRPr="005761EC" w:rsidP="005761EC" w14:paraId="6A164E0C" w14:textId="1132044F">
      <w:pPr>
        <w:pStyle w:val="ListParagraph"/>
        <w:autoSpaceDE w:val="0"/>
        <w:autoSpaceDN w:val="0"/>
        <w:adjustRightInd w:val="0"/>
        <w:spacing w:after="0" w:line="276" w:lineRule="auto"/>
        <w:ind w:left="1800"/>
        <w:jc w:val="center"/>
        <w:rPr>
          <w:rFonts w:ascii="Times New Roman" w:hAnsi="Times New Roman" w:cs="Times New Roman"/>
          <w:b/>
          <w:bCs/>
          <w:sz w:val="24"/>
          <w:szCs w:val="24"/>
        </w:rPr>
      </w:pPr>
      <w:r w:rsidRPr="005761EC">
        <w:rPr>
          <w:rFonts w:ascii="Times New Roman" w:hAnsi="Times New Roman" w:cs="Times New Roman"/>
          <w:b/>
          <w:bCs/>
          <w:sz w:val="24"/>
          <w:szCs w:val="24"/>
        </w:rPr>
        <w:t>Analisis</w:t>
      </w:r>
      <w:r w:rsidRPr="005761EC">
        <w:rPr>
          <w:rFonts w:ascii="Times New Roman" w:hAnsi="Times New Roman" w:cs="Times New Roman"/>
          <w:b/>
          <w:bCs/>
          <w:sz w:val="24"/>
          <w:szCs w:val="24"/>
        </w:rPr>
        <w:t xml:space="preserve"> </w:t>
      </w:r>
      <w:r w:rsidRPr="005761EC">
        <w:rPr>
          <w:rFonts w:ascii="Times New Roman" w:hAnsi="Times New Roman" w:cs="Times New Roman"/>
          <w:b/>
          <w:bCs/>
          <w:sz w:val="24"/>
          <w:szCs w:val="24"/>
        </w:rPr>
        <w:t>jalur</w:t>
      </w:r>
      <w:r w:rsidRPr="005761EC">
        <w:rPr>
          <w:rFonts w:ascii="Times New Roman" w:hAnsi="Times New Roman" w:cs="Times New Roman"/>
          <w:b/>
          <w:bCs/>
          <w:sz w:val="24"/>
          <w:szCs w:val="24"/>
        </w:rPr>
        <w:t xml:space="preserve"> </w:t>
      </w:r>
      <w:r w:rsidRPr="005761EC">
        <w:rPr>
          <w:rFonts w:ascii="Times New Roman" w:hAnsi="Times New Roman" w:cs="Times New Roman"/>
          <w:b/>
          <w:bCs/>
          <w:sz w:val="24"/>
          <w:szCs w:val="24"/>
        </w:rPr>
        <w:t>persamaan</w:t>
      </w:r>
      <w:r w:rsidRPr="005761EC">
        <w:rPr>
          <w:rFonts w:ascii="Times New Roman" w:hAnsi="Times New Roman" w:cs="Times New Roman"/>
          <w:b/>
          <w:bCs/>
          <w:sz w:val="24"/>
          <w:szCs w:val="24"/>
        </w:rPr>
        <w:t xml:space="preserve"> II</w:t>
      </w:r>
      <w:r w:rsidRPr="005761EC" w:rsidR="00606AFA">
        <w:rPr>
          <w:rFonts w:ascii="Times New Roman" w:hAnsi="Times New Roman" w:cs="Times New Roman"/>
          <w:b/>
          <w:bCs/>
          <w:sz w:val="24"/>
          <w:szCs w:val="24"/>
        </w:rPr>
        <w:t xml:space="preserve"> </w:t>
      </w:r>
      <w:r w:rsidRPr="005761EC" w:rsidR="00606AFA">
        <w:rPr>
          <w:rFonts w:ascii="Times New Roman" w:hAnsi="Times New Roman" w:cs="Times New Roman"/>
          <w:b/>
          <w:bCs/>
          <w:sz w:val="24"/>
          <w:szCs w:val="24"/>
        </w:rPr>
        <w:t>dengan</w:t>
      </w:r>
      <w:r w:rsidRPr="005761EC" w:rsidR="00606AFA">
        <w:rPr>
          <w:rFonts w:ascii="Times New Roman" w:hAnsi="Times New Roman" w:cs="Times New Roman"/>
          <w:b/>
          <w:bCs/>
          <w:sz w:val="24"/>
          <w:szCs w:val="24"/>
        </w:rPr>
        <w:t xml:space="preserve"> </w:t>
      </w:r>
      <w:r w:rsidRPr="005761EC" w:rsidR="00606AFA">
        <w:rPr>
          <w:rFonts w:ascii="Times New Roman" w:hAnsi="Times New Roman" w:cs="Times New Roman"/>
          <w:b/>
          <w:bCs/>
          <w:sz w:val="24"/>
          <w:szCs w:val="24"/>
        </w:rPr>
        <w:t>proksi</w:t>
      </w:r>
      <w:r w:rsidRPr="005761EC" w:rsidR="00606AFA">
        <w:rPr>
          <w:rFonts w:ascii="Times New Roman" w:hAnsi="Times New Roman" w:cs="Times New Roman"/>
          <w:b/>
          <w:bCs/>
          <w:sz w:val="24"/>
          <w:szCs w:val="24"/>
        </w:rPr>
        <w:t xml:space="preserve"> ROA</w:t>
      </w:r>
    </w:p>
    <w:tbl>
      <w:tblPr>
        <w:tblW w:w="6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5"/>
        <w:gridCol w:w="993"/>
        <w:gridCol w:w="1134"/>
        <w:gridCol w:w="1135"/>
        <w:gridCol w:w="1718"/>
      </w:tblGrid>
      <w:tr w14:paraId="15F24ADA" w14:textId="77777777" w:rsidTr="005761EC">
        <w:tblPrEx>
          <w:tblW w:w="6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jc w:val="right"/>
        </w:trPr>
        <w:tc>
          <w:tcPr>
            <w:tcW w:w="6255" w:type="dxa"/>
            <w:gridSpan w:val="5"/>
            <w:shd w:val="clear" w:color="auto" w:fill="FFFFFF"/>
            <w:vAlign w:val="center"/>
          </w:tcPr>
          <w:p w:rsidR="005761EC" w:rsidRPr="005761EC" w:rsidP="005761EC" w14:paraId="74BD1C44"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5761EC">
              <w:rPr>
                <w:rFonts w:ascii="Times New Roman" w:hAnsi="Times New Roman" w:cs="Times New Roman"/>
                <w:b/>
                <w:bCs/>
                <w:color w:val="010205"/>
                <w:sz w:val="20"/>
                <w:szCs w:val="20"/>
              </w:rPr>
              <w:t>Model Summary</w:t>
            </w:r>
          </w:p>
        </w:tc>
      </w:tr>
      <w:tr w14:paraId="12C63B7E" w14:textId="77777777" w:rsidTr="005761EC">
        <w:tblPrEx>
          <w:tblW w:w="6255" w:type="dxa"/>
          <w:jc w:val="right"/>
          <w:tblLayout w:type="fixed"/>
          <w:tblCellMar>
            <w:left w:w="0" w:type="dxa"/>
            <w:right w:w="0" w:type="dxa"/>
          </w:tblCellMar>
          <w:tblLook w:val="0000"/>
        </w:tblPrEx>
        <w:trPr>
          <w:cantSplit/>
          <w:jc w:val="right"/>
        </w:trPr>
        <w:tc>
          <w:tcPr>
            <w:tcW w:w="1275" w:type="dxa"/>
            <w:shd w:val="clear" w:color="auto" w:fill="FFFFFF"/>
            <w:vAlign w:val="bottom"/>
          </w:tcPr>
          <w:p w:rsidR="005761EC" w:rsidRPr="005761EC" w:rsidP="005761EC" w14:paraId="0B2E414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Model</w:t>
            </w:r>
          </w:p>
        </w:tc>
        <w:tc>
          <w:tcPr>
            <w:tcW w:w="993" w:type="dxa"/>
            <w:shd w:val="clear" w:color="auto" w:fill="FFFFFF"/>
            <w:vAlign w:val="bottom"/>
          </w:tcPr>
          <w:p w:rsidR="005761EC" w:rsidRPr="005761EC" w:rsidP="005761EC" w14:paraId="088AD720"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R</w:t>
            </w:r>
          </w:p>
        </w:tc>
        <w:tc>
          <w:tcPr>
            <w:tcW w:w="1134" w:type="dxa"/>
            <w:shd w:val="clear" w:color="auto" w:fill="FFFFFF"/>
            <w:vAlign w:val="bottom"/>
          </w:tcPr>
          <w:p w:rsidR="005761EC" w:rsidRPr="005761EC" w:rsidP="005761EC" w14:paraId="516B9F0C"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R Square</w:t>
            </w:r>
          </w:p>
        </w:tc>
        <w:tc>
          <w:tcPr>
            <w:tcW w:w="1135" w:type="dxa"/>
            <w:shd w:val="clear" w:color="auto" w:fill="FFFFFF"/>
            <w:vAlign w:val="bottom"/>
          </w:tcPr>
          <w:p w:rsidR="005761EC" w:rsidRPr="005761EC" w:rsidP="005761EC" w14:paraId="28C16095"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Adjusted R Square</w:t>
            </w:r>
          </w:p>
        </w:tc>
        <w:tc>
          <w:tcPr>
            <w:tcW w:w="1718" w:type="dxa"/>
            <w:shd w:val="clear" w:color="auto" w:fill="FFFFFF"/>
            <w:vAlign w:val="bottom"/>
          </w:tcPr>
          <w:p w:rsidR="005761EC" w:rsidRPr="005761EC" w:rsidP="005761EC" w14:paraId="1DA30A1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Std. Error of the Estimate</w:t>
            </w:r>
          </w:p>
        </w:tc>
      </w:tr>
      <w:tr w14:paraId="0E70BAC0" w14:textId="77777777" w:rsidTr="005761EC">
        <w:tblPrEx>
          <w:tblW w:w="6255" w:type="dxa"/>
          <w:jc w:val="right"/>
          <w:tblLayout w:type="fixed"/>
          <w:tblCellMar>
            <w:left w:w="0" w:type="dxa"/>
            <w:right w:w="0" w:type="dxa"/>
          </w:tblCellMar>
          <w:tblLook w:val="0000"/>
        </w:tblPrEx>
        <w:trPr>
          <w:cantSplit/>
          <w:jc w:val="right"/>
        </w:trPr>
        <w:tc>
          <w:tcPr>
            <w:tcW w:w="1275" w:type="dxa"/>
            <w:shd w:val="clear" w:color="auto" w:fill="E0E0E0"/>
          </w:tcPr>
          <w:p w:rsidR="005761EC" w:rsidRPr="005761EC" w:rsidP="005761EC" w14:paraId="59E51A47"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1</w:t>
            </w:r>
          </w:p>
        </w:tc>
        <w:tc>
          <w:tcPr>
            <w:tcW w:w="993" w:type="dxa"/>
            <w:shd w:val="clear" w:color="auto" w:fill="F9F9FB"/>
          </w:tcPr>
          <w:p w:rsidR="005761EC" w:rsidRPr="005761EC" w:rsidP="005761EC" w14:paraId="452DF6E6"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.465</w:t>
            </w:r>
            <w:r w:rsidRPr="005761EC">
              <w:rPr>
                <w:rFonts w:ascii="Times New Roman" w:hAnsi="Times New Roman" w:cs="Times New Roman"/>
                <w:color w:val="010205"/>
                <w:sz w:val="20"/>
                <w:szCs w:val="20"/>
                <w:vertAlign w:val="superscript"/>
              </w:rPr>
              <w:t>a</w:t>
            </w:r>
          </w:p>
        </w:tc>
        <w:tc>
          <w:tcPr>
            <w:tcW w:w="1134" w:type="dxa"/>
            <w:shd w:val="clear" w:color="auto" w:fill="F9F9FB"/>
          </w:tcPr>
          <w:p w:rsidR="005761EC" w:rsidRPr="005761EC" w:rsidP="005761EC" w14:paraId="0F65BEF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.216</w:t>
            </w:r>
          </w:p>
        </w:tc>
        <w:tc>
          <w:tcPr>
            <w:tcW w:w="1135" w:type="dxa"/>
            <w:shd w:val="clear" w:color="auto" w:fill="F9F9FB"/>
          </w:tcPr>
          <w:p w:rsidR="005761EC" w:rsidRPr="005761EC" w:rsidP="005761EC" w14:paraId="4D5C6C77"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.202</w:t>
            </w:r>
          </w:p>
        </w:tc>
        <w:tc>
          <w:tcPr>
            <w:tcW w:w="1718" w:type="dxa"/>
            <w:shd w:val="clear" w:color="auto" w:fill="F9F9FB"/>
          </w:tcPr>
          <w:p w:rsidR="005761EC" w:rsidRPr="005761EC" w:rsidP="005761EC" w14:paraId="6DB9DD6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1.01590</w:t>
            </w:r>
          </w:p>
        </w:tc>
      </w:tr>
      <w:tr w14:paraId="7A09DE0C" w14:textId="77777777" w:rsidTr="005761EC">
        <w:tblPrEx>
          <w:tblW w:w="6255" w:type="dxa"/>
          <w:jc w:val="right"/>
          <w:tblLayout w:type="fixed"/>
          <w:tblCellMar>
            <w:left w:w="0" w:type="dxa"/>
            <w:right w:w="0" w:type="dxa"/>
          </w:tblCellMar>
          <w:tblLook w:val="0000"/>
        </w:tblPrEx>
        <w:trPr>
          <w:cantSplit/>
          <w:jc w:val="right"/>
        </w:trPr>
        <w:tc>
          <w:tcPr>
            <w:tcW w:w="6255" w:type="dxa"/>
            <w:gridSpan w:val="5"/>
            <w:shd w:val="clear" w:color="auto" w:fill="FFFFFF"/>
          </w:tcPr>
          <w:p w:rsidR="005761EC" w:rsidRPr="005761EC" w:rsidP="005761EC" w14:paraId="15B91FE9"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5761EC">
              <w:rPr>
                <w:rFonts w:ascii="Times New Roman" w:hAnsi="Times New Roman" w:cs="Times New Roman"/>
                <w:color w:val="010205"/>
                <w:sz w:val="20"/>
                <w:szCs w:val="20"/>
              </w:rPr>
              <w:t>a. Predictors: (Constant), Green Banking, Corporate Social Responsibility</w:t>
            </w:r>
          </w:p>
        </w:tc>
      </w:tr>
    </w:tbl>
    <w:p w:rsidR="005761EC" w:rsidRPr="005761EC" w:rsidP="005761EC" w14:paraId="4661C5AD" w14:textId="22B6C8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tbl>
      <w:tblPr>
        <w:tblW w:w="42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5"/>
        <w:gridCol w:w="1700"/>
        <w:gridCol w:w="845"/>
        <w:gridCol w:w="1143"/>
        <w:gridCol w:w="1277"/>
        <w:gridCol w:w="842"/>
        <w:gridCol w:w="713"/>
      </w:tblGrid>
      <w:tr w14:paraId="264E872E" w14:textId="77777777" w:rsidTr="00CA583D">
        <w:tblPrEx>
          <w:tblW w:w="42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jc w:val="right"/>
        </w:trPr>
        <w:tc>
          <w:tcPr>
            <w:tcW w:w="5000" w:type="pct"/>
            <w:gridSpan w:val="7"/>
            <w:shd w:val="clear" w:color="auto" w:fill="FFFFFF"/>
            <w:vAlign w:val="center"/>
          </w:tcPr>
          <w:p w:rsidR="005761EC" w:rsidRPr="005761EC" w:rsidP="005761EC" w14:paraId="2FE95AD6"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bookmarkStart w:id="1" w:name="_Hlk172574560"/>
            <w:r w:rsidRPr="005761EC">
              <w:rPr>
                <w:rFonts w:ascii="Times New Roman" w:hAnsi="Times New Roman" w:cs="Times New Roman"/>
                <w:b/>
                <w:bCs/>
                <w:color w:val="010205"/>
                <w:sz w:val="20"/>
                <w:szCs w:val="20"/>
              </w:rPr>
              <w:t>Coefficients</w:t>
            </w:r>
            <w:r w:rsidRPr="005761EC">
              <w:rPr>
                <w:rFonts w:ascii="Times New Roman" w:hAnsi="Times New Roman" w:cs="Times New Roman"/>
                <w:b/>
                <w:bCs/>
                <w:color w:val="010205"/>
                <w:sz w:val="20"/>
                <w:szCs w:val="20"/>
                <w:vertAlign w:val="superscript"/>
              </w:rPr>
              <w:t>a</w:t>
            </w:r>
          </w:p>
        </w:tc>
      </w:tr>
      <w:tr w14:paraId="22B60D9E" w14:textId="77777777" w:rsidTr="00106ED2">
        <w:tblPrEx>
          <w:tblW w:w="4292" w:type="pct"/>
          <w:jc w:val="right"/>
          <w:tblLayout w:type="fixed"/>
          <w:tblCellMar>
            <w:left w:w="0" w:type="dxa"/>
            <w:right w:w="0" w:type="dxa"/>
          </w:tblCellMar>
          <w:tblLook w:val="0000"/>
        </w:tblPrEx>
        <w:trPr>
          <w:cantSplit/>
          <w:jc w:val="right"/>
        </w:trPr>
        <w:tc>
          <w:tcPr>
            <w:tcW w:w="1458" w:type="pct"/>
            <w:gridSpan w:val="2"/>
            <w:vMerge w:val="restart"/>
            <w:shd w:val="clear" w:color="auto" w:fill="FFFFFF"/>
            <w:vAlign w:val="bottom"/>
          </w:tcPr>
          <w:p w:rsidR="005761EC" w:rsidRPr="005761EC" w:rsidP="005761EC" w14:paraId="2DA4B578"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Model</w:t>
            </w:r>
          </w:p>
        </w:tc>
        <w:tc>
          <w:tcPr>
            <w:tcW w:w="1461" w:type="pct"/>
            <w:gridSpan w:val="2"/>
            <w:shd w:val="clear" w:color="auto" w:fill="FFFFFF"/>
            <w:vAlign w:val="bottom"/>
          </w:tcPr>
          <w:p w:rsidR="005761EC" w:rsidRPr="005761EC" w:rsidP="005761EC" w14:paraId="22D29A8E"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Unstandardized Coefficients</w:t>
            </w:r>
          </w:p>
        </w:tc>
        <w:tc>
          <w:tcPr>
            <w:tcW w:w="938" w:type="pct"/>
            <w:shd w:val="clear" w:color="auto" w:fill="FFFFFF"/>
            <w:vAlign w:val="bottom"/>
          </w:tcPr>
          <w:p w:rsidR="005761EC" w:rsidRPr="005761EC" w:rsidP="005761EC" w14:paraId="04800AE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Standardized Coefficients</w:t>
            </w:r>
          </w:p>
        </w:tc>
        <w:tc>
          <w:tcPr>
            <w:tcW w:w="619" w:type="pct"/>
            <w:vMerge w:val="restart"/>
            <w:shd w:val="clear" w:color="auto" w:fill="FFFFFF"/>
            <w:vAlign w:val="bottom"/>
          </w:tcPr>
          <w:p w:rsidR="005761EC" w:rsidRPr="005761EC" w:rsidP="005761EC" w14:paraId="3F2E5D0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t</w:t>
            </w:r>
          </w:p>
        </w:tc>
        <w:tc>
          <w:tcPr>
            <w:tcW w:w="524" w:type="pct"/>
            <w:vMerge w:val="restart"/>
            <w:shd w:val="clear" w:color="auto" w:fill="FFFFFF"/>
            <w:vAlign w:val="bottom"/>
          </w:tcPr>
          <w:p w:rsidR="005761EC" w:rsidRPr="005761EC" w:rsidP="005761EC" w14:paraId="70B31EEB"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Sig.</w:t>
            </w:r>
          </w:p>
        </w:tc>
      </w:tr>
      <w:tr w14:paraId="3C9F974D" w14:textId="77777777" w:rsidTr="00106ED2">
        <w:tblPrEx>
          <w:tblW w:w="4292" w:type="pct"/>
          <w:jc w:val="right"/>
          <w:tblLayout w:type="fixed"/>
          <w:tblCellMar>
            <w:left w:w="0" w:type="dxa"/>
            <w:right w:w="0" w:type="dxa"/>
          </w:tblCellMar>
          <w:tblLook w:val="0000"/>
        </w:tblPrEx>
        <w:trPr>
          <w:cantSplit/>
          <w:jc w:val="right"/>
        </w:trPr>
        <w:tc>
          <w:tcPr>
            <w:tcW w:w="1458" w:type="pct"/>
            <w:gridSpan w:val="2"/>
            <w:vMerge/>
            <w:shd w:val="clear" w:color="auto" w:fill="FFFFFF"/>
            <w:vAlign w:val="bottom"/>
          </w:tcPr>
          <w:p w:rsidR="005761EC" w:rsidRPr="005761EC" w:rsidP="005761EC" w14:paraId="3D351DC5" w14:textId="77777777">
            <w:pPr>
              <w:autoSpaceDE w:val="0"/>
              <w:autoSpaceDN w:val="0"/>
              <w:adjustRightInd w:val="0"/>
              <w:spacing w:after="0" w:line="240" w:lineRule="auto"/>
              <w:rPr>
                <w:rFonts w:ascii="Times New Roman" w:hAnsi="Times New Roman" w:cs="Times New Roman"/>
                <w:color w:val="264A60"/>
                <w:sz w:val="20"/>
                <w:szCs w:val="20"/>
              </w:rPr>
            </w:pPr>
          </w:p>
        </w:tc>
        <w:tc>
          <w:tcPr>
            <w:tcW w:w="621" w:type="pct"/>
            <w:shd w:val="clear" w:color="auto" w:fill="FFFFFF"/>
            <w:vAlign w:val="bottom"/>
          </w:tcPr>
          <w:p w:rsidR="005761EC" w:rsidRPr="005761EC" w:rsidP="005761EC" w14:paraId="39C3F15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B</w:t>
            </w:r>
          </w:p>
        </w:tc>
        <w:tc>
          <w:tcPr>
            <w:tcW w:w="840" w:type="pct"/>
            <w:shd w:val="clear" w:color="auto" w:fill="FFFFFF"/>
            <w:vAlign w:val="bottom"/>
          </w:tcPr>
          <w:p w:rsidR="005761EC" w:rsidRPr="005761EC" w:rsidP="005761EC" w14:paraId="2D0DC01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Std. Error</w:t>
            </w:r>
          </w:p>
        </w:tc>
        <w:tc>
          <w:tcPr>
            <w:tcW w:w="938" w:type="pct"/>
            <w:shd w:val="clear" w:color="auto" w:fill="FFFFFF"/>
            <w:vAlign w:val="bottom"/>
          </w:tcPr>
          <w:p w:rsidR="005761EC" w:rsidRPr="005761EC" w:rsidP="005761EC" w14:paraId="038E0786"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5761EC">
              <w:rPr>
                <w:rFonts w:ascii="Times New Roman" w:hAnsi="Times New Roman" w:cs="Times New Roman"/>
                <w:color w:val="264A60"/>
                <w:sz w:val="20"/>
                <w:szCs w:val="20"/>
              </w:rPr>
              <w:t>Beta</w:t>
            </w:r>
          </w:p>
        </w:tc>
        <w:tc>
          <w:tcPr>
            <w:tcW w:w="619" w:type="pct"/>
            <w:vMerge/>
            <w:shd w:val="clear" w:color="auto" w:fill="FFFFFF"/>
            <w:vAlign w:val="bottom"/>
          </w:tcPr>
          <w:p w:rsidR="005761EC" w:rsidRPr="005761EC" w:rsidP="005761EC" w14:paraId="7AC34DC2" w14:textId="77777777">
            <w:pPr>
              <w:autoSpaceDE w:val="0"/>
              <w:autoSpaceDN w:val="0"/>
              <w:adjustRightInd w:val="0"/>
              <w:spacing w:after="0" w:line="240" w:lineRule="auto"/>
              <w:rPr>
                <w:rFonts w:ascii="Times New Roman" w:hAnsi="Times New Roman" w:cs="Times New Roman"/>
                <w:color w:val="264A60"/>
                <w:sz w:val="20"/>
                <w:szCs w:val="20"/>
              </w:rPr>
            </w:pPr>
          </w:p>
        </w:tc>
        <w:tc>
          <w:tcPr>
            <w:tcW w:w="524" w:type="pct"/>
            <w:vMerge/>
            <w:shd w:val="clear" w:color="auto" w:fill="FFFFFF"/>
            <w:vAlign w:val="bottom"/>
          </w:tcPr>
          <w:p w:rsidR="005761EC" w:rsidRPr="005761EC" w:rsidP="005761EC" w14:paraId="318B0084" w14:textId="77777777">
            <w:pPr>
              <w:autoSpaceDE w:val="0"/>
              <w:autoSpaceDN w:val="0"/>
              <w:adjustRightInd w:val="0"/>
              <w:spacing w:after="0" w:line="240" w:lineRule="auto"/>
              <w:rPr>
                <w:rFonts w:ascii="Times New Roman" w:hAnsi="Times New Roman" w:cs="Times New Roman"/>
                <w:color w:val="264A60"/>
                <w:sz w:val="20"/>
                <w:szCs w:val="20"/>
              </w:rPr>
            </w:pPr>
          </w:p>
        </w:tc>
      </w:tr>
      <w:tr w14:paraId="40B82166" w14:textId="77777777" w:rsidTr="00106ED2">
        <w:tblPrEx>
          <w:tblW w:w="4292" w:type="pct"/>
          <w:jc w:val="right"/>
          <w:tblLayout w:type="fixed"/>
          <w:tblCellMar>
            <w:left w:w="0" w:type="dxa"/>
            <w:right w:w="0" w:type="dxa"/>
          </w:tblCellMar>
          <w:tblLook w:val="0000"/>
        </w:tblPrEx>
        <w:trPr>
          <w:cantSplit/>
          <w:jc w:val="right"/>
        </w:trPr>
        <w:tc>
          <w:tcPr>
            <w:tcW w:w="209" w:type="pct"/>
            <w:vMerge w:val="restart"/>
            <w:shd w:val="clear" w:color="auto" w:fill="E0E0E0"/>
          </w:tcPr>
          <w:p w:rsidR="005761EC" w:rsidRPr="005761EC" w:rsidP="005761EC" w14:paraId="517C4C86"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1</w:t>
            </w:r>
          </w:p>
        </w:tc>
        <w:tc>
          <w:tcPr>
            <w:tcW w:w="1249" w:type="pct"/>
            <w:shd w:val="clear" w:color="auto" w:fill="E0E0E0"/>
          </w:tcPr>
          <w:p w:rsidR="005761EC" w:rsidRPr="005761EC" w:rsidP="005761EC" w14:paraId="28908B9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(Constant)</w:t>
            </w:r>
          </w:p>
        </w:tc>
        <w:tc>
          <w:tcPr>
            <w:tcW w:w="621" w:type="pct"/>
            <w:shd w:val="clear" w:color="auto" w:fill="F9F9FB"/>
          </w:tcPr>
          <w:p w:rsidR="005761EC" w:rsidRPr="005761EC" w:rsidP="005761EC" w14:paraId="4C47202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-.505</w:t>
            </w:r>
          </w:p>
        </w:tc>
        <w:tc>
          <w:tcPr>
            <w:tcW w:w="840" w:type="pct"/>
            <w:shd w:val="clear" w:color="auto" w:fill="F9F9FB"/>
          </w:tcPr>
          <w:p w:rsidR="005761EC" w:rsidRPr="005761EC" w:rsidP="005761EC" w14:paraId="5FAA4AC4"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.430</w:t>
            </w:r>
          </w:p>
        </w:tc>
        <w:tc>
          <w:tcPr>
            <w:tcW w:w="938" w:type="pct"/>
            <w:shd w:val="clear" w:color="auto" w:fill="F9F9FB"/>
            <w:vAlign w:val="center"/>
          </w:tcPr>
          <w:p w:rsidR="005761EC" w:rsidRPr="005761EC" w:rsidP="005761EC" w14:paraId="23033B0A" w14:textId="77777777">
            <w:pPr>
              <w:autoSpaceDE w:val="0"/>
              <w:autoSpaceDN w:val="0"/>
              <w:adjustRightInd w:val="0"/>
              <w:spacing w:after="0" w:line="240" w:lineRule="auto"/>
              <w:rPr>
                <w:rFonts w:ascii="Times New Roman" w:hAnsi="Times New Roman" w:cs="Times New Roman"/>
                <w:sz w:val="20"/>
                <w:szCs w:val="20"/>
              </w:rPr>
            </w:pPr>
          </w:p>
        </w:tc>
        <w:tc>
          <w:tcPr>
            <w:tcW w:w="619" w:type="pct"/>
            <w:shd w:val="clear" w:color="auto" w:fill="F9F9FB"/>
          </w:tcPr>
          <w:p w:rsidR="005761EC" w:rsidRPr="005761EC" w:rsidP="005761EC" w14:paraId="4DFCAF7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-1.175</w:t>
            </w:r>
          </w:p>
        </w:tc>
        <w:tc>
          <w:tcPr>
            <w:tcW w:w="524" w:type="pct"/>
            <w:shd w:val="clear" w:color="auto" w:fill="F9F9FB"/>
          </w:tcPr>
          <w:p w:rsidR="005761EC" w:rsidRPr="005761EC" w:rsidP="005761EC" w14:paraId="71E386D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.242</w:t>
            </w:r>
          </w:p>
        </w:tc>
      </w:tr>
      <w:tr w14:paraId="0FF34986" w14:textId="77777777" w:rsidTr="00106ED2">
        <w:tblPrEx>
          <w:tblW w:w="4292" w:type="pct"/>
          <w:jc w:val="right"/>
          <w:tblLayout w:type="fixed"/>
          <w:tblCellMar>
            <w:left w:w="0" w:type="dxa"/>
            <w:right w:w="0" w:type="dxa"/>
          </w:tblCellMar>
          <w:tblLook w:val="0000"/>
        </w:tblPrEx>
        <w:trPr>
          <w:cantSplit/>
          <w:jc w:val="right"/>
        </w:trPr>
        <w:tc>
          <w:tcPr>
            <w:tcW w:w="209" w:type="pct"/>
            <w:vMerge/>
            <w:shd w:val="clear" w:color="auto" w:fill="E0E0E0"/>
          </w:tcPr>
          <w:p w:rsidR="005761EC" w:rsidRPr="005761EC" w:rsidP="005761EC" w14:paraId="72E60A50" w14:textId="77777777">
            <w:pPr>
              <w:autoSpaceDE w:val="0"/>
              <w:autoSpaceDN w:val="0"/>
              <w:adjustRightInd w:val="0"/>
              <w:spacing w:after="0" w:line="240" w:lineRule="auto"/>
              <w:rPr>
                <w:rFonts w:ascii="Times New Roman" w:hAnsi="Times New Roman" w:cs="Times New Roman"/>
                <w:color w:val="010205"/>
                <w:sz w:val="20"/>
                <w:szCs w:val="20"/>
              </w:rPr>
            </w:pPr>
          </w:p>
        </w:tc>
        <w:tc>
          <w:tcPr>
            <w:tcW w:w="1249" w:type="pct"/>
            <w:shd w:val="clear" w:color="auto" w:fill="E0E0E0"/>
          </w:tcPr>
          <w:p w:rsidR="005761EC" w:rsidRPr="005761EC" w:rsidP="005761EC" w14:paraId="7E268B1B"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Corporate Social Responsibility</w:t>
            </w:r>
          </w:p>
        </w:tc>
        <w:tc>
          <w:tcPr>
            <w:tcW w:w="621" w:type="pct"/>
            <w:shd w:val="clear" w:color="auto" w:fill="F9F9FB"/>
          </w:tcPr>
          <w:p w:rsidR="005761EC" w:rsidRPr="005761EC" w:rsidP="005761EC" w14:paraId="27B3885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-.021</w:t>
            </w:r>
          </w:p>
        </w:tc>
        <w:tc>
          <w:tcPr>
            <w:tcW w:w="840" w:type="pct"/>
            <w:shd w:val="clear" w:color="auto" w:fill="F9F9FB"/>
          </w:tcPr>
          <w:p w:rsidR="005761EC" w:rsidRPr="005761EC" w:rsidP="005761EC" w14:paraId="2D81487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.012</w:t>
            </w:r>
          </w:p>
        </w:tc>
        <w:tc>
          <w:tcPr>
            <w:tcW w:w="938" w:type="pct"/>
            <w:shd w:val="clear" w:color="auto" w:fill="F9F9FB"/>
          </w:tcPr>
          <w:p w:rsidR="005761EC" w:rsidRPr="005761EC" w:rsidP="005761EC" w14:paraId="53C6E50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-.307</w:t>
            </w:r>
          </w:p>
        </w:tc>
        <w:tc>
          <w:tcPr>
            <w:tcW w:w="619" w:type="pct"/>
            <w:shd w:val="clear" w:color="auto" w:fill="F9F9FB"/>
          </w:tcPr>
          <w:p w:rsidR="005761EC" w:rsidRPr="005761EC" w:rsidP="005761EC" w14:paraId="104D6D4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-1.732</w:t>
            </w:r>
          </w:p>
        </w:tc>
        <w:tc>
          <w:tcPr>
            <w:tcW w:w="524" w:type="pct"/>
            <w:shd w:val="clear" w:color="auto" w:fill="F9F9FB"/>
          </w:tcPr>
          <w:p w:rsidR="005761EC" w:rsidRPr="005761EC" w:rsidP="005761EC" w14:paraId="0565081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.086</w:t>
            </w:r>
          </w:p>
        </w:tc>
      </w:tr>
      <w:tr w14:paraId="28CCA946" w14:textId="77777777" w:rsidTr="00106ED2">
        <w:tblPrEx>
          <w:tblW w:w="4292" w:type="pct"/>
          <w:jc w:val="right"/>
          <w:tblLayout w:type="fixed"/>
          <w:tblCellMar>
            <w:left w:w="0" w:type="dxa"/>
            <w:right w:w="0" w:type="dxa"/>
          </w:tblCellMar>
          <w:tblLook w:val="0000"/>
        </w:tblPrEx>
        <w:trPr>
          <w:cantSplit/>
          <w:jc w:val="right"/>
        </w:trPr>
        <w:tc>
          <w:tcPr>
            <w:tcW w:w="209" w:type="pct"/>
            <w:vMerge/>
            <w:shd w:val="clear" w:color="auto" w:fill="E0E0E0"/>
          </w:tcPr>
          <w:p w:rsidR="005761EC" w:rsidRPr="005761EC" w:rsidP="005761EC" w14:paraId="035848E3" w14:textId="77777777">
            <w:pPr>
              <w:autoSpaceDE w:val="0"/>
              <w:autoSpaceDN w:val="0"/>
              <w:adjustRightInd w:val="0"/>
              <w:spacing w:after="0" w:line="240" w:lineRule="auto"/>
              <w:rPr>
                <w:rFonts w:ascii="Times New Roman" w:hAnsi="Times New Roman" w:cs="Times New Roman"/>
                <w:color w:val="010205"/>
                <w:sz w:val="20"/>
                <w:szCs w:val="20"/>
              </w:rPr>
            </w:pPr>
          </w:p>
        </w:tc>
        <w:tc>
          <w:tcPr>
            <w:tcW w:w="1249" w:type="pct"/>
            <w:shd w:val="clear" w:color="auto" w:fill="E0E0E0"/>
          </w:tcPr>
          <w:p w:rsidR="005761EC" w:rsidRPr="005761EC" w:rsidP="005761EC" w14:paraId="6CF0F092"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5761EC">
              <w:rPr>
                <w:rFonts w:ascii="Times New Roman" w:hAnsi="Times New Roman" w:cs="Times New Roman"/>
                <w:color w:val="264A60"/>
                <w:sz w:val="20"/>
                <w:szCs w:val="20"/>
              </w:rPr>
              <w:t>Green Banking</w:t>
            </w:r>
          </w:p>
        </w:tc>
        <w:tc>
          <w:tcPr>
            <w:tcW w:w="621" w:type="pct"/>
            <w:shd w:val="clear" w:color="auto" w:fill="F9F9FB"/>
          </w:tcPr>
          <w:p w:rsidR="005761EC" w:rsidRPr="005761EC" w:rsidP="005761EC" w14:paraId="724A158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.050</w:t>
            </w:r>
          </w:p>
        </w:tc>
        <w:tc>
          <w:tcPr>
            <w:tcW w:w="840" w:type="pct"/>
            <w:shd w:val="clear" w:color="auto" w:fill="F9F9FB"/>
          </w:tcPr>
          <w:p w:rsidR="005761EC" w:rsidRPr="005761EC" w:rsidP="005761EC" w14:paraId="1F2821D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.012</w:t>
            </w:r>
          </w:p>
        </w:tc>
        <w:tc>
          <w:tcPr>
            <w:tcW w:w="938" w:type="pct"/>
            <w:shd w:val="clear" w:color="auto" w:fill="F9F9FB"/>
          </w:tcPr>
          <w:p w:rsidR="005761EC" w:rsidRPr="005761EC" w:rsidP="005761EC" w14:paraId="61A6706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.713</w:t>
            </w:r>
          </w:p>
        </w:tc>
        <w:tc>
          <w:tcPr>
            <w:tcW w:w="619" w:type="pct"/>
            <w:shd w:val="clear" w:color="auto" w:fill="F9F9FB"/>
          </w:tcPr>
          <w:p w:rsidR="005761EC" w:rsidRPr="005761EC" w:rsidP="005761EC" w14:paraId="4932BD3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4.021</w:t>
            </w:r>
          </w:p>
        </w:tc>
        <w:tc>
          <w:tcPr>
            <w:tcW w:w="524" w:type="pct"/>
            <w:shd w:val="clear" w:color="auto" w:fill="F9F9FB"/>
          </w:tcPr>
          <w:p w:rsidR="005761EC" w:rsidRPr="005761EC" w:rsidP="005761EC" w14:paraId="3A92B23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5761EC">
              <w:rPr>
                <w:rFonts w:ascii="Times New Roman" w:hAnsi="Times New Roman" w:cs="Times New Roman"/>
                <w:color w:val="010205"/>
                <w:sz w:val="20"/>
                <w:szCs w:val="20"/>
              </w:rPr>
              <w:t>&lt;,001</w:t>
            </w:r>
          </w:p>
        </w:tc>
      </w:tr>
      <w:tr w14:paraId="21397D04" w14:textId="77777777" w:rsidTr="00CA583D">
        <w:tblPrEx>
          <w:tblW w:w="4292" w:type="pct"/>
          <w:jc w:val="right"/>
          <w:tblLayout w:type="fixed"/>
          <w:tblCellMar>
            <w:left w:w="0" w:type="dxa"/>
            <w:right w:w="0" w:type="dxa"/>
          </w:tblCellMar>
          <w:tblLook w:val="0000"/>
        </w:tblPrEx>
        <w:trPr>
          <w:cantSplit/>
          <w:jc w:val="right"/>
        </w:trPr>
        <w:tc>
          <w:tcPr>
            <w:tcW w:w="5000" w:type="pct"/>
            <w:gridSpan w:val="7"/>
            <w:shd w:val="clear" w:color="auto" w:fill="FFFFFF"/>
          </w:tcPr>
          <w:p w:rsidR="005761EC" w:rsidRPr="005761EC" w:rsidP="005761EC" w14:paraId="4E86B779"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5761EC">
              <w:rPr>
                <w:rFonts w:ascii="Times New Roman" w:hAnsi="Times New Roman" w:cs="Times New Roman"/>
                <w:color w:val="010205"/>
                <w:sz w:val="20"/>
                <w:szCs w:val="20"/>
              </w:rPr>
              <w:t xml:space="preserve">a. Dependent Variable: Return </w:t>
            </w:r>
            <w:r w:rsidRPr="005761EC">
              <w:rPr>
                <w:rFonts w:ascii="Times New Roman" w:hAnsi="Times New Roman" w:cs="Times New Roman"/>
                <w:color w:val="010205"/>
                <w:sz w:val="20"/>
                <w:szCs w:val="20"/>
              </w:rPr>
              <w:t>On</w:t>
            </w:r>
            <w:r w:rsidRPr="005761EC">
              <w:rPr>
                <w:rFonts w:ascii="Times New Roman" w:hAnsi="Times New Roman" w:cs="Times New Roman"/>
                <w:color w:val="010205"/>
                <w:sz w:val="20"/>
                <w:szCs w:val="20"/>
              </w:rPr>
              <w:t xml:space="preserve"> Assets</w:t>
            </w:r>
          </w:p>
        </w:tc>
      </w:tr>
    </w:tbl>
    <w:bookmarkEnd w:id="1"/>
    <w:p w:rsidR="005761EC" w:rsidRPr="005761EC" w:rsidP="00CA583D" w14:paraId="048D0B75" w14:textId="4009B263">
      <w:pPr>
        <w:autoSpaceDE w:val="0"/>
        <w:autoSpaceDN w:val="0"/>
        <w:adjustRightInd w:val="0"/>
        <w:spacing w:after="0" w:line="480" w:lineRule="auto"/>
        <w:ind w:left="993" w:firstLine="447"/>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BF17A6" w:rsidRPr="0092641F" w:rsidP="0092641F" w14:paraId="511733DC" w14:textId="0FD0C5D7">
      <w:pPr>
        <w:autoSpaceDE w:val="0"/>
        <w:autoSpaceDN w:val="0"/>
        <w:adjustRightInd w:val="0"/>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II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sidRPr="008937C2">
        <w:rPr>
          <w:rFonts w:ascii="Times New Roman" w:hAnsi="Times New Roman" w:cs="Times New Roman"/>
          <w:i/>
          <w:iCs/>
          <w:sz w:val="24"/>
          <w:szCs w:val="24"/>
        </w:rPr>
        <w:t>return on assets</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sidRPr="008937C2">
        <w:rPr>
          <w:rFonts w:ascii="Times New Roman" w:hAnsi="Times New Roman" w:cs="Times New Roman"/>
          <w:i/>
          <w:iCs/>
          <w:sz w:val="24"/>
          <w:szCs w:val="24"/>
        </w:rPr>
        <w:t>model summary</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R Square</w:t>
      </w:r>
      <w:r>
        <w:rPr>
          <w:rFonts w:ascii="Times New Roman" w:hAnsi="Times New Roman" w:cs="Times New Roman"/>
          <w:sz w:val="24"/>
          <w:szCs w:val="24"/>
        </w:rPr>
        <w:t xml:space="preserve"> CSR dan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ROA </w:t>
      </w:r>
      <w:r>
        <w:rPr>
          <w:rFonts w:ascii="Times New Roman" w:hAnsi="Times New Roman" w:cs="Times New Roman"/>
          <w:sz w:val="24"/>
          <w:szCs w:val="24"/>
        </w:rPr>
        <w:t>sebesar</w:t>
      </w:r>
      <w:r>
        <w:rPr>
          <w:rFonts w:ascii="Times New Roman" w:hAnsi="Times New Roman" w:cs="Times New Roman"/>
          <w:sz w:val="24"/>
          <w:szCs w:val="24"/>
        </w:rPr>
        <w:t xml:space="preserve"> 0,216. </w:t>
      </w:r>
      <w:r>
        <w:rPr>
          <w:rFonts w:ascii="Times New Roman" w:hAnsi="Times New Roman" w:cs="Times New Roman"/>
          <w:sz w:val="24"/>
          <w:szCs w:val="24"/>
        </w:rPr>
        <w:t>Artinya</w:t>
      </w:r>
      <w:r>
        <w:rPr>
          <w:rFonts w:ascii="Times New Roman" w:hAnsi="Times New Roman" w:cs="Times New Roman"/>
          <w:sz w:val="24"/>
          <w:szCs w:val="24"/>
        </w:rPr>
        <w:t xml:space="preserve"> </w:t>
      </w:r>
      <w:r>
        <w:rPr>
          <w:rFonts w:ascii="Times New Roman" w:hAnsi="Times New Roman" w:cs="Times New Roman"/>
          <w:sz w:val="24"/>
          <w:szCs w:val="24"/>
        </w:rPr>
        <w:t>variasi</w:t>
      </w:r>
      <w:r>
        <w:rPr>
          <w:rFonts w:ascii="Times New Roman" w:hAnsi="Times New Roman" w:cs="Times New Roman"/>
          <w:sz w:val="24"/>
          <w:szCs w:val="24"/>
        </w:rPr>
        <w:t xml:space="preserve"> ROA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dijelaskan</w:t>
      </w:r>
      <w:r w:rsidR="00106ED2">
        <w:rPr>
          <w:rFonts w:ascii="Times New Roman" w:hAnsi="Times New Roman" w:cs="Times New Roman"/>
          <w:sz w:val="24"/>
          <w:szCs w:val="24"/>
        </w:rPr>
        <w:t xml:space="preserve"> oleh </w:t>
      </w:r>
      <w:r w:rsidR="00106ED2">
        <w:rPr>
          <w:rFonts w:ascii="Times New Roman" w:hAnsi="Times New Roman" w:cs="Times New Roman"/>
          <w:sz w:val="24"/>
          <w:szCs w:val="24"/>
        </w:rPr>
        <w:t>variasi</w:t>
      </w:r>
      <w:r w:rsidR="00106ED2">
        <w:rPr>
          <w:rFonts w:ascii="Times New Roman" w:hAnsi="Times New Roman" w:cs="Times New Roman"/>
          <w:sz w:val="24"/>
          <w:szCs w:val="24"/>
        </w:rPr>
        <w:t xml:space="preserve"> CSR dan </w:t>
      </w:r>
      <w:r w:rsidRPr="008937C2" w:rsidR="00106ED2">
        <w:rPr>
          <w:rFonts w:ascii="Times New Roman" w:hAnsi="Times New Roman" w:cs="Times New Roman"/>
          <w:i/>
          <w:iCs/>
          <w:sz w:val="24"/>
          <w:szCs w:val="24"/>
        </w:rPr>
        <w:t>green banking</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sebesar</w:t>
      </w:r>
      <w:r w:rsidR="00106ED2">
        <w:rPr>
          <w:rFonts w:ascii="Times New Roman" w:hAnsi="Times New Roman" w:cs="Times New Roman"/>
          <w:sz w:val="24"/>
          <w:szCs w:val="24"/>
        </w:rPr>
        <w:t xml:space="preserve"> 21,6%, </w:t>
      </w:r>
      <w:r w:rsidR="00106ED2">
        <w:rPr>
          <w:rFonts w:ascii="Times New Roman" w:hAnsi="Times New Roman" w:cs="Times New Roman"/>
          <w:sz w:val="24"/>
          <w:szCs w:val="24"/>
        </w:rPr>
        <w:t>sehingga</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varian</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variabel</w:t>
      </w:r>
      <w:r w:rsidR="00106ED2">
        <w:rPr>
          <w:rFonts w:ascii="Times New Roman" w:hAnsi="Times New Roman" w:cs="Times New Roman"/>
          <w:sz w:val="24"/>
          <w:szCs w:val="24"/>
        </w:rPr>
        <w:t xml:space="preserve"> ROA yang </w:t>
      </w:r>
      <w:r w:rsidR="00106ED2">
        <w:rPr>
          <w:rFonts w:ascii="Times New Roman" w:hAnsi="Times New Roman" w:cs="Times New Roman"/>
          <w:sz w:val="24"/>
          <w:szCs w:val="24"/>
        </w:rPr>
        <w:t>tidak</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dijelaskan</w:t>
      </w:r>
      <w:r w:rsidR="00106ED2">
        <w:rPr>
          <w:rFonts w:ascii="Times New Roman" w:hAnsi="Times New Roman" w:cs="Times New Roman"/>
          <w:sz w:val="24"/>
          <w:szCs w:val="24"/>
        </w:rPr>
        <w:t xml:space="preserve"> oleh </w:t>
      </w:r>
      <w:r w:rsidR="00106ED2">
        <w:rPr>
          <w:rFonts w:ascii="Times New Roman" w:hAnsi="Times New Roman" w:cs="Times New Roman"/>
          <w:sz w:val="24"/>
          <w:szCs w:val="24"/>
        </w:rPr>
        <w:t>variabel</w:t>
      </w:r>
      <w:r w:rsidR="00106ED2">
        <w:rPr>
          <w:rFonts w:ascii="Times New Roman" w:hAnsi="Times New Roman" w:cs="Times New Roman"/>
          <w:sz w:val="24"/>
          <w:szCs w:val="24"/>
        </w:rPr>
        <w:t xml:space="preserve"> CSR dan </w:t>
      </w:r>
      <w:r w:rsidRPr="008937C2" w:rsidR="00106ED2">
        <w:rPr>
          <w:rFonts w:ascii="Times New Roman" w:hAnsi="Times New Roman" w:cs="Times New Roman"/>
          <w:i/>
          <w:iCs/>
          <w:sz w:val="24"/>
          <w:szCs w:val="24"/>
        </w:rPr>
        <w:t>green banking</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adalah</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sebesar</w:t>
      </w:r>
      <w:r w:rsidR="00106ED2">
        <w:rPr>
          <w:rFonts w:ascii="Times New Roman" w:hAnsi="Times New Roman" w:cs="Times New Roman"/>
          <w:sz w:val="24"/>
          <w:szCs w:val="24"/>
        </w:rPr>
        <w:t xml:space="preserve"> e</w:t>
      </w:r>
      <w:r w:rsidRPr="00106ED2" w:rsidR="00106ED2">
        <w:rPr>
          <w:rFonts w:ascii="Times New Roman" w:hAnsi="Times New Roman" w:cs="Times New Roman"/>
          <w:sz w:val="24"/>
          <w:szCs w:val="24"/>
          <w:vertAlign w:val="subscript"/>
        </w:rPr>
        <w:t>2</w:t>
      </w:r>
      <w:r w:rsidR="00106ED2">
        <w:rPr>
          <w:rFonts w:ascii="Times New Roman" w:hAnsi="Times New Roman" w:cs="Times New Roman"/>
          <w:sz w:val="24"/>
          <w:szCs w:val="24"/>
        </w:rPr>
        <w:t xml:space="preserve"> = √1-0,216 = 0,885. </w:t>
      </w:r>
      <w:r w:rsidR="00106ED2">
        <w:rPr>
          <w:rFonts w:ascii="Times New Roman" w:hAnsi="Times New Roman" w:cs="Times New Roman"/>
          <w:sz w:val="24"/>
          <w:szCs w:val="24"/>
        </w:rPr>
        <w:t>Sedangkan</w:t>
      </w:r>
      <w:r w:rsidR="00106ED2">
        <w:rPr>
          <w:rFonts w:ascii="Times New Roman" w:hAnsi="Times New Roman" w:cs="Times New Roman"/>
          <w:sz w:val="24"/>
          <w:szCs w:val="24"/>
        </w:rPr>
        <w:t xml:space="preserve"> </w:t>
      </w:r>
      <w:r w:rsidR="00106ED2">
        <w:rPr>
          <w:rFonts w:ascii="Times New Roman" w:hAnsi="Times New Roman" w:cs="Times New Roman"/>
          <w:sz w:val="24"/>
          <w:szCs w:val="24"/>
        </w:rPr>
        <w:t>untuk</w:t>
      </w:r>
      <w:r w:rsidR="00106ED2">
        <w:rPr>
          <w:rFonts w:ascii="Times New Roman" w:hAnsi="Times New Roman" w:cs="Times New Roman"/>
          <w:sz w:val="24"/>
          <w:szCs w:val="24"/>
        </w:rPr>
        <w:t xml:space="preserve"> </w:t>
      </w:r>
      <w:bookmarkStart w:id="2" w:name="_Hlk172574691"/>
      <w:r w:rsidRPr="008937C2" w:rsidR="00106ED2">
        <w:rPr>
          <w:rFonts w:ascii="Times New Roman" w:hAnsi="Times New Roman" w:cs="Times New Roman"/>
          <w:i/>
          <w:iCs/>
          <w:sz w:val="24"/>
          <w:szCs w:val="24"/>
        </w:rPr>
        <w:t>Unstandardized Coefficients</w:t>
      </w:r>
      <w:r w:rsidR="00106ED2">
        <w:rPr>
          <w:rFonts w:ascii="Times New Roman" w:hAnsi="Times New Roman" w:cs="Times New Roman"/>
          <w:sz w:val="24"/>
          <w:szCs w:val="24"/>
        </w:rPr>
        <w:t xml:space="preserve"> CSR </w:t>
      </w:r>
      <w:r w:rsidR="00106ED2">
        <w:rPr>
          <w:rFonts w:ascii="Times New Roman" w:hAnsi="Times New Roman" w:cs="Times New Roman"/>
          <w:sz w:val="24"/>
          <w:szCs w:val="24"/>
        </w:rPr>
        <w:t>terhadap</w:t>
      </w:r>
      <w:r w:rsidR="00106ED2">
        <w:rPr>
          <w:rFonts w:ascii="Times New Roman" w:hAnsi="Times New Roman" w:cs="Times New Roman"/>
          <w:sz w:val="24"/>
          <w:szCs w:val="24"/>
        </w:rPr>
        <w:t xml:space="preserve"> ROA </w:t>
      </w:r>
      <w:r w:rsidR="00106ED2">
        <w:rPr>
          <w:rFonts w:ascii="Times New Roman" w:hAnsi="Times New Roman" w:cs="Times New Roman"/>
          <w:sz w:val="24"/>
          <w:szCs w:val="24"/>
        </w:rPr>
        <w:t>sebesar</w:t>
      </w:r>
      <w:r w:rsidR="00106ED2">
        <w:rPr>
          <w:rFonts w:ascii="Times New Roman" w:hAnsi="Times New Roman" w:cs="Times New Roman"/>
          <w:sz w:val="24"/>
          <w:szCs w:val="24"/>
        </w:rPr>
        <w:t xml:space="preserve"> </w:t>
      </w:r>
      <w:r w:rsidR="0092641F">
        <w:rPr>
          <w:rFonts w:ascii="Times New Roman" w:hAnsi="Times New Roman" w:cs="Times New Roman"/>
          <w:sz w:val="24"/>
          <w:szCs w:val="24"/>
        </w:rPr>
        <w:t xml:space="preserve">-0,021 </w:t>
      </w:r>
      <w:r w:rsidR="0092641F">
        <w:rPr>
          <w:rFonts w:ascii="Times New Roman" w:hAnsi="Times New Roman" w:cs="Times New Roman"/>
          <w:sz w:val="24"/>
          <w:szCs w:val="24"/>
        </w:rPr>
        <w:t>dengan</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signifikasi</w:t>
      </w:r>
      <w:r w:rsidR="0092641F">
        <w:rPr>
          <w:rFonts w:ascii="Times New Roman" w:hAnsi="Times New Roman" w:cs="Times New Roman"/>
          <w:sz w:val="24"/>
          <w:szCs w:val="24"/>
        </w:rPr>
        <w:t xml:space="preserve"> 0,086, </w:t>
      </w:r>
      <w:r w:rsidR="0092641F">
        <w:rPr>
          <w:rFonts w:ascii="Times New Roman" w:hAnsi="Times New Roman" w:cs="Times New Roman"/>
          <w:sz w:val="24"/>
          <w:szCs w:val="24"/>
        </w:rPr>
        <w:t>berarti</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tidak</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terdapat</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pengaruh</w:t>
      </w:r>
      <w:r w:rsidR="0092641F">
        <w:rPr>
          <w:rFonts w:ascii="Times New Roman" w:hAnsi="Times New Roman" w:cs="Times New Roman"/>
          <w:sz w:val="24"/>
          <w:szCs w:val="24"/>
        </w:rPr>
        <w:t xml:space="preserve"> CSR </w:t>
      </w:r>
      <w:r w:rsidR="0092641F">
        <w:rPr>
          <w:rFonts w:ascii="Times New Roman" w:hAnsi="Times New Roman" w:cs="Times New Roman"/>
          <w:sz w:val="24"/>
          <w:szCs w:val="24"/>
        </w:rPr>
        <w:t>terhadap</w:t>
      </w:r>
      <w:r w:rsidR="0092641F">
        <w:rPr>
          <w:rFonts w:ascii="Times New Roman" w:hAnsi="Times New Roman" w:cs="Times New Roman"/>
          <w:sz w:val="24"/>
          <w:szCs w:val="24"/>
        </w:rPr>
        <w:t xml:space="preserve"> ROA (H1 </w:t>
      </w:r>
      <w:r w:rsidR="0092641F">
        <w:rPr>
          <w:rFonts w:ascii="Times New Roman" w:hAnsi="Times New Roman" w:cs="Times New Roman"/>
          <w:sz w:val="24"/>
          <w:szCs w:val="24"/>
        </w:rPr>
        <w:t>ditolak</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Sedangkan</w:t>
      </w:r>
      <w:r w:rsidR="0092641F">
        <w:rPr>
          <w:rFonts w:ascii="Times New Roman" w:hAnsi="Times New Roman" w:cs="Times New Roman"/>
          <w:sz w:val="24"/>
          <w:szCs w:val="24"/>
        </w:rPr>
        <w:t xml:space="preserve"> </w:t>
      </w:r>
      <w:r w:rsidRPr="008937C2" w:rsidR="0092641F">
        <w:rPr>
          <w:rFonts w:ascii="Times New Roman" w:hAnsi="Times New Roman" w:cs="Times New Roman"/>
          <w:i/>
          <w:iCs/>
          <w:sz w:val="24"/>
          <w:szCs w:val="24"/>
        </w:rPr>
        <w:t>Unstandardized Coefficients green banking</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terhadap</w:t>
      </w:r>
      <w:r w:rsidR="0092641F">
        <w:rPr>
          <w:rFonts w:ascii="Times New Roman" w:hAnsi="Times New Roman" w:cs="Times New Roman"/>
          <w:sz w:val="24"/>
          <w:szCs w:val="24"/>
        </w:rPr>
        <w:t xml:space="preserve"> ROA </w:t>
      </w:r>
      <w:r w:rsidR="0092641F">
        <w:rPr>
          <w:rFonts w:ascii="Times New Roman" w:hAnsi="Times New Roman" w:cs="Times New Roman"/>
          <w:sz w:val="24"/>
          <w:szCs w:val="24"/>
        </w:rPr>
        <w:t>sebesar</w:t>
      </w:r>
      <w:r w:rsidR="0092641F">
        <w:rPr>
          <w:rFonts w:ascii="Times New Roman" w:hAnsi="Times New Roman" w:cs="Times New Roman"/>
          <w:sz w:val="24"/>
          <w:szCs w:val="24"/>
        </w:rPr>
        <w:t xml:space="preserve"> 0,050 </w:t>
      </w:r>
      <w:r w:rsidR="0092641F">
        <w:rPr>
          <w:rFonts w:ascii="Times New Roman" w:hAnsi="Times New Roman" w:cs="Times New Roman"/>
          <w:sz w:val="24"/>
          <w:szCs w:val="24"/>
        </w:rPr>
        <w:t>dengan</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signifikasi</w:t>
      </w:r>
      <w:r w:rsidR="0092641F">
        <w:rPr>
          <w:rFonts w:ascii="Times New Roman" w:hAnsi="Times New Roman" w:cs="Times New Roman"/>
          <w:sz w:val="24"/>
          <w:szCs w:val="24"/>
        </w:rPr>
        <w:t xml:space="preserve"> 0,001, </w:t>
      </w:r>
      <w:r w:rsidR="0092641F">
        <w:rPr>
          <w:rFonts w:ascii="Times New Roman" w:hAnsi="Times New Roman" w:cs="Times New Roman"/>
          <w:sz w:val="24"/>
          <w:szCs w:val="24"/>
        </w:rPr>
        <w:t>berarti</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terdapat</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pengaruh</w:t>
      </w:r>
      <w:r w:rsidR="0092641F">
        <w:rPr>
          <w:rFonts w:ascii="Times New Roman" w:hAnsi="Times New Roman" w:cs="Times New Roman"/>
          <w:sz w:val="24"/>
          <w:szCs w:val="24"/>
        </w:rPr>
        <w:t xml:space="preserve"> </w:t>
      </w:r>
      <w:r w:rsidRPr="008937C2" w:rsidR="0092641F">
        <w:rPr>
          <w:rFonts w:ascii="Times New Roman" w:hAnsi="Times New Roman" w:cs="Times New Roman"/>
          <w:i/>
          <w:iCs/>
          <w:sz w:val="24"/>
          <w:szCs w:val="24"/>
        </w:rPr>
        <w:t>green banking</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terhadap</w:t>
      </w:r>
      <w:r w:rsidR="0092641F">
        <w:rPr>
          <w:rFonts w:ascii="Times New Roman" w:hAnsi="Times New Roman" w:cs="Times New Roman"/>
          <w:sz w:val="24"/>
          <w:szCs w:val="24"/>
        </w:rPr>
        <w:t xml:space="preserve"> ROA </w:t>
      </w:r>
      <w:r w:rsidR="0092641F">
        <w:rPr>
          <w:rFonts w:ascii="Times New Roman" w:hAnsi="Times New Roman" w:cs="Times New Roman"/>
          <w:sz w:val="24"/>
          <w:szCs w:val="24"/>
        </w:rPr>
        <w:t>karena</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nilai</w:t>
      </w:r>
      <w:r w:rsidR="0092641F">
        <w:rPr>
          <w:rFonts w:ascii="Times New Roman" w:hAnsi="Times New Roman" w:cs="Times New Roman"/>
          <w:sz w:val="24"/>
          <w:szCs w:val="24"/>
        </w:rPr>
        <w:t xml:space="preserve"> </w:t>
      </w:r>
      <w:r w:rsidR="0092641F">
        <w:rPr>
          <w:rFonts w:ascii="Times New Roman" w:hAnsi="Times New Roman" w:cs="Times New Roman"/>
          <w:sz w:val="24"/>
          <w:szCs w:val="24"/>
        </w:rPr>
        <w:t>signifikasi</w:t>
      </w:r>
      <w:r w:rsidR="0092641F">
        <w:rPr>
          <w:rFonts w:ascii="Times New Roman" w:hAnsi="Times New Roman" w:cs="Times New Roman"/>
          <w:sz w:val="24"/>
          <w:szCs w:val="24"/>
        </w:rPr>
        <w:t xml:space="preserve"> 0,001 &gt; 0,05 (H5 </w:t>
      </w:r>
      <w:r w:rsidR="0092641F">
        <w:rPr>
          <w:rFonts w:ascii="Times New Roman" w:hAnsi="Times New Roman" w:cs="Times New Roman"/>
          <w:sz w:val="24"/>
          <w:szCs w:val="24"/>
        </w:rPr>
        <w:t>diterima</w:t>
      </w:r>
      <w:r w:rsidR="0092641F">
        <w:rPr>
          <w:rFonts w:ascii="Times New Roman" w:hAnsi="Times New Roman" w:cs="Times New Roman"/>
          <w:sz w:val="24"/>
          <w:szCs w:val="24"/>
        </w:rPr>
        <w:t>).</w:t>
      </w:r>
    </w:p>
    <w:bookmarkEnd w:id="2"/>
    <w:p w:rsidR="00A40572" w:rsidRPr="0092641F" w:rsidP="00A40572" w14:paraId="5C2C3470" w14:textId="319914D9">
      <w:pPr>
        <w:pStyle w:val="ListParagraph"/>
        <w:numPr>
          <w:ilvl w:val="0"/>
          <w:numId w:val="5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Kinerja </w:t>
      </w:r>
      <w:r w:rsidR="008937C2">
        <w:rPr>
          <w:rFonts w:ascii="Times New Roman" w:hAnsi="Times New Roman" w:cs="Times New Roman"/>
          <w:sz w:val="24"/>
          <w:szCs w:val="24"/>
        </w:rPr>
        <w:t>Keuangan</w:t>
      </w:r>
      <w:r w:rsidR="008937C2">
        <w:rPr>
          <w:rFonts w:ascii="Times New Roman" w:hAnsi="Times New Roman" w:cs="Times New Roman"/>
          <w:sz w:val="24"/>
          <w:szCs w:val="24"/>
        </w:rPr>
        <w:t xml:space="preserve"> </w:t>
      </w:r>
      <w:r w:rsidR="008937C2">
        <w:rPr>
          <w:rFonts w:ascii="Times New Roman" w:hAnsi="Times New Roman" w:cs="Times New Roman"/>
          <w:sz w:val="24"/>
          <w:szCs w:val="24"/>
        </w:rPr>
        <w:t>Dengan</w:t>
      </w:r>
      <w:r w:rsidR="008937C2">
        <w:rPr>
          <w:rFonts w:ascii="Times New Roman" w:hAnsi="Times New Roman" w:cs="Times New Roman"/>
          <w:sz w:val="24"/>
          <w:szCs w:val="24"/>
        </w:rPr>
        <w:t xml:space="preserve"> </w:t>
      </w:r>
      <w:r w:rsidR="008937C2">
        <w:rPr>
          <w:rFonts w:ascii="Times New Roman" w:hAnsi="Times New Roman" w:cs="Times New Roman"/>
          <w:sz w:val="24"/>
          <w:szCs w:val="24"/>
        </w:rPr>
        <w:t>Proksi</w:t>
      </w:r>
      <w:r w:rsidR="008937C2">
        <w:rPr>
          <w:rFonts w:ascii="Times New Roman" w:hAnsi="Times New Roman" w:cs="Times New Roman"/>
          <w:sz w:val="24"/>
          <w:szCs w:val="24"/>
        </w:rPr>
        <w:t xml:space="preserve"> </w:t>
      </w:r>
      <w:r w:rsidRPr="008937C2" w:rsidR="008937C2">
        <w:rPr>
          <w:rFonts w:ascii="Times New Roman" w:hAnsi="Times New Roman" w:cs="Times New Roman"/>
          <w:i/>
          <w:iCs/>
          <w:sz w:val="24"/>
          <w:szCs w:val="24"/>
        </w:rPr>
        <w:t xml:space="preserve">Return </w:t>
      </w:r>
      <w:r w:rsidRPr="008937C2" w:rsidR="008937C2">
        <w:rPr>
          <w:rFonts w:ascii="Times New Roman" w:hAnsi="Times New Roman" w:cs="Times New Roman"/>
          <w:i/>
          <w:iCs/>
          <w:sz w:val="24"/>
          <w:szCs w:val="24"/>
        </w:rPr>
        <w:t>On</w:t>
      </w:r>
      <w:r w:rsidRPr="008937C2" w:rsidR="008937C2">
        <w:rPr>
          <w:rFonts w:ascii="Times New Roman" w:hAnsi="Times New Roman" w:cs="Times New Roman"/>
          <w:i/>
          <w:iCs/>
          <w:sz w:val="24"/>
          <w:szCs w:val="24"/>
        </w:rPr>
        <w:t xml:space="preserve"> Equity</w:t>
      </w:r>
      <w:r w:rsidR="008937C2">
        <w:rPr>
          <w:rFonts w:ascii="Times New Roman" w:hAnsi="Times New Roman" w:cs="Times New Roman"/>
          <w:sz w:val="24"/>
          <w:szCs w:val="24"/>
        </w:rPr>
        <w:t xml:space="preserve"> </w:t>
      </w:r>
      <w:r w:rsidR="0092641F">
        <w:rPr>
          <w:rFonts w:ascii="Times New Roman" w:hAnsi="Times New Roman" w:cs="Times New Roman"/>
          <w:sz w:val="24"/>
          <w:szCs w:val="24"/>
        </w:rPr>
        <w:t>(ROE)</w:t>
      </w:r>
    </w:p>
    <w:p w:rsidR="0092641F" w:rsidP="008806B4" w14:paraId="10D2BD4D" w14:textId="6FC418DE">
      <w:pPr>
        <w:pStyle w:val="ListParagraph"/>
        <w:spacing w:after="0" w:line="276" w:lineRule="auto"/>
        <w:ind w:left="1800"/>
        <w:jc w:val="center"/>
        <w:rPr>
          <w:rFonts w:ascii="Times New Roman" w:hAnsi="Times New Roman" w:cs="Times New Roman"/>
          <w:b/>
          <w:bCs/>
          <w:sz w:val="24"/>
          <w:szCs w:val="24"/>
        </w:rPr>
      </w:pPr>
      <w:r>
        <w:rPr>
          <w:rFonts w:ascii="Times New Roman" w:hAnsi="Times New Roman" w:cs="Times New Roman"/>
          <w:b/>
          <w:bCs/>
          <w:sz w:val="24"/>
          <w:szCs w:val="24"/>
        </w:rPr>
        <w:t>Tabel 2</w:t>
      </w:r>
      <w:r w:rsidR="00E20D14">
        <w:rPr>
          <w:rFonts w:ascii="Times New Roman" w:hAnsi="Times New Roman" w:cs="Times New Roman"/>
          <w:b/>
          <w:bCs/>
          <w:sz w:val="24"/>
          <w:szCs w:val="24"/>
        </w:rPr>
        <w:t>1</w:t>
      </w:r>
    </w:p>
    <w:p w:rsidR="008806B4" w:rsidRPr="008806B4" w:rsidP="008806B4" w14:paraId="6C1B7ACB" w14:textId="22946716">
      <w:pPr>
        <w:pStyle w:val="ListParagraph"/>
        <w:spacing w:after="0" w:line="276" w:lineRule="auto"/>
        <w:ind w:left="1800"/>
        <w:jc w:val="center"/>
        <w:rPr>
          <w:rFonts w:ascii="Times New Roman" w:hAnsi="Times New Roman" w:cs="Times New Roman"/>
          <w:b/>
          <w:bCs/>
          <w:sz w:val="24"/>
          <w:szCs w:val="24"/>
        </w:rPr>
      </w:pPr>
      <w:r>
        <w:rPr>
          <w:rFonts w:ascii="Times New Roman" w:hAnsi="Times New Roman" w:cs="Times New Roman"/>
          <w:b/>
          <w:bCs/>
          <w:sz w:val="24"/>
          <w:szCs w:val="24"/>
        </w:rPr>
        <w:t>Analisis</w:t>
      </w:r>
      <w:r>
        <w:rPr>
          <w:rFonts w:ascii="Times New Roman" w:hAnsi="Times New Roman" w:cs="Times New Roman"/>
          <w:b/>
          <w:bCs/>
          <w:sz w:val="24"/>
          <w:szCs w:val="24"/>
        </w:rPr>
        <w:t xml:space="preserve"> </w:t>
      </w:r>
      <w:r>
        <w:rPr>
          <w:rFonts w:ascii="Times New Roman" w:hAnsi="Times New Roman" w:cs="Times New Roman"/>
          <w:b/>
          <w:bCs/>
          <w:sz w:val="24"/>
          <w:szCs w:val="24"/>
        </w:rPr>
        <w:t>jalur</w:t>
      </w:r>
      <w:r>
        <w:rPr>
          <w:rFonts w:ascii="Times New Roman" w:hAnsi="Times New Roman" w:cs="Times New Roman"/>
          <w:b/>
          <w:bCs/>
          <w:sz w:val="24"/>
          <w:szCs w:val="24"/>
        </w:rPr>
        <w:t xml:space="preserve"> </w:t>
      </w:r>
      <w:r>
        <w:rPr>
          <w:rFonts w:ascii="Times New Roman" w:hAnsi="Times New Roman" w:cs="Times New Roman"/>
          <w:b/>
          <w:bCs/>
          <w:sz w:val="24"/>
          <w:szCs w:val="24"/>
        </w:rPr>
        <w:t>persamaan</w:t>
      </w:r>
      <w:r>
        <w:rPr>
          <w:rFonts w:ascii="Times New Roman" w:hAnsi="Times New Roman" w:cs="Times New Roman"/>
          <w:b/>
          <w:bCs/>
          <w:sz w:val="24"/>
          <w:szCs w:val="24"/>
        </w:rPr>
        <w:t xml:space="preserve"> II </w:t>
      </w:r>
      <w:r>
        <w:rPr>
          <w:rFonts w:ascii="Times New Roman" w:hAnsi="Times New Roman" w:cs="Times New Roman"/>
          <w:b/>
          <w:bCs/>
          <w:sz w:val="24"/>
          <w:szCs w:val="24"/>
        </w:rPr>
        <w:t>dengan</w:t>
      </w:r>
      <w:r>
        <w:rPr>
          <w:rFonts w:ascii="Times New Roman" w:hAnsi="Times New Roman" w:cs="Times New Roman"/>
          <w:b/>
          <w:bCs/>
          <w:sz w:val="24"/>
          <w:szCs w:val="24"/>
        </w:rPr>
        <w:t xml:space="preserve"> </w:t>
      </w:r>
      <w:r>
        <w:rPr>
          <w:rFonts w:ascii="Times New Roman" w:hAnsi="Times New Roman" w:cs="Times New Roman"/>
          <w:b/>
          <w:bCs/>
          <w:sz w:val="24"/>
          <w:szCs w:val="24"/>
        </w:rPr>
        <w:t>proksi</w:t>
      </w:r>
      <w:r>
        <w:rPr>
          <w:rFonts w:ascii="Times New Roman" w:hAnsi="Times New Roman" w:cs="Times New Roman"/>
          <w:b/>
          <w:bCs/>
          <w:sz w:val="24"/>
          <w:szCs w:val="24"/>
        </w:rPr>
        <w:t xml:space="preserve"> ROE</w:t>
      </w:r>
    </w:p>
    <w:tbl>
      <w:tblPr>
        <w:tblW w:w="60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8"/>
        <w:gridCol w:w="850"/>
        <w:gridCol w:w="993"/>
        <w:gridCol w:w="992"/>
        <w:gridCol w:w="1408"/>
      </w:tblGrid>
      <w:tr w14:paraId="1AD4782B" w14:textId="77777777" w:rsidTr="00FB0E34">
        <w:tblPrEx>
          <w:tblW w:w="60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jc w:val="right"/>
        </w:trPr>
        <w:tc>
          <w:tcPr>
            <w:tcW w:w="6091" w:type="dxa"/>
            <w:gridSpan w:val="5"/>
            <w:shd w:val="clear" w:color="auto" w:fill="FFFFFF"/>
            <w:vAlign w:val="center"/>
          </w:tcPr>
          <w:p w:rsidR="008806B4" w:rsidRPr="008806B4" w:rsidP="008806B4" w14:paraId="7542B2DB"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8806B4">
              <w:rPr>
                <w:rFonts w:ascii="Times New Roman" w:hAnsi="Times New Roman" w:cs="Times New Roman"/>
                <w:b/>
                <w:bCs/>
                <w:color w:val="010205"/>
                <w:sz w:val="20"/>
                <w:szCs w:val="20"/>
              </w:rPr>
              <w:t>Model Summary</w:t>
            </w:r>
          </w:p>
        </w:tc>
      </w:tr>
      <w:tr w14:paraId="53F2C9DB" w14:textId="77777777" w:rsidTr="00FB0E34">
        <w:tblPrEx>
          <w:tblW w:w="6091" w:type="dxa"/>
          <w:jc w:val="right"/>
          <w:tblLayout w:type="fixed"/>
          <w:tblCellMar>
            <w:left w:w="0" w:type="dxa"/>
            <w:right w:w="0" w:type="dxa"/>
          </w:tblCellMar>
          <w:tblLook w:val="0000"/>
        </w:tblPrEx>
        <w:trPr>
          <w:cantSplit/>
          <w:jc w:val="right"/>
        </w:trPr>
        <w:tc>
          <w:tcPr>
            <w:tcW w:w="1848" w:type="dxa"/>
            <w:shd w:val="clear" w:color="auto" w:fill="FFFFFF"/>
            <w:vAlign w:val="bottom"/>
          </w:tcPr>
          <w:p w:rsidR="008806B4" w:rsidRPr="008806B4" w:rsidP="008806B4" w14:paraId="6412BFCB"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Model</w:t>
            </w:r>
          </w:p>
        </w:tc>
        <w:tc>
          <w:tcPr>
            <w:tcW w:w="850" w:type="dxa"/>
            <w:shd w:val="clear" w:color="auto" w:fill="FFFFFF"/>
            <w:vAlign w:val="bottom"/>
          </w:tcPr>
          <w:p w:rsidR="008806B4" w:rsidRPr="008806B4" w:rsidP="008806B4" w14:paraId="3E54B519"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R</w:t>
            </w:r>
          </w:p>
        </w:tc>
        <w:tc>
          <w:tcPr>
            <w:tcW w:w="993" w:type="dxa"/>
            <w:shd w:val="clear" w:color="auto" w:fill="FFFFFF"/>
            <w:vAlign w:val="bottom"/>
          </w:tcPr>
          <w:p w:rsidR="008806B4" w:rsidRPr="008806B4" w:rsidP="008806B4" w14:paraId="52B45E9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R Square</w:t>
            </w:r>
          </w:p>
        </w:tc>
        <w:tc>
          <w:tcPr>
            <w:tcW w:w="992" w:type="dxa"/>
            <w:shd w:val="clear" w:color="auto" w:fill="FFFFFF"/>
            <w:vAlign w:val="bottom"/>
          </w:tcPr>
          <w:p w:rsidR="008806B4" w:rsidRPr="008806B4" w:rsidP="008806B4" w14:paraId="6C9CBC63"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Adjusted R Square</w:t>
            </w:r>
          </w:p>
        </w:tc>
        <w:tc>
          <w:tcPr>
            <w:tcW w:w="1408" w:type="dxa"/>
            <w:shd w:val="clear" w:color="auto" w:fill="FFFFFF"/>
            <w:vAlign w:val="bottom"/>
          </w:tcPr>
          <w:p w:rsidR="008806B4" w:rsidRPr="008806B4" w:rsidP="008806B4" w14:paraId="53F40864"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Std. Error of the Estimate</w:t>
            </w:r>
          </w:p>
        </w:tc>
      </w:tr>
      <w:tr w14:paraId="2A06A28B" w14:textId="77777777" w:rsidTr="00FB0E34">
        <w:tblPrEx>
          <w:tblW w:w="6091" w:type="dxa"/>
          <w:jc w:val="right"/>
          <w:tblLayout w:type="fixed"/>
          <w:tblCellMar>
            <w:left w:w="0" w:type="dxa"/>
            <w:right w:w="0" w:type="dxa"/>
          </w:tblCellMar>
          <w:tblLook w:val="0000"/>
        </w:tblPrEx>
        <w:trPr>
          <w:cantSplit/>
          <w:jc w:val="right"/>
        </w:trPr>
        <w:tc>
          <w:tcPr>
            <w:tcW w:w="1848" w:type="dxa"/>
            <w:shd w:val="clear" w:color="auto" w:fill="E0E0E0"/>
          </w:tcPr>
          <w:p w:rsidR="008806B4" w:rsidRPr="008806B4" w:rsidP="008806B4" w14:paraId="2436B51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1</w:t>
            </w:r>
          </w:p>
        </w:tc>
        <w:tc>
          <w:tcPr>
            <w:tcW w:w="850" w:type="dxa"/>
            <w:shd w:val="clear" w:color="auto" w:fill="F9F9FB"/>
          </w:tcPr>
          <w:p w:rsidR="008806B4" w:rsidRPr="008806B4" w:rsidP="008806B4" w14:paraId="61CF2294"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.563</w:t>
            </w:r>
            <w:r w:rsidRPr="008806B4">
              <w:rPr>
                <w:rFonts w:ascii="Times New Roman" w:hAnsi="Times New Roman" w:cs="Times New Roman"/>
                <w:color w:val="010205"/>
                <w:sz w:val="20"/>
                <w:szCs w:val="20"/>
                <w:vertAlign w:val="superscript"/>
              </w:rPr>
              <w:t>a</w:t>
            </w:r>
          </w:p>
        </w:tc>
        <w:tc>
          <w:tcPr>
            <w:tcW w:w="993" w:type="dxa"/>
            <w:shd w:val="clear" w:color="auto" w:fill="F9F9FB"/>
          </w:tcPr>
          <w:p w:rsidR="008806B4" w:rsidRPr="008806B4" w:rsidP="008806B4" w14:paraId="626E6A1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.317</w:t>
            </w:r>
          </w:p>
        </w:tc>
        <w:tc>
          <w:tcPr>
            <w:tcW w:w="992" w:type="dxa"/>
            <w:shd w:val="clear" w:color="auto" w:fill="F9F9FB"/>
          </w:tcPr>
          <w:p w:rsidR="008806B4" w:rsidRPr="008806B4" w:rsidP="008806B4" w14:paraId="40E81A5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.305</w:t>
            </w:r>
          </w:p>
        </w:tc>
        <w:tc>
          <w:tcPr>
            <w:tcW w:w="1408" w:type="dxa"/>
            <w:shd w:val="clear" w:color="auto" w:fill="F9F9FB"/>
          </w:tcPr>
          <w:p w:rsidR="008806B4" w:rsidRPr="008806B4" w:rsidP="008806B4" w14:paraId="23485C3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5.76980</w:t>
            </w:r>
          </w:p>
        </w:tc>
      </w:tr>
      <w:tr w14:paraId="34B7ADEE" w14:textId="77777777" w:rsidTr="00FB0E34">
        <w:tblPrEx>
          <w:tblW w:w="6091" w:type="dxa"/>
          <w:jc w:val="right"/>
          <w:tblLayout w:type="fixed"/>
          <w:tblCellMar>
            <w:left w:w="0" w:type="dxa"/>
            <w:right w:w="0" w:type="dxa"/>
          </w:tblCellMar>
          <w:tblLook w:val="0000"/>
        </w:tblPrEx>
        <w:trPr>
          <w:cantSplit/>
          <w:jc w:val="right"/>
        </w:trPr>
        <w:tc>
          <w:tcPr>
            <w:tcW w:w="6091" w:type="dxa"/>
            <w:gridSpan w:val="5"/>
            <w:shd w:val="clear" w:color="auto" w:fill="FFFFFF"/>
          </w:tcPr>
          <w:p w:rsidR="008806B4" w:rsidRPr="008806B4" w:rsidP="008806B4" w14:paraId="5B966BF0"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8806B4">
              <w:rPr>
                <w:rFonts w:ascii="Times New Roman" w:hAnsi="Times New Roman" w:cs="Times New Roman"/>
                <w:color w:val="010205"/>
                <w:sz w:val="20"/>
                <w:szCs w:val="20"/>
              </w:rPr>
              <w:t>a. Predictors: (Constant), Green Banking, Corporate Social Responsibility</w:t>
            </w:r>
          </w:p>
        </w:tc>
      </w:tr>
    </w:tbl>
    <w:p w:rsidR="008806B4" w:rsidRPr="008806B4" w:rsidP="008806B4" w14:paraId="55215574" w14:textId="77777777">
      <w:pPr>
        <w:autoSpaceDE w:val="0"/>
        <w:autoSpaceDN w:val="0"/>
        <w:adjustRightInd w:val="0"/>
        <w:spacing w:after="0" w:line="240" w:lineRule="auto"/>
        <w:rPr>
          <w:rFonts w:ascii="Times New Roman" w:hAnsi="Times New Roman" w:cs="Times New Roman"/>
          <w:sz w:val="24"/>
          <w:szCs w:val="24"/>
        </w:rPr>
      </w:pPr>
    </w:p>
    <w:tbl>
      <w:tblPr>
        <w:tblW w:w="4019"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2"/>
        <w:gridCol w:w="1559"/>
        <w:gridCol w:w="710"/>
        <w:gridCol w:w="993"/>
        <w:gridCol w:w="1274"/>
        <w:gridCol w:w="851"/>
        <w:gridCol w:w="703"/>
      </w:tblGrid>
      <w:tr w14:paraId="510D4D25" w14:textId="77777777" w:rsidTr="008806B4">
        <w:tblPrEx>
          <w:tblW w:w="4019"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5000" w:type="pct"/>
            <w:gridSpan w:val="7"/>
            <w:shd w:val="clear" w:color="auto" w:fill="FFFFFF"/>
            <w:vAlign w:val="center"/>
          </w:tcPr>
          <w:p w:rsidR="008806B4" w:rsidRPr="008806B4" w:rsidP="008806B4" w14:paraId="7AD824EB"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bookmarkStart w:id="3" w:name="_Hlk172575116"/>
            <w:r w:rsidRPr="008806B4">
              <w:rPr>
                <w:rFonts w:ascii="Times New Roman" w:hAnsi="Times New Roman" w:cs="Times New Roman"/>
                <w:b/>
                <w:bCs/>
                <w:color w:val="010205"/>
                <w:sz w:val="20"/>
                <w:szCs w:val="20"/>
              </w:rPr>
              <w:t>Coefficients</w:t>
            </w:r>
            <w:r w:rsidRPr="008806B4">
              <w:rPr>
                <w:rFonts w:ascii="Times New Roman" w:hAnsi="Times New Roman" w:cs="Times New Roman"/>
                <w:b/>
                <w:bCs/>
                <w:color w:val="010205"/>
                <w:sz w:val="20"/>
                <w:szCs w:val="20"/>
                <w:vertAlign w:val="superscript"/>
              </w:rPr>
              <w:t>a</w:t>
            </w:r>
          </w:p>
        </w:tc>
      </w:tr>
      <w:tr w14:paraId="63999CD8" w14:textId="77777777" w:rsidTr="008806B4">
        <w:tblPrEx>
          <w:tblW w:w="4019" w:type="pct"/>
          <w:tblInd w:w="1555" w:type="dxa"/>
          <w:tblLayout w:type="fixed"/>
          <w:tblCellMar>
            <w:left w:w="0" w:type="dxa"/>
            <w:right w:w="0" w:type="dxa"/>
          </w:tblCellMar>
          <w:tblLook w:val="0000"/>
        </w:tblPrEx>
        <w:trPr>
          <w:cantSplit/>
        </w:trPr>
        <w:tc>
          <w:tcPr>
            <w:tcW w:w="1444" w:type="pct"/>
            <w:gridSpan w:val="2"/>
            <w:vMerge w:val="restart"/>
            <w:shd w:val="clear" w:color="auto" w:fill="FFFFFF"/>
            <w:vAlign w:val="bottom"/>
          </w:tcPr>
          <w:p w:rsidR="008806B4" w:rsidRPr="008806B4" w:rsidP="008806B4" w14:paraId="0655755D"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Model</w:t>
            </w:r>
          </w:p>
        </w:tc>
        <w:tc>
          <w:tcPr>
            <w:tcW w:w="1336" w:type="pct"/>
            <w:gridSpan w:val="2"/>
            <w:shd w:val="clear" w:color="auto" w:fill="FFFFFF"/>
            <w:vAlign w:val="bottom"/>
          </w:tcPr>
          <w:p w:rsidR="008806B4" w:rsidRPr="008806B4" w:rsidP="008806B4" w14:paraId="17841A00"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Unstandardized Coefficients</w:t>
            </w:r>
          </w:p>
        </w:tc>
        <w:tc>
          <w:tcPr>
            <w:tcW w:w="1000" w:type="pct"/>
            <w:shd w:val="clear" w:color="auto" w:fill="FFFFFF"/>
            <w:vAlign w:val="bottom"/>
          </w:tcPr>
          <w:p w:rsidR="008806B4" w:rsidRPr="008806B4" w:rsidP="008806B4" w14:paraId="41E621BB"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Standardized Coefficients</w:t>
            </w:r>
          </w:p>
        </w:tc>
        <w:tc>
          <w:tcPr>
            <w:tcW w:w="668" w:type="pct"/>
            <w:vMerge w:val="restart"/>
            <w:shd w:val="clear" w:color="auto" w:fill="FFFFFF"/>
            <w:vAlign w:val="bottom"/>
          </w:tcPr>
          <w:p w:rsidR="008806B4" w:rsidRPr="008806B4" w:rsidP="008806B4" w14:paraId="34A8D176"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t</w:t>
            </w:r>
          </w:p>
        </w:tc>
        <w:tc>
          <w:tcPr>
            <w:tcW w:w="552" w:type="pct"/>
            <w:vMerge w:val="restart"/>
            <w:shd w:val="clear" w:color="auto" w:fill="FFFFFF"/>
            <w:vAlign w:val="bottom"/>
          </w:tcPr>
          <w:p w:rsidR="008806B4" w:rsidRPr="008806B4" w:rsidP="008806B4" w14:paraId="4B785D2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Sig.</w:t>
            </w:r>
          </w:p>
        </w:tc>
      </w:tr>
      <w:tr w14:paraId="28041592" w14:textId="77777777" w:rsidTr="008806B4">
        <w:tblPrEx>
          <w:tblW w:w="4019" w:type="pct"/>
          <w:tblInd w:w="1555" w:type="dxa"/>
          <w:tblLayout w:type="fixed"/>
          <w:tblCellMar>
            <w:left w:w="0" w:type="dxa"/>
            <w:right w:w="0" w:type="dxa"/>
          </w:tblCellMar>
          <w:tblLook w:val="0000"/>
        </w:tblPrEx>
        <w:trPr>
          <w:cantSplit/>
        </w:trPr>
        <w:tc>
          <w:tcPr>
            <w:tcW w:w="1444" w:type="pct"/>
            <w:gridSpan w:val="2"/>
            <w:vMerge/>
            <w:shd w:val="clear" w:color="auto" w:fill="FFFFFF"/>
            <w:vAlign w:val="bottom"/>
          </w:tcPr>
          <w:p w:rsidR="008806B4" w:rsidRPr="008806B4" w:rsidP="008806B4" w14:paraId="1722ECDA" w14:textId="77777777">
            <w:pPr>
              <w:autoSpaceDE w:val="0"/>
              <w:autoSpaceDN w:val="0"/>
              <w:adjustRightInd w:val="0"/>
              <w:spacing w:after="0" w:line="240" w:lineRule="auto"/>
              <w:rPr>
                <w:rFonts w:ascii="Times New Roman" w:hAnsi="Times New Roman" w:cs="Times New Roman"/>
                <w:color w:val="264A60"/>
                <w:sz w:val="20"/>
                <w:szCs w:val="20"/>
              </w:rPr>
            </w:pPr>
          </w:p>
        </w:tc>
        <w:tc>
          <w:tcPr>
            <w:tcW w:w="557" w:type="pct"/>
            <w:shd w:val="clear" w:color="auto" w:fill="FFFFFF"/>
            <w:vAlign w:val="bottom"/>
          </w:tcPr>
          <w:p w:rsidR="008806B4" w:rsidRPr="008806B4" w:rsidP="008806B4" w14:paraId="31E52DA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B</w:t>
            </w:r>
          </w:p>
        </w:tc>
        <w:tc>
          <w:tcPr>
            <w:tcW w:w="779" w:type="pct"/>
            <w:shd w:val="clear" w:color="auto" w:fill="FFFFFF"/>
            <w:vAlign w:val="bottom"/>
          </w:tcPr>
          <w:p w:rsidR="008806B4" w:rsidRPr="008806B4" w:rsidP="008806B4" w14:paraId="40144970"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Std. Error</w:t>
            </w:r>
          </w:p>
        </w:tc>
        <w:tc>
          <w:tcPr>
            <w:tcW w:w="1000" w:type="pct"/>
            <w:shd w:val="clear" w:color="auto" w:fill="FFFFFF"/>
            <w:vAlign w:val="bottom"/>
          </w:tcPr>
          <w:p w:rsidR="008806B4" w:rsidRPr="008806B4" w:rsidP="008806B4" w14:paraId="65522042"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8806B4">
              <w:rPr>
                <w:rFonts w:ascii="Times New Roman" w:hAnsi="Times New Roman" w:cs="Times New Roman"/>
                <w:color w:val="264A60"/>
                <w:sz w:val="20"/>
                <w:szCs w:val="20"/>
              </w:rPr>
              <w:t>Beta</w:t>
            </w:r>
          </w:p>
        </w:tc>
        <w:tc>
          <w:tcPr>
            <w:tcW w:w="668" w:type="pct"/>
            <w:vMerge/>
            <w:shd w:val="clear" w:color="auto" w:fill="FFFFFF"/>
            <w:vAlign w:val="bottom"/>
          </w:tcPr>
          <w:p w:rsidR="008806B4" w:rsidRPr="008806B4" w:rsidP="008806B4" w14:paraId="1AAC6443" w14:textId="77777777">
            <w:pPr>
              <w:autoSpaceDE w:val="0"/>
              <w:autoSpaceDN w:val="0"/>
              <w:adjustRightInd w:val="0"/>
              <w:spacing w:after="0" w:line="240" w:lineRule="auto"/>
              <w:rPr>
                <w:rFonts w:ascii="Times New Roman" w:hAnsi="Times New Roman" w:cs="Times New Roman"/>
                <w:color w:val="264A60"/>
                <w:sz w:val="20"/>
                <w:szCs w:val="20"/>
              </w:rPr>
            </w:pPr>
          </w:p>
        </w:tc>
        <w:tc>
          <w:tcPr>
            <w:tcW w:w="552" w:type="pct"/>
            <w:vMerge/>
            <w:shd w:val="clear" w:color="auto" w:fill="FFFFFF"/>
            <w:vAlign w:val="bottom"/>
          </w:tcPr>
          <w:p w:rsidR="008806B4" w:rsidRPr="008806B4" w:rsidP="008806B4" w14:paraId="628F2179" w14:textId="77777777">
            <w:pPr>
              <w:autoSpaceDE w:val="0"/>
              <w:autoSpaceDN w:val="0"/>
              <w:adjustRightInd w:val="0"/>
              <w:spacing w:after="0" w:line="240" w:lineRule="auto"/>
              <w:rPr>
                <w:rFonts w:ascii="Times New Roman" w:hAnsi="Times New Roman" w:cs="Times New Roman"/>
                <w:color w:val="264A60"/>
                <w:sz w:val="20"/>
                <w:szCs w:val="20"/>
              </w:rPr>
            </w:pPr>
          </w:p>
        </w:tc>
      </w:tr>
      <w:tr w14:paraId="0D47E2DF" w14:textId="77777777" w:rsidTr="008806B4">
        <w:tblPrEx>
          <w:tblW w:w="4019" w:type="pct"/>
          <w:tblInd w:w="1555" w:type="dxa"/>
          <w:tblLayout w:type="fixed"/>
          <w:tblCellMar>
            <w:left w:w="0" w:type="dxa"/>
            <w:right w:w="0" w:type="dxa"/>
          </w:tblCellMar>
          <w:tblLook w:val="0000"/>
        </w:tblPrEx>
        <w:trPr>
          <w:cantSplit/>
        </w:trPr>
        <w:tc>
          <w:tcPr>
            <w:tcW w:w="221" w:type="pct"/>
            <w:vMerge w:val="restart"/>
            <w:shd w:val="clear" w:color="auto" w:fill="E0E0E0"/>
          </w:tcPr>
          <w:p w:rsidR="008806B4" w:rsidRPr="008806B4" w:rsidP="008806B4" w14:paraId="3FBC4A1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1</w:t>
            </w:r>
          </w:p>
        </w:tc>
        <w:tc>
          <w:tcPr>
            <w:tcW w:w="1223" w:type="pct"/>
            <w:shd w:val="clear" w:color="auto" w:fill="E0E0E0"/>
          </w:tcPr>
          <w:p w:rsidR="008806B4" w:rsidRPr="008806B4" w:rsidP="008806B4" w14:paraId="35745710"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(Constant)</w:t>
            </w:r>
          </w:p>
        </w:tc>
        <w:tc>
          <w:tcPr>
            <w:tcW w:w="557" w:type="pct"/>
            <w:shd w:val="clear" w:color="auto" w:fill="F9F9FB"/>
          </w:tcPr>
          <w:p w:rsidR="008806B4" w:rsidRPr="008806B4" w:rsidP="008806B4" w14:paraId="4B3CC57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-1.971</w:t>
            </w:r>
          </w:p>
        </w:tc>
        <w:tc>
          <w:tcPr>
            <w:tcW w:w="779" w:type="pct"/>
            <w:shd w:val="clear" w:color="auto" w:fill="F9F9FB"/>
          </w:tcPr>
          <w:p w:rsidR="008806B4" w:rsidRPr="008806B4" w:rsidP="008806B4" w14:paraId="756F8EF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2.440</w:t>
            </w:r>
          </w:p>
        </w:tc>
        <w:tc>
          <w:tcPr>
            <w:tcW w:w="1000" w:type="pct"/>
            <w:shd w:val="clear" w:color="auto" w:fill="F9F9FB"/>
            <w:vAlign w:val="center"/>
          </w:tcPr>
          <w:p w:rsidR="008806B4" w:rsidRPr="008806B4" w:rsidP="008806B4" w14:paraId="53CB75F0" w14:textId="77777777">
            <w:pPr>
              <w:autoSpaceDE w:val="0"/>
              <w:autoSpaceDN w:val="0"/>
              <w:adjustRightInd w:val="0"/>
              <w:spacing w:after="0" w:line="240" w:lineRule="auto"/>
              <w:rPr>
                <w:rFonts w:ascii="Times New Roman" w:hAnsi="Times New Roman" w:cs="Times New Roman"/>
                <w:sz w:val="20"/>
                <w:szCs w:val="20"/>
              </w:rPr>
            </w:pPr>
          </w:p>
        </w:tc>
        <w:tc>
          <w:tcPr>
            <w:tcW w:w="668" w:type="pct"/>
            <w:shd w:val="clear" w:color="auto" w:fill="F9F9FB"/>
          </w:tcPr>
          <w:p w:rsidR="008806B4" w:rsidRPr="008806B4" w:rsidP="008806B4" w14:paraId="3F784FA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-.808</w:t>
            </w:r>
          </w:p>
        </w:tc>
        <w:tc>
          <w:tcPr>
            <w:tcW w:w="552" w:type="pct"/>
            <w:shd w:val="clear" w:color="auto" w:fill="F9F9FB"/>
          </w:tcPr>
          <w:p w:rsidR="008806B4" w:rsidRPr="008806B4" w:rsidP="008806B4" w14:paraId="0593AC5B"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.421</w:t>
            </w:r>
          </w:p>
        </w:tc>
      </w:tr>
      <w:tr w14:paraId="686DBD36" w14:textId="77777777" w:rsidTr="008806B4">
        <w:tblPrEx>
          <w:tblW w:w="4019" w:type="pct"/>
          <w:tblInd w:w="1555" w:type="dxa"/>
          <w:tblLayout w:type="fixed"/>
          <w:tblCellMar>
            <w:left w:w="0" w:type="dxa"/>
            <w:right w:w="0" w:type="dxa"/>
          </w:tblCellMar>
          <w:tblLook w:val="0000"/>
        </w:tblPrEx>
        <w:trPr>
          <w:cantSplit/>
        </w:trPr>
        <w:tc>
          <w:tcPr>
            <w:tcW w:w="221" w:type="pct"/>
            <w:vMerge/>
            <w:shd w:val="clear" w:color="auto" w:fill="E0E0E0"/>
          </w:tcPr>
          <w:p w:rsidR="008806B4" w:rsidRPr="008806B4" w:rsidP="008806B4" w14:paraId="19D74740" w14:textId="77777777">
            <w:pPr>
              <w:autoSpaceDE w:val="0"/>
              <w:autoSpaceDN w:val="0"/>
              <w:adjustRightInd w:val="0"/>
              <w:spacing w:after="0" w:line="240" w:lineRule="auto"/>
              <w:rPr>
                <w:rFonts w:ascii="Times New Roman" w:hAnsi="Times New Roman" w:cs="Times New Roman"/>
                <w:color w:val="010205"/>
                <w:sz w:val="20"/>
                <w:szCs w:val="20"/>
              </w:rPr>
            </w:pPr>
          </w:p>
        </w:tc>
        <w:tc>
          <w:tcPr>
            <w:tcW w:w="1223" w:type="pct"/>
            <w:shd w:val="clear" w:color="auto" w:fill="E0E0E0"/>
          </w:tcPr>
          <w:p w:rsidR="008806B4" w:rsidRPr="008806B4" w:rsidP="008806B4" w14:paraId="72D52B9A"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Corporate Social Responsibility</w:t>
            </w:r>
          </w:p>
        </w:tc>
        <w:tc>
          <w:tcPr>
            <w:tcW w:w="557" w:type="pct"/>
            <w:shd w:val="clear" w:color="auto" w:fill="F9F9FB"/>
          </w:tcPr>
          <w:p w:rsidR="008806B4" w:rsidRPr="008806B4" w:rsidP="008806B4" w14:paraId="76F6AC7A"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.099</w:t>
            </w:r>
          </w:p>
        </w:tc>
        <w:tc>
          <w:tcPr>
            <w:tcW w:w="779" w:type="pct"/>
            <w:shd w:val="clear" w:color="auto" w:fill="F9F9FB"/>
          </w:tcPr>
          <w:p w:rsidR="008806B4" w:rsidRPr="008806B4" w:rsidP="008806B4" w14:paraId="7043B622"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.069</w:t>
            </w:r>
          </w:p>
        </w:tc>
        <w:tc>
          <w:tcPr>
            <w:tcW w:w="1000" w:type="pct"/>
            <w:shd w:val="clear" w:color="auto" w:fill="F9F9FB"/>
          </w:tcPr>
          <w:p w:rsidR="008806B4" w:rsidRPr="008806B4" w:rsidP="008806B4" w14:paraId="70AF334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.238</w:t>
            </w:r>
          </w:p>
        </w:tc>
        <w:tc>
          <w:tcPr>
            <w:tcW w:w="668" w:type="pct"/>
            <w:shd w:val="clear" w:color="auto" w:fill="F9F9FB"/>
          </w:tcPr>
          <w:p w:rsidR="008806B4" w:rsidRPr="008806B4" w:rsidP="008806B4" w14:paraId="0C4E3D07"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1.437</w:t>
            </w:r>
          </w:p>
        </w:tc>
        <w:tc>
          <w:tcPr>
            <w:tcW w:w="552" w:type="pct"/>
            <w:shd w:val="clear" w:color="auto" w:fill="F9F9FB"/>
          </w:tcPr>
          <w:p w:rsidR="008806B4" w:rsidRPr="008806B4" w:rsidP="008806B4" w14:paraId="3087E52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.154</w:t>
            </w:r>
          </w:p>
        </w:tc>
      </w:tr>
      <w:tr w14:paraId="2E278B66" w14:textId="77777777" w:rsidTr="008806B4">
        <w:tblPrEx>
          <w:tblW w:w="4019" w:type="pct"/>
          <w:tblInd w:w="1555" w:type="dxa"/>
          <w:tblLayout w:type="fixed"/>
          <w:tblCellMar>
            <w:left w:w="0" w:type="dxa"/>
            <w:right w:w="0" w:type="dxa"/>
          </w:tblCellMar>
          <w:tblLook w:val="0000"/>
        </w:tblPrEx>
        <w:trPr>
          <w:cantSplit/>
        </w:trPr>
        <w:tc>
          <w:tcPr>
            <w:tcW w:w="221" w:type="pct"/>
            <w:vMerge/>
            <w:shd w:val="clear" w:color="auto" w:fill="E0E0E0"/>
          </w:tcPr>
          <w:p w:rsidR="008806B4" w:rsidRPr="008806B4" w:rsidP="008806B4" w14:paraId="5500B07C" w14:textId="77777777">
            <w:pPr>
              <w:autoSpaceDE w:val="0"/>
              <w:autoSpaceDN w:val="0"/>
              <w:adjustRightInd w:val="0"/>
              <w:spacing w:after="0" w:line="240" w:lineRule="auto"/>
              <w:rPr>
                <w:rFonts w:ascii="Times New Roman" w:hAnsi="Times New Roman" w:cs="Times New Roman"/>
                <w:color w:val="010205"/>
                <w:sz w:val="20"/>
                <w:szCs w:val="20"/>
              </w:rPr>
            </w:pPr>
          </w:p>
        </w:tc>
        <w:tc>
          <w:tcPr>
            <w:tcW w:w="1223" w:type="pct"/>
            <w:shd w:val="clear" w:color="auto" w:fill="E0E0E0"/>
          </w:tcPr>
          <w:p w:rsidR="008806B4" w:rsidRPr="008806B4" w:rsidP="008806B4" w14:paraId="167F6628"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8806B4">
              <w:rPr>
                <w:rFonts w:ascii="Times New Roman" w:hAnsi="Times New Roman" w:cs="Times New Roman"/>
                <w:color w:val="264A60"/>
                <w:sz w:val="20"/>
                <w:szCs w:val="20"/>
              </w:rPr>
              <w:t>Green Banking</w:t>
            </w:r>
          </w:p>
        </w:tc>
        <w:tc>
          <w:tcPr>
            <w:tcW w:w="557" w:type="pct"/>
            <w:shd w:val="clear" w:color="auto" w:fill="F9F9FB"/>
          </w:tcPr>
          <w:p w:rsidR="008806B4" w:rsidRPr="008806B4" w:rsidP="008806B4" w14:paraId="307ECF9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.145</w:t>
            </w:r>
          </w:p>
        </w:tc>
        <w:tc>
          <w:tcPr>
            <w:tcW w:w="779" w:type="pct"/>
            <w:shd w:val="clear" w:color="auto" w:fill="F9F9FB"/>
          </w:tcPr>
          <w:p w:rsidR="008806B4" w:rsidRPr="008806B4" w:rsidP="008806B4" w14:paraId="0BEEC38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.070</w:t>
            </w:r>
          </w:p>
        </w:tc>
        <w:tc>
          <w:tcPr>
            <w:tcW w:w="1000" w:type="pct"/>
            <w:shd w:val="clear" w:color="auto" w:fill="F9F9FB"/>
          </w:tcPr>
          <w:p w:rsidR="008806B4" w:rsidRPr="008806B4" w:rsidP="008806B4" w14:paraId="61CED1B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.342</w:t>
            </w:r>
          </w:p>
        </w:tc>
        <w:tc>
          <w:tcPr>
            <w:tcW w:w="668" w:type="pct"/>
            <w:shd w:val="clear" w:color="auto" w:fill="F9F9FB"/>
          </w:tcPr>
          <w:p w:rsidR="008806B4" w:rsidRPr="008806B4" w:rsidP="008806B4" w14:paraId="564FB5D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2.067</w:t>
            </w:r>
          </w:p>
        </w:tc>
        <w:tc>
          <w:tcPr>
            <w:tcW w:w="552" w:type="pct"/>
            <w:shd w:val="clear" w:color="auto" w:fill="F9F9FB"/>
          </w:tcPr>
          <w:p w:rsidR="008806B4" w:rsidRPr="008806B4" w:rsidP="008806B4" w14:paraId="4AFEDB1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8806B4">
              <w:rPr>
                <w:rFonts w:ascii="Times New Roman" w:hAnsi="Times New Roman" w:cs="Times New Roman"/>
                <w:color w:val="010205"/>
                <w:sz w:val="20"/>
                <w:szCs w:val="20"/>
              </w:rPr>
              <w:t>.041</w:t>
            </w:r>
          </w:p>
        </w:tc>
      </w:tr>
      <w:tr w14:paraId="41530B93" w14:textId="77777777" w:rsidTr="008806B4">
        <w:tblPrEx>
          <w:tblW w:w="4019" w:type="pct"/>
          <w:tblInd w:w="1555" w:type="dxa"/>
          <w:tblLayout w:type="fixed"/>
          <w:tblCellMar>
            <w:left w:w="0" w:type="dxa"/>
            <w:right w:w="0" w:type="dxa"/>
          </w:tblCellMar>
          <w:tblLook w:val="0000"/>
        </w:tblPrEx>
        <w:trPr>
          <w:cantSplit/>
        </w:trPr>
        <w:tc>
          <w:tcPr>
            <w:tcW w:w="5000" w:type="pct"/>
            <w:gridSpan w:val="7"/>
            <w:shd w:val="clear" w:color="auto" w:fill="FFFFFF"/>
          </w:tcPr>
          <w:p w:rsidR="008806B4" w:rsidRPr="008806B4" w:rsidP="008806B4" w14:paraId="3E1B8892"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8806B4">
              <w:rPr>
                <w:rFonts w:ascii="Times New Roman" w:hAnsi="Times New Roman" w:cs="Times New Roman"/>
                <w:color w:val="010205"/>
                <w:sz w:val="20"/>
                <w:szCs w:val="20"/>
              </w:rPr>
              <w:t xml:space="preserve">a. Dependent Variable: Return </w:t>
            </w:r>
            <w:r w:rsidRPr="008806B4">
              <w:rPr>
                <w:rFonts w:ascii="Times New Roman" w:hAnsi="Times New Roman" w:cs="Times New Roman"/>
                <w:color w:val="010205"/>
                <w:sz w:val="20"/>
                <w:szCs w:val="20"/>
              </w:rPr>
              <w:t>On</w:t>
            </w:r>
            <w:r w:rsidRPr="008806B4">
              <w:rPr>
                <w:rFonts w:ascii="Times New Roman" w:hAnsi="Times New Roman" w:cs="Times New Roman"/>
                <w:color w:val="010205"/>
                <w:sz w:val="20"/>
                <w:szCs w:val="20"/>
              </w:rPr>
              <w:t xml:space="preserve"> Equity</w:t>
            </w:r>
          </w:p>
        </w:tc>
      </w:tr>
    </w:tbl>
    <w:bookmarkEnd w:id="3"/>
    <w:p w:rsidR="008806B4" w:rsidP="008806B4" w14:paraId="29EFEBA2" w14:textId="4BB7227A">
      <w:pPr>
        <w:autoSpaceDE w:val="0"/>
        <w:autoSpaceDN w:val="0"/>
        <w:adjustRightInd w:val="0"/>
        <w:spacing w:after="0" w:line="480" w:lineRule="auto"/>
        <w:ind w:left="1843"/>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8806B4" w:rsidRPr="00FB0E34" w:rsidP="00FB0E34" w14:paraId="3261E752" w14:textId="73494B3A">
      <w:pPr>
        <w:autoSpaceDE w:val="0"/>
        <w:autoSpaceDN w:val="0"/>
        <w:adjustRightInd w:val="0"/>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II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sidRPr="008937C2">
        <w:rPr>
          <w:rFonts w:ascii="Times New Roman" w:hAnsi="Times New Roman" w:cs="Times New Roman"/>
          <w:i/>
          <w:iCs/>
          <w:sz w:val="24"/>
          <w:szCs w:val="24"/>
        </w:rPr>
        <w:t xml:space="preserve">return on </w:t>
      </w:r>
      <w:r w:rsidRPr="008937C2" w:rsidR="00FB0E34">
        <w:rPr>
          <w:rFonts w:ascii="Times New Roman" w:hAnsi="Times New Roman" w:cs="Times New Roman"/>
          <w:i/>
          <w:iCs/>
          <w:sz w:val="24"/>
          <w:szCs w:val="24"/>
        </w:rPr>
        <w:t>equity</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sidRPr="008937C2">
        <w:rPr>
          <w:rFonts w:ascii="Times New Roman" w:hAnsi="Times New Roman" w:cs="Times New Roman"/>
          <w:i/>
          <w:iCs/>
          <w:sz w:val="24"/>
          <w:szCs w:val="24"/>
        </w:rPr>
        <w:t>model summary</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8937C2">
        <w:rPr>
          <w:rFonts w:ascii="Times New Roman" w:hAnsi="Times New Roman" w:cs="Times New Roman"/>
          <w:i/>
          <w:iCs/>
          <w:sz w:val="24"/>
          <w:szCs w:val="24"/>
        </w:rPr>
        <w:t>R Square</w:t>
      </w:r>
      <w:r>
        <w:rPr>
          <w:rFonts w:ascii="Times New Roman" w:hAnsi="Times New Roman" w:cs="Times New Roman"/>
          <w:sz w:val="24"/>
          <w:szCs w:val="24"/>
        </w:rPr>
        <w:t xml:space="preserve"> CSR dan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RO</w:t>
      </w:r>
      <w:r w:rsidR="00FB0E34">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w:t>
      </w:r>
      <w:r w:rsidR="00FB0E34">
        <w:rPr>
          <w:rFonts w:ascii="Times New Roman" w:hAnsi="Times New Roman" w:cs="Times New Roman"/>
          <w:sz w:val="24"/>
          <w:szCs w:val="24"/>
        </w:rPr>
        <w:t>317</w:t>
      </w:r>
      <w:r>
        <w:rPr>
          <w:rFonts w:ascii="Times New Roman" w:hAnsi="Times New Roman" w:cs="Times New Roman"/>
          <w:sz w:val="24"/>
          <w:szCs w:val="24"/>
        </w:rPr>
        <w:t xml:space="preserve">. </w:t>
      </w:r>
      <w:r>
        <w:rPr>
          <w:rFonts w:ascii="Times New Roman" w:hAnsi="Times New Roman" w:cs="Times New Roman"/>
          <w:sz w:val="24"/>
          <w:szCs w:val="24"/>
        </w:rPr>
        <w:t>Artinya</w:t>
      </w:r>
      <w:r>
        <w:rPr>
          <w:rFonts w:ascii="Times New Roman" w:hAnsi="Times New Roman" w:cs="Times New Roman"/>
          <w:sz w:val="24"/>
          <w:szCs w:val="24"/>
        </w:rPr>
        <w:t xml:space="preserve"> </w:t>
      </w:r>
      <w:r>
        <w:rPr>
          <w:rFonts w:ascii="Times New Roman" w:hAnsi="Times New Roman" w:cs="Times New Roman"/>
          <w:sz w:val="24"/>
          <w:szCs w:val="24"/>
        </w:rPr>
        <w:t>variasi</w:t>
      </w:r>
      <w:r>
        <w:rPr>
          <w:rFonts w:ascii="Times New Roman" w:hAnsi="Times New Roman" w:cs="Times New Roman"/>
          <w:sz w:val="24"/>
          <w:szCs w:val="24"/>
        </w:rPr>
        <w:t xml:space="preserve"> RO</w:t>
      </w:r>
      <w:r w:rsidR="00FB0E34">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dijelaskan</w:t>
      </w:r>
      <w:r>
        <w:rPr>
          <w:rFonts w:ascii="Times New Roman" w:hAnsi="Times New Roman" w:cs="Times New Roman"/>
          <w:sz w:val="24"/>
          <w:szCs w:val="24"/>
        </w:rPr>
        <w:t xml:space="preserve"> oleh </w:t>
      </w:r>
      <w:r>
        <w:rPr>
          <w:rFonts w:ascii="Times New Roman" w:hAnsi="Times New Roman" w:cs="Times New Roman"/>
          <w:sz w:val="24"/>
          <w:szCs w:val="24"/>
        </w:rPr>
        <w:t>variasi</w:t>
      </w:r>
      <w:r>
        <w:rPr>
          <w:rFonts w:ascii="Times New Roman" w:hAnsi="Times New Roman" w:cs="Times New Roman"/>
          <w:sz w:val="24"/>
          <w:szCs w:val="24"/>
        </w:rPr>
        <w:t xml:space="preserve"> CSR dan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w:t>
      </w:r>
      <w:r w:rsidR="00FB0E34">
        <w:rPr>
          <w:rFonts w:ascii="Times New Roman" w:hAnsi="Times New Roman" w:cs="Times New Roman"/>
          <w:sz w:val="24"/>
          <w:szCs w:val="24"/>
        </w:rPr>
        <w:t>31</w:t>
      </w:r>
      <w:r>
        <w:rPr>
          <w:rFonts w:ascii="Times New Roman" w:hAnsi="Times New Roman" w:cs="Times New Roman"/>
          <w:sz w:val="24"/>
          <w:szCs w:val="24"/>
        </w:rPr>
        <w:t>,</w:t>
      </w:r>
      <w:r w:rsidR="00FB0E34">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sehingga</w:t>
      </w:r>
      <w:r>
        <w:rPr>
          <w:rFonts w:ascii="Times New Roman" w:hAnsi="Times New Roman" w:cs="Times New Roman"/>
          <w:sz w:val="24"/>
          <w:szCs w:val="24"/>
        </w:rPr>
        <w:t xml:space="preserve"> </w:t>
      </w:r>
      <w:r>
        <w:rPr>
          <w:rFonts w:ascii="Times New Roman" w:hAnsi="Times New Roman" w:cs="Times New Roman"/>
          <w:sz w:val="24"/>
          <w:szCs w:val="24"/>
        </w:rPr>
        <w:t>varian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RO</w:t>
      </w:r>
      <w:r w:rsidR="00FB0E34">
        <w:rPr>
          <w:rFonts w:ascii="Times New Roman" w:hAnsi="Times New Roman" w:cs="Times New Roman"/>
          <w:sz w:val="24"/>
          <w:szCs w:val="24"/>
        </w:rPr>
        <w:t>E</w:t>
      </w:r>
      <w:r>
        <w:rPr>
          <w:rFonts w:ascii="Times New Roman" w:hAnsi="Times New Roman" w:cs="Times New Roman"/>
          <w:sz w:val="24"/>
          <w:szCs w:val="24"/>
        </w:rPr>
        <w:t xml:space="preserve"> yang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dijelaskan</w:t>
      </w:r>
      <w:r>
        <w:rPr>
          <w:rFonts w:ascii="Times New Roman" w:hAnsi="Times New Roman" w:cs="Times New Roman"/>
          <w:sz w:val="24"/>
          <w:szCs w:val="24"/>
        </w:rPr>
        <w:t xml:space="preserve"> oleh </w:t>
      </w:r>
      <w:r>
        <w:rPr>
          <w:rFonts w:ascii="Times New Roman" w:hAnsi="Times New Roman" w:cs="Times New Roman"/>
          <w:sz w:val="24"/>
          <w:szCs w:val="24"/>
        </w:rPr>
        <w:t>variabel</w:t>
      </w:r>
      <w:r>
        <w:rPr>
          <w:rFonts w:ascii="Times New Roman" w:hAnsi="Times New Roman" w:cs="Times New Roman"/>
          <w:sz w:val="24"/>
          <w:szCs w:val="24"/>
        </w:rPr>
        <w:t xml:space="preserve"> CSR dan </w:t>
      </w:r>
      <w:r w:rsidRPr="008937C2">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e</w:t>
      </w:r>
      <w:r w:rsidRPr="00106ED2">
        <w:rPr>
          <w:rFonts w:ascii="Times New Roman" w:hAnsi="Times New Roman" w:cs="Times New Roman"/>
          <w:sz w:val="24"/>
          <w:szCs w:val="24"/>
          <w:vertAlign w:val="subscript"/>
        </w:rPr>
        <w:t>2</w:t>
      </w:r>
      <w:r>
        <w:rPr>
          <w:rFonts w:ascii="Times New Roman" w:hAnsi="Times New Roman" w:cs="Times New Roman"/>
          <w:sz w:val="24"/>
          <w:szCs w:val="24"/>
        </w:rPr>
        <w:t xml:space="preserve"> = √1-0,</w:t>
      </w:r>
      <w:r w:rsidR="00FB0E34">
        <w:rPr>
          <w:rFonts w:ascii="Times New Roman" w:hAnsi="Times New Roman" w:cs="Times New Roman"/>
          <w:sz w:val="24"/>
          <w:szCs w:val="24"/>
        </w:rPr>
        <w:t>317</w:t>
      </w:r>
      <w:r>
        <w:rPr>
          <w:rFonts w:ascii="Times New Roman" w:hAnsi="Times New Roman" w:cs="Times New Roman"/>
          <w:sz w:val="24"/>
          <w:szCs w:val="24"/>
        </w:rPr>
        <w:t xml:space="preserve"> = 0</w:t>
      </w:r>
      <w:r w:rsidR="00FB0E34">
        <w:rPr>
          <w:rFonts w:ascii="Times New Roman" w:hAnsi="Times New Roman" w:cs="Times New Roman"/>
          <w:sz w:val="24"/>
          <w:szCs w:val="24"/>
        </w:rPr>
        <w:t>,826</w:t>
      </w:r>
      <w:r>
        <w:rPr>
          <w:rFonts w:ascii="Times New Roman" w:hAnsi="Times New Roman" w:cs="Times New Roman"/>
          <w:sz w:val="24"/>
          <w:szCs w:val="24"/>
        </w:rPr>
        <w:t xml:space="preserve">. </w:t>
      </w:r>
      <w:r w:rsidR="00FB0E34">
        <w:rPr>
          <w:rFonts w:ascii="Times New Roman" w:hAnsi="Times New Roman" w:cs="Times New Roman"/>
          <w:sz w:val="24"/>
          <w:szCs w:val="24"/>
        </w:rPr>
        <w:t>Sedangkan</w:t>
      </w:r>
      <w:r w:rsidR="00FB0E34">
        <w:rPr>
          <w:rFonts w:ascii="Times New Roman" w:hAnsi="Times New Roman" w:cs="Times New Roman"/>
          <w:sz w:val="24"/>
          <w:szCs w:val="24"/>
        </w:rPr>
        <w:t xml:space="preserve"> pada </w:t>
      </w:r>
      <w:r w:rsidRPr="008937C2" w:rsidR="00FB0E34">
        <w:rPr>
          <w:rFonts w:ascii="Times New Roman" w:hAnsi="Times New Roman" w:cs="Times New Roman"/>
          <w:i/>
          <w:iCs/>
          <w:sz w:val="24"/>
          <w:szCs w:val="24"/>
        </w:rPr>
        <w:t>Unstandardized Coefficients</w:t>
      </w:r>
      <w:r w:rsidR="00FB0E34">
        <w:rPr>
          <w:rFonts w:ascii="Times New Roman" w:hAnsi="Times New Roman" w:cs="Times New Roman"/>
          <w:sz w:val="24"/>
          <w:szCs w:val="24"/>
        </w:rPr>
        <w:t xml:space="preserve"> CSR </w:t>
      </w:r>
      <w:r w:rsidR="00FB0E34">
        <w:rPr>
          <w:rFonts w:ascii="Times New Roman" w:hAnsi="Times New Roman" w:cs="Times New Roman"/>
          <w:sz w:val="24"/>
          <w:szCs w:val="24"/>
        </w:rPr>
        <w:t>terhadap</w:t>
      </w:r>
      <w:r w:rsidR="00FB0E34">
        <w:rPr>
          <w:rFonts w:ascii="Times New Roman" w:hAnsi="Times New Roman" w:cs="Times New Roman"/>
          <w:sz w:val="24"/>
          <w:szCs w:val="24"/>
        </w:rPr>
        <w:t xml:space="preserve"> ROE </w:t>
      </w:r>
      <w:r w:rsidR="00FB0E34">
        <w:rPr>
          <w:rFonts w:ascii="Times New Roman" w:hAnsi="Times New Roman" w:cs="Times New Roman"/>
          <w:sz w:val="24"/>
          <w:szCs w:val="24"/>
        </w:rPr>
        <w:t>sebesar</w:t>
      </w:r>
      <w:r w:rsidR="00FB0E34">
        <w:rPr>
          <w:rFonts w:ascii="Times New Roman" w:hAnsi="Times New Roman" w:cs="Times New Roman"/>
          <w:sz w:val="24"/>
          <w:szCs w:val="24"/>
        </w:rPr>
        <w:t xml:space="preserve"> 0,099 </w:t>
      </w:r>
      <w:r w:rsidR="00FB0E34">
        <w:rPr>
          <w:rFonts w:ascii="Times New Roman" w:hAnsi="Times New Roman" w:cs="Times New Roman"/>
          <w:sz w:val="24"/>
          <w:szCs w:val="24"/>
        </w:rPr>
        <w:t>dengan</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signifikasi</w:t>
      </w:r>
      <w:r w:rsidR="00FB0E34">
        <w:rPr>
          <w:rFonts w:ascii="Times New Roman" w:hAnsi="Times New Roman" w:cs="Times New Roman"/>
          <w:sz w:val="24"/>
          <w:szCs w:val="24"/>
        </w:rPr>
        <w:t xml:space="preserve"> 0,154, </w:t>
      </w:r>
      <w:r w:rsidR="00FB0E34">
        <w:rPr>
          <w:rFonts w:ascii="Times New Roman" w:hAnsi="Times New Roman" w:cs="Times New Roman"/>
          <w:sz w:val="24"/>
          <w:szCs w:val="24"/>
        </w:rPr>
        <w:t>berarti</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tidak</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terdapat</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pengaruh</w:t>
      </w:r>
      <w:r w:rsidR="00FB0E34">
        <w:rPr>
          <w:rFonts w:ascii="Times New Roman" w:hAnsi="Times New Roman" w:cs="Times New Roman"/>
          <w:sz w:val="24"/>
          <w:szCs w:val="24"/>
        </w:rPr>
        <w:t xml:space="preserve"> CSR </w:t>
      </w:r>
      <w:r w:rsidR="00FB0E34">
        <w:rPr>
          <w:rFonts w:ascii="Times New Roman" w:hAnsi="Times New Roman" w:cs="Times New Roman"/>
          <w:sz w:val="24"/>
          <w:szCs w:val="24"/>
        </w:rPr>
        <w:t>terhadap</w:t>
      </w:r>
      <w:r w:rsidR="00FB0E34">
        <w:rPr>
          <w:rFonts w:ascii="Times New Roman" w:hAnsi="Times New Roman" w:cs="Times New Roman"/>
          <w:sz w:val="24"/>
          <w:szCs w:val="24"/>
        </w:rPr>
        <w:t xml:space="preserve"> RO</w:t>
      </w:r>
      <w:r w:rsidR="00C321D9">
        <w:rPr>
          <w:rFonts w:ascii="Times New Roman" w:hAnsi="Times New Roman" w:cs="Times New Roman"/>
          <w:sz w:val="24"/>
          <w:szCs w:val="24"/>
        </w:rPr>
        <w:t>E</w:t>
      </w:r>
      <w:r w:rsidR="00FB0E34">
        <w:rPr>
          <w:rFonts w:ascii="Times New Roman" w:hAnsi="Times New Roman" w:cs="Times New Roman"/>
          <w:sz w:val="24"/>
          <w:szCs w:val="24"/>
        </w:rPr>
        <w:t xml:space="preserve"> (H2 </w:t>
      </w:r>
      <w:r w:rsidR="00FB0E34">
        <w:rPr>
          <w:rFonts w:ascii="Times New Roman" w:hAnsi="Times New Roman" w:cs="Times New Roman"/>
          <w:sz w:val="24"/>
          <w:szCs w:val="24"/>
        </w:rPr>
        <w:t>ditolak</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Sedangkan</w:t>
      </w:r>
      <w:r w:rsidR="00FB0E34">
        <w:rPr>
          <w:rFonts w:ascii="Times New Roman" w:hAnsi="Times New Roman" w:cs="Times New Roman"/>
          <w:sz w:val="24"/>
          <w:szCs w:val="24"/>
        </w:rPr>
        <w:t xml:space="preserve"> </w:t>
      </w:r>
      <w:r w:rsidRPr="008937C2" w:rsidR="00FB0E34">
        <w:rPr>
          <w:rFonts w:ascii="Times New Roman" w:hAnsi="Times New Roman" w:cs="Times New Roman"/>
          <w:i/>
          <w:iCs/>
          <w:sz w:val="24"/>
          <w:szCs w:val="24"/>
        </w:rPr>
        <w:t>Unstandardized Coefficients green banking</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terhadap</w:t>
      </w:r>
      <w:r w:rsidR="00FB0E34">
        <w:rPr>
          <w:rFonts w:ascii="Times New Roman" w:hAnsi="Times New Roman" w:cs="Times New Roman"/>
          <w:sz w:val="24"/>
          <w:szCs w:val="24"/>
        </w:rPr>
        <w:t xml:space="preserve"> ROE </w:t>
      </w:r>
      <w:r w:rsidR="00FB0E34">
        <w:rPr>
          <w:rFonts w:ascii="Times New Roman" w:hAnsi="Times New Roman" w:cs="Times New Roman"/>
          <w:sz w:val="24"/>
          <w:szCs w:val="24"/>
        </w:rPr>
        <w:t>sebesar</w:t>
      </w:r>
      <w:r w:rsidR="00FB0E34">
        <w:rPr>
          <w:rFonts w:ascii="Times New Roman" w:hAnsi="Times New Roman" w:cs="Times New Roman"/>
          <w:sz w:val="24"/>
          <w:szCs w:val="24"/>
        </w:rPr>
        <w:t xml:space="preserve"> 0,070 </w:t>
      </w:r>
      <w:r w:rsidR="00FB0E34">
        <w:rPr>
          <w:rFonts w:ascii="Times New Roman" w:hAnsi="Times New Roman" w:cs="Times New Roman"/>
          <w:sz w:val="24"/>
          <w:szCs w:val="24"/>
        </w:rPr>
        <w:t>dengan</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signifikasi</w:t>
      </w:r>
      <w:r w:rsidR="00FB0E34">
        <w:rPr>
          <w:rFonts w:ascii="Times New Roman" w:hAnsi="Times New Roman" w:cs="Times New Roman"/>
          <w:sz w:val="24"/>
          <w:szCs w:val="24"/>
        </w:rPr>
        <w:t xml:space="preserve"> 0,041, </w:t>
      </w:r>
      <w:r w:rsidR="00FB0E34">
        <w:rPr>
          <w:rFonts w:ascii="Times New Roman" w:hAnsi="Times New Roman" w:cs="Times New Roman"/>
          <w:sz w:val="24"/>
          <w:szCs w:val="24"/>
        </w:rPr>
        <w:t>berarti</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terdapat</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pengaruh</w:t>
      </w:r>
      <w:r w:rsidR="00FB0E34">
        <w:rPr>
          <w:rFonts w:ascii="Times New Roman" w:hAnsi="Times New Roman" w:cs="Times New Roman"/>
          <w:sz w:val="24"/>
          <w:szCs w:val="24"/>
        </w:rPr>
        <w:t xml:space="preserve"> </w:t>
      </w:r>
      <w:r w:rsidRPr="008937C2" w:rsidR="00FB0E34">
        <w:rPr>
          <w:rFonts w:ascii="Times New Roman" w:hAnsi="Times New Roman" w:cs="Times New Roman"/>
          <w:i/>
          <w:iCs/>
          <w:sz w:val="24"/>
          <w:szCs w:val="24"/>
        </w:rPr>
        <w:t>green banking</w:t>
      </w:r>
      <w:r w:rsidR="00FB0E34">
        <w:rPr>
          <w:rFonts w:ascii="Times New Roman" w:hAnsi="Times New Roman" w:cs="Times New Roman"/>
          <w:sz w:val="24"/>
          <w:szCs w:val="24"/>
        </w:rPr>
        <w:t xml:space="preserve"> </w:t>
      </w:r>
      <w:r w:rsidR="00FB0E34">
        <w:rPr>
          <w:rFonts w:ascii="Times New Roman" w:hAnsi="Times New Roman" w:cs="Times New Roman"/>
          <w:sz w:val="24"/>
          <w:szCs w:val="24"/>
        </w:rPr>
        <w:t>terhadap</w:t>
      </w:r>
      <w:r w:rsidR="00FB0E34">
        <w:rPr>
          <w:rFonts w:ascii="Times New Roman" w:hAnsi="Times New Roman" w:cs="Times New Roman"/>
          <w:sz w:val="24"/>
          <w:szCs w:val="24"/>
        </w:rPr>
        <w:t xml:space="preserve"> ROE (</w:t>
      </w:r>
      <w:r w:rsidR="00FB0563">
        <w:rPr>
          <w:rFonts w:ascii="Times New Roman" w:hAnsi="Times New Roman" w:cs="Times New Roman"/>
          <w:sz w:val="24"/>
          <w:szCs w:val="24"/>
        </w:rPr>
        <w:t xml:space="preserve">H6 </w:t>
      </w:r>
      <w:r w:rsidR="00FB0E34">
        <w:rPr>
          <w:rFonts w:ascii="Times New Roman" w:hAnsi="Times New Roman" w:cs="Times New Roman"/>
          <w:sz w:val="24"/>
          <w:szCs w:val="24"/>
        </w:rPr>
        <w:t>diterima</w:t>
      </w:r>
      <w:r w:rsidR="00FB0E34">
        <w:rPr>
          <w:rFonts w:ascii="Times New Roman" w:hAnsi="Times New Roman" w:cs="Times New Roman"/>
          <w:sz w:val="24"/>
          <w:szCs w:val="24"/>
        </w:rPr>
        <w:t>).</w:t>
      </w:r>
    </w:p>
    <w:p w:rsidR="00A40572" w:rsidRPr="00FB0E34" w:rsidP="00FB0E34" w14:paraId="447FECE3" w14:textId="3F6DBA44">
      <w:pPr>
        <w:pStyle w:val="ListParagraph"/>
        <w:numPr>
          <w:ilvl w:val="0"/>
          <w:numId w:val="56"/>
        </w:num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Kinerj</w:t>
      </w:r>
      <w:r w:rsidR="0092641F">
        <w:rPr>
          <w:rFonts w:ascii="Times New Roman" w:hAnsi="Times New Roman" w:cs="Times New Roman"/>
          <w:sz w:val="24"/>
          <w:szCs w:val="24"/>
        </w:rPr>
        <w:t>a</w:t>
      </w:r>
      <w:r>
        <w:rPr>
          <w:rFonts w:ascii="Times New Roman" w:hAnsi="Times New Roman" w:cs="Times New Roman"/>
          <w:sz w:val="24"/>
          <w:szCs w:val="24"/>
        </w:rPr>
        <w:t xml:space="preserve"> </w:t>
      </w:r>
      <w:r w:rsidR="00FB0563">
        <w:rPr>
          <w:rFonts w:ascii="Times New Roman" w:hAnsi="Times New Roman" w:cs="Times New Roman"/>
          <w:sz w:val="24"/>
          <w:szCs w:val="24"/>
        </w:rPr>
        <w:t>Keuangan</w:t>
      </w:r>
      <w:r w:rsidR="00FB0563">
        <w:rPr>
          <w:rFonts w:ascii="Times New Roman" w:hAnsi="Times New Roman" w:cs="Times New Roman"/>
          <w:sz w:val="24"/>
          <w:szCs w:val="24"/>
        </w:rPr>
        <w:t xml:space="preserve"> </w:t>
      </w:r>
      <w:r w:rsidR="00FB0563">
        <w:rPr>
          <w:rFonts w:ascii="Times New Roman" w:hAnsi="Times New Roman" w:cs="Times New Roman"/>
          <w:sz w:val="24"/>
          <w:szCs w:val="24"/>
        </w:rPr>
        <w:t>Dengan</w:t>
      </w:r>
      <w:r w:rsidR="00FB0563">
        <w:rPr>
          <w:rFonts w:ascii="Times New Roman" w:hAnsi="Times New Roman" w:cs="Times New Roman"/>
          <w:sz w:val="24"/>
          <w:szCs w:val="24"/>
        </w:rPr>
        <w:t xml:space="preserve"> </w:t>
      </w:r>
      <w:r w:rsidRPr="00FB0563" w:rsidR="00FB0563">
        <w:rPr>
          <w:rFonts w:ascii="Times New Roman" w:hAnsi="Times New Roman" w:cs="Times New Roman"/>
          <w:i/>
          <w:iCs/>
          <w:sz w:val="24"/>
          <w:szCs w:val="24"/>
        </w:rPr>
        <w:t>Proksi</w:t>
      </w:r>
      <w:r w:rsidRPr="00FB0563" w:rsidR="00FB0563">
        <w:rPr>
          <w:rFonts w:ascii="Times New Roman" w:hAnsi="Times New Roman" w:cs="Times New Roman"/>
          <w:i/>
          <w:iCs/>
          <w:sz w:val="24"/>
          <w:szCs w:val="24"/>
        </w:rPr>
        <w:t xml:space="preserve"> Net Interest Margin</w:t>
      </w:r>
      <w:r w:rsidR="00FB0563">
        <w:rPr>
          <w:rFonts w:ascii="Times New Roman" w:hAnsi="Times New Roman" w:cs="Times New Roman"/>
          <w:sz w:val="24"/>
          <w:szCs w:val="24"/>
        </w:rPr>
        <w:t xml:space="preserve"> </w:t>
      </w:r>
      <w:r w:rsidR="0092641F">
        <w:rPr>
          <w:rFonts w:ascii="Times New Roman" w:hAnsi="Times New Roman" w:cs="Times New Roman"/>
          <w:sz w:val="24"/>
          <w:szCs w:val="24"/>
        </w:rPr>
        <w:t>(NIM)</w:t>
      </w:r>
    </w:p>
    <w:p w:rsidR="00FB0E34" w:rsidRPr="00FB0E34" w:rsidP="0046716C" w14:paraId="13CB36F3" w14:textId="465E98FA">
      <w:pPr>
        <w:pStyle w:val="ListParagraph"/>
        <w:spacing w:after="0" w:line="276" w:lineRule="auto"/>
        <w:ind w:left="1800"/>
        <w:jc w:val="center"/>
        <w:rPr>
          <w:rFonts w:ascii="Times New Roman" w:hAnsi="Times New Roman" w:cs="Times New Roman"/>
          <w:b/>
          <w:bCs/>
          <w:sz w:val="24"/>
          <w:szCs w:val="24"/>
        </w:rPr>
      </w:pPr>
      <w:r w:rsidRPr="00FB0E34">
        <w:rPr>
          <w:rFonts w:ascii="Times New Roman" w:hAnsi="Times New Roman" w:cs="Times New Roman"/>
          <w:b/>
          <w:bCs/>
          <w:sz w:val="24"/>
          <w:szCs w:val="24"/>
        </w:rPr>
        <w:t>Tabel 2</w:t>
      </w:r>
      <w:r w:rsidR="00E20D14">
        <w:rPr>
          <w:rFonts w:ascii="Times New Roman" w:hAnsi="Times New Roman" w:cs="Times New Roman"/>
          <w:b/>
          <w:bCs/>
          <w:sz w:val="24"/>
          <w:szCs w:val="24"/>
        </w:rPr>
        <w:t>2</w:t>
      </w:r>
    </w:p>
    <w:p w:rsidR="0046716C" w:rsidRPr="0046716C" w:rsidP="0046716C" w14:paraId="4744515E" w14:textId="7CEC5B9B">
      <w:pPr>
        <w:pStyle w:val="ListParagraph"/>
        <w:spacing w:after="0" w:line="276" w:lineRule="auto"/>
        <w:ind w:left="1800"/>
        <w:jc w:val="center"/>
        <w:rPr>
          <w:rFonts w:ascii="Times New Roman" w:hAnsi="Times New Roman" w:cs="Times New Roman"/>
          <w:b/>
          <w:bCs/>
          <w:sz w:val="24"/>
          <w:szCs w:val="24"/>
        </w:rPr>
      </w:pPr>
      <w:r w:rsidRPr="00FB0E34">
        <w:rPr>
          <w:rFonts w:ascii="Times New Roman" w:hAnsi="Times New Roman" w:cs="Times New Roman"/>
          <w:b/>
          <w:bCs/>
          <w:sz w:val="24"/>
          <w:szCs w:val="24"/>
        </w:rPr>
        <w:t>Analisis</w:t>
      </w:r>
      <w:r w:rsidRPr="00FB0E34">
        <w:rPr>
          <w:rFonts w:ascii="Times New Roman" w:hAnsi="Times New Roman" w:cs="Times New Roman"/>
          <w:b/>
          <w:bCs/>
          <w:sz w:val="24"/>
          <w:szCs w:val="24"/>
        </w:rPr>
        <w:t xml:space="preserve"> </w:t>
      </w:r>
      <w:r w:rsidRPr="00FB0E34">
        <w:rPr>
          <w:rFonts w:ascii="Times New Roman" w:hAnsi="Times New Roman" w:cs="Times New Roman"/>
          <w:b/>
          <w:bCs/>
          <w:sz w:val="24"/>
          <w:szCs w:val="24"/>
        </w:rPr>
        <w:t>jalur</w:t>
      </w:r>
      <w:r w:rsidRPr="00FB0E34">
        <w:rPr>
          <w:rFonts w:ascii="Times New Roman" w:hAnsi="Times New Roman" w:cs="Times New Roman"/>
          <w:b/>
          <w:bCs/>
          <w:sz w:val="24"/>
          <w:szCs w:val="24"/>
        </w:rPr>
        <w:t xml:space="preserve"> </w:t>
      </w:r>
      <w:r w:rsidRPr="00FB0E34">
        <w:rPr>
          <w:rFonts w:ascii="Times New Roman" w:hAnsi="Times New Roman" w:cs="Times New Roman"/>
          <w:b/>
          <w:bCs/>
          <w:sz w:val="24"/>
          <w:szCs w:val="24"/>
        </w:rPr>
        <w:t>persamaan</w:t>
      </w:r>
      <w:r w:rsidRPr="00FB0E34">
        <w:rPr>
          <w:rFonts w:ascii="Times New Roman" w:hAnsi="Times New Roman" w:cs="Times New Roman"/>
          <w:b/>
          <w:bCs/>
          <w:sz w:val="24"/>
          <w:szCs w:val="24"/>
        </w:rPr>
        <w:t xml:space="preserve"> II </w:t>
      </w:r>
      <w:r w:rsidRPr="00FB0E34">
        <w:rPr>
          <w:rFonts w:ascii="Times New Roman" w:hAnsi="Times New Roman" w:cs="Times New Roman"/>
          <w:b/>
          <w:bCs/>
          <w:sz w:val="24"/>
          <w:szCs w:val="24"/>
        </w:rPr>
        <w:t>dengan</w:t>
      </w:r>
      <w:r w:rsidRPr="00FB0E34">
        <w:rPr>
          <w:rFonts w:ascii="Times New Roman" w:hAnsi="Times New Roman" w:cs="Times New Roman"/>
          <w:b/>
          <w:bCs/>
          <w:sz w:val="24"/>
          <w:szCs w:val="24"/>
        </w:rPr>
        <w:t xml:space="preserve"> </w:t>
      </w:r>
      <w:r w:rsidRPr="00FB0E34">
        <w:rPr>
          <w:rFonts w:ascii="Times New Roman" w:hAnsi="Times New Roman" w:cs="Times New Roman"/>
          <w:b/>
          <w:bCs/>
          <w:sz w:val="24"/>
          <w:szCs w:val="24"/>
        </w:rPr>
        <w:t>proksi</w:t>
      </w:r>
      <w:r w:rsidRPr="00FB0E34">
        <w:rPr>
          <w:rFonts w:ascii="Times New Roman" w:hAnsi="Times New Roman" w:cs="Times New Roman"/>
          <w:b/>
          <w:bCs/>
          <w:sz w:val="24"/>
          <w:szCs w:val="24"/>
        </w:rPr>
        <w:t xml:space="preserve"> NIM</w:t>
      </w:r>
    </w:p>
    <w:tbl>
      <w:tblPr>
        <w:tblW w:w="61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5"/>
        <w:gridCol w:w="713"/>
        <w:gridCol w:w="1559"/>
        <w:gridCol w:w="1418"/>
        <w:gridCol w:w="1294"/>
      </w:tblGrid>
      <w:tr w14:paraId="444585D8" w14:textId="77777777" w:rsidTr="0046716C">
        <w:tblPrEx>
          <w:tblW w:w="61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jc w:val="right"/>
        </w:trPr>
        <w:tc>
          <w:tcPr>
            <w:tcW w:w="6119" w:type="dxa"/>
            <w:gridSpan w:val="5"/>
            <w:shd w:val="clear" w:color="auto" w:fill="FFFFFF"/>
            <w:vAlign w:val="center"/>
          </w:tcPr>
          <w:p w:rsidR="0046716C" w:rsidRPr="0046716C" w:rsidP="0046716C" w14:paraId="22F24B75"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46716C">
              <w:rPr>
                <w:rFonts w:ascii="Times New Roman" w:hAnsi="Times New Roman" w:cs="Times New Roman"/>
                <w:b/>
                <w:bCs/>
                <w:color w:val="010205"/>
                <w:sz w:val="20"/>
                <w:szCs w:val="20"/>
              </w:rPr>
              <w:t>Model Summary</w:t>
            </w:r>
          </w:p>
        </w:tc>
      </w:tr>
      <w:tr w14:paraId="69AFD13A" w14:textId="77777777" w:rsidTr="0046716C">
        <w:tblPrEx>
          <w:tblW w:w="6119" w:type="dxa"/>
          <w:jc w:val="right"/>
          <w:tblLayout w:type="fixed"/>
          <w:tblCellMar>
            <w:left w:w="0" w:type="dxa"/>
            <w:right w:w="0" w:type="dxa"/>
          </w:tblCellMar>
          <w:tblLook w:val="0000"/>
        </w:tblPrEx>
        <w:trPr>
          <w:cantSplit/>
          <w:jc w:val="right"/>
        </w:trPr>
        <w:tc>
          <w:tcPr>
            <w:tcW w:w="1135" w:type="dxa"/>
            <w:shd w:val="clear" w:color="auto" w:fill="FFFFFF"/>
            <w:vAlign w:val="bottom"/>
          </w:tcPr>
          <w:p w:rsidR="0046716C" w:rsidRPr="0046716C" w:rsidP="0046716C" w14:paraId="3A2C8E1B"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Model</w:t>
            </w:r>
          </w:p>
        </w:tc>
        <w:tc>
          <w:tcPr>
            <w:tcW w:w="713" w:type="dxa"/>
            <w:shd w:val="clear" w:color="auto" w:fill="FFFFFF"/>
            <w:vAlign w:val="bottom"/>
          </w:tcPr>
          <w:p w:rsidR="0046716C" w:rsidRPr="0046716C" w:rsidP="0046716C" w14:paraId="5A546518"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R</w:t>
            </w:r>
          </w:p>
        </w:tc>
        <w:tc>
          <w:tcPr>
            <w:tcW w:w="1559" w:type="dxa"/>
            <w:shd w:val="clear" w:color="auto" w:fill="FFFFFF"/>
            <w:vAlign w:val="bottom"/>
          </w:tcPr>
          <w:p w:rsidR="0046716C" w:rsidRPr="0046716C" w:rsidP="0046716C" w14:paraId="72B727E7"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R Square</w:t>
            </w:r>
          </w:p>
        </w:tc>
        <w:tc>
          <w:tcPr>
            <w:tcW w:w="1418" w:type="dxa"/>
            <w:shd w:val="clear" w:color="auto" w:fill="FFFFFF"/>
            <w:vAlign w:val="bottom"/>
          </w:tcPr>
          <w:p w:rsidR="0046716C" w:rsidRPr="0046716C" w:rsidP="0046716C" w14:paraId="7782AF1E"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Adjusted R Square</w:t>
            </w:r>
          </w:p>
        </w:tc>
        <w:tc>
          <w:tcPr>
            <w:tcW w:w="1294" w:type="dxa"/>
            <w:shd w:val="clear" w:color="auto" w:fill="FFFFFF"/>
            <w:vAlign w:val="bottom"/>
          </w:tcPr>
          <w:p w:rsidR="0046716C" w:rsidRPr="0046716C" w:rsidP="0046716C" w14:paraId="6B8508CF"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Std. Error of the Estimate</w:t>
            </w:r>
          </w:p>
        </w:tc>
      </w:tr>
      <w:tr w14:paraId="5B53F022" w14:textId="77777777" w:rsidTr="0046716C">
        <w:tblPrEx>
          <w:tblW w:w="6119" w:type="dxa"/>
          <w:jc w:val="right"/>
          <w:tblLayout w:type="fixed"/>
          <w:tblCellMar>
            <w:left w:w="0" w:type="dxa"/>
            <w:right w:w="0" w:type="dxa"/>
          </w:tblCellMar>
          <w:tblLook w:val="0000"/>
        </w:tblPrEx>
        <w:trPr>
          <w:cantSplit/>
          <w:jc w:val="right"/>
        </w:trPr>
        <w:tc>
          <w:tcPr>
            <w:tcW w:w="1135" w:type="dxa"/>
            <w:shd w:val="clear" w:color="auto" w:fill="E0E0E0"/>
          </w:tcPr>
          <w:p w:rsidR="0046716C" w:rsidRPr="0046716C" w:rsidP="0046716C" w14:paraId="18FA8ACB"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1</w:t>
            </w:r>
          </w:p>
        </w:tc>
        <w:tc>
          <w:tcPr>
            <w:tcW w:w="713" w:type="dxa"/>
            <w:shd w:val="clear" w:color="auto" w:fill="F9F9FB"/>
          </w:tcPr>
          <w:p w:rsidR="0046716C" w:rsidRPr="0046716C" w:rsidP="0046716C" w14:paraId="5EAB56BA"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.360</w:t>
            </w:r>
            <w:r w:rsidRPr="0046716C">
              <w:rPr>
                <w:rFonts w:ascii="Times New Roman" w:hAnsi="Times New Roman" w:cs="Times New Roman"/>
                <w:color w:val="010205"/>
                <w:sz w:val="20"/>
                <w:szCs w:val="20"/>
                <w:vertAlign w:val="superscript"/>
              </w:rPr>
              <w:t>a</w:t>
            </w:r>
          </w:p>
        </w:tc>
        <w:tc>
          <w:tcPr>
            <w:tcW w:w="1559" w:type="dxa"/>
            <w:shd w:val="clear" w:color="auto" w:fill="F9F9FB"/>
          </w:tcPr>
          <w:p w:rsidR="0046716C" w:rsidRPr="0046716C" w:rsidP="0046716C" w14:paraId="6E2AF44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.129</w:t>
            </w:r>
          </w:p>
        </w:tc>
        <w:tc>
          <w:tcPr>
            <w:tcW w:w="1418" w:type="dxa"/>
            <w:shd w:val="clear" w:color="auto" w:fill="F9F9FB"/>
          </w:tcPr>
          <w:p w:rsidR="0046716C" w:rsidRPr="0046716C" w:rsidP="0046716C" w14:paraId="00E98E41"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.114</w:t>
            </w:r>
          </w:p>
        </w:tc>
        <w:tc>
          <w:tcPr>
            <w:tcW w:w="1294" w:type="dxa"/>
            <w:shd w:val="clear" w:color="auto" w:fill="F9F9FB"/>
          </w:tcPr>
          <w:p w:rsidR="0046716C" w:rsidRPr="0046716C" w:rsidP="0046716C" w14:paraId="1B02F3E9"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1.26250</w:t>
            </w:r>
          </w:p>
        </w:tc>
      </w:tr>
      <w:tr w14:paraId="5C245F53" w14:textId="77777777" w:rsidTr="0046716C">
        <w:tblPrEx>
          <w:tblW w:w="6119" w:type="dxa"/>
          <w:jc w:val="right"/>
          <w:tblLayout w:type="fixed"/>
          <w:tblCellMar>
            <w:left w:w="0" w:type="dxa"/>
            <w:right w:w="0" w:type="dxa"/>
          </w:tblCellMar>
          <w:tblLook w:val="0000"/>
        </w:tblPrEx>
        <w:trPr>
          <w:cantSplit/>
          <w:jc w:val="right"/>
        </w:trPr>
        <w:tc>
          <w:tcPr>
            <w:tcW w:w="6119" w:type="dxa"/>
            <w:gridSpan w:val="5"/>
            <w:shd w:val="clear" w:color="auto" w:fill="FFFFFF"/>
          </w:tcPr>
          <w:p w:rsidR="0046716C" w:rsidRPr="0046716C" w:rsidP="0046716C" w14:paraId="3E30406D"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46716C">
              <w:rPr>
                <w:rFonts w:ascii="Times New Roman" w:hAnsi="Times New Roman" w:cs="Times New Roman"/>
                <w:color w:val="010205"/>
                <w:sz w:val="20"/>
                <w:szCs w:val="20"/>
              </w:rPr>
              <w:t>a. Predictors: (Constant), Green Banking, Corporate Social Responsibility</w:t>
            </w:r>
          </w:p>
        </w:tc>
      </w:tr>
    </w:tbl>
    <w:p w:rsidR="0046716C" w:rsidRPr="0046716C" w:rsidP="0046716C" w14:paraId="379A76AA" w14:textId="77777777">
      <w:pPr>
        <w:autoSpaceDE w:val="0"/>
        <w:autoSpaceDN w:val="0"/>
        <w:adjustRightInd w:val="0"/>
        <w:spacing w:after="0" w:line="240" w:lineRule="auto"/>
        <w:rPr>
          <w:rFonts w:ascii="Times New Roman" w:hAnsi="Times New Roman" w:cs="Times New Roman"/>
          <w:sz w:val="24"/>
          <w:szCs w:val="24"/>
        </w:rPr>
      </w:pPr>
    </w:p>
    <w:tbl>
      <w:tblPr>
        <w:tblW w:w="4220" w:type="pct"/>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1"/>
        <w:gridCol w:w="1920"/>
        <w:gridCol w:w="848"/>
        <w:gridCol w:w="999"/>
        <w:gridCol w:w="1288"/>
        <w:gridCol w:w="652"/>
        <w:gridCol w:w="752"/>
      </w:tblGrid>
      <w:tr w14:paraId="6433C756" w14:textId="77777777" w:rsidTr="0046716C">
        <w:tblPrEx>
          <w:tblW w:w="4220" w:type="pct"/>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cantSplit/>
        </w:trPr>
        <w:tc>
          <w:tcPr>
            <w:tcW w:w="5000" w:type="pct"/>
            <w:gridSpan w:val="7"/>
            <w:shd w:val="clear" w:color="auto" w:fill="FFFFFF"/>
            <w:vAlign w:val="center"/>
          </w:tcPr>
          <w:p w:rsidR="0046716C" w:rsidRPr="0046716C" w:rsidP="0046716C" w14:paraId="3BC73472" w14:textId="7777777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46716C">
              <w:rPr>
                <w:rFonts w:ascii="Times New Roman" w:hAnsi="Times New Roman" w:cs="Times New Roman"/>
                <w:b/>
                <w:bCs/>
                <w:color w:val="010205"/>
                <w:sz w:val="20"/>
                <w:szCs w:val="20"/>
              </w:rPr>
              <w:t>Coefficients</w:t>
            </w:r>
            <w:r w:rsidRPr="0046716C">
              <w:rPr>
                <w:rFonts w:ascii="Times New Roman" w:hAnsi="Times New Roman" w:cs="Times New Roman"/>
                <w:b/>
                <w:bCs/>
                <w:color w:val="010205"/>
                <w:sz w:val="20"/>
                <w:szCs w:val="20"/>
                <w:vertAlign w:val="superscript"/>
              </w:rPr>
              <w:t>a</w:t>
            </w:r>
          </w:p>
        </w:tc>
      </w:tr>
      <w:tr w14:paraId="2B692109" w14:textId="77777777" w:rsidTr="0046716C">
        <w:tblPrEx>
          <w:tblW w:w="4220" w:type="pct"/>
          <w:tblInd w:w="1385" w:type="dxa"/>
          <w:tblCellMar>
            <w:left w:w="0" w:type="dxa"/>
            <w:right w:w="0" w:type="dxa"/>
          </w:tblCellMar>
          <w:tblLook w:val="0000"/>
        </w:tblPrEx>
        <w:trPr>
          <w:cantSplit/>
        </w:trPr>
        <w:tc>
          <w:tcPr>
            <w:tcW w:w="1607" w:type="pct"/>
            <w:gridSpan w:val="2"/>
            <w:vMerge w:val="restart"/>
            <w:shd w:val="clear" w:color="auto" w:fill="FFFFFF"/>
            <w:vAlign w:val="bottom"/>
          </w:tcPr>
          <w:p w:rsidR="0046716C" w:rsidRPr="0046716C" w:rsidP="0046716C" w14:paraId="31732AD9"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Model</w:t>
            </w:r>
          </w:p>
        </w:tc>
        <w:tc>
          <w:tcPr>
            <w:tcW w:w="1380" w:type="pct"/>
            <w:gridSpan w:val="2"/>
            <w:shd w:val="clear" w:color="auto" w:fill="FFFFFF"/>
            <w:vAlign w:val="bottom"/>
          </w:tcPr>
          <w:p w:rsidR="0046716C" w:rsidRPr="0046716C" w:rsidP="0046716C" w14:paraId="2A3FA34C"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Unstandardized Coefficients</w:t>
            </w:r>
          </w:p>
        </w:tc>
        <w:tc>
          <w:tcPr>
            <w:tcW w:w="959" w:type="pct"/>
            <w:shd w:val="clear" w:color="auto" w:fill="FFFFFF"/>
            <w:vAlign w:val="bottom"/>
          </w:tcPr>
          <w:p w:rsidR="0046716C" w:rsidRPr="0046716C" w:rsidP="0046716C" w14:paraId="666853A1"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Standardized Coefficients</w:t>
            </w:r>
          </w:p>
        </w:tc>
        <w:tc>
          <w:tcPr>
            <w:tcW w:w="487" w:type="pct"/>
            <w:vMerge w:val="restart"/>
            <w:shd w:val="clear" w:color="auto" w:fill="FFFFFF"/>
            <w:vAlign w:val="bottom"/>
          </w:tcPr>
          <w:p w:rsidR="0046716C" w:rsidRPr="0046716C" w:rsidP="0046716C" w14:paraId="4B5D2A18"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t</w:t>
            </w:r>
          </w:p>
        </w:tc>
        <w:tc>
          <w:tcPr>
            <w:tcW w:w="567" w:type="pct"/>
            <w:vMerge w:val="restart"/>
            <w:shd w:val="clear" w:color="auto" w:fill="FFFFFF"/>
            <w:vAlign w:val="bottom"/>
          </w:tcPr>
          <w:p w:rsidR="0046716C" w:rsidRPr="0046716C" w:rsidP="0046716C" w14:paraId="5024B60E"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Sig.</w:t>
            </w:r>
          </w:p>
        </w:tc>
      </w:tr>
      <w:tr w14:paraId="4B71EE50" w14:textId="77777777" w:rsidTr="0046716C">
        <w:tblPrEx>
          <w:tblW w:w="4220" w:type="pct"/>
          <w:tblInd w:w="1385" w:type="dxa"/>
          <w:tblCellMar>
            <w:left w:w="0" w:type="dxa"/>
            <w:right w:w="0" w:type="dxa"/>
          </w:tblCellMar>
          <w:tblLook w:val="0000"/>
        </w:tblPrEx>
        <w:trPr>
          <w:cantSplit/>
        </w:trPr>
        <w:tc>
          <w:tcPr>
            <w:tcW w:w="1607" w:type="pct"/>
            <w:gridSpan w:val="2"/>
            <w:vMerge/>
            <w:shd w:val="clear" w:color="auto" w:fill="FFFFFF"/>
            <w:vAlign w:val="bottom"/>
          </w:tcPr>
          <w:p w:rsidR="0046716C" w:rsidRPr="0046716C" w:rsidP="0046716C" w14:paraId="7B2529F6" w14:textId="77777777">
            <w:pPr>
              <w:autoSpaceDE w:val="0"/>
              <w:autoSpaceDN w:val="0"/>
              <w:adjustRightInd w:val="0"/>
              <w:spacing w:after="0" w:line="240" w:lineRule="auto"/>
              <w:rPr>
                <w:rFonts w:ascii="Times New Roman" w:hAnsi="Times New Roman" w:cs="Times New Roman"/>
                <w:color w:val="264A60"/>
                <w:sz w:val="20"/>
                <w:szCs w:val="20"/>
              </w:rPr>
            </w:pPr>
          </w:p>
        </w:tc>
        <w:tc>
          <w:tcPr>
            <w:tcW w:w="634" w:type="pct"/>
            <w:shd w:val="clear" w:color="auto" w:fill="FFFFFF"/>
            <w:vAlign w:val="bottom"/>
          </w:tcPr>
          <w:p w:rsidR="0046716C" w:rsidRPr="0046716C" w:rsidP="0046716C" w14:paraId="5BC7BE72"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B</w:t>
            </w:r>
          </w:p>
        </w:tc>
        <w:tc>
          <w:tcPr>
            <w:tcW w:w="747" w:type="pct"/>
            <w:shd w:val="clear" w:color="auto" w:fill="FFFFFF"/>
            <w:vAlign w:val="bottom"/>
          </w:tcPr>
          <w:p w:rsidR="0046716C" w:rsidRPr="0046716C" w:rsidP="0046716C" w14:paraId="18E213D4"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Std. Error</w:t>
            </w:r>
          </w:p>
        </w:tc>
        <w:tc>
          <w:tcPr>
            <w:tcW w:w="959" w:type="pct"/>
            <w:shd w:val="clear" w:color="auto" w:fill="FFFFFF"/>
            <w:vAlign w:val="bottom"/>
          </w:tcPr>
          <w:p w:rsidR="0046716C" w:rsidRPr="0046716C" w:rsidP="0046716C" w14:paraId="341F5B85" w14:textId="7777777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46716C">
              <w:rPr>
                <w:rFonts w:ascii="Times New Roman" w:hAnsi="Times New Roman" w:cs="Times New Roman"/>
                <w:color w:val="264A60"/>
                <w:sz w:val="20"/>
                <w:szCs w:val="20"/>
              </w:rPr>
              <w:t>Beta</w:t>
            </w:r>
          </w:p>
        </w:tc>
        <w:tc>
          <w:tcPr>
            <w:tcW w:w="487" w:type="pct"/>
            <w:vMerge/>
            <w:shd w:val="clear" w:color="auto" w:fill="FFFFFF"/>
            <w:vAlign w:val="bottom"/>
          </w:tcPr>
          <w:p w:rsidR="0046716C" w:rsidRPr="0046716C" w:rsidP="0046716C" w14:paraId="3206DD4D" w14:textId="77777777">
            <w:pPr>
              <w:autoSpaceDE w:val="0"/>
              <w:autoSpaceDN w:val="0"/>
              <w:adjustRightInd w:val="0"/>
              <w:spacing w:after="0" w:line="240" w:lineRule="auto"/>
              <w:rPr>
                <w:rFonts w:ascii="Times New Roman" w:hAnsi="Times New Roman" w:cs="Times New Roman"/>
                <w:color w:val="264A60"/>
                <w:sz w:val="20"/>
                <w:szCs w:val="20"/>
              </w:rPr>
            </w:pPr>
          </w:p>
        </w:tc>
        <w:tc>
          <w:tcPr>
            <w:tcW w:w="567" w:type="pct"/>
            <w:vMerge/>
            <w:shd w:val="clear" w:color="auto" w:fill="FFFFFF"/>
            <w:vAlign w:val="bottom"/>
          </w:tcPr>
          <w:p w:rsidR="0046716C" w:rsidRPr="0046716C" w:rsidP="0046716C" w14:paraId="4C64A099" w14:textId="77777777">
            <w:pPr>
              <w:autoSpaceDE w:val="0"/>
              <w:autoSpaceDN w:val="0"/>
              <w:adjustRightInd w:val="0"/>
              <w:spacing w:after="0" w:line="240" w:lineRule="auto"/>
              <w:rPr>
                <w:rFonts w:ascii="Times New Roman" w:hAnsi="Times New Roman" w:cs="Times New Roman"/>
                <w:color w:val="264A60"/>
                <w:sz w:val="20"/>
                <w:szCs w:val="20"/>
              </w:rPr>
            </w:pPr>
          </w:p>
        </w:tc>
      </w:tr>
      <w:tr w14:paraId="0E4547A8" w14:textId="77777777" w:rsidTr="0046716C">
        <w:tblPrEx>
          <w:tblW w:w="4220" w:type="pct"/>
          <w:tblInd w:w="1385" w:type="dxa"/>
          <w:tblCellMar>
            <w:left w:w="0" w:type="dxa"/>
            <w:right w:w="0" w:type="dxa"/>
          </w:tblCellMar>
          <w:tblLook w:val="0000"/>
        </w:tblPrEx>
        <w:trPr>
          <w:cantSplit/>
        </w:trPr>
        <w:tc>
          <w:tcPr>
            <w:tcW w:w="172" w:type="pct"/>
            <w:vMerge w:val="restart"/>
            <w:shd w:val="clear" w:color="auto" w:fill="E0E0E0"/>
          </w:tcPr>
          <w:p w:rsidR="0046716C" w:rsidRPr="0046716C" w:rsidP="0046716C" w14:paraId="6CD06001"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1</w:t>
            </w:r>
          </w:p>
        </w:tc>
        <w:tc>
          <w:tcPr>
            <w:tcW w:w="1435" w:type="pct"/>
            <w:shd w:val="clear" w:color="auto" w:fill="E0E0E0"/>
          </w:tcPr>
          <w:p w:rsidR="0046716C" w:rsidRPr="0046716C" w:rsidP="0046716C" w14:paraId="11000A9D"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(Constant)</w:t>
            </w:r>
          </w:p>
        </w:tc>
        <w:tc>
          <w:tcPr>
            <w:tcW w:w="634" w:type="pct"/>
            <w:shd w:val="clear" w:color="auto" w:fill="F9F9FB"/>
          </w:tcPr>
          <w:p w:rsidR="0046716C" w:rsidRPr="0046716C" w:rsidP="0046716C" w14:paraId="49A3F37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2.935</w:t>
            </w:r>
          </w:p>
        </w:tc>
        <w:tc>
          <w:tcPr>
            <w:tcW w:w="747" w:type="pct"/>
            <w:shd w:val="clear" w:color="auto" w:fill="F9F9FB"/>
          </w:tcPr>
          <w:p w:rsidR="0046716C" w:rsidRPr="0046716C" w:rsidP="0046716C" w14:paraId="31BEF7B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.534</w:t>
            </w:r>
          </w:p>
        </w:tc>
        <w:tc>
          <w:tcPr>
            <w:tcW w:w="963" w:type="pct"/>
            <w:shd w:val="clear" w:color="auto" w:fill="F9F9FB"/>
            <w:vAlign w:val="center"/>
          </w:tcPr>
          <w:p w:rsidR="0046716C" w:rsidRPr="0046716C" w:rsidP="0046716C" w14:paraId="0630F947" w14:textId="77777777">
            <w:pPr>
              <w:autoSpaceDE w:val="0"/>
              <w:autoSpaceDN w:val="0"/>
              <w:adjustRightInd w:val="0"/>
              <w:spacing w:after="0" w:line="240" w:lineRule="auto"/>
              <w:rPr>
                <w:rFonts w:ascii="Times New Roman" w:hAnsi="Times New Roman" w:cs="Times New Roman"/>
                <w:sz w:val="20"/>
                <w:szCs w:val="20"/>
              </w:rPr>
            </w:pPr>
          </w:p>
        </w:tc>
        <w:tc>
          <w:tcPr>
            <w:tcW w:w="482" w:type="pct"/>
            <w:shd w:val="clear" w:color="auto" w:fill="F9F9FB"/>
          </w:tcPr>
          <w:p w:rsidR="0046716C" w:rsidRPr="0046716C" w:rsidP="0046716C" w14:paraId="1FD7C035"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5.497</w:t>
            </w:r>
          </w:p>
        </w:tc>
        <w:tc>
          <w:tcPr>
            <w:tcW w:w="567" w:type="pct"/>
            <w:shd w:val="clear" w:color="auto" w:fill="F9F9FB"/>
          </w:tcPr>
          <w:p w:rsidR="0046716C" w:rsidRPr="0046716C" w:rsidP="0046716C" w14:paraId="32F57990"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&lt;,001</w:t>
            </w:r>
          </w:p>
        </w:tc>
      </w:tr>
      <w:tr w14:paraId="37B89826" w14:textId="77777777" w:rsidTr="0046716C">
        <w:tblPrEx>
          <w:tblW w:w="4220" w:type="pct"/>
          <w:tblInd w:w="1385" w:type="dxa"/>
          <w:tblCellMar>
            <w:left w:w="0" w:type="dxa"/>
            <w:right w:w="0" w:type="dxa"/>
          </w:tblCellMar>
          <w:tblLook w:val="0000"/>
        </w:tblPrEx>
        <w:trPr>
          <w:cantSplit/>
        </w:trPr>
        <w:tc>
          <w:tcPr>
            <w:tcW w:w="172" w:type="pct"/>
            <w:vMerge/>
            <w:shd w:val="clear" w:color="auto" w:fill="E0E0E0"/>
          </w:tcPr>
          <w:p w:rsidR="0046716C" w:rsidRPr="0046716C" w:rsidP="0046716C" w14:paraId="12DAB04E" w14:textId="77777777">
            <w:pPr>
              <w:autoSpaceDE w:val="0"/>
              <w:autoSpaceDN w:val="0"/>
              <w:adjustRightInd w:val="0"/>
              <w:spacing w:after="0" w:line="240" w:lineRule="auto"/>
              <w:rPr>
                <w:rFonts w:ascii="Times New Roman" w:hAnsi="Times New Roman" w:cs="Times New Roman"/>
                <w:color w:val="010205"/>
                <w:sz w:val="20"/>
                <w:szCs w:val="20"/>
              </w:rPr>
            </w:pPr>
          </w:p>
        </w:tc>
        <w:tc>
          <w:tcPr>
            <w:tcW w:w="1435" w:type="pct"/>
            <w:shd w:val="clear" w:color="auto" w:fill="E0E0E0"/>
          </w:tcPr>
          <w:p w:rsidR="0046716C" w:rsidRPr="0046716C" w:rsidP="0046716C" w14:paraId="6AAA639F"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Corporate Social Responsibility</w:t>
            </w:r>
          </w:p>
        </w:tc>
        <w:tc>
          <w:tcPr>
            <w:tcW w:w="634" w:type="pct"/>
            <w:shd w:val="clear" w:color="auto" w:fill="F9F9FB"/>
          </w:tcPr>
          <w:p w:rsidR="0046716C" w:rsidRPr="0046716C" w:rsidP="0046716C" w14:paraId="25BCA8F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-.033</w:t>
            </w:r>
          </w:p>
        </w:tc>
        <w:tc>
          <w:tcPr>
            <w:tcW w:w="747" w:type="pct"/>
            <w:shd w:val="clear" w:color="auto" w:fill="F9F9FB"/>
          </w:tcPr>
          <w:p w:rsidR="0046716C" w:rsidRPr="0046716C" w:rsidP="0046716C" w14:paraId="51AA321E"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.015</w:t>
            </w:r>
          </w:p>
        </w:tc>
        <w:tc>
          <w:tcPr>
            <w:tcW w:w="963" w:type="pct"/>
            <w:shd w:val="clear" w:color="auto" w:fill="F9F9FB"/>
          </w:tcPr>
          <w:p w:rsidR="0046716C" w:rsidRPr="0046716C" w:rsidP="0046716C" w14:paraId="0951797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-.405</w:t>
            </w:r>
          </w:p>
        </w:tc>
        <w:tc>
          <w:tcPr>
            <w:tcW w:w="482" w:type="pct"/>
            <w:shd w:val="clear" w:color="auto" w:fill="F9F9FB"/>
          </w:tcPr>
          <w:p w:rsidR="0046716C" w:rsidRPr="0046716C" w:rsidP="0046716C" w14:paraId="15ACEE5F"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-2.169</w:t>
            </w:r>
          </w:p>
        </w:tc>
        <w:tc>
          <w:tcPr>
            <w:tcW w:w="567" w:type="pct"/>
            <w:shd w:val="clear" w:color="auto" w:fill="F9F9FB"/>
          </w:tcPr>
          <w:p w:rsidR="0046716C" w:rsidRPr="0046716C" w:rsidP="0046716C" w14:paraId="264171D4"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.032</w:t>
            </w:r>
          </w:p>
        </w:tc>
      </w:tr>
      <w:tr w14:paraId="06E28C55" w14:textId="77777777" w:rsidTr="0046716C">
        <w:tblPrEx>
          <w:tblW w:w="4220" w:type="pct"/>
          <w:tblInd w:w="1385" w:type="dxa"/>
          <w:tblCellMar>
            <w:left w:w="0" w:type="dxa"/>
            <w:right w:w="0" w:type="dxa"/>
          </w:tblCellMar>
          <w:tblLook w:val="0000"/>
        </w:tblPrEx>
        <w:trPr>
          <w:cantSplit/>
        </w:trPr>
        <w:tc>
          <w:tcPr>
            <w:tcW w:w="172" w:type="pct"/>
            <w:vMerge/>
            <w:shd w:val="clear" w:color="auto" w:fill="E0E0E0"/>
          </w:tcPr>
          <w:p w:rsidR="0046716C" w:rsidRPr="0046716C" w:rsidP="0046716C" w14:paraId="3FB1C43E" w14:textId="77777777">
            <w:pPr>
              <w:autoSpaceDE w:val="0"/>
              <w:autoSpaceDN w:val="0"/>
              <w:adjustRightInd w:val="0"/>
              <w:spacing w:after="0" w:line="240" w:lineRule="auto"/>
              <w:rPr>
                <w:rFonts w:ascii="Times New Roman" w:hAnsi="Times New Roman" w:cs="Times New Roman"/>
                <w:color w:val="010205"/>
                <w:sz w:val="20"/>
                <w:szCs w:val="20"/>
              </w:rPr>
            </w:pPr>
          </w:p>
        </w:tc>
        <w:tc>
          <w:tcPr>
            <w:tcW w:w="1435" w:type="pct"/>
            <w:shd w:val="clear" w:color="auto" w:fill="E0E0E0"/>
          </w:tcPr>
          <w:p w:rsidR="0046716C" w:rsidRPr="0046716C" w:rsidP="0046716C" w14:paraId="21C26195" w14:textId="77777777">
            <w:pPr>
              <w:autoSpaceDE w:val="0"/>
              <w:autoSpaceDN w:val="0"/>
              <w:adjustRightInd w:val="0"/>
              <w:spacing w:after="0" w:line="240" w:lineRule="auto"/>
              <w:ind w:left="60" w:right="60"/>
              <w:rPr>
                <w:rFonts w:ascii="Times New Roman" w:hAnsi="Times New Roman" w:cs="Times New Roman"/>
                <w:color w:val="264A60"/>
                <w:sz w:val="20"/>
                <w:szCs w:val="20"/>
              </w:rPr>
            </w:pPr>
            <w:r w:rsidRPr="0046716C">
              <w:rPr>
                <w:rFonts w:ascii="Times New Roman" w:hAnsi="Times New Roman" w:cs="Times New Roman"/>
                <w:color w:val="264A60"/>
                <w:sz w:val="20"/>
                <w:szCs w:val="20"/>
              </w:rPr>
              <w:t>Green Banking</w:t>
            </w:r>
          </w:p>
        </w:tc>
        <w:tc>
          <w:tcPr>
            <w:tcW w:w="634" w:type="pct"/>
            <w:shd w:val="clear" w:color="auto" w:fill="F9F9FB"/>
          </w:tcPr>
          <w:p w:rsidR="0046716C" w:rsidRPr="0046716C" w:rsidP="0046716C" w14:paraId="3926498D"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.054</w:t>
            </w:r>
          </w:p>
        </w:tc>
        <w:tc>
          <w:tcPr>
            <w:tcW w:w="747" w:type="pct"/>
            <w:shd w:val="clear" w:color="auto" w:fill="F9F9FB"/>
          </w:tcPr>
          <w:p w:rsidR="0046716C" w:rsidRPr="0046716C" w:rsidP="0046716C" w14:paraId="0CE07773"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.015</w:t>
            </w:r>
          </w:p>
        </w:tc>
        <w:tc>
          <w:tcPr>
            <w:tcW w:w="963" w:type="pct"/>
            <w:shd w:val="clear" w:color="auto" w:fill="F9F9FB"/>
          </w:tcPr>
          <w:p w:rsidR="0046716C" w:rsidRPr="0046716C" w:rsidP="0046716C" w14:paraId="1A53265C"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.662</w:t>
            </w:r>
          </w:p>
        </w:tc>
        <w:tc>
          <w:tcPr>
            <w:tcW w:w="482" w:type="pct"/>
            <w:shd w:val="clear" w:color="auto" w:fill="F9F9FB"/>
          </w:tcPr>
          <w:p w:rsidR="0046716C" w:rsidRPr="0046716C" w:rsidP="0046716C" w14:paraId="02F35804"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3.544</w:t>
            </w:r>
          </w:p>
        </w:tc>
        <w:tc>
          <w:tcPr>
            <w:tcW w:w="567" w:type="pct"/>
            <w:shd w:val="clear" w:color="auto" w:fill="F9F9FB"/>
          </w:tcPr>
          <w:p w:rsidR="0046716C" w:rsidRPr="0046716C" w:rsidP="0046716C" w14:paraId="4C843498" w14:textId="7777777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46716C">
              <w:rPr>
                <w:rFonts w:ascii="Times New Roman" w:hAnsi="Times New Roman" w:cs="Times New Roman"/>
                <w:color w:val="010205"/>
                <w:sz w:val="20"/>
                <w:szCs w:val="20"/>
              </w:rPr>
              <w:t>&lt;,001</w:t>
            </w:r>
          </w:p>
        </w:tc>
      </w:tr>
      <w:tr w14:paraId="573CB057" w14:textId="77777777" w:rsidTr="0046716C">
        <w:tblPrEx>
          <w:tblW w:w="4220" w:type="pct"/>
          <w:tblInd w:w="1385" w:type="dxa"/>
          <w:tblCellMar>
            <w:left w:w="0" w:type="dxa"/>
            <w:right w:w="0" w:type="dxa"/>
          </w:tblCellMar>
          <w:tblLook w:val="0000"/>
        </w:tblPrEx>
        <w:trPr>
          <w:cantSplit/>
        </w:trPr>
        <w:tc>
          <w:tcPr>
            <w:tcW w:w="5000" w:type="pct"/>
            <w:gridSpan w:val="7"/>
            <w:shd w:val="clear" w:color="auto" w:fill="FFFFFF"/>
          </w:tcPr>
          <w:p w:rsidR="0046716C" w:rsidRPr="0046716C" w:rsidP="0046716C" w14:paraId="3C2E4C94" w14:textId="77777777">
            <w:pPr>
              <w:autoSpaceDE w:val="0"/>
              <w:autoSpaceDN w:val="0"/>
              <w:adjustRightInd w:val="0"/>
              <w:spacing w:after="0" w:line="240" w:lineRule="auto"/>
              <w:ind w:left="60" w:right="60"/>
              <w:rPr>
                <w:rFonts w:ascii="Times New Roman" w:hAnsi="Times New Roman" w:cs="Times New Roman"/>
                <w:color w:val="010205"/>
                <w:sz w:val="20"/>
                <w:szCs w:val="20"/>
              </w:rPr>
            </w:pPr>
            <w:r w:rsidRPr="0046716C">
              <w:rPr>
                <w:rFonts w:ascii="Times New Roman" w:hAnsi="Times New Roman" w:cs="Times New Roman"/>
                <w:color w:val="010205"/>
                <w:sz w:val="20"/>
                <w:szCs w:val="20"/>
              </w:rPr>
              <w:t>a. Dependent Variable: Net Interest Margin</w:t>
            </w:r>
          </w:p>
        </w:tc>
      </w:tr>
    </w:tbl>
    <w:p w:rsidR="0046716C" w:rsidP="0046716C" w14:paraId="4E45ECFF" w14:textId="199CBF35">
      <w:pPr>
        <w:autoSpaceDE w:val="0"/>
        <w:autoSpaceDN w:val="0"/>
        <w:adjustRightInd w:val="0"/>
        <w:spacing w:after="0" w:line="480" w:lineRule="auto"/>
        <w:ind w:left="1701"/>
        <w:rPr>
          <w:rFonts w:ascii="Times New Roman" w:hAnsi="Times New Roman" w:cs="Times New Roman"/>
          <w:sz w:val="24"/>
          <w:szCs w:val="24"/>
        </w:rPr>
      </w:pPr>
      <w:r w:rsidRPr="008D7897">
        <w:rPr>
          <w:rFonts w:ascii="Times New Roman" w:hAnsi="Times New Roman" w:cs="Times New Roman"/>
          <w:b/>
          <w:bCs/>
          <w:sz w:val="24"/>
          <w:szCs w:val="24"/>
        </w:rPr>
        <w:t>Sumber</w:t>
      </w:r>
      <w:r w:rsidRPr="008D7897">
        <w:rPr>
          <w:rFonts w:ascii="Times New Roman" w:hAnsi="Times New Roman" w:cs="Times New Roman"/>
          <w:b/>
          <w:bCs/>
          <w:sz w:val="24"/>
          <w:szCs w:val="24"/>
        </w:rPr>
        <w:t>:</w:t>
      </w:r>
      <w:r w:rsidR="008D7897">
        <w:rPr>
          <w:rFonts w:ascii="Times New Roman" w:hAnsi="Times New Roman" w:cs="Times New Roman"/>
          <w:sz w:val="24"/>
          <w:szCs w:val="24"/>
        </w:rPr>
        <w:t xml:space="preserve"> </w:t>
      </w:r>
      <w:r w:rsidRPr="008D7897" w:rsidR="008D7897">
        <w:rPr>
          <w:rFonts w:ascii="Times New Roman" w:hAnsi="Times New Roman" w:cs="Times New Roman"/>
          <w:b/>
          <w:bCs/>
          <w:sz w:val="24"/>
          <w:szCs w:val="24"/>
        </w:rPr>
        <w:t xml:space="preserve">Data yang </w:t>
      </w:r>
      <w:r w:rsidRPr="008D7897" w:rsidR="008D7897">
        <w:rPr>
          <w:rFonts w:ascii="Times New Roman" w:hAnsi="Times New Roman" w:cs="Times New Roman"/>
          <w:b/>
          <w:bCs/>
          <w:sz w:val="24"/>
          <w:szCs w:val="24"/>
        </w:rPr>
        <w:t>diolah</w:t>
      </w:r>
      <w:r w:rsidRPr="008D7897" w:rsidR="008D7897">
        <w:rPr>
          <w:rFonts w:ascii="Times New Roman" w:hAnsi="Times New Roman" w:cs="Times New Roman"/>
          <w:b/>
          <w:bCs/>
          <w:sz w:val="24"/>
          <w:szCs w:val="24"/>
        </w:rPr>
        <w:t xml:space="preserve"> SPSS 2</w:t>
      </w:r>
      <w:r w:rsidR="00136374">
        <w:rPr>
          <w:rFonts w:ascii="Times New Roman" w:hAnsi="Times New Roman" w:cs="Times New Roman"/>
          <w:b/>
          <w:bCs/>
          <w:sz w:val="24"/>
          <w:szCs w:val="24"/>
        </w:rPr>
        <w:t>5</w:t>
      </w:r>
      <w:r w:rsidRPr="008D7897" w:rsidR="008D7897">
        <w:rPr>
          <w:rFonts w:ascii="Times New Roman" w:hAnsi="Times New Roman" w:cs="Times New Roman"/>
          <w:b/>
          <w:bCs/>
          <w:sz w:val="24"/>
          <w:szCs w:val="24"/>
        </w:rPr>
        <w:t>, 2024</w:t>
      </w:r>
    </w:p>
    <w:p w:rsidR="00FB0E34" w:rsidRPr="00B25760" w:rsidP="00B25760" w14:paraId="52971C84" w14:textId="33BE05D0">
      <w:pPr>
        <w:autoSpaceDE w:val="0"/>
        <w:autoSpaceDN w:val="0"/>
        <w:adjustRightInd w:val="0"/>
        <w:spacing w:after="0"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Pada model </w:t>
      </w:r>
      <w:r>
        <w:rPr>
          <w:rFonts w:ascii="Times New Roman" w:hAnsi="Times New Roman" w:cs="Times New Roman"/>
          <w:sz w:val="24"/>
          <w:szCs w:val="24"/>
        </w:rPr>
        <w:t>persamaan</w:t>
      </w:r>
      <w:r>
        <w:rPr>
          <w:rFonts w:ascii="Times New Roman" w:hAnsi="Times New Roman" w:cs="Times New Roman"/>
          <w:sz w:val="24"/>
          <w:szCs w:val="24"/>
        </w:rPr>
        <w:t xml:space="preserve"> II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dependen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sidRPr="00FB0563" w:rsidR="00304A20">
        <w:rPr>
          <w:rFonts w:ascii="Times New Roman" w:hAnsi="Times New Roman" w:cs="Times New Roman"/>
          <w:i/>
          <w:iCs/>
          <w:sz w:val="24"/>
          <w:szCs w:val="24"/>
        </w:rPr>
        <w:t>net interest margin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dilihat</w:t>
      </w:r>
      <w:r>
        <w:rPr>
          <w:rFonts w:ascii="Times New Roman" w:hAnsi="Times New Roman" w:cs="Times New Roman"/>
          <w:sz w:val="24"/>
          <w:szCs w:val="24"/>
        </w:rPr>
        <w:t xml:space="preserve"> </w:t>
      </w:r>
      <w:r>
        <w:rPr>
          <w:rFonts w:ascii="Times New Roman" w:hAnsi="Times New Roman" w:cs="Times New Roman"/>
          <w:sz w:val="24"/>
          <w:szCs w:val="24"/>
        </w:rPr>
        <w:t>dari</w:t>
      </w:r>
      <w:r>
        <w:rPr>
          <w:rFonts w:ascii="Times New Roman" w:hAnsi="Times New Roman" w:cs="Times New Roman"/>
          <w:sz w:val="24"/>
          <w:szCs w:val="24"/>
        </w:rPr>
        <w:t xml:space="preserve"> </w:t>
      </w:r>
      <w:r w:rsidRPr="00FB0563">
        <w:rPr>
          <w:rFonts w:ascii="Times New Roman" w:hAnsi="Times New Roman" w:cs="Times New Roman"/>
          <w:i/>
          <w:iCs/>
          <w:sz w:val="24"/>
          <w:szCs w:val="24"/>
        </w:rPr>
        <w:t>model summary</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sidRPr="00FB0563">
        <w:rPr>
          <w:rFonts w:ascii="Times New Roman" w:hAnsi="Times New Roman" w:cs="Times New Roman"/>
          <w:i/>
          <w:iCs/>
          <w:sz w:val="24"/>
          <w:szCs w:val="24"/>
        </w:rPr>
        <w:t>R Square</w:t>
      </w:r>
      <w:r>
        <w:rPr>
          <w:rFonts w:ascii="Times New Roman" w:hAnsi="Times New Roman" w:cs="Times New Roman"/>
          <w:sz w:val="24"/>
          <w:szCs w:val="24"/>
        </w:rPr>
        <w:t xml:space="preserve"> CSR dan </w:t>
      </w:r>
      <w:r w:rsidRPr="00FB0563">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00304A20">
        <w:rPr>
          <w:rFonts w:ascii="Times New Roman" w:hAnsi="Times New Roman" w:cs="Times New Roman"/>
          <w:sz w:val="24"/>
          <w:szCs w:val="24"/>
        </w:rPr>
        <w:t>NIM</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w:t>
      </w:r>
      <w:r w:rsidR="00304A20">
        <w:rPr>
          <w:rFonts w:ascii="Times New Roman" w:hAnsi="Times New Roman" w:cs="Times New Roman"/>
          <w:sz w:val="24"/>
          <w:szCs w:val="24"/>
        </w:rPr>
        <w:t>129</w:t>
      </w:r>
      <w:r>
        <w:rPr>
          <w:rFonts w:ascii="Times New Roman" w:hAnsi="Times New Roman" w:cs="Times New Roman"/>
          <w:sz w:val="24"/>
          <w:szCs w:val="24"/>
        </w:rPr>
        <w:t xml:space="preserve">. </w:t>
      </w:r>
      <w:r>
        <w:rPr>
          <w:rFonts w:ascii="Times New Roman" w:hAnsi="Times New Roman" w:cs="Times New Roman"/>
          <w:sz w:val="24"/>
          <w:szCs w:val="24"/>
        </w:rPr>
        <w:t>Artinya</w:t>
      </w:r>
      <w:r>
        <w:rPr>
          <w:rFonts w:ascii="Times New Roman" w:hAnsi="Times New Roman" w:cs="Times New Roman"/>
          <w:sz w:val="24"/>
          <w:szCs w:val="24"/>
        </w:rPr>
        <w:t xml:space="preserve"> </w:t>
      </w:r>
      <w:r>
        <w:rPr>
          <w:rFonts w:ascii="Times New Roman" w:hAnsi="Times New Roman" w:cs="Times New Roman"/>
          <w:sz w:val="24"/>
          <w:szCs w:val="24"/>
        </w:rPr>
        <w:t>variasi</w:t>
      </w:r>
      <w:r>
        <w:rPr>
          <w:rFonts w:ascii="Times New Roman" w:hAnsi="Times New Roman" w:cs="Times New Roman"/>
          <w:sz w:val="24"/>
          <w:szCs w:val="24"/>
        </w:rPr>
        <w:t xml:space="preserve"> </w:t>
      </w:r>
      <w:r w:rsidR="00CE5674">
        <w:rPr>
          <w:rFonts w:ascii="Times New Roman" w:hAnsi="Times New Roman" w:cs="Times New Roman"/>
          <w:sz w:val="24"/>
          <w:szCs w:val="24"/>
        </w:rPr>
        <w:t>NIM</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dijelaskan</w:t>
      </w:r>
      <w:r>
        <w:rPr>
          <w:rFonts w:ascii="Times New Roman" w:hAnsi="Times New Roman" w:cs="Times New Roman"/>
          <w:sz w:val="24"/>
          <w:szCs w:val="24"/>
        </w:rPr>
        <w:t xml:space="preserve"> oleh </w:t>
      </w:r>
      <w:r>
        <w:rPr>
          <w:rFonts w:ascii="Times New Roman" w:hAnsi="Times New Roman" w:cs="Times New Roman"/>
          <w:sz w:val="24"/>
          <w:szCs w:val="24"/>
        </w:rPr>
        <w:t>variasi</w:t>
      </w:r>
      <w:r>
        <w:rPr>
          <w:rFonts w:ascii="Times New Roman" w:hAnsi="Times New Roman" w:cs="Times New Roman"/>
          <w:sz w:val="24"/>
          <w:szCs w:val="24"/>
        </w:rPr>
        <w:t xml:space="preserve"> CSR dan </w:t>
      </w:r>
      <w:r w:rsidRPr="00FB0563">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w:t>
      </w:r>
      <w:r w:rsidR="00304A20">
        <w:rPr>
          <w:rFonts w:ascii="Times New Roman" w:hAnsi="Times New Roman" w:cs="Times New Roman"/>
          <w:sz w:val="24"/>
          <w:szCs w:val="24"/>
        </w:rPr>
        <w:t>12,9</w:t>
      </w:r>
      <w:r>
        <w:rPr>
          <w:rFonts w:ascii="Times New Roman" w:hAnsi="Times New Roman" w:cs="Times New Roman"/>
          <w:sz w:val="24"/>
          <w:szCs w:val="24"/>
        </w:rPr>
        <w:t xml:space="preserve">%, </w:t>
      </w:r>
      <w:r>
        <w:rPr>
          <w:rFonts w:ascii="Times New Roman" w:hAnsi="Times New Roman" w:cs="Times New Roman"/>
          <w:sz w:val="24"/>
          <w:szCs w:val="24"/>
        </w:rPr>
        <w:t>sehingga</w:t>
      </w:r>
      <w:r>
        <w:rPr>
          <w:rFonts w:ascii="Times New Roman" w:hAnsi="Times New Roman" w:cs="Times New Roman"/>
          <w:sz w:val="24"/>
          <w:szCs w:val="24"/>
        </w:rPr>
        <w:t xml:space="preserve"> </w:t>
      </w:r>
      <w:r>
        <w:rPr>
          <w:rFonts w:ascii="Times New Roman" w:hAnsi="Times New Roman" w:cs="Times New Roman"/>
          <w:sz w:val="24"/>
          <w:szCs w:val="24"/>
        </w:rPr>
        <w:t>varian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sidR="00CE5674">
        <w:rPr>
          <w:rFonts w:ascii="Times New Roman" w:hAnsi="Times New Roman" w:cs="Times New Roman"/>
          <w:sz w:val="24"/>
          <w:szCs w:val="24"/>
        </w:rPr>
        <w:t>NIM</w:t>
      </w:r>
      <w:r>
        <w:rPr>
          <w:rFonts w:ascii="Times New Roman" w:hAnsi="Times New Roman" w:cs="Times New Roman"/>
          <w:sz w:val="24"/>
          <w:szCs w:val="24"/>
        </w:rPr>
        <w:t xml:space="preserve"> yang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dijelaskan</w:t>
      </w:r>
      <w:r>
        <w:rPr>
          <w:rFonts w:ascii="Times New Roman" w:hAnsi="Times New Roman" w:cs="Times New Roman"/>
          <w:sz w:val="24"/>
          <w:szCs w:val="24"/>
        </w:rPr>
        <w:t xml:space="preserve"> oleh </w:t>
      </w:r>
      <w:r>
        <w:rPr>
          <w:rFonts w:ascii="Times New Roman" w:hAnsi="Times New Roman" w:cs="Times New Roman"/>
          <w:sz w:val="24"/>
          <w:szCs w:val="24"/>
        </w:rPr>
        <w:t>variabel</w:t>
      </w:r>
      <w:r>
        <w:rPr>
          <w:rFonts w:ascii="Times New Roman" w:hAnsi="Times New Roman" w:cs="Times New Roman"/>
          <w:sz w:val="24"/>
          <w:szCs w:val="24"/>
        </w:rPr>
        <w:t xml:space="preserve"> CSR dan </w:t>
      </w:r>
      <w:r w:rsidRPr="00FB0563">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e</w:t>
      </w:r>
      <w:r w:rsidRPr="00106ED2">
        <w:rPr>
          <w:rFonts w:ascii="Times New Roman" w:hAnsi="Times New Roman" w:cs="Times New Roman"/>
          <w:sz w:val="24"/>
          <w:szCs w:val="24"/>
          <w:vertAlign w:val="subscript"/>
        </w:rPr>
        <w:t>2</w:t>
      </w:r>
      <w:r>
        <w:rPr>
          <w:rFonts w:ascii="Times New Roman" w:hAnsi="Times New Roman" w:cs="Times New Roman"/>
          <w:sz w:val="24"/>
          <w:szCs w:val="24"/>
        </w:rPr>
        <w:t xml:space="preserve"> = √1-0,</w:t>
      </w:r>
      <w:r w:rsidR="00304A20">
        <w:rPr>
          <w:rFonts w:ascii="Times New Roman" w:hAnsi="Times New Roman" w:cs="Times New Roman"/>
          <w:sz w:val="24"/>
          <w:szCs w:val="24"/>
        </w:rPr>
        <w:t>129</w:t>
      </w:r>
      <w:r>
        <w:rPr>
          <w:rFonts w:ascii="Times New Roman" w:hAnsi="Times New Roman" w:cs="Times New Roman"/>
          <w:sz w:val="24"/>
          <w:szCs w:val="24"/>
        </w:rPr>
        <w:t xml:space="preserve"> = 0,</w:t>
      </w:r>
      <w:r w:rsidR="00304A20">
        <w:rPr>
          <w:rFonts w:ascii="Times New Roman" w:hAnsi="Times New Roman" w:cs="Times New Roman"/>
          <w:sz w:val="24"/>
          <w:szCs w:val="24"/>
        </w:rPr>
        <w:t>933</w:t>
      </w:r>
      <w:r>
        <w:rPr>
          <w:rFonts w:ascii="Times New Roman" w:hAnsi="Times New Roman" w:cs="Times New Roman"/>
          <w:sz w:val="24"/>
          <w:szCs w:val="24"/>
        </w:rPr>
        <w:t xml:space="preserve">. </w:t>
      </w:r>
      <w:r>
        <w:rPr>
          <w:rFonts w:ascii="Times New Roman" w:hAnsi="Times New Roman" w:cs="Times New Roman"/>
          <w:sz w:val="24"/>
          <w:szCs w:val="24"/>
        </w:rPr>
        <w:t>Sedangkan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sidRPr="00FB0563">
        <w:rPr>
          <w:rFonts w:ascii="Times New Roman" w:hAnsi="Times New Roman" w:cs="Times New Roman"/>
          <w:i/>
          <w:iCs/>
          <w:sz w:val="24"/>
          <w:szCs w:val="24"/>
        </w:rPr>
        <w:t>Unstandardized Coefficients</w:t>
      </w:r>
      <w:r>
        <w:rPr>
          <w:rFonts w:ascii="Times New Roman" w:hAnsi="Times New Roman" w:cs="Times New Roman"/>
          <w:sz w:val="24"/>
          <w:szCs w:val="24"/>
        </w:rPr>
        <w:t xml:space="preserve"> CSR </w:t>
      </w:r>
      <w:r>
        <w:rPr>
          <w:rFonts w:ascii="Times New Roman" w:hAnsi="Times New Roman" w:cs="Times New Roman"/>
          <w:sz w:val="24"/>
          <w:szCs w:val="24"/>
        </w:rPr>
        <w:t>terhadap</w:t>
      </w:r>
      <w:r>
        <w:rPr>
          <w:rFonts w:ascii="Times New Roman" w:hAnsi="Times New Roman" w:cs="Times New Roman"/>
          <w:sz w:val="24"/>
          <w:szCs w:val="24"/>
        </w:rPr>
        <w:t xml:space="preserve"> </w:t>
      </w:r>
      <w:r w:rsidR="00304A20">
        <w:rPr>
          <w:rFonts w:ascii="Times New Roman" w:hAnsi="Times New Roman" w:cs="Times New Roman"/>
          <w:sz w:val="24"/>
          <w:szCs w:val="24"/>
        </w:rPr>
        <w:t>NIM</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w:t>
      </w:r>
      <w:r w:rsidR="00304A20">
        <w:rPr>
          <w:rFonts w:ascii="Times New Roman" w:hAnsi="Times New Roman" w:cs="Times New Roman"/>
          <w:sz w:val="24"/>
          <w:szCs w:val="24"/>
        </w:rPr>
        <w:t>033</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signifikasi</w:t>
      </w:r>
      <w:r>
        <w:rPr>
          <w:rFonts w:ascii="Times New Roman" w:hAnsi="Times New Roman" w:cs="Times New Roman"/>
          <w:sz w:val="24"/>
          <w:szCs w:val="24"/>
        </w:rPr>
        <w:t xml:space="preserve"> 0,0</w:t>
      </w:r>
      <w:r w:rsidR="00304A20">
        <w:rPr>
          <w:rFonts w:ascii="Times New Roman" w:hAnsi="Times New Roman" w:cs="Times New Roman"/>
          <w:sz w:val="24"/>
          <w:szCs w:val="24"/>
        </w:rPr>
        <w:t>32</w:t>
      </w:r>
      <w:r>
        <w:rPr>
          <w:rFonts w:ascii="Times New Roman" w:hAnsi="Times New Roman" w:cs="Times New Roman"/>
          <w:sz w:val="24"/>
          <w:szCs w:val="24"/>
        </w:rPr>
        <w:t xml:space="preserve">, </w:t>
      </w:r>
      <w:r>
        <w:rPr>
          <w:rFonts w:ascii="Times New Roman" w:hAnsi="Times New Roman" w:cs="Times New Roman"/>
          <w:sz w:val="24"/>
          <w:szCs w:val="24"/>
        </w:rPr>
        <w:t>berarti</w:t>
      </w:r>
      <w:r>
        <w:rPr>
          <w:rFonts w:ascii="Times New Roman" w:hAnsi="Times New Roman" w:cs="Times New Roman"/>
          <w:sz w:val="24"/>
          <w:szCs w:val="24"/>
        </w:rPr>
        <w:t xml:space="preserve"> </w:t>
      </w:r>
      <w:r>
        <w:rPr>
          <w:rFonts w:ascii="Times New Roman" w:hAnsi="Times New Roman" w:cs="Times New Roman"/>
          <w:sz w:val="24"/>
          <w:szCs w:val="24"/>
        </w:rPr>
        <w:t>terdapat</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CSR </w:t>
      </w:r>
      <w:r>
        <w:rPr>
          <w:rFonts w:ascii="Times New Roman" w:hAnsi="Times New Roman" w:cs="Times New Roman"/>
          <w:sz w:val="24"/>
          <w:szCs w:val="24"/>
        </w:rPr>
        <w:t>terhadap</w:t>
      </w:r>
      <w:r>
        <w:rPr>
          <w:rFonts w:ascii="Times New Roman" w:hAnsi="Times New Roman" w:cs="Times New Roman"/>
          <w:sz w:val="24"/>
          <w:szCs w:val="24"/>
        </w:rPr>
        <w:t xml:space="preserve"> </w:t>
      </w:r>
      <w:r w:rsidR="00CE5674">
        <w:rPr>
          <w:rFonts w:ascii="Times New Roman" w:hAnsi="Times New Roman" w:cs="Times New Roman"/>
          <w:sz w:val="24"/>
          <w:szCs w:val="24"/>
        </w:rPr>
        <w:t>NIM</w:t>
      </w:r>
      <w:r>
        <w:rPr>
          <w:rFonts w:ascii="Times New Roman" w:hAnsi="Times New Roman" w:cs="Times New Roman"/>
          <w:sz w:val="24"/>
          <w:szCs w:val="24"/>
        </w:rPr>
        <w:t xml:space="preserve"> (H</w:t>
      </w:r>
      <w:r w:rsidR="00304A20">
        <w:rPr>
          <w:rFonts w:ascii="Times New Roman" w:hAnsi="Times New Roman" w:cs="Times New Roman"/>
          <w:sz w:val="24"/>
          <w:szCs w:val="24"/>
        </w:rPr>
        <w:t xml:space="preserve">3 </w:t>
      </w:r>
      <w:r w:rsidR="00304A20">
        <w:rPr>
          <w:rFonts w:ascii="Times New Roman" w:hAnsi="Times New Roman" w:cs="Times New Roman"/>
          <w:sz w:val="24"/>
          <w:szCs w:val="24"/>
        </w:rPr>
        <w:t>diterima</w:t>
      </w:r>
      <w:r>
        <w:rPr>
          <w:rFonts w:ascii="Times New Roman" w:hAnsi="Times New Roman" w:cs="Times New Roman"/>
          <w:sz w:val="24"/>
          <w:szCs w:val="24"/>
        </w:rPr>
        <w:t xml:space="preserve">). </w:t>
      </w:r>
      <w:r>
        <w:rPr>
          <w:rFonts w:ascii="Times New Roman" w:hAnsi="Times New Roman" w:cs="Times New Roman"/>
          <w:sz w:val="24"/>
          <w:szCs w:val="24"/>
        </w:rPr>
        <w:t>Sedangkan</w:t>
      </w:r>
      <w:r>
        <w:rPr>
          <w:rFonts w:ascii="Times New Roman" w:hAnsi="Times New Roman" w:cs="Times New Roman"/>
          <w:sz w:val="24"/>
          <w:szCs w:val="24"/>
        </w:rPr>
        <w:t xml:space="preserve"> </w:t>
      </w:r>
      <w:r w:rsidRPr="00FB0563">
        <w:rPr>
          <w:rFonts w:ascii="Times New Roman" w:hAnsi="Times New Roman" w:cs="Times New Roman"/>
          <w:i/>
          <w:iCs/>
          <w:sz w:val="24"/>
          <w:szCs w:val="24"/>
        </w:rPr>
        <w:t>Unstandardized Coefficients green banking</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00B25760">
        <w:rPr>
          <w:rFonts w:ascii="Times New Roman" w:hAnsi="Times New Roman" w:cs="Times New Roman"/>
          <w:sz w:val="24"/>
          <w:szCs w:val="24"/>
        </w:rPr>
        <w:t>NIM</w:t>
      </w:r>
      <w:r>
        <w:rPr>
          <w:rFonts w:ascii="Times New Roman" w:hAnsi="Times New Roman" w:cs="Times New Roman"/>
          <w:sz w:val="24"/>
          <w:szCs w:val="24"/>
        </w:rPr>
        <w:t xml:space="preserve"> </w:t>
      </w:r>
      <w:r>
        <w:rPr>
          <w:rFonts w:ascii="Times New Roman" w:hAnsi="Times New Roman" w:cs="Times New Roman"/>
          <w:sz w:val="24"/>
          <w:szCs w:val="24"/>
        </w:rPr>
        <w:t>sebesar</w:t>
      </w:r>
      <w:r>
        <w:rPr>
          <w:rFonts w:ascii="Times New Roman" w:hAnsi="Times New Roman" w:cs="Times New Roman"/>
          <w:sz w:val="24"/>
          <w:szCs w:val="24"/>
        </w:rPr>
        <w:t xml:space="preserve"> 0,05</w:t>
      </w:r>
      <w:r w:rsidR="00B25760">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signifikasi</w:t>
      </w:r>
      <w:r>
        <w:rPr>
          <w:rFonts w:ascii="Times New Roman" w:hAnsi="Times New Roman" w:cs="Times New Roman"/>
          <w:sz w:val="24"/>
          <w:szCs w:val="24"/>
        </w:rPr>
        <w:t xml:space="preserve"> 0,001, </w:t>
      </w:r>
      <w:r>
        <w:rPr>
          <w:rFonts w:ascii="Times New Roman" w:hAnsi="Times New Roman" w:cs="Times New Roman"/>
          <w:sz w:val="24"/>
          <w:szCs w:val="24"/>
        </w:rPr>
        <w:t>berarti</w:t>
      </w:r>
      <w:r>
        <w:rPr>
          <w:rFonts w:ascii="Times New Roman" w:hAnsi="Times New Roman" w:cs="Times New Roman"/>
          <w:sz w:val="24"/>
          <w:szCs w:val="24"/>
        </w:rPr>
        <w:t xml:space="preserve"> </w:t>
      </w:r>
      <w:r>
        <w:rPr>
          <w:rFonts w:ascii="Times New Roman" w:hAnsi="Times New Roman" w:cs="Times New Roman"/>
          <w:sz w:val="24"/>
          <w:szCs w:val="24"/>
        </w:rPr>
        <w:t>terdapat</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sidRPr="00FB0563">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00CE5674">
        <w:rPr>
          <w:rFonts w:ascii="Times New Roman" w:hAnsi="Times New Roman" w:cs="Times New Roman"/>
          <w:sz w:val="24"/>
          <w:szCs w:val="24"/>
        </w:rPr>
        <w:t>NIM</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signifikasi</w:t>
      </w:r>
      <w:r>
        <w:rPr>
          <w:rFonts w:ascii="Times New Roman" w:hAnsi="Times New Roman" w:cs="Times New Roman"/>
          <w:sz w:val="24"/>
          <w:szCs w:val="24"/>
        </w:rPr>
        <w:t xml:space="preserve"> 0,001 &gt; 0,05 (H</w:t>
      </w:r>
      <w:r w:rsidR="00B25760">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diterima</w:t>
      </w:r>
      <w:r>
        <w:rPr>
          <w:rFonts w:ascii="Times New Roman" w:hAnsi="Times New Roman" w:cs="Times New Roman"/>
          <w:sz w:val="24"/>
          <w:szCs w:val="24"/>
        </w:rPr>
        <w:t>).</w:t>
      </w:r>
    </w:p>
    <w:p w:rsidR="00FE78F0" w:rsidP="00FE78F0" w14:paraId="4C1CBB7B" w14:textId="77777777">
      <w:pPr>
        <w:pStyle w:val="ListParagraph"/>
        <w:numPr>
          <w:ilvl w:val="1"/>
          <w:numId w:val="76"/>
        </w:numPr>
        <w:spacing w:after="0" w:line="480" w:lineRule="auto"/>
        <w:jc w:val="both"/>
        <w:rPr>
          <w:rFonts w:ascii="Times New Roman" w:hAnsi="Times New Roman" w:cs="Times New Roman"/>
          <w:b/>
          <w:bCs/>
          <w:sz w:val="24"/>
          <w:szCs w:val="24"/>
        </w:rPr>
      </w:pPr>
      <w:r w:rsidRPr="00D958F8">
        <w:rPr>
          <w:rFonts w:ascii="Times New Roman" w:hAnsi="Times New Roman" w:cs="Times New Roman"/>
          <w:b/>
          <w:bCs/>
          <w:sz w:val="24"/>
          <w:szCs w:val="24"/>
        </w:rPr>
        <w:t>Uji Sobel</w:t>
      </w:r>
    </w:p>
    <w:p w:rsidR="000368BE" w:rsidRPr="00FE78F0" w:rsidP="00FE78F0" w14:paraId="65AE6A8F" w14:textId="43F5B9D9">
      <w:pPr>
        <w:pStyle w:val="ListParagraph"/>
        <w:spacing w:after="0" w:line="480" w:lineRule="auto"/>
        <w:ind w:left="785" w:firstLine="360"/>
        <w:jc w:val="both"/>
        <w:rPr>
          <w:rFonts w:ascii="Times New Roman" w:hAnsi="Times New Roman" w:cs="Times New Roman"/>
          <w:b/>
          <w:bCs/>
          <w:sz w:val="24"/>
          <w:szCs w:val="24"/>
        </w:rPr>
      </w:pPr>
      <w:r w:rsidRPr="00FE78F0">
        <w:rPr>
          <w:rFonts w:ascii="Times New Roman" w:hAnsi="Times New Roman" w:cs="Times New Roman"/>
          <w:sz w:val="24"/>
          <w:szCs w:val="24"/>
        </w:rPr>
        <w:t>Pengujian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efek</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memerlukan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beberapa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tahapan</w:t>
      </w:r>
      <w:r w:rsidRPr="00FE78F0">
        <w:rPr>
          <w:rFonts w:ascii="Times New Roman" w:hAnsi="Times New Roman" w:cs="Times New Roman"/>
          <w:sz w:val="24"/>
          <w:szCs w:val="24"/>
        </w:rPr>
        <w:t xml:space="preserve"> (</w:t>
      </w:r>
      <w:r w:rsidRPr="00FE78F0">
        <w:rPr>
          <w:rFonts w:ascii="Times New Roman" w:hAnsi="Times New Roman" w:cs="Times New Roman"/>
          <w:i/>
          <w:iCs/>
          <w:sz w:val="24"/>
          <w:szCs w:val="24"/>
        </w:rPr>
        <w:t>causal steps</w:t>
      </w:r>
      <w:r w:rsidRPr="00FE78F0">
        <w:rPr>
          <w:rFonts w:ascii="Times New Roman" w:hAnsi="Times New Roman" w:cs="Times New Roman"/>
          <w:sz w:val="24"/>
          <w:szCs w:val="24"/>
        </w:rPr>
        <w:t xml:space="preserve">) yang </w:t>
      </w:r>
      <w:r w:rsidRPr="00FE78F0">
        <w:rPr>
          <w:rFonts w:ascii="Times New Roman" w:hAnsi="Times New Roman" w:cs="Times New Roman"/>
          <w:sz w:val="24"/>
          <w:szCs w:val="24"/>
        </w:rPr>
        <w:t>harus</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dipenuhi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yaitu</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terdapat</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pengaruh</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signifikan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dari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independen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terhadap</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dan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terhadap</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dependen</w:t>
      </w:r>
      <w:r w:rsidRPr="00FE78F0">
        <w:rPr>
          <w:rFonts w:ascii="Times New Roman" w:hAnsi="Times New Roman" w:cs="Times New Roman"/>
          <w:sz w:val="24"/>
          <w:szCs w:val="24"/>
        </w:rPr>
        <w:t xml:space="preserve">. Jika salah </w:t>
      </w:r>
      <w:r w:rsidRPr="00FE78F0">
        <w:rPr>
          <w:rFonts w:ascii="Times New Roman" w:hAnsi="Times New Roman" w:cs="Times New Roman"/>
          <w:sz w:val="24"/>
          <w:szCs w:val="24"/>
        </w:rPr>
        <w:t>satu</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tahapan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tersebut</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tidak</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terpenuhi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maka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pengujian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efek</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tidak</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perlu</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dilakukan</w:t>
      </w:r>
      <w:r w:rsidRPr="00FE78F0">
        <w:rPr>
          <w:rFonts w:ascii="Times New Roman" w:hAnsi="Times New Roman" w:cs="Times New Roman"/>
          <w:sz w:val="24"/>
          <w:szCs w:val="24"/>
        </w:rPr>
        <w:t xml:space="preserve"> dan </w:t>
      </w:r>
      <w:r w:rsidRPr="00FE78F0">
        <w:rPr>
          <w:rFonts w:ascii="Times New Roman" w:hAnsi="Times New Roman" w:cs="Times New Roman"/>
          <w:sz w:val="24"/>
          <w:szCs w:val="24"/>
        </w:rPr>
        <w:t>dapat</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disimpulkan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bahwa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tidak</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ada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atau</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pengaruh</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tidak</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langsung</w:t>
      </w:r>
      <w:r w:rsidRPr="00FE78F0">
        <w:rPr>
          <w:rFonts w:ascii="Times New Roman" w:hAnsi="Times New Roman" w:cs="Times New Roman"/>
          <w:sz w:val="24"/>
          <w:szCs w:val="24"/>
        </w:rPr>
        <w:t xml:space="preserve"> oleh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dari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independen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terhadap</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dependen</w:t>
      </w:r>
      <w:r w:rsidRPr="00FE78F0">
        <w:rPr>
          <w:rFonts w:ascii="Times New Roman" w:hAnsi="Times New Roman" w:cs="Times New Roman"/>
          <w:sz w:val="24"/>
          <w:szCs w:val="24"/>
        </w:rPr>
        <w:t xml:space="preserve">. Pada </w:t>
      </w:r>
      <w:r w:rsidRPr="00FE78F0">
        <w:rPr>
          <w:rFonts w:ascii="Times New Roman" w:hAnsi="Times New Roman" w:cs="Times New Roman"/>
          <w:sz w:val="24"/>
          <w:szCs w:val="24"/>
        </w:rPr>
        <w:t>penelitian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ini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dari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ketiga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proksi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kinerja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keuangan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dilakukan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semua</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pengujian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signifikasi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variabel</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mediasi</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dengan</w:t>
      </w:r>
      <w:r w:rsidRPr="00FE78F0">
        <w:rPr>
          <w:rFonts w:ascii="Times New Roman" w:hAnsi="Times New Roman" w:cs="Times New Roman"/>
          <w:sz w:val="24"/>
          <w:szCs w:val="24"/>
        </w:rPr>
        <w:t xml:space="preserve"> </w:t>
      </w:r>
      <w:r w:rsidRPr="00FE78F0">
        <w:rPr>
          <w:rFonts w:ascii="Times New Roman" w:hAnsi="Times New Roman" w:cs="Times New Roman"/>
          <w:sz w:val="24"/>
          <w:szCs w:val="24"/>
        </w:rPr>
        <w:t>menggunakan</w:t>
      </w:r>
      <w:r w:rsidRPr="00FE78F0">
        <w:rPr>
          <w:rFonts w:ascii="Times New Roman" w:hAnsi="Times New Roman" w:cs="Times New Roman"/>
          <w:sz w:val="24"/>
          <w:szCs w:val="24"/>
        </w:rPr>
        <w:t xml:space="preserve"> uji </w:t>
      </w:r>
      <w:r w:rsidRPr="00FE78F0">
        <w:rPr>
          <w:rFonts w:ascii="Times New Roman" w:hAnsi="Times New Roman" w:cs="Times New Roman"/>
          <w:sz w:val="24"/>
          <w:szCs w:val="24"/>
        </w:rPr>
        <w:t>sobel</w:t>
      </w:r>
      <w:r w:rsidRPr="00FE78F0">
        <w:rPr>
          <w:rFonts w:ascii="Times New Roman" w:hAnsi="Times New Roman" w:cs="Times New Roman"/>
          <w:sz w:val="24"/>
          <w:szCs w:val="24"/>
        </w:rPr>
        <w:t xml:space="preserve"> (</w:t>
      </w:r>
      <w:r w:rsidRPr="00FE78F0">
        <w:rPr>
          <w:rFonts w:ascii="Times New Roman" w:hAnsi="Times New Roman" w:cs="Times New Roman"/>
          <w:i/>
          <w:iCs/>
          <w:sz w:val="24"/>
          <w:szCs w:val="24"/>
        </w:rPr>
        <w:t>sobel</w:t>
      </w:r>
      <w:r w:rsidRPr="00FE78F0">
        <w:rPr>
          <w:rFonts w:ascii="Times New Roman" w:hAnsi="Times New Roman" w:cs="Times New Roman"/>
          <w:i/>
          <w:iCs/>
          <w:sz w:val="24"/>
          <w:szCs w:val="24"/>
        </w:rPr>
        <w:t xml:space="preserve"> test</w:t>
      </w:r>
      <w:r w:rsidRPr="00FE78F0">
        <w:rPr>
          <w:rFonts w:ascii="Times New Roman" w:hAnsi="Times New Roman" w:cs="Times New Roman"/>
          <w:sz w:val="24"/>
          <w:szCs w:val="24"/>
        </w:rPr>
        <w:t>).</w:t>
      </w:r>
      <w:r>
        <w:rPr>
          <w:rFonts w:ascii="Times New Roman" w:hAnsi="Times New Roman" w:cs="Times New Roman"/>
          <w:sz w:val="24"/>
          <w:szCs w:val="24"/>
        </w:rPr>
        <w:t xml:space="preserve"> </w:t>
      </w:r>
      <w:r w:rsidRPr="00FE78F0" w:rsidR="005C4152">
        <w:rPr>
          <w:rFonts w:ascii="Times New Roman" w:hAnsi="Times New Roman" w:cs="Times New Roman"/>
          <w:sz w:val="24"/>
          <w:szCs w:val="24"/>
        </w:rPr>
        <w:t>Hasil</w:t>
      </w:r>
      <w:r>
        <w:rPr>
          <w:rFonts w:ascii="Times New Roman" w:hAnsi="Times New Roman" w:cs="Times New Roman"/>
          <w:sz w:val="24"/>
          <w:szCs w:val="24"/>
        </w:rPr>
        <w:t xml:space="preserve"> uji </w:t>
      </w:r>
      <w:r>
        <w:rPr>
          <w:rFonts w:ascii="Times New Roman" w:hAnsi="Times New Roman" w:cs="Times New Roman"/>
          <w:sz w:val="24"/>
          <w:szCs w:val="24"/>
        </w:rPr>
        <w:t>sobel</w:t>
      </w:r>
      <w:r w:rsidRPr="00FE78F0" w:rsidR="005C4152">
        <w:rPr>
          <w:rFonts w:ascii="Times New Roman" w:hAnsi="Times New Roman" w:cs="Times New Roman"/>
          <w:sz w:val="24"/>
          <w:szCs w:val="24"/>
        </w:rPr>
        <w:t xml:space="preserve"> </w:t>
      </w:r>
      <w:r w:rsidRPr="00FE78F0" w:rsidR="005C4152">
        <w:rPr>
          <w:rFonts w:ascii="Times New Roman" w:hAnsi="Times New Roman" w:cs="Times New Roman"/>
          <w:sz w:val="24"/>
          <w:szCs w:val="24"/>
        </w:rPr>
        <w:t>sebagai</w:t>
      </w:r>
      <w:r w:rsidRPr="00FE78F0" w:rsidR="005C4152">
        <w:rPr>
          <w:rFonts w:ascii="Times New Roman" w:hAnsi="Times New Roman" w:cs="Times New Roman"/>
          <w:sz w:val="24"/>
          <w:szCs w:val="24"/>
        </w:rPr>
        <w:t xml:space="preserve"> </w:t>
      </w:r>
      <w:r w:rsidRPr="00FE78F0" w:rsidR="005C4152">
        <w:rPr>
          <w:rFonts w:ascii="Times New Roman" w:hAnsi="Times New Roman" w:cs="Times New Roman"/>
          <w:sz w:val="24"/>
          <w:szCs w:val="24"/>
        </w:rPr>
        <w:t>berikut</w:t>
      </w:r>
      <w:r w:rsidRPr="00FE78F0" w:rsidR="005C4152">
        <w:rPr>
          <w:rFonts w:ascii="Times New Roman" w:hAnsi="Times New Roman" w:cs="Times New Roman"/>
          <w:sz w:val="24"/>
          <w:szCs w:val="24"/>
        </w:rPr>
        <w:t>:</w:t>
      </w:r>
    </w:p>
    <w:p w:rsidR="000368BE" w:rsidP="000368BE" w14:paraId="0E38DECD" w14:textId="5082285F">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Kinerja </w:t>
      </w:r>
      <w:r w:rsidR="00FB0563">
        <w:rPr>
          <w:rFonts w:ascii="Times New Roman" w:hAnsi="Times New Roman" w:cs="Times New Roman"/>
          <w:sz w:val="24"/>
          <w:szCs w:val="24"/>
        </w:rPr>
        <w:t>Keuangan</w:t>
      </w:r>
      <w:r w:rsidR="00FB0563">
        <w:rPr>
          <w:rFonts w:ascii="Times New Roman" w:hAnsi="Times New Roman" w:cs="Times New Roman"/>
          <w:sz w:val="24"/>
          <w:szCs w:val="24"/>
        </w:rPr>
        <w:t xml:space="preserve"> </w:t>
      </w:r>
      <w:r w:rsidR="00FB0563">
        <w:rPr>
          <w:rFonts w:ascii="Times New Roman" w:hAnsi="Times New Roman" w:cs="Times New Roman"/>
          <w:sz w:val="24"/>
          <w:szCs w:val="24"/>
        </w:rPr>
        <w:t>Dengan</w:t>
      </w:r>
      <w:r w:rsidR="00FB0563">
        <w:rPr>
          <w:rFonts w:ascii="Times New Roman" w:hAnsi="Times New Roman" w:cs="Times New Roman"/>
          <w:sz w:val="24"/>
          <w:szCs w:val="24"/>
        </w:rPr>
        <w:t xml:space="preserve"> </w:t>
      </w:r>
      <w:r w:rsidR="00FB0563">
        <w:rPr>
          <w:rFonts w:ascii="Times New Roman" w:hAnsi="Times New Roman" w:cs="Times New Roman"/>
          <w:sz w:val="24"/>
          <w:szCs w:val="24"/>
        </w:rPr>
        <w:t>Proksi</w:t>
      </w:r>
      <w:r w:rsidR="00FB0563">
        <w:rPr>
          <w:rFonts w:ascii="Times New Roman" w:hAnsi="Times New Roman" w:cs="Times New Roman"/>
          <w:sz w:val="24"/>
          <w:szCs w:val="24"/>
        </w:rPr>
        <w:t xml:space="preserve"> </w:t>
      </w:r>
      <w:r w:rsidRPr="00FB0563" w:rsidR="00FB0563">
        <w:rPr>
          <w:rFonts w:ascii="Times New Roman" w:hAnsi="Times New Roman" w:cs="Times New Roman"/>
          <w:i/>
          <w:iCs/>
          <w:sz w:val="24"/>
          <w:szCs w:val="24"/>
        </w:rPr>
        <w:t xml:space="preserve">Return </w:t>
      </w:r>
      <w:r w:rsidRPr="00FB0563" w:rsidR="00FB0563">
        <w:rPr>
          <w:rFonts w:ascii="Times New Roman" w:hAnsi="Times New Roman" w:cs="Times New Roman"/>
          <w:i/>
          <w:iCs/>
          <w:sz w:val="24"/>
          <w:szCs w:val="24"/>
        </w:rPr>
        <w:t>On</w:t>
      </w:r>
      <w:r w:rsidRPr="00FB0563" w:rsidR="00FB0563">
        <w:rPr>
          <w:rFonts w:ascii="Times New Roman" w:hAnsi="Times New Roman" w:cs="Times New Roman"/>
          <w:i/>
          <w:iCs/>
          <w:sz w:val="24"/>
          <w:szCs w:val="24"/>
        </w:rPr>
        <w:t xml:space="preserve"> Assets</w:t>
      </w:r>
      <w:r w:rsidR="00FB0563">
        <w:rPr>
          <w:rFonts w:ascii="Times New Roman" w:hAnsi="Times New Roman" w:cs="Times New Roman"/>
          <w:sz w:val="24"/>
          <w:szCs w:val="24"/>
        </w:rPr>
        <w:t xml:space="preserve"> </w:t>
      </w:r>
      <w:r>
        <w:rPr>
          <w:rFonts w:ascii="Times New Roman" w:hAnsi="Times New Roman" w:cs="Times New Roman"/>
          <w:sz w:val="24"/>
          <w:szCs w:val="24"/>
        </w:rPr>
        <w:t>(ROA)</w:t>
      </w:r>
    </w:p>
    <w:p w:rsidR="000368BE" w:rsidP="000368BE" w14:paraId="2C690BBB" w14:textId="3DC6851B">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746760</wp:posOffset>
                </wp:positionH>
                <wp:positionV relativeFrom="paragraph">
                  <wp:posOffset>7620</wp:posOffset>
                </wp:positionV>
                <wp:extent cx="4274820" cy="2011680"/>
                <wp:effectExtent l="0" t="0" r="11430" b="26670"/>
                <wp:wrapNone/>
                <wp:docPr id="97833095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274820" cy="20116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336.6pt;height:158.4pt;margin-top:0.6pt;margin-left:58.8pt;mso-height-percent:0;mso-height-relative:margin;mso-width-percent:0;mso-width-relative:margin;mso-wrap-distance-bottom:0;mso-wrap-distance-left:9pt;mso-wrap-distance-right:9pt;mso-wrap-distance-top:0;mso-wrap-style:square;position:absolute;v-text-anchor:middle;visibility:visible;z-index:251667456" filled="f" strokecolor="black" strokeweight="1pt"/>
            </w:pict>
          </mc:Fallback>
        </mc:AlternateContent>
      </w:r>
      <w:r w:rsidR="00CF02F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305435</wp:posOffset>
                </wp:positionV>
                <wp:extent cx="1447800" cy="350520"/>
                <wp:effectExtent l="0" t="0" r="19050" b="11430"/>
                <wp:wrapNone/>
                <wp:docPr id="193171602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3505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368BE" w:rsidRPr="00910852" w:rsidP="000368BE" w14:textId="363DAD67">
                            <w:pPr>
                              <w:rPr>
                                <w:rFonts w:ascii="Times New Roman" w:hAnsi="Times New Roman" w:cs="Times New Roman"/>
                                <w:color w:val="000000" w:themeColor="text1"/>
                                <w:sz w:val="24"/>
                                <w:szCs w:val="24"/>
                              </w:rPr>
                            </w:pPr>
                            <w:r w:rsidRPr="00910852">
                              <w:rPr>
                                <w:rFonts w:ascii="Times New Roman" w:hAnsi="Times New Roman" w:cs="Times New Roman"/>
                                <w:i/>
                                <w:iCs/>
                                <w:color w:val="000000" w:themeColor="text1"/>
                                <w:sz w:val="24"/>
                                <w:szCs w:val="24"/>
                              </w:rPr>
                              <w:t xml:space="preserve">Green Banking </w:t>
                            </w:r>
                            <w:r w:rsidRPr="00910852">
                              <w:rPr>
                                <w:rFonts w:ascii="Times New Roman" w:hAnsi="Times New Roman" w:cs="Times New Roman"/>
                                <w:color w:val="000000" w:themeColor="text1"/>
                                <w:sz w:val="24"/>
                                <w:szCs w:val="24"/>
                              </w:rPr>
                              <w:t>(</w:t>
                            </w:r>
                            <w:r w:rsidR="00EA5741">
                              <w:rPr>
                                <w:rFonts w:ascii="Times New Roman" w:hAnsi="Times New Roman" w:cs="Times New Roman"/>
                                <w:color w:val="000000" w:themeColor="text1"/>
                                <w:sz w:val="24"/>
                                <w:szCs w:val="24"/>
                              </w:rPr>
                              <w:t>Z</w:t>
                            </w:r>
                            <w:r w:rsidRPr="00910852">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26" style="width:114pt;height:27.6pt;margin-top:24.05pt;margin-left:174pt;mso-height-percent:0;mso-height-relative:margin;mso-width-percent:0;mso-width-relative:margin;mso-wrap-distance-bottom:0;mso-wrap-distance-left:9pt;mso-wrap-distance-right:9pt;mso-wrap-distance-top:0;mso-wrap-style:square;position:absolute;v-text-anchor:middle;visibility:visible;z-index:251661312" fillcolor="white" strokecolor="black" strokeweight="1pt">
                <v:textbox>
                  <w:txbxContent>
                    <w:p w:rsidR="000368BE" w:rsidRPr="00910852" w:rsidP="000368BE" w14:paraId="27BCDCA0" w14:textId="363DAD67">
                      <w:pPr>
                        <w:rPr>
                          <w:rFonts w:ascii="Times New Roman" w:hAnsi="Times New Roman" w:cs="Times New Roman"/>
                          <w:color w:val="000000" w:themeColor="text1"/>
                          <w:sz w:val="24"/>
                          <w:szCs w:val="24"/>
                        </w:rPr>
                      </w:pPr>
                      <w:r w:rsidRPr="00910852">
                        <w:rPr>
                          <w:rFonts w:ascii="Times New Roman" w:hAnsi="Times New Roman" w:cs="Times New Roman"/>
                          <w:i/>
                          <w:iCs/>
                          <w:color w:val="000000" w:themeColor="text1"/>
                          <w:sz w:val="24"/>
                          <w:szCs w:val="24"/>
                        </w:rPr>
                        <w:t xml:space="preserve">Green Banking </w:t>
                      </w:r>
                      <w:r w:rsidRPr="00910852">
                        <w:rPr>
                          <w:rFonts w:ascii="Times New Roman" w:hAnsi="Times New Roman" w:cs="Times New Roman"/>
                          <w:color w:val="000000" w:themeColor="text1"/>
                          <w:sz w:val="24"/>
                          <w:szCs w:val="24"/>
                        </w:rPr>
                        <w:t>(</w:t>
                      </w:r>
                      <w:r w:rsidR="00EA5741">
                        <w:rPr>
                          <w:rFonts w:ascii="Times New Roman" w:hAnsi="Times New Roman" w:cs="Times New Roman"/>
                          <w:color w:val="000000" w:themeColor="text1"/>
                          <w:sz w:val="24"/>
                          <w:szCs w:val="24"/>
                        </w:rPr>
                        <w:t>Z</w:t>
                      </w:r>
                      <w:r w:rsidRPr="00910852">
                        <w:rPr>
                          <w:rFonts w:ascii="Times New Roman" w:hAnsi="Times New Roman" w:cs="Times New Roman"/>
                          <w:color w:val="000000" w:themeColor="text1"/>
                          <w:sz w:val="24"/>
                          <w:szCs w:val="24"/>
                        </w:rPr>
                        <w:t>)</w:t>
                      </w:r>
                    </w:p>
                  </w:txbxContent>
                </v:textbox>
              </v:rect>
            </w:pict>
          </mc:Fallback>
        </mc:AlternateContent>
      </w:r>
    </w:p>
    <w:p w:rsidR="000368BE" w:rsidP="000368BE" w14:paraId="54F3DC4D" w14:textId="7992EE71">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page">
                  <wp:posOffset>3398520</wp:posOffset>
                </wp:positionH>
                <wp:positionV relativeFrom="paragraph">
                  <wp:posOffset>297815</wp:posOffset>
                </wp:positionV>
                <wp:extent cx="922020" cy="777240"/>
                <wp:effectExtent l="0" t="38100" r="49530" b="22860"/>
                <wp:wrapNone/>
                <wp:docPr id="1581392870"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92202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7" type="#_x0000_t32" style="width:72.6pt;height:61.2pt;margin-top:23.45pt;margin-left:267.6pt;flip:y;mso-height-percent:0;mso-height-relative:margin;mso-position-horizontal-relative:page;mso-width-percent:0;mso-width-relative:margin;mso-wrap-distance-bottom:0;mso-wrap-distance-left:9pt;mso-wrap-distance-right:9pt;mso-wrap-distance-top:0;mso-wrap-style:square;position:absolute;visibility:visible;z-index:251671552" strokecolor="black" strokeweight="0.5pt">
                <v:stroke joinstyle="miter" endarrow="block"/>
              </v:shape>
            </w:pict>
          </mc:Fallback>
        </mc:AlternateContent>
      </w:r>
      <w:r w:rsidR="00ED5F3B">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2956560</wp:posOffset>
                </wp:positionH>
                <wp:positionV relativeFrom="paragraph">
                  <wp:posOffset>312420</wp:posOffset>
                </wp:positionV>
                <wp:extent cx="1036320" cy="784860"/>
                <wp:effectExtent l="0" t="0" r="68580" b="53340"/>
                <wp:wrapNone/>
                <wp:docPr id="107483318"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0363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8" type="#_x0000_t32" style="width:81.6pt;height:61.8pt;margin-top:24.6pt;margin-left:232.8pt;mso-height-percent:0;mso-height-relative:margin;mso-width-percent:0;mso-width-relative:margin;mso-wrap-distance-bottom:0;mso-wrap-distance-left:9pt;mso-wrap-distance-right:9pt;mso-wrap-distance-top:0;mso-wrap-style:square;position:absolute;visibility:visible;z-index:251675648" strokecolor="black" strokeweight="0.5pt">
                <v:stroke joinstyle="miter" endarrow="block"/>
              </v:shape>
            </w:pict>
          </mc:Fallback>
        </mc:AlternateContent>
      </w:r>
    </w:p>
    <w:p w:rsidR="000368BE" w:rsidP="000368BE" w14:paraId="2A5747DF" w14:textId="53DF4727">
      <w:pPr>
        <w:pStyle w:val="ListParagraph"/>
        <w:spacing w:after="0" w:line="480" w:lineRule="auto"/>
        <w:ind w:left="1145"/>
        <w:jc w:val="both"/>
        <w:rPr>
          <w:rFonts w:ascii="Times New Roman" w:hAnsi="Times New Roman" w:cs="Times New Roman"/>
          <w:sz w:val="24"/>
          <w:szCs w:val="24"/>
        </w:rPr>
      </w:pPr>
      <w:r w:rsidRPr="00ED5F3B">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simplePos x="0" y="0"/>
                <wp:positionH relativeFrom="column">
                  <wp:posOffset>3505200</wp:posOffset>
                </wp:positionH>
                <wp:positionV relativeFrom="paragraph">
                  <wp:posOffset>68580</wp:posOffset>
                </wp:positionV>
                <wp:extent cx="845820" cy="441960"/>
                <wp:effectExtent l="0" t="0" r="0" b="0"/>
                <wp:wrapSquare wrapText="bothSides"/>
                <wp:docPr id="8677083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CF02F5" w:rsidRPr="00ED5F3B" w:rsidP="00CF02F5" w14:textId="71A48519">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D5F3B">
                              <w:rPr>
                                <w:rFonts w:ascii="Times New Roman" w:hAnsi="Times New Roman" w:cs="Times New Roman"/>
                                <w:sz w:val="20"/>
                                <w:szCs w:val="20"/>
                              </w:rPr>
                              <w:t xml:space="preserve"> </w:t>
                            </w:r>
                            <w:r>
                              <w:rPr>
                                <w:rFonts w:ascii="Times New Roman" w:hAnsi="Times New Roman" w:cs="Times New Roman"/>
                                <w:sz w:val="20"/>
                                <w:szCs w:val="20"/>
                              </w:rPr>
                              <w:t>= 0,050</w:t>
                            </w:r>
                          </w:p>
                          <w:p w:rsidR="00CF02F5" w:rsidRPr="00ED5F3B" w:rsidP="00CF02F5" w14:textId="45A20002">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sidR="00AE7C28">
                              <w:rPr>
                                <w:rFonts w:ascii="Times New Roman" w:hAnsi="Times New Roman" w:cs="Times New Roman"/>
                                <w:sz w:val="20"/>
                                <w:szCs w:val="20"/>
                              </w:rPr>
                              <w:t xml:space="preserve">b </w:t>
                            </w:r>
                            <w:r>
                              <w:rPr>
                                <w:rFonts w:ascii="Times New Roman" w:hAnsi="Times New Roman" w:cs="Times New Roman"/>
                                <w:sz w:val="20"/>
                                <w:szCs w:val="20"/>
                              </w:rPr>
                              <w:t>= 0,012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width:66.6pt;height:34.8pt;margin-top:5.4pt;margin-left:276pt;mso-height-percent:0;mso-height-relative:margin;mso-width-percent:0;mso-width-relative:margin;mso-wrap-distance-bottom:3.6pt;mso-wrap-distance-left:9pt;mso-wrap-distance-right:9pt;mso-wrap-distance-top:3.6pt;mso-wrap-style:square;position:absolute;v-text-anchor:top;visibility:visible;z-index:251673600" stroked="f">
                <v:textbox>
                  <w:txbxContent>
                    <w:p w:rsidR="00CF02F5" w:rsidRPr="00ED5F3B" w:rsidP="00CF02F5" w14:paraId="393B9E6F" w14:textId="71A48519">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D5F3B">
                        <w:rPr>
                          <w:rFonts w:ascii="Times New Roman" w:hAnsi="Times New Roman" w:cs="Times New Roman"/>
                          <w:sz w:val="20"/>
                          <w:szCs w:val="20"/>
                        </w:rPr>
                        <w:t xml:space="preserve"> </w:t>
                      </w:r>
                      <w:r>
                        <w:rPr>
                          <w:rFonts w:ascii="Times New Roman" w:hAnsi="Times New Roman" w:cs="Times New Roman"/>
                          <w:sz w:val="20"/>
                          <w:szCs w:val="20"/>
                        </w:rPr>
                        <w:t>= 0,050</w:t>
                      </w:r>
                    </w:p>
                    <w:p w:rsidR="00CF02F5" w:rsidRPr="00ED5F3B" w:rsidP="00CF02F5" w14:paraId="3F39CE15" w14:textId="45A20002">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sidR="00AE7C28">
                        <w:rPr>
                          <w:rFonts w:ascii="Times New Roman" w:hAnsi="Times New Roman" w:cs="Times New Roman"/>
                          <w:sz w:val="20"/>
                          <w:szCs w:val="20"/>
                        </w:rPr>
                        <w:t xml:space="preserve">b </w:t>
                      </w:r>
                      <w:r>
                        <w:rPr>
                          <w:rFonts w:ascii="Times New Roman" w:hAnsi="Times New Roman" w:cs="Times New Roman"/>
                          <w:sz w:val="20"/>
                          <w:szCs w:val="20"/>
                        </w:rPr>
                        <w:t>= 0,012</w:t>
                      </w:r>
                    </w:p>
                  </w:txbxContent>
                </v:textbox>
                <w10:wrap type="square"/>
              </v:shape>
            </w:pict>
          </mc:Fallback>
        </mc:AlternateContent>
      </w:r>
      <w:r w:rsidRPr="00ED5F3B">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simplePos x="0" y="0"/>
                <wp:positionH relativeFrom="column">
                  <wp:posOffset>1524000</wp:posOffset>
                </wp:positionH>
                <wp:positionV relativeFrom="paragraph">
                  <wp:posOffset>76200</wp:posOffset>
                </wp:positionV>
                <wp:extent cx="845820" cy="441960"/>
                <wp:effectExtent l="0" t="0" r="0" b="0"/>
                <wp:wrapSquare wrapText="bothSides"/>
                <wp:docPr id="38289334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ED5F3B" w:rsidRPr="00ED5F3B" w:rsidP="00ED5F3B" w14:textId="3881CE09">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 xml:space="preserve">a </w:t>
                            </w:r>
                            <w:r>
                              <w:rPr>
                                <w:rFonts w:ascii="Times New Roman" w:hAnsi="Times New Roman" w:cs="Times New Roman"/>
                                <w:sz w:val="20"/>
                                <w:szCs w:val="20"/>
                              </w:rPr>
                              <w:t xml:space="preserve">= </w:t>
                            </w:r>
                            <w:r w:rsidR="00CF02F5">
                              <w:rPr>
                                <w:rFonts w:ascii="Times New Roman" w:hAnsi="Times New Roman" w:cs="Times New Roman"/>
                                <w:sz w:val="20"/>
                                <w:szCs w:val="20"/>
                              </w:rPr>
                              <w:t>0,869</w:t>
                            </w:r>
                          </w:p>
                          <w:p w:rsidR="00ED5F3B" w:rsidRPr="00ED5F3B" w:rsidP="00ED5F3B" w14:textId="4F930A3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Sa</w:t>
                            </w:r>
                            <w:r w:rsidR="00CF02F5">
                              <w:rPr>
                                <w:rFonts w:ascii="Times New Roman" w:hAnsi="Times New Roman" w:cs="Times New Roman"/>
                                <w:sz w:val="20"/>
                                <w:szCs w:val="20"/>
                              </w:rPr>
                              <w:t xml:space="preserve"> = 0,044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66.6pt;height:34.8pt;margin-top:6pt;margin-left:120pt;mso-height-percent:0;mso-height-relative:margin;mso-width-percent:0;mso-width-relative:margin;mso-wrap-distance-bottom:3.6pt;mso-wrap-distance-left:9pt;mso-wrap-distance-right:9pt;mso-wrap-distance-top:3.6pt;mso-wrap-style:square;position:absolute;v-text-anchor:top;visibility:visible;z-index:251669504" stroked="f">
                <v:textbox>
                  <w:txbxContent>
                    <w:p w:rsidR="00ED5F3B" w:rsidRPr="00ED5F3B" w:rsidP="00ED5F3B" w14:paraId="005D9B61" w14:textId="3881CE09">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 xml:space="preserve">a </w:t>
                      </w:r>
                      <w:r>
                        <w:rPr>
                          <w:rFonts w:ascii="Times New Roman" w:hAnsi="Times New Roman" w:cs="Times New Roman"/>
                          <w:sz w:val="20"/>
                          <w:szCs w:val="20"/>
                        </w:rPr>
                        <w:t xml:space="preserve">= </w:t>
                      </w:r>
                      <w:r w:rsidR="00CF02F5">
                        <w:rPr>
                          <w:rFonts w:ascii="Times New Roman" w:hAnsi="Times New Roman" w:cs="Times New Roman"/>
                          <w:sz w:val="20"/>
                          <w:szCs w:val="20"/>
                        </w:rPr>
                        <w:t>0,869</w:t>
                      </w:r>
                    </w:p>
                    <w:p w:rsidR="00ED5F3B" w:rsidRPr="00ED5F3B" w:rsidP="00ED5F3B" w14:paraId="65352B7E" w14:textId="4F930A3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Sa</w:t>
                      </w:r>
                      <w:r w:rsidR="00CF02F5">
                        <w:rPr>
                          <w:rFonts w:ascii="Times New Roman" w:hAnsi="Times New Roman" w:cs="Times New Roman"/>
                          <w:sz w:val="20"/>
                          <w:szCs w:val="20"/>
                        </w:rPr>
                        <w:t xml:space="preserve"> = 0,044</w:t>
                      </w:r>
                    </w:p>
                  </w:txbxContent>
                </v:textbox>
                <w10:wrap type="square"/>
              </v:shape>
            </w:pict>
          </mc:Fallback>
        </mc:AlternateContent>
      </w:r>
      <w:r w:rsidR="000368BE">
        <w:rPr>
          <w:rFonts w:ascii="Times New Roman" w:hAnsi="Times New Roman" w:cs="Times New Roman"/>
          <w:sz w:val="24"/>
          <w:szCs w:val="24"/>
        </w:rPr>
        <w:tab/>
      </w:r>
      <w:r w:rsidR="000368BE">
        <w:rPr>
          <w:rFonts w:ascii="Times New Roman" w:hAnsi="Times New Roman" w:cs="Times New Roman"/>
          <w:sz w:val="24"/>
          <w:szCs w:val="24"/>
        </w:rPr>
        <w:tab/>
      </w:r>
      <w:r w:rsidR="000368BE">
        <w:rPr>
          <w:rFonts w:ascii="Times New Roman" w:hAnsi="Times New Roman" w:cs="Times New Roman"/>
          <w:sz w:val="24"/>
          <w:szCs w:val="24"/>
        </w:rPr>
        <w:tab/>
      </w:r>
    </w:p>
    <w:p w:rsidR="000368BE" w:rsidRPr="00FE78F0" w:rsidP="00FE78F0" w14:paraId="7D56EEC6" w14:textId="681060C5">
      <w:pPr>
        <w:pStyle w:val="ListParagraph"/>
        <w:spacing w:after="0" w:line="480" w:lineRule="auto"/>
        <w:ind w:left="1145"/>
        <w:jc w:val="both"/>
        <w:rPr>
          <w:rFonts w:ascii="Times New Roman" w:hAnsi="Times New Roman" w:cs="Times New Roman"/>
          <w:sz w:val="24"/>
          <w:szCs w:val="24"/>
        </w:rPr>
      </w:pPr>
      <w:r w:rsidRPr="00ED5F3B">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simplePos x="0" y="0"/>
                <wp:positionH relativeFrom="column">
                  <wp:posOffset>2484120</wp:posOffset>
                </wp:positionH>
                <wp:positionV relativeFrom="paragraph">
                  <wp:posOffset>494665</wp:posOffset>
                </wp:positionV>
                <wp:extent cx="845820" cy="441960"/>
                <wp:effectExtent l="0" t="0" r="0" b="0"/>
                <wp:wrapSquare wrapText="bothSides"/>
                <wp:docPr id="5802886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CF02F5" w:rsidRPr="00ED5F3B" w:rsidP="00CF02F5" w14:textId="70691272">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D5F3B">
                              <w:rPr>
                                <w:rFonts w:ascii="Times New Roman" w:hAnsi="Times New Roman" w:cs="Times New Roman"/>
                                <w:sz w:val="20"/>
                                <w:szCs w:val="20"/>
                              </w:rPr>
                              <w:t xml:space="preserve"> </w:t>
                            </w:r>
                            <w:r>
                              <w:rPr>
                                <w:rFonts w:ascii="Times New Roman" w:hAnsi="Times New Roman" w:cs="Times New Roman"/>
                                <w:sz w:val="20"/>
                                <w:szCs w:val="20"/>
                              </w:rPr>
                              <w:t>= -0,021</w:t>
                            </w:r>
                          </w:p>
                          <w:p w:rsidR="00CF02F5" w:rsidRPr="00ED5F3B" w:rsidP="00CF02F5" w14:textId="73538E44">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Pr>
                                <w:rFonts w:ascii="Times New Roman" w:hAnsi="Times New Roman" w:cs="Times New Roman"/>
                                <w:sz w:val="20"/>
                                <w:szCs w:val="20"/>
                              </w:rPr>
                              <w:t>c = 0,012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66.6pt;height:34.8pt;margin-top:38.95pt;margin-left:195.6pt;mso-height-percent:0;mso-height-relative:margin;mso-width-percent:0;mso-width-relative:margin;mso-wrap-distance-bottom:3.6pt;mso-wrap-distance-left:9pt;mso-wrap-distance-right:9pt;mso-wrap-distance-top:3.6pt;mso-wrap-style:square;position:absolute;v-text-anchor:top;visibility:visible;z-index:251677696" stroked="f">
                <v:textbox>
                  <w:txbxContent>
                    <w:p w:rsidR="00CF02F5" w:rsidRPr="00ED5F3B" w:rsidP="00CF02F5" w14:paraId="2DFE1B93" w14:textId="70691272">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D5F3B">
                        <w:rPr>
                          <w:rFonts w:ascii="Times New Roman" w:hAnsi="Times New Roman" w:cs="Times New Roman"/>
                          <w:sz w:val="20"/>
                          <w:szCs w:val="20"/>
                        </w:rPr>
                        <w:t xml:space="preserve"> </w:t>
                      </w:r>
                      <w:r>
                        <w:rPr>
                          <w:rFonts w:ascii="Times New Roman" w:hAnsi="Times New Roman" w:cs="Times New Roman"/>
                          <w:sz w:val="20"/>
                          <w:szCs w:val="20"/>
                        </w:rPr>
                        <w:t>= -0,021</w:t>
                      </w:r>
                    </w:p>
                    <w:p w:rsidR="00CF02F5" w:rsidRPr="00ED5F3B" w:rsidP="00CF02F5" w14:paraId="08749A84" w14:textId="73538E44">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Pr>
                          <w:rFonts w:ascii="Times New Roman" w:hAnsi="Times New Roman" w:cs="Times New Roman"/>
                          <w:sz w:val="20"/>
                          <w:szCs w:val="20"/>
                        </w:rPr>
                        <w:t>c = 0,012</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1965960</wp:posOffset>
                </wp:positionH>
                <wp:positionV relativeFrom="paragraph">
                  <wp:posOffset>438150</wp:posOffset>
                </wp:positionV>
                <wp:extent cx="2019300" cy="45719"/>
                <wp:effectExtent l="0" t="38100" r="38100" b="88265"/>
                <wp:wrapNone/>
                <wp:docPr id="1013680073"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2019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32" type="#_x0000_t32" style="width:159pt;height:3.6pt;margin-top:34.5pt;margin-left:154.8pt;mso-height-percent:0;mso-height-relative:margin;mso-width-percent:0;mso-width-relative:margin;mso-wrap-distance-bottom:0;mso-wrap-distance-left:9pt;mso-wrap-distance-right:9pt;mso-wrap-distance-top:0;mso-wrap-style:square;position:absolute;visibility:visible;z-index:251665408" strokecolor="black" strokeweight="0.5pt">
                <v:stroke joinstyle="miter" endarrow="block"/>
              </v:shape>
            </w:pict>
          </mc:Fallback>
        </mc:AlternateContent>
      </w:r>
      <w:r w:rsidR="000368B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posOffset>4011295</wp:posOffset>
                </wp:positionH>
                <wp:positionV relativeFrom="paragraph">
                  <wp:posOffset>282575</wp:posOffset>
                </wp:positionV>
                <wp:extent cx="853440" cy="327660"/>
                <wp:effectExtent l="0" t="0" r="22860" b="15240"/>
                <wp:wrapNone/>
                <wp:docPr id="49575709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53440" cy="32766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368BE" w:rsidRPr="00910852" w:rsidP="000368BE"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ROA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3" style="width:67.2pt;height:25.8pt;margin-top:22.25pt;margin-left:315.8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3360" fillcolor="white" strokecolor="black" strokeweight="1pt">
                <v:textbox>
                  <w:txbxContent>
                    <w:p w:rsidR="000368BE" w:rsidRPr="00910852" w:rsidP="000368BE" w14:paraId="0D3E91C1"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ROA (Y)</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282575</wp:posOffset>
                </wp:positionV>
                <wp:extent cx="830580" cy="320040"/>
                <wp:effectExtent l="0" t="0" r="26670" b="22860"/>
                <wp:wrapNone/>
                <wp:docPr id="209681248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30580" cy="3200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368BE" w:rsidRPr="00910852" w:rsidP="000368BE"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CSR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4" style="width:65.4pt;height:25.2pt;margin-top:22.25pt;margin-left:87pt;mso-height-percent:0;mso-height-relative:margin;mso-width-percent:0;mso-width-relative:margin;mso-wrap-distance-bottom:0;mso-wrap-distance-left:9pt;mso-wrap-distance-right:9pt;mso-wrap-distance-top:0;mso-wrap-style:square;position:absolute;v-text-anchor:middle;visibility:visible;z-index:251659264" fillcolor="white" strokecolor="black" strokeweight="1pt">
                <v:textbox>
                  <w:txbxContent>
                    <w:p w:rsidR="000368BE" w:rsidRPr="00910852" w:rsidP="000368BE" w14:paraId="6CA752EC"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CSR (X)</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E4282" w:rsidP="003E4282" w14:paraId="7E759304" w14:textId="77777777">
      <w:pPr>
        <w:pStyle w:val="ListParagraph"/>
        <w:spacing w:after="0" w:line="240" w:lineRule="auto"/>
        <w:ind w:left="1145"/>
        <w:jc w:val="center"/>
        <w:rPr>
          <w:rFonts w:ascii="Times New Roman" w:hAnsi="Times New Roman" w:cs="Times New Roman"/>
          <w:b/>
          <w:bCs/>
          <w:sz w:val="24"/>
          <w:szCs w:val="24"/>
        </w:rPr>
      </w:pPr>
    </w:p>
    <w:p w:rsidR="003E4282" w:rsidP="003E4282" w14:paraId="3570C3B6" w14:textId="77777777">
      <w:pPr>
        <w:pStyle w:val="ListParagraph"/>
        <w:spacing w:after="0" w:line="240" w:lineRule="auto"/>
        <w:ind w:left="1145"/>
        <w:jc w:val="center"/>
        <w:rPr>
          <w:rFonts w:ascii="Times New Roman" w:hAnsi="Times New Roman" w:cs="Times New Roman"/>
          <w:b/>
          <w:bCs/>
          <w:sz w:val="24"/>
          <w:szCs w:val="24"/>
        </w:rPr>
      </w:pPr>
    </w:p>
    <w:p w:rsidR="003E4282" w:rsidRPr="005C4152" w:rsidP="003E4282" w14:paraId="13CC76E7" w14:textId="7F95EB4C">
      <w:pPr>
        <w:pStyle w:val="ListParagraph"/>
        <w:spacing w:after="0" w:line="240" w:lineRule="auto"/>
        <w:ind w:left="1145"/>
        <w:jc w:val="center"/>
        <w:rPr>
          <w:rFonts w:ascii="Times New Roman" w:hAnsi="Times New Roman" w:cs="Times New Roman"/>
          <w:b/>
          <w:bCs/>
          <w:sz w:val="24"/>
          <w:szCs w:val="24"/>
        </w:rPr>
      </w:pPr>
      <w:r w:rsidRPr="005C4152">
        <w:rPr>
          <w:rFonts w:ascii="Times New Roman" w:hAnsi="Times New Roman" w:cs="Times New Roman"/>
          <w:b/>
          <w:bCs/>
          <w:sz w:val="24"/>
          <w:szCs w:val="24"/>
        </w:rPr>
        <w:t>Gambar 8</w:t>
      </w:r>
    </w:p>
    <w:p w:rsidR="00FE78F0" w:rsidRPr="00A776B4" w:rsidP="00A776B4" w14:paraId="0AB7B05E" w14:textId="6CC1A22C">
      <w:pPr>
        <w:pStyle w:val="ListParagraph"/>
        <w:spacing w:after="0" w:line="240" w:lineRule="auto"/>
        <w:ind w:left="1145"/>
        <w:jc w:val="center"/>
        <w:rPr>
          <w:rFonts w:ascii="Times New Roman" w:hAnsi="Times New Roman" w:cs="Times New Roman"/>
          <w:b/>
          <w:bCs/>
          <w:sz w:val="24"/>
          <w:szCs w:val="24"/>
        </w:rPr>
      </w:pPr>
      <w:r w:rsidRPr="005C4152">
        <w:rPr>
          <w:rFonts w:ascii="Times New Roman" w:hAnsi="Times New Roman" w:cs="Times New Roman"/>
          <w:b/>
          <w:bCs/>
          <w:sz w:val="24"/>
          <w:szCs w:val="24"/>
        </w:rPr>
        <w:t xml:space="preserve">Hasil </w:t>
      </w:r>
      <w:r w:rsidRPr="005C4152">
        <w:rPr>
          <w:rFonts w:ascii="Times New Roman" w:hAnsi="Times New Roman" w:cs="Times New Roman"/>
          <w:b/>
          <w:bCs/>
          <w:sz w:val="24"/>
          <w:szCs w:val="24"/>
        </w:rPr>
        <w:t>Analisis</w:t>
      </w:r>
      <w:r w:rsidRPr="005C4152">
        <w:rPr>
          <w:rFonts w:ascii="Times New Roman" w:hAnsi="Times New Roman" w:cs="Times New Roman"/>
          <w:b/>
          <w:bCs/>
          <w:sz w:val="24"/>
          <w:szCs w:val="24"/>
        </w:rPr>
        <w:t xml:space="preserve"> Model </w:t>
      </w:r>
      <w:r w:rsidRPr="005C4152">
        <w:rPr>
          <w:rFonts w:ascii="Times New Roman" w:hAnsi="Times New Roman" w:cs="Times New Roman"/>
          <w:b/>
          <w:bCs/>
          <w:sz w:val="24"/>
          <w:szCs w:val="24"/>
        </w:rPr>
        <w:t>Regresi</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Mediasi</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Dengan</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Proksi</w:t>
      </w:r>
      <w:r w:rsidRPr="005C4152">
        <w:rPr>
          <w:rFonts w:ascii="Times New Roman" w:hAnsi="Times New Roman" w:cs="Times New Roman"/>
          <w:b/>
          <w:bCs/>
          <w:sz w:val="24"/>
          <w:szCs w:val="24"/>
        </w:rPr>
        <w:t xml:space="preserve"> </w:t>
      </w:r>
      <w:r>
        <w:rPr>
          <w:rFonts w:ascii="Times New Roman" w:hAnsi="Times New Roman" w:cs="Times New Roman"/>
          <w:b/>
          <w:bCs/>
          <w:sz w:val="24"/>
          <w:szCs w:val="24"/>
        </w:rPr>
        <w:t>ROA</w:t>
      </w:r>
    </w:p>
    <w:p w:rsidR="005C4152" w:rsidP="00037DA7" w14:paraId="58F03701" w14:textId="39D064CC">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menghitung</w:t>
      </w:r>
      <w:r>
        <w:rPr>
          <w:rFonts w:ascii="Times New Roman" w:hAnsi="Times New Roman" w:cs="Times New Roman"/>
          <w:sz w:val="24"/>
          <w:szCs w:val="24"/>
        </w:rPr>
        <w:t xml:space="preserve"> S</w:t>
      </w:r>
      <w:r w:rsidRPr="005C4152">
        <w:rPr>
          <w:rFonts w:ascii="Times New Roman" w:hAnsi="Times New Roman" w:cs="Times New Roman"/>
          <w:sz w:val="24"/>
          <w:szCs w:val="24"/>
          <w:vertAlign w:val="subscript"/>
        </w:rPr>
        <w:t>ab</w:t>
      </w:r>
      <w:r>
        <w:rPr>
          <w:rFonts w:ascii="Times New Roman" w:hAnsi="Times New Roman" w:cs="Times New Roman"/>
          <w:sz w:val="24"/>
          <w:szCs w:val="24"/>
        </w:rPr>
        <w:t xml:space="preserve">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rumus</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w:t>
      </w:r>
    </w:p>
    <w:p w:rsidR="005C4152" w:rsidRPr="005C4152" w:rsidP="00037DA7" w14:paraId="6CE2FEDC" w14:textId="5A63AAD5">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w:t>
      </w:r>
      <m:oMath>
        <m:rad>
          <m:radPr>
            <m:degHide/>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sb²</m:t>
            </m:r>
          </m:e>
        </m:rad>
      </m:oMath>
    </w:p>
    <w:p w:rsidR="005C4152" w:rsidRPr="005C4152" w:rsidP="00037DA7" w14:paraId="2E95D8B5" w14:textId="6BA5E6FD">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w:t>
      </w:r>
      <m:oMath>
        <m:rad>
          <m:radPr>
            <m:degHide/>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(0,050)</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(0,044)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(0,869)</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(0,012)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0,044</m:t>
                    </m:r>
                  </m:e>
                </m:d>
              </m:e>
              <m:sup>
                <m:r>
                  <w:rPr>
                    <w:rFonts w:ascii="Cambria Math" w:hAnsi="Cambria Math" w:cs="Times New Roman"/>
                    <w:sz w:val="24"/>
                    <w:szCs w:val="24"/>
                  </w:rPr>
                  <m:t>2</m:t>
                </m:r>
              </m:sup>
            </m:sSup>
            <m:r>
              <w:rPr>
                <w:rFonts w:ascii="Cambria Math" w:hAnsi="Cambria Math" w:cs="Times New Roman"/>
                <w:sz w:val="24"/>
                <w:szCs w:val="24"/>
              </w:rPr>
              <m:t>(0,012)²</m:t>
            </m:r>
          </m:e>
        </m:rad>
      </m:oMath>
    </w:p>
    <w:p w:rsidR="000368BE" w:rsidP="00037DA7" w14:paraId="5A480255" w14:textId="4B38AEFE">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9B076D">
        <w:rPr>
          <w:rFonts w:ascii="Times New Roman" w:hAnsi="Times New Roman" w:eastAsiaTheme="minorEastAsia" w:cs="Times New Roman"/>
          <w:sz w:val="24"/>
          <w:szCs w:val="24"/>
        </w:rPr>
        <w:t>0,0</w:t>
      </w:r>
      <w:r w:rsidR="00AB1F33">
        <w:rPr>
          <w:rFonts w:ascii="Times New Roman" w:hAnsi="Times New Roman" w:eastAsiaTheme="minorEastAsia" w:cs="Times New Roman"/>
          <w:sz w:val="24"/>
          <w:szCs w:val="24"/>
        </w:rPr>
        <w:t>1065754</w:t>
      </w:r>
    </w:p>
    <w:p w:rsidR="009B076D" w:rsidP="00037DA7" w14:paraId="677B1741" w14:textId="6D2BC40B">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Sedangkan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untuk</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nilai</w:t>
      </w:r>
      <w:r>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hitung</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adalah</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sebagai</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berikut</w:t>
      </w:r>
      <w:r>
        <w:rPr>
          <w:rFonts w:ascii="Times New Roman" w:hAnsi="Times New Roman" w:eastAsiaTheme="minorEastAsia" w:cs="Times New Roman"/>
          <w:sz w:val="24"/>
          <w:szCs w:val="24"/>
        </w:rPr>
        <w:t>:</w:t>
      </w:r>
    </w:p>
    <w:p w:rsidR="009B076D" w:rsidP="00037DA7" w14:paraId="2ACB438E" w14:textId="23003B40">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sidR="00AB1F33">
        <w:rPr>
          <w:rFonts w:ascii="Times New Roman" w:hAnsi="Times New Roman" w:eastAsiaTheme="minorEastAsia" w:cs="Times New Roman"/>
          <w:sz w:val="24"/>
          <w:szCs w:val="24"/>
        </w:rPr>
        <w:t>h</w:t>
      </w:r>
      <w:r>
        <w:rPr>
          <w:rFonts w:ascii="Times New Roman" w:hAnsi="Times New Roman" w:eastAsiaTheme="minorEastAsia" w:cs="Times New Roman"/>
          <w:sz w:val="24"/>
          <w:szCs w:val="24"/>
        </w:rPr>
        <w:t>itung</w:t>
      </w:r>
      <w:r>
        <w:rPr>
          <w:rFonts w:ascii="Times New Roman" w:hAnsi="Times New Roman" w:eastAsiaTheme="minorEastAsia" w:cs="Times New Roman"/>
          <w:sz w:val="24"/>
          <w:szCs w:val="24"/>
        </w:rPr>
        <w:t xml:space="preserve"> = </w:t>
      </w:r>
      <m:oMath>
        <m:f>
          <m:fPr>
            <m:ctrlPr>
              <w:rPr>
                <w:rFonts w:ascii="Cambria Math" w:hAnsi="Cambria Math" w:eastAsiaTheme="minorEastAsia" w:cs="Times New Roman"/>
                <w:i/>
                <w:sz w:val="24"/>
                <w:szCs w:val="24"/>
              </w:rPr>
            </m:ctrlPr>
          </m:fPr>
          <m:num>
            <m:r>
              <m:rPr>
                <m:nor/>
              </m:rPr>
              <w:rPr>
                <w:rFonts w:ascii="Times New Roman" w:hAnsi="Times New Roman" w:eastAsiaTheme="minorEastAsia" w:cs="Times New Roman"/>
                <w:sz w:val="24"/>
                <w:szCs w:val="24"/>
              </w:rPr>
              <m:t>(0,869) (0,050)</m:t>
            </m:r>
          </m:num>
          <m:den>
            <m:r>
              <m:rPr>
                <m:nor/>
              </m:rPr>
              <w:rPr>
                <w:rFonts w:ascii="Times New Roman" w:hAnsi="Times New Roman" w:eastAsiaTheme="minorEastAsia" w:cs="Times New Roman"/>
                <w:sz w:val="24"/>
                <w:szCs w:val="24"/>
              </w:rPr>
              <m:t>0,01065754</m:t>
            </m:r>
          </m:den>
        </m:f>
      </m:oMath>
      <w:r>
        <w:rPr>
          <w:rFonts w:ascii="Times New Roman" w:hAnsi="Times New Roman" w:eastAsiaTheme="minorEastAsia" w:cs="Times New Roman"/>
          <w:sz w:val="24"/>
          <w:szCs w:val="24"/>
        </w:rPr>
        <w:t xml:space="preserve"> = </w:t>
      </w:r>
      <w:r w:rsidR="00AB1F33">
        <w:rPr>
          <w:rFonts w:ascii="Times New Roman" w:hAnsi="Times New Roman" w:eastAsiaTheme="minorEastAsia" w:cs="Times New Roman"/>
          <w:sz w:val="24"/>
          <w:szCs w:val="24"/>
        </w:rPr>
        <w:t>4,07692537</w:t>
      </w:r>
    </w:p>
    <w:p w:rsidR="009B076D" w:rsidRPr="00AB1F33" w:rsidP="00037DA7" w14:paraId="537479E2" w14:textId="43092072">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Berdasarkan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hasil</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perhitungan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diperoleh</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nilai</w:t>
      </w:r>
      <w:r>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hitung</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sebesar</w:t>
      </w:r>
      <w:r>
        <w:rPr>
          <w:rFonts w:ascii="Times New Roman" w:hAnsi="Times New Roman" w:eastAsiaTheme="minorEastAsia" w:cs="Times New Roman"/>
          <w:sz w:val="24"/>
          <w:szCs w:val="24"/>
        </w:rPr>
        <w:t xml:space="preserve"> 4,08 </w:t>
      </w:r>
      <w:r>
        <w:rPr>
          <w:rFonts w:ascii="Times New Roman" w:hAnsi="Times New Roman" w:eastAsiaTheme="minorEastAsia" w:cs="Times New Roman"/>
          <w:sz w:val="24"/>
          <w:szCs w:val="24"/>
        </w:rPr>
        <w:t>lebih</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besar</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dari</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nilai</w:t>
      </w:r>
      <w:r>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tabel</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dengan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tingkat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signifikasi</w:t>
      </w:r>
      <w:r>
        <w:rPr>
          <w:rFonts w:ascii="Times New Roman" w:hAnsi="Times New Roman" w:eastAsiaTheme="minorEastAsia" w:cs="Times New Roman"/>
          <w:sz w:val="24"/>
          <w:szCs w:val="24"/>
        </w:rPr>
        <w:t xml:space="preserve"> 0,05, </w:t>
      </w:r>
      <w:r>
        <w:rPr>
          <w:rFonts w:ascii="Times New Roman" w:hAnsi="Times New Roman" w:eastAsiaTheme="minorEastAsia" w:cs="Times New Roman"/>
          <w:sz w:val="24"/>
          <w:szCs w:val="24"/>
        </w:rPr>
        <w:t>yaitu</w:t>
      </w:r>
      <w:r>
        <w:rPr>
          <w:rFonts w:ascii="Times New Roman" w:hAnsi="Times New Roman" w:eastAsiaTheme="minorEastAsia" w:cs="Times New Roman"/>
          <w:sz w:val="24"/>
          <w:szCs w:val="24"/>
        </w:rPr>
        <w:t xml:space="preserve"> 1,96. Maka </w:t>
      </w:r>
      <w:r>
        <w:rPr>
          <w:rFonts w:ascii="Times New Roman" w:hAnsi="Times New Roman" w:eastAsiaTheme="minorEastAsia" w:cs="Times New Roman"/>
          <w:sz w:val="24"/>
          <w:szCs w:val="24"/>
        </w:rPr>
        <w:t>dapat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dikatakan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bahwa</w:t>
      </w:r>
      <w:r>
        <w:rPr>
          <w:rFonts w:ascii="Times New Roman" w:hAnsi="Times New Roman" w:eastAsiaTheme="minorEastAsia" w:cs="Times New Roman"/>
          <w:sz w:val="24"/>
          <w:szCs w:val="24"/>
        </w:rPr>
        <w:t xml:space="preserve"> </w:t>
      </w:r>
      <w:r w:rsidRPr="00FB0563">
        <w:rPr>
          <w:rFonts w:ascii="Times New Roman" w:hAnsi="Times New Roman" w:eastAsiaTheme="minorEastAsia" w:cs="Times New Roman"/>
          <w:i/>
          <w:iCs/>
          <w:sz w:val="24"/>
          <w:szCs w:val="24"/>
        </w:rPr>
        <w:t>green banking</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memediasi</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hubungan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kausal</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antara</w:t>
      </w:r>
      <w:r>
        <w:rPr>
          <w:rFonts w:ascii="Times New Roman" w:hAnsi="Times New Roman" w:eastAsiaTheme="minorEastAsia" w:cs="Times New Roman"/>
          <w:sz w:val="24"/>
          <w:szCs w:val="24"/>
        </w:rPr>
        <w:t xml:space="preserve"> </w:t>
      </w:r>
      <w:r w:rsidRPr="00FB0563">
        <w:rPr>
          <w:rFonts w:ascii="Times New Roman" w:hAnsi="Times New Roman" w:eastAsiaTheme="minorEastAsia" w:cs="Times New Roman"/>
          <w:i/>
          <w:iCs/>
          <w:sz w:val="24"/>
          <w:szCs w:val="24"/>
        </w:rPr>
        <w:t>corporat</w:t>
      </w:r>
      <w:r w:rsidRPr="00FB0563" w:rsidR="00FB0563">
        <w:rPr>
          <w:rFonts w:ascii="Times New Roman" w:hAnsi="Times New Roman" w:eastAsiaTheme="minorEastAsia" w:cs="Times New Roman"/>
          <w:i/>
          <w:iCs/>
          <w:sz w:val="24"/>
          <w:szCs w:val="24"/>
        </w:rPr>
        <w:t xml:space="preserve">e </w:t>
      </w:r>
      <w:r w:rsidRPr="00FB0563">
        <w:rPr>
          <w:rFonts w:ascii="Times New Roman" w:hAnsi="Times New Roman" w:eastAsiaTheme="minorEastAsia" w:cs="Times New Roman"/>
          <w:i/>
          <w:iCs/>
          <w:sz w:val="24"/>
          <w:szCs w:val="24"/>
        </w:rPr>
        <w:t>social responsibility</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terhadap</w:t>
      </w:r>
      <w:r>
        <w:rPr>
          <w:rFonts w:ascii="Times New Roman" w:hAnsi="Times New Roman" w:eastAsiaTheme="minorEastAsia" w:cs="Times New Roman"/>
          <w:sz w:val="24"/>
          <w:szCs w:val="24"/>
        </w:rPr>
        <w:t xml:space="preserve"> </w:t>
      </w:r>
      <w:r w:rsidRPr="00FB0563">
        <w:rPr>
          <w:rFonts w:ascii="Times New Roman" w:hAnsi="Times New Roman" w:eastAsiaTheme="minorEastAsia" w:cs="Times New Roman"/>
          <w:i/>
          <w:iCs/>
          <w:sz w:val="24"/>
          <w:szCs w:val="24"/>
        </w:rPr>
        <w:t>return on assets</w:t>
      </w:r>
      <w:r>
        <w:rPr>
          <w:rFonts w:ascii="Times New Roman" w:hAnsi="Times New Roman" w:eastAsiaTheme="minorEastAsia" w:cs="Times New Roman"/>
          <w:sz w:val="24"/>
          <w:szCs w:val="24"/>
        </w:rPr>
        <w:t xml:space="preserve"> (H8 </w:t>
      </w:r>
      <w:r>
        <w:rPr>
          <w:rFonts w:ascii="Times New Roman" w:hAnsi="Times New Roman" w:eastAsiaTheme="minorEastAsia" w:cs="Times New Roman"/>
          <w:sz w:val="24"/>
          <w:szCs w:val="24"/>
        </w:rPr>
        <w:t>diterima</w:t>
      </w:r>
      <w:r>
        <w:rPr>
          <w:rFonts w:ascii="Times New Roman" w:hAnsi="Times New Roman" w:eastAsiaTheme="minorEastAsia" w:cs="Times New Roman"/>
          <w:sz w:val="24"/>
          <w:szCs w:val="24"/>
        </w:rPr>
        <w:t>).</w:t>
      </w:r>
    </w:p>
    <w:p w:rsidR="000368BE" w:rsidP="000368BE" w14:paraId="16B99C81" w14:textId="52752625">
      <w:pPr>
        <w:pStyle w:val="ListParagraph"/>
        <w:numPr>
          <w:ilvl w:val="0"/>
          <w:numId w:val="5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Kinerja </w:t>
      </w:r>
      <w:r>
        <w:rPr>
          <w:rFonts w:ascii="Times New Roman" w:hAnsi="Times New Roman" w:cs="Times New Roman"/>
          <w:sz w:val="24"/>
          <w:szCs w:val="24"/>
        </w:rPr>
        <w:t>Keuangan</w:t>
      </w:r>
      <w:r>
        <w:rPr>
          <w:rFonts w:ascii="Times New Roman" w:hAnsi="Times New Roman" w:cs="Times New Roman"/>
          <w:sz w:val="24"/>
          <w:szCs w:val="24"/>
        </w:rPr>
        <w:t xml:space="preserve"> </w:t>
      </w:r>
      <w:r w:rsidR="00FB0563">
        <w:rPr>
          <w:rFonts w:ascii="Times New Roman" w:hAnsi="Times New Roman" w:cs="Times New Roman"/>
          <w:sz w:val="24"/>
          <w:szCs w:val="24"/>
        </w:rPr>
        <w:t>Dengan</w:t>
      </w:r>
      <w:r w:rsidR="00FB0563">
        <w:rPr>
          <w:rFonts w:ascii="Times New Roman" w:hAnsi="Times New Roman" w:cs="Times New Roman"/>
          <w:sz w:val="24"/>
          <w:szCs w:val="24"/>
        </w:rPr>
        <w:t xml:space="preserve"> </w:t>
      </w:r>
      <w:r w:rsidR="00FB0563">
        <w:rPr>
          <w:rFonts w:ascii="Times New Roman" w:hAnsi="Times New Roman" w:cs="Times New Roman"/>
          <w:sz w:val="24"/>
          <w:szCs w:val="24"/>
        </w:rPr>
        <w:t>Proksi</w:t>
      </w:r>
      <w:r w:rsidR="00FB0563">
        <w:rPr>
          <w:rFonts w:ascii="Times New Roman" w:hAnsi="Times New Roman" w:cs="Times New Roman"/>
          <w:sz w:val="24"/>
          <w:szCs w:val="24"/>
        </w:rPr>
        <w:t xml:space="preserve"> </w:t>
      </w:r>
      <w:r w:rsidRPr="00FB0563" w:rsidR="00FB0563">
        <w:rPr>
          <w:rFonts w:ascii="Times New Roman" w:hAnsi="Times New Roman" w:cs="Times New Roman"/>
          <w:i/>
          <w:iCs/>
          <w:sz w:val="24"/>
          <w:szCs w:val="24"/>
        </w:rPr>
        <w:t xml:space="preserve">Return </w:t>
      </w:r>
      <w:r w:rsidRPr="00FB0563" w:rsidR="00FB0563">
        <w:rPr>
          <w:rFonts w:ascii="Times New Roman" w:hAnsi="Times New Roman" w:cs="Times New Roman"/>
          <w:i/>
          <w:iCs/>
          <w:sz w:val="24"/>
          <w:szCs w:val="24"/>
        </w:rPr>
        <w:t>On</w:t>
      </w:r>
      <w:r w:rsidRPr="00FB0563" w:rsidR="00FB0563">
        <w:rPr>
          <w:rFonts w:ascii="Times New Roman" w:hAnsi="Times New Roman" w:cs="Times New Roman"/>
          <w:i/>
          <w:iCs/>
          <w:sz w:val="24"/>
          <w:szCs w:val="24"/>
        </w:rPr>
        <w:t xml:space="preserve"> Equity</w:t>
      </w:r>
      <w:r w:rsidR="00FB0563">
        <w:rPr>
          <w:rFonts w:ascii="Times New Roman" w:hAnsi="Times New Roman" w:cs="Times New Roman"/>
          <w:sz w:val="24"/>
          <w:szCs w:val="24"/>
        </w:rPr>
        <w:t xml:space="preserve"> </w:t>
      </w:r>
      <w:r>
        <w:rPr>
          <w:rFonts w:ascii="Times New Roman" w:hAnsi="Times New Roman" w:cs="Times New Roman"/>
          <w:sz w:val="24"/>
          <w:szCs w:val="24"/>
        </w:rPr>
        <w:t>(ROE)</w:t>
      </w:r>
    </w:p>
    <w:p w:rsidR="00AB1F33" w:rsidP="00AB1F33" w14:paraId="26298EE4" w14:textId="77777777">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746760</wp:posOffset>
                </wp:positionH>
                <wp:positionV relativeFrom="paragraph">
                  <wp:posOffset>7620</wp:posOffset>
                </wp:positionV>
                <wp:extent cx="4274820" cy="2011680"/>
                <wp:effectExtent l="0" t="0" r="11430" b="26670"/>
                <wp:wrapNone/>
                <wp:docPr id="115354241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274820" cy="20116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5" style="width:336.6pt;height:158.4pt;margin-top:0.6pt;margin-left:58.8pt;mso-height-percent:0;mso-height-relative:margin;mso-width-percent:0;mso-width-relative:margin;mso-wrap-distance-bottom:0;mso-wrap-distance-left:9pt;mso-wrap-distance-right:9pt;mso-wrap-distance-top:0;mso-wrap-style:square;position:absolute;v-text-anchor:middle;visibility:visible;z-index:251687936" filled="f" strokecolor="black"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2209800</wp:posOffset>
                </wp:positionH>
                <wp:positionV relativeFrom="paragraph">
                  <wp:posOffset>305435</wp:posOffset>
                </wp:positionV>
                <wp:extent cx="1447800" cy="350520"/>
                <wp:effectExtent l="0" t="0" r="19050" b="11430"/>
                <wp:wrapNone/>
                <wp:docPr id="197706655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3505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B1F33" w:rsidRPr="00910852" w:rsidP="00AB1F33" w14:textId="54C5A1A8">
                            <w:pPr>
                              <w:rPr>
                                <w:rFonts w:ascii="Times New Roman" w:hAnsi="Times New Roman" w:cs="Times New Roman"/>
                                <w:color w:val="000000" w:themeColor="text1"/>
                                <w:sz w:val="24"/>
                                <w:szCs w:val="24"/>
                              </w:rPr>
                            </w:pPr>
                            <w:r w:rsidRPr="00910852">
                              <w:rPr>
                                <w:rFonts w:ascii="Times New Roman" w:hAnsi="Times New Roman" w:cs="Times New Roman"/>
                                <w:i/>
                                <w:iCs/>
                                <w:color w:val="000000" w:themeColor="text1"/>
                                <w:sz w:val="24"/>
                                <w:szCs w:val="24"/>
                              </w:rPr>
                              <w:t xml:space="preserve">Green Banking </w:t>
                            </w:r>
                            <w:r w:rsidRPr="00910852">
                              <w:rPr>
                                <w:rFonts w:ascii="Times New Roman" w:hAnsi="Times New Roman" w:cs="Times New Roman"/>
                                <w:color w:val="000000" w:themeColor="text1"/>
                                <w:sz w:val="24"/>
                                <w:szCs w:val="24"/>
                              </w:rPr>
                              <w:t>(</w:t>
                            </w:r>
                            <w:r w:rsidR="00EA5741">
                              <w:rPr>
                                <w:rFonts w:ascii="Times New Roman" w:hAnsi="Times New Roman" w:cs="Times New Roman"/>
                                <w:color w:val="000000" w:themeColor="text1"/>
                                <w:sz w:val="24"/>
                                <w:szCs w:val="24"/>
                              </w:rPr>
                              <w:t>Z</w:t>
                            </w:r>
                            <w:r w:rsidRPr="00910852">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6" style="width:114pt;height:27.6pt;margin-top:24.05pt;margin-left:174pt;mso-height-percent:0;mso-height-relative:margin;mso-width-percent:0;mso-width-relative:margin;mso-wrap-distance-bottom:0;mso-wrap-distance-left:9pt;mso-wrap-distance-right:9pt;mso-wrap-distance-top:0;mso-wrap-style:square;position:absolute;v-text-anchor:middle;visibility:visible;z-index:251681792" fillcolor="white" strokecolor="black" strokeweight="1pt">
                <v:textbox>
                  <w:txbxContent>
                    <w:p w:rsidR="00AB1F33" w:rsidRPr="00910852" w:rsidP="00AB1F33" w14:paraId="170FE457" w14:textId="54C5A1A8">
                      <w:pPr>
                        <w:rPr>
                          <w:rFonts w:ascii="Times New Roman" w:hAnsi="Times New Roman" w:cs="Times New Roman"/>
                          <w:color w:val="000000" w:themeColor="text1"/>
                          <w:sz w:val="24"/>
                          <w:szCs w:val="24"/>
                        </w:rPr>
                      </w:pPr>
                      <w:r w:rsidRPr="00910852">
                        <w:rPr>
                          <w:rFonts w:ascii="Times New Roman" w:hAnsi="Times New Roman" w:cs="Times New Roman"/>
                          <w:i/>
                          <w:iCs/>
                          <w:color w:val="000000" w:themeColor="text1"/>
                          <w:sz w:val="24"/>
                          <w:szCs w:val="24"/>
                        </w:rPr>
                        <w:t xml:space="preserve">Green Banking </w:t>
                      </w:r>
                      <w:r w:rsidRPr="00910852">
                        <w:rPr>
                          <w:rFonts w:ascii="Times New Roman" w:hAnsi="Times New Roman" w:cs="Times New Roman"/>
                          <w:color w:val="000000" w:themeColor="text1"/>
                          <w:sz w:val="24"/>
                          <w:szCs w:val="24"/>
                        </w:rPr>
                        <w:t>(</w:t>
                      </w:r>
                      <w:r w:rsidR="00EA5741">
                        <w:rPr>
                          <w:rFonts w:ascii="Times New Roman" w:hAnsi="Times New Roman" w:cs="Times New Roman"/>
                          <w:color w:val="000000" w:themeColor="text1"/>
                          <w:sz w:val="24"/>
                          <w:szCs w:val="24"/>
                        </w:rPr>
                        <w:t>Z</w:t>
                      </w:r>
                      <w:r w:rsidRPr="00910852">
                        <w:rPr>
                          <w:rFonts w:ascii="Times New Roman" w:hAnsi="Times New Roman" w:cs="Times New Roman"/>
                          <w:color w:val="000000" w:themeColor="text1"/>
                          <w:sz w:val="24"/>
                          <w:szCs w:val="24"/>
                        </w:rPr>
                        <w:t>)</w:t>
                      </w:r>
                    </w:p>
                  </w:txbxContent>
                </v:textbox>
              </v:rect>
            </w:pict>
          </mc:Fallback>
        </mc:AlternateContent>
      </w:r>
    </w:p>
    <w:p w:rsidR="00AB1F33" w:rsidP="00AB1F33" w14:paraId="235B993F" w14:textId="77777777">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page">
                  <wp:posOffset>3398520</wp:posOffset>
                </wp:positionH>
                <wp:positionV relativeFrom="paragraph">
                  <wp:posOffset>297180</wp:posOffset>
                </wp:positionV>
                <wp:extent cx="861060" cy="777240"/>
                <wp:effectExtent l="0" t="38100" r="53340" b="22860"/>
                <wp:wrapNone/>
                <wp:docPr id="6846649"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86106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37" type="#_x0000_t32" style="width:67.8pt;height:61.2pt;margin-top:23.4pt;margin-left:267.6pt;flip:y;mso-height-percent:0;mso-height-relative:margin;mso-position-horizontal-relative:page;mso-width-percent:0;mso-width-relative:margin;mso-wrap-distance-bottom:0;mso-wrap-distance-left:9pt;mso-wrap-distance-right:9pt;mso-wrap-distance-top:0;mso-wrap-style:square;position:absolute;visibility:visible;z-index:251692032" strokecolor="black" strokeweight="0.5pt">
                <v:stroke joinstyle="miter"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2956560</wp:posOffset>
                </wp:positionH>
                <wp:positionV relativeFrom="paragraph">
                  <wp:posOffset>312420</wp:posOffset>
                </wp:positionV>
                <wp:extent cx="1036320" cy="784860"/>
                <wp:effectExtent l="0" t="0" r="68580" b="53340"/>
                <wp:wrapNone/>
                <wp:docPr id="1040689334"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0363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38" type="#_x0000_t32" style="width:81.6pt;height:61.8pt;margin-top:24.6pt;margin-left:232.8pt;mso-height-percent:0;mso-height-relative:margin;mso-width-percent:0;mso-width-relative:margin;mso-wrap-distance-bottom:0;mso-wrap-distance-left:9pt;mso-wrap-distance-right:9pt;mso-wrap-distance-top:0;mso-wrap-style:square;position:absolute;visibility:visible;z-index:251696128" strokecolor="black" strokeweight="0.5pt">
                <v:stroke joinstyle="miter" endarrow="block"/>
              </v:shape>
            </w:pict>
          </mc:Fallback>
        </mc:AlternateContent>
      </w:r>
    </w:p>
    <w:p w:rsidR="00AB1F33" w:rsidP="00AB1F33" w14:paraId="0C12C641" w14:textId="77777777">
      <w:pPr>
        <w:pStyle w:val="ListParagraph"/>
        <w:spacing w:after="0" w:line="480" w:lineRule="auto"/>
        <w:ind w:left="1145"/>
        <w:jc w:val="both"/>
        <w:rPr>
          <w:rFonts w:ascii="Times New Roman" w:hAnsi="Times New Roman" w:cs="Times New Roman"/>
          <w:sz w:val="24"/>
          <w:szCs w:val="24"/>
        </w:rPr>
      </w:pPr>
      <w:r w:rsidRPr="00ED5F3B">
        <w:rPr>
          <w:rFonts w:ascii="Times New Roman" w:hAnsi="Times New Roman" w:cs="Times New Roman"/>
          <w:noProof/>
          <w:sz w:val="24"/>
          <w:szCs w:val="24"/>
        </w:rPr>
        <mc:AlternateContent>
          <mc:Choice Requires="wps">
            <w:drawing>
              <wp:anchor distT="45720" distB="45720" distL="114300" distR="114300" simplePos="0" relativeHeight="251693056" behindDoc="0" locked="0" layoutInCell="1" allowOverlap="1">
                <wp:simplePos x="0" y="0"/>
                <wp:positionH relativeFrom="column">
                  <wp:posOffset>3505200</wp:posOffset>
                </wp:positionH>
                <wp:positionV relativeFrom="paragraph">
                  <wp:posOffset>68580</wp:posOffset>
                </wp:positionV>
                <wp:extent cx="845820" cy="441960"/>
                <wp:effectExtent l="0" t="0" r="0" b="0"/>
                <wp:wrapSquare wrapText="bothSides"/>
                <wp:docPr id="104820791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AB1F33" w:rsidRPr="00ED5F3B" w:rsidP="00AB1F33" w14:textId="47A6EB9E">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D5F3B">
                              <w:rPr>
                                <w:rFonts w:ascii="Times New Roman" w:hAnsi="Times New Roman" w:cs="Times New Roman"/>
                                <w:sz w:val="20"/>
                                <w:szCs w:val="20"/>
                              </w:rPr>
                              <w:t xml:space="preserve"> </w:t>
                            </w:r>
                            <w:r>
                              <w:rPr>
                                <w:rFonts w:ascii="Times New Roman" w:hAnsi="Times New Roman" w:cs="Times New Roman"/>
                                <w:sz w:val="20"/>
                                <w:szCs w:val="20"/>
                              </w:rPr>
                              <w:t>= 0,</w:t>
                            </w:r>
                            <w:r w:rsidR="00FB0563">
                              <w:rPr>
                                <w:rFonts w:ascii="Times New Roman" w:hAnsi="Times New Roman" w:cs="Times New Roman"/>
                                <w:sz w:val="20"/>
                                <w:szCs w:val="20"/>
                              </w:rPr>
                              <w:t>145</w:t>
                            </w:r>
                          </w:p>
                          <w:p w:rsidR="00AB1F33" w:rsidRPr="00ED5F3B" w:rsidP="00AB1F33" w14:textId="293AF4CA">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sidR="00AE7C28">
                              <w:rPr>
                                <w:rFonts w:ascii="Times New Roman" w:hAnsi="Times New Roman" w:cs="Times New Roman"/>
                                <w:sz w:val="20"/>
                                <w:szCs w:val="20"/>
                              </w:rPr>
                              <w:t>b</w:t>
                            </w:r>
                            <w:r>
                              <w:rPr>
                                <w:rFonts w:ascii="Times New Roman" w:hAnsi="Times New Roman" w:cs="Times New Roman"/>
                                <w:sz w:val="20"/>
                                <w:szCs w:val="20"/>
                              </w:rPr>
                              <w:t xml:space="preserve"> = 0,</w:t>
                            </w:r>
                            <w:r w:rsidR="00FB0563">
                              <w:rPr>
                                <w:rFonts w:ascii="Times New Roman" w:hAnsi="Times New Roman" w:cs="Times New Roman"/>
                                <w:sz w:val="20"/>
                                <w:szCs w:val="20"/>
                              </w:rPr>
                              <w:t>070</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66.6pt;height:34.8pt;margin-top:5.4pt;margin-left:276pt;mso-height-percent:0;mso-height-relative:margin;mso-width-percent:0;mso-width-relative:margin;mso-wrap-distance-bottom:3.6pt;mso-wrap-distance-left:9pt;mso-wrap-distance-right:9pt;mso-wrap-distance-top:3.6pt;mso-wrap-style:square;position:absolute;v-text-anchor:top;visibility:visible;z-index:251694080" stroked="f">
                <v:textbox>
                  <w:txbxContent>
                    <w:p w:rsidR="00AB1F33" w:rsidRPr="00ED5F3B" w:rsidP="00AB1F33" w14:paraId="381D661D" w14:textId="47A6EB9E">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D5F3B">
                        <w:rPr>
                          <w:rFonts w:ascii="Times New Roman" w:hAnsi="Times New Roman" w:cs="Times New Roman"/>
                          <w:sz w:val="20"/>
                          <w:szCs w:val="20"/>
                        </w:rPr>
                        <w:t xml:space="preserve"> </w:t>
                      </w:r>
                      <w:r>
                        <w:rPr>
                          <w:rFonts w:ascii="Times New Roman" w:hAnsi="Times New Roman" w:cs="Times New Roman"/>
                          <w:sz w:val="20"/>
                          <w:szCs w:val="20"/>
                        </w:rPr>
                        <w:t>= 0,</w:t>
                      </w:r>
                      <w:r w:rsidR="00FB0563">
                        <w:rPr>
                          <w:rFonts w:ascii="Times New Roman" w:hAnsi="Times New Roman" w:cs="Times New Roman"/>
                          <w:sz w:val="20"/>
                          <w:szCs w:val="20"/>
                        </w:rPr>
                        <w:t>145</w:t>
                      </w:r>
                    </w:p>
                    <w:p w:rsidR="00AB1F33" w:rsidRPr="00ED5F3B" w:rsidP="00AB1F33" w14:paraId="5AE32CE4" w14:textId="293AF4CA">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sidR="00AE7C28">
                        <w:rPr>
                          <w:rFonts w:ascii="Times New Roman" w:hAnsi="Times New Roman" w:cs="Times New Roman"/>
                          <w:sz w:val="20"/>
                          <w:szCs w:val="20"/>
                        </w:rPr>
                        <w:t>b</w:t>
                      </w:r>
                      <w:r>
                        <w:rPr>
                          <w:rFonts w:ascii="Times New Roman" w:hAnsi="Times New Roman" w:cs="Times New Roman"/>
                          <w:sz w:val="20"/>
                          <w:szCs w:val="20"/>
                        </w:rPr>
                        <w:t xml:space="preserve"> = 0,</w:t>
                      </w:r>
                      <w:r w:rsidR="00FB0563">
                        <w:rPr>
                          <w:rFonts w:ascii="Times New Roman" w:hAnsi="Times New Roman" w:cs="Times New Roman"/>
                          <w:sz w:val="20"/>
                          <w:szCs w:val="20"/>
                        </w:rPr>
                        <w:t>070</w:t>
                      </w:r>
                    </w:p>
                  </w:txbxContent>
                </v:textbox>
                <w10:wrap type="square"/>
              </v:shape>
            </w:pict>
          </mc:Fallback>
        </mc:AlternateContent>
      </w:r>
      <w:r w:rsidRPr="00ED5F3B">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simplePos x="0" y="0"/>
                <wp:positionH relativeFrom="column">
                  <wp:posOffset>1524000</wp:posOffset>
                </wp:positionH>
                <wp:positionV relativeFrom="paragraph">
                  <wp:posOffset>76200</wp:posOffset>
                </wp:positionV>
                <wp:extent cx="845820" cy="441960"/>
                <wp:effectExtent l="0" t="0" r="0" b="0"/>
                <wp:wrapSquare wrapText="bothSides"/>
                <wp:docPr id="140336776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AB1F33" w:rsidRPr="00ED5F3B" w:rsidP="00AB1F33"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 xml:space="preserve">a </w:t>
                            </w:r>
                            <w:r>
                              <w:rPr>
                                <w:rFonts w:ascii="Times New Roman" w:hAnsi="Times New Roman" w:cs="Times New Roman"/>
                                <w:sz w:val="20"/>
                                <w:szCs w:val="20"/>
                              </w:rPr>
                              <w:t>= 0,869</w:t>
                            </w:r>
                          </w:p>
                          <w:p w:rsidR="00AB1F33" w:rsidRPr="00ED5F3B" w:rsidP="00AB1F33"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Sa</w:t>
                            </w:r>
                            <w:r>
                              <w:rPr>
                                <w:rFonts w:ascii="Times New Roman" w:hAnsi="Times New Roman" w:cs="Times New Roman"/>
                                <w:sz w:val="20"/>
                                <w:szCs w:val="20"/>
                              </w:rPr>
                              <w:t xml:space="preserve"> = 0,044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66.6pt;height:34.8pt;margin-top:6pt;margin-left:120pt;mso-height-percent:0;mso-height-relative:margin;mso-width-percent:0;mso-width-relative:margin;mso-wrap-distance-bottom:3.6pt;mso-wrap-distance-left:9pt;mso-wrap-distance-right:9pt;mso-wrap-distance-top:3.6pt;mso-wrap-style:square;position:absolute;v-text-anchor:top;visibility:visible;z-index:251689984" stroked="f">
                <v:textbox>
                  <w:txbxContent>
                    <w:p w:rsidR="00AB1F33" w:rsidRPr="00ED5F3B" w:rsidP="00AB1F33" w14:paraId="60E56CAD"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 xml:space="preserve">a </w:t>
                      </w:r>
                      <w:r>
                        <w:rPr>
                          <w:rFonts w:ascii="Times New Roman" w:hAnsi="Times New Roman" w:cs="Times New Roman"/>
                          <w:sz w:val="20"/>
                          <w:szCs w:val="20"/>
                        </w:rPr>
                        <w:t>= 0,869</w:t>
                      </w:r>
                    </w:p>
                    <w:p w:rsidR="00AB1F33" w:rsidRPr="00ED5F3B" w:rsidP="00AB1F33" w14:paraId="5C8708C1"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Sa</w:t>
                      </w:r>
                      <w:r>
                        <w:rPr>
                          <w:rFonts w:ascii="Times New Roman" w:hAnsi="Times New Roman" w:cs="Times New Roman"/>
                          <w:sz w:val="20"/>
                          <w:szCs w:val="20"/>
                        </w:rPr>
                        <w:t xml:space="preserve"> = 0,044</w:t>
                      </w:r>
                    </w:p>
                  </w:txbxContent>
                </v:textbox>
                <w10:wrap type="square"/>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B1F33" w:rsidP="00AB1F33" w14:paraId="474C6036" w14:textId="2DF2302B">
      <w:pPr>
        <w:pStyle w:val="ListParagraph"/>
        <w:spacing w:after="0" w:line="480" w:lineRule="auto"/>
        <w:ind w:left="1145"/>
        <w:jc w:val="both"/>
        <w:rPr>
          <w:rFonts w:ascii="Times New Roman" w:hAnsi="Times New Roman" w:cs="Times New Roman"/>
          <w:sz w:val="24"/>
          <w:szCs w:val="24"/>
        </w:rPr>
      </w:pPr>
      <w:r w:rsidRPr="00ED5F3B">
        <w:rPr>
          <w:rFonts w:ascii="Times New Roman" w:hAnsi="Times New Roman" w:cs="Times New Roman"/>
          <w:noProof/>
          <w:sz w:val="24"/>
          <w:szCs w:val="24"/>
        </w:rPr>
        <mc:AlternateContent>
          <mc:Choice Requires="wps">
            <w:drawing>
              <wp:anchor distT="45720" distB="45720" distL="114300" distR="114300" simplePos="0" relativeHeight="251697152" behindDoc="0" locked="0" layoutInCell="1" allowOverlap="1">
                <wp:simplePos x="0" y="0"/>
                <wp:positionH relativeFrom="column">
                  <wp:posOffset>2484120</wp:posOffset>
                </wp:positionH>
                <wp:positionV relativeFrom="paragraph">
                  <wp:posOffset>494665</wp:posOffset>
                </wp:positionV>
                <wp:extent cx="845820" cy="441960"/>
                <wp:effectExtent l="0" t="0" r="0" b="0"/>
                <wp:wrapSquare wrapText="bothSides"/>
                <wp:docPr id="20452706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AB1F33" w:rsidRPr="00ED5F3B" w:rsidP="00AB1F33" w14:textId="46A59C4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D5F3B">
                              <w:rPr>
                                <w:rFonts w:ascii="Times New Roman" w:hAnsi="Times New Roman" w:cs="Times New Roman"/>
                                <w:sz w:val="20"/>
                                <w:szCs w:val="20"/>
                              </w:rPr>
                              <w:t xml:space="preserve"> </w:t>
                            </w:r>
                            <w:r>
                              <w:rPr>
                                <w:rFonts w:ascii="Times New Roman" w:hAnsi="Times New Roman" w:cs="Times New Roman"/>
                                <w:sz w:val="20"/>
                                <w:szCs w:val="20"/>
                              </w:rPr>
                              <w:t>= 0,</w:t>
                            </w:r>
                            <w:r w:rsidR="00FB0563">
                              <w:rPr>
                                <w:rFonts w:ascii="Times New Roman" w:hAnsi="Times New Roman" w:cs="Times New Roman"/>
                                <w:sz w:val="20"/>
                                <w:szCs w:val="20"/>
                              </w:rPr>
                              <w:t>099</w:t>
                            </w:r>
                          </w:p>
                          <w:p w:rsidR="00AB1F33" w:rsidRPr="00ED5F3B" w:rsidP="00AB1F33" w14:textId="38EAA7A5">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Pr>
                                <w:rFonts w:ascii="Times New Roman" w:hAnsi="Times New Roman" w:cs="Times New Roman"/>
                                <w:sz w:val="20"/>
                                <w:szCs w:val="20"/>
                              </w:rPr>
                              <w:t>c = 0,0</w:t>
                            </w:r>
                            <w:r w:rsidR="00FB0563">
                              <w:rPr>
                                <w:rFonts w:ascii="Times New Roman" w:hAnsi="Times New Roman" w:cs="Times New Roman"/>
                                <w:sz w:val="20"/>
                                <w:szCs w:val="20"/>
                              </w:rPr>
                              <w:t>69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width:66.6pt;height:34.8pt;margin-top:38.95pt;margin-left:195.6pt;mso-height-percent:0;mso-height-relative:margin;mso-width-percent:0;mso-width-relative:margin;mso-wrap-distance-bottom:3.6pt;mso-wrap-distance-left:9pt;mso-wrap-distance-right:9pt;mso-wrap-distance-top:3.6pt;mso-wrap-style:square;position:absolute;v-text-anchor:top;visibility:visible;z-index:251698176" stroked="f">
                <v:textbox>
                  <w:txbxContent>
                    <w:p w:rsidR="00AB1F33" w:rsidRPr="00ED5F3B" w:rsidP="00AB1F33" w14:paraId="7E691A34" w14:textId="46A59C43">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D5F3B">
                        <w:rPr>
                          <w:rFonts w:ascii="Times New Roman" w:hAnsi="Times New Roman" w:cs="Times New Roman"/>
                          <w:sz w:val="20"/>
                          <w:szCs w:val="20"/>
                        </w:rPr>
                        <w:t xml:space="preserve"> </w:t>
                      </w:r>
                      <w:r>
                        <w:rPr>
                          <w:rFonts w:ascii="Times New Roman" w:hAnsi="Times New Roman" w:cs="Times New Roman"/>
                          <w:sz w:val="20"/>
                          <w:szCs w:val="20"/>
                        </w:rPr>
                        <w:t>= 0,</w:t>
                      </w:r>
                      <w:r w:rsidR="00FB0563">
                        <w:rPr>
                          <w:rFonts w:ascii="Times New Roman" w:hAnsi="Times New Roman" w:cs="Times New Roman"/>
                          <w:sz w:val="20"/>
                          <w:szCs w:val="20"/>
                        </w:rPr>
                        <w:t>099</w:t>
                      </w:r>
                    </w:p>
                    <w:p w:rsidR="00AB1F33" w:rsidRPr="00ED5F3B" w:rsidP="00AB1F33" w14:paraId="211F2977" w14:textId="38EAA7A5">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Pr>
                          <w:rFonts w:ascii="Times New Roman" w:hAnsi="Times New Roman" w:cs="Times New Roman"/>
                          <w:sz w:val="20"/>
                          <w:szCs w:val="20"/>
                        </w:rPr>
                        <w:t>c = 0,0</w:t>
                      </w:r>
                      <w:r w:rsidR="00FB0563">
                        <w:rPr>
                          <w:rFonts w:ascii="Times New Roman" w:hAnsi="Times New Roman" w:cs="Times New Roman"/>
                          <w:sz w:val="20"/>
                          <w:szCs w:val="20"/>
                        </w:rPr>
                        <w:t>69</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1965960</wp:posOffset>
                </wp:positionH>
                <wp:positionV relativeFrom="paragraph">
                  <wp:posOffset>438150</wp:posOffset>
                </wp:positionV>
                <wp:extent cx="2019300" cy="45719"/>
                <wp:effectExtent l="0" t="38100" r="38100" b="88265"/>
                <wp:wrapNone/>
                <wp:docPr id="1076541034"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2019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42" type="#_x0000_t32" style="width:159pt;height:3.6pt;margin-top:34.5pt;margin-left:154.8pt;mso-height-percent:0;mso-height-relative:margin;mso-width-percent:0;mso-width-relative:margin;mso-wrap-distance-bottom:0;mso-wrap-distance-left:9pt;mso-wrap-distance-right:9pt;mso-wrap-distance-top:0;mso-wrap-style:square;position:absolute;visibility:visible;z-index:251685888" strokecolor="black" strokeweight="0.5pt">
                <v:stroke joinstyle="miter"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margin">
                  <wp:posOffset>4011295</wp:posOffset>
                </wp:positionH>
                <wp:positionV relativeFrom="paragraph">
                  <wp:posOffset>282575</wp:posOffset>
                </wp:positionV>
                <wp:extent cx="853440" cy="327660"/>
                <wp:effectExtent l="0" t="0" r="22860" b="15240"/>
                <wp:wrapNone/>
                <wp:docPr id="139278647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53440" cy="32766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B1F33" w:rsidRPr="00910852" w:rsidP="00AB1F33" w14:textId="1D1297AE">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E</w:t>
                            </w:r>
                            <w:r w:rsidRPr="00910852">
                              <w:rPr>
                                <w:rFonts w:ascii="Times New Roman" w:hAnsi="Times New Roman" w:cs="Times New Roman"/>
                                <w:color w:val="000000" w:themeColor="text1"/>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3" style="width:67.2pt;height:25.8pt;margin-top:22.25pt;margin-left:315.8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3840" fillcolor="white" strokecolor="black" strokeweight="1pt">
                <v:textbox>
                  <w:txbxContent>
                    <w:p w:rsidR="00AB1F33" w:rsidRPr="00910852" w:rsidP="00AB1F33" w14:paraId="1850BD3D" w14:textId="1D1297AE">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RO</w:t>
                      </w:r>
                      <w:r>
                        <w:rPr>
                          <w:rFonts w:ascii="Times New Roman" w:hAnsi="Times New Roman" w:cs="Times New Roman"/>
                          <w:color w:val="000000" w:themeColor="text1"/>
                          <w:sz w:val="24"/>
                          <w:szCs w:val="24"/>
                        </w:rPr>
                        <w:t>E</w:t>
                      </w:r>
                      <w:r w:rsidRPr="00910852">
                        <w:rPr>
                          <w:rFonts w:ascii="Times New Roman" w:hAnsi="Times New Roman" w:cs="Times New Roman"/>
                          <w:color w:val="000000" w:themeColor="text1"/>
                          <w:sz w:val="24"/>
                          <w:szCs w:val="24"/>
                        </w:rPr>
                        <w:t xml:space="preserve"> (Y)</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1104900</wp:posOffset>
                </wp:positionH>
                <wp:positionV relativeFrom="paragraph">
                  <wp:posOffset>282575</wp:posOffset>
                </wp:positionV>
                <wp:extent cx="830580" cy="320040"/>
                <wp:effectExtent l="0" t="0" r="26670" b="22860"/>
                <wp:wrapNone/>
                <wp:docPr id="201803955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30580" cy="3200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B1F33" w:rsidRPr="00910852" w:rsidP="00AB1F33"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CSR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4" style="width:65.4pt;height:25.2pt;margin-top:22.25pt;margin-left:87pt;mso-height-percent:0;mso-height-relative:margin;mso-width-percent:0;mso-width-relative:margin;mso-wrap-distance-bottom:0;mso-wrap-distance-left:9pt;mso-wrap-distance-right:9pt;mso-wrap-distance-top:0;mso-wrap-style:square;position:absolute;v-text-anchor:middle;visibility:visible;z-index:251679744" fillcolor="white" strokecolor="black" strokeweight="1pt">
                <v:textbox>
                  <w:txbxContent>
                    <w:p w:rsidR="00AB1F33" w:rsidRPr="00910852" w:rsidP="00AB1F33" w14:paraId="6619BCD1"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CSR (X)</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AB1F33" w:rsidP="00AB1F33" w14:paraId="5813E516" w14:textId="77777777">
      <w:pPr>
        <w:pStyle w:val="ListParagraph"/>
        <w:spacing w:after="0" w:line="480" w:lineRule="auto"/>
        <w:ind w:left="1145"/>
        <w:jc w:val="both"/>
        <w:rPr>
          <w:rFonts w:ascii="Times New Roman" w:hAnsi="Times New Roman" w:cs="Times New Roman"/>
          <w:sz w:val="24"/>
          <w:szCs w:val="24"/>
        </w:rPr>
      </w:pPr>
    </w:p>
    <w:p w:rsidR="003E4282" w:rsidRPr="005C4152" w:rsidP="003E4282" w14:paraId="7A9EDD8A" w14:textId="77777777">
      <w:pPr>
        <w:pStyle w:val="ListParagraph"/>
        <w:spacing w:after="0" w:line="240" w:lineRule="auto"/>
        <w:ind w:left="1145"/>
        <w:jc w:val="center"/>
        <w:rPr>
          <w:rFonts w:ascii="Times New Roman" w:hAnsi="Times New Roman" w:cs="Times New Roman"/>
          <w:b/>
          <w:bCs/>
          <w:sz w:val="24"/>
          <w:szCs w:val="24"/>
        </w:rPr>
      </w:pPr>
      <w:r w:rsidRPr="005C4152">
        <w:rPr>
          <w:rFonts w:ascii="Times New Roman" w:hAnsi="Times New Roman" w:cs="Times New Roman"/>
          <w:b/>
          <w:bCs/>
          <w:sz w:val="24"/>
          <w:szCs w:val="24"/>
        </w:rPr>
        <w:t xml:space="preserve">Gambar </w:t>
      </w:r>
      <w:r>
        <w:rPr>
          <w:rFonts w:ascii="Times New Roman" w:hAnsi="Times New Roman" w:cs="Times New Roman"/>
          <w:b/>
          <w:bCs/>
          <w:sz w:val="24"/>
          <w:szCs w:val="24"/>
        </w:rPr>
        <w:t>9</w:t>
      </w:r>
    </w:p>
    <w:p w:rsidR="003E4282" w:rsidP="003E4282" w14:paraId="3BA5F3D0" w14:textId="77777777">
      <w:pPr>
        <w:pStyle w:val="ListParagraph"/>
        <w:spacing w:after="0" w:line="240" w:lineRule="auto"/>
        <w:ind w:left="1145"/>
        <w:jc w:val="center"/>
        <w:rPr>
          <w:rFonts w:ascii="Times New Roman" w:hAnsi="Times New Roman" w:cs="Times New Roman"/>
          <w:b/>
          <w:bCs/>
          <w:sz w:val="24"/>
          <w:szCs w:val="24"/>
        </w:rPr>
      </w:pPr>
      <w:r w:rsidRPr="005C4152">
        <w:rPr>
          <w:rFonts w:ascii="Times New Roman" w:hAnsi="Times New Roman" w:cs="Times New Roman"/>
          <w:b/>
          <w:bCs/>
          <w:sz w:val="24"/>
          <w:szCs w:val="24"/>
        </w:rPr>
        <w:t xml:space="preserve">Hasil </w:t>
      </w:r>
      <w:r w:rsidRPr="005C4152">
        <w:rPr>
          <w:rFonts w:ascii="Times New Roman" w:hAnsi="Times New Roman" w:cs="Times New Roman"/>
          <w:b/>
          <w:bCs/>
          <w:sz w:val="24"/>
          <w:szCs w:val="24"/>
        </w:rPr>
        <w:t>Analisis</w:t>
      </w:r>
      <w:r w:rsidRPr="005C4152">
        <w:rPr>
          <w:rFonts w:ascii="Times New Roman" w:hAnsi="Times New Roman" w:cs="Times New Roman"/>
          <w:b/>
          <w:bCs/>
          <w:sz w:val="24"/>
          <w:szCs w:val="24"/>
        </w:rPr>
        <w:t xml:space="preserve"> Model </w:t>
      </w:r>
      <w:r w:rsidRPr="005C4152">
        <w:rPr>
          <w:rFonts w:ascii="Times New Roman" w:hAnsi="Times New Roman" w:cs="Times New Roman"/>
          <w:b/>
          <w:bCs/>
          <w:sz w:val="24"/>
          <w:szCs w:val="24"/>
        </w:rPr>
        <w:t>Regresi</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Mediasi</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Dengan</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Proksi</w:t>
      </w:r>
      <w:r w:rsidRPr="005C4152">
        <w:rPr>
          <w:rFonts w:ascii="Times New Roman" w:hAnsi="Times New Roman" w:cs="Times New Roman"/>
          <w:b/>
          <w:bCs/>
          <w:sz w:val="24"/>
          <w:szCs w:val="24"/>
        </w:rPr>
        <w:t xml:space="preserve"> </w:t>
      </w:r>
      <w:r>
        <w:rPr>
          <w:rFonts w:ascii="Times New Roman" w:hAnsi="Times New Roman" w:cs="Times New Roman"/>
          <w:b/>
          <w:bCs/>
          <w:sz w:val="24"/>
          <w:szCs w:val="24"/>
        </w:rPr>
        <w:t>ROE</w:t>
      </w:r>
    </w:p>
    <w:p w:rsidR="003E4282" w:rsidP="00FB0563" w14:paraId="1F004214" w14:textId="77777777">
      <w:pPr>
        <w:pStyle w:val="ListParagraph"/>
        <w:spacing w:after="0" w:line="480" w:lineRule="auto"/>
        <w:ind w:left="1145"/>
        <w:jc w:val="both"/>
        <w:rPr>
          <w:rFonts w:ascii="Times New Roman" w:hAnsi="Times New Roman" w:cs="Times New Roman"/>
          <w:sz w:val="24"/>
          <w:szCs w:val="24"/>
        </w:rPr>
      </w:pPr>
    </w:p>
    <w:p w:rsidR="00AB1F33" w:rsidP="00FB0563" w14:paraId="0E48654C" w14:textId="46DCC862">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menghitung</w:t>
      </w:r>
      <w:r>
        <w:rPr>
          <w:rFonts w:ascii="Times New Roman" w:hAnsi="Times New Roman" w:cs="Times New Roman"/>
          <w:sz w:val="24"/>
          <w:szCs w:val="24"/>
        </w:rPr>
        <w:t xml:space="preserve"> S</w:t>
      </w:r>
      <w:r w:rsidRPr="005C4152">
        <w:rPr>
          <w:rFonts w:ascii="Times New Roman" w:hAnsi="Times New Roman" w:cs="Times New Roman"/>
          <w:sz w:val="24"/>
          <w:szCs w:val="24"/>
          <w:vertAlign w:val="subscript"/>
        </w:rPr>
        <w:t>ab</w:t>
      </w:r>
      <w:r>
        <w:rPr>
          <w:rFonts w:ascii="Times New Roman" w:hAnsi="Times New Roman" w:cs="Times New Roman"/>
          <w:sz w:val="24"/>
          <w:szCs w:val="24"/>
        </w:rPr>
        <w:t xml:space="preserve">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rumus</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w:t>
      </w:r>
    </w:p>
    <w:p w:rsidR="00AB1F33" w:rsidRPr="005C4152" w:rsidP="00FB0563" w14:paraId="0A62C218" w14:textId="77777777">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w:t>
      </w:r>
      <m:oMath>
        <m:rad>
          <m:radPr>
            <m:degHide/>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sb²</m:t>
            </m:r>
          </m:e>
        </m:rad>
      </m:oMath>
    </w:p>
    <w:p w:rsidR="00AB1F33" w:rsidRPr="005C4152" w:rsidP="00FB0563" w14:paraId="09BCD004" w14:textId="38AD15D0">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w:t>
      </w:r>
      <m:oMath>
        <m:rad>
          <m:radPr>
            <m:degHide/>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(0,145)</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(0,044)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(0,869)</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(0,050)</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0,044</m:t>
                    </m:r>
                  </m:e>
                </m:d>
              </m:e>
              <m:sup>
                <m:r>
                  <w:rPr>
                    <w:rFonts w:ascii="Cambria Math" w:hAnsi="Cambria Math" w:cs="Times New Roman"/>
                    <w:sz w:val="24"/>
                    <w:szCs w:val="24"/>
                  </w:rPr>
                  <m:t>2</m:t>
                </m:r>
              </m:sup>
            </m:sSup>
            <m:r>
              <w:rPr>
                <w:rFonts w:ascii="Cambria Math" w:hAnsi="Cambria Math" w:cs="Times New Roman"/>
                <w:sz w:val="24"/>
                <w:szCs w:val="24"/>
              </w:rPr>
              <m:t>(0,050)²</m:t>
            </m:r>
          </m:e>
        </m:rad>
      </m:oMath>
    </w:p>
    <w:p w:rsidR="00AB1F33" w:rsidP="00FB0563" w14:paraId="2B84CCE5" w14:textId="17BE23CC">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0</w:t>
      </w:r>
      <w:r w:rsidR="00FB0563">
        <w:rPr>
          <w:rFonts w:ascii="Times New Roman" w:hAnsi="Times New Roman" w:eastAsiaTheme="minorEastAsia" w:cs="Times New Roman"/>
          <w:sz w:val="24"/>
          <w:szCs w:val="24"/>
        </w:rPr>
        <w:t>,06116366</w:t>
      </w:r>
    </w:p>
    <w:p w:rsidR="00AB1F33" w:rsidP="00FB0563" w14:paraId="20B543D0" w14:textId="1D4B9709">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Sedangkan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untuk</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nilai</w:t>
      </w:r>
      <w:r>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hitung</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adalah</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sebagai</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berikut</w:t>
      </w:r>
      <w:r>
        <w:rPr>
          <w:rFonts w:ascii="Times New Roman" w:hAnsi="Times New Roman" w:eastAsiaTheme="minorEastAsia" w:cs="Times New Roman"/>
          <w:sz w:val="24"/>
          <w:szCs w:val="24"/>
        </w:rPr>
        <w:t>:</w:t>
      </w:r>
    </w:p>
    <w:p w:rsidR="00AB1F33" w:rsidP="00FB0563" w14:paraId="1357E4D3" w14:textId="7FF6D87E">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hitung</w:t>
      </w:r>
      <w:r>
        <w:rPr>
          <w:rFonts w:ascii="Times New Roman" w:hAnsi="Times New Roman" w:eastAsiaTheme="minorEastAsia" w:cs="Times New Roman"/>
          <w:sz w:val="24"/>
          <w:szCs w:val="24"/>
        </w:rPr>
        <w:t xml:space="preserve"> = </w:t>
      </w:r>
      <m:oMath>
        <m:f>
          <m:fPr>
            <m:ctrlPr>
              <w:rPr>
                <w:rFonts w:ascii="Cambria Math" w:hAnsi="Cambria Math" w:eastAsiaTheme="minorEastAsia" w:cs="Times New Roman"/>
                <w:i/>
                <w:sz w:val="24"/>
                <w:szCs w:val="24"/>
              </w:rPr>
            </m:ctrlPr>
          </m:fPr>
          <m:num>
            <m:r>
              <m:rPr>
                <m:nor/>
              </m:rPr>
              <w:rPr>
                <w:rFonts w:ascii="Times New Roman" w:hAnsi="Times New Roman" w:eastAsiaTheme="minorEastAsia" w:cs="Times New Roman"/>
                <w:sz w:val="24"/>
                <w:szCs w:val="24"/>
              </w:rPr>
              <m:t>(0,869) (0,145)</m:t>
            </m:r>
          </m:num>
          <m:den>
            <m:r>
              <m:rPr>
                <m:nor/>
              </m:rPr>
              <w:rPr>
                <w:rFonts w:ascii="Times New Roman" w:hAnsi="Times New Roman" w:eastAsiaTheme="minorEastAsia" w:cs="Times New Roman"/>
                <w:sz w:val="24"/>
                <w:szCs w:val="24"/>
              </w:rPr>
              <m:t>0,06116366</m:t>
            </m:r>
          </m:den>
        </m:f>
      </m:oMath>
      <w:r>
        <w:rPr>
          <w:rFonts w:ascii="Times New Roman" w:hAnsi="Times New Roman" w:eastAsiaTheme="minorEastAsia" w:cs="Times New Roman"/>
          <w:sz w:val="24"/>
          <w:szCs w:val="24"/>
        </w:rPr>
        <w:t xml:space="preserve"> =</w:t>
      </w:r>
      <w:r w:rsidR="00FB0563">
        <w:rPr>
          <w:rFonts w:ascii="Times New Roman" w:hAnsi="Times New Roman" w:eastAsiaTheme="minorEastAsia" w:cs="Times New Roman"/>
          <w:sz w:val="24"/>
          <w:szCs w:val="24"/>
        </w:rPr>
        <w:t xml:space="preserve"> 2,06012852</w:t>
      </w:r>
    </w:p>
    <w:p w:rsidR="00703377" w:rsidP="00FB0563" w14:paraId="56BDE24D" w14:textId="341B1CD4">
      <w:pPr>
        <w:pStyle w:val="ListParagraph"/>
        <w:spacing w:after="0" w:line="480" w:lineRule="auto"/>
        <w:ind w:left="1145"/>
        <w:jc w:val="both"/>
        <w:rPr>
          <w:rFonts w:ascii="Times New Roman" w:hAnsi="Times New Roman" w:eastAsiaTheme="minorEastAsia" w:cs="Times New Roman"/>
          <w:sz w:val="24"/>
          <w:szCs w:val="24"/>
        </w:rPr>
      </w:pPr>
      <w:r w:rsidRPr="00AB1F33">
        <w:rPr>
          <w:rFonts w:ascii="Times New Roman" w:hAnsi="Times New Roman" w:eastAsiaTheme="minorEastAsia" w:cs="Times New Roman"/>
          <w:sz w:val="24"/>
          <w:szCs w:val="24"/>
        </w:rPr>
        <w:t>Berdasarkan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hasil</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perhitungan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diperoleh</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nilai</w:t>
      </w:r>
      <w:r w:rsidRPr="00AB1F33">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hitung</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sebesar</w:t>
      </w:r>
      <w:r w:rsidRPr="00AB1F33">
        <w:rPr>
          <w:rFonts w:ascii="Times New Roman" w:hAnsi="Times New Roman" w:eastAsiaTheme="minorEastAsia" w:cs="Times New Roman"/>
          <w:sz w:val="24"/>
          <w:szCs w:val="24"/>
        </w:rPr>
        <w:t xml:space="preserve"> </w:t>
      </w:r>
      <w:r w:rsidR="00FB0563">
        <w:rPr>
          <w:rFonts w:ascii="Times New Roman" w:hAnsi="Times New Roman" w:eastAsiaTheme="minorEastAsia" w:cs="Times New Roman"/>
          <w:sz w:val="24"/>
          <w:szCs w:val="24"/>
        </w:rPr>
        <w:t>2,06</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lebih</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besar</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dari</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nilai</w:t>
      </w:r>
      <w:r w:rsidRPr="00AB1F33">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tabel</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dengan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tingkat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signifikasi</w:t>
      </w:r>
      <w:r w:rsidRPr="00AB1F33">
        <w:rPr>
          <w:rFonts w:ascii="Times New Roman" w:hAnsi="Times New Roman" w:eastAsiaTheme="minorEastAsia" w:cs="Times New Roman"/>
          <w:sz w:val="24"/>
          <w:szCs w:val="24"/>
        </w:rPr>
        <w:t xml:space="preserve"> 0,05, </w:t>
      </w:r>
      <w:r w:rsidRPr="00AB1F33">
        <w:rPr>
          <w:rFonts w:ascii="Times New Roman" w:hAnsi="Times New Roman" w:eastAsiaTheme="minorEastAsia" w:cs="Times New Roman"/>
          <w:sz w:val="24"/>
          <w:szCs w:val="24"/>
        </w:rPr>
        <w:t>yaitu</w:t>
      </w:r>
      <w:r w:rsidRPr="00AB1F33">
        <w:rPr>
          <w:rFonts w:ascii="Times New Roman" w:hAnsi="Times New Roman" w:eastAsiaTheme="minorEastAsia" w:cs="Times New Roman"/>
          <w:sz w:val="24"/>
          <w:szCs w:val="24"/>
        </w:rPr>
        <w:t xml:space="preserve"> 1,96. Maka </w:t>
      </w:r>
      <w:r w:rsidRPr="00AB1F33">
        <w:rPr>
          <w:rFonts w:ascii="Times New Roman" w:hAnsi="Times New Roman" w:eastAsiaTheme="minorEastAsia" w:cs="Times New Roman"/>
          <w:sz w:val="24"/>
          <w:szCs w:val="24"/>
        </w:rPr>
        <w:t>dapat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dikatakan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bahwa</w:t>
      </w:r>
      <w:r w:rsidRPr="00AB1F33">
        <w:rPr>
          <w:rFonts w:ascii="Times New Roman" w:hAnsi="Times New Roman" w:eastAsiaTheme="minorEastAsia" w:cs="Times New Roman"/>
          <w:sz w:val="24"/>
          <w:szCs w:val="24"/>
        </w:rPr>
        <w:t xml:space="preserve"> </w:t>
      </w:r>
      <w:r w:rsidRPr="00FB0563">
        <w:rPr>
          <w:rFonts w:ascii="Times New Roman" w:hAnsi="Times New Roman" w:eastAsiaTheme="minorEastAsia" w:cs="Times New Roman"/>
          <w:i/>
          <w:iCs/>
          <w:sz w:val="24"/>
          <w:szCs w:val="24"/>
        </w:rPr>
        <w:t>green banking</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memediasi</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hubungan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kausal</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antara</w:t>
      </w:r>
      <w:r w:rsidRPr="00AB1F33">
        <w:rPr>
          <w:rFonts w:ascii="Times New Roman" w:hAnsi="Times New Roman" w:eastAsiaTheme="minorEastAsia" w:cs="Times New Roman"/>
          <w:sz w:val="24"/>
          <w:szCs w:val="24"/>
        </w:rPr>
        <w:t xml:space="preserve"> </w:t>
      </w:r>
      <w:r w:rsidRPr="00FB0563">
        <w:rPr>
          <w:rFonts w:ascii="Times New Roman" w:hAnsi="Times New Roman" w:eastAsiaTheme="minorEastAsia" w:cs="Times New Roman"/>
          <w:i/>
          <w:iCs/>
          <w:sz w:val="24"/>
          <w:szCs w:val="24"/>
        </w:rPr>
        <w:t>corporat</w:t>
      </w:r>
      <w:r w:rsidRPr="00FB0563">
        <w:rPr>
          <w:rFonts w:ascii="Times New Roman" w:hAnsi="Times New Roman" w:eastAsiaTheme="minorEastAsia" w:cs="Times New Roman"/>
          <w:i/>
          <w:iCs/>
          <w:sz w:val="24"/>
          <w:szCs w:val="24"/>
        </w:rPr>
        <w:t>e</w:t>
      </w:r>
      <w:r w:rsidRPr="00FB0563">
        <w:rPr>
          <w:rFonts w:ascii="Times New Roman" w:hAnsi="Times New Roman" w:eastAsiaTheme="minorEastAsia" w:cs="Times New Roman"/>
          <w:i/>
          <w:iCs/>
          <w:sz w:val="24"/>
          <w:szCs w:val="24"/>
        </w:rPr>
        <w:t xml:space="preserve"> social responsibility</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terhadap</w:t>
      </w:r>
      <w:r w:rsidRPr="00AB1F33">
        <w:rPr>
          <w:rFonts w:ascii="Times New Roman" w:hAnsi="Times New Roman" w:eastAsiaTheme="minorEastAsia" w:cs="Times New Roman"/>
          <w:sz w:val="24"/>
          <w:szCs w:val="24"/>
        </w:rPr>
        <w:t xml:space="preserve"> </w:t>
      </w:r>
      <w:r w:rsidRPr="00FB0563">
        <w:rPr>
          <w:rFonts w:ascii="Times New Roman" w:hAnsi="Times New Roman" w:eastAsiaTheme="minorEastAsia" w:cs="Times New Roman"/>
          <w:i/>
          <w:iCs/>
          <w:sz w:val="24"/>
          <w:szCs w:val="24"/>
        </w:rPr>
        <w:t xml:space="preserve">return on </w:t>
      </w:r>
      <w:r w:rsidR="00FB0563">
        <w:rPr>
          <w:rFonts w:ascii="Times New Roman" w:hAnsi="Times New Roman" w:eastAsiaTheme="minorEastAsia" w:cs="Times New Roman"/>
          <w:i/>
          <w:iCs/>
          <w:sz w:val="24"/>
          <w:szCs w:val="24"/>
        </w:rPr>
        <w:t>equity</w:t>
      </w:r>
      <w:r w:rsidRPr="00AB1F33">
        <w:rPr>
          <w:rFonts w:ascii="Times New Roman" w:hAnsi="Times New Roman" w:eastAsiaTheme="minorEastAsia" w:cs="Times New Roman"/>
          <w:sz w:val="24"/>
          <w:szCs w:val="24"/>
        </w:rPr>
        <w:t xml:space="preserve"> (H</w:t>
      </w:r>
      <w:r w:rsidR="00FB0563">
        <w:rPr>
          <w:rFonts w:ascii="Times New Roman" w:hAnsi="Times New Roman" w:eastAsiaTheme="minorEastAsia" w:cs="Times New Roman"/>
          <w:sz w:val="24"/>
          <w:szCs w:val="24"/>
        </w:rPr>
        <w:t>9</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diterima</w:t>
      </w:r>
      <w:r w:rsidRPr="00AB1F33">
        <w:rPr>
          <w:rFonts w:ascii="Times New Roman" w:hAnsi="Times New Roman" w:eastAsiaTheme="minorEastAsia" w:cs="Times New Roman"/>
          <w:sz w:val="24"/>
          <w:szCs w:val="24"/>
        </w:rPr>
        <w:t>).</w:t>
      </w:r>
    </w:p>
    <w:p w:rsidR="000368BE" w:rsidRPr="00703377" w:rsidP="00703377" w14:paraId="45006067" w14:textId="581D1E46">
      <w:pPr>
        <w:pStyle w:val="ListParagraph"/>
        <w:numPr>
          <w:ilvl w:val="0"/>
          <w:numId w:val="57"/>
        </w:numPr>
        <w:spacing w:after="0" w:line="480" w:lineRule="auto"/>
        <w:rPr>
          <w:rFonts w:ascii="Times New Roman" w:hAnsi="Times New Roman" w:eastAsiaTheme="minorEastAsia" w:cs="Times New Roman"/>
          <w:sz w:val="24"/>
          <w:szCs w:val="24"/>
        </w:rPr>
      </w:pPr>
      <w:r w:rsidRPr="00703377">
        <w:rPr>
          <w:rFonts w:ascii="Times New Roman" w:hAnsi="Times New Roman" w:cs="Times New Roman"/>
          <w:sz w:val="24"/>
          <w:szCs w:val="24"/>
        </w:rPr>
        <w:t xml:space="preserve">Kinerja </w:t>
      </w:r>
      <w:r w:rsidRPr="00703377" w:rsidR="00FB0563">
        <w:rPr>
          <w:rFonts w:ascii="Times New Roman" w:hAnsi="Times New Roman" w:cs="Times New Roman"/>
          <w:sz w:val="24"/>
          <w:szCs w:val="24"/>
        </w:rPr>
        <w:t>Keuangan</w:t>
      </w:r>
      <w:r w:rsidRPr="00703377" w:rsidR="00FB0563">
        <w:rPr>
          <w:rFonts w:ascii="Times New Roman" w:hAnsi="Times New Roman" w:cs="Times New Roman"/>
          <w:sz w:val="24"/>
          <w:szCs w:val="24"/>
        </w:rPr>
        <w:t xml:space="preserve"> </w:t>
      </w:r>
      <w:r w:rsidRPr="00703377" w:rsidR="00FB0563">
        <w:rPr>
          <w:rFonts w:ascii="Times New Roman" w:hAnsi="Times New Roman" w:cs="Times New Roman"/>
          <w:sz w:val="24"/>
          <w:szCs w:val="24"/>
        </w:rPr>
        <w:t>Dengan</w:t>
      </w:r>
      <w:r w:rsidRPr="00703377" w:rsidR="00FB0563">
        <w:rPr>
          <w:rFonts w:ascii="Times New Roman" w:hAnsi="Times New Roman" w:cs="Times New Roman"/>
          <w:sz w:val="24"/>
          <w:szCs w:val="24"/>
        </w:rPr>
        <w:t xml:space="preserve"> </w:t>
      </w:r>
      <w:r w:rsidRPr="00703377" w:rsidR="00FB0563">
        <w:rPr>
          <w:rFonts w:ascii="Times New Roman" w:hAnsi="Times New Roman" w:cs="Times New Roman"/>
          <w:sz w:val="24"/>
          <w:szCs w:val="24"/>
        </w:rPr>
        <w:t>Proksi</w:t>
      </w:r>
      <w:r w:rsidRPr="00703377" w:rsidR="00FB0563">
        <w:rPr>
          <w:rFonts w:ascii="Times New Roman" w:hAnsi="Times New Roman" w:cs="Times New Roman"/>
          <w:sz w:val="24"/>
          <w:szCs w:val="24"/>
        </w:rPr>
        <w:t xml:space="preserve"> </w:t>
      </w:r>
      <w:r w:rsidRPr="00FB0563" w:rsidR="00FB0563">
        <w:rPr>
          <w:rFonts w:ascii="Times New Roman" w:hAnsi="Times New Roman" w:cs="Times New Roman"/>
          <w:i/>
          <w:iCs/>
          <w:sz w:val="24"/>
          <w:szCs w:val="24"/>
        </w:rPr>
        <w:t>Net Interest Margin</w:t>
      </w:r>
      <w:r w:rsidRPr="00703377">
        <w:rPr>
          <w:rFonts w:ascii="Times New Roman" w:hAnsi="Times New Roman" w:cs="Times New Roman"/>
          <w:sz w:val="24"/>
          <w:szCs w:val="24"/>
        </w:rPr>
        <w:t xml:space="preserve"> (NIM)</w:t>
      </w:r>
    </w:p>
    <w:p w:rsidR="00703377" w:rsidP="00703377" w14:paraId="3234F2A3" w14:textId="77777777">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simplePos x="0" y="0"/>
                <wp:positionH relativeFrom="column">
                  <wp:posOffset>746760</wp:posOffset>
                </wp:positionH>
                <wp:positionV relativeFrom="paragraph">
                  <wp:posOffset>7620</wp:posOffset>
                </wp:positionV>
                <wp:extent cx="4274820" cy="2011680"/>
                <wp:effectExtent l="0" t="0" r="11430" b="26670"/>
                <wp:wrapNone/>
                <wp:docPr id="1816020526"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4274820" cy="20116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45" style="width:336.6pt;height:158.4pt;margin-top:0.6pt;margin-left:58.8pt;mso-height-percent:0;mso-height-relative:margin;mso-width-percent:0;mso-width-relative:margin;mso-wrap-distance-bottom:0;mso-wrap-distance-left:9pt;mso-wrap-distance-right:9pt;mso-wrap-distance-top:0;mso-wrap-style:square;position:absolute;v-text-anchor:middle;visibility:visible;z-index:251708416" filled="f" strokecolor="black"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2209800</wp:posOffset>
                </wp:positionH>
                <wp:positionV relativeFrom="paragraph">
                  <wp:posOffset>305435</wp:posOffset>
                </wp:positionV>
                <wp:extent cx="1447800" cy="350520"/>
                <wp:effectExtent l="0" t="0" r="19050" b="11430"/>
                <wp:wrapNone/>
                <wp:docPr id="77014489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35052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03377" w:rsidRPr="00910852" w:rsidP="00703377" w14:textId="1A064EE9">
                            <w:pPr>
                              <w:rPr>
                                <w:rFonts w:ascii="Times New Roman" w:hAnsi="Times New Roman" w:cs="Times New Roman"/>
                                <w:color w:val="000000" w:themeColor="text1"/>
                                <w:sz w:val="24"/>
                                <w:szCs w:val="24"/>
                              </w:rPr>
                            </w:pPr>
                            <w:r w:rsidRPr="00910852">
                              <w:rPr>
                                <w:rFonts w:ascii="Times New Roman" w:hAnsi="Times New Roman" w:cs="Times New Roman"/>
                                <w:i/>
                                <w:iCs/>
                                <w:color w:val="000000" w:themeColor="text1"/>
                                <w:sz w:val="24"/>
                                <w:szCs w:val="24"/>
                              </w:rPr>
                              <w:t xml:space="preserve">Green Banking </w:t>
                            </w:r>
                            <w:r w:rsidRPr="00910852">
                              <w:rPr>
                                <w:rFonts w:ascii="Times New Roman" w:hAnsi="Times New Roman" w:cs="Times New Roman"/>
                                <w:color w:val="000000" w:themeColor="text1"/>
                                <w:sz w:val="24"/>
                                <w:szCs w:val="24"/>
                              </w:rPr>
                              <w:t>(</w:t>
                            </w:r>
                            <w:r w:rsidR="00EA5741">
                              <w:rPr>
                                <w:rFonts w:ascii="Times New Roman" w:hAnsi="Times New Roman" w:cs="Times New Roman"/>
                                <w:color w:val="000000" w:themeColor="text1"/>
                                <w:sz w:val="24"/>
                                <w:szCs w:val="24"/>
                              </w:rPr>
                              <w:t>Z</w:t>
                            </w:r>
                            <w:r w:rsidRPr="00910852">
                              <w:rPr>
                                <w:rFonts w:ascii="Times New Roman" w:hAnsi="Times New Roman"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6" style="width:114pt;height:27.6pt;margin-top:24.05pt;margin-left:174pt;mso-height-percent:0;mso-height-relative:margin;mso-width-percent:0;mso-width-relative:margin;mso-wrap-distance-bottom:0;mso-wrap-distance-left:9pt;mso-wrap-distance-right:9pt;mso-wrap-distance-top:0;mso-wrap-style:square;position:absolute;v-text-anchor:middle;visibility:visible;z-index:251702272" fillcolor="white" strokecolor="black" strokeweight="1pt">
                <v:textbox>
                  <w:txbxContent>
                    <w:p w:rsidR="00703377" w:rsidRPr="00910852" w:rsidP="00703377" w14:paraId="519E3CCD" w14:textId="1A064EE9">
                      <w:pPr>
                        <w:rPr>
                          <w:rFonts w:ascii="Times New Roman" w:hAnsi="Times New Roman" w:cs="Times New Roman"/>
                          <w:color w:val="000000" w:themeColor="text1"/>
                          <w:sz w:val="24"/>
                          <w:szCs w:val="24"/>
                        </w:rPr>
                      </w:pPr>
                      <w:r w:rsidRPr="00910852">
                        <w:rPr>
                          <w:rFonts w:ascii="Times New Roman" w:hAnsi="Times New Roman" w:cs="Times New Roman"/>
                          <w:i/>
                          <w:iCs/>
                          <w:color w:val="000000" w:themeColor="text1"/>
                          <w:sz w:val="24"/>
                          <w:szCs w:val="24"/>
                        </w:rPr>
                        <w:t xml:space="preserve">Green Banking </w:t>
                      </w:r>
                      <w:r w:rsidRPr="00910852">
                        <w:rPr>
                          <w:rFonts w:ascii="Times New Roman" w:hAnsi="Times New Roman" w:cs="Times New Roman"/>
                          <w:color w:val="000000" w:themeColor="text1"/>
                          <w:sz w:val="24"/>
                          <w:szCs w:val="24"/>
                        </w:rPr>
                        <w:t>(</w:t>
                      </w:r>
                      <w:r w:rsidR="00EA5741">
                        <w:rPr>
                          <w:rFonts w:ascii="Times New Roman" w:hAnsi="Times New Roman" w:cs="Times New Roman"/>
                          <w:color w:val="000000" w:themeColor="text1"/>
                          <w:sz w:val="24"/>
                          <w:szCs w:val="24"/>
                        </w:rPr>
                        <w:t>Z</w:t>
                      </w:r>
                      <w:r w:rsidRPr="00910852">
                        <w:rPr>
                          <w:rFonts w:ascii="Times New Roman" w:hAnsi="Times New Roman" w:cs="Times New Roman"/>
                          <w:color w:val="000000" w:themeColor="text1"/>
                          <w:sz w:val="24"/>
                          <w:szCs w:val="24"/>
                        </w:rPr>
                        <w:t>)</w:t>
                      </w:r>
                    </w:p>
                  </w:txbxContent>
                </v:textbox>
              </v:rect>
            </w:pict>
          </mc:Fallback>
        </mc:AlternateContent>
      </w:r>
    </w:p>
    <w:p w:rsidR="00703377" w:rsidP="00703377" w14:paraId="344D15DB" w14:textId="77777777">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page">
                  <wp:posOffset>3398520</wp:posOffset>
                </wp:positionH>
                <wp:positionV relativeFrom="paragraph">
                  <wp:posOffset>297180</wp:posOffset>
                </wp:positionV>
                <wp:extent cx="967740" cy="777240"/>
                <wp:effectExtent l="0" t="38100" r="60960" b="22860"/>
                <wp:wrapNone/>
                <wp:docPr id="798716166"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96774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47" type="#_x0000_t32" style="width:76.2pt;height:61.2pt;margin-top:23.4pt;margin-left:267.6pt;flip:y;mso-height-percent:0;mso-height-relative:margin;mso-position-horizontal-relative:page;mso-width-percent:0;mso-width-relative:margin;mso-wrap-distance-bottom:0;mso-wrap-distance-left:9pt;mso-wrap-distance-right:9pt;mso-wrap-distance-top:0;mso-wrap-style:square;position:absolute;visibility:visible;z-index:251712512" strokecolor="black" strokeweight="0.5pt">
                <v:stroke joinstyle="miter"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2956560</wp:posOffset>
                </wp:positionH>
                <wp:positionV relativeFrom="paragraph">
                  <wp:posOffset>312420</wp:posOffset>
                </wp:positionV>
                <wp:extent cx="1036320" cy="784860"/>
                <wp:effectExtent l="0" t="0" r="68580" b="53340"/>
                <wp:wrapNone/>
                <wp:docPr id="1745903027"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10363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48" type="#_x0000_t32" style="width:81.6pt;height:61.8pt;margin-top:24.6pt;margin-left:232.8pt;mso-height-percent:0;mso-height-relative:margin;mso-width-percent:0;mso-width-relative:margin;mso-wrap-distance-bottom:0;mso-wrap-distance-left:9pt;mso-wrap-distance-right:9pt;mso-wrap-distance-top:0;mso-wrap-style:square;position:absolute;visibility:visible;z-index:251716608" strokecolor="black" strokeweight="0.5pt">
                <v:stroke joinstyle="miter" endarrow="block"/>
              </v:shape>
            </w:pict>
          </mc:Fallback>
        </mc:AlternateContent>
      </w:r>
    </w:p>
    <w:p w:rsidR="00703377" w:rsidP="00703377" w14:paraId="0C4C46B5" w14:textId="77777777">
      <w:pPr>
        <w:pStyle w:val="ListParagraph"/>
        <w:spacing w:after="0" w:line="480" w:lineRule="auto"/>
        <w:ind w:left="1145"/>
        <w:jc w:val="both"/>
        <w:rPr>
          <w:rFonts w:ascii="Times New Roman" w:hAnsi="Times New Roman" w:cs="Times New Roman"/>
          <w:sz w:val="24"/>
          <w:szCs w:val="24"/>
        </w:rPr>
      </w:pPr>
      <w:r w:rsidRPr="00ED5F3B">
        <w:rPr>
          <w:rFonts w:ascii="Times New Roman" w:hAnsi="Times New Roman" w:cs="Times New Roman"/>
          <w:noProof/>
          <w:sz w:val="24"/>
          <w:szCs w:val="24"/>
        </w:rPr>
        <mc:AlternateContent>
          <mc:Choice Requires="wps">
            <w:drawing>
              <wp:anchor distT="45720" distB="45720" distL="114300" distR="114300" simplePos="0" relativeHeight="251713536" behindDoc="0" locked="0" layoutInCell="1" allowOverlap="1">
                <wp:simplePos x="0" y="0"/>
                <wp:positionH relativeFrom="column">
                  <wp:posOffset>3505200</wp:posOffset>
                </wp:positionH>
                <wp:positionV relativeFrom="paragraph">
                  <wp:posOffset>68580</wp:posOffset>
                </wp:positionV>
                <wp:extent cx="845820" cy="441960"/>
                <wp:effectExtent l="0" t="0" r="0" b="0"/>
                <wp:wrapSquare wrapText="bothSides"/>
                <wp:docPr id="8345589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703377" w:rsidRPr="00ED5F3B" w:rsidP="00703377" w14:textId="78FA002C">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D5F3B">
                              <w:rPr>
                                <w:rFonts w:ascii="Times New Roman" w:hAnsi="Times New Roman" w:cs="Times New Roman"/>
                                <w:sz w:val="20"/>
                                <w:szCs w:val="20"/>
                              </w:rPr>
                              <w:t xml:space="preserve"> </w:t>
                            </w:r>
                            <w:r>
                              <w:rPr>
                                <w:rFonts w:ascii="Times New Roman" w:hAnsi="Times New Roman" w:cs="Times New Roman"/>
                                <w:sz w:val="20"/>
                                <w:szCs w:val="20"/>
                              </w:rPr>
                              <w:t>= 0,05</w:t>
                            </w:r>
                            <w:r w:rsidR="0008677E">
                              <w:rPr>
                                <w:rFonts w:ascii="Times New Roman" w:hAnsi="Times New Roman" w:cs="Times New Roman"/>
                                <w:sz w:val="20"/>
                                <w:szCs w:val="20"/>
                              </w:rPr>
                              <w:t>4</w:t>
                            </w:r>
                          </w:p>
                          <w:p w:rsidR="00703377" w:rsidRPr="00ED5F3B" w:rsidP="00703377" w14:textId="4E299D05">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sidR="00AE7C28">
                              <w:rPr>
                                <w:rFonts w:ascii="Times New Roman" w:hAnsi="Times New Roman" w:cs="Times New Roman"/>
                                <w:sz w:val="20"/>
                                <w:szCs w:val="20"/>
                              </w:rPr>
                              <w:t>b</w:t>
                            </w:r>
                            <w:r>
                              <w:rPr>
                                <w:rFonts w:ascii="Times New Roman" w:hAnsi="Times New Roman" w:cs="Times New Roman"/>
                                <w:sz w:val="20"/>
                                <w:szCs w:val="20"/>
                              </w:rPr>
                              <w:t xml:space="preserve"> = 0,01</w:t>
                            </w:r>
                            <w:r w:rsidR="0008677E">
                              <w:rPr>
                                <w:rFonts w:ascii="Times New Roman" w:hAnsi="Times New Roman" w:cs="Times New Roman"/>
                                <w:sz w:val="20"/>
                                <w:szCs w:val="20"/>
                              </w:rPr>
                              <w:t>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66.6pt;height:34.8pt;margin-top:5.4pt;margin-left:276pt;mso-height-percent:0;mso-height-relative:margin;mso-width-percent:0;mso-width-relative:margin;mso-wrap-distance-bottom:3.6pt;mso-wrap-distance-left:9pt;mso-wrap-distance-right:9pt;mso-wrap-distance-top:3.6pt;mso-wrap-style:square;position:absolute;v-text-anchor:top;visibility:visible;z-index:251714560" stroked="f">
                <v:textbox>
                  <w:txbxContent>
                    <w:p w:rsidR="00703377" w:rsidRPr="00ED5F3B" w:rsidP="00703377" w14:paraId="1BFFA1CC" w14:textId="78FA002C">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Pr="00ED5F3B">
                        <w:rPr>
                          <w:rFonts w:ascii="Times New Roman" w:hAnsi="Times New Roman" w:cs="Times New Roman"/>
                          <w:sz w:val="20"/>
                          <w:szCs w:val="20"/>
                        </w:rPr>
                        <w:t xml:space="preserve"> </w:t>
                      </w:r>
                      <w:r>
                        <w:rPr>
                          <w:rFonts w:ascii="Times New Roman" w:hAnsi="Times New Roman" w:cs="Times New Roman"/>
                          <w:sz w:val="20"/>
                          <w:szCs w:val="20"/>
                        </w:rPr>
                        <w:t>= 0,05</w:t>
                      </w:r>
                      <w:r w:rsidR="0008677E">
                        <w:rPr>
                          <w:rFonts w:ascii="Times New Roman" w:hAnsi="Times New Roman" w:cs="Times New Roman"/>
                          <w:sz w:val="20"/>
                          <w:szCs w:val="20"/>
                        </w:rPr>
                        <w:t>4</w:t>
                      </w:r>
                    </w:p>
                    <w:p w:rsidR="00703377" w:rsidRPr="00ED5F3B" w:rsidP="00703377" w14:paraId="38EEE2BB" w14:textId="4E299D05">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sidR="00AE7C28">
                        <w:rPr>
                          <w:rFonts w:ascii="Times New Roman" w:hAnsi="Times New Roman" w:cs="Times New Roman"/>
                          <w:sz w:val="20"/>
                          <w:szCs w:val="20"/>
                        </w:rPr>
                        <w:t>b</w:t>
                      </w:r>
                      <w:r>
                        <w:rPr>
                          <w:rFonts w:ascii="Times New Roman" w:hAnsi="Times New Roman" w:cs="Times New Roman"/>
                          <w:sz w:val="20"/>
                          <w:szCs w:val="20"/>
                        </w:rPr>
                        <w:t xml:space="preserve"> = 0,01</w:t>
                      </w:r>
                      <w:r w:rsidR="0008677E">
                        <w:rPr>
                          <w:rFonts w:ascii="Times New Roman" w:hAnsi="Times New Roman" w:cs="Times New Roman"/>
                          <w:sz w:val="20"/>
                          <w:szCs w:val="20"/>
                        </w:rPr>
                        <w:t>5</w:t>
                      </w:r>
                    </w:p>
                  </w:txbxContent>
                </v:textbox>
                <w10:wrap type="square"/>
              </v:shape>
            </w:pict>
          </mc:Fallback>
        </mc:AlternateContent>
      </w:r>
      <w:r w:rsidRPr="00ED5F3B">
        <w:rPr>
          <w:rFonts w:ascii="Times New Roman" w:hAnsi="Times New Roman" w:cs="Times New Roman"/>
          <w:noProof/>
          <w:sz w:val="24"/>
          <w:szCs w:val="24"/>
        </w:rPr>
        <mc:AlternateContent>
          <mc:Choice Requires="wps">
            <w:drawing>
              <wp:anchor distT="45720" distB="45720" distL="114300" distR="114300" simplePos="0" relativeHeight="251709440" behindDoc="0" locked="0" layoutInCell="1" allowOverlap="1">
                <wp:simplePos x="0" y="0"/>
                <wp:positionH relativeFrom="column">
                  <wp:posOffset>1524000</wp:posOffset>
                </wp:positionH>
                <wp:positionV relativeFrom="paragraph">
                  <wp:posOffset>76200</wp:posOffset>
                </wp:positionV>
                <wp:extent cx="845820" cy="441960"/>
                <wp:effectExtent l="0" t="0" r="0" b="0"/>
                <wp:wrapSquare wrapText="bothSides"/>
                <wp:docPr id="87885787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703377" w:rsidRPr="00ED5F3B" w:rsidP="00703377"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 xml:space="preserve">a </w:t>
                            </w:r>
                            <w:r>
                              <w:rPr>
                                <w:rFonts w:ascii="Times New Roman" w:hAnsi="Times New Roman" w:cs="Times New Roman"/>
                                <w:sz w:val="20"/>
                                <w:szCs w:val="20"/>
                              </w:rPr>
                              <w:t>= 0,869</w:t>
                            </w:r>
                          </w:p>
                          <w:p w:rsidR="00703377" w:rsidRPr="00ED5F3B" w:rsidP="00703377"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Sa</w:t>
                            </w:r>
                            <w:r>
                              <w:rPr>
                                <w:rFonts w:ascii="Times New Roman" w:hAnsi="Times New Roman" w:cs="Times New Roman"/>
                                <w:sz w:val="20"/>
                                <w:szCs w:val="20"/>
                              </w:rPr>
                              <w:t xml:space="preserve"> = 0,044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width:66.6pt;height:34.8pt;margin-top:6pt;margin-left:120pt;mso-height-percent:0;mso-height-relative:margin;mso-width-percent:0;mso-width-relative:margin;mso-wrap-distance-bottom:3.6pt;mso-wrap-distance-left:9pt;mso-wrap-distance-right:9pt;mso-wrap-distance-top:3.6pt;mso-wrap-style:square;position:absolute;v-text-anchor:top;visibility:visible;z-index:251710464" stroked="f">
                <v:textbox>
                  <w:txbxContent>
                    <w:p w:rsidR="00703377" w:rsidRPr="00ED5F3B" w:rsidP="00703377" w14:paraId="36DD85BE"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 xml:space="preserve">a </w:t>
                      </w:r>
                      <w:r>
                        <w:rPr>
                          <w:rFonts w:ascii="Times New Roman" w:hAnsi="Times New Roman" w:cs="Times New Roman"/>
                          <w:sz w:val="20"/>
                          <w:szCs w:val="20"/>
                        </w:rPr>
                        <w:t>= 0,869</w:t>
                      </w:r>
                    </w:p>
                    <w:p w:rsidR="00703377" w:rsidRPr="00ED5F3B" w:rsidP="00703377" w14:paraId="6B609F84" w14:textId="77777777">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Sa</w:t>
                      </w:r>
                      <w:r>
                        <w:rPr>
                          <w:rFonts w:ascii="Times New Roman" w:hAnsi="Times New Roman" w:cs="Times New Roman"/>
                          <w:sz w:val="20"/>
                          <w:szCs w:val="20"/>
                        </w:rPr>
                        <w:t xml:space="preserve"> = 0,044</w:t>
                      </w:r>
                    </w:p>
                  </w:txbxContent>
                </v:textbox>
                <w10:wrap type="square"/>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03377" w:rsidP="00703377" w14:paraId="6541408E" w14:textId="77777777">
      <w:pPr>
        <w:pStyle w:val="ListParagraph"/>
        <w:spacing w:after="0" w:line="480" w:lineRule="auto"/>
        <w:ind w:left="1145"/>
        <w:jc w:val="both"/>
        <w:rPr>
          <w:rFonts w:ascii="Times New Roman" w:hAnsi="Times New Roman" w:cs="Times New Roman"/>
          <w:sz w:val="24"/>
          <w:szCs w:val="24"/>
        </w:rPr>
      </w:pPr>
      <w:r w:rsidRPr="00ED5F3B">
        <w:rPr>
          <w:rFonts w:ascii="Times New Roman" w:hAnsi="Times New Roman" w:cs="Times New Roman"/>
          <w:noProof/>
          <w:sz w:val="24"/>
          <w:szCs w:val="24"/>
        </w:rPr>
        <mc:AlternateContent>
          <mc:Choice Requires="wps">
            <w:drawing>
              <wp:anchor distT="45720" distB="45720" distL="114300" distR="114300" simplePos="0" relativeHeight="251717632" behindDoc="0" locked="0" layoutInCell="1" allowOverlap="1">
                <wp:simplePos x="0" y="0"/>
                <wp:positionH relativeFrom="column">
                  <wp:posOffset>2484120</wp:posOffset>
                </wp:positionH>
                <wp:positionV relativeFrom="paragraph">
                  <wp:posOffset>494665</wp:posOffset>
                </wp:positionV>
                <wp:extent cx="845820" cy="441960"/>
                <wp:effectExtent l="0" t="0" r="0" b="0"/>
                <wp:wrapSquare wrapText="bothSides"/>
                <wp:docPr id="186564027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45820" cy="441960"/>
                        </a:xfrm>
                        <a:prstGeom prst="rect">
                          <a:avLst/>
                        </a:prstGeom>
                        <a:solidFill>
                          <a:srgbClr val="FFFFFF"/>
                        </a:solidFill>
                        <a:ln w="9525">
                          <a:noFill/>
                          <a:miter lim="800000"/>
                          <a:headEnd/>
                          <a:tailEnd/>
                        </a:ln>
                      </wps:spPr>
                      <wps:txbx>
                        <w:txbxContent>
                          <w:p w:rsidR="00703377" w:rsidRPr="00ED5F3B" w:rsidP="00703377" w14:textId="18D61C0C">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D5F3B">
                              <w:rPr>
                                <w:rFonts w:ascii="Times New Roman" w:hAnsi="Times New Roman" w:cs="Times New Roman"/>
                                <w:sz w:val="20"/>
                                <w:szCs w:val="20"/>
                              </w:rPr>
                              <w:t xml:space="preserve"> </w:t>
                            </w:r>
                            <w:r>
                              <w:rPr>
                                <w:rFonts w:ascii="Times New Roman" w:hAnsi="Times New Roman" w:cs="Times New Roman"/>
                                <w:sz w:val="20"/>
                                <w:szCs w:val="20"/>
                              </w:rPr>
                              <w:t>= -0,0</w:t>
                            </w:r>
                            <w:r w:rsidR="0008677E">
                              <w:rPr>
                                <w:rFonts w:ascii="Times New Roman" w:hAnsi="Times New Roman" w:cs="Times New Roman"/>
                                <w:sz w:val="20"/>
                                <w:szCs w:val="20"/>
                              </w:rPr>
                              <w:t>33</w:t>
                            </w:r>
                          </w:p>
                          <w:p w:rsidR="00703377" w:rsidRPr="00ED5F3B" w:rsidP="00703377" w14:textId="0EAE0FEC">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Pr>
                                <w:rFonts w:ascii="Times New Roman" w:hAnsi="Times New Roman" w:cs="Times New Roman"/>
                                <w:sz w:val="20"/>
                                <w:szCs w:val="20"/>
                              </w:rPr>
                              <w:t>c = 0,01</w:t>
                            </w:r>
                            <w:r w:rsidR="0008677E">
                              <w:rPr>
                                <w:rFonts w:ascii="Times New Roman" w:hAnsi="Times New Roman" w:cs="Times New Roman"/>
                                <w:sz w:val="20"/>
                                <w:szCs w:val="20"/>
                              </w:rPr>
                              <w:t>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66.6pt;height:34.8pt;margin-top:38.95pt;margin-left:195.6pt;mso-height-percent:0;mso-height-relative:margin;mso-width-percent:0;mso-width-relative:margin;mso-wrap-distance-bottom:3.6pt;mso-wrap-distance-left:9pt;mso-wrap-distance-right:9pt;mso-wrap-distance-top:3.6pt;mso-wrap-style:square;position:absolute;v-text-anchor:top;visibility:visible;z-index:251718656" stroked="f">
                <v:textbox>
                  <w:txbxContent>
                    <w:p w:rsidR="00703377" w:rsidRPr="00ED5F3B" w:rsidP="00703377" w14:paraId="149E60BD" w14:textId="18D61C0C">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ED5F3B">
                        <w:rPr>
                          <w:rFonts w:ascii="Times New Roman" w:hAnsi="Times New Roman" w:cs="Times New Roman"/>
                          <w:sz w:val="20"/>
                          <w:szCs w:val="20"/>
                        </w:rPr>
                        <w:t xml:space="preserve"> </w:t>
                      </w:r>
                      <w:r>
                        <w:rPr>
                          <w:rFonts w:ascii="Times New Roman" w:hAnsi="Times New Roman" w:cs="Times New Roman"/>
                          <w:sz w:val="20"/>
                          <w:szCs w:val="20"/>
                        </w:rPr>
                        <w:t>= -0,0</w:t>
                      </w:r>
                      <w:r w:rsidR="0008677E">
                        <w:rPr>
                          <w:rFonts w:ascii="Times New Roman" w:hAnsi="Times New Roman" w:cs="Times New Roman"/>
                          <w:sz w:val="20"/>
                          <w:szCs w:val="20"/>
                        </w:rPr>
                        <w:t>33</w:t>
                      </w:r>
                    </w:p>
                    <w:p w:rsidR="00703377" w:rsidRPr="00ED5F3B" w:rsidP="00703377" w14:paraId="1AF1EB3C" w14:textId="0EAE0FEC">
                      <w:pPr>
                        <w:spacing w:after="0" w:line="240" w:lineRule="auto"/>
                        <w:rPr>
                          <w:rFonts w:ascii="Times New Roman" w:hAnsi="Times New Roman" w:cs="Times New Roman"/>
                          <w:sz w:val="20"/>
                          <w:szCs w:val="20"/>
                        </w:rPr>
                      </w:pPr>
                      <w:r w:rsidRPr="00ED5F3B">
                        <w:rPr>
                          <w:rFonts w:ascii="Times New Roman" w:hAnsi="Times New Roman" w:cs="Times New Roman"/>
                          <w:sz w:val="20"/>
                          <w:szCs w:val="20"/>
                        </w:rPr>
                        <w:t>S</w:t>
                      </w:r>
                      <w:r>
                        <w:rPr>
                          <w:rFonts w:ascii="Times New Roman" w:hAnsi="Times New Roman" w:cs="Times New Roman"/>
                          <w:sz w:val="20"/>
                          <w:szCs w:val="20"/>
                        </w:rPr>
                        <w:t>c = 0,01</w:t>
                      </w:r>
                      <w:r w:rsidR="0008677E">
                        <w:rPr>
                          <w:rFonts w:ascii="Times New Roman" w:hAnsi="Times New Roman" w:cs="Times New Roman"/>
                          <w:sz w:val="20"/>
                          <w:szCs w:val="20"/>
                        </w:rPr>
                        <w:t>5</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1965960</wp:posOffset>
                </wp:positionH>
                <wp:positionV relativeFrom="paragraph">
                  <wp:posOffset>438150</wp:posOffset>
                </wp:positionV>
                <wp:extent cx="2019300" cy="45719"/>
                <wp:effectExtent l="0" t="38100" r="38100" b="88265"/>
                <wp:wrapNone/>
                <wp:docPr id="1883555047"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2019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52" type="#_x0000_t32" style="width:159pt;height:3.6pt;margin-top:34.5pt;margin-left:154.8pt;mso-height-percent:0;mso-height-relative:margin;mso-width-percent:0;mso-width-relative:margin;mso-wrap-distance-bottom:0;mso-wrap-distance-left:9pt;mso-wrap-distance-right:9pt;mso-wrap-distance-top:0;mso-wrap-style:square;position:absolute;visibility:visible;z-index:251706368" strokecolor="black" strokeweight="0.5pt">
                <v:stroke joinstyle="miter"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margin">
                  <wp:posOffset>4011295</wp:posOffset>
                </wp:positionH>
                <wp:positionV relativeFrom="paragraph">
                  <wp:posOffset>282575</wp:posOffset>
                </wp:positionV>
                <wp:extent cx="853440" cy="327660"/>
                <wp:effectExtent l="0" t="0" r="22860" b="15240"/>
                <wp:wrapNone/>
                <wp:docPr id="1109486384"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53440" cy="32766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03377" w:rsidRPr="00910852" w:rsidP="00703377" w14:textId="172DB3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NIM</w:t>
                            </w:r>
                            <w:r w:rsidRPr="00910852">
                              <w:rPr>
                                <w:rFonts w:ascii="Times New Roman" w:hAnsi="Times New Roman" w:cs="Times New Roman"/>
                                <w:color w:val="000000" w:themeColor="text1"/>
                                <w:sz w:val="24"/>
                                <w:szCs w:val="24"/>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53" style="width:67.2pt;height:25.8pt;margin-top:22.25pt;margin-left:315.8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4320" fillcolor="white" strokecolor="black" strokeweight="1pt">
                <v:textbox>
                  <w:txbxContent>
                    <w:p w:rsidR="00703377" w:rsidRPr="00910852" w:rsidP="00703377" w14:paraId="427B35EB" w14:textId="172DB3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NIM</w:t>
                      </w:r>
                      <w:r w:rsidRPr="00910852">
                        <w:rPr>
                          <w:rFonts w:ascii="Times New Roman" w:hAnsi="Times New Roman" w:cs="Times New Roman"/>
                          <w:color w:val="000000" w:themeColor="text1"/>
                          <w:sz w:val="24"/>
                          <w:szCs w:val="24"/>
                        </w:rPr>
                        <w:t xml:space="preserve"> (Y)</w:t>
                      </w:r>
                    </w:p>
                  </w:txbxContent>
                </v:textbox>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1104900</wp:posOffset>
                </wp:positionH>
                <wp:positionV relativeFrom="paragraph">
                  <wp:posOffset>282575</wp:posOffset>
                </wp:positionV>
                <wp:extent cx="830580" cy="320040"/>
                <wp:effectExtent l="0" t="0" r="26670" b="22860"/>
                <wp:wrapNone/>
                <wp:docPr id="6162048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830580" cy="3200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03377" w:rsidRPr="00910852" w:rsidP="00703377"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CSR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54" style="width:65.4pt;height:25.2pt;margin-top:22.25pt;margin-left:87pt;mso-height-percent:0;mso-height-relative:margin;mso-width-percent:0;mso-width-relative:margin;mso-wrap-distance-bottom:0;mso-wrap-distance-left:9pt;mso-wrap-distance-right:9pt;mso-wrap-distance-top:0;mso-wrap-style:square;position:absolute;v-text-anchor:middle;visibility:visible;z-index:251700224" fillcolor="white" strokecolor="black" strokeweight="1pt">
                <v:textbox>
                  <w:txbxContent>
                    <w:p w:rsidR="00703377" w:rsidRPr="00910852" w:rsidP="00703377" w14:paraId="54027B5D" w14:textId="77777777">
                      <w:pPr>
                        <w:jc w:val="center"/>
                        <w:rPr>
                          <w:rFonts w:ascii="Times New Roman" w:hAnsi="Times New Roman" w:cs="Times New Roman"/>
                          <w:color w:val="000000" w:themeColor="text1"/>
                          <w:sz w:val="24"/>
                          <w:szCs w:val="24"/>
                        </w:rPr>
                      </w:pPr>
                      <w:r w:rsidRPr="00910852">
                        <w:rPr>
                          <w:rFonts w:ascii="Times New Roman" w:hAnsi="Times New Roman" w:cs="Times New Roman"/>
                          <w:color w:val="000000" w:themeColor="text1"/>
                          <w:sz w:val="24"/>
                          <w:szCs w:val="24"/>
                        </w:rPr>
                        <w:t>CSR (X)</w:t>
                      </w:r>
                    </w:p>
                  </w:txbxContent>
                </v:textbox>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rsidR="00703377" w:rsidP="00703377" w14:paraId="13566746" w14:textId="77777777">
      <w:pPr>
        <w:pStyle w:val="ListParagraph"/>
        <w:spacing w:after="0" w:line="480" w:lineRule="auto"/>
        <w:ind w:left="1145"/>
        <w:jc w:val="both"/>
        <w:rPr>
          <w:rFonts w:ascii="Times New Roman" w:hAnsi="Times New Roman" w:cs="Times New Roman"/>
          <w:sz w:val="24"/>
          <w:szCs w:val="24"/>
        </w:rPr>
      </w:pPr>
    </w:p>
    <w:p w:rsidR="003E4282" w:rsidRPr="005C4152" w:rsidP="003E4282" w14:paraId="5E4852A4" w14:textId="77777777">
      <w:pPr>
        <w:pStyle w:val="ListParagraph"/>
        <w:spacing w:after="0" w:line="240" w:lineRule="auto"/>
        <w:ind w:left="1145"/>
        <w:jc w:val="center"/>
        <w:rPr>
          <w:rFonts w:ascii="Times New Roman" w:hAnsi="Times New Roman" w:cs="Times New Roman"/>
          <w:b/>
          <w:bCs/>
          <w:sz w:val="24"/>
          <w:szCs w:val="24"/>
        </w:rPr>
      </w:pPr>
      <w:r w:rsidRPr="005C4152">
        <w:rPr>
          <w:rFonts w:ascii="Times New Roman" w:hAnsi="Times New Roman" w:cs="Times New Roman"/>
          <w:b/>
          <w:bCs/>
          <w:sz w:val="24"/>
          <w:szCs w:val="24"/>
        </w:rPr>
        <w:t xml:space="preserve">Gambar </w:t>
      </w:r>
      <w:r>
        <w:rPr>
          <w:rFonts w:ascii="Times New Roman" w:hAnsi="Times New Roman" w:cs="Times New Roman"/>
          <w:b/>
          <w:bCs/>
          <w:sz w:val="24"/>
          <w:szCs w:val="24"/>
        </w:rPr>
        <w:t>10</w:t>
      </w:r>
    </w:p>
    <w:p w:rsidR="003E4282" w:rsidRPr="003E4282" w:rsidP="003E4282" w14:paraId="2993EBDF" w14:textId="6A955B58">
      <w:pPr>
        <w:pStyle w:val="ListParagraph"/>
        <w:spacing w:after="0" w:line="240" w:lineRule="auto"/>
        <w:ind w:left="1145"/>
        <w:jc w:val="center"/>
        <w:rPr>
          <w:rFonts w:ascii="Times New Roman" w:hAnsi="Times New Roman" w:cs="Times New Roman"/>
          <w:b/>
          <w:bCs/>
          <w:sz w:val="24"/>
          <w:szCs w:val="24"/>
        </w:rPr>
      </w:pPr>
      <w:r w:rsidRPr="005C4152">
        <w:rPr>
          <w:rFonts w:ascii="Times New Roman" w:hAnsi="Times New Roman" w:cs="Times New Roman"/>
          <w:b/>
          <w:bCs/>
          <w:sz w:val="24"/>
          <w:szCs w:val="24"/>
        </w:rPr>
        <w:t xml:space="preserve">Hasil </w:t>
      </w:r>
      <w:r w:rsidRPr="005C4152">
        <w:rPr>
          <w:rFonts w:ascii="Times New Roman" w:hAnsi="Times New Roman" w:cs="Times New Roman"/>
          <w:b/>
          <w:bCs/>
          <w:sz w:val="24"/>
          <w:szCs w:val="24"/>
        </w:rPr>
        <w:t>Analisis</w:t>
      </w:r>
      <w:r w:rsidRPr="005C4152">
        <w:rPr>
          <w:rFonts w:ascii="Times New Roman" w:hAnsi="Times New Roman" w:cs="Times New Roman"/>
          <w:b/>
          <w:bCs/>
          <w:sz w:val="24"/>
          <w:szCs w:val="24"/>
        </w:rPr>
        <w:t xml:space="preserve"> Model </w:t>
      </w:r>
      <w:r w:rsidRPr="005C4152">
        <w:rPr>
          <w:rFonts w:ascii="Times New Roman" w:hAnsi="Times New Roman" w:cs="Times New Roman"/>
          <w:b/>
          <w:bCs/>
          <w:sz w:val="24"/>
          <w:szCs w:val="24"/>
        </w:rPr>
        <w:t>Regresi</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Mediasi</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Dengan</w:t>
      </w:r>
      <w:r w:rsidRPr="005C4152">
        <w:rPr>
          <w:rFonts w:ascii="Times New Roman" w:hAnsi="Times New Roman" w:cs="Times New Roman"/>
          <w:b/>
          <w:bCs/>
          <w:sz w:val="24"/>
          <w:szCs w:val="24"/>
        </w:rPr>
        <w:t xml:space="preserve"> </w:t>
      </w:r>
      <w:r w:rsidRPr="005C4152">
        <w:rPr>
          <w:rFonts w:ascii="Times New Roman" w:hAnsi="Times New Roman" w:cs="Times New Roman"/>
          <w:b/>
          <w:bCs/>
          <w:sz w:val="24"/>
          <w:szCs w:val="24"/>
        </w:rPr>
        <w:t>Proksi</w:t>
      </w:r>
      <w:r w:rsidRPr="005C4152">
        <w:rPr>
          <w:rFonts w:ascii="Times New Roman" w:hAnsi="Times New Roman" w:cs="Times New Roman"/>
          <w:b/>
          <w:bCs/>
          <w:sz w:val="24"/>
          <w:szCs w:val="24"/>
        </w:rPr>
        <w:t xml:space="preserve"> </w:t>
      </w:r>
      <w:r>
        <w:rPr>
          <w:rFonts w:ascii="Times New Roman" w:hAnsi="Times New Roman" w:cs="Times New Roman"/>
          <w:b/>
          <w:bCs/>
          <w:sz w:val="24"/>
          <w:szCs w:val="24"/>
        </w:rPr>
        <w:t>NIM</w:t>
      </w:r>
    </w:p>
    <w:p w:rsidR="003E4282" w:rsidP="0008677E" w14:paraId="2E55963A" w14:textId="77777777">
      <w:pPr>
        <w:pStyle w:val="ListParagraph"/>
        <w:spacing w:after="0" w:line="480" w:lineRule="auto"/>
        <w:ind w:left="1145"/>
        <w:jc w:val="both"/>
        <w:rPr>
          <w:rFonts w:ascii="Times New Roman" w:hAnsi="Times New Roman" w:cs="Times New Roman"/>
          <w:sz w:val="24"/>
          <w:szCs w:val="24"/>
        </w:rPr>
      </w:pPr>
    </w:p>
    <w:p w:rsidR="00703377" w:rsidP="0008677E" w14:paraId="74C49A2E" w14:textId="7EDE399F">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menghitung</w:t>
      </w:r>
      <w:r>
        <w:rPr>
          <w:rFonts w:ascii="Times New Roman" w:hAnsi="Times New Roman" w:cs="Times New Roman"/>
          <w:sz w:val="24"/>
          <w:szCs w:val="24"/>
        </w:rPr>
        <w:t xml:space="preserve"> S</w:t>
      </w:r>
      <w:r w:rsidRPr="005C4152">
        <w:rPr>
          <w:rFonts w:ascii="Times New Roman" w:hAnsi="Times New Roman" w:cs="Times New Roman"/>
          <w:sz w:val="24"/>
          <w:szCs w:val="24"/>
          <w:vertAlign w:val="subscript"/>
        </w:rPr>
        <w:t>ab</w:t>
      </w:r>
      <w:r>
        <w:rPr>
          <w:rFonts w:ascii="Times New Roman" w:hAnsi="Times New Roman" w:cs="Times New Roman"/>
          <w:sz w:val="24"/>
          <w:szCs w:val="24"/>
        </w:rPr>
        <w:t xml:space="preserve">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rumus</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w:t>
      </w:r>
    </w:p>
    <w:p w:rsidR="00703377" w:rsidRPr="005C4152" w:rsidP="0008677E" w14:paraId="355BC7EE" w14:textId="77777777">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w:t>
      </w:r>
      <m:oMath>
        <m:rad>
          <m:radPr>
            <m:degHide/>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+s</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sb²</m:t>
            </m:r>
          </m:e>
        </m:rad>
      </m:oMath>
    </w:p>
    <w:p w:rsidR="00703377" w:rsidRPr="005C4152" w:rsidP="0008677E" w14:paraId="1D11BA9F" w14:textId="602C5906">
      <w:pPr>
        <w:pStyle w:val="ListParagraph"/>
        <w:spacing w:after="0" w:line="480" w:lineRule="auto"/>
        <w:ind w:left="1145"/>
        <w:jc w:val="both"/>
        <w:rPr>
          <w:rFonts w:ascii="Times New Roman" w:hAnsi="Times New Roman"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 xml:space="preserve"> </w:t>
      </w:r>
      <m:oMath>
        <m:rad>
          <m:radPr>
            <m:degHide/>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(0,054)</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(0,044)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(0,869)</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(0,015)</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0,044</m:t>
                    </m:r>
                  </m:e>
                </m:d>
              </m:e>
              <m:sup>
                <m:r>
                  <w:rPr>
                    <w:rFonts w:ascii="Cambria Math" w:hAnsi="Cambria Math" w:cs="Times New Roman"/>
                    <w:sz w:val="24"/>
                    <w:szCs w:val="24"/>
                  </w:rPr>
                  <m:t>2</m:t>
                </m:r>
              </m:sup>
            </m:sSup>
            <m:r>
              <w:rPr>
                <w:rFonts w:ascii="Cambria Math" w:hAnsi="Cambria Math" w:cs="Times New Roman"/>
                <w:sz w:val="24"/>
                <w:szCs w:val="24"/>
              </w:rPr>
              <m:t>(0,015)²</m:t>
            </m:r>
          </m:e>
        </m:rad>
      </m:oMath>
    </w:p>
    <w:p w:rsidR="00703377" w:rsidP="0008677E" w14:paraId="4C313257" w14:textId="240E58F7">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cs="Times New Roman"/>
          <w:sz w:val="24"/>
          <w:szCs w:val="24"/>
        </w:rPr>
        <w:t>S</w:t>
      </w:r>
      <w:r w:rsidRPr="005C4152">
        <w:rPr>
          <w:rFonts w:ascii="Times New Roman" w:hAnsi="Times New Roman" w:cs="Times New Roman"/>
          <w:sz w:val="24"/>
          <w:szCs w:val="24"/>
          <w:vertAlign w:val="subscript"/>
        </w:rPr>
        <w:t>ab</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eastAsiaTheme="minorEastAsia" w:cs="Times New Roman"/>
          <w:sz w:val="24"/>
          <w:szCs w:val="24"/>
        </w:rPr>
        <w:t>0,0</w:t>
      </w:r>
      <w:r w:rsidR="0008677E">
        <w:rPr>
          <w:rFonts w:ascii="Times New Roman" w:hAnsi="Times New Roman" w:eastAsiaTheme="minorEastAsia" w:cs="Times New Roman"/>
          <w:sz w:val="24"/>
          <w:szCs w:val="24"/>
        </w:rPr>
        <w:t>1324978</w:t>
      </w:r>
    </w:p>
    <w:p w:rsidR="00703377" w:rsidP="0008677E" w14:paraId="1664FF83" w14:textId="4E1FB837">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Sedangkan</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untuk</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nilai</w:t>
      </w:r>
      <w:r>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hitung</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adalah</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sebagai</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berikut</w:t>
      </w:r>
      <w:r>
        <w:rPr>
          <w:rFonts w:ascii="Times New Roman" w:hAnsi="Times New Roman" w:eastAsiaTheme="minorEastAsia" w:cs="Times New Roman"/>
          <w:sz w:val="24"/>
          <w:szCs w:val="24"/>
        </w:rPr>
        <w:t>:</w:t>
      </w:r>
    </w:p>
    <w:p w:rsidR="00703377" w:rsidP="0008677E" w14:paraId="3BAAF824" w14:textId="0A0E626D">
      <w:pPr>
        <w:pStyle w:val="ListParagraph"/>
        <w:spacing w:after="0" w:line="480" w:lineRule="auto"/>
        <w:ind w:left="1145"/>
        <w:jc w:val="both"/>
        <w:rPr>
          <w:rFonts w:ascii="Times New Roman" w:hAnsi="Times New Roman" w:eastAsiaTheme="minorEastAsia" w:cs="Times New Roman"/>
          <w:sz w:val="24"/>
          <w:szCs w:val="24"/>
        </w:rPr>
      </w:pPr>
      <w:r>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 xml:space="preserve"> </w:t>
      </w:r>
      <w:r>
        <w:rPr>
          <w:rFonts w:ascii="Times New Roman" w:hAnsi="Times New Roman" w:eastAsiaTheme="minorEastAsia" w:cs="Times New Roman"/>
          <w:sz w:val="24"/>
          <w:szCs w:val="24"/>
        </w:rPr>
        <w:t>hitung</w:t>
      </w:r>
      <w:r>
        <w:rPr>
          <w:rFonts w:ascii="Times New Roman" w:hAnsi="Times New Roman" w:eastAsiaTheme="minorEastAsia" w:cs="Times New Roman"/>
          <w:sz w:val="24"/>
          <w:szCs w:val="24"/>
        </w:rPr>
        <w:t xml:space="preserve"> = </w:t>
      </w:r>
      <m:oMath>
        <m:f>
          <m:fPr>
            <m:ctrlPr>
              <w:rPr>
                <w:rFonts w:ascii="Cambria Math" w:hAnsi="Cambria Math" w:eastAsiaTheme="minorEastAsia" w:cs="Times New Roman"/>
                <w:i/>
                <w:sz w:val="24"/>
                <w:szCs w:val="24"/>
              </w:rPr>
            </m:ctrlPr>
          </m:fPr>
          <m:num>
            <m:r>
              <m:rPr>
                <m:nor/>
              </m:rPr>
              <w:rPr>
                <w:rFonts w:ascii="Times New Roman" w:hAnsi="Times New Roman" w:eastAsiaTheme="minorEastAsia" w:cs="Times New Roman"/>
                <w:sz w:val="24"/>
                <w:szCs w:val="24"/>
              </w:rPr>
              <m:t>(0,869) (0,054)</m:t>
            </m:r>
          </m:num>
          <m:den>
            <m:r>
              <m:rPr>
                <m:nor/>
              </m:rPr>
              <w:rPr>
                <w:rFonts w:ascii="Times New Roman" w:hAnsi="Times New Roman" w:eastAsiaTheme="minorEastAsia" w:cs="Times New Roman"/>
                <w:sz w:val="24"/>
                <w:szCs w:val="24"/>
              </w:rPr>
              <m:t>0,01324978</m:t>
            </m:r>
          </m:den>
        </m:f>
      </m:oMath>
      <w:r>
        <w:rPr>
          <w:rFonts w:ascii="Times New Roman" w:hAnsi="Times New Roman" w:eastAsiaTheme="minorEastAsia" w:cs="Times New Roman"/>
          <w:sz w:val="24"/>
          <w:szCs w:val="24"/>
        </w:rPr>
        <w:t xml:space="preserve"> = </w:t>
      </w:r>
      <w:r w:rsidR="0008677E">
        <w:rPr>
          <w:rFonts w:ascii="Times New Roman" w:hAnsi="Times New Roman" w:eastAsiaTheme="minorEastAsia" w:cs="Times New Roman"/>
          <w:sz w:val="24"/>
          <w:szCs w:val="24"/>
        </w:rPr>
        <w:t>3,54164441</w:t>
      </w:r>
    </w:p>
    <w:p w:rsidR="00703377" w:rsidRPr="00D13865" w:rsidP="00D13865" w14:paraId="5A80A451" w14:textId="1B1D81D8">
      <w:pPr>
        <w:pStyle w:val="ListParagraph"/>
        <w:spacing w:after="0" w:line="480" w:lineRule="auto"/>
        <w:ind w:left="1145"/>
        <w:jc w:val="both"/>
        <w:rPr>
          <w:rFonts w:ascii="Times New Roman" w:hAnsi="Times New Roman" w:eastAsiaTheme="minorEastAsia" w:cs="Times New Roman"/>
          <w:sz w:val="24"/>
          <w:szCs w:val="24"/>
        </w:rPr>
      </w:pPr>
      <w:r w:rsidRPr="00AB1F33">
        <w:rPr>
          <w:rFonts w:ascii="Times New Roman" w:hAnsi="Times New Roman" w:eastAsiaTheme="minorEastAsia" w:cs="Times New Roman"/>
          <w:sz w:val="24"/>
          <w:szCs w:val="24"/>
        </w:rPr>
        <w:t>Berdasarkan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hasil</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perhitungan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diperoleh</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nilai</w:t>
      </w:r>
      <w:r w:rsidRPr="00AB1F33">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hitung</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sebesar</w:t>
      </w:r>
      <w:r w:rsidRPr="00AB1F33">
        <w:rPr>
          <w:rFonts w:ascii="Times New Roman" w:hAnsi="Times New Roman" w:eastAsiaTheme="minorEastAsia" w:cs="Times New Roman"/>
          <w:sz w:val="24"/>
          <w:szCs w:val="24"/>
        </w:rPr>
        <w:t xml:space="preserve"> </w:t>
      </w:r>
      <w:r w:rsidR="0008677E">
        <w:rPr>
          <w:rFonts w:ascii="Times New Roman" w:hAnsi="Times New Roman" w:eastAsiaTheme="minorEastAsia" w:cs="Times New Roman"/>
          <w:sz w:val="24"/>
          <w:szCs w:val="24"/>
        </w:rPr>
        <w:t>3,54</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lebih</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besar</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dari</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nilai</w:t>
      </w:r>
      <w:r w:rsidRPr="00AB1F33">
        <w:rPr>
          <w:rFonts w:ascii="Times New Roman" w:hAnsi="Times New Roman" w:eastAsiaTheme="minorEastAsia" w:cs="Times New Roman"/>
          <w:sz w:val="24"/>
          <w:szCs w:val="24"/>
        </w:rPr>
        <w:t xml:space="preserve"> </w:t>
      </w:r>
      <w:r w:rsidR="00E803DD">
        <w:rPr>
          <w:rFonts w:ascii="Times New Roman" w:hAnsi="Times New Roman" w:eastAsiaTheme="minorEastAsia" w:cs="Times New Roman"/>
          <w:sz w:val="24"/>
          <w:szCs w:val="24"/>
        </w:rPr>
        <w:t>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tabel</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dengan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tingkat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signifikasi</w:t>
      </w:r>
      <w:r w:rsidRPr="00AB1F33">
        <w:rPr>
          <w:rFonts w:ascii="Times New Roman" w:hAnsi="Times New Roman" w:eastAsiaTheme="minorEastAsia" w:cs="Times New Roman"/>
          <w:sz w:val="24"/>
          <w:szCs w:val="24"/>
        </w:rPr>
        <w:t xml:space="preserve"> 0,05, </w:t>
      </w:r>
      <w:r w:rsidRPr="00AB1F33">
        <w:rPr>
          <w:rFonts w:ascii="Times New Roman" w:hAnsi="Times New Roman" w:eastAsiaTheme="minorEastAsia" w:cs="Times New Roman"/>
          <w:sz w:val="24"/>
          <w:szCs w:val="24"/>
        </w:rPr>
        <w:t>yaitu</w:t>
      </w:r>
      <w:r w:rsidRPr="00AB1F33">
        <w:rPr>
          <w:rFonts w:ascii="Times New Roman" w:hAnsi="Times New Roman" w:eastAsiaTheme="minorEastAsia" w:cs="Times New Roman"/>
          <w:sz w:val="24"/>
          <w:szCs w:val="24"/>
        </w:rPr>
        <w:t xml:space="preserve"> 1,96. Maka </w:t>
      </w:r>
      <w:r w:rsidRPr="00AB1F33">
        <w:rPr>
          <w:rFonts w:ascii="Times New Roman" w:hAnsi="Times New Roman" w:eastAsiaTheme="minorEastAsia" w:cs="Times New Roman"/>
          <w:sz w:val="24"/>
          <w:szCs w:val="24"/>
        </w:rPr>
        <w:t>dapat</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dikatakan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bahwa</w:t>
      </w:r>
      <w:r w:rsidRPr="00AB1F33">
        <w:rPr>
          <w:rFonts w:ascii="Times New Roman" w:hAnsi="Times New Roman" w:eastAsiaTheme="minorEastAsia" w:cs="Times New Roman"/>
          <w:sz w:val="24"/>
          <w:szCs w:val="24"/>
        </w:rPr>
        <w:t xml:space="preserve"> </w:t>
      </w:r>
      <w:r w:rsidRPr="00050103">
        <w:rPr>
          <w:rFonts w:ascii="Times New Roman" w:hAnsi="Times New Roman" w:eastAsiaTheme="minorEastAsia" w:cs="Times New Roman"/>
          <w:i/>
          <w:iCs/>
          <w:sz w:val="24"/>
          <w:szCs w:val="24"/>
        </w:rPr>
        <w:t>green banking</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memediasi</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hubungan</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kausal</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antara</w:t>
      </w:r>
      <w:r w:rsidRPr="00AB1F33">
        <w:rPr>
          <w:rFonts w:ascii="Times New Roman" w:hAnsi="Times New Roman" w:eastAsiaTheme="minorEastAsia" w:cs="Times New Roman"/>
          <w:sz w:val="24"/>
          <w:szCs w:val="24"/>
        </w:rPr>
        <w:t xml:space="preserve"> </w:t>
      </w:r>
      <w:r w:rsidRPr="0008677E">
        <w:rPr>
          <w:rFonts w:ascii="Times New Roman" w:hAnsi="Times New Roman" w:eastAsiaTheme="minorEastAsia" w:cs="Times New Roman"/>
          <w:i/>
          <w:iCs/>
          <w:sz w:val="24"/>
          <w:szCs w:val="24"/>
        </w:rPr>
        <w:t>corporate social responsibility</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terhadap</w:t>
      </w:r>
      <w:r w:rsidRPr="00AB1F33">
        <w:rPr>
          <w:rFonts w:ascii="Times New Roman" w:hAnsi="Times New Roman" w:eastAsiaTheme="minorEastAsia" w:cs="Times New Roman"/>
          <w:sz w:val="24"/>
          <w:szCs w:val="24"/>
        </w:rPr>
        <w:t xml:space="preserve"> </w:t>
      </w:r>
      <w:r w:rsidRPr="0008677E" w:rsidR="0008677E">
        <w:rPr>
          <w:rFonts w:ascii="Times New Roman" w:hAnsi="Times New Roman" w:eastAsiaTheme="minorEastAsia" w:cs="Times New Roman"/>
          <w:i/>
          <w:iCs/>
          <w:sz w:val="24"/>
          <w:szCs w:val="24"/>
        </w:rPr>
        <w:t>net interest margin</w:t>
      </w:r>
      <w:r w:rsidR="0008677E">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(H</w:t>
      </w:r>
      <w:r w:rsidR="0008677E">
        <w:rPr>
          <w:rFonts w:ascii="Times New Roman" w:hAnsi="Times New Roman" w:eastAsiaTheme="minorEastAsia" w:cs="Times New Roman"/>
          <w:sz w:val="24"/>
          <w:szCs w:val="24"/>
        </w:rPr>
        <w:t>10</w:t>
      </w:r>
      <w:r w:rsidRPr="00AB1F33">
        <w:rPr>
          <w:rFonts w:ascii="Times New Roman" w:hAnsi="Times New Roman" w:eastAsiaTheme="minorEastAsia" w:cs="Times New Roman"/>
          <w:sz w:val="24"/>
          <w:szCs w:val="24"/>
        </w:rPr>
        <w:t xml:space="preserve"> </w:t>
      </w:r>
      <w:r w:rsidRPr="00AB1F33">
        <w:rPr>
          <w:rFonts w:ascii="Times New Roman" w:hAnsi="Times New Roman" w:eastAsiaTheme="minorEastAsia" w:cs="Times New Roman"/>
          <w:sz w:val="24"/>
          <w:szCs w:val="24"/>
        </w:rPr>
        <w:t>diterima</w:t>
      </w:r>
      <w:r w:rsidRPr="00AB1F33">
        <w:rPr>
          <w:rFonts w:ascii="Times New Roman" w:hAnsi="Times New Roman" w:eastAsiaTheme="minorEastAsia" w:cs="Times New Roman"/>
          <w:sz w:val="24"/>
          <w:szCs w:val="24"/>
        </w:rPr>
        <w:t>).</w:t>
      </w:r>
    </w:p>
    <w:p w:rsidR="005B331C" w:rsidP="005B331C" w14:paraId="55DE98DB" w14:textId="77777777">
      <w:pPr>
        <w:pStyle w:val="ListParagraph"/>
        <w:numPr>
          <w:ilvl w:val="0"/>
          <w:numId w:val="47"/>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Pembahasan</w:t>
      </w:r>
    </w:p>
    <w:p w:rsidR="005B331C" w:rsidP="001D28D7" w14:paraId="1B8B3B00" w14:textId="77777777">
      <w:pPr>
        <w:pStyle w:val="ListParagraph"/>
        <w:numPr>
          <w:ilvl w:val="0"/>
          <w:numId w:val="75"/>
        </w:numPr>
        <w:spacing w:after="0" w:line="480" w:lineRule="auto"/>
        <w:jc w:val="both"/>
        <w:rPr>
          <w:rFonts w:ascii="Times New Roman" w:hAnsi="Times New Roman" w:cs="Times New Roman"/>
          <w:b/>
          <w:bCs/>
          <w:sz w:val="24"/>
          <w:szCs w:val="24"/>
        </w:rPr>
      </w:pPr>
      <w:r w:rsidRPr="005B331C">
        <w:rPr>
          <w:rFonts w:ascii="Times New Roman" w:hAnsi="Times New Roman" w:cs="Times New Roman"/>
          <w:b/>
          <w:bCs/>
          <w:sz w:val="24"/>
          <w:szCs w:val="24"/>
        </w:rPr>
        <w:t>Pengaruh</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Pengungkapan</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Corporate Social Responsibility </w:t>
      </w:r>
      <w:r w:rsidRPr="005B331C">
        <w:rPr>
          <w:rFonts w:ascii="Times New Roman" w:hAnsi="Times New Roman" w:cs="Times New Roman"/>
          <w:b/>
          <w:bCs/>
          <w:sz w:val="24"/>
          <w:szCs w:val="24"/>
        </w:rPr>
        <w:t>terhadap</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Return </w:t>
      </w:r>
      <w:r w:rsidRPr="005B331C">
        <w:rPr>
          <w:rFonts w:ascii="Times New Roman" w:hAnsi="Times New Roman" w:cs="Times New Roman"/>
          <w:b/>
          <w:bCs/>
          <w:i/>
          <w:iCs/>
          <w:sz w:val="24"/>
          <w:szCs w:val="24"/>
        </w:rPr>
        <w:t>On</w:t>
      </w:r>
      <w:r w:rsidRPr="005B331C">
        <w:rPr>
          <w:rFonts w:ascii="Times New Roman" w:hAnsi="Times New Roman" w:cs="Times New Roman"/>
          <w:b/>
          <w:bCs/>
          <w:i/>
          <w:iCs/>
          <w:sz w:val="24"/>
          <w:szCs w:val="24"/>
        </w:rPr>
        <w:t xml:space="preserve"> Assets</w:t>
      </w:r>
      <w:r w:rsidRPr="005B331C">
        <w:rPr>
          <w:rFonts w:ascii="Times New Roman" w:hAnsi="Times New Roman" w:cs="Times New Roman"/>
          <w:b/>
          <w:bCs/>
          <w:sz w:val="24"/>
          <w:szCs w:val="24"/>
        </w:rPr>
        <w:t xml:space="preserve"> (ROA) pada Sub-</w:t>
      </w:r>
      <w:r w:rsidRPr="005B331C">
        <w:rPr>
          <w:rFonts w:ascii="Times New Roman" w:hAnsi="Times New Roman" w:cs="Times New Roman"/>
          <w:b/>
          <w:bCs/>
          <w:sz w:val="24"/>
          <w:szCs w:val="24"/>
        </w:rPr>
        <w:t>sektor</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Perbankan</w:t>
      </w:r>
    </w:p>
    <w:p w:rsidR="00416A19" w:rsidP="001D28D7" w14:paraId="67C34A3D" w14:textId="0EB0667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menghasilkan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terdapat</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Pr>
          <w:rFonts w:ascii="Times New Roman" w:hAnsi="Times New Roman" w:cs="Times New Roman"/>
          <w:sz w:val="24"/>
          <w:szCs w:val="24"/>
        </w:rPr>
        <w:t>pengungkapan</w:t>
      </w:r>
      <w:r>
        <w:rPr>
          <w:rFonts w:ascii="Times New Roman" w:hAnsi="Times New Roman" w:cs="Times New Roman"/>
          <w:sz w:val="24"/>
          <w:szCs w:val="24"/>
        </w:rPr>
        <w:t xml:space="preserve"> </w:t>
      </w:r>
      <w:r w:rsidRPr="00B80BA0">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80BA0">
        <w:rPr>
          <w:rFonts w:ascii="Times New Roman" w:hAnsi="Times New Roman" w:cs="Times New Roman"/>
          <w:i/>
          <w:iCs/>
          <w:sz w:val="24"/>
          <w:szCs w:val="24"/>
        </w:rPr>
        <w:t>return on assets</w:t>
      </w:r>
      <w:r>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dikatakan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bahwa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peningkatan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maupun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penurunan</w:t>
      </w:r>
      <w:r w:rsidRPr="005B331C" w:rsidR="0073442A">
        <w:rPr>
          <w:rFonts w:ascii="Times New Roman" w:hAnsi="Times New Roman" w:cs="Times New Roman"/>
          <w:sz w:val="24"/>
          <w:szCs w:val="24"/>
        </w:rPr>
        <w:t xml:space="preserve"> ROA </w:t>
      </w:r>
      <w:r w:rsidRPr="005B331C" w:rsidR="0073442A">
        <w:rPr>
          <w:rFonts w:ascii="Times New Roman" w:hAnsi="Times New Roman" w:cs="Times New Roman"/>
          <w:sz w:val="24"/>
          <w:szCs w:val="24"/>
        </w:rPr>
        <w:t>tidak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dipengaruhi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dengan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adanya</w:t>
      </w:r>
      <w:r w:rsidRPr="005B331C" w:rsidR="0073442A">
        <w:rPr>
          <w:rFonts w:ascii="Times New Roman" w:hAnsi="Times New Roman" w:cs="Times New Roman"/>
          <w:sz w:val="24"/>
          <w:szCs w:val="24"/>
        </w:rPr>
        <w:t xml:space="preserve"> program CSR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Artinya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segala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bentuk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tanggung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jawab</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sosial</w:t>
      </w:r>
      <w:r w:rsidRPr="005B331C" w:rsidR="0073442A">
        <w:rPr>
          <w:rFonts w:ascii="Times New Roman" w:hAnsi="Times New Roman" w:cs="Times New Roman"/>
          <w:sz w:val="24"/>
          <w:szCs w:val="24"/>
        </w:rPr>
        <w:t xml:space="preserve"> yan</w:t>
      </w:r>
      <w:r w:rsidRPr="005B331C" w:rsidR="00176233">
        <w:rPr>
          <w:rFonts w:ascii="Times New Roman" w:hAnsi="Times New Roman" w:cs="Times New Roman"/>
          <w:sz w:val="24"/>
          <w:szCs w:val="24"/>
        </w:rPr>
        <w:t>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diprogramkan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kepada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i/>
          <w:iCs/>
          <w:sz w:val="24"/>
          <w:szCs w:val="24"/>
        </w:rPr>
        <w:t>stakeholder</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atau</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masyarakat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tidak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memberikan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peningkatan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maupun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penurunan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profitabilitas</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w:t>
      </w:r>
      <w:r>
        <w:rPr>
          <w:rFonts w:ascii="Times New Roman" w:hAnsi="Times New Roman" w:cs="Times New Roman"/>
          <w:sz w:val="24"/>
          <w:szCs w:val="24"/>
        </w:rPr>
        <w:t xml:space="preserve"> </w:t>
      </w:r>
    </w:p>
    <w:p w:rsidR="005B331C" w:rsidRPr="00416A19" w:rsidP="001D28D7" w14:paraId="49C33046" w14:textId="5B2ED94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menujukkan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Pr>
          <w:rFonts w:ascii="Times New Roman" w:hAnsi="Times New Roman" w:cs="Times New Roman"/>
          <w:sz w:val="24"/>
          <w:szCs w:val="24"/>
        </w:rPr>
        <w:t>pengungkapan</w:t>
      </w:r>
      <w:r>
        <w:rPr>
          <w:rFonts w:ascii="Times New Roman" w:hAnsi="Times New Roman" w:cs="Times New Roman"/>
          <w:sz w:val="24"/>
          <w:szCs w:val="24"/>
        </w:rPr>
        <w:t xml:space="preserve"> </w:t>
      </w:r>
      <w:r>
        <w:rPr>
          <w:rFonts w:ascii="Times New Roman" w:hAnsi="Times New Roman" w:cs="Times New Roman"/>
          <w:sz w:val="24"/>
          <w:szCs w:val="24"/>
        </w:rPr>
        <w:t>informasi</w:t>
      </w:r>
      <w:r>
        <w:rPr>
          <w:rFonts w:ascii="Times New Roman" w:hAnsi="Times New Roman" w:cs="Times New Roman"/>
          <w:sz w:val="24"/>
          <w:szCs w:val="24"/>
        </w:rPr>
        <w:t xml:space="preserve"> </w:t>
      </w:r>
      <w:r>
        <w:rPr>
          <w:rFonts w:ascii="Times New Roman" w:hAnsi="Times New Roman" w:cs="Times New Roman"/>
          <w:sz w:val="24"/>
          <w:szCs w:val="24"/>
        </w:rPr>
        <w:t>kepedulian</w:t>
      </w:r>
      <w:r>
        <w:rPr>
          <w:rFonts w:ascii="Times New Roman" w:hAnsi="Times New Roman" w:cs="Times New Roman"/>
          <w:sz w:val="24"/>
          <w:szCs w:val="24"/>
        </w:rPr>
        <w:t xml:space="preserve"> </w:t>
      </w:r>
      <w:r>
        <w:rPr>
          <w:rFonts w:ascii="Times New Roman" w:hAnsi="Times New Roman" w:cs="Times New Roman"/>
          <w:sz w:val="24"/>
          <w:szCs w:val="24"/>
        </w:rPr>
        <w:t>sossial</w:t>
      </w:r>
      <w:r>
        <w:rPr>
          <w:rFonts w:ascii="Times New Roman" w:hAnsi="Times New Roman" w:cs="Times New Roman"/>
          <w:sz w:val="24"/>
          <w:szCs w:val="24"/>
        </w:rPr>
        <w:t xml:space="preserve"> yang </w:t>
      </w:r>
      <w:r>
        <w:rPr>
          <w:rFonts w:ascii="Times New Roman" w:hAnsi="Times New Roman" w:cs="Times New Roman"/>
          <w:sz w:val="24"/>
          <w:szCs w:val="24"/>
        </w:rPr>
        <w:t>dilakukan</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mempengaruhi</w:t>
      </w:r>
      <w:r>
        <w:rPr>
          <w:rFonts w:ascii="Times New Roman" w:hAnsi="Times New Roman" w:cs="Times New Roman"/>
          <w:sz w:val="24"/>
          <w:szCs w:val="24"/>
        </w:rPr>
        <w:t xml:space="preserve"> </w:t>
      </w:r>
      <w:r>
        <w:rPr>
          <w:rFonts w:ascii="Times New Roman" w:hAnsi="Times New Roman" w:cs="Times New Roman"/>
          <w:sz w:val="24"/>
          <w:szCs w:val="24"/>
        </w:rPr>
        <w:t>tingkat</w:t>
      </w:r>
      <w:r>
        <w:rPr>
          <w:rFonts w:ascii="Times New Roman" w:hAnsi="Times New Roman" w:cs="Times New Roman"/>
          <w:sz w:val="24"/>
          <w:szCs w:val="24"/>
        </w:rPr>
        <w:t xml:space="preserve"> naik </w:t>
      </w:r>
      <w:r>
        <w:rPr>
          <w:rFonts w:ascii="Times New Roman" w:hAnsi="Times New Roman" w:cs="Times New Roman"/>
          <w:sz w:val="24"/>
          <w:szCs w:val="24"/>
        </w:rPr>
        <w:t>turunnya</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berbanding</w:t>
      </w:r>
      <w:r>
        <w:rPr>
          <w:rFonts w:ascii="Times New Roman" w:hAnsi="Times New Roman" w:cs="Times New Roman"/>
          <w:sz w:val="24"/>
          <w:szCs w:val="24"/>
        </w:rPr>
        <w:t xml:space="preserve"> </w:t>
      </w:r>
      <w:r>
        <w:rPr>
          <w:rFonts w:ascii="Times New Roman" w:hAnsi="Times New Roman" w:cs="Times New Roman"/>
          <w:sz w:val="24"/>
          <w:szCs w:val="24"/>
        </w:rPr>
        <w:t>terbalik</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teori</w:t>
      </w:r>
      <w:r>
        <w:rPr>
          <w:rFonts w:ascii="Times New Roman" w:hAnsi="Times New Roman" w:cs="Times New Roman"/>
          <w:sz w:val="24"/>
          <w:szCs w:val="24"/>
        </w:rPr>
        <w:t xml:space="preserve"> </w:t>
      </w:r>
      <w:r>
        <w:rPr>
          <w:rFonts w:ascii="Times New Roman" w:hAnsi="Times New Roman" w:cs="Times New Roman"/>
          <w:sz w:val="24"/>
          <w:szCs w:val="24"/>
        </w:rPr>
        <w:t>sinyal</w:t>
      </w:r>
      <w:r>
        <w:rPr>
          <w:rFonts w:ascii="Times New Roman" w:hAnsi="Times New Roman" w:cs="Times New Roman"/>
          <w:sz w:val="24"/>
          <w:szCs w:val="24"/>
        </w:rPr>
        <w:t xml:space="preserve"> yang </w:t>
      </w:r>
      <w:r>
        <w:rPr>
          <w:rFonts w:ascii="Times New Roman" w:hAnsi="Times New Roman" w:cs="Times New Roman"/>
          <w:sz w:val="24"/>
          <w:szCs w:val="24"/>
        </w:rPr>
        <w:t>digunakan</w:t>
      </w:r>
      <w:r>
        <w:rPr>
          <w:rFonts w:ascii="Times New Roman" w:hAnsi="Times New Roman" w:cs="Times New Roman"/>
          <w:sz w:val="24"/>
          <w:szCs w:val="24"/>
        </w:rPr>
        <w:t xml:space="preserve"> </w:t>
      </w:r>
      <w:r>
        <w:rPr>
          <w:rFonts w:ascii="Times New Roman" w:hAnsi="Times New Roman" w:cs="Times New Roman"/>
          <w:sz w:val="24"/>
          <w:szCs w:val="24"/>
        </w:rPr>
        <w:t>dimana</w:t>
      </w:r>
      <w:r>
        <w:rPr>
          <w:rFonts w:ascii="Times New Roman" w:hAnsi="Times New Roman" w:cs="Times New Roman"/>
          <w:sz w:val="24"/>
          <w:szCs w:val="24"/>
        </w:rPr>
        <w:t xml:space="preserve"> </w:t>
      </w:r>
      <w:r>
        <w:rPr>
          <w:rFonts w:ascii="Times New Roman" w:hAnsi="Times New Roman" w:cs="Times New Roman"/>
          <w:sz w:val="24"/>
          <w:szCs w:val="24"/>
        </w:rPr>
        <w:t>segala</w:t>
      </w:r>
      <w:r>
        <w:rPr>
          <w:rFonts w:ascii="Times New Roman" w:hAnsi="Times New Roman" w:cs="Times New Roman"/>
          <w:sz w:val="24"/>
          <w:szCs w:val="24"/>
        </w:rPr>
        <w:t xml:space="preserve"> </w:t>
      </w:r>
      <w:r>
        <w:rPr>
          <w:rFonts w:ascii="Times New Roman" w:hAnsi="Times New Roman" w:cs="Times New Roman"/>
          <w:sz w:val="24"/>
          <w:szCs w:val="24"/>
        </w:rPr>
        <w:t>keterbukaan</w:t>
      </w:r>
      <w:r>
        <w:rPr>
          <w:rFonts w:ascii="Times New Roman" w:hAnsi="Times New Roman" w:cs="Times New Roman"/>
          <w:sz w:val="24"/>
          <w:szCs w:val="24"/>
        </w:rPr>
        <w:t xml:space="preserve"> </w:t>
      </w:r>
      <w:r>
        <w:rPr>
          <w:rFonts w:ascii="Times New Roman" w:hAnsi="Times New Roman" w:cs="Times New Roman"/>
          <w:sz w:val="24"/>
          <w:szCs w:val="24"/>
        </w:rPr>
        <w:t>informasi</w:t>
      </w:r>
      <w:r>
        <w:rPr>
          <w:rFonts w:ascii="Times New Roman" w:hAnsi="Times New Roman" w:cs="Times New Roman"/>
          <w:sz w:val="24"/>
          <w:szCs w:val="24"/>
        </w:rPr>
        <w:t xml:space="preserve"> yang </w:t>
      </w:r>
      <w:r>
        <w:rPr>
          <w:rFonts w:ascii="Times New Roman" w:hAnsi="Times New Roman" w:cs="Times New Roman"/>
          <w:sz w:val="24"/>
          <w:szCs w:val="24"/>
        </w:rPr>
        <w:t>diberikan</w:t>
      </w:r>
      <w:r>
        <w:rPr>
          <w:rFonts w:ascii="Times New Roman" w:hAnsi="Times New Roman" w:cs="Times New Roman"/>
          <w:sz w:val="24"/>
          <w:szCs w:val="24"/>
        </w:rPr>
        <w:t xml:space="preserve"> oleh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dijadikan</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streategi</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meningkatkan</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keuanngan</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para stakeholder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menggunakan</w:t>
      </w:r>
      <w:r>
        <w:rPr>
          <w:rFonts w:ascii="Times New Roman" w:hAnsi="Times New Roman" w:cs="Times New Roman"/>
          <w:sz w:val="24"/>
          <w:szCs w:val="24"/>
        </w:rPr>
        <w:t xml:space="preserve"> </w:t>
      </w:r>
      <w:r>
        <w:rPr>
          <w:rFonts w:ascii="Times New Roman" w:hAnsi="Times New Roman" w:cs="Times New Roman"/>
          <w:sz w:val="24"/>
          <w:szCs w:val="24"/>
        </w:rPr>
        <w:t>informasi</w:t>
      </w:r>
      <w:r>
        <w:rPr>
          <w:rFonts w:ascii="Times New Roman" w:hAnsi="Times New Roman" w:cs="Times New Roman"/>
          <w:sz w:val="24"/>
          <w:szCs w:val="24"/>
        </w:rPr>
        <w:t xml:space="preserve"> </w:t>
      </w:r>
      <w:r>
        <w:rPr>
          <w:rFonts w:ascii="Times New Roman" w:hAnsi="Times New Roman" w:cs="Times New Roman"/>
          <w:sz w:val="24"/>
          <w:szCs w:val="24"/>
        </w:rPr>
        <w:t>tersebut</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bahan</w:t>
      </w:r>
      <w:r>
        <w:rPr>
          <w:rFonts w:ascii="Times New Roman" w:hAnsi="Times New Roman" w:cs="Times New Roman"/>
          <w:sz w:val="24"/>
          <w:szCs w:val="24"/>
        </w:rPr>
        <w:t xml:space="preserve"> </w:t>
      </w:r>
      <w:r>
        <w:rPr>
          <w:rFonts w:ascii="Times New Roman" w:hAnsi="Times New Roman" w:cs="Times New Roman"/>
          <w:sz w:val="24"/>
          <w:szCs w:val="24"/>
        </w:rPr>
        <w:t>pertimbangan</w:t>
      </w:r>
      <w:r>
        <w:rPr>
          <w:rFonts w:ascii="Times New Roman" w:hAnsi="Times New Roman" w:cs="Times New Roman"/>
          <w:sz w:val="24"/>
          <w:szCs w:val="24"/>
        </w:rPr>
        <w:t xml:space="preserve"> </w:t>
      </w:r>
      <w:r>
        <w:rPr>
          <w:rFonts w:ascii="Times New Roman" w:hAnsi="Times New Roman" w:cs="Times New Roman"/>
          <w:sz w:val="24"/>
          <w:szCs w:val="24"/>
        </w:rPr>
        <w:t>unutk</w:t>
      </w:r>
      <w:r>
        <w:rPr>
          <w:rFonts w:ascii="Times New Roman" w:hAnsi="Times New Roman" w:cs="Times New Roman"/>
          <w:sz w:val="24"/>
          <w:szCs w:val="24"/>
        </w:rPr>
        <w:t xml:space="preserve"> </w:t>
      </w:r>
      <w:r>
        <w:rPr>
          <w:rFonts w:ascii="Times New Roman" w:hAnsi="Times New Roman" w:cs="Times New Roman"/>
          <w:sz w:val="24"/>
          <w:szCs w:val="24"/>
        </w:rPr>
        <w:t>keputusan</w:t>
      </w:r>
      <w:r>
        <w:rPr>
          <w:rFonts w:ascii="Times New Roman" w:hAnsi="Times New Roman" w:cs="Times New Roman"/>
          <w:sz w:val="24"/>
          <w:szCs w:val="24"/>
        </w:rPr>
        <w:t xml:space="preserve"> </w:t>
      </w:r>
      <w:r>
        <w:rPr>
          <w:rFonts w:ascii="Times New Roman" w:hAnsi="Times New Roman" w:cs="Times New Roman"/>
          <w:sz w:val="24"/>
          <w:szCs w:val="24"/>
        </w:rPr>
        <w:t>investasi</w:t>
      </w:r>
      <w:r>
        <w:rPr>
          <w:rFonts w:ascii="Times New Roman" w:hAnsi="Times New Roman" w:cs="Times New Roman"/>
          <w:sz w:val="24"/>
          <w:szCs w:val="24"/>
        </w:rPr>
        <w:t xml:space="preserve">. </w:t>
      </w:r>
      <w:r w:rsidRPr="00416A19" w:rsidR="0073442A">
        <w:rPr>
          <w:rFonts w:ascii="Times New Roman" w:hAnsi="Times New Roman" w:cs="Times New Roman"/>
          <w:sz w:val="24"/>
          <w:szCs w:val="24"/>
        </w:rPr>
        <w:t xml:space="preserve">Hal </w:t>
      </w:r>
      <w:r w:rsidRPr="00416A19" w:rsidR="0073442A">
        <w:rPr>
          <w:rFonts w:ascii="Times New Roman" w:hAnsi="Times New Roman" w:cs="Times New Roman"/>
          <w:sz w:val="24"/>
          <w:szCs w:val="24"/>
        </w:rPr>
        <w:t>ini</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selaras</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dengan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penelitian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fldChar w:fldCharType="begin" w:fldLock="1"/>
      </w:r>
      <w:r w:rsidRPr="00416A19" w:rsidR="0073442A">
        <w:rPr>
          <w:rFonts w:ascii="Times New Roman" w:hAnsi="Times New Roman" w:cs="Times New Roman"/>
          <w:sz w:val="24"/>
          <w:szCs w:val="24"/>
        </w:rPr>
        <w:instrText>ADDIN CSL_CITATION {"citationItems":[{"id":"ITEM-1","itemData":{"author":[{"dropping-particle":"","family":"Elok Fitriya","given":"","non-dropping-particle":"","parse-names":false,"suffix":""}],"container-title":"JIAI (Jurnal Ilmiah Akuntansi Indonesia)","id":"ITEM-1","issue":"1","issued":{"date-parts":[["2019"]]},"page":"42-53","title":"Pengaruh Corporate Social Responsibility Terhadap Kinerja Keuangan Perbankan Dengan Size Dan Leverage Ratio Sebagai Variabel Pemoderasi","type":"article-journal","volume":"4"},"uris":["http://www.mendeley.com/documents/?uuid=0d8e9932-571c-46a8-ad8c-934885fa342e"]}],"mendeley":{"formattedCitation":"(Elok Fitriya, 2019)","plainTextFormattedCitation":"(Elok Fitriya, 2019)"},"properties":{"noteIndex":0},"schema":"https://github.com/citation-style-language/schema/raw/master/csl-citation.json"}</w:instrText>
      </w:r>
      <w:r w:rsidRPr="00416A19" w:rsidR="0073442A">
        <w:rPr>
          <w:rFonts w:ascii="Times New Roman" w:hAnsi="Times New Roman" w:cs="Times New Roman"/>
          <w:sz w:val="24"/>
          <w:szCs w:val="24"/>
        </w:rPr>
        <w:fldChar w:fldCharType="separate"/>
      </w:r>
      <w:r w:rsidRPr="00416A19" w:rsidR="0073442A">
        <w:rPr>
          <w:rFonts w:ascii="Times New Roman" w:hAnsi="Times New Roman" w:cs="Times New Roman"/>
          <w:noProof/>
          <w:sz w:val="24"/>
          <w:szCs w:val="24"/>
        </w:rPr>
        <w:t>Elok</w:t>
      </w:r>
      <w:r w:rsidR="000304D1">
        <w:rPr>
          <w:rFonts w:ascii="Times New Roman" w:hAnsi="Times New Roman" w:cs="Times New Roman"/>
          <w:noProof/>
          <w:sz w:val="24"/>
          <w:szCs w:val="24"/>
        </w:rPr>
        <w:t xml:space="preserve"> F.</w:t>
      </w:r>
      <w:r w:rsidRPr="00416A19" w:rsidR="0073442A">
        <w:rPr>
          <w:rFonts w:ascii="Times New Roman" w:hAnsi="Times New Roman" w:cs="Times New Roman"/>
          <w:noProof/>
          <w:sz w:val="24"/>
          <w:szCs w:val="24"/>
        </w:rPr>
        <w:t xml:space="preserve"> </w:t>
      </w:r>
      <w:r w:rsidR="000304D1">
        <w:rPr>
          <w:rFonts w:ascii="Times New Roman" w:hAnsi="Times New Roman" w:cs="Times New Roman"/>
          <w:noProof/>
          <w:sz w:val="24"/>
          <w:szCs w:val="24"/>
        </w:rPr>
        <w:t>(</w:t>
      </w:r>
      <w:r w:rsidRPr="00416A19" w:rsidR="0073442A">
        <w:rPr>
          <w:rFonts w:ascii="Times New Roman" w:hAnsi="Times New Roman" w:cs="Times New Roman"/>
          <w:noProof/>
          <w:sz w:val="24"/>
          <w:szCs w:val="24"/>
        </w:rPr>
        <w:t>2019)</w:t>
      </w:r>
      <w:r w:rsidRPr="00416A19" w:rsidR="0073442A">
        <w:rPr>
          <w:rFonts w:ascii="Times New Roman" w:hAnsi="Times New Roman" w:cs="Times New Roman"/>
          <w:sz w:val="24"/>
          <w:szCs w:val="24"/>
        </w:rPr>
        <w:fldChar w:fldCharType="end"/>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dikatakan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bahwa</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variabel</w:t>
      </w:r>
      <w:r w:rsidRPr="00416A19" w:rsidR="0073442A">
        <w:rPr>
          <w:rFonts w:ascii="Times New Roman" w:hAnsi="Times New Roman" w:cs="Times New Roman"/>
          <w:sz w:val="24"/>
          <w:szCs w:val="24"/>
        </w:rPr>
        <w:t xml:space="preserve"> CSR </w:t>
      </w:r>
      <w:r w:rsidRPr="00416A19" w:rsidR="0073442A">
        <w:rPr>
          <w:rFonts w:ascii="Times New Roman" w:hAnsi="Times New Roman" w:cs="Times New Roman"/>
          <w:sz w:val="24"/>
          <w:szCs w:val="24"/>
        </w:rPr>
        <w:t>tidak</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berpengaruh</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terhadap</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kenaikan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maupun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penurunan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dari</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kinerja</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keuangan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dengan</w:t>
      </w:r>
      <w:r w:rsidRPr="00416A19" w:rsidR="0073442A">
        <w:rPr>
          <w:rFonts w:ascii="Times New Roman" w:hAnsi="Times New Roman" w:cs="Times New Roman"/>
          <w:sz w:val="24"/>
          <w:szCs w:val="24"/>
        </w:rPr>
        <w:t xml:space="preserve"> </w:t>
      </w:r>
      <w:r w:rsidRPr="00416A19" w:rsidR="0073442A">
        <w:rPr>
          <w:rFonts w:ascii="Times New Roman" w:hAnsi="Times New Roman" w:cs="Times New Roman"/>
          <w:sz w:val="24"/>
          <w:szCs w:val="24"/>
        </w:rPr>
        <w:t>proksi</w:t>
      </w:r>
      <w:r w:rsidRPr="00416A19" w:rsidR="0073442A">
        <w:rPr>
          <w:rFonts w:ascii="Times New Roman" w:hAnsi="Times New Roman" w:cs="Times New Roman"/>
          <w:sz w:val="24"/>
          <w:szCs w:val="24"/>
        </w:rPr>
        <w:t xml:space="preserve"> ROA.</w:t>
      </w:r>
      <w:r w:rsidRPr="00416A19" w:rsidR="00416A19">
        <w:rPr>
          <w:rFonts w:ascii="Times New Roman" w:hAnsi="Times New Roman" w:cs="Times New Roman"/>
          <w:sz w:val="24"/>
          <w:szCs w:val="24"/>
        </w:rPr>
        <w:t xml:space="preserve"> </w:t>
      </w:r>
      <w:r w:rsidRPr="00416A19" w:rsidR="00B80BA0">
        <w:rPr>
          <w:rFonts w:ascii="Times New Roman" w:hAnsi="Times New Roman" w:cs="Times New Roman"/>
          <w:sz w:val="24"/>
          <w:szCs w:val="24"/>
        </w:rPr>
        <w:t xml:space="preserve">Program CSR </w:t>
      </w:r>
      <w:r w:rsidRPr="00416A19" w:rsidR="00B80BA0">
        <w:rPr>
          <w:rFonts w:ascii="Times New Roman" w:hAnsi="Times New Roman" w:cs="Times New Roman"/>
          <w:sz w:val="24"/>
          <w:szCs w:val="24"/>
        </w:rPr>
        <w:t>mungkin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dapat</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meningkatkan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citra</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perusahaan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dalam</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masyarakat</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ataupun</w:t>
      </w:r>
      <w:r w:rsidRPr="00416A19" w:rsidR="00B80BA0">
        <w:rPr>
          <w:rFonts w:ascii="Times New Roman" w:hAnsi="Times New Roman" w:cs="Times New Roman"/>
          <w:sz w:val="24"/>
          <w:szCs w:val="24"/>
        </w:rPr>
        <w:t xml:space="preserve"> investor, </w:t>
      </w:r>
      <w:r w:rsidR="00B80BA0">
        <w:rPr>
          <w:rFonts w:ascii="Times New Roman" w:hAnsi="Times New Roman" w:cs="Times New Roman"/>
          <w:sz w:val="24"/>
          <w:szCs w:val="24"/>
        </w:rPr>
        <w:t>namun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d</w:t>
      </w:r>
      <w:r w:rsidRPr="00416A19" w:rsidR="00B80BA0">
        <w:rPr>
          <w:rFonts w:ascii="Times New Roman" w:hAnsi="Times New Roman" w:cs="Times New Roman"/>
          <w:sz w:val="24"/>
          <w:szCs w:val="24"/>
        </w:rPr>
        <w:t>alam</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penelitian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ini</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penerapan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kepedulian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perusahaan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perusahaan</w:t>
      </w:r>
      <w:r w:rsidRPr="00416A19" w:rsidR="00B80BA0">
        <w:rPr>
          <w:rFonts w:ascii="Times New Roman" w:hAnsi="Times New Roman" w:cs="Times New Roman"/>
          <w:sz w:val="24"/>
          <w:szCs w:val="24"/>
        </w:rPr>
        <w:t xml:space="preserve"> pada </w:t>
      </w:r>
      <w:r w:rsidRPr="00416A19" w:rsidR="00B80BA0">
        <w:rPr>
          <w:rFonts w:ascii="Times New Roman" w:hAnsi="Times New Roman" w:cs="Times New Roman"/>
          <w:sz w:val="24"/>
          <w:szCs w:val="24"/>
        </w:rPr>
        <w:t>masyarakat</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dapat</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menarik</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perhatian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dari</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i/>
          <w:iCs/>
          <w:sz w:val="24"/>
          <w:szCs w:val="24"/>
        </w:rPr>
        <w:t>stakeholder</w:t>
      </w:r>
      <w:r w:rsidRPr="00416A19" w:rsidR="00B80BA0">
        <w:rPr>
          <w:rFonts w:ascii="Times New Roman" w:hAnsi="Times New Roman" w:cs="Times New Roman"/>
          <w:sz w:val="24"/>
          <w:szCs w:val="24"/>
        </w:rPr>
        <w:t xml:space="preserve"> dan </w:t>
      </w:r>
      <w:r w:rsidRPr="00416A19" w:rsidR="00B80BA0">
        <w:rPr>
          <w:rFonts w:ascii="Times New Roman" w:hAnsi="Times New Roman" w:cs="Times New Roman"/>
          <w:sz w:val="24"/>
          <w:szCs w:val="24"/>
        </w:rPr>
        <w:t>meningkatkan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citra</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perusahaan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saja</w:t>
      </w:r>
      <w:r w:rsidRPr="00416A19" w:rsidR="00B80BA0">
        <w:rPr>
          <w:rFonts w:ascii="Times New Roman" w:hAnsi="Times New Roman" w:cs="Times New Roman"/>
          <w:sz w:val="24"/>
          <w:szCs w:val="24"/>
        </w:rPr>
        <w:t>,</w:t>
      </w:r>
      <w:r w:rsidR="00246702">
        <w:rPr>
          <w:rFonts w:ascii="Times New Roman" w:hAnsi="Times New Roman" w:cs="Times New Roman"/>
          <w:sz w:val="24"/>
          <w:szCs w:val="24"/>
        </w:rPr>
        <w:t xml:space="preserve"> </w:t>
      </w:r>
      <w:r w:rsidR="00246702">
        <w:rPr>
          <w:rFonts w:ascii="Times New Roman" w:hAnsi="Times New Roman" w:cs="Times New Roman"/>
          <w:sz w:val="24"/>
          <w:szCs w:val="24"/>
        </w:rPr>
        <w:t>tetapi</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dalam</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peningkatan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kinerja</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keuangan</w:t>
      </w:r>
      <w:r w:rsidRPr="00416A19" w:rsidR="00B80BA0">
        <w:rPr>
          <w:rFonts w:ascii="Times New Roman" w:hAnsi="Times New Roman" w:cs="Times New Roman"/>
          <w:sz w:val="24"/>
          <w:szCs w:val="24"/>
        </w:rPr>
        <w:t xml:space="preserve"> CSR </w:t>
      </w:r>
      <w:r w:rsidRPr="00416A19" w:rsidR="00B80BA0">
        <w:rPr>
          <w:rFonts w:ascii="Times New Roman" w:hAnsi="Times New Roman" w:cs="Times New Roman"/>
          <w:sz w:val="24"/>
          <w:szCs w:val="24"/>
        </w:rPr>
        <w:t>tidak</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memiliki</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pengaruh</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dalam</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peningkatan</w:t>
      </w:r>
      <w:r w:rsidRPr="00416A19" w:rsidR="00B80BA0">
        <w:rPr>
          <w:rFonts w:ascii="Times New Roman" w:hAnsi="Times New Roman" w:cs="Times New Roman"/>
          <w:sz w:val="24"/>
          <w:szCs w:val="24"/>
        </w:rPr>
        <w:t xml:space="preserve"> dan </w:t>
      </w:r>
      <w:r w:rsidRPr="00416A19" w:rsidR="00B80BA0">
        <w:rPr>
          <w:rFonts w:ascii="Times New Roman" w:hAnsi="Times New Roman" w:cs="Times New Roman"/>
          <w:sz w:val="24"/>
          <w:szCs w:val="24"/>
        </w:rPr>
        <w:t>penurunan</w:t>
      </w:r>
      <w:r w:rsidRPr="00416A19" w:rsidR="00B80BA0">
        <w:rPr>
          <w:rFonts w:ascii="Times New Roman" w:hAnsi="Times New Roman" w:cs="Times New Roman"/>
          <w:sz w:val="24"/>
          <w:szCs w:val="24"/>
        </w:rPr>
        <w:t xml:space="preserve"> </w:t>
      </w:r>
      <w:r w:rsidRPr="00416A19" w:rsidR="00B80BA0">
        <w:rPr>
          <w:rFonts w:ascii="Times New Roman" w:hAnsi="Times New Roman" w:cs="Times New Roman"/>
          <w:sz w:val="24"/>
          <w:szCs w:val="24"/>
        </w:rPr>
        <w:t>kinerjanya</w:t>
      </w:r>
      <w:r w:rsidRPr="00416A19" w:rsidR="00B80BA0">
        <w:rPr>
          <w:rFonts w:ascii="Times New Roman" w:hAnsi="Times New Roman" w:cs="Times New Roman"/>
          <w:sz w:val="24"/>
          <w:szCs w:val="24"/>
        </w:rPr>
        <w:t>.</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Perbankan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perlu</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memaksimalkan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potensi</w:t>
      </w:r>
      <w:r w:rsidR="00B80BA0">
        <w:rPr>
          <w:rFonts w:ascii="Times New Roman" w:hAnsi="Times New Roman" w:cs="Times New Roman"/>
          <w:sz w:val="24"/>
          <w:szCs w:val="24"/>
        </w:rPr>
        <w:t xml:space="preserve"> program CSR yang </w:t>
      </w:r>
      <w:r w:rsidR="00B80BA0">
        <w:rPr>
          <w:rFonts w:ascii="Times New Roman" w:hAnsi="Times New Roman" w:cs="Times New Roman"/>
          <w:sz w:val="24"/>
          <w:szCs w:val="24"/>
        </w:rPr>
        <w:t>dapat</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meningkatkan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citra</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baik</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perusahaan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dimasyaraka</w:t>
      </w:r>
      <w:r w:rsidR="005C0858">
        <w:rPr>
          <w:rFonts w:ascii="Times New Roman" w:hAnsi="Times New Roman" w:cs="Times New Roman"/>
          <w:sz w:val="24"/>
          <w:szCs w:val="24"/>
        </w:rPr>
        <w:t>t</w:t>
      </w:r>
      <w:r w:rsidR="00B80BA0">
        <w:rPr>
          <w:rFonts w:ascii="Times New Roman" w:hAnsi="Times New Roman" w:cs="Times New Roman"/>
          <w:sz w:val="24"/>
          <w:szCs w:val="24"/>
        </w:rPr>
        <w:t xml:space="preserve"> agar </w:t>
      </w:r>
      <w:r w:rsidR="00B80BA0">
        <w:rPr>
          <w:rFonts w:ascii="Times New Roman" w:hAnsi="Times New Roman" w:cs="Times New Roman"/>
          <w:sz w:val="24"/>
          <w:szCs w:val="24"/>
        </w:rPr>
        <w:t>kegiatan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kepedulian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lingkungan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sosial</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ini</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memiliki</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manfaat</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pemaasukan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bagi</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keuangan</w:t>
      </w:r>
      <w:r w:rsidR="00B80BA0">
        <w:rPr>
          <w:rFonts w:ascii="Times New Roman" w:hAnsi="Times New Roman" w:cs="Times New Roman"/>
          <w:sz w:val="24"/>
          <w:szCs w:val="24"/>
        </w:rPr>
        <w:t xml:space="preserve"> </w:t>
      </w:r>
      <w:r w:rsidR="00B80BA0">
        <w:rPr>
          <w:rFonts w:ascii="Times New Roman" w:hAnsi="Times New Roman" w:cs="Times New Roman"/>
          <w:sz w:val="24"/>
          <w:szCs w:val="24"/>
        </w:rPr>
        <w:t>perusahaan</w:t>
      </w:r>
      <w:r w:rsidR="00B80BA0">
        <w:rPr>
          <w:rFonts w:ascii="Times New Roman" w:hAnsi="Times New Roman" w:cs="Times New Roman"/>
          <w:sz w:val="24"/>
          <w:szCs w:val="24"/>
        </w:rPr>
        <w:t>.</w:t>
      </w:r>
      <w:r w:rsidR="00941723">
        <w:rPr>
          <w:rFonts w:ascii="Times New Roman" w:hAnsi="Times New Roman" w:cs="Times New Roman"/>
          <w:sz w:val="24"/>
          <w:szCs w:val="24"/>
        </w:rPr>
        <w:t xml:space="preserve"> Hasil </w:t>
      </w:r>
      <w:r w:rsidR="00941723">
        <w:rPr>
          <w:rFonts w:ascii="Times New Roman" w:hAnsi="Times New Roman" w:cs="Times New Roman"/>
          <w:sz w:val="24"/>
          <w:szCs w:val="24"/>
        </w:rPr>
        <w:t>penelitian</w:t>
      </w:r>
      <w:r w:rsidR="00941723">
        <w:rPr>
          <w:rFonts w:ascii="Times New Roman" w:hAnsi="Times New Roman" w:cs="Times New Roman"/>
          <w:sz w:val="24"/>
          <w:szCs w:val="24"/>
        </w:rPr>
        <w:t xml:space="preserve"> yang </w:t>
      </w:r>
      <w:r w:rsidR="00941723">
        <w:rPr>
          <w:rFonts w:ascii="Times New Roman" w:hAnsi="Times New Roman" w:cs="Times New Roman"/>
          <w:sz w:val="24"/>
          <w:szCs w:val="24"/>
        </w:rPr>
        <w:t>tidak</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berpengaruh</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mungkin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saja</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perusahaan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perlu</w:t>
      </w:r>
      <w:r w:rsidR="00941723">
        <w:rPr>
          <w:rFonts w:ascii="Times New Roman" w:hAnsi="Times New Roman" w:cs="Times New Roman"/>
          <w:sz w:val="24"/>
          <w:szCs w:val="24"/>
        </w:rPr>
        <w:t xml:space="preserve"> juga </w:t>
      </w:r>
      <w:r w:rsidR="00941723">
        <w:rPr>
          <w:rFonts w:ascii="Times New Roman" w:hAnsi="Times New Roman" w:cs="Times New Roman"/>
          <w:sz w:val="24"/>
          <w:szCs w:val="24"/>
        </w:rPr>
        <w:t>untuk</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mempertimbangkan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pengaruh</w:t>
      </w:r>
      <w:r w:rsidR="00941723">
        <w:rPr>
          <w:rFonts w:ascii="Times New Roman" w:hAnsi="Times New Roman" w:cs="Times New Roman"/>
          <w:sz w:val="24"/>
          <w:szCs w:val="24"/>
        </w:rPr>
        <w:t xml:space="preserve"> lain </w:t>
      </w:r>
      <w:r w:rsidR="00941723">
        <w:rPr>
          <w:rFonts w:ascii="Times New Roman" w:hAnsi="Times New Roman" w:cs="Times New Roman"/>
          <w:sz w:val="24"/>
          <w:szCs w:val="24"/>
        </w:rPr>
        <w:t>dari</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variabel</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selain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penerapan</w:t>
      </w:r>
      <w:r w:rsidR="00941723">
        <w:rPr>
          <w:rFonts w:ascii="Times New Roman" w:hAnsi="Times New Roman" w:cs="Times New Roman"/>
          <w:sz w:val="24"/>
          <w:szCs w:val="24"/>
        </w:rPr>
        <w:t xml:space="preserve"> program CSR </w:t>
      </w:r>
      <w:r w:rsidR="00941723">
        <w:rPr>
          <w:rFonts w:ascii="Times New Roman" w:hAnsi="Times New Roman" w:cs="Times New Roman"/>
          <w:sz w:val="24"/>
          <w:szCs w:val="24"/>
        </w:rPr>
        <w:t>karena</w:t>
      </w:r>
      <w:r w:rsidR="00941723">
        <w:rPr>
          <w:rFonts w:ascii="Times New Roman" w:hAnsi="Times New Roman" w:cs="Times New Roman"/>
          <w:sz w:val="24"/>
          <w:szCs w:val="24"/>
        </w:rPr>
        <w:t xml:space="preserve"> program CSR </w:t>
      </w:r>
      <w:r w:rsidR="00941723">
        <w:rPr>
          <w:rFonts w:ascii="Times New Roman" w:hAnsi="Times New Roman" w:cs="Times New Roman"/>
          <w:sz w:val="24"/>
          <w:szCs w:val="24"/>
        </w:rPr>
        <w:t>merupakan</w:t>
      </w:r>
      <w:r w:rsidR="00941723">
        <w:rPr>
          <w:rFonts w:ascii="Times New Roman" w:hAnsi="Times New Roman" w:cs="Times New Roman"/>
          <w:sz w:val="24"/>
          <w:szCs w:val="24"/>
        </w:rPr>
        <w:t xml:space="preserve"> program yang </w:t>
      </w:r>
      <w:r w:rsidR="00941723">
        <w:rPr>
          <w:rFonts w:ascii="Times New Roman" w:hAnsi="Times New Roman" w:cs="Times New Roman"/>
          <w:sz w:val="24"/>
          <w:szCs w:val="24"/>
        </w:rPr>
        <w:t>memiliki</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pengaruh</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dalam</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jangka</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waktu</w:t>
      </w:r>
      <w:r w:rsidR="00941723">
        <w:rPr>
          <w:rFonts w:ascii="Times New Roman" w:hAnsi="Times New Roman" w:cs="Times New Roman"/>
          <w:sz w:val="24"/>
          <w:szCs w:val="24"/>
        </w:rPr>
        <w:t xml:space="preserve"> yang </w:t>
      </w:r>
      <w:r w:rsidR="00941723">
        <w:rPr>
          <w:rFonts w:ascii="Times New Roman" w:hAnsi="Times New Roman" w:cs="Times New Roman"/>
          <w:sz w:val="24"/>
          <w:szCs w:val="24"/>
        </w:rPr>
        <w:t>panjang</w:t>
      </w:r>
      <w:r w:rsidR="00941723">
        <w:rPr>
          <w:rFonts w:ascii="Times New Roman" w:hAnsi="Times New Roman" w:cs="Times New Roman"/>
          <w:sz w:val="24"/>
          <w:szCs w:val="24"/>
        </w:rPr>
        <w:t xml:space="preserve">. Oleh </w:t>
      </w:r>
      <w:r w:rsidR="00941723">
        <w:rPr>
          <w:rFonts w:ascii="Times New Roman" w:hAnsi="Times New Roman" w:cs="Times New Roman"/>
          <w:sz w:val="24"/>
          <w:szCs w:val="24"/>
        </w:rPr>
        <w:t>karena</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itu</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w:t>
      </w:r>
      <w:r w:rsidR="00266FCF">
        <w:rPr>
          <w:rFonts w:ascii="Times New Roman" w:hAnsi="Times New Roman" w:cs="Times New Roman"/>
          <w:sz w:val="24"/>
          <w:szCs w:val="24"/>
        </w:rPr>
        <w:t>e</w:t>
      </w:r>
      <w:r w:rsidR="00941723">
        <w:rPr>
          <w:rFonts w:ascii="Times New Roman" w:hAnsi="Times New Roman" w:cs="Times New Roman"/>
          <w:sz w:val="24"/>
          <w:szCs w:val="24"/>
        </w:rPr>
        <w:t>rusahaan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perlunya</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lebih</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memperhatikan</w:t>
      </w:r>
      <w:r w:rsidR="00941723">
        <w:rPr>
          <w:rFonts w:ascii="Times New Roman" w:hAnsi="Times New Roman" w:cs="Times New Roman"/>
          <w:sz w:val="24"/>
          <w:szCs w:val="24"/>
        </w:rPr>
        <w:t xml:space="preserve"> dan </w:t>
      </w:r>
      <w:r w:rsidR="00941723">
        <w:rPr>
          <w:rFonts w:ascii="Times New Roman" w:hAnsi="Times New Roman" w:cs="Times New Roman"/>
          <w:sz w:val="24"/>
          <w:szCs w:val="24"/>
        </w:rPr>
        <w:t>memperkuat</w:t>
      </w:r>
      <w:r w:rsidR="00941723">
        <w:rPr>
          <w:rFonts w:ascii="Times New Roman" w:hAnsi="Times New Roman" w:cs="Times New Roman"/>
          <w:sz w:val="24"/>
          <w:szCs w:val="24"/>
        </w:rPr>
        <w:t xml:space="preserve"> program CSR agar </w:t>
      </w:r>
      <w:r w:rsidR="00941723">
        <w:rPr>
          <w:rFonts w:ascii="Times New Roman" w:hAnsi="Times New Roman" w:cs="Times New Roman"/>
          <w:sz w:val="24"/>
          <w:szCs w:val="24"/>
        </w:rPr>
        <w:t>dapat</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memeliki</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pengaruh</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terhadap</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kierja</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keuangan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perusahaan</w:t>
      </w:r>
      <w:r w:rsidR="00941723">
        <w:rPr>
          <w:rFonts w:ascii="Times New Roman" w:hAnsi="Times New Roman" w:cs="Times New Roman"/>
          <w:sz w:val="24"/>
          <w:szCs w:val="24"/>
        </w:rPr>
        <w:t xml:space="preserve">. </w:t>
      </w:r>
    </w:p>
    <w:p w:rsidR="005B331C" w:rsidP="001D28D7" w14:paraId="09E245C0" w14:textId="77777777">
      <w:pPr>
        <w:pStyle w:val="ListParagraph"/>
        <w:numPr>
          <w:ilvl w:val="0"/>
          <w:numId w:val="75"/>
        </w:numPr>
        <w:spacing w:after="0" w:line="480" w:lineRule="auto"/>
        <w:jc w:val="both"/>
        <w:rPr>
          <w:rFonts w:ascii="Times New Roman" w:hAnsi="Times New Roman" w:cs="Times New Roman"/>
          <w:b/>
          <w:bCs/>
          <w:sz w:val="24"/>
          <w:szCs w:val="24"/>
        </w:rPr>
      </w:pPr>
      <w:r w:rsidRPr="005B331C">
        <w:rPr>
          <w:rFonts w:ascii="Times New Roman" w:hAnsi="Times New Roman" w:cs="Times New Roman"/>
          <w:b/>
          <w:bCs/>
          <w:sz w:val="24"/>
          <w:szCs w:val="24"/>
        </w:rPr>
        <w:t>Pengaruh</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Pengungkapan</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Corporate Social Responsibility </w:t>
      </w:r>
      <w:r w:rsidRPr="005B331C">
        <w:rPr>
          <w:rFonts w:ascii="Times New Roman" w:hAnsi="Times New Roman" w:cs="Times New Roman"/>
          <w:b/>
          <w:bCs/>
          <w:sz w:val="24"/>
          <w:szCs w:val="24"/>
        </w:rPr>
        <w:t>terhadap</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Return </w:t>
      </w:r>
      <w:r w:rsidRPr="005B331C">
        <w:rPr>
          <w:rFonts w:ascii="Times New Roman" w:hAnsi="Times New Roman" w:cs="Times New Roman"/>
          <w:b/>
          <w:bCs/>
          <w:i/>
          <w:iCs/>
          <w:sz w:val="24"/>
          <w:szCs w:val="24"/>
        </w:rPr>
        <w:t>On</w:t>
      </w:r>
      <w:r w:rsidRPr="005B331C">
        <w:rPr>
          <w:rFonts w:ascii="Times New Roman" w:hAnsi="Times New Roman" w:cs="Times New Roman"/>
          <w:b/>
          <w:bCs/>
          <w:i/>
          <w:iCs/>
          <w:sz w:val="24"/>
          <w:szCs w:val="24"/>
        </w:rPr>
        <w:t xml:space="preserve"> Equity</w:t>
      </w:r>
      <w:r w:rsidRPr="005B331C">
        <w:rPr>
          <w:rFonts w:ascii="Times New Roman" w:hAnsi="Times New Roman" w:cs="Times New Roman"/>
          <w:b/>
          <w:bCs/>
          <w:sz w:val="24"/>
          <w:szCs w:val="24"/>
        </w:rPr>
        <w:t xml:space="preserve"> (ROE) pada Sub-</w:t>
      </w:r>
      <w:r w:rsidRPr="005B331C">
        <w:rPr>
          <w:rFonts w:ascii="Times New Roman" w:hAnsi="Times New Roman" w:cs="Times New Roman"/>
          <w:b/>
          <w:bCs/>
          <w:sz w:val="24"/>
          <w:szCs w:val="24"/>
        </w:rPr>
        <w:t>sektor</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Perbankan</w:t>
      </w:r>
    </w:p>
    <w:p w:rsidR="005B331C" w:rsidP="001D28D7" w14:paraId="07B24689" w14:textId="1210F47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sidRPr="00B80BA0">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berpengaruh</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246702">
        <w:rPr>
          <w:rFonts w:ascii="Times New Roman" w:hAnsi="Times New Roman" w:cs="Times New Roman"/>
          <w:i/>
          <w:iCs/>
          <w:sz w:val="24"/>
          <w:szCs w:val="24"/>
        </w:rPr>
        <w:t xml:space="preserve">return on </w:t>
      </w:r>
      <w:r w:rsidR="00246702">
        <w:rPr>
          <w:rFonts w:ascii="Times New Roman" w:hAnsi="Times New Roman" w:cs="Times New Roman"/>
          <w:i/>
          <w:iCs/>
          <w:sz w:val="24"/>
          <w:szCs w:val="24"/>
        </w:rPr>
        <w:t>equity</w:t>
      </w:r>
      <w:r w:rsidR="00266FCF">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dikatakan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bahwa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peningkatan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maupun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penurunan</w:t>
      </w:r>
      <w:r w:rsidRPr="005B331C" w:rsidR="0073442A">
        <w:rPr>
          <w:rFonts w:ascii="Times New Roman" w:hAnsi="Times New Roman" w:cs="Times New Roman"/>
          <w:sz w:val="24"/>
          <w:szCs w:val="24"/>
        </w:rPr>
        <w:t xml:space="preserve"> ROE </w:t>
      </w:r>
      <w:r w:rsidRPr="005B331C" w:rsidR="0073442A">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dipengaruhi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dengan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adanya</w:t>
      </w:r>
      <w:r>
        <w:rPr>
          <w:rFonts w:ascii="Times New Roman" w:hAnsi="Times New Roman" w:cs="Times New Roman"/>
          <w:sz w:val="24"/>
          <w:szCs w:val="24"/>
        </w:rPr>
        <w:t xml:space="preserve"> </w:t>
      </w:r>
      <w:r>
        <w:rPr>
          <w:rFonts w:ascii="Times New Roman" w:hAnsi="Times New Roman" w:cs="Times New Roman"/>
          <w:sz w:val="24"/>
          <w:szCs w:val="24"/>
        </w:rPr>
        <w:t>penerapan</w:t>
      </w:r>
      <w:r w:rsidRPr="005B331C" w:rsidR="0073442A">
        <w:rPr>
          <w:rFonts w:ascii="Times New Roman" w:hAnsi="Times New Roman" w:cs="Times New Roman"/>
          <w:sz w:val="24"/>
          <w:szCs w:val="24"/>
        </w:rPr>
        <w:t xml:space="preserve"> program CSR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Artinya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peningkatan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ataupun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penurunan</w:t>
      </w:r>
      <w:r w:rsidRPr="005B331C" w:rsidR="0073442A">
        <w:rPr>
          <w:rFonts w:ascii="Times New Roman" w:hAnsi="Times New Roman" w:cs="Times New Roman"/>
          <w:sz w:val="24"/>
          <w:szCs w:val="24"/>
        </w:rPr>
        <w:t xml:space="preserve"> modal yang </w:t>
      </w:r>
      <w:r w:rsidRPr="005B331C" w:rsidR="0073442A">
        <w:rPr>
          <w:rFonts w:ascii="Times New Roman" w:hAnsi="Times New Roman" w:cs="Times New Roman"/>
          <w:sz w:val="24"/>
          <w:szCs w:val="24"/>
        </w:rPr>
        <w:t>didapatkan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periode</w:t>
      </w:r>
      <w:r w:rsidRPr="005B331C" w:rsidR="0073442A">
        <w:rPr>
          <w:rFonts w:ascii="Times New Roman" w:hAnsi="Times New Roman" w:cs="Times New Roman"/>
          <w:sz w:val="24"/>
          <w:szCs w:val="24"/>
        </w:rPr>
        <w:t xml:space="preserve"> 2019-2024 </w:t>
      </w:r>
      <w:r w:rsidRPr="005B331C" w:rsidR="0073442A">
        <w:rPr>
          <w:rFonts w:ascii="Times New Roman" w:hAnsi="Times New Roman" w:cs="Times New Roman"/>
          <w:sz w:val="24"/>
          <w:szCs w:val="24"/>
        </w:rPr>
        <w:t>tidak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dinilai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dari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tingkat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tanggung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jawab</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sosial</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yang </w:t>
      </w:r>
      <w:r w:rsidRPr="005B331C" w:rsidR="0073442A">
        <w:rPr>
          <w:rFonts w:ascii="Times New Roman" w:hAnsi="Times New Roman" w:cs="Times New Roman"/>
          <w:sz w:val="24"/>
          <w:szCs w:val="24"/>
        </w:rPr>
        <w:t>diberikan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kepada</w:t>
      </w:r>
      <w:r w:rsidRPr="005B331C" w:rsidR="0073442A">
        <w:rPr>
          <w:rFonts w:ascii="Times New Roman" w:hAnsi="Times New Roman" w:cs="Times New Roman"/>
          <w:sz w:val="24"/>
          <w:szCs w:val="24"/>
        </w:rPr>
        <w:t xml:space="preserve"> stakeholder </w:t>
      </w:r>
      <w:r w:rsidRPr="005B331C" w:rsidR="0073442A">
        <w:rPr>
          <w:rFonts w:ascii="Times New Roman" w:hAnsi="Times New Roman" w:cs="Times New Roman"/>
          <w:sz w:val="24"/>
          <w:szCs w:val="24"/>
        </w:rPr>
        <w:t>atau</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masyarakat</w:t>
      </w:r>
      <w:r w:rsidRPr="005B331C" w:rsidR="0073442A">
        <w:rPr>
          <w:rFonts w:ascii="Times New Roman" w:hAnsi="Times New Roman" w:cs="Times New Roman"/>
          <w:sz w:val="24"/>
          <w:szCs w:val="24"/>
        </w:rPr>
        <w:t xml:space="preserve">. </w:t>
      </w:r>
    </w:p>
    <w:p w:rsidR="005B331C" w:rsidP="001D28D7" w14:paraId="3D2C1C37" w14:textId="0D5332DA">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Kepedulian</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w:t>
      </w:r>
      <w:r w:rsidR="00ED3A28">
        <w:rPr>
          <w:rFonts w:ascii="Times New Roman" w:hAnsi="Times New Roman" w:cs="Times New Roman"/>
          <w:sz w:val="24"/>
          <w:szCs w:val="24"/>
        </w:rPr>
        <w:t xml:space="preserve">dan </w:t>
      </w:r>
      <w:r>
        <w:rPr>
          <w:rFonts w:ascii="Times New Roman" w:hAnsi="Times New Roman" w:cs="Times New Roman"/>
          <w:sz w:val="24"/>
          <w:szCs w:val="24"/>
        </w:rPr>
        <w:t>sosial</w:t>
      </w:r>
      <w:r>
        <w:rPr>
          <w:rFonts w:ascii="Times New Roman" w:hAnsi="Times New Roman" w:cs="Times New Roman"/>
          <w:sz w:val="24"/>
          <w:szCs w:val="24"/>
        </w:rPr>
        <w:t xml:space="preserve"> </w:t>
      </w:r>
      <w:r>
        <w:rPr>
          <w:rFonts w:ascii="Times New Roman" w:hAnsi="Times New Roman" w:cs="Times New Roman"/>
          <w:sz w:val="24"/>
          <w:szCs w:val="24"/>
        </w:rPr>
        <w:t>dewasa</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sudah</w:t>
      </w:r>
      <w:r>
        <w:rPr>
          <w:rFonts w:ascii="Times New Roman" w:hAnsi="Times New Roman" w:cs="Times New Roman"/>
          <w:sz w:val="24"/>
          <w:szCs w:val="24"/>
        </w:rPr>
        <w:t xml:space="preserve"> </w:t>
      </w:r>
      <w:r>
        <w:rPr>
          <w:rFonts w:ascii="Times New Roman" w:hAnsi="Times New Roman" w:cs="Times New Roman"/>
          <w:sz w:val="24"/>
          <w:szCs w:val="24"/>
        </w:rPr>
        <w:t>menjadi</w:t>
      </w:r>
      <w:r>
        <w:rPr>
          <w:rFonts w:ascii="Times New Roman" w:hAnsi="Times New Roman" w:cs="Times New Roman"/>
          <w:sz w:val="24"/>
          <w:szCs w:val="24"/>
        </w:rPr>
        <w:t xml:space="preserve"> </w:t>
      </w:r>
      <w:r>
        <w:rPr>
          <w:rFonts w:ascii="Times New Roman" w:hAnsi="Times New Roman" w:cs="Times New Roman"/>
          <w:sz w:val="24"/>
          <w:szCs w:val="24"/>
        </w:rPr>
        <w:t>tanggu</w:t>
      </w:r>
      <w:r w:rsidR="00ED3A28">
        <w:rPr>
          <w:rFonts w:ascii="Times New Roman" w:hAnsi="Times New Roman" w:cs="Times New Roman"/>
          <w:sz w:val="24"/>
          <w:szCs w:val="24"/>
        </w:rPr>
        <w:t>n</w:t>
      </w:r>
      <w:r>
        <w:rPr>
          <w:rFonts w:ascii="Times New Roman" w:hAnsi="Times New Roman" w:cs="Times New Roman"/>
          <w:sz w:val="24"/>
          <w:szCs w:val="24"/>
        </w:rPr>
        <w:t>g</w:t>
      </w:r>
      <w:r>
        <w:rPr>
          <w:rFonts w:ascii="Times New Roman" w:hAnsi="Times New Roman" w:cs="Times New Roman"/>
          <w:sz w:val="24"/>
          <w:szCs w:val="24"/>
        </w:rPr>
        <w:t xml:space="preserve"> </w:t>
      </w:r>
      <w:r>
        <w:rPr>
          <w:rFonts w:ascii="Times New Roman" w:hAnsi="Times New Roman" w:cs="Times New Roman"/>
          <w:sz w:val="24"/>
          <w:szCs w:val="24"/>
        </w:rPr>
        <w:t>jawab</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di </w:t>
      </w:r>
      <w:r>
        <w:rPr>
          <w:rFonts w:ascii="Times New Roman" w:hAnsi="Times New Roman" w:cs="Times New Roman"/>
          <w:sz w:val="24"/>
          <w:szCs w:val="24"/>
        </w:rPr>
        <w:t>semua</w:t>
      </w:r>
      <w:r>
        <w:rPr>
          <w:rFonts w:ascii="Times New Roman" w:hAnsi="Times New Roman" w:cs="Times New Roman"/>
          <w:sz w:val="24"/>
          <w:szCs w:val="24"/>
        </w:rPr>
        <w:t xml:space="preserve"> </w:t>
      </w:r>
      <w:r>
        <w:rPr>
          <w:rFonts w:ascii="Times New Roman" w:hAnsi="Times New Roman" w:cs="Times New Roman"/>
          <w:sz w:val="24"/>
          <w:szCs w:val="24"/>
        </w:rPr>
        <w:t>sektor</w:t>
      </w:r>
      <w:r>
        <w:rPr>
          <w:rFonts w:ascii="Times New Roman" w:hAnsi="Times New Roman" w:cs="Times New Roman"/>
          <w:sz w:val="24"/>
          <w:szCs w:val="24"/>
        </w:rPr>
        <w:t xml:space="preserve"> yang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tanpa</w:t>
      </w:r>
      <w:r>
        <w:rPr>
          <w:rFonts w:ascii="Times New Roman" w:hAnsi="Times New Roman" w:cs="Times New Roman"/>
          <w:sz w:val="24"/>
          <w:szCs w:val="24"/>
        </w:rPr>
        <w:t xml:space="preserve"> </w:t>
      </w:r>
      <w:r>
        <w:rPr>
          <w:rFonts w:ascii="Times New Roman" w:hAnsi="Times New Roman" w:cs="Times New Roman"/>
          <w:sz w:val="24"/>
          <w:szCs w:val="24"/>
        </w:rPr>
        <w:t>terkecuali</w:t>
      </w:r>
      <w:r>
        <w:rPr>
          <w:rFonts w:ascii="Times New Roman" w:hAnsi="Times New Roman" w:cs="Times New Roman"/>
          <w:sz w:val="24"/>
          <w:szCs w:val="24"/>
        </w:rPr>
        <w:t xml:space="preserve"> juga </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Dimana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teori</w:t>
      </w:r>
      <w:r>
        <w:rPr>
          <w:rFonts w:ascii="Times New Roman" w:hAnsi="Times New Roman" w:cs="Times New Roman"/>
          <w:sz w:val="24"/>
          <w:szCs w:val="24"/>
        </w:rPr>
        <w:t xml:space="preserve"> </w:t>
      </w:r>
      <w:r>
        <w:rPr>
          <w:rFonts w:ascii="Times New Roman" w:hAnsi="Times New Roman" w:cs="Times New Roman"/>
          <w:sz w:val="24"/>
          <w:szCs w:val="24"/>
        </w:rPr>
        <w:t>legitimasi</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yang </w:t>
      </w:r>
      <w:r>
        <w:rPr>
          <w:rFonts w:ascii="Times New Roman" w:hAnsi="Times New Roman" w:cs="Times New Roman"/>
          <w:sz w:val="24"/>
          <w:szCs w:val="24"/>
        </w:rPr>
        <w:t>beroprasi</w:t>
      </w:r>
      <w:r>
        <w:rPr>
          <w:rFonts w:ascii="Times New Roman" w:hAnsi="Times New Roman" w:cs="Times New Roman"/>
          <w:sz w:val="24"/>
          <w:szCs w:val="24"/>
        </w:rPr>
        <w:t xml:space="preserve"> </w:t>
      </w:r>
      <w:r>
        <w:rPr>
          <w:rFonts w:ascii="Times New Roman" w:hAnsi="Times New Roman" w:cs="Times New Roman"/>
          <w:sz w:val="24"/>
          <w:szCs w:val="24"/>
        </w:rPr>
        <w:t>memiliki</w:t>
      </w:r>
      <w:r>
        <w:rPr>
          <w:rFonts w:ascii="Times New Roman" w:hAnsi="Times New Roman" w:cs="Times New Roman"/>
          <w:sz w:val="24"/>
          <w:szCs w:val="24"/>
        </w:rPr>
        <w:t xml:space="preserve"> </w:t>
      </w:r>
      <w:r>
        <w:rPr>
          <w:rFonts w:ascii="Times New Roman" w:hAnsi="Times New Roman" w:cs="Times New Roman"/>
          <w:sz w:val="24"/>
          <w:szCs w:val="24"/>
        </w:rPr>
        <w:t>kontrak</w:t>
      </w:r>
      <w:r>
        <w:rPr>
          <w:rFonts w:ascii="Times New Roman" w:hAnsi="Times New Roman" w:cs="Times New Roman"/>
          <w:sz w:val="24"/>
          <w:szCs w:val="24"/>
        </w:rPr>
        <w:t xml:space="preserve"> </w:t>
      </w:r>
      <w:r>
        <w:rPr>
          <w:rFonts w:ascii="Times New Roman" w:hAnsi="Times New Roman" w:cs="Times New Roman"/>
          <w:sz w:val="24"/>
          <w:szCs w:val="24"/>
        </w:rPr>
        <w:t>sosial</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masyarakat</w:t>
      </w:r>
      <w:r>
        <w:rPr>
          <w:rFonts w:ascii="Times New Roman" w:hAnsi="Times New Roman" w:cs="Times New Roman"/>
          <w:sz w:val="24"/>
          <w:szCs w:val="24"/>
        </w:rPr>
        <w:t xml:space="preserve">, yang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diartikan</w:t>
      </w:r>
      <w:r>
        <w:rPr>
          <w:rFonts w:ascii="Times New Roman" w:hAnsi="Times New Roman" w:cs="Times New Roman"/>
          <w:sz w:val="24"/>
          <w:szCs w:val="24"/>
        </w:rPr>
        <w:t xml:space="preserve"> </w:t>
      </w:r>
      <w:r>
        <w:rPr>
          <w:rFonts w:ascii="Times New Roman" w:hAnsi="Times New Roman" w:cs="Times New Roman"/>
          <w:sz w:val="24"/>
          <w:szCs w:val="24"/>
        </w:rPr>
        <w:t>jika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beroperasi</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memberikan</w:t>
      </w:r>
      <w:r>
        <w:rPr>
          <w:rFonts w:ascii="Times New Roman" w:hAnsi="Times New Roman" w:cs="Times New Roman"/>
          <w:sz w:val="24"/>
          <w:szCs w:val="24"/>
        </w:rPr>
        <w:t xml:space="preserve"> </w:t>
      </w:r>
      <w:r>
        <w:rPr>
          <w:rFonts w:ascii="Times New Roman" w:hAnsi="Times New Roman" w:cs="Times New Roman"/>
          <w:sz w:val="24"/>
          <w:szCs w:val="24"/>
        </w:rPr>
        <w:t>manfaat</w:t>
      </w:r>
      <w:r>
        <w:rPr>
          <w:rFonts w:ascii="Times New Roman" w:hAnsi="Times New Roman" w:cs="Times New Roman"/>
          <w:sz w:val="24"/>
          <w:szCs w:val="24"/>
        </w:rPr>
        <w:t xml:space="preserve"> </w:t>
      </w:r>
      <w:r>
        <w:rPr>
          <w:rFonts w:ascii="Times New Roman" w:hAnsi="Times New Roman" w:cs="Times New Roman"/>
          <w:sz w:val="24"/>
          <w:szCs w:val="24"/>
        </w:rPr>
        <w:t>kepada</w:t>
      </w:r>
      <w:r>
        <w:rPr>
          <w:rFonts w:ascii="Times New Roman" w:hAnsi="Times New Roman" w:cs="Times New Roman"/>
          <w:sz w:val="24"/>
          <w:szCs w:val="24"/>
        </w:rPr>
        <w:t xml:space="preserve"> </w:t>
      </w:r>
      <w:r>
        <w:rPr>
          <w:rFonts w:ascii="Times New Roman" w:hAnsi="Times New Roman" w:cs="Times New Roman"/>
          <w:sz w:val="24"/>
          <w:szCs w:val="24"/>
        </w:rPr>
        <w:t>masyarakat</w:t>
      </w:r>
      <w:r>
        <w:rPr>
          <w:rFonts w:ascii="Times New Roman" w:hAnsi="Times New Roman" w:cs="Times New Roman"/>
          <w:sz w:val="24"/>
          <w:szCs w:val="24"/>
        </w:rPr>
        <w:t xml:space="preserve"> </w:t>
      </w:r>
      <w:r>
        <w:rPr>
          <w:rFonts w:ascii="Times New Roman" w:hAnsi="Times New Roman" w:cs="Times New Roman"/>
          <w:sz w:val="24"/>
          <w:szCs w:val="24"/>
        </w:rPr>
        <w:t>sekitar</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tetap</w:t>
      </w:r>
      <w:r>
        <w:rPr>
          <w:rFonts w:ascii="Times New Roman" w:hAnsi="Times New Roman" w:cs="Times New Roman"/>
          <w:sz w:val="24"/>
          <w:szCs w:val="24"/>
        </w:rPr>
        <w:t xml:space="preserve"> </w:t>
      </w:r>
      <w:r>
        <w:rPr>
          <w:rFonts w:ascii="Times New Roman" w:hAnsi="Times New Roman" w:cs="Times New Roman"/>
          <w:sz w:val="24"/>
          <w:szCs w:val="24"/>
        </w:rPr>
        <w:t>berjalan</w:t>
      </w:r>
      <w:r>
        <w:rPr>
          <w:rFonts w:ascii="Times New Roman" w:hAnsi="Times New Roman" w:cs="Times New Roman"/>
          <w:sz w:val="24"/>
          <w:szCs w:val="24"/>
        </w:rPr>
        <w:t xml:space="preserve"> juga </w:t>
      </w:r>
      <w:r w:rsidR="006D5CFD">
        <w:rPr>
          <w:rFonts w:ascii="Times New Roman" w:hAnsi="Times New Roman" w:cs="Times New Roman"/>
          <w:sz w:val="24"/>
          <w:szCs w:val="24"/>
        </w:rPr>
        <w:t>dari</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sumber</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daya</w:t>
      </w:r>
      <w:r w:rsidR="006D5CFD">
        <w:rPr>
          <w:rFonts w:ascii="Times New Roman" w:hAnsi="Times New Roman" w:cs="Times New Roman"/>
          <w:sz w:val="24"/>
          <w:szCs w:val="24"/>
        </w:rPr>
        <w:t xml:space="preserve"> yang </w:t>
      </w:r>
      <w:r w:rsidR="006D5CFD">
        <w:rPr>
          <w:rFonts w:ascii="Times New Roman" w:hAnsi="Times New Roman" w:cs="Times New Roman"/>
          <w:sz w:val="24"/>
          <w:szCs w:val="24"/>
        </w:rPr>
        <w:t>dihasilkan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dari</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masyarakat</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Namun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dalam</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penerapannya</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perusahaan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serinngkali</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mendappatkan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hasil</w:t>
      </w:r>
      <w:r w:rsidR="006D5CFD">
        <w:rPr>
          <w:rFonts w:ascii="Times New Roman" w:hAnsi="Times New Roman" w:cs="Times New Roman"/>
          <w:sz w:val="24"/>
          <w:szCs w:val="24"/>
        </w:rPr>
        <w:t xml:space="preserve"> yang </w:t>
      </w:r>
      <w:r w:rsidR="006D5CFD">
        <w:rPr>
          <w:rFonts w:ascii="Times New Roman" w:hAnsi="Times New Roman" w:cs="Times New Roman"/>
          <w:sz w:val="24"/>
          <w:szCs w:val="24"/>
        </w:rPr>
        <w:t>sebaliknya</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dimana</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perusahaan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mengalami</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penurunan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dalam</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kinerja</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karena</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isu</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lingkungan</w:t>
      </w:r>
      <w:r w:rsidR="006D5CFD">
        <w:rPr>
          <w:rFonts w:ascii="Times New Roman" w:hAnsi="Times New Roman" w:cs="Times New Roman"/>
          <w:sz w:val="24"/>
          <w:szCs w:val="24"/>
        </w:rPr>
        <w:t xml:space="preserve"> dan </w:t>
      </w:r>
      <w:r w:rsidR="006D5CFD">
        <w:rPr>
          <w:rFonts w:ascii="Times New Roman" w:hAnsi="Times New Roman" w:cs="Times New Roman"/>
          <w:sz w:val="24"/>
          <w:szCs w:val="24"/>
        </w:rPr>
        <w:t>sosial</w:t>
      </w:r>
      <w:r w:rsidR="006D5CFD">
        <w:rPr>
          <w:rFonts w:ascii="Times New Roman" w:hAnsi="Times New Roman" w:cs="Times New Roman"/>
          <w:sz w:val="24"/>
          <w:szCs w:val="24"/>
        </w:rPr>
        <w:t xml:space="preserve">. </w:t>
      </w:r>
      <w:r w:rsidRPr="005B331C" w:rsidR="0073442A">
        <w:rPr>
          <w:rFonts w:ascii="Times New Roman" w:hAnsi="Times New Roman" w:cs="Times New Roman"/>
          <w:sz w:val="24"/>
          <w:szCs w:val="24"/>
        </w:rPr>
        <w:t xml:space="preserve">Hal </w:t>
      </w:r>
      <w:r w:rsidRPr="005B331C" w:rsidR="0073442A">
        <w:rPr>
          <w:rFonts w:ascii="Times New Roman" w:hAnsi="Times New Roman" w:cs="Times New Roman"/>
          <w:sz w:val="24"/>
          <w:szCs w:val="24"/>
        </w:rPr>
        <w:t>ini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selaras</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dengan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penelitian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fldChar w:fldCharType="begin" w:fldLock="1"/>
      </w:r>
      <w:r w:rsidRPr="005B331C" w:rsidR="0073442A">
        <w:rPr>
          <w:rFonts w:ascii="Times New Roman" w:hAnsi="Times New Roman" w:cs="Times New Roman"/>
          <w:sz w:val="24"/>
          <w:szCs w:val="24"/>
        </w:rPr>
        <w:instrText>ADDIN CSL_CITATION {"citationItems":[{"id":"ITEM-1","itemData":{"abstract":"Penelitian tentang Corporate Social Responsibility (CSR) terhadap respon investor telah banyak dilakukan, namun menunjukkan hasil yang tidak konsisten. Penelitian ini memiliki tujuan untuk mengetahui apakah CSR berpengaruh terhadap respon investor pada perusahaan dalam sektor pertanian. CSR diukur dengan menggunakan indikator dari Global Reporting Index (GRI) dan respon investor yang diukur dengan menggunakan Cumulative Abnormal Return (CAR). Penelitian ini menggunakan variabel kontrol return on asset (ROA), ukuran perusahaan, debt to equity ratio (DER), dan market share. Jumlah sampel yang digunakan dalam penelitian ini adalah 60 perusahaan tahun dalam sektor pertanian yang terdaftar di Bursa Efek Indonesia pada tahun 2008-2012. Hasil penelitian menunjukkan bahwa CSR tidak berpengaruh terhadap CAR. Variabel kontrol ROA dan market share berpengaruh positif signifikan terhadap CAR. Ukuran perusahaan berpengaruh negatif tidak signifikan terhadap CAR. Sedangkan DER berpengaruh positif tidak signifikan terhadap CAR.","author":[{"dropping-particle":"","family":"Kurnianto","given":"Eko Adhy","non-dropping-particle":"","parse-names":false,"suffix":""},{"dropping-particle":"","family":"Prastiwi","given":"Andri","non-dropping-particle":"","parse-names":false,"suffix":""}],"container-title":"Fakultas Ekonomi Universitas Diponegoro","id":"ITEM-1","issue":"12","issued":{"date-parts":[["2015"]]},"page":"1-19","title":"Pengaruh Corporate Social Responsibility Terhadap Kinerja Keuangan Perusahaan “(Studi Empiris pada Perusahaan Perbankan yang Terdaftar di Bursa Efek Indonesia Tahun 2005 - 2008)","type":"article-journal","volume":"4"},"uris":["http://www.mendeley.com/documents/?uuid=777f3ef0-e3b0-4f0f-8b39-a5329645e6fc"]}],"mendeley":{"formattedCitation":"(Kurnianto &amp; Prastiwi, 2015)","plainTextFormattedCitation":"(Kurnianto &amp; Prastiwi, 2015)","previouslyFormattedCitation":"(Kurnianto &amp; Prastiwi, 2015)"},"properties":{"noteIndex":0},"schema":"https://github.com/citation-style-language/schema/raw/master/csl-citation.json"}</w:instrText>
      </w:r>
      <w:r w:rsidRPr="005B331C" w:rsidR="0073442A">
        <w:rPr>
          <w:rFonts w:ascii="Times New Roman" w:hAnsi="Times New Roman" w:cs="Times New Roman"/>
          <w:sz w:val="24"/>
          <w:szCs w:val="24"/>
        </w:rPr>
        <w:fldChar w:fldCharType="separate"/>
      </w:r>
      <w:r w:rsidRPr="005B331C" w:rsidR="0073442A">
        <w:rPr>
          <w:rFonts w:ascii="Times New Roman" w:hAnsi="Times New Roman" w:cs="Times New Roman"/>
          <w:noProof/>
          <w:sz w:val="24"/>
          <w:szCs w:val="24"/>
        </w:rPr>
        <w:t xml:space="preserve">Kurnianto </w:t>
      </w:r>
      <w:r w:rsidR="000304D1">
        <w:rPr>
          <w:rFonts w:ascii="Times New Roman" w:hAnsi="Times New Roman" w:cs="Times New Roman"/>
          <w:noProof/>
          <w:sz w:val="24"/>
          <w:szCs w:val="24"/>
        </w:rPr>
        <w:t>(</w:t>
      </w:r>
      <w:r w:rsidRPr="005B331C" w:rsidR="0073442A">
        <w:rPr>
          <w:rFonts w:ascii="Times New Roman" w:hAnsi="Times New Roman" w:cs="Times New Roman"/>
          <w:noProof/>
          <w:sz w:val="24"/>
          <w:szCs w:val="24"/>
        </w:rPr>
        <w:t>2015)</w:t>
      </w:r>
      <w:r w:rsidRPr="005B331C" w:rsidR="0073442A">
        <w:rPr>
          <w:rFonts w:ascii="Times New Roman" w:hAnsi="Times New Roman" w:cs="Times New Roman"/>
          <w:sz w:val="24"/>
          <w:szCs w:val="24"/>
        </w:rPr>
        <w:fldChar w:fldCharType="end"/>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dimana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menghasilkan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bahwa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peningkatan</w:t>
      </w:r>
      <w:r>
        <w:rPr>
          <w:rFonts w:ascii="Times New Roman" w:hAnsi="Times New Roman" w:cs="Times New Roman"/>
          <w:sz w:val="24"/>
          <w:szCs w:val="24"/>
        </w:rPr>
        <w:t xml:space="preserve"> </w:t>
      </w:r>
      <w:r>
        <w:rPr>
          <w:rFonts w:ascii="Times New Roman" w:hAnsi="Times New Roman" w:cs="Times New Roman"/>
          <w:sz w:val="24"/>
          <w:szCs w:val="24"/>
        </w:rPr>
        <w:t>maupun</w:t>
      </w:r>
      <w:r>
        <w:rPr>
          <w:rFonts w:ascii="Times New Roman" w:hAnsi="Times New Roman" w:cs="Times New Roman"/>
          <w:sz w:val="24"/>
          <w:szCs w:val="24"/>
        </w:rPr>
        <w:t xml:space="preserve"> </w:t>
      </w:r>
      <w:r>
        <w:rPr>
          <w:rFonts w:ascii="Times New Roman" w:hAnsi="Times New Roman" w:cs="Times New Roman"/>
          <w:sz w:val="24"/>
          <w:szCs w:val="24"/>
        </w:rPr>
        <w:t>penurunan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i/>
          <w:iCs/>
          <w:sz w:val="24"/>
          <w:szCs w:val="24"/>
        </w:rPr>
        <w:t>Return On Equity</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tidak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dipengaruhi</w:t>
      </w:r>
      <w:r w:rsidRPr="005B331C" w:rsidR="0073442A">
        <w:rPr>
          <w:rFonts w:ascii="Times New Roman" w:hAnsi="Times New Roman" w:cs="Times New Roman"/>
          <w:sz w:val="24"/>
          <w:szCs w:val="24"/>
        </w:rPr>
        <w:t xml:space="preserve"> oleh </w:t>
      </w:r>
      <w:r w:rsidRPr="005B331C" w:rsidR="0073442A">
        <w:rPr>
          <w:rFonts w:ascii="Times New Roman" w:hAnsi="Times New Roman" w:cs="Times New Roman"/>
          <w:i/>
          <w:iCs/>
          <w:sz w:val="24"/>
          <w:szCs w:val="24"/>
        </w:rPr>
        <w:t>Corporate Social Responsibility</w:t>
      </w:r>
      <w:r w:rsidRPr="005B331C" w:rsidR="0073442A">
        <w:rPr>
          <w:rFonts w:ascii="Times New Roman" w:hAnsi="Times New Roman" w:cs="Times New Roman"/>
          <w:sz w:val="24"/>
          <w:szCs w:val="24"/>
        </w:rPr>
        <w:t>.</w:t>
      </w:r>
      <w:r w:rsidR="00B80BA0">
        <w:rPr>
          <w:rFonts w:ascii="Times New Roman" w:hAnsi="Times New Roman" w:cs="Times New Roman"/>
          <w:sz w:val="24"/>
          <w:szCs w:val="24"/>
        </w:rPr>
        <w:t xml:space="preserve"> </w:t>
      </w:r>
      <w:r w:rsidR="00246702">
        <w:rPr>
          <w:rFonts w:ascii="Times New Roman" w:hAnsi="Times New Roman" w:cs="Times New Roman"/>
          <w:sz w:val="24"/>
          <w:szCs w:val="24"/>
        </w:rPr>
        <w:t xml:space="preserve">Program </w:t>
      </w:r>
      <w:r w:rsidRPr="00926D21" w:rsidR="00246702">
        <w:rPr>
          <w:rFonts w:ascii="Times New Roman" w:hAnsi="Times New Roman" w:cs="Times New Roman"/>
          <w:i/>
          <w:iCs/>
          <w:sz w:val="24"/>
          <w:szCs w:val="24"/>
        </w:rPr>
        <w:t>corporate social responsibility</w:t>
      </w:r>
      <w:r w:rsidR="00246702">
        <w:rPr>
          <w:rFonts w:ascii="Times New Roman" w:hAnsi="Times New Roman" w:cs="Times New Roman"/>
          <w:sz w:val="24"/>
          <w:szCs w:val="24"/>
        </w:rPr>
        <w:t xml:space="preserve"> yang </w:t>
      </w:r>
      <w:r w:rsidR="00246702">
        <w:rPr>
          <w:rFonts w:ascii="Times New Roman" w:hAnsi="Times New Roman" w:cs="Times New Roman"/>
          <w:sz w:val="24"/>
          <w:szCs w:val="24"/>
        </w:rPr>
        <w:t>dilakukan</w:t>
      </w:r>
      <w:r w:rsidR="00246702">
        <w:rPr>
          <w:rFonts w:ascii="Times New Roman" w:hAnsi="Times New Roman" w:cs="Times New Roman"/>
          <w:sz w:val="24"/>
          <w:szCs w:val="24"/>
        </w:rPr>
        <w:t xml:space="preserve"> oleh </w:t>
      </w:r>
      <w:r w:rsidR="00246702">
        <w:rPr>
          <w:rFonts w:ascii="Times New Roman" w:hAnsi="Times New Roman" w:cs="Times New Roman"/>
          <w:sz w:val="24"/>
          <w:szCs w:val="24"/>
        </w:rPr>
        <w:t>perusahaan</w:t>
      </w:r>
      <w:r w:rsidR="00246702">
        <w:rPr>
          <w:rFonts w:ascii="Times New Roman" w:hAnsi="Times New Roman" w:cs="Times New Roman"/>
          <w:sz w:val="24"/>
          <w:szCs w:val="24"/>
        </w:rPr>
        <w:t xml:space="preserve"> </w:t>
      </w:r>
      <w:r w:rsidR="00246702">
        <w:rPr>
          <w:rFonts w:ascii="Times New Roman" w:hAnsi="Times New Roman" w:cs="Times New Roman"/>
          <w:sz w:val="24"/>
          <w:szCs w:val="24"/>
        </w:rPr>
        <w:t>perbankan</w:t>
      </w:r>
      <w:r w:rsidR="00246702">
        <w:rPr>
          <w:rFonts w:ascii="Times New Roman" w:hAnsi="Times New Roman" w:cs="Times New Roman"/>
          <w:sz w:val="24"/>
          <w:szCs w:val="24"/>
        </w:rPr>
        <w:t xml:space="preserve"> </w:t>
      </w:r>
      <w:r w:rsidR="006275D0">
        <w:rPr>
          <w:rFonts w:ascii="Times New Roman" w:hAnsi="Times New Roman" w:cs="Times New Roman"/>
          <w:sz w:val="24"/>
          <w:szCs w:val="24"/>
        </w:rPr>
        <w:t>akan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memiliki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nilai</w:t>
      </w:r>
      <w:r w:rsidR="006275D0">
        <w:rPr>
          <w:rFonts w:ascii="Times New Roman" w:hAnsi="Times New Roman" w:cs="Times New Roman"/>
          <w:sz w:val="24"/>
          <w:szCs w:val="24"/>
        </w:rPr>
        <w:t xml:space="preserve"> yang </w:t>
      </w:r>
      <w:r w:rsidR="006275D0">
        <w:rPr>
          <w:rFonts w:ascii="Times New Roman" w:hAnsi="Times New Roman" w:cs="Times New Roman"/>
          <w:sz w:val="24"/>
          <w:szCs w:val="24"/>
        </w:rPr>
        <w:t>positif</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terhadap</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citra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perusahaan</w:t>
      </w:r>
      <w:r w:rsidR="006275D0">
        <w:rPr>
          <w:rFonts w:ascii="Times New Roman" w:hAnsi="Times New Roman" w:cs="Times New Roman"/>
          <w:sz w:val="24"/>
          <w:szCs w:val="24"/>
        </w:rPr>
        <w:t xml:space="preserve"> yang </w:t>
      </w:r>
      <w:r w:rsidR="006275D0">
        <w:rPr>
          <w:rFonts w:ascii="Times New Roman" w:hAnsi="Times New Roman" w:cs="Times New Roman"/>
          <w:sz w:val="24"/>
          <w:szCs w:val="24"/>
        </w:rPr>
        <w:t>lebih</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memperhatikan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lingkungan</w:t>
      </w:r>
      <w:r w:rsidR="006275D0">
        <w:rPr>
          <w:rFonts w:ascii="Times New Roman" w:hAnsi="Times New Roman" w:cs="Times New Roman"/>
          <w:sz w:val="24"/>
          <w:szCs w:val="24"/>
        </w:rPr>
        <w:t xml:space="preserve"> dan </w:t>
      </w:r>
      <w:r w:rsidR="006275D0">
        <w:rPr>
          <w:rFonts w:ascii="Times New Roman" w:hAnsi="Times New Roman" w:cs="Times New Roman"/>
          <w:sz w:val="24"/>
          <w:szCs w:val="24"/>
        </w:rPr>
        <w:t>masyarakat</w:t>
      </w:r>
      <w:r w:rsidR="006275D0">
        <w:rPr>
          <w:rFonts w:ascii="Times New Roman" w:hAnsi="Times New Roman" w:cs="Times New Roman"/>
          <w:sz w:val="24"/>
          <w:szCs w:val="24"/>
        </w:rPr>
        <w:t xml:space="preserve"> di </w:t>
      </w:r>
      <w:r w:rsidR="006275D0">
        <w:rPr>
          <w:rFonts w:ascii="Times New Roman" w:hAnsi="Times New Roman" w:cs="Times New Roman"/>
          <w:sz w:val="24"/>
          <w:szCs w:val="24"/>
        </w:rPr>
        <w:t>sekitar</w:t>
      </w:r>
      <w:r w:rsidR="006275D0">
        <w:rPr>
          <w:rFonts w:ascii="Times New Roman" w:hAnsi="Times New Roman" w:cs="Times New Roman"/>
          <w:sz w:val="24"/>
          <w:szCs w:val="24"/>
        </w:rPr>
        <w:t xml:space="preserve">. Hal </w:t>
      </w:r>
      <w:r w:rsidR="006275D0">
        <w:rPr>
          <w:rFonts w:ascii="Times New Roman" w:hAnsi="Times New Roman" w:cs="Times New Roman"/>
          <w:sz w:val="24"/>
          <w:szCs w:val="24"/>
        </w:rPr>
        <w:t>itu</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tentunya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akan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menjadi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perhatian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khusus</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untuk</w:t>
      </w:r>
      <w:r w:rsidR="006275D0">
        <w:rPr>
          <w:rFonts w:ascii="Times New Roman" w:hAnsi="Times New Roman" w:cs="Times New Roman"/>
          <w:sz w:val="24"/>
          <w:szCs w:val="24"/>
        </w:rPr>
        <w:t xml:space="preserve"> para investor </w:t>
      </w:r>
      <w:r w:rsidR="006275D0">
        <w:rPr>
          <w:rFonts w:ascii="Times New Roman" w:hAnsi="Times New Roman" w:cs="Times New Roman"/>
          <w:sz w:val="24"/>
          <w:szCs w:val="24"/>
        </w:rPr>
        <w:t>dalam</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menilai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perusahaan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unutk</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menentukan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investasinya</w:t>
      </w:r>
      <w:r w:rsidR="006275D0">
        <w:rPr>
          <w:rFonts w:ascii="Times New Roman" w:hAnsi="Times New Roman" w:cs="Times New Roman"/>
          <w:sz w:val="24"/>
          <w:szCs w:val="24"/>
        </w:rPr>
        <w:t xml:space="preserve">. </w:t>
      </w:r>
      <w:r w:rsidR="00926D21">
        <w:rPr>
          <w:rFonts w:ascii="Times New Roman" w:hAnsi="Times New Roman" w:cs="Times New Roman"/>
          <w:sz w:val="24"/>
          <w:szCs w:val="24"/>
        </w:rPr>
        <w:t>N</w:t>
      </w:r>
      <w:r w:rsidR="006275D0">
        <w:rPr>
          <w:rFonts w:ascii="Times New Roman" w:hAnsi="Times New Roman" w:cs="Times New Roman"/>
          <w:sz w:val="24"/>
          <w:szCs w:val="24"/>
        </w:rPr>
        <w:t>amun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keg</w:t>
      </w:r>
      <w:r w:rsidR="00926D21">
        <w:rPr>
          <w:rFonts w:ascii="Times New Roman" w:hAnsi="Times New Roman" w:cs="Times New Roman"/>
          <w:sz w:val="24"/>
          <w:szCs w:val="24"/>
        </w:rPr>
        <w:t>ia</w:t>
      </w:r>
      <w:r w:rsidR="006275D0">
        <w:rPr>
          <w:rFonts w:ascii="Times New Roman" w:hAnsi="Times New Roman" w:cs="Times New Roman"/>
          <w:sz w:val="24"/>
          <w:szCs w:val="24"/>
        </w:rPr>
        <w:t>tan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kepedulian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lingkungan</w:t>
      </w:r>
      <w:r w:rsidR="006275D0">
        <w:rPr>
          <w:rFonts w:ascii="Times New Roman" w:hAnsi="Times New Roman" w:cs="Times New Roman"/>
          <w:sz w:val="24"/>
          <w:szCs w:val="24"/>
        </w:rPr>
        <w:t xml:space="preserve"> dan </w:t>
      </w:r>
      <w:r w:rsidR="006275D0">
        <w:rPr>
          <w:rFonts w:ascii="Times New Roman" w:hAnsi="Times New Roman" w:cs="Times New Roman"/>
          <w:sz w:val="24"/>
          <w:szCs w:val="24"/>
        </w:rPr>
        <w:t>sosial</w:t>
      </w:r>
      <w:r w:rsidR="006275D0">
        <w:rPr>
          <w:rFonts w:ascii="Times New Roman" w:hAnsi="Times New Roman" w:cs="Times New Roman"/>
          <w:sz w:val="24"/>
          <w:szCs w:val="24"/>
        </w:rPr>
        <w:t xml:space="preserve"> yang </w:t>
      </w:r>
      <w:r w:rsidR="006275D0">
        <w:rPr>
          <w:rFonts w:ascii="Times New Roman" w:hAnsi="Times New Roman" w:cs="Times New Roman"/>
          <w:sz w:val="24"/>
          <w:szCs w:val="24"/>
        </w:rPr>
        <w:t>dilakukan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perusahaan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hanya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dapat</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menarik</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perhatian</w:t>
      </w:r>
      <w:r w:rsidR="006275D0">
        <w:rPr>
          <w:rFonts w:ascii="Times New Roman" w:hAnsi="Times New Roman" w:cs="Times New Roman"/>
          <w:sz w:val="24"/>
          <w:szCs w:val="24"/>
        </w:rPr>
        <w:t xml:space="preserve"> </w:t>
      </w:r>
      <w:r w:rsidRPr="006275D0" w:rsidR="006275D0">
        <w:rPr>
          <w:rFonts w:ascii="Times New Roman" w:hAnsi="Times New Roman" w:cs="Times New Roman"/>
          <w:i/>
          <w:iCs/>
          <w:sz w:val="24"/>
          <w:szCs w:val="24"/>
        </w:rPr>
        <w:t>stakeholder</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saja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tanpa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adanya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peningkatan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pemasukan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untuk</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keuangan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perusahaan</w:t>
      </w:r>
      <w:r w:rsidR="006275D0">
        <w:rPr>
          <w:rFonts w:ascii="Times New Roman" w:hAnsi="Times New Roman" w:cs="Times New Roman"/>
          <w:sz w:val="24"/>
          <w:szCs w:val="24"/>
        </w:rPr>
        <w:t xml:space="preserve">. Program CSR </w:t>
      </w:r>
      <w:r w:rsidR="006275D0">
        <w:rPr>
          <w:rFonts w:ascii="Times New Roman" w:hAnsi="Times New Roman" w:cs="Times New Roman"/>
          <w:sz w:val="24"/>
          <w:szCs w:val="24"/>
        </w:rPr>
        <w:t>memang</w:t>
      </w:r>
      <w:r w:rsidR="006275D0">
        <w:rPr>
          <w:rFonts w:ascii="Times New Roman" w:hAnsi="Times New Roman" w:cs="Times New Roman"/>
          <w:sz w:val="24"/>
          <w:szCs w:val="24"/>
        </w:rPr>
        <w:t xml:space="preserve"> sangat </w:t>
      </w:r>
      <w:r w:rsidR="006275D0">
        <w:rPr>
          <w:rFonts w:ascii="Times New Roman" w:hAnsi="Times New Roman" w:cs="Times New Roman"/>
          <w:sz w:val="24"/>
          <w:szCs w:val="24"/>
        </w:rPr>
        <w:t>bagus</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untuk</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diterapkan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guna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menarik</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perhatian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masyarakat</w:t>
      </w:r>
      <w:r w:rsidR="006275D0">
        <w:rPr>
          <w:rFonts w:ascii="Times New Roman" w:hAnsi="Times New Roman" w:cs="Times New Roman"/>
          <w:sz w:val="24"/>
          <w:szCs w:val="24"/>
        </w:rPr>
        <w:t xml:space="preserve"> dan </w:t>
      </w:r>
      <w:r w:rsidR="006275D0">
        <w:rPr>
          <w:rFonts w:ascii="Times New Roman" w:hAnsi="Times New Roman" w:cs="Times New Roman"/>
          <w:sz w:val="24"/>
          <w:szCs w:val="24"/>
        </w:rPr>
        <w:t>ikut</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serta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dalam</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pembangunan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ekonomi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berkelanjutan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tetapi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perusahaan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perlu</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cara</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untuk</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memaksimalkan</w:t>
      </w:r>
      <w:r w:rsidR="006275D0">
        <w:rPr>
          <w:rFonts w:ascii="Times New Roman" w:hAnsi="Times New Roman" w:cs="Times New Roman"/>
          <w:sz w:val="24"/>
          <w:szCs w:val="24"/>
        </w:rPr>
        <w:t xml:space="preserve"> program </w:t>
      </w:r>
      <w:r w:rsidR="006275D0">
        <w:rPr>
          <w:rFonts w:ascii="Times New Roman" w:hAnsi="Times New Roman" w:cs="Times New Roman"/>
          <w:sz w:val="24"/>
          <w:szCs w:val="24"/>
        </w:rPr>
        <w:t>tersebut</w:t>
      </w:r>
      <w:r w:rsidR="006275D0">
        <w:rPr>
          <w:rFonts w:ascii="Times New Roman" w:hAnsi="Times New Roman" w:cs="Times New Roman"/>
          <w:sz w:val="24"/>
          <w:szCs w:val="24"/>
        </w:rPr>
        <w:t xml:space="preserve"> agar </w:t>
      </w:r>
      <w:r w:rsidR="006275D0">
        <w:rPr>
          <w:rFonts w:ascii="Times New Roman" w:hAnsi="Times New Roman" w:cs="Times New Roman"/>
          <w:sz w:val="24"/>
          <w:szCs w:val="24"/>
        </w:rPr>
        <w:t>menjadikan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keuntungan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dari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sisi</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keuangan</w:t>
      </w:r>
      <w:r w:rsidR="006275D0">
        <w:rPr>
          <w:rFonts w:ascii="Times New Roman" w:hAnsi="Times New Roman" w:cs="Times New Roman"/>
          <w:sz w:val="24"/>
          <w:szCs w:val="24"/>
        </w:rPr>
        <w:t xml:space="preserve"> </w:t>
      </w:r>
      <w:r w:rsidR="006275D0">
        <w:rPr>
          <w:rFonts w:ascii="Times New Roman" w:hAnsi="Times New Roman" w:cs="Times New Roman"/>
          <w:sz w:val="24"/>
          <w:szCs w:val="24"/>
        </w:rPr>
        <w:t>perusahaan</w:t>
      </w:r>
      <w:r w:rsidR="006275D0">
        <w:rPr>
          <w:rFonts w:ascii="Times New Roman" w:hAnsi="Times New Roman" w:cs="Times New Roman"/>
          <w:sz w:val="24"/>
          <w:szCs w:val="24"/>
        </w:rPr>
        <w:t>.</w:t>
      </w:r>
      <w:r w:rsidR="00941723">
        <w:rPr>
          <w:rFonts w:ascii="Times New Roman" w:hAnsi="Times New Roman" w:cs="Times New Roman"/>
          <w:sz w:val="24"/>
          <w:szCs w:val="24"/>
        </w:rPr>
        <w:t xml:space="preserve"> Perusahaan </w:t>
      </w:r>
      <w:r w:rsidR="00941723">
        <w:rPr>
          <w:rFonts w:ascii="Times New Roman" w:hAnsi="Times New Roman" w:cs="Times New Roman"/>
          <w:sz w:val="24"/>
          <w:szCs w:val="24"/>
        </w:rPr>
        <w:t>perlunya</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untuk</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lebih</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mengembangkan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dari</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sisi</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penerapan</w:t>
      </w:r>
      <w:r w:rsidR="00941723">
        <w:rPr>
          <w:rFonts w:ascii="Times New Roman" w:hAnsi="Times New Roman" w:cs="Times New Roman"/>
          <w:sz w:val="24"/>
          <w:szCs w:val="24"/>
        </w:rPr>
        <w:t xml:space="preserve"> program CSR </w:t>
      </w:r>
      <w:r w:rsidR="00941723">
        <w:rPr>
          <w:rFonts w:ascii="Times New Roman" w:hAnsi="Times New Roman" w:cs="Times New Roman"/>
          <w:sz w:val="24"/>
          <w:szCs w:val="24"/>
        </w:rPr>
        <w:t>sehingga</w:t>
      </w:r>
      <w:r w:rsidR="00941723">
        <w:rPr>
          <w:rFonts w:ascii="Times New Roman" w:hAnsi="Times New Roman" w:cs="Times New Roman"/>
          <w:sz w:val="24"/>
          <w:szCs w:val="24"/>
        </w:rPr>
        <w:t xml:space="preserve"> </w:t>
      </w:r>
      <w:r w:rsidRPr="00EA5E2C" w:rsidR="00941723">
        <w:rPr>
          <w:rFonts w:ascii="Times New Roman" w:hAnsi="Times New Roman" w:cs="Times New Roman"/>
          <w:i/>
          <w:iCs/>
          <w:sz w:val="24"/>
          <w:szCs w:val="24"/>
        </w:rPr>
        <w:t>stakeholder</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akan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lebih</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percaya</w:t>
      </w:r>
      <w:r w:rsidR="00941723">
        <w:rPr>
          <w:rFonts w:ascii="Times New Roman" w:hAnsi="Times New Roman" w:cs="Times New Roman"/>
          <w:sz w:val="24"/>
          <w:szCs w:val="24"/>
        </w:rPr>
        <w:t xml:space="preserve"> pada </w:t>
      </w:r>
      <w:r w:rsidR="00941723">
        <w:rPr>
          <w:rFonts w:ascii="Times New Roman" w:hAnsi="Times New Roman" w:cs="Times New Roman"/>
          <w:sz w:val="24"/>
          <w:szCs w:val="24"/>
        </w:rPr>
        <w:t>perusahaan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untuk</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menentukan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keputusan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investasi</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atau</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melakukan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transaksi</w:t>
      </w:r>
      <w:r w:rsidR="00941723">
        <w:rPr>
          <w:rFonts w:ascii="Times New Roman" w:hAnsi="Times New Roman" w:cs="Times New Roman"/>
          <w:sz w:val="24"/>
          <w:szCs w:val="24"/>
        </w:rPr>
        <w:t xml:space="preserve">. Selain </w:t>
      </w:r>
      <w:r w:rsidR="00941723">
        <w:rPr>
          <w:rFonts w:ascii="Times New Roman" w:hAnsi="Times New Roman" w:cs="Times New Roman"/>
          <w:sz w:val="24"/>
          <w:szCs w:val="24"/>
        </w:rPr>
        <w:t>itu</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hasil</w:t>
      </w:r>
      <w:r w:rsidR="00941723">
        <w:rPr>
          <w:rFonts w:ascii="Times New Roman" w:hAnsi="Times New Roman" w:cs="Times New Roman"/>
          <w:sz w:val="24"/>
          <w:szCs w:val="24"/>
        </w:rPr>
        <w:t xml:space="preserve"> yang </w:t>
      </w:r>
      <w:r w:rsidR="00941723">
        <w:rPr>
          <w:rFonts w:ascii="Times New Roman" w:hAnsi="Times New Roman" w:cs="Times New Roman"/>
          <w:sz w:val="24"/>
          <w:szCs w:val="24"/>
        </w:rPr>
        <w:t>tidak</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berpengaruh</w:t>
      </w:r>
      <w:r w:rsidR="00941723">
        <w:rPr>
          <w:rFonts w:ascii="Times New Roman" w:hAnsi="Times New Roman" w:cs="Times New Roman"/>
          <w:sz w:val="24"/>
          <w:szCs w:val="24"/>
        </w:rPr>
        <w:t xml:space="preserve"> juga </w:t>
      </w:r>
      <w:r w:rsidR="00941723">
        <w:rPr>
          <w:rFonts w:ascii="Times New Roman" w:hAnsi="Times New Roman" w:cs="Times New Roman"/>
          <w:sz w:val="24"/>
          <w:szCs w:val="24"/>
        </w:rPr>
        <w:t>perusahaan</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harus</w:t>
      </w:r>
      <w:r w:rsidR="00941723">
        <w:rPr>
          <w:rFonts w:ascii="Times New Roman" w:hAnsi="Times New Roman" w:cs="Times New Roman"/>
          <w:sz w:val="24"/>
          <w:szCs w:val="24"/>
        </w:rPr>
        <w:t xml:space="preserve"> </w:t>
      </w:r>
      <w:r w:rsidR="00941723">
        <w:rPr>
          <w:rFonts w:ascii="Times New Roman" w:hAnsi="Times New Roman" w:cs="Times New Roman"/>
          <w:sz w:val="24"/>
          <w:szCs w:val="24"/>
        </w:rPr>
        <w:t>mempertimbangkan</w:t>
      </w:r>
      <w:r w:rsidR="00941723">
        <w:rPr>
          <w:rFonts w:ascii="Times New Roman" w:hAnsi="Times New Roman" w:cs="Times New Roman"/>
          <w:sz w:val="24"/>
          <w:szCs w:val="24"/>
        </w:rPr>
        <w:t xml:space="preserve"> </w:t>
      </w:r>
      <w:r w:rsidR="00EA5E2C">
        <w:rPr>
          <w:rFonts w:ascii="Times New Roman" w:hAnsi="Times New Roman" w:cs="Times New Roman"/>
          <w:sz w:val="24"/>
          <w:szCs w:val="24"/>
        </w:rPr>
        <w:t>variabel</w:t>
      </w:r>
      <w:r w:rsidR="00EA5E2C">
        <w:rPr>
          <w:rFonts w:ascii="Times New Roman" w:hAnsi="Times New Roman" w:cs="Times New Roman"/>
          <w:sz w:val="24"/>
          <w:szCs w:val="24"/>
        </w:rPr>
        <w:t xml:space="preserve"> </w:t>
      </w:r>
      <w:r w:rsidR="00610FDD">
        <w:rPr>
          <w:rFonts w:ascii="Times New Roman" w:hAnsi="Times New Roman" w:cs="Times New Roman"/>
          <w:sz w:val="24"/>
          <w:szCs w:val="24"/>
        </w:rPr>
        <w:t xml:space="preserve">lain yang </w:t>
      </w:r>
      <w:r w:rsidR="00610FDD">
        <w:rPr>
          <w:rFonts w:ascii="Times New Roman" w:hAnsi="Times New Roman" w:cs="Times New Roman"/>
          <w:sz w:val="24"/>
          <w:szCs w:val="24"/>
        </w:rPr>
        <w:t>dapat</w:t>
      </w:r>
      <w:r w:rsidR="00610FDD">
        <w:rPr>
          <w:rFonts w:ascii="Times New Roman" w:hAnsi="Times New Roman" w:cs="Times New Roman"/>
          <w:sz w:val="24"/>
          <w:szCs w:val="24"/>
        </w:rPr>
        <w:t xml:space="preserve"> juga </w:t>
      </w:r>
      <w:r w:rsidR="00610FDD">
        <w:rPr>
          <w:rFonts w:ascii="Times New Roman" w:hAnsi="Times New Roman" w:cs="Times New Roman"/>
          <w:sz w:val="24"/>
          <w:szCs w:val="24"/>
        </w:rPr>
        <w:t>mempengaruhi</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kinerja</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perusahaan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seperti</w:t>
      </w:r>
      <w:r w:rsidR="00EA5E2C">
        <w:rPr>
          <w:rFonts w:ascii="Times New Roman" w:hAnsi="Times New Roman" w:cs="Times New Roman"/>
          <w:sz w:val="24"/>
          <w:szCs w:val="24"/>
        </w:rPr>
        <w:t xml:space="preserve"> tata </w:t>
      </w:r>
      <w:r w:rsidR="00EA5E2C">
        <w:rPr>
          <w:rFonts w:ascii="Times New Roman" w:hAnsi="Times New Roman" w:cs="Times New Roman"/>
          <w:sz w:val="24"/>
          <w:szCs w:val="24"/>
        </w:rPr>
        <w:t>kelola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perusahaan</w:t>
      </w:r>
      <w:r w:rsidR="00EA5E2C">
        <w:rPr>
          <w:rFonts w:ascii="Times New Roman" w:hAnsi="Times New Roman" w:cs="Times New Roman"/>
          <w:sz w:val="24"/>
          <w:szCs w:val="24"/>
        </w:rPr>
        <w:t xml:space="preserve"> yang juga </w:t>
      </w:r>
      <w:r w:rsidR="00EA5E2C">
        <w:rPr>
          <w:rFonts w:ascii="Times New Roman" w:hAnsi="Times New Roman" w:cs="Times New Roman"/>
          <w:sz w:val="24"/>
          <w:szCs w:val="24"/>
        </w:rPr>
        <w:t>termasuk</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dalam</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faktor</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eksternal</w:t>
      </w:r>
      <w:r w:rsidR="00EA5E2C">
        <w:rPr>
          <w:rFonts w:ascii="Times New Roman" w:hAnsi="Times New Roman" w:cs="Times New Roman"/>
          <w:sz w:val="24"/>
          <w:szCs w:val="24"/>
        </w:rPr>
        <w:t xml:space="preserve"> yang </w:t>
      </w:r>
      <w:r w:rsidR="00EA5E2C">
        <w:rPr>
          <w:rFonts w:ascii="Times New Roman" w:hAnsi="Times New Roman" w:cs="Times New Roman"/>
          <w:sz w:val="24"/>
          <w:szCs w:val="24"/>
        </w:rPr>
        <w:t>dapat</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mempengaruhi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citra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dari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perusahaan</w:t>
      </w:r>
      <w:r w:rsidR="00EA5E2C">
        <w:rPr>
          <w:rFonts w:ascii="Times New Roman" w:hAnsi="Times New Roman" w:cs="Times New Roman"/>
          <w:sz w:val="24"/>
          <w:szCs w:val="24"/>
        </w:rPr>
        <w:t xml:space="preserve">. </w:t>
      </w:r>
    </w:p>
    <w:p w:rsidR="005B331C" w:rsidP="001D28D7" w14:paraId="6915063E" w14:textId="77777777">
      <w:pPr>
        <w:pStyle w:val="ListParagraph"/>
        <w:numPr>
          <w:ilvl w:val="0"/>
          <w:numId w:val="75"/>
        </w:numPr>
        <w:spacing w:after="0" w:line="480" w:lineRule="auto"/>
        <w:jc w:val="both"/>
        <w:rPr>
          <w:rFonts w:ascii="Times New Roman" w:hAnsi="Times New Roman" w:cs="Times New Roman"/>
          <w:b/>
          <w:bCs/>
          <w:sz w:val="24"/>
          <w:szCs w:val="24"/>
        </w:rPr>
      </w:pPr>
      <w:r w:rsidRPr="005B331C">
        <w:rPr>
          <w:rFonts w:ascii="Times New Roman" w:hAnsi="Times New Roman" w:cs="Times New Roman"/>
          <w:b/>
          <w:bCs/>
          <w:sz w:val="24"/>
          <w:szCs w:val="24"/>
        </w:rPr>
        <w:t>Pengaruh</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Pengungkapan</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Corporate Social Responsibility </w:t>
      </w:r>
      <w:r w:rsidRPr="005B331C">
        <w:rPr>
          <w:rFonts w:ascii="Times New Roman" w:hAnsi="Times New Roman" w:cs="Times New Roman"/>
          <w:b/>
          <w:bCs/>
          <w:sz w:val="24"/>
          <w:szCs w:val="24"/>
        </w:rPr>
        <w:t>terhadap</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Net Interest Margin</w:t>
      </w:r>
      <w:r w:rsidRPr="005B331C">
        <w:rPr>
          <w:rFonts w:ascii="Times New Roman" w:hAnsi="Times New Roman" w:cs="Times New Roman"/>
          <w:b/>
          <w:bCs/>
          <w:sz w:val="24"/>
          <w:szCs w:val="24"/>
        </w:rPr>
        <w:t xml:space="preserve"> (NIM) pada Sub-</w:t>
      </w:r>
      <w:r w:rsidRPr="005B331C">
        <w:rPr>
          <w:rFonts w:ascii="Times New Roman" w:hAnsi="Times New Roman" w:cs="Times New Roman"/>
          <w:b/>
          <w:bCs/>
          <w:sz w:val="24"/>
          <w:szCs w:val="24"/>
        </w:rPr>
        <w:t>sektor</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Perbankan</w:t>
      </w:r>
    </w:p>
    <w:p w:rsidR="00733859" w:rsidP="001D28D7" w14:paraId="1FE1809E" w14:textId="7ABB385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mengasilkan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sidRPr="005B331C">
        <w:rPr>
          <w:rFonts w:ascii="Times New Roman" w:hAnsi="Times New Roman" w:cs="Times New Roman"/>
          <w:sz w:val="24"/>
          <w:szCs w:val="24"/>
        </w:rPr>
        <w:t>terdapat</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pengaruh</w:t>
      </w:r>
      <w:r w:rsidRPr="005B331C">
        <w:rPr>
          <w:rFonts w:ascii="Times New Roman" w:hAnsi="Times New Roman" w:cs="Times New Roman"/>
          <w:sz w:val="24"/>
          <w:szCs w:val="24"/>
        </w:rPr>
        <w:t xml:space="preserve"> yang </w:t>
      </w:r>
      <w:r w:rsidRPr="005B331C">
        <w:rPr>
          <w:rFonts w:ascii="Times New Roman" w:hAnsi="Times New Roman" w:cs="Times New Roman"/>
          <w:sz w:val="24"/>
          <w:szCs w:val="24"/>
        </w:rPr>
        <w:t>signifikan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dari</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variabel</w:t>
      </w:r>
      <w:r w:rsidRPr="005B331C">
        <w:rPr>
          <w:rFonts w:ascii="Times New Roman" w:hAnsi="Times New Roman" w:cs="Times New Roman"/>
          <w:sz w:val="24"/>
          <w:szCs w:val="24"/>
        </w:rPr>
        <w:t xml:space="preserve"> CSR </w:t>
      </w:r>
      <w:r w:rsidRPr="005B331C">
        <w:rPr>
          <w:rFonts w:ascii="Times New Roman" w:hAnsi="Times New Roman" w:cs="Times New Roman"/>
          <w:sz w:val="24"/>
          <w:szCs w:val="24"/>
        </w:rPr>
        <w:t>terhadap</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kinerja</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keuangan</w:t>
      </w:r>
      <w:r w:rsidRPr="005B331C">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proksi</w:t>
      </w:r>
      <w:r>
        <w:rPr>
          <w:rFonts w:ascii="Times New Roman" w:hAnsi="Times New Roman" w:cs="Times New Roman"/>
          <w:sz w:val="24"/>
          <w:szCs w:val="24"/>
        </w:rPr>
        <w:t xml:space="preserve"> </w:t>
      </w:r>
      <w:r w:rsidRPr="002138F4">
        <w:rPr>
          <w:rFonts w:ascii="Times New Roman" w:hAnsi="Times New Roman" w:cs="Times New Roman"/>
          <w:i/>
          <w:iCs/>
          <w:sz w:val="24"/>
          <w:szCs w:val="24"/>
        </w:rPr>
        <w:t>net interest margin</w:t>
      </w:r>
      <w:r>
        <w:rPr>
          <w:rFonts w:ascii="Times New Roman" w:hAnsi="Times New Roman" w:cs="Times New Roman"/>
          <w:sz w:val="24"/>
          <w:szCs w:val="24"/>
        </w:rPr>
        <w:t>.</w:t>
      </w:r>
      <w:r w:rsidR="00266FCF">
        <w:rPr>
          <w:rFonts w:ascii="Times New Roman" w:hAnsi="Times New Roman" w:cs="Times New Roman"/>
          <w:sz w:val="24"/>
          <w:szCs w:val="24"/>
        </w:rPr>
        <w:t xml:space="preserve"> </w:t>
      </w:r>
      <w:r w:rsidRPr="005B331C" w:rsidR="0073442A">
        <w:rPr>
          <w:rFonts w:ascii="Times New Roman" w:hAnsi="Times New Roman" w:cs="Times New Roman"/>
          <w:sz w:val="24"/>
          <w:szCs w:val="24"/>
        </w:rPr>
        <w:t xml:space="preserve">Hal </w:t>
      </w:r>
      <w:r w:rsidRPr="005B331C" w:rsidR="0073442A">
        <w:rPr>
          <w:rFonts w:ascii="Times New Roman" w:hAnsi="Times New Roman" w:cs="Times New Roman"/>
          <w:sz w:val="24"/>
          <w:szCs w:val="24"/>
        </w:rPr>
        <w:t>ini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menunjukka</w:t>
      </w:r>
      <w:r>
        <w:rPr>
          <w:rFonts w:ascii="Times New Roman" w:hAnsi="Times New Roman" w:cs="Times New Roman"/>
          <w:sz w:val="24"/>
          <w:szCs w:val="24"/>
        </w:rPr>
        <w:t>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bahwa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yang </w:t>
      </w:r>
      <w:r w:rsidRPr="005B331C" w:rsidR="0073442A">
        <w:rPr>
          <w:rFonts w:ascii="Times New Roman" w:hAnsi="Times New Roman" w:cs="Times New Roman"/>
          <w:sz w:val="24"/>
          <w:szCs w:val="24"/>
        </w:rPr>
        <w:t>mengungkapkan</w:t>
      </w:r>
      <w:r w:rsidRPr="005B331C" w:rsidR="0073442A">
        <w:rPr>
          <w:rFonts w:ascii="Times New Roman" w:hAnsi="Times New Roman" w:cs="Times New Roman"/>
          <w:sz w:val="24"/>
          <w:szCs w:val="24"/>
        </w:rPr>
        <w:t xml:space="preserve"> program </w:t>
      </w:r>
      <w:r w:rsidRPr="005B331C" w:rsidR="0073442A">
        <w:rPr>
          <w:rFonts w:ascii="Times New Roman" w:hAnsi="Times New Roman" w:cs="Times New Roman"/>
          <w:i/>
          <w:iCs/>
          <w:sz w:val="24"/>
          <w:szCs w:val="24"/>
        </w:rPr>
        <w:t>corporate social responsibility</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laporan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keuangan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tahunnya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meningkatkan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kualitas</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kinerja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keuangan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Artinya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tanggung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jawab</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sosial</w:t>
      </w:r>
      <w:r w:rsidRPr="005B331C" w:rsidR="0073442A">
        <w:rPr>
          <w:rFonts w:ascii="Times New Roman" w:hAnsi="Times New Roman" w:cs="Times New Roman"/>
          <w:sz w:val="24"/>
          <w:szCs w:val="24"/>
        </w:rPr>
        <w:t xml:space="preserve"> yang </w:t>
      </w:r>
      <w:r w:rsidRPr="005B331C" w:rsidR="0073442A">
        <w:rPr>
          <w:rFonts w:ascii="Times New Roman" w:hAnsi="Times New Roman" w:cs="Times New Roman"/>
          <w:sz w:val="24"/>
          <w:szCs w:val="24"/>
        </w:rPr>
        <w:t>dijalankan</w:t>
      </w:r>
      <w:r w:rsidRPr="005B331C" w:rsidR="0073442A">
        <w:rPr>
          <w:rFonts w:ascii="Times New Roman" w:hAnsi="Times New Roman" w:cs="Times New Roman"/>
          <w:sz w:val="24"/>
          <w:szCs w:val="24"/>
        </w:rPr>
        <w:t xml:space="preserve"> oleh </w:t>
      </w:r>
      <w:r w:rsidRPr="005B331C" w:rsidR="0073442A">
        <w:rPr>
          <w:rFonts w:ascii="Times New Roman" w:hAnsi="Times New Roman" w:cs="Times New Roman"/>
          <w:sz w:val="24"/>
          <w:szCs w:val="24"/>
        </w:rPr>
        <w:t>prusahaan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meningkatkan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citra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dimana</w:t>
      </w:r>
      <w:r w:rsidRPr="005B331C" w:rsidR="0073442A">
        <w:rPr>
          <w:rFonts w:ascii="Times New Roman" w:hAnsi="Times New Roman" w:cs="Times New Roman"/>
          <w:sz w:val="24"/>
          <w:szCs w:val="24"/>
        </w:rPr>
        <w:t xml:space="preserve"> investor </w:t>
      </w:r>
      <w:r w:rsidRPr="005B331C" w:rsidR="0073442A">
        <w:rPr>
          <w:rFonts w:ascii="Times New Roman" w:hAnsi="Times New Roman" w:cs="Times New Roman"/>
          <w:sz w:val="24"/>
          <w:szCs w:val="24"/>
        </w:rPr>
        <w:t>ataupun</w:t>
      </w:r>
      <w:r w:rsidRPr="005B331C" w:rsidR="0073442A">
        <w:rPr>
          <w:rFonts w:ascii="Times New Roman" w:hAnsi="Times New Roman" w:cs="Times New Roman"/>
          <w:sz w:val="24"/>
          <w:szCs w:val="24"/>
        </w:rPr>
        <w:t xml:space="preserve"> </w:t>
      </w:r>
      <w:r w:rsidRPr="00733859" w:rsidR="0073442A">
        <w:rPr>
          <w:rFonts w:ascii="Times New Roman" w:hAnsi="Times New Roman" w:cs="Times New Roman"/>
          <w:i/>
          <w:iCs/>
          <w:sz w:val="24"/>
          <w:szCs w:val="24"/>
        </w:rPr>
        <w:t xml:space="preserve">stakeholder </w:t>
      </w:r>
      <w:r w:rsidRPr="005B331C" w:rsidR="0073442A">
        <w:rPr>
          <w:rFonts w:ascii="Times New Roman" w:hAnsi="Times New Roman" w:cs="Times New Roman"/>
          <w:sz w:val="24"/>
          <w:szCs w:val="24"/>
        </w:rPr>
        <w:t xml:space="preserve">juga </w:t>
      </w:r>
      <w:r w:rsidRPr="005B331C" w:rsidR="0073442A">
        <w:rPr>
          <w:rFonts w:ascii="Times New Roman" w:hAnsi="Times New Roman" w:cs="Times New Roman"/>
          <w:sz w:val="24"/>
          <w:szCs w:val="24"/>
        </w:rPr>
        <w:t>melihat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tingkat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kepedulian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terhadap</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lingkungan</w:t>
      </w:r>
      <w:r w:rsidRPr="005B331C" w:rsidR="0073442A">
        <w:rPr>
          <w:rFonts w:ascii="Times New Roman" w:hAnsi="Times New Roman" w:cs="Times New Roman"/>
          <w:sz w:val="24"/>
          <w:szCs w:val="24"/>
        </w:rPr>
        <w:t xml:space="preserve"> dan </w:t>
      </w:r>
      <w:r w:rsidRPr="005B331C" w:rsidR="0073442A">
        <w:rPr>
          <w:rFonts w:ascii="Times New Roman" w:hAnsi="Times New Roman" w:cs="Times New Roman"/>
          <w:sz w:val="24"/>
          <w:szCs w:val="24"/>
        </w:rPr>
        <w:t>sosial</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masyarakat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menentukan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keputusan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investasi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maupun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peminjaman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kreditnya</w:t>
      </w:r>
      <w:r w:rsidRPr="005B331C" w:rsidR="0073442A">
        <w:rPr>
          <w:rFonts w:ascii="Times New Roman" w:hAnsi="Times New Roman" w:cs="Times New Roman"/>
          <w:sz w:val="24"/>
          <w:szCs w:val="24"/>
        </w:rPr>
        <w:t>.</w:t>
      </w:r>
    </w:p>
    <w:p w:rsidR="005B331C" w:rsidRPr="00733859" w:rsidP="001D28D7" w14:paraId="07FEE59D" w14:textId="651D13D0">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tersebut</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bahwa</w:t>
      </w:r>
      <w:r w:rsidR="002138F4">
        <w:rPr>
          <w:rFonts w:ascii="Times New Roman" w:hAnsi="Times New Roman" w:cs="Times New Roman"/>
          <w:sz w:val="24"/>
          <w:szCs w:val="24"/>
        </w:rPr>
        <w:t xml:space="preserve"> </w:t>
      </w:r>
      <w:r w:rsidR="002138F4">
        <w:rPr>
          <w:rFonts w:ascii="Times New Roman" w:hAnsi="Times New Roman" w:cs="Times New Roman"/>
          <w:sz w:val="24"/>
          <w:szCs w:val="24"/>
        </w:rPr>
        <w:t>s</w:t>
      </w:r>
      <w:r w:rsidRPr="002138F4" w:rsidR="00AA6548">
        <w:rPr>
          <w:rFonts w:ascii="Times New Roman" w:hAnsi="Times New Roman" w:cs="Times New Roman"/>
          <w:sz w:val="24"/>
          <w:szCs w:val="24"/>
        </w:rPr>
        <w:t>emakin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banyak</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aktivitas</w:t>
      </w:r>
      <w:r w:rsidRPr="002138F4" w:rsidR="00AA6548">
        <w:rPr>
          <w:rFonts w:ascii="Times New Roman" w:hAnsi="Times New Roman" w:cs="Times New Roman"/>
          <w:sz w:val="24"/>
          <w:szCs w:val="24"/>
        </w:rPr>
        <w:t xml:space="preserve"> </w:t>
      </w:r>
      <w:r w:rsidRPr="002138F4" w:rsidR="005A63BC">
        <w:rPr>
          <w:rFonts w:ascii="Times New Roman" w:hAnsi="Times New Roman" w:cs="Times New Roman"/>
          <w:i/>
          <w:iCs/>
          <w:sz w:val="24"/>
          <w:szCs w:val="24"/>
        </w:rPr>
        <w:t>corporate social responsibility</w:t>
      </w:r>
      <w:r w:rsidRPr="002138F4" w:rsidR="005A63BC">
        <w:rPr>
          <w:rFonts w:ascii="Times New Roman" w:hAnsi="Times New Roman" w:cs="Times New Roman"/>
          <w:sz w:val="24"/>
          <w:szCs w:val="24"/>
        </w:rPr>
        <w:t xml:space="preserve"> </w:t>
      </w:r>
      <w:r w:rsidRPr="002138F4" w:rsidR="00AA6548">
        <w:rPr>
          <w:rFonts w:ascii="Times New Roman" w:hAnsi="Times New Roman" w:cs="Times New Roman"/>
          <w:sz w:val="24"/>
          <w:szCs w:val="24"/>
        </w:rPr>
        <w:t>perusahaan</w:t>
      </w:r>
      <w:r w:rsidRPr="002138F4" w:rsidR="00AA6548">
        <w:rPr>
          <w:rFonts w:ascii="Times New Roman" w:hAnsi="Times New Roman" w:cs="Times New Roman"/>
          <w:sz w:val="24"/>
          <w:szCs w:val="24"/>
        </w:rPr>
        <w:t xml:space="preserve"> yang </w:t>
      </w:r>
      <w:r w:rsidRPr="002138F4" w:rsidR="00AA6548">
        <w:rPr>
          <w:rFonts w:ascii="Times New Roman" w:hAnsi="Times New Roman" w:cs="Times New Roman"/>
          <w:sz w:val="24"/>
          <w:szCs w:val="24"/>
        </w:rPr>
        <w:t>dilaporkan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akan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semakin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baik</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dimata</w:t>
      </w:r>
      <w:r w:rsidRPr="002138F4" w:rsidR="00AA6548">
        <w:rPr>
          <w:rFonts w:ascii="Times New Roman" w:hAnsi="Times New Roman" w:cs="Times New Roman"/>
          <w:sz w:val="24"/>
          <w:szCs w:val="24"/>
        </w:rPr>
        <w:t xml:space="preserve"> investor </w:t>
      </w:r>
      <w:r w:rsidRPr="002138F4" w:rsidR="00AA6548">
        <w:rPr>
          <w:rFonts w:ascii="Times New Roman" w:hAnsi="Times New Roman" w:cs="Times New Roman"/>
          <w:sz w:val="24"/>
          <w:szCs w:val="24"/>
        </w:rPr>
        <w:t>maupun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calon</w:t>
      </w:r>
      <w:r w:rsidRPr="002138F4" w:rsidR="00AA6548">
        <w:rPr>
          <w:rFonts w:ascii="Times New Roman" w:hAnsi="Times New Roman" w:cs="Times New Roman"/>
          <w:sz w:val="24"/>
          <w:szCs w:val="24"/>
        </w:rPr>
        <w:t xml:space="preserve"> investor, </w:t>
      </w:r>
      <w:r w:rsidRPr="002138F4" w:rsidR="00AA6548">
        <w:rPr>
          <w:rFonts w:ascii="Times New Roman" w:hAnsi="Times New Roman" w:cs="Times New Roman"/>
          <w:sz w:val="24"/>
          <w:szCs w:val="24"/>
        </w:rPr>
        <w:t>pengungkapan</w:t>
      </w:r>
      <w:r w:rsidRPr="002138F4" w:rsidR="00AA6548">
        <w:rPr>
          <w:rFonts w:ascii="Times New Roman" w:hAnsi="Times New Roman" w:cs="Times New Roman"/>
          <w:sz w:val="24"/>
          <w:szCs w:val="24"/>
        </w:rPr>
        <w:t xml:space="preserve"> </w:t>
      </w:r>
      <w:r w:rsidRPr="002138F4" w:rsidR="005A63BC">
        <w:rPr>
          <w:rFonts w:ascii="Times New Roman" w:hAnsi="Times New Roman" w:cs="Times New Roman"/>
          <w:i/>
          <w:iCs/>
          <w:sz w:val="24"/>
          <w:szCs w:val="24"/>
        </w:rPr>
        <w:t>corporate social responsibility</w:t>
      </w:r>
      <w:r w:rsidRPr="002138F4" w:rsidR="005A63BC">
        <w:rPr>
          <w:rFonts w:ascii="Times New Roman" w:hAnsi="Times New Roman" w:cs="Times New Roman"/>
          <w:sz w:val="24"/>
          <w:szCs w:val="24"/>
        </w:rPr>
        <w:t xml:space="preserve"> </w:t>
      </w:r>
      <w:r w:rsidRPr="002138F4" w:rsidR="00AA6548">
        <w:rPr>
          <w:rFonts w:ascii="Times New Roman" w:hAnsi="Times New Roman" w:cs="Times New Roman"/>
          <w:sz w:val="24"/>
          <w:szCs w:val="24"/>
        </w:rPr>
        <w:t>dapat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menunjukan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bahwa</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suatu</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perusahaan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tersebut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bertanggung</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jawab</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baik</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terhadap</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peraturan</w:t>
      </w:r>
      <w:r w:rsidRPr="002138F4" w:rsidR="00AA6548">
        <w:rPr>
          <w:rFonts w:ascii="Times New Roman" w:hAnsi="Times New Roman" w:cs="Times New Roman"/>
          <w:sz w:val="24"/>
          <w:szCs w:val="24"/>
        </w:rPr>
        <w:t xml:space="preserve"> yang </w:t>
      </w:r>
      <w:r w:rsidRPr="002138F4" w:rsidR="00AA6548">
        <w:rPr>
          <w:rFonts w:ascii="Times New Roman" w:hAnsi="Times New Roman" w:cs="Times New Roman"/>
          <w:sz w:val="24"/>
          <w:szCs w:val="24"/>
        </w:rPr>
        <w:t>berlaku</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masyarakat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sekitar</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maupun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lingkungan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alam</w:t>
      </w:r>
      <w:r w:rsidRPr="002138F4" w:rsidR="00AA6548">
        <w:rPr>
          <w:rFonts w:ascii="Times New Roman" w:hAnsi="Times New Roman" w:cs="Times New Roman"/>
          <w:sz w:val="24"/>
          <w:szCs w:val="24"/>
        </w:rPr>
        <w:t xml:space="preserve">. Hal </w:t>
      </w:r>
      <w:r w:rsidRPr="002138F4" w:rsidR="00AA6548">
        <w:rPr>
          <w:rFonts w:ascii="Times New Roman" w:hAnsi="Times New Roman" w:cs="Times New Roman"/>
          <w:sz w:val="24"/>
          <w:szCs w:val="24"/>
        </w:rPr>
        <w:t>tersebut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akan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meningkatkan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minat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calon</w:t>
      </w:r>
      <w:r w:rsidRPr="002138F4" w:rsidR="00AA6548">
        <w:rPr>
          <w:rFonts w:ascii="Times New Roman" w:hAnsi="Times New Roman" w:cs="Times New Roman"/>
          <w:sz w:val="24"/>
          <w:szCs w:val="24"/>
        </w:rPr>
        <w:t xml:space="preserve"> investor </w:t>
      </w:r>
      <w:r w:rsidRPr="002138F4" w:rsidR="00AA6548">
        <w:rPr>
          <w:rFonts w:ascii="Times New Roman" w:hAnsi="Times New Roman" w:cs="Times New Roman"/>
          <w:sz w:val="24"/>
          <w:szCs w:val="24"/>
        </w:rPr>
        <w:t>untuk</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berinvestasi</w:t>
      </w:r>
      <w:r w:rsidRPr="002138F4" w:rsidR="00AA6548">
        <w:rPr>
          <w:rFonts w:ascii="Times New Roman" w:hAnsi="Times New Roman" w:cs="Times New Roman"/>
          <w:sz w:val="24"/>
          <w:szCs w:val="24"/>
        </w:rPr>
        <w:t xml:space="preserve"> pada </w:t>
      </w:r>
      <w:r w:rsidRPr="002138F4" w:rsidR="00AA6548">
        <w:rPr>
          <w:rFonts w:ascii="Times New Roman" w:hAnsi="Times New Roman" w:cs="Times New Roman"/>
          <w:sz w:val="24"/>
          <w:szCs w:val="24"/>
        </w:rPr>
        <w:t>perusahaan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tersebut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semakin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banyak</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calon</w:t>
      </w:r>
      <w:r w:rsidRPr="002138F4" w:rsidR="00AA6548">
        <w:rPr>
          <w:rFonts w:ascii="Times New Roman" w:hAnsi="Times New Roman" w:cs="Times New Roman"/>
          <w:sz w:val="24"/>
          <w:szCs w:val="24"/>
        </w:rPr>
        <w:t xml:space="preserve"> investor yang </w:t>
      </w:r>
      <w:r w:rsidRPr="002138F4" w:rsidR="00AA6548">
        <w:rPr>
          <w:rFonts w:ascii="Times New Roman" w:hAnsi="Times New Roman" w:cs="Times New Roman"/>
          <w:sz w:val="24"/>
          <w:szCs w:val="24"/>
        </w:rPr>
        <w:t>berinvestasi</w:t>
      </w:r>
      <w:r w:rsidRPr="002138F4" w:rsidR="00AA6548">
        <w:rPr>
          <w:rFonts w:ascii="Times New Roman" w:hAnsi="Times New Roman" w:cs="Times New Roman"/>
          <w:sz w:val="24"/>
          <w:szCs w:val="24"/>
        </w:rPr>
        <w:t xml:space="preserve"> pada </w:t>
      </w:r>
      <w:r w:rsidRPr="002138F4" w:rsidR="00AA6548">
        <w:rPr>
          <w:rFonts w:ascii="Times New Roman" w:hAnsi="Times New Roman" w:cs="Times New Roman"/>
          <w:sz w:val="24"/>
          <w:szCs w:val="24"/>
        </w:rPr>
        <w:t>perusahaan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akan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meningkatkan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harga</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saham</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perusahan</w:t>
      </w:r>
      <w:r w:rsidRPr="002138F4" w:rsidR="00AA6548">
        <w:rPr>
          <w:rFonts w:ascii="Times New Roman" w:hAnsi="Times New Roman" w:cs="Times New Roman"/>
          <w:sz w:val="24"/>
          <w:szCs w:val="24"/>
        </w:rPr>
        <w:t xml:space="preserve"> dan modal yang </w:t>
      </w:r>
      <w:r w:rsidRPr="002138F4" w:rsidR="00AA6548">
        <w:rPr>
          <w:rFonts w:ascii="Times New Roman" w:hAnsi="Times New Roman" w:cs="Times New Roman"/>
          <w:sz w:val="24"/>
          <w:szCs w:val="24"/>
        </w:rPr>
        <w:t>dimiliki</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perusahaan</w:t>
      </w:r>
      <w:r w:rsidRPr="002138F4" w:rsidR="00AA6548">
        <w:rPr>
          <w:rFonts w:ascii="Times New Roman" w:hAnsi="Times New Roman" w:cs="Times New Roman"/>
          <w:sz w:val="24"/>
          <w:szCs w:val="24"/>
        </w:rPr>
        <w:t xml:space="preserve"> juga </w:t>
      </w:r>
      <w:r w:rsidRPr="002138F4" w:rsidR="00AA6548">
        <w:rPr>
          <w:rFonts w:ascii="Times New Roman" w:hAnsi="Times New Roman" w:cs="Times New Roman"/>
          <w:sz w:val="24"/>
          <w:szCs w:val="24"/>
        </w:rPr>
        <w:t>semakin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besar</w:t>
      </w:r>
      <w:r w:rsidRPr="002138F4" w:rsidR="00AA6548">
        <w:rPr>
          <w:rFonts w:ascii="Times New Roman" w:hAnsi="Times New Roman" w:cs="Times New Roman"/>
          <w:sz w:val="24"/>
          <w:szCs w:val="24"/>
        </w:rPr>
        <w:t xml:space="preserve">. modal yang </w:t>
      </w:r>
      <w:r w:rsidRPr="002138F4" w:rsidR="00AA6548">
        <w:rPr>
          <w:rFonts w:ascii="Times New Roman" w:hAnsi="Times New Roman" w:cs="Times New Roman"/>
          <w:sz w:val="24"/>
          <w:szCs w:val="24"/>
        </w:rPr>
        <w:t>besar</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tersebut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dapat</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dikelola</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perusahaan</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sehingga</w:t>
      </w:r>
      <w:r w:rsidRPr="002138F4" w:rsidR="00AA6548">
        <w:rPr>
          <w:rFonts w:ascii="Times New Roman" w:hAnsi="Times New Roman" w:cs="Times New Roman"/>
          <w:sz w:val="24"/>
          <w:szCs w:val="24"/>
        </w:rPr>
        <w:t xml:space="preserve"> </w:t>
      </w:r>
      <w:r w:rsidRPr="002138F4" w:rsidR="00AA6548">
        <w:rPr>
          <w:rFonts w:ascii="Times New Roman" w:hAnsi="Times New Roman" w:cs="Times New Roman"/>
          <w:sz w:val="24"/>
          <w:szCs w:val="24"/>
        </w:rPr>
        <w:t>menghasilkan</w:t>
      </w:r>
      <w:r w:rsidRPr="002138F4" w:rsidR="00AA6548">
        <w:rPr>
          <w:rFonts w:ascii="Times New Roman" w:hAnsi="Times New Roman" w:cs="Times New Roman"/>
          <w:sz w:val="24"/>
          <w:szCs w:val="24"/>
        </w:rPr>
        <w:t xml:space="preserve"> profit yang </w:t>
      </w:r>
      <w:r w:rsidRPr="002138F4" w:rsidR="00AA6548">
        <w:rPr>
          <w:rFonts w:ascii="Times New Roman" w:hAnsi="Times New Roman" w:cs="Times New Roman"/>
          <w:sz w:val="24"/>
          <w:szCs w:val="24"/>
        </w:rPr>
        <w:t>tinggi</w:t>
      </w:r>
      <w:r w:rsidRPr="002138F4" w:rsidR="00AA6548">
        <w:rPr>
          <w:rFonts w:ascii="Times New Roman" w:hAnsi="Times New Roman" w:cs="Times New Roman"/>
          <w:sz w:val="24"/>
          <w:szCs w:val="24"/>
        </w:rPr>
        <w:t>.</w:t>
      </w:r>
      <w:r>
        <w:rPr>
          <w:rFonts w:ascii="Times New Roman" w:hAnsi="Times New Roman" w:cs="Times New Roman"/>
          <w:sz w:val="24"/>
          <w:szCs w:val="24"/>
        </w:rPr>
        <w:t xml:space="preserve"> </w:t>
      </w:r>
      <w:r w:rsidRPr="00733859" w:rsidR="0073442A">
        <w:rPr>
          <w:rFonts w:ascii="Times New Roman" w:hAnsi="Times New Roman" w:cs="Times New Roman"/>
          <w:sz w:val="24"/>
          <w:szCs w:val="24"/>
        </w:rPr>
        <w:t xml:space="preserve">Hal </w:t>
      </w:r>
      <w:r w:rsidRPr="00733859" w:rsidR="0073442A">
        <w:rPr>
          <w:rFonts w:ascii="Times New Roman" w:hAnsi="Times New Roman" w:cs="Times New Roman"/>
          <w:sz w:val="24"/>
          <w:szCs w:val="24"/>
        </w:rPr>
        <w:t>ini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selaras</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dengan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fldChar w:fldCharType="begin" w:fldLock="1"/>
      </w:r>
      <w:r w:rsidRPr="00733859" w:rsidR="0073442A">
        <w:rPr>
          <w:rFonts w:ascii="Times New Roman" w:hAnsi="Times New Roman" w:cs="Times New Roman"/>
          <w:sz w:val="24"/>
          <w:szCs w:val="24"/>
        </w:rPr>
        <w:instrText>ADDIN CSL_CITATION {"citationItems":[{"id":"ITEM-1","itemData":{"DOI":"10.35134/ekobistek.v9i2.79","ISSN":"2527-9483","abstract":"Corporate social responsibility activity is a strategy that contributes to the improvement of company performance in the long run. Investment on intellectual capital development has a close relationship with stakeholders through corporate social responsibility activities that eventually affect company performance. This study aims to examine the role of intellectual capital as a mediator between corporate social responsibility and banking company performance. The samples for this study were 20 bank companies that were listed on the Indonesia Stock Exchange (IDX) in year 2014-2018. The findings have proved empirically that intellectual capital as a mediating variable has a significant effect on the relationship between corporate social responsibility and performance of bank companies. Therefore, bank companies are expected to invest more intangible assets or intellectual capital and deliver their corporate social responsibility activities. As an implication of this study, the bank companies must carry out activities that provide added and unique values from their corporate social responsibility programs because the programs are the company's responsibility to fulfil the applicable regulations, community and their environment.","author":[{"dropping-particle":"","family":"Anggraini","given":"Fivi","non-dropping-particle":"","parse-names":false,"suffix":""},{"dropping-particle":"","family":"Puttri","given":"Daniati","non-dropping-particle":"","parse-names":false,"suffix":""},{"dropping-particle":"","family":"Septriani","given":"Wina","non-dropping-particle":"","parse-names":false,"suffix":""},{"dropping-particle":"","family":"Zefriyenni","given":"","non-dropping-particle":"","parse-names":false,"suffix":""}],"container-title":"Jurnal Ekobistek","id":"ITEM-1","issue":"2","issued":{"date-parts":[["2021"]]},"page":"22-31","title":"Peranan Intellectual Capital sebagai Mediasi antara Corporate Social Responsibility dan Kinerja Perusahaan Perbankan","type":"article-journal","volume":"9"},"uris":["http://www.mendeley.com/documents/?uuid=572fbba3-5270-411a-9d85-0f01ab719f81"]}],"mendeley":{"formattedCitation":"(F. Anggraini et al., 2021)","plainTextFormattedCitation":"(F. Anggraini et al., 2021)","previouslyFormattedCitation":"(F. Anggraini et al., 2021)"},"properties":{"noteIndex":0},"schema":"https://github.com/citation-style-language/schema/raw/master/csl-citation.json"}</w:instrText>
      </w:r>
      <w:r w:rsidRPr="00733859" w:rsidR="0073442A">
        <w:rPr>
          <w:rFonts w:ascii="Times New Roman" w:hAnsi="Times New Roman" w:cs="Times New Roman"/>
          <w:sz w:val="24"/>
          <w:szCs w:val="24"/>
        </w:rPr>
        <w:fldChar w:fldCharType="separate"/>
      </w:r>
      <w:r w:rsidRPr="00733859" w:rsidR="0073442A">
        <w:rPr>
          <w:rFonts w:ascii="Times New Roman" w:hAnsi="Times New Roman" w:cs="Times New Roman"/>
          <w:noProof/>
          <w:sz w:val="24"/>
          <w:szCs w:val="24"/>
        </w:rPr>
        <w:t xml:space="preserve">F. Anggraini et al., </w:t>
      </w:r>
      <w:r w:rsidR="000304D1">
        <w:rPr>
          <w:rFonts w:ascii="Times New Roman" w:hAnsi="Times New Roman" w:cs="Times New Roman"/>
          <w:noProof/>
          <w:sz w:val="24"/>
          <w:szCs w:val="24"/>
        </w:rPr>
        <w:t>(</w:t>
      </w:r>
      <w:r w:rsidRPr="00733859" w:rsidR="0073442A">
        <w:rPr>
          <w:rFonts w:ascii="Times New Roman" w:hAnsi="Times New Roman" w:cs="Times New Roman"/>
          <w:noProof/>
          <w:sz w:val="24"/>
          <w:szCs w:val="24"/>
        </w:rPr>
        <w:t>2021)</w:t>
      </w:r>
      <w:r w:rsidRPr="00733859" w:rsidR="0073442A">
        <w:rPr>
          <w:rFonts w:ascii="Times New Roman" w:hAnsi="Times New Roman" w:cs="Times New Roman"/>
          <w:sz w:val="24"/>
          <w:szCs w:val="24"/>
        </w:rPr>
        <w:fldChar w:fldCharType="end"/>
      </w:r>
      <w:r w:rsidRPr="00733859" w:rsidR="0073442A">
        <w:rPr>
          <w:rFonts w:ascii="Times New Roman" w:hAnsi="Times New Roman" w:cs="Times New Roman"/>
          <w:sz w:val="24"/>
          <w:szCs w:val="24"/>
        </w:rPr>
        <w:t xml:space="preserve"> yang </w:t>
      </w:r>
      <w:r w:rsidRPr="00733859" w:rsidR="0073442A">
        <w:rPr>
          <w:rFonts w:ascii="Times New Roman" w:hAnsi="Times New Roman" w:cs="Times New Roman"/>
          <w:sz w:val="24"/>
          <w:szCs w:val="24"/>
        </w:rPr>
        <w:t>menghasilkan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adanya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pengaruh</w:t>
      </w:r>
      <w:r w:rsidRPr="00733859" w:rsidR="0073442A">
        <w:rPr>
          <w:rFonts w:ascii="Times New Roman" w:hAnsi="Times New Roman" w:cs="Times New Roman"/>
          <w:sz w:val="24"/>
          <w:szCs w:val="24"/>
        </w:rPr>
        <w:t xml:space="preserve"> CSR </w:t>
      </w:r>
      <w:r w:rsidRPr="00733859" w:rsidR="0073442A">
        <w:rPr>
          <w:rFonts w:ascii="Times New Roman" w:hAnsi="Times New Roman" w:cs="Times New Roman"/>
          <w:sz w:val="24"/>
          <w:szCs w:val="24"/>
        </w:rPr>
        <w:t>terhadap</w:t>
      </w:r>
      <w:r w:rsidRPr="00733859" w:rsidR="0073442A">
        <w:rPr>
          <w:rFonts w:ascii="Times New Roman" w:hAnsi="Times New Roman" w:cs="Times New Roman"/>
          <w:sz w:val="24"/>
          <w:szCs w:val="24"/>
        </w:rPr>
        <w:t xml:space="preserve"> NIM, yang </w:t>
      </w:r>
      <w:r w:rsidRPr="00733859" w:rsidR="0073442A">
        <w:rPr>
          <w:rFonts w:ascii="Times New Roman" w:hAnsi="Times New Roman" w:cs="Times New Roman"/>
          <w:sz w:val="24"/>
          <w:szCs w:val="24"/>
        </w:rPr>
        <w:t>artinya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bahwa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perusahaan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perbankan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bertanggungjawab</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baik</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terhadap</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peraturan</w:t>
      </w:r>
      <w:r w:rsidRPr="00733859" w:rsidR="0073442A">
        <w:rPr>
          <w:rFonts w:ascii="Times New Roman" w:hAnsi="Times New Roman" w:cs="Times New Roman"/>
          <w:sz w:val="24"/>
          <w:szCs w:val="24"/>
        </w:rPr>
        <w:t xml:space="preserve"> yang </w:t>
      </w:r>
      <w:r w:rsidRPr="00733859" w:rsidR="0073442A">
        <w:rPr>
          <w:rFonts w:ascii="Times New Roman" w:hAnsi="Times New Roman" w:cs="Times New Roman"/>
          <w:sz w:val="24"/>
          <w:szCs w:val="24"/>
        </w:rPr>
        <w:t>ber</w:t>
      </w:r>
      <w:r w:rsidRPr="00733859">
        <w:rPr>
          <w:rFonts w:ascii="Times New Roman" w:hAnsi="Times New Roman" w:cs="Times New Roman"/>
          <w:sz w:val="24"/>
          <w:szCs w:val="24"/>
        </w:rPr>
        <w:t>l</w:t>
      </w:r>
      <w:r w:rsidRPr="00733859" w:rsidR="0073442A">
        <w:rPr>
          <w:rFonts w:ascii="Times New Roman" w:hAnsi="Times New Roman" w:cs="Times New Roman"/>
          <w:sz w:val="24"/>
          <w:szCs w:val="24"/>
        </w:rPr>
        <w:t>aku</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masyarakat</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sekitar</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maupun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lingkungan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alam</w:t>
      </w:r>
      <w:r w:rsidRPr="00733859" w:rsidR="0073442A">
        <w:rPr>
          <w:rFonts w:ascii="Times New Roman" w:hAnsi="Times New Roman" w:cs="Times New Roman"/>
          <w:sz w:val="24"/>
          <w:szCs w:val="24"/>
        </w:rPr>
        <w:t xml:space="preserve">. </w:t>
      </w:r>
      <w:r w:rsidR="00EA5E2C">
        <w:rPr>
          <w:rFonts w:ascii="Times New Roman" w:hAnsi="Times New Roman" w:cs="Times New Roman"/>
          <w:sz w:val="24"/>
          <w:szCs w:val="24"/>
        </w:rPr>
        <w:t xml:space="preserve">Program </w:t>
      </w:r>
      <w:r w:rsidRPr="00EA5E2C" w:rsidR="00EA5E2C">
        <w:rPr>
          <w:rFonts w:ascii="Times New Roman" w:hAnsi="Times New Roman" w:cs="Times New Roman"/>
          <w:i/>
          <w:iCs/>
          <w:sz w:val="24"/>
          <w:szCs w:val="24"/>
        </w:rPr>
        <w:t>corporate social responsibility</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ini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perlunya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unt</w:t>
      </w:r>
      <w:r w:rsidR="002B78F3">
        <w:rPr>
          <w:rFonts w:ascii="Times New Roman" w:hAnsi="Times New Roman" w:cs="Times New Roman"/>
          <w:sz w:val="24"/>
          <w:szCs w:val="24"/>
        </w:rPr>
        <w:t>u</w:t>
      </w:r>
      <w:r w:rsidR="00EA5E2C">
        <w:rPr>
          <w:rFonts w:ascii="Times New Roman" w:hAnsi="Times New Roman" w:cs="Times New Roman"/>
          <w:sz w:val="24"/>
          <w:szCs w:val="24"/>
        </w:rPr>
        <w:t>k</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lebih</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dikembangkan</w:t>
      </w:r>
      <w:r w:rsidR="00EA5E2C">
        <w:rPr>
          <w:rFonts w:ascii="Times New Roman" w:hAnsi="Times New Roman" w:cs="Times New Roman"/>
          <w:sz w:val="24"/>
          <w:szCs w:val="24"/>
        </w:rPr>
        <w:t xml:space="preserve"> dan </w:t>
      </w:r>
      <w:r w:rsidR="00EA5E2C">
        <w:rPr>
          <w:rFonts w:ascii="Times New Roman" w:hAnsi="Times New Roman" w:cs="Times New Roman"/>
          <w:sz w:val="24"/>
          <w:szCs w:val="24"/>
        </w:rPr>
        <w:t>lebih</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diperhatikan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dari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perusahaan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disegala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sektor</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karena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dengan</w:t>
      </w:r>
      <w:r w:rsidR="00EA5E2C">
        <w:rPr>
          <w:rFonts w:ascii="Times New Roman" w:hAnsi="Times New Roman" w:cs="Times New Roman"/>
          <w:sz w:val="24"/>
          <w:szCs w:val="24"/>
        </w:rPr>
        <w:t xml:space="preserve"> program </w:t>
      </w:r>
      <w:r w:rsidR="00EA5E2C">
        <w:rPr>
          <w:rFonts w:ascii="Times New Roman" w:hAnsi="Times New Roman" w:cs="Times New Roman"/>
          <w:sz w:val="24"/>
          <w:szCs w:val="24"/>
        </w:rPr>
        <w:t>ini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memberikan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dampak</w:t>
      </w:r>
      <w:r w:rsidR="00EA5E2C">
        <w:rPr>
          <w:rFonts w:ascii="Times New Roman" w:hAnsi="Times New Roman" w:cs="Times New Roman"/>
          <w:sz w:val="24"/>
          <w:szCs w:val="24"/>
        </w:rPr>
        <w:t xml:space="preserve"> yang </w:t>
      </w:r>
      <w:r w:rsidR="00EA5E2C">
        <w:rPr>
          <w:rFonts w:ascii="Times New Roman" w:hAnsi="Times New Roman" w:cs="Times New Roman"/>
          <w:sz w:val="24"/>
          <w:szCs w:val="24"/>
        </w:rPr>
        <w:t>dapat</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membuat</w:t>
      </w:r>
      <w:r w:rsidR="00EA5E2C">
        <w:rPr>
          <w:rFonts w:ascii="Times New Roman" w:hAnsi="Times New Roman" w:cs="Times New Roman"/>
          <w:sz w:val="24"/>
          <w:szCs w:val="24"/>
        </w:rPr>
        <w:t xml:space="preserve"> para investor </w:t>
      </w:r>
      <w:r w:rsidR="00EA5E2C">
        <w:rPr>
          <w:rFonts w:ascii="Times New Roman" w:hAnsi="Times New Roman" w:cs="Times New Roman"/>
          <w:sz w:val="24"/>
          <w:szCs w:val="24"/>
        </w:rPr>
        <w:t>menentukan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keputusan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investasinya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karena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saat</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ini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masyarakat</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sudah</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mulai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menyadari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bahwa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isu-isu</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lingkungan</w:t>
      </w:r>
      <w:r w:rsidR="00EA5E2C">
        <w:rPr>
          <w:rFonts w:ascii="Times New Roman" w:hAnsi="Times New Roman" w:cs="Times New Roman"/>
          <w:sz w:val="24"/>
          <w:szCs w:val="24"/>
        </w:rPr>
        <w:t xml:space="preserve"> dan </w:t>
      </w:r>
      <w:r w:rsidR="00EA5E2C">
        <w:rPr>
          <w:rFonts w:ascii="Times New Roman" w:hAnsi="Times New Roman" w:cs="Times New Roman"/>
          <w:sz w:val="24"/>
          <w:szCs w:val="24"/>
        </w:rPr>
        <w:t>sosial</w:t>
      </w:r>
      <w:r w:rsidR="00EA5E2C">
        <w:rPr>
          <w:rFonts w:ascii="Times New Roman" w:hAnsi="Times New Roman" w:cs="Times New Roman"/>
          <w:sz w:val="24"/>
          <w:szCs w:val="24"/>
        </w:rPr>
        <w:t xml:space="preserve"> yang </w:t>
      </w:r>
      <w:r w:rsidR="00EA5E2C">
        <w:rPr>
          <w:rFonts w:ascii="Times New Roman" w:hAnsi="Times New Roman" w:cs="Times New Roman"/>
          <w:sz w:val="24"/>
          <w:szCs w:val="24"/>
        </w:rPr>
        <w:t>terjadi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disekitar</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perusahaan</w:t>
      </w:r>
      <w:r w:rsidR="00EA5E2C">
        <w:rPr>
          <w:rFonts w:ascii="Times New Roman" w:hAnsi="Times New Roman" w:cs="Times New Roman"/>
          <w:sz w:val="24"/>
          <w:szCs w:val="24"/>
        </w:rPr>
        <w:t xml:space="preserve"> juga </w:t>
      </w:r>
      <w:r w:rsidR="00EA5E2C">
        <w:rPr>
          <w:rFonts w:ascii="Times New Roman" w:hAnsi="Times New Roman" w:cs="Times New Roman"/>
          <w:sz w:val="24"/>
          <w:szCs w:val="24"/>
        </w:rPr>
        <w:t>merupakan</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hal</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penting</w:t>
      </w:r>
      <w:r w:rsidR="00EA5E2C">
        <w:rPr>
          <w:rFonts w:ascii="Times New Roman" w:hAnsi="Times New Roman" w:cs="Times New Roman"/>
          <w:sz w:val="24"/>
          <w:szCs w:val="24"/>
        </w:rPr>
        <w:t xml:space="preserve"> yang </w:t>
      </w:r>
      <w:r w:rsidR="00EA5E2C">
        <w:rPr>
          <w:rFonts w:ascii="Times New Roman" w:hAnsi="Times New Roman" w:cs="Times New Roman"/>
          <w:sz w:val="24"/>
          <w:szCs w:val="24"/>
        </w:rPr>
        <w:t>dapat</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mempengaruhi</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kinerja</w:t>
      </w:r>
      <w:r w:rsidR="00EA5E2C">
        <w:rPr>
          <w:rFonts w:ascii="Times New Roman" w:hAnsi="Times New Roman" w:cs="Times New Roman"/>
          <w:sz w:val="24"/>
          <w:szCs w:val="24"/>
        </w:rPr>
        <w:t xml:space="preserve"> </w:t>
      </w:r>
      <w:r w:rsidR="00EA5E2C">
        <w:rPr>
          <w:rFonts w:ascii="Times New Roman" w:hAnsi="Times New Roman" w:cs="Times New Roman"/>
          <w:sz w:val="24"/>
          <w:szCs w:val="24"/>
        </w:rPr>
        <w:t>perusahaan</w:t>
      </w:r>
      <w:r w:rsidR="00EA5E2C">
        <w:rPr>
          <w:rFonts w:ascii="Times New Roman" w:hAnsi="Times New Roman" w:cs="Times New Roman"/>
          <w:sz w:val="24"/>
          <w:szCs w:val="24"/>
        </w:rPr>
        <w:t>.</w:t>
      </w:r>
    </w:p>
    <w:p w:rsidR="00733859" w:rsidP="001D28D7" w14:paraId="64EA4162" w14:textId="77777777">
      <w:pPr>
        <w:pStyle w:val="ListParagraph"/>
        <w:numPr>
          <w:ilvl w:val="0"/>
          <w:numId w:val="75"/>
        </w:numPr>
        <w:spacing w:after="0" w:line="480" w:lineRule="auto"/>
        <w:jc w:val="both"/>
        <w:rPr>
          <w:rFonts w:ascii="Times New Roman" w:hAnsi="Times New Roman" w:cs="Times New Roman"/>
          <w:b/>
          <w:bCs/>
          <w:sz w:val="24"/>
          <w:szCs w:val="24"/>
        </w:rPr>
      </w:pPr>
      <w:r w:rsidRPr="005B331C">
        <w:rPr>
          <w:rFonts w:ascii="Times New Roman" w:hAnsi="Times New Roman" w:cs="Times New Roman"/>
          <w:b/>
          <w:bCs/>
          <w:sz w:val="24"/>
          <w:szCs w:val="24"/>
        </w:rPr>
        <w:t>Pengaruh</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Corporate Social Responsibility</w:t>
      </w:r>
      <w:r w:rsidRPr="005B331C">
        <w:rPr>
          <w:rFonts w:ascii="Times New Roman" w:hAnsi="Times New Roman" w:cs="Times New Roman"/>
          <w:b/>
          <w:bCs/>
          <w:sz w:val="24"/>
          <w:szCs w:val="24"/>
        </w:rPr>
        <w:t xml:space="preserve"> (CSR) </w:t>
      </w:r>
      <w:r w:rsidRPr="005B331C">
        <w:rPr>
          <w:rFonts w:ascii="Times New Roman" w:hAnsi="Times New Roman" w:cs="Times New Roman"/>
          <w:b/>
          <w:bCs/>
          <w:sz w:val="24"/>
          <w:szCs w:val="24"/>
        </w:rPr>
        <w:t>terhadap</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Penerapan</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Green Banking</w:t>
      </w:r>
      <w:r w:rsidRPr="005B331C">
        <w:rPr>
          <w:rFonts w:ascii="Times New Roman" w:hAnsi="Times New Roman" w:cs="Times New Roman"/>
          <w:b/>
          <w:bCs/>
          <w:sz w:val="24"/>
          <w:szCs w:val="24"/>
        </w:rPr>
        <w:t xml:space="preserve"> pada Perusahaan Sub-Sektor </w:t>
      </w:r>
      <w:r w:rsidRPr="005B331C">
        <w:rPr>
          <w:rFonts w:ascii="Times New Roman" w:hAnsi="Times New Roman" w:cs="Times New Roman"/>
          <w:b/>
          <w:bCs/>
          <w:sz w:val="24"/>
          <w:szCs w:val="24"/>
        </w:rPr>
        <w:t>Perbankan</w:t>
      </w:r>
      <w:r w:rsidRPr="005B331C">
        <w:rPr>
          <w:rFonts w:ascii="Times New Roman" w:hAnsi="Times New Roman" w:cs="Times New Roman"/>
          <w:b/>
          <w:bCs/>
          <w:sz w:val="24"/>
          <w:szCs w:val="24"/>
        </w:rPr>
        <w:t>.</w:t>
      </w:r>
    </w:p>
    <w:p w:rsidR="005B331C" w:rsidRPr="00733859" w:rsidP="001D28D7" w14:paraId="1D0411F6" w14:textId="1FEA12CC">
      <w:pPr>
        <w:pStyle w:val="ListParagraph"/>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menghasilkan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sidRPr="00266FCF">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memiliki</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266FCF">
        <w:rPr>
          <w:rFonts w:ascii="Times New Roman" w:hAnsi="Times New Roman" w:cs="Times New Roman"/>
          <w:i/>
          <w:iCs/>
          <w:sz w:val="24"/>
          <w:szCs w:val="24"/>
        </w:rPr>
        <w:t>green banking</w:t>
      </w:r>
      <w:r w:rsidR="00424985">
        <w:rPr>
          <w:rFonts w:ascii="Times New Roman" w:hAnsi="Times New Roman" w:cs="Times New Roman"/>
          <w:sz w:val="24"/>
          <w:szCs w:val="24"/>
        </w:rPr>
        <w:t xml:space="preserve">. </w:t>
      </w:r>
      <w:r w:rsidR="00266FCF">
        <w:rPr>
          <w:rFonts w:ascii="Times New Roman" w:hAnsi="Times New Roman" w:cs="Times New Roman"/>
          <w:sz w:val="24"/>
          <w:szCs w:val="24"/>
        </w:rPr>
        <w:t>H</w:t>
      </w:r>
      <w:r w:rsidRPr="00733859" w:rsidR="0073442A">
        <w:rPr>
          <w:rFonts w:ascii="Times New Roman" w:hAnsi="Times New Roman" w:cs="Times New Roman"/>
          <w:sz w:val="24"/>
          <w:szCs w:val="24"/>
        </w:rPr>
        <w:t xml:space="preserve">al </w:t>
      </w:r>
      <w:r w:rsidRPr="00733859" w:rsidR="0073442A">
        <w:rPr>
          <w:rFonts w:ascii="Times New Roman" w:hAnsi="Times New Roman" w:cs="Times New Roman"/>
          <w:sz w:val="24"/>
          <w:szCs w:val="24"/>
        </w:rPr>
        <w:t>ini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menunjukkan</w:t>
      </w:r>
      <w:r w:rsidR="00737FD7">
        <w:rPr>
          <w:rFonts w:ascii="Times New Roman" w:hAnsi="Times New Roman" w:cs="Times New Roman"/>
          <w:sz w:val="24"/>
          <w:szCs w:val="24"/>
        </w:rPr>
        <w:t xml:space="preserve"> </w:t>
      </w:r>
      <w:r w:rsidRPr="00733859" w:rsidR="0073442A">
        <w:rPr>
          <w:rFonts w:ascii="Times New Roman" w:hAnsi="Times New Roman" w:cs="Times New Roman"/>
          <w:sz w:val="24"/>
          <w:szCs w:val="24"/>
        </w:rPr>
        <w:t>jika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pengungkapan</w:t>
      </w:r>
      <w:r w:rsidRPr="00733859" w:rsidR="0073442A">
        <w:rPr>
          <w:rFonts w:ascii="Times New Roman" w:hAnsi="Times New Roman" w:cs="Times New Roman"/>
          <w:sz w:val="24"/>
          <w:szCs w:val="24"/>
        </w:rPr>
        <w:t xml:space="preserve"> program CSR di </w:t>
      </w:r>
      <w:r w:rsidRPr="00733859" w:rsidR="0073442A">
        <w:rPr>
          <w:rFonts w:ascii="Times New Roman" w:hAnsi="Times New Roman" w:cs="Times New Roman"/>
          <w:sz w:val="24"/>
          <w:szCs w:val="24"/>
        </w:rPr>
        <w:t>perusahaan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perbankan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dapat</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meningkatkan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nilai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konsep</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ekonomi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hijau</w:t>
      </w:r>
      <w:r w:rsidRPr="00733859" w:rsidR="0073442A">
        <w:rPr>
          <w:rFonts w:ascii="Times New Roman" w:hAnsi="Times New Roman" w:cs="Times New Roman"/>
          <w:sz w:val="24"/>
          <w:szCs w:val="24"/>
        </w:rPr>
        <w:t xml:space="preserve"> yang </w:t>
      </w:r>
      <w:r w:rsidRPr="00733859" w:rsidR="0073442A">
        <w:rPr>
          <w:rFonts w:ascii="Times New Roman" w:hAnsi="Times New Roman" w:cs="Times New Roman"/>
          <w:sz w:val="24"/>
          <w:szCs w:val="24"/>
        </w:rPr>
        <w:t>mulai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diterapkan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dalam</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sistem</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keuangan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perbankan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guna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untuk</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melaksanakan</w:t>
      </w:r>
      <w:r w:rsidRPr="00733859" w:rsidR="0073442A">
        <w:rPr>
          <w:rFonts w:ascii="Times New Roman" w:hAnsi="Times New Roman" w:cs="Times New Roman"/>
          <w:sz w:val="24"/>
          <w:szCs w:val="24"/>
        </w:rPr>
        <w:t xml:space="preserve"> program </w:t>
      </w:r>
      <w:r w:rsidRPr="00733859" w:rsidR="0073442A">
        <w:rPr>
          <w:rFonts w:ascii="Times New Roman" w:hAnsi="Times New Roman" w:cs="Times New Roman"/>
          <w:sz w:val="24"/>
          <w:szCs w:val="24"/>
        </w:rPr>
        <w:t>keuangan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berkelanjutan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Artinya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dalam</w:t>
      </w:r>
      <w:r w:rsidRPr="00733859" w:rsidR="0073442A">
        <w:rPr>
          <w:rFonts w:ascii="Times New Roman" w:hAnsi="Times New Roman" w:cs="Times New Roman"/>
          <w:sz w:val="24"/>
          <w:szCs w:val="24"/>
        </w:rPr>
        <w:t xml:space="preserve"> program </w:t>
      </w:r>
      <w:r w:rsidRPr="00733859" w:rsidR="0073442A">
        <w:rPr>
          <w:rFonts w:ascii="Times New Roman" w:hAnsi="Times New Roman" w:cs="Times New Roman"/>
          <w:sz w:val="24"/>
          <w:szCs w:val="24"/>
        </w:rPr>
        <w:t>tanggung</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jawab</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sosial</w:t>
      </w:r>
      <w:r w:rsidRPr="00733859" w:rsidR="0073442A">
        <w:rPr>
          <w:rFonts w:ascii="Times New Roman" w:hAnsi="Times New Roman" w:cs="Times New Roman"/>
          <w:sz w:val="24"/>
          <w:szCs w:val="24"/>
        </w:rPr>
        <w:t xml:space="preserve"> dan </w:t>
      </w:r>
      <w:r w:rsidRPr="00733859" w:rsidR="0073442A">
        <w:rPr>
          <w:rFonts w:ascii="Times New Roman" w:hAnsi="Times New Roman" w:cs="Times New Roman"/>
          <w:sz w:val="24"/>
          <w:szCs w:val="24"/>
        </w:rPr>
        <w:t>lingkungan</w:t>
      </w:r>
      <w:r w:rsidRPr="00733859" w:rsidR="0073442A">
        <w:rPr>
          <w:rFonts w:ascii="Times New Roman" w:hAnsi="Times New Roman" w:cs="Times New Roman"/>
          <w:sz w:val="24"/>
          <w:szCs w:val="24"/>
        </w:rPr>
        <w:t xml:space="preserve"> yang </w:t>
      </w:r>
      <w:r w:rsidRPr="00733859" w:rsidR="0073442A">
        <w:rPr>
          <w:rFonts w:ascii="Times New Roman" w:hAnsi="Times New Roman" w:cs="Times New Roman"/>
          <w:sz w:val="24"/>
          <w:szCs w:val="24"/>
        </w:rPr>
        <w:t>dijalankan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perusahaan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perbankan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merupakan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bentuk</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perbankan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untuk</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lebih</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memperhatikan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tentang</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isu-isu</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lingkungan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maupun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kondisi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sosial</w:t>
      </w:r>
      <w:r w:rsidRPr="00733859" w:rsidR="0073442A">
        <w:rPr>
          <w:rFonts w:ascii="Times New Roman" w:hAnsi="Times New Roman" w:cs="Times New Roman"/>
          <w:sz w:val="24"/>
          <w:szCs w:val="24"/>
        </w:rPr>
        <w:t xml:space="preserve"> yang </w:t>
      </w:r>
      <w:r w:rsidRPr="00733859" w:rsidR="0073442A">
        <w:rPr>
          <w:rFonts w:ascii="Times New Roman" w:hAnsi="Times New Roman" w:cs="Times New Roman"/>
          <w:sz w:val="24"/>
          <w:szCs w:val="24"/>
        </w:rPr>
        <w:t>sedang</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terjadi</w:t>
      </w:r>
      <w:r w:rsidRPr="00733859" w:rsidR="0073442A">
        <w:rPr>
          <w:rFonts w:ascii="Times New Roman" w:hAnsi="Times New Roman" w:cs="Times New Roman"/>
          <w:sz w:val="24"/>
          <w:szCs w:val="24"/>
        </w:rPr>
        <w:t xml:space="preserve"> di </w:t>
      </w:r>
      <w:r w:rsidRPr="00733859" w:rsidR="0073442A">
        <w:rPr>
          <w:rFonts w:ascii="Times New Roman" w:hAnsi="Times New Roman" w:cs="Times New Roman"/>
          <w:sz w:val="24"/>
          <w:szCs w:val="24"/>
        </w:rPr>
        <w:t>sekitar</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perusahaan</w:t>
      </w:r>
      <w:r w:rsidRPr="00733859" w:rsidR="0073442A">
        <w:rPr>
          <w:rFonts w:ascii="Times New Roman" w:hAnsi="Times New Roman" w:cs="Times New Roman"/>
          <w:sz w:val="24"/>
          <w:szCs w:val="24"/>
        </w:rPr>
        <w:t xml:space="preserve"> dan juga </w:t>
      </w:r>
      <w:r w:rsidRPr="00733859" w:rsidR="0073442A">
        <w:rPr>
          <w:rFonts w:ascii="Times New Roman" w:hAnsi="Times New Roman" w:cs="Times New Roman"/>
          <w:sz w:val="24"/>
          <w:szCs w:val="24"/>
        </w:rPr>
        <w:t>perusahaan</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berupaya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untuk</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ikut</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serta</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dalam</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mengurangi</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dampak</w:t>
      </w:r>
      <w:r w:rsidRPr="00733859" w:rsidR="0073442A">
        <w:rPr>
          <w:rFonts w:ascii="Times New Roman" w:hAnsi="Times New Roman" w:cs="Times New Roman"/>
          <w:sz w:val="24"/>
          <w:szCs w:val="24"/>
        </w:rPr>
        <w:t xml:space="preserve"> yang </w:t>
      </w:r>
      <w:r w:rsidRPr="00733859" w:rsidR="0073442A">
        <w:rPr>
          <w:rFonts w:ascii="Times New Roman" w:hAnsi="Times New Roman" w:cs="Times New Roman"/>
          <w:sz w:val="24"/>
          <w:szCs w:val="24"/>
        </w:rPr>
        <w:t>ditimbulkan</w:t>
      </w:r>
      <w:r w:rsidRPr="00733859" w:rsidR="0073442A">
        <w:rPr>
          <w:rFonts w:ascii="Times New Roman" w:hAnsi="Times New Roman" w:cs="Times New Roman"/>
          <w:sz w:val="24"/>
          <w:szCs w:val="24"/>
        </w:rPr>
        <w:t xml:space="preserve"> agar </w:t>
      </w:r>
      <w:r w:rsidRPr="00733859" w:rsidR="0073442A">
        <w:rPr>
          <w:rFonts w:ascii="Times New Roman" w:hAnsi="Times New Roman" w:cs="Times New Roman"/>
          <w:sz w:val="24"/>
          <w:szCs w:val="24"/>
        </w:rPr>
        <w:t>tidak</w:t>
      </w:r>
      <w:r w:rsidRPr="00733859" w:rsidR="0073442A">
        <w:rPr>
          <w:rFonts w:ascii="Times New Roman" w:hAnsi="Times New Roman" w:cs="Times New Roman"/>
          <w:sz w:val="24"/>
          <w:szCs w:val="24"/>
        </w:rPr>
        <w:t xml:space="preserve"> </w:t>
      </w:r>
      <w:r w:rsidRPr="00733859" w:rsidR="0073442A">
        <w:rPr>
          <w:rFonts w:ascii="Times New Roman" w:hAnsi="Times New Roman" w:cs="Times New Roman"/>
          <w:sz w:val="24"/>
          <w:szCs w:val="24"/>
        </w:rPr>
        <w:t>berkelanjutan</w:t>
      </w:r>
      <w:r w:rsidRPr="00733859" w:rsidR="0073442A">
        <w:rPr>
          <w:rFonts w:ascii="Times New Roman" w:hAnsi="Times New Roman" w:cs="Times New Roman"/>
          <w:sz w:val="24"/>
          <w:szCs w:val="24"/>
        </w:rPr>
        <w:t>.</w:t>
      </w:r>
    </w:p>
    <w:p w:rsidR="005B331C" w:rsidP="001D28D7" w14:paraId="29ABE73B" w14:textId="3FD3127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Teori yang </w:t>
      </w:r>
      <w:r>
        <w:rPr>
          <w:rFonts w:ascii="Times New Roman" w:hAnsi="Times New Roman" w:cs="Times New Roman"/>
          <w:sz w:val="24"/>
          <w:szCs w:val="24"/>
        </w:rPr>
        <w:t>digunnakan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memperkuat</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pada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dimana</w:t>
      </w:r>
      <w:r>
        <w:rPr>
          <w:rFonts w:ascii="Times New Roman" w:hAnsi="Times New Roman" w:cs="Times New Roman"/>
          <w:sz w:val="24"/>
          <w:szCs w:val="24"/>
        </w:rPr>
        <w:t xml:space="preserve"> program </w:t>
      </w:r>
      <w:r w:rsidRPr="00CD30B5">
        <w:rPr>
          <w:rFonts w:ascii="Times New Roman" w:hAnsi="Times New Roman" w:cs="Times New Roman"/>
          <w:i/>
          <w:iCs/>
          <w:sz w:val="24"/>
          <w:szCs w:val="24"/>
        </w:rPr>
        <w:t xml:space="preserve">corporate social responsibility </w:t>
      </w:r>
      <w:r>
        <w:rPr>
          <w:rFonts w:ascii="Times New Roman" w:hAnsi="Times New Roman" w:cs="Times New Roman"/>
          <w:sz w:val="24"/>
          <w:szCs w:val="24"/>
        </w:rPr>
        <w:t xml:space="preserve">yang pada </w:t>
      </w:r>
      <w:r>
        <w:rPr>
          <w:rFonts w:ascii="Times New Roman" w:hAnsi="Times New Roman" w:cs="Times New Roman"/>
          <w:sz w:val="24"/>
          <w:szCs w:val="24"/>
        </w:rPr>
        <w:t>dasarnya</w:t>
      </w:r>
      <w:r>
        <w:rPr>
          <w:rFonts w:ascii="Times New Roman" w:hAnsi="Times New Roman" w:cs="Times New Roman"/>
          <w:sz w:val="24"/>
          <w:szCs w:val="24"/>
        </w:rPr>
        <w:t xml:space="preserve"> </w:t>
      </w:r>
      <w:r>
        <w:rPr>
          <w:rFonts w:ascii="Times New Roman" w:hAnsi="Times New Roman" w:cs="Times New Roman"/>
          <w:sz w:val="24"/>
          <w:szCs w:val="24"/>
        </w:rPr>
        <w:t>adalah</w:t>
      </w:r>
      <w:r>
        <w:rPr>
          <w:rFonts w:ascii="Times New Roman" w:hAnsi="Times New Roman" w:cs="Times New Roman"/>
          <w:sz w:val="24"/>
          <w:szCs w:val="24"/>
        </w:rPr>
        <w:t xml:space="preserve"> </w:t>
      </w:r>
      <w:r>
        <w:rPr>
          <w:rFonts w:ascii="Times New Roman" w:hAnsi="Times New Roman" w:cs="Times New Roman"/>
          <w:sz w:val="24"/>
          <w:szCs w:val="24"/>
        </w:rPr>
        <w:t>sebuah</w:t>
      </w:r>
      <w:r>
        <w:rPr>
          <w:rFonts w:ascii="Times New Roman" w:hAnsi="Times New Roman" w:cs="Times New Roman"/>
          <w:sz w:val="24"/>
          <w:szCs w:val="24"/>
        </w:rPr>
        <w:t xml:space="preserve"> </w:t>
      </w:r>
      <w:r>
        <w:rPr>
          <w:rFonts w:ascii="Times New Roman" w:hAnsi="Times New Roman" w:cs="Times New Roman"/>
          <w:sz w:val="24"/>
          <w:szCs w:val="24"/>
        </w:rPr>
        <w:t>tanggung</w:t>
      </w:r>
      <w:r>
        <w:rPr>
          <w:rFonts w:ascii="Times New Roman" w:hAnsi="Times New Roman" w:cs="Times New Roman"/>
          <w:sz w:val="24"/>
          <w:szCs w:val="24"/>
        </w:rPr>
        <w:t xml:space="preserve"> </w:t>
      </w:r>
      <w:r>
        <w:rPr>
          <w:rFonts w:ascii="Times New Roman" w:hAnsi="Times New Roman" w:cs="Times New Roman"/>
          <w:sz w:val="24"/>
          <w:szCs w:val="24"/>
        </w:rPr>
        <w:t>jawab</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kepada</w:t>
      </w:r>
      <w:r>
        <w:rPr>
          <w:rFonts w:ascii="Times New Roman" w:hAnsi="Times New Roman" w:cs="Times New Roman"/>
          <w:sz w:val="24"/>
          <w:szCs w:val="24"/>
        </w:rPr>
        <w:t xml:space="preserve"> </w:t>
      </w:r>
      <w:r>
        <w:rPr>
          <w:rFonts w:ascii="Times New Roman" w:hAnsi="Times New Roman" w:cs="Times New Roman"/>
          <w:sz w:val="24"/>
          <w:szCs w:val="24"/>
        </w:rPr>
        <w:t>sosial</w:t>
      </w:r>
      <w:r>
        <w:rPr>
          <w:rFonts w:ascii="Times New Roman" w:hAnsi="Times New Roman" w:cs="Times New Roman"/>
          <w:sz w:val="24"/>
          <w:szCs w:val="24"/>
        </w:rPr>
        <w:t xml:space="preserve"> dan </w:t>
      </w:r>
      <w:r>
        <w:rPr>
          <w:rFonts w:ascii="Times New Roman" w:hAnsi="Times New Roman" w:cs="Times New Roman"/>
          <w:sz w:val="24"/>
          <w:szCs w:val="24"/>
        </w:rPr>
        <w:t>lingkungan</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memiliki</w:t>
      </w:r>
      <w:r>
        <w:rPr>
          <w:rFonts w:ascii="Times New Roman" w:hAnsi="Times New Roman" w:cs="Times New Roman"/>
          <w:sz w:val="24"/>
          <w:szCs w:val="24"/>
        </w:rPr>
        <w:t xml:space="preserve"> </w:t>
      </w:r>
      <w:r>
        <w:rPr>
          <w:rFonts w:ascii="Times New Roman" w:hAnsi="Times New Roman" w:cs="Times New Roman"/>
          <w:sz w:val="24"/>
          <w:szCs w:val="24"/>
        </w:rPr>
        <w:t>sebuah</w:t>
      </w:r>
      <w:r>
        <w:rPr>
          <w:rFonts w:ascii="Times New Roman" w:hAnsi="Times New Roman" w:cs="Times New Roman"/>
          <w:sz w:val="24"/>
          <w:szCs w:val="24"/>
        </w:rPr>
        <w:t xml:space="preserve"> </w:t>
      </w:r>
      <w:r>
        <w:rPr>
          <w:rFonts w:ascii="Times New Roman" w:hAnsi="Times New Roman" w:cs="Times New Roman"/>
          <w:sz w:val="24"/>
          <w:szCs w:val="24"/>
        </w:rPr>
        <w:t>kesamaan</w:t>
      </w:r>
      <w:r>
        <w:rPr>
          <w:rFonts w:ascii="Times New Roman" w:hAnsi="Times New Roman" w:cs="Times New Roman"/>
          <w:sz w:val="24"/>
          <w:szCs w:val="24"/>
        </w:rPr>
        <w:t xml:space="preserve"> </w:t>
      </w:r>
      <w:r>
        <w:rPr>
          <w:rFonts w:ascii="Times New Roman" w:hAnsi="Times New Roman" w:cs="Times New Roman"/>
          <w:sz w:val="24"/>
          <w:szCs w:val="24"/>
        </w:rPr>
        <w:t>dimana</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CD30B5">
        <w:rPr>
          <w:rFonts w:ascii="Times New Roman" w:hAnsi="Times New Roman" w:cs="Times New Roman"/>
          <w:i/>
          <w:iCs/>
          <w:sz w:val="24"/>
          <w:szCs w:val="24"/>
        </w:rPr>
        <w:t>green banking</w:t>
      </w:r>
      <w:r>
        <w:rPr>
          <w:rFonts w:ascii="Times New Roman" w:hAnsi="Times New Roman" w:cs="Times New Roman"/>
          <w:sz w:val="24"/>
          <w:szCs w:val="24"/>
        </w:rPr>
        <w:t xml:space="preserve"> yang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berfokus</w:t>
      </w:r>
      <w:r>
        <w:rPr>
          <w:rFonts w:ascii="Times New Roman" w:hAnsi="Times New Roman" w:cs="Times New Roman"/>
          <w:sz w:val="24"/>
          <w:szCs w:val="24"/>
        </w:rPr>
        <w:t xml:space="preserve"> pada </w:t>
      </w:r>
      <w:r>
        <w:rPr>
          <w:rFonts w:ascii="Times New Roman" w:hAnsi="Times New Roman" w:cs="Times New Roman"/>
          <w:sz w:val="24"/>
          <w:szCs w:val="24"/>
        </w:rPr>
        <w:t>dampak</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yang </w:t>
      </w:r>
      <w:r>
        <w:rPr>
          <w:rFonts w:ascii="Times New Roman" w:hAnsi="Times New Roman" w:cs="Times New Roman"/>
          <w:sz w:val="24"/>
          <w:szCs w:val="24"/>
        </w:rPr>
        <w:t>dihasilkan</w:t>
      </w:r>
      <w:r>
        <w:rPr>
          <w:rFonts w:ascii="Times New Roman" w:hAnsi="Times New Roman" w:cs="Times New Roman"/>
          <w:sz w:val="24"/>
          <w:szCs w:val="24"/>
        </w:rPr>
        <w:t xml:space="preserve"> oleh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Sehingga</w:t>
      </w:r>
      <w:r>
        <w:rPr>
          <w:rFonts w:ascii="Times New Roman" w:hAnsi="Times New Roman" w:cs="Times New Roman"/>
          <w:sz w:val="24"/>
          <w:szCs w:val="24"/>
        </w:rPr>
        <w:t xml:space="preserve"> </w:t>
      </w:r>
      <w:r>
        <w:rPr>
          <w:rFonts w:ascii="Times New Roman" w:hAnsi="Times New Roman" w:cs="Times New Roman"/>
          <w:sz w:val="24"/>
          <w:szCs w:val="24"/>
        </w:rPr>
        <w:t>apabila</w:t>
      </w:r>
      <w:r>
        <w:rPr>
          <w:rFonts w:ascii="Times New Roman" w:hAnsi="Times New Roman" w:cs="Times New Roman"/>
          <w:sz w:val="24"/>
          <w:szCs w:val="24"/>
        </w:rPr>
        <w:t xml:space="preserve"> program CSR yang </w:t>
      </w:r>
      <w:r>
        <w:rPr>
          <w:rFonts w:ascii="Times New Roman" w:hAnsi="Times New Roman" w:cs="Times New Roman"/>
          <w:sz w:val="24"/>
          <w:szCs w:val="24"/>
        </w:rPr>
        <w:t>dijalankan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baik</w:t>
      </w:r>
      <w:r>
        <w:rPr>
          <w:rFonts w:ascii="Times New Roman" w:hAnsi="Times New Roman" w:cs="Times New Roman"/>
          <w:sz w:val="24"/>
          <w:szCs w:val="24"/>
        </w:rPr>
        <w:t xml:space="preserve">, </w:t>
      </w:r>
      <w:r>
        <w:rPr>
          <w:rFonts w:ascii="Times New Roman" w:hAnsi="Times New Roman" w:cs="Times New Roman"/>
          <w:sz w:val="24"/>
          <w:szCs w:val="24"/>
        </w:rPr>
        <w:t>maka</w:t>
      </w:r>
      <w:r>
        <w:rPr>
          <w:rFonts w:ascii="Times New Roman" w:hAnsi="Times New Roman" w:cs="Times New Roman"/>
          <w:sz w:val="24"/>
          <w:szCs w:val="24"/>
        </w:rPr>
        <w:t xml:space="preserve"> </w:t>
      </w:r>
      <w:r>
        <w:rPr>
          <w:rFonts w:ascii="Times New Roman" w:hAnsi="Times New Roman" w:cs="Times New Roman"/>
          <w:sz w:val="24"/>
          <w:szCs w:val="24"/>
        </w:rPr>
        <w:t>penerapan</w:t>
      </w:r>
      <w:r>
        <w:rPr>
          <w:rFonts w:ascii="Times New Roman" w:hAnsi="Times New Roman" w:cs="Times New Roman"/>
          <w:sz w:val="24"/>
          <w:szCs w:val="24"/>
        </w:rPr>
        <w:t xml:space="preserve"> </w:t>
      </w:r>
      <w:r w:rsidRPr="00CD30B5">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juga </w:t>
      </w:r>
      <w:r>
        <w:rPr>
          <w:rFonts w:ascii="Times New Roman" w:hAnsi="Times New Roman" w:cs="Times New Roman"/>
          <w:sz w:val="24"/>
          <w:szCs w:val="24"/>
        </w:rPr>
        <w:t>akan</w:t>
      </w:r>
      <w:r>
        <w:rPr>
          <w:rFonts w:ascii="Times New Roman" w:hAnsi="Times New Roman" w:cs="Times New Roman"/>
          <w:sz w:val="24"/>
          <w:szCs w:val="24"/>
        </w:rPr>
        <w:t xml:space="preserve"> </w:t>
      </w:r>
      <w:r>
        <w:rPr>
          <w:rFonts w:ascii="Times New Roman" w:hAnsi="Times New Roman" w:cs="Times New Roman"/>
          <w:sz w:val="24"/>
          <w:szCs w:val="24"/>
        </w:rPr>
        <w:t>meningkat</w:t>
      </w:r>
      <w:r>
        <w:rPr>
          <w:rFonts w:ascii="Times New Roman" w:hAnsi="Times New Roman" w:cs="Times New Roman"/>
          <w:sz w:val="24"/>
          <w:szCs w:val="24"/>
        </w:rPr>
        <w:t xml:space="preserve">. </w:t>
      </w:r>
      <w:r w:rsidRPr="005B331C" w:rsidR="0073442A">
        <w:rPr>
          <w:rFonts w:ascii="Times New Roman" w:hAnsi="Times New Roman" w:cs="Times New Roman"/>
          <w:sz w:val="24"/>
          <w:szCs w:val="24"/>
        </w:rPr>
        <w:t xml:space="preserve">Hal </w:t>
      </w:r>
      <w:r w:rsidRPr="005B331C" w:rsidR="0073442A">
        <w:rPr>
          <w:rFonts w:ascii="Times New Roman" w:hAnsi="Times New Roman" w:cs="Times New Roman"/>
          <w:sz w:val="24"/>
          <w:szCs w:val="24"/>
        </w:rPr>
        <w:t>ini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sesuai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dengan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penelitian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fldChar w:fldCharType="begin" w:fldLock="1"/>
      </w:r>
      <w:r w:rsidRPr="005B331C" w:rsidR="0073442A">
        <w:rPr>
          <w:rFonts w:ascii="Times New Roman" w:hAnsi="Times New Roman" w:cs="Times New Roman"/>
          <w:sz w:val="24"/>
          <w:szCs w:val="24"/>
        </w:rPr>
        <w:instrText>ADDIN CSL_CITATION {"citationItems":[{"id":"ITEM-1","itemData":{"DOI":"10.29040/jiei.v6i3.1372","ISSN":"2477-6157","abstract":"Sustainability reporting is a financial reporting concept in banks that provides information covering economic, social and environmental aspects by taking into account the sustainability of the bank's business, so that the bank becomes an environmentally friendly bank and gains social legitimacy from stakeholders. This study aims to determine whether there is an effect of green accounting on CSRDi and financial performance, the effect of financial performance on CSRDi, green accounting on CSRDi with financial performance as an intervening variable, and how the concept of green accounting on CSRDi and financial performance at Islamic Commercial Banks in Islamic perspective. . This study uses a descriptive quantitative approach using multiple linear regression analysis and path analysis. Population and sample in this study are all Islamic Commercial Banks for the period 2015-2018 that meet the criteria. The dependent variable (X) is green accounting with the dummy method, the independent variable (Y) is CSR disclosure with the G.R.I 3.0 version of the CSR disclosure indicator, and the intervening variable (Z) is financial performance calculated using the ROA ratio. The results of this study are green accounting has a positive and significant effect on CSRDi and financial performance, financial performance has a positive and significant effect on CSR In, financial performance is not an intervening variable on green accounting for CSRDi, green accounting for CSRDi on BUS is in accordance with the Islamic perspective both in implementationandassessment.\r \r Keywords: Green Accounting, Corporate Social Responsibility Disclosure (CSRDi), Financial Performance, Return On Assets (ROA)","author":[{"dropping-particle":"","family":"Mustofa","given":"Ulul Azmi","non-dropping-particle":"","parse-names":false,"suffix":""},{"dropping-particle":"","family":"Edy","given":"Rezha Nia Ade Putri","non-dropping-particle":"","parse-names":false,"suffix":""},{"dropping-particle":"","family":"Kurniawan","given":"Muhammad","non-dropping-particle":"","parse-names":false,"suffix":""},{"dropping-particle":"","family":"Kholid","given":"Muhammad Fikri Nugraha","non-dropping-particle":"","parse-names":false,"suffix":""}],"container-title":"Jurnal Ilmiah Ekonomi Islam","id":"ITEM-1","issue":"3","issued":{"date-parts":[["2020"]]},"page":"508","title":"Green Accounting Terhadap CSR pada Bus di Indonesia dengan Kinerja Keuangan Sebagai Variabel Intervening","type":"article-journal","volume":"6"},"uris":["http://www.mendeley.com/documents/?uuid=1dfad105-35ce-498a-ae6e-0a3b8071b960"]}],"mendeley":{"formattedCitation":"(Mustofa et al., 2020)","plainTextFormattedCitation":"(Mustofa et al., 2020)","previouslyFormattedCitation":"(Mustofa et al., 2020)"},"properties":{"noteIndex":0},"schema":"https://github.com/citation-style-language/schema/raw/master/csl-citation.json"}</w:instrText>
      </w:r>
      <w:r w:rsidRPr="005B331C" w:rsidR="0073442A">
        <w:rPr>
          <w:rFonts w:ascii="Times New Roman" w:hAnsi="Times New Roman" w:cs="Times New Roman"/>
          <w:sz w:val="24"/>
          <w:szCs w:val="24"/>
        </w:rPr>
        <w:fldChar w:fldCharType="separate"/>
      </w:r>
      <w:r w:rsidRPr="005B331C" w:rsidR="0073442A">
        <w:rPr>
          <w:rFonts w:ascii="Times New Roman" w:hAnsi="Times New Roman" w:cs="Times New Roman"/>
          <w:noProof/>
          <w:sz w:val="24"/>
          <w:szCs w:val="24"/>
        </w:rPr>
        <w:t xml:space="preserve">Mustofa et al., </w:t>
      </w:r>
      <w:r w:rsidR="000304D1">
        <w:rPr>
          <w:rFonts w:ascii="Times New Roman" w:hAnsi="Times New Roman" w:cs="Times New Roman"/>
          <w:noProof/>
          <w:sz w:val="24"/>
          <w:szCs w:val="24"/>
        </w:rPr>
        <w:t>(</w:t>
      </w:r>
      <w:r w:rsidRPr="005B331C" w:rsidR="0073442A">
        <w:rPr>
          <w:rFonts w:ascii="Times New Roman" w:hAnsi="Times New Roman" w:cs="Times New Roman"/>
          <w:noProof/>
          <w:sz w:val="24"/>
          <w:szCs w:val="24"/>
        </w:rPr>
        <w:t>2020)</w:t>
      </w:r>
      <w:r w:rsidRPr="005B331C" w:rsidR="0073442A">
        <w:rPr>
          <w:rFonts w:ascii="Times New Roman" w:hAnsi="Times New Roman" w:cs="Times New Roman"/>
          <w:sz w:val="24"/>
          <w:szCs w:val="24"/>
        </w:rPr>
        <w:fldChar w:fldCharType="end"/>
      </w:r>
      <w:r w:rsidRPr="005B331C" w:rsidR="0073442A">
        <w:rPr>
          <w:rFonts w:ascii="Times New Roman" w:hAnsi="Times New Roman" w:cs="Times New Roman"/>
          <w:sz w:val="24"/>
          <w:szCs w:val="24"/>
        </w:rPr>
        <w:t xml:space="preserve"> &amp; </w:t>
      </w:r>
      <w:r w:rsidRPr="005B331C" w:rsidR="0073442A">
        <w:rPr>
          <w:rFonts w:ascii="Times New Roman" w:hAnsi="Times New Roman" w:cs="Times New Roman"/>
          <w:sz w:val="24"/>
          <w:szCs w:val="24"/>
        </w:rPr>
        <w:fldChar w:fldCharType="begin" w:fldLock="1"/>
      </w:r>
      <w:r w:rsidRPr="005B331C" w:rsidR="0073442A">
        <w:rPr>
          <w:rFonts w:ascii="Times New Roman" w:hAnsi="Times New Roman" w:cs="Times New Roman"/>
          <w:sz w:val="24"/>
          <w:szCs w:val="24"/>
        </w:rPr>
        <w:instrText>ADDIN CSL_CITATION {"citationItems":[{"id":"ITEM-1","itemData":{"DOI":"10.34208/jba.v23i1.775","ISSN":"1410-9875","abstract":"Indonesia terjadi fenomena dimana kewajiban pelaporan CSR berdampak pada tingkat pelaporan CSR (kuantitas) yang tinggi, tetapi tidak diikuti dengan pengungkapan CSR yang luas (kualitas). Hal ini tentu tidak selaras dengan adanya kebijakan yang mewajibkan adanya pengungkapan CSR bagi perusahaan publik di Indonesia, Thailand, dan Singapura sejak tahun 2012, 2014, dan 2017. Penelitian ini bertujuan untuk mengetahui perbedaan luas pengungkapan CSR (CSRD) di Indonesia, Singapura, dan Thailand dan juga dampak CSRD dengan reputasi sebagai mediasi terhadap profitabilitas bank di ketiga negara tersebut. Populasi dalam penelitian ini adalah bank yang terdaftar di Bursa Efek Indonesia, Bursa Efek Singapura, dan Bursa Efek Thailand pada tahun 2017. Jumlah sampel dalam penelitian ini adalah 50 bank. Berdasarkan hasil analisis data, disimpulkan bahwa: (1) Terdapat perbedaan CSRD di ketiga negara, (2) CSRD tidak berpengaruh terhadap reputasi (Tobin’s Q), (3) Reputasi berpengaruh positif terhadap profitabilitas (ROA), dan (4) Reputasi tidak memediasi pengaruh CSRD terhadap profitabilitas karena CSRD tidak berpengaruh terhadap reputasi.","author":[{"dropping-particle":"","family":"Aldama","given":"Reza Adita","non-dropping-particle":"","parse-names":false,"suffix":""},{"dropping-particle":"","family":"Herwiyanti","given":"Eliada","non-dropping-particle":"","parse-names":false,"suffix":""},{"dropping-particle":"","family":"Srirejeki","given":"Kiky","non-dropping-particle":"","parse-names":false,"suffix":""}],"container-title":"Jurnal Bisnis dan Akuntansi","id":"ITEM-1","issue":"1","issued":{"date-parts":[["2021"]]},"page":"49-64","title":"Peran Mediasi Reputasi Pada Hubungan Pengungkapan CSR Terhadap Profitabilitas Bank Di Asean Dari Perspektif Green Banking","type":"article-journal","volume":"23"},"uris":["http://www.mendeley.com/documents/?uuid=5f143579-9200-4f91-a2cb-dcfe075d9852"]}],"mendeley":{"formattedCitation":"(Aldama et al., 2021)","plainTextFormattedCitation":"(Aldama et al., 2021)","previouslyFormattedCitation":"(Aldama et al., 2021)"},"properties":{"noteIndex":0},"schema":"https://github.com/citation-style-language/schema/raw/master/csl-citation.json"}</w:instrText>
      </w:r>
      <w:r w:rsidRPr="005B331C" w:rsidR="0073442A">
        <w:rPr>
          <w:rFonts w:ascii="Times New Roman" w:hAnsi="Times New Roman" w:cs="Times New Roman"/>
          <w:sz w:val="24"/>
          <w:szCs w:val="24"/>
        </w:rPr>
        <w:fldChar w:fldCharType="separate"/>
      </w:r>
      <w:r w:rsidRPr="005B331C" w:rsidR="0073442A">
        <w:rPr>
          <w:rFonts w:ascii="Times New Roman" w:hAnsi="Times New Roman" w:cs="Times New Roman"/>
          <w:noProof/>
          <w:sz w:val="24"/>
          <w:szCs w:val="24"/>
        </w:rPr>
        <w:t xml:space="preserve">Aldama et al., </w:t>
      </w:r>
      <w:r w:rsidR="000304D1">
        <w:rPr>
          <w:rFonts w:ascii="Times New Roman" w:hAnsi="Times New Roman" w:cs="Times New Roman"/>
          <w:noProof/>
          <w:sz w:val="24"/>
          <w:szCs w:val="24"/>
        </w:rPr>
        <w:t>(</w:t>
      </w:r>
      <w:r w:rsidRPr="005B331C" w:rsidR="0073442A">
        <w:rPr>
          <w:rFonts w:ascii="Times New Roman" w:hAnsi="Times New Roman" w:cs="Times New Roman"/>
          <w:noProof/>
          <w:sz w:val="24"/>
          <w:szCs w:val="24"/>
        </w:rPr>
        <w:t>2021)</w:t>
      </w:r>
      <w:r w:rsidRPr="005B331C" w:rsidR="0073442A">
        <w:rPr>
          <w:rFonts w:ascii="Times New Roman" w:hAnsi="Times New Roman" w:cs="Times New Roman"/>
          <w:sz w:val="24"/>
          <w:szCs w:val="24"/>
        </w:rPr>
        <w:fldChar w:fldCharType="end"/>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dimana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dikatakan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bahwasannya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jika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memberikan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informasi</w:t>
      </w:r>
      <w:r w:rsidRPr="005B331C" w:rsidR="0073442A">
        <w:rPr>
          <w:rFonts w:ascii="Times New Roman" w:hAnsi="Times New Roman" w:cs="Times New Roman"/>
          <w:sz w:val="24"/>
          <w:szCs w:val="24"/>
        </w:rPr>
        <w:t xml:space="preserve"> yang </w:t>
      </w:r>
      <w:r w:rsidRPr="005B331C" w:rsidR="0073442A">
        <w:rPr>
          <w:rFonts w:ascii="Times New Roman" w:hAnsi="Times New Roman" w:cs="Times New Roman"/>
          <w:sz w:val="24"/>
          <w:szCs w:val="24"/>
        </w:rPr>
        <w:t>meliputi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kinerja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lingkungan</w:t>
      </w:r>
      <w:r w:rsidRPr="005B331C" w:rsidR="0073442A">
        <w:rPr>
          <w:rFonts w:ascii="Times New Roman" w:hAnsi="Times New Roman" w:cs="Times New Roman"/>
          <w:sz w:val="24"/>
          <w:szCs w:val="24"/>
        </w:rPr>
        <w:t xml:space="preserve"> dan </w:t>
      </w:r>
      <w:r w:rsidRPr="005B331C" w:rsidR="0073442A">
        <w:rPr>
          <w:rFonts w:ascii="Times New Roman" w:hAnsi="Times New Roman" w:cs="Times New Roman"/>
          <w:sz w:val="24"/>
          <w:szCs w:val="24"/>
        </w:rPr>
        <w:t>berkelanjutan</w:t>
      </w:r>
      <w:r w:rsidRPr="005B331C" w:rsidR="0073442A">
        <w:rPr>
          <w:rFonts w:ascii="Times New Roman" w:hAnsi="Times New Roman" w:cs="Times New Roman"/>
          <w:sz w:val="24"/>
          <w:szCs w:val="24"/>
        </w:rPr>
        <w:t xml:space="preserve"> yang </w:t>
      </w:r>
      <w:r w:rsidRPr="005B331C" w:rsidR="0073442A">
        <w:rPr>
          <w:rFonts w:ascii="Times New Roman" w:hAnsi="Times New Roman" w:cs="Times New Roman"/>
          <w:sz w:val="24"/>
          <w:szCs w:val="24"/>
        </w:rPr>
        <w:t>baik</w:t>
      </w:r>
      <w:r w:rsidRPr="005B331C" w:rsidR="0073442A">
        <w:rPr>
          <w:rFonts w:ascii="Times New Roman" w:hAnsi="Times New Roman" w:cs="Times New Roman"/>
          <w:sz w:val="24"/>
          <w:szCs w:val="24"/>
        </w:rPr>
        <w:t xml:space="preserve"> pada </w:t>
      </w:r>
      <w:r w:rsidRPr="005B331C" w:rsidR="0073442A">
        <w:rPr>
          <w:rFonts w:ascii="Times New Roman" w:hAnsi="Times New Roman" w:cs="Times New Roman"/>
          <w:sz w:val="24"/>
          <w:szCs w:val="24"/>
        </w:rPr>
        <w:t>pelaporan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tahunannya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maka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terbukti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memiliki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kepedulian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sosial</w:t>
      </w:r>
      <w:r w:rsidRPr="005B331C" w:rsidR="0073442A">
        <w:rPr>
          <w:rFonts w:ascii="Times New Roman" w:hAnsi="Times New Roman" w:cs="Times New Roman"/>
          <w:sz w:val="24"/>
          <w:szCs w:val="24"/>
        </w:rPr>
        <w:t xml:space="preserve"> yang </w:t>
      </w:r>
      <w:r w:rsidRPr="005B331C" w:rsidR="0073442A">
        <w:rPr>
          <w:rFonts w:ascii="Times New Roman" w:hAnsi="Times New Roman" w:cs="Times New Roman"/>
          <w:sz w:val="24"/>
          <w:szCs w:val="24"/>
        </w:rPr>
        <w:t>lebih</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besar</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terhadap</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masyarakat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maupun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tenaga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kerjanya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sehingga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juga </w:t>
      </w:r>
      <w:r w:rsidRPr="005B331C" w:rsidR="0073442A">
        <w:rPr>
          <w:rFonts w:ascii="Times New Roman" w:hAnsi="Times New Roman" w:cs="Times New Roman"/>
          <w:sz w:val="24"/>
          <w:szCs w:val="24"/>
        </w:rPr>
        <w:t>meningkatkan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nilai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w:t>
      </w:r>
      <w:r w:rsidR="001209CC">
        <w:rPr>
          <w:rFonts w:ascii="Times New Roman" w:hAnsi="Times New Roman" w:cs="Times New Roman"/>
          <w:sz w:val="24"/>
          <w:szCs w:val="24"/>
        </w:rPr>
        <w:t xml:space="preserve"> </w:t>
      </w:r>
      <w:r w:rsidR="00BD73DF">
        <w:rPr>
          <w:rFonts w:ascii="Times New Roman" w:hAnsi="Times New Roman" w:cs="Times New Roman"/>
          <w:sz w:val="24"/>
          <w:szCs w:val="24"/>
        </w:rPr>
        <w:t xml:space="preserve">Hasil </w:t>
      </w:r>
      <w:r w:rsidR="00BD73DF">
        <w:rPr>
          <w:rFonts w:ascii="Times New Roman" w:hAnsi="Times New Roman" w:cs="Times New Roman"/>
          <w:sz w:val="24"/>
          <w:szCs w:val="24"/>
        </w:rPr>
        <w:t>ini</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menu</w:t>
      </w:r>
      <w:r w:rsidR="00EA5E2C">
        <w:rPr>
          <w:rFonts w:ascii="Times New Roman" w:hAnsi="Times New Roman" w:cs="Times New Roman"/>
          <w:sz w:val="24"/>
          <w:szCs w:val="24"/>
        </w:rPr>
        <w:t>n</w:t>
      </w:r>
      <w:r w:rsidR="00BD73DF">
        <w:rPr>
          <w:rFonts w:ascii="Times New Roman" w:hAnsi="Times New Roman" w:cs="Times New Roman"/>
          <w:sz w:val="24"/>
          <w:szCs w:val="24"/>
        </w:rPr>
        <w:t>jukkan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bahwa</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perbankan</w:t>
      </w:r>
      <w:r w:rsidR="00BD73DF">
        <w:rPr>
          <w:rFonts w:ascii="Times New Roman" w:hAnsi="Times New Roman" w:cs="Times New Roman"/>
          <w:sz w:val="24"/>
          <w:szCs w:val="24"/>
        </w:rPr>
        <w:t xml:space="preserve"> juga </w:t>
      </w:r>
      <w:r w:rsidR="00BD73DF">
        <w:rPr>
          <w:rFonts w:ascii="Times New Roman" w:hAnsi="Times New Roman" w:cs="Times New Roman"/>
          <w:sz w:val="24"/>
          <w:szCs w:val="24"/>
        </w:rPr>
        <w:t>perlu</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untuk</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memperhatikan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sisi</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lingkungan</w:t>
      </w:r>
      <w:r w:rsidR="00BD73DF">
        <w:rPr>
          <w:rFonts w:ascii="Times New Roman" w:hAnsi="Times New Roman" w:cs="Times New Roman"/>
          <w:sz w:val="24"/>
          <w:szCs w:val="24"/>
        </w:rPr>
        <w:t xml:space="preserve"> dan </w:t>
      </w:r>
      <w:r w:rsidR="00BD73DF">
        <w:rPr>
          <w:rFonts w:ascii="Times New Roman" w:hAnsi="Times New Roman" w:cs="Times New Roman"/>
          <w:sz w:val="24"/>
          <w:szCs w:val="24"/>
        </w:rPr>
        <w:t>sosial</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perusahaan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tidak</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hanya</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mengedepankan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tentang</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keuntungan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karena</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semua</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telah</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diatur</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dalam</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undang-undang</w:t>
      </w:r>
      <w:r w:rsidR="00BD73DF">
        <w:rPr>
          <w:rFonts w:ascii="Times New Roman" w:hAnsi="Times New Roman" w:cs="Times New Roman"/>
          <w:sz w:val="24"/>
          <w:szCs w:val="24"/>
        </w:rPr>
        <w:t xml:space="preserve"> yang mana </w:t>
      </w:r>
      <w:r w:rsidR="00BD73DF">
        <w:rPr>
          <w:rFonts w:ascii="Times New Roman" w:hAnsi="Times New Roman" w:cs="Times New Roman"/>
          <w:sz w:val="24"/>
          <w:szCs w:val="24"/>
        </w:rPr>
        <w:t>harus</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dipatuhi</w:t>
      </w:r>
      <w:r w:rsidR="00BD73DF">
        <w:rPr>
          <w:rFonts w:ascii="Times New Roman" w:hAnsi="Times New Roman" w:cs="Times New Roman"/>
          <w:sz w:val="24"/>
          <w:szCs w:val="24"/>
        </w:rPr>
        <w:t xml:space="preserve"> oleh </w:t>
      </w:r>
      <w:r w:rsidR="00BD73DF">
        <w:rPr>
          <w:rFonts w:ascii="Times New Roman" w:hAnsi="Times New Roman" w:cs="Times New Roman"/>
          <w:sz w:val="24"/>
          <w:szCs w:val="24"/>
        </w:rPr>
        <w:t>setiap</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sektor</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perusahaan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dengan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itu</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maka</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akan</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terciptanya</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konteks</w:t>
      </w:r>
      <w:r w:rsidR="00BD73DF">
        <w:rPr>
          <w:rFonts w:ascii="Times New Roman" w:hAnsi="Times New Roman" w:cs="Times New Roman"/>
          <w:sz w:val="24"/>
          <w:szCs w:val="24"/>
        </w:rPr>
        <w:t xml:space="preserve"> yang </w:t>
      </w:r>
      <w:r w:rsidR="00BD73DF">
        <w:rPr>
          <w:rFonts w:ascii="Times New Roman" w:hAnsi="Times New Roman" w:cs="Times New Roman"/>
          <w:sz w:val="24"/>
          <w:szCs w:val="24"/>
        </w:rPr>
        <w:t>ekonomi</w:t>
      </w:r>
      <w:r w:rsidR="00BD73DF">
        <w:rPr>
          <w:rFonts w:ascii="Times New Roman" w:hAnsi="Times New Roman" w:cs="Times New Roman"/>
          <w:sz w:val="24"/>
          <w:szCs w:val="24"/>
        </w:rPr>
        <w:t xml:space="preserve"> </w:t>
      </w:r>
      <w:r w:rsidR="00BD73DF">
        <w:rPr>
          <w:rFonts w:ascii="Times New Roman" w:hAnsi="Times New Roman" w:cs="Times New Roman"/>
          <w:sz w:val="24"/>
          <w:szCs w:val="24"/>
        </w:rPr>
        <w:t>berkelanjutan</w:t>
      </w:r>
      <w:r w:rsidR="00BD73DF">
        <w:rPr>
          <w:rFonts w:ascii="Times New Roman" w:hAnsi="Times New Roman" w:cs="Times New Roman"/>
          <w:sz w:val="24"/>
          <w:szCs w:val="24"/>
        </w:rPr>
        <w:t>.</w:t>
      </w:r>
      <w:r w:rsidR="00EA5E2C">
        <w:rPr>
          <w:rFonts w:ascii="Times New Roman" w:hAnsi="Times New Roman" w:cs="Times New Roman"/>
          <w:sz w:val="24"/>
          <w:szCs w:val="24"/>
        </w:rPr>
        <w:t xml:space="preserve"> Selain </w:t>
      </w:r>
      <w:r w:rsidR="00EA5E2C">
        <w:rPr>
          <w:rFonts w:ascii="Times New Roman" w:hAnsi="Times New Roman" w:cs="Times New Roman"/>
          <w:sz w:val="24"/>
          <w:szCs w:val="24"/>
        </w:rPr>
        <w:t>itu</w:t>
      </w:r>
      <w:r w:rsidR="00EA5E2C">
        <w:rPr>
          <w:rFonts w:ascii="Times New Roman" w:hAnsi="Times New Roman" w:cs="Times New Roman"/>
          <w:sz w:val="24"/>
          <w:szCs w:val="24"/>
        </w:rPr>
        <w:t xml:space="preserve"> juga </w:t>
      </w:r>
      <w:r w:rsidR="00A3478B">
        <w:rPr>
          <w:rFonts w:ascii="Times New Roman" w:hAnsi="Times New Roman" w:cs="Times New Roman"/>
          <w:sz w:val="24"/>
          <w:szCs w:val="24"/>
        </w:rPr>
        <w:t>saat</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ini</w:t>
      </w:r>
      <w:r w:rsidR="00A3478B">
        <w:rPr>
          <w:rFonts w:ascii="Times New Roman" w:hAnsi="Times New Roman" w:cs="Times New Roman"/>
          <w:sz w:val="24"/>
          <w:szCs w:val="24"/>
        </w:rPr>
        <w:t xml:space="preserve"> para stakeholder </w:t>
      </w:r>
      <w:r w:rsidR="00A3478B">
        <w:rPr>
          <w:rFonts w:ascii="Times New Roman" w:hAnsi="Times New Roman" w:cs="Times New Roman"/>
          <w:sz w:val="24"/>
          <w:szCs w:val="24"/>
        </w:rPr>
        <w:t>lebih</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menyadari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tentang</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isu</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lingkungan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sebagai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bahan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pertimbangan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untuk</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menentukan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keputusan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investasinya</w:t>
      </w:r>
      <w:r w:rsidR="00A3478B">
        <w:rPr>
          <w:rFonts w:ascii="Times New Roman" w:hAnsi="Times New Roman" w:cs="Times New Roman"/>
          <w:sz w:val="24"/>
          <w:szCs w:val="24"/>
        </w:rPr>
        <w:t>.</w:t>
      </w:r>
    </w:p>
    <w:p w:rsidR="005B331C" w:rsidP="001D28D7" w14:paraId="0AD950C4" w14:textId="77777777">
      <w:pPr>
        <w:pStyle w:val="ListParagraph"/>
        <w:numPr>
          <w:ilvl w:val="0"/>
          <w:numId w:val="75"/>
        </w:numPr>
        <w:spacing w:after="0" w:line="480" w:lineRule="auto"/>
        <w:jc w:val="both"/>
        <w:rPr>
          <w:rFonts w:ascii="Times New Roman" w:hAnsi="Times New Roman" w:cs="Times New Roman"/>
          <w:b/>
          <w:bCs/>
          <w:sz w:val="24"/>
          <w:szCs w:val="24"/>
        </w:rPr>
      </w:pPr>
      <w:r w:rsidRPr="005B331C">
        <w:rPr>
          <w:rFonts w:ascii="Times New Roman" w:hAnsi="Times New Roman" w:cs="Times New Roman"/>
          <w:b/>
          <w:bCs/>
          <w:sz w:val="24"/>
          <w:szCs w:val="24"/>
        </w:rPr>
        <w:t>Pengaruh</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Penerapan</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Praktik</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Green Banking </w:t>
      </w:r>
      <w:r w:rsidRPr="005B331C">
        <w:rPr>
          <w:rFonts w:ascii="Times New Roman" w:hAnsi="Times New Roman" w:cs="Times New Roman"/>
          <w:b/>
          <w:bCs/>
          <w:sz w:val="24"/>
          <w:szCs w:val="24"/>
        </w:rPr>
        <w:t>terhadap</w:t>
      </w:r>
      <w:r w:rsidRPr="005B331C">
        <w:rPr>
          <w:rFonts w:ascii="Times New Roman" w:hAnsi="Times New Roman" w:cs="Times New Roman"/>
          <w:b/>
          <w:bCs/>
          <w:sz w:val="24"/>
          <w:szCs w:val="24"/>
        </w:rPr>
        <w:t xml:space="preserve"> </w:t>
      </w:r>
      <w:r w:rsidRPr="005B331C">
        <w:rPr>
          <w:rFonts w:ascii="Times New Roman" w:hAnsi="Times New Roman" w:cs="Times New Roman"/>
          <w:b/>
          <w:bCs/>
          <w:i/>
          <w:iCs/>
          <w:sz w:val="24"/>
          <w:szCs w:val="24"/>
        </w:rPr>
        <w:t xml:space="preserve">Return </w:t>
      </w:r>
      <w:r w:rsidRPr="005B331C">
        <w:rPr>
          <w:rFonts w:ascii="Times New Roman" w:hAnsi="Times New Roman" w:cs="Times New Roman"/>
          <w:b/>
          <w:bCs/>
          <w:i/>
          <w:iCs/>
          <w:sz w:val="24"/>
          <w:szCs w:val="24"/>
        </w:rPr>
        <w:t>On</w:t>
      </w:r>
      <w:r w:rsidRPr="005B331C">
        <w:rPr>
          <w:rFonts w:ascii="Times New Roman" w:hAnsi="Times New Roman" w:cs="Times New Roman"/>
          <w:b/>
          <w:bCs/>
          <w:i/>
          <w:iCs/>
          <w:sz w:val="24"/>
          <w:szCs w:val="24"/>
        </w:rPr>
        <w:t xml:space="preserve"> Assets</w:t>
      </w:r>
      <w:r w:rsidRPr="005B331C">
        <w:rPr>
          <w:rFonts w:ascii="Times New Roman" w:hAnsi="Times New Roman" w:cs="Times New Roman"/>
          <w:b/>
          <w:bCs/>
          <w:sz w:val="24"/>
          <w:szCs w:val="24"/>
        </w:rPr>
        <w:t xml:space="preserve"> (ROA) pada Sub-</w:t>
      </w:r>
      <w:r w:rsidRPr="005B331C">
        <w:rPr>
          <w:rFonts w:ascii="Times New Roman" w:hAnsi="Times New Roman" w:cs="Times New Roman"/>
          <w:b/>
          <w:bCs/>
          <w:sz w:val="24"/>
          <w:szCs w:val="24"/>
        </w:rPr>
        <w:t>sektor</w:t>
      </w:r>
      <w:r w:rsidRPr="005B331C">
        <w:rPr>
          <w:rFonts w:ascii="Times New Roman" w:hAnsi="Times New Roman" w:cs="Times New Roman"/>
          <w:b/>
          <w:bCs/>
          <w:sz w:val="24"/>
          <w:szCs w:val="24"/>
        </w:rPr>
        <w:t xml:space="preserve"> </w:t>
      </w:r>
      <w:r w:rsidRPr="005B331C">
        <w:rPr>
          <w:rFonts w:ascii="Times New Roman" w:hAnsi="Times New Roman" w:cs="Times New Roman"/>
          <w:b/>
          <w:bCs/>
          <w:sz w:val="24"/>
          <w:szCs w:val="24"/>
        </w:rPr>
        <w:t>Perbankan</w:t>
      </w:r>
      <w:r w:rsidRPr="005B331C">
        <w:rPr>
          <w:rFonts w:ascii="Times New Roman" w:hAnsi="Times New Roman" w:cs="Times New Roman"/>
          <w:b/>
          <w:bCs/>
          <w:sz w:val="24"/>
          <w:szCs w:val="24"/>
        </w:rPr>
        <w:t>.</w:t>
      </w:r>
    </w:p>
    <w:p w:rsidR="005B331C" w:rsidP="001D28D7" w14:paraId="1AE404C3" w14:textId="36696679">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didapatkan</w:t>
      </w:r>
      <w:r>
        <w:rPr>
          <w:rFonts w:ascii="Times New Roman" w:hAnsi="Times New Roman" w:cs="Times New Roman"/>
          <w:sz w:val="24"/>
          <w:szCs w:val="24"/>
        </w:rPr>
        <w:t xml:space="preserve"> </w:t>
      </w:r>
      <w:r w:rsidRPr="005B331C">
        <w:rPr>
          <w:rFonts w:ascii="Times New Roman" w:hAnsi="Times New Roman" w:cs="Times New Roman"/>
          <w:sz w:val="24"/>
          <w:szCs w:val="24"/>
        </w:rPr>
        <w:t>penerapan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praktik</w:t>
      </w:r>
      <w:r w:rsidRPr="005B331C">
        <w:rPr>
          <w:rFonts w:ascii="Times New Roman" w:hAnsi="Times New Roman" w:cs="Times New Roman"/>
          <w:sz w:val="24"/>
          <w:szCs w:val="24"/>
        </w:rPr>
        <w:t xml:space="preserve"> </w:t>
      </w:r>
      <w:r w:rsidRPr="005B331C">
        <w:rPr>
          <w:rFonts w:ascii="Times New Roman" w:hAnsi="Times New Roman" w:cs="Times New Roman"/>
          <w:i/>
          <w:iCs/>
          <w:sz w:val="24"/>
          <w:szCs w:val="24"/>
        </w:rPr>
        <w:t>green banking</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memiliki</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pengaruh</w:t>
      </w:r>
      <w:r w:rsidRPr="005B331C">
        <w:rPr>
          <w:rFonts w:ascii="Times New Roman" w:hAnsi="Times New Roman" w:cs="Times New Roman"/>
          <w:sz w:val="24"/>
          <w:szCs w:val="24"/>
        </w:rPr>
        <w:t xml:space="preserve"> yang </w:t>
      </w:r>
      <w:r w:rsidRPr="005B331C">
        <w:rPr>
          <w:rFonts w:ascii="Times New Roman" w:hAnsi="Times New Roman" w:cs="Times New Roman"/>
          <w:sz w:val="24"/>
          <w:szCs w:val="24"/>
        </w:rPr>
        <w:t>signifikan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terhadap</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kinerja</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keuangan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dengan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proksi</w:t>
      </w:r>
      <w:r w:rsidRPr="005B331C">
        <w:rPr>
          <w:rFonts w:ascii="Times New Roman" w:hAnsi="Times New Roman" w:cs="Times New Roman"/>
          <w:sz w:val="24"/>
          <w:szCs w:val="24"/>
        </w:rPr>
        <w:t xml:space="preserve"> </w:t>
      </w:r>
      <w:r w:rsidRPr="005B331C">
        <w:rPr>
          <w:rFonts w:ascii="Times New Roman" w:hAnsi="Times New Roman" w:cs="Times New Roman"/>
          <w:i/>
          <w:iCs/>
          <w:sz w:val="24"/>
          <w:szCs w:val="24"/>
        </w:rPr>
        <w:t>return on assets</w:t>
      </w:r>
      <w:r w:rsidRPr="005B331C" w:rsidR="0073442A">
        <w:rPr>
          <w:rFonts w:ascii="Times New Roman" w:hAnsi="Times New Roman" w:cs="Times New Roman"/>
          <w:sz w:val="24"/>
          <w:szCs w:val="24"/>
        </w:rPr>
        <w:t xml:space="preserve">. </w:t>
      </w:r>
      <w:r w:rsidRPr="0098777F" w:rsidR="0098777F">
        <w:rPr>
          <w:rFonts w:ascii="Times New Roman" w:hAnsi="Times New Roman" w:cs="Times New Roman"/>
          <w:i/>
          <w:iCs/>
          <w:sz w:val="24"/>
          <w:szCs w:val="24"/>
        </w:rPr>
        <w:t>Green banking</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adalah</w:t>
      </w:r>
      <w:r w:rsidRPr="0098777F" w:rsidR="0098777F">
        <w:rPr>
          <w:rFonts w:ascii="Times New Roman" w:hAnsi="Times New Roman" w:cs="Times New Roman"/>
          <w:sz w:val="24"/>
          <w:szCs w:val="24"/>
        </w:rPr>
        <w:t xml:space="preserve"> bank yang </w:t>
      </w:r>
      <w:r w:rsidRPr="0098777F" w:rsidR="0098777F">
        <w:rPr>
          <w:rFonts w:ascii="Times New Roman" w:hAnsi="Times New Roman" w:cs="Times New Roman"/>
          <w:sz w:val="24"/>
          <w:szCs w:val="24"/>
        </w:rPr>
        <w:t>kegiatan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operasionalnya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ramah</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memiliki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tanggung</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jawab</w:t>
      </w:r>
      <w:r w:rsidRPr="0098777F" w:rsidR="0098777F">
        <w:rPr>
          <w:rFonts w:ascii="Times New Roman" w:hAnsi="Times New Roman" w:cs="Times New Roman"/>
          <w:sz w:val="24"/>
          <w:szCs w:val="24"/>
        </w:rPr>
        <w:t xml:space="preserve"> dan </w:t>
      </w:r>
      <w:r w:rsidRPr="0098777F" w:rsidR="0098777F">
        <w:rPr>
          <w:rFonts w:ascii="Times New Roman" w:hAnsi="Times New Roman" w:cs="Times New Roman"/>
          <w:sz w:val="24"/>
          <w:szCs w:val="24"/>
        </w:rPr>
        <w:t>kinerja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serta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mempertimbangkan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aspek</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perlindungan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dalam</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menjalankan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bisnisnya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Isu</w:t>
      </w:r>
      <w:r w:rsidR="0098777F">
        <w:rPr>
          <w:rFonts w:ascii="Times New Roman" w:hAnsi="Times New Roman" w:cs="Times New Roman"/>
          <w:sz w:val="24"/>
          <w:szCs w:val="24"/>
        </w:rPr>
        <w:t>-isu</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i/>
          <w:iCs/>
          <w:sz w:val="24"/>
          <w:szCs w:val="24"/>
        </w:rPr>
        <w:t>green banking</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berkaitan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dengan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pernyataan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sebagai</w:t>
      </w:r>
      <w:r w:rsidRPr="0098777F" w:rsidR="0098777F">
        <w:rPr>
          <w:rFonts w:ascii="Times New Roman" w:hAnsi="Times New Roman" w:cs="Times New Roman"/>
          <w:sz w:val="24"/>
          <w:szCs w:val="24"/>
        </w:rPr>
        <w:t xml:space="preserve"> bank yang </w:t>
      </w:r>
      <w:r w:rsidRPr="0098777F" w:rsidR="0098777F">
        <w:rPr>
          <w:rFonts w:ascii="Times New Roman" w:hAnsi="Times New Roman" w:cs="Times New Roman"/>
          <w:sz w:val="24"/>
          <w:szCs w:val="24"/>
        </w:rPr>
        <w:t>ramah</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penghematan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penggunaan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kertas</w:t>
      </w:r>
      <w:r w:rsidRPr="0098777F" w:rsidR="0098777F">
        <w:rPr>
          <w:rFonts w:ascii="Times New Roman" w:hAnsi="Times New Roman" w:cs="Times New Roman"/>
          <w:sz w:val="24"/>
          <w:szCs w:val="24"/>
        </w:rPr>
        <w:t xml:space="preserve"> (</w:t>
      </w:r>
      <w:r w:rsidRPr="00FF66FB" w:rsidR="0098777F">
        <w:rPr>
          <w:rFonts w:ascii="Times New Roman" w:hAnsi="Times New Roman" w:cs="Times New Roman"/>
          <w:i/>
          <w:iCs/>
          <w:sz w:val="24"/>
          <w:szCs w:val="24"/>
        </w:rPr>
        <w:t>paperless</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penggunaan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peralatan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hemat</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energi</w:t>
      </w:r>
      <w:r w:rsidRPr="0098777F" w:rsidR="0098777F">
        <w:rPr>
          <w:rFonts w:ascii="Times New Roman" w:hAnsi="Times New Roman" w:cs="Times New Roman"/>
          <w:sz w:val="24"/>
          <w:szCs w:val="24"/>
        </w:rPr>
        <w:t xml:space="preserve"> dan </w:t>
      </w:r>
      <w:r w:rsidRPr="0098777F" w:rsidR="0098777F">
        <w:rPr>
          <w:rFonts w:ascii="Times New Roman" w:hAnsi="Times New Roman" w:cs="Times New Roman"/>
          <w:sz w:val="24"/>
          <w:szCs w:val="24"/>
        </w:rPr>
        <w:t>pengelolaan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hal</w:t>
      </w:r>
      <w:r w:rsidRPr="0098777F" w:rsidR="0098777F">
        <w:rPr>
          <w:rFonts w:ascii="Times New Roman" w:hAnsi="Times New Roman" w:cs="Times New Roman"/>
          <w:sz w:val="24"/>
          <w:szCs w:val="24"/>
        </w:rPr>
        <w:t xml:space="preserve"> yang juga </w:t>
      </w:r>
      <w:r w:rsidRPr="0098777F" w:rsidR="0098777F">
        <w:rPr>
          <w:rFonts w:ascii="Times New Roman" w:hAnsi="Times New Roman" w:cs="Times New Roman"/>
          <w:sz w:val="24"/>
          <w:szCs w:val="24"/>
        </w:rPr>
        <w:t>menjadi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perhatian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utama</w:t>
      </w:r>
      <w:r w:rsidRPr="0098777F" w:rsidR="0098777F">
        <w:rPr>
          <w:rFonts w:ascii="Times New Roman" w:hAnsi="Times New Roman" w:cs="Times New Roman"/>
          <w:sz w:val="24"/>
          <w:szCs w:val="24"/>
        </w:rPr>
        <w:t xml:space="preserve"> bank </w:t>
      </w:r>
      <w:r w:rsidRPr="0098777F" w:rsidR="0098777F">
        <w:rPr>
          <w:rFonts w:ascii="Times New Roman" w:hAnsi="Times New Roman" w:cs="Times New Roman"/>
          <w:sz w:val="24"/>
          <w:szCs w:val="24"/>
        </w:rPr>
        <w:t>adalah</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fokus</w:t>
      </w:r>
      <w:r w:rsidRPr="0098777F" w:rsidR="0098777F">
        <w:rPr>
          <w:rFonts w:ascii="Times New Roman" w:hAnsi="Times New Roman" w:cs="Times New Roman"/>
          <w:sz w:val="24"/>
          <w:szCs w:val="24"/>
        </w:rPr>
        <w:t xml:space="preserve"> pada </w:t>
      </w:r>
      <w:r w:rsidRPr="0098777F" w:rsidR="0098777F">
        <w:rPr>
          <w:rFonts w:ascii="Times New Roman" w:hAnsi="Times New Roman" w:cs="Times New Roman"/>
          <w:sz w:val="24"/>
          <w:szCs w:val="24"/>
        </w:rPr>
        <w:t>upaya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untuk</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membangun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kualitas</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sumberdaya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manusia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dengan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meningkatkan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kesadaran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kepada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karyawan</w:t>
      </w:r>
      <w:r w:rsidRPr="0098777F" w:rsidR="0098777F">
        <w:rPr>
          <w:rFonts w:ascii="Times New Roman" w:hAnsi="Times New Roman" w:cs="Times New Roman"/>
          <w:sz w:val="24"/>
          <w:szCs w:val="24"/>
        </w:rPr>
        <w:t xml:space="preserve"> dan </w:t>
      </w:r>
      <w:r w:rsidRPr="0098777F" w:rsidR="0098777F">
        <w:rPr>
          <w:rFonts w:ascii="Times New Roman" w:hAnsi="Times New Roman" w:cs="Times New Roman"/>
          <w:sz w:val="24"/>
          <w:szCs w:val="24"/>
        </w:rPr>
        <w:t>masyarakat</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melalui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pelatihan</w:t>
      </w:r>
      <w:r w:rsidRPr="0098777F" w:rsidR="0098777F">
        <w:rPr>
          <w:rFonts w:ascii="Times New Roman" w:hAnsi="Times New Roman" w:cs="Times New Roman"/>
          <w:sz w:val="24"/>
          <w:szCs w:val="24"/>
        </w:rPr>
        <w:t xml:space="preserve"> dan </w:t>
      </w:r>
      <w:r w:rsidRPr="0098777F" w:rsidR="0098777F">
        <w:rPr>
          <w:rFonts w:ascii="Times New Roman" w:hAnsi="Times New Roman" w:cs="Times New Roman"/>
          <w:sz w:val="24"/>
          <w:szCs w:val="24"/>
        </w:rPr>
        <w:t>pendidikan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untuk</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mewujudkan</w:t>
      </w:r>
      <w:r w:rsidRPr="0098777F" w:rsidR="0098777F">
        <w:rPr>
          <w:rFonts w:ascii="Times New Roman" w:hAnsi="Times New Roman" w:cs="Times New Roman"/>
          <w:sz w:val="24"/>
          <w:szCs w:val="24"/>
        </w:rPr>
        <w:t xml:space="preserve"> bank yang </w:t>
      </w:r>
      <w:r w:rsidRPr="0098777F" w:rsidR="0098777F">
        <w:rPr>
          <w:rFonts w:ascii="Times New Roman" w:hAnsi="Times New Roman" w:cs="Times New Roman"/>
          <w:sz w:val="24"/>
          <w:szCs w:val="24"/>
        </w:rPr>
        <w:t>ramah</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Pr="0098777F" w:rsidR="0098777F">
        <w:rPr>
          <w:rFonts w:ascii="Times New Roman" w:hAnsi="Times New Roman" w:cs="Times New Roman"/>
          <w:sz w:val="24"/>
          <w:szCs w:val="24"/>
        </w:rPr>
        <w:t>.</w:t>
      </w:r>
      <w:r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 xml:space="preserve">Hal </w:t>
      </w:r>
      <w:r w:rsidRPr="0098777F" w:rsidR="0098777F">
        <w:rPr>
          <w:rFonts w:ascii="Times New Roman" w:hAnsi="Times New Roman" w:cs="Times New Roman"/>
          <w:sz w:val="24"/>
          <w:szCs w:val="24"/>
        </w:rPr>
        <w:t>ini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menunjukkan</w:t>
      </w:r>
      <w:r w:rsidRPr="0098777F" w:rsidR="0098777F">
        <w:rPr>
          <w:rFonts w:ascii="Times New Roman" w:hAnsi="Times New Roman" w:cs="Times New Roman"/>
          <w:sz w:val="24"/>
          <w:szCs w:val="24"/>
        </w:rPr>
        <w:t xml:space="preserve"> bank </w:t>
      </w:r>
      <w:r w:rsidRPr="0098777F" w:rsidR="0098777F">
        <w:rPr>
          <w:rFonts w:ascii="Times New Roman" w:hAnsi="Times New Roman" w:cs="Times New Roman"/>
          <w:sz w:val="24"/>
          <w:szCs w:val="24"/>
        </w:rPr>
        <w:t>masih</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cenderung</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fokus</w:t>
      </w:r>
      <w:r w:rsidRPr="0098777F" w:rsidR="0098777F">
        <w:rPr>
          <w:rFonts w:ascii="Times New Roman" w:hAnsi="Times New Roman" w:cs="Times New Roman"/>
          <w:sz w:val="24"/>
          <w:szCs w:val="24"/>
        </w:rPr>
        <w:t xml:space="preserve"> pada </w:t>
      </w:r>
      <w:r w:rsidRPr="0098777F" w:rsidR="0098777F">
        <w:rPr>
          <w:rFonts w:ascii="Times New Roman" w:hAnsi="Times New Roman" w:cs="Times New Roman"/>
          <w:sz w:val="24"/>
          <w:szCs w:val="24"/>
        </w:rPr>
        <w:t>upaya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untuk</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menghijaukan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kegiatan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operasional</w:t>
      </w:r>
      <w:r w:rsidRPr="0098777F" w:rsidR="0098777F">
        <w:rPr>
          <w:rFonts w:ascii="Times New Roman" w:hAnsi="Times New Roman" w:cs="Times New Roman"/>
          <w:sz w:val="24"/>
          <w:szCs w:val="24"/>
        </w:rPr>
        <w:t xml:space="preserve"> bank </w:t>
      </w:r>
      <w:r w:rsidRPr="0098777F" w:rsidR="0098777F">
        <w:rPr>
          <w:rFonts w:ascii="Times New Roman" w:hAnsi="Times New Roman" w:cs="Times New Roman"/>
          <w:sz w:val="24"/>
          <w:szCs w:val="24"/>
        </w:rPr>
        <w:t>melalui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pengurangan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dampak</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negatif</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operasional</w:t>
      </w:r>
      <w:r w:rsidRPr="0098777F" w:rsidR="0098777F">
        <w:rPr>
          <w:rFonts w:ascii="Times New Roman" w:hAnsi="Times New Roman" w:cs="Times New Roman"/>
          <w:sz w:val="24"/>
          <w:szCs w:val="24"/>
        </w:rPr>
        <w:t xml:space="preserve"> bank </w:t>
      </w:r>
      <w:r w:rsidRPr="0098777F" w:rsidR="0098777F">
        <w:rPr>
          <w:rFonts w:ascii="Times New Roman" w:hAnsi="Times New Roman" w:cs="Times New Roman"/>
          <w:sz w:val="24"/>
          <w:szCs w:val="24"/>
        </w:rPr>
        <w:t>terhadap</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konsep</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baru</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tentang</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i/>
          <w:iCs/>
          <w:sz w:val="24"/>
          <w:szCs w:val="24"/>
        </w:rPr>
        <w:t>green banking</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semestinya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tidak</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hanya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mengurangi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biaya</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dari</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aktivitas</w:t>
      </w:r>
      <w:r w:rsidRPr="0098777F" w:rsidR="0098777F">
        <w:rPr>
          <w:rFonts w:ascii="Times New Roman" w:hAnsi="Times New Roman" w:cs="Times New Roman"/>
          <w:sz w:val="24"/>
          <w:szCs w:val="24"/>
        </w:rPr>
        <w:t xml:space="preserve"> bank </w:t>
      </w:r>
      <w:r w:rsidRPr="0098777F" w:rsidR="0098777F">
        <w:rPr>
          <w:rFonts w:ascii="Times New Roman" w:hAnsi="Times New Roman" w:cs="Times New Roman"/>
          <w:sz w:val="24"/>
          <w:szCs w:val="24"/>
        </w:rPr>
        <w:t>tetapi</w:t>
      </w:r>
      <w:r w:rsidRPr="0098777F" w:rsidR="0098777F">
        <w:rPr>
          <w:rFonts w:ascii="Times New Roman" w:hAnsi="Times New Roman" w:cs="Times New Roman"/>
          <w:sz w:val="24"/>
          <w:szCs w:val="24"/>
        </w:rPr>
        <w:t xml:space="preserve"> juga </w:t>
      </w:r>
      <w:r w:rsidRPr="0098777F" w:rsidR="0098777F">
        <w:rPr>
          <w:rFonts w:ascii="Times New Roman" w:hAnsi="Times New Roman" w:cs="Times New Roman"/>
          <w:sz w:val="24"/>
          <w:szCs w:val="24"/>
        </w:rPr>
        <w:t>membantu</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keberlanjutan</w:t>
      </w:r>
      <w:r w:rsidRPr="0098777F" w:rsidR="0098777F">
        <w:rPr>
          <w:rFonts w:ascii="Times New Roman" w:hAnsi="Times New Roman" w:cs="Times New Roman"/>
          <w:sz w:val="24"/>
          <w:szCs w:val="24"/>
        </w:rPr>
        <w:t xml:space="preserve"> </w:t>
      </w:r>
      <w:r w:rsidRPr="0098777F" w:rsidR="0098777F">
        <w:rPr>
          <w:rFonts w:ascii="Times New Roman" w:hAnsi="Times New Roman" w:cs="Times New Roman"/>
          <w:sz w:val="24"/>
          <w:szCs w:val="24"/>
        </w:rPr>
        <w:t>lingkungan</w:t>
      </w:r>
      <w:r w:rsidR="0098777F">
        <w:rPr>
          <w:rFonts w:ascii="Times New Roman" w:hAnsi="Times New Roman" w:cs="Times New Roman"/>
          <w:sz w:val="24"/>
          <w:szCs w:val="24"/>
        </w:rPr>
        <w:t xml:space="preserve"> </w:t>
      </w:r>
      <w:r w:rsidR="0098777F">
        <w:rPr>
          <w:rFonts w:ascii="Times New Roman" w:hAnsi="Times New Roman" w:cs="Times New Roman"/>
          <w:sz w:val="24"/>
          <w:szCs w:val="24"/>
        </w:rPr>
        <w:fldChar w:fldCharType="begin" w:fldLock="1"/>
      </w:r>
      <w:r w:rsidR="0098777F">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Richard","author":[{"dropping-particle":"","family":"Handajani","given":"Lilik","non-dropping-particle":"","parse-names":false,"suffix":""},{"dropping-particle":"","family":"Husnan","given":"Lalu Hamdani","non-dropping-particle":"","parse-names":false,"suffix":""},{"dropping-particle":"","family":"Rifai","given":"Ahmad","non-dropping-particle":"","parse-names":false,"suffix":""}],"container-title":"Jurnal Economia Review of Business and Economics","id":"ITEM-1","issue":"1","issued":{"date-parts":[["2019"]]},"page":"1-16","title":"Kajian Tentang Inisiasi Praktik Green Banking Pada Bank BUMN di Indonesia","type":"article-journal","volume":"15"},"uris":["http://www.mendeley.com/documents/?uuid=1adfeff4-55c9-4ea1-ad28-9f51d664d69a"]}],"mendeley":{"formattedCitation":"(Handajani et al., 2019)","plainTextFormattedCitation":"(Handajani et al., 2019)","previouslyFormattedCitation":"(Handajani et al., 2019)"},"properties":{"noteIndex":0},"schema":"https://github.com/citation-style-language/schema/raw/master/csl-citation.json"}</w:instrText>
      </w:r>
      <w:r w:rsidR="0098777F">
        <w:rPr>
          <w:rFonts w:ascii="Times New Roman" w:hAnsi="Times New Roman" w:cs="Times New Roman"/>
          <w:sz w:val="24"/>
          <w:szCs w:val="24"/>
        </w:rPr>
        <w:fldChar w:fldCharType="separate"/>
      </w:r>
      <w:r w:rsidRPr="00A62B5E" w:rsidR="0098777F">
        <w:rPr>
          <w:rFonts w:ascii="Times New Roman" w:hAnsi="Times New Roman" w:cs="Times New Roman"/>
          <w:noProof/>
          <w:sz w:val="24"/>
          <w:szCs w:val="24"/>
        </w:rPr>
        <w:t>(Handajani et al., 2019)</w:t>
      </w:r>
      <w:r w:rsidR="0098777F">
        <w:rPr>
          <w:rFonts w:ascii="Times New Roman" w:hAnsi="Times New Roman" w:cs="Times New Roman"/>
          <w:sz w:val="24"/>
          <w:szCs w:val="24"/>
        </w:rPr>
        <w:fldChar w:fldCharType="end"/>
      </w:r>
      <w:r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Dengan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adanya</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penerapan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praktik</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i/>
          <w:iCs/>
          <w:sz w:val="24"/>
          <w:szCs w:val="24"/>
        </w:rPr>
        <w:t>green banking</w:t>
      </w:r>
      <w:r w:rsidRPr="005B331C" w:rsidR="0098777F">
        <w:rPr>
          <w:rFonts w:ascii="Times New Roman" w:hAnsi="Times New Roman" w:cs="Times New Roman"/>
          <w:sz w:val="24"/>
          <w:szCs w:val="24"/>
        </w:rPr>
        <w:t xml:space="preserve"> pada </w:t>
      </w:r>
      <w:r w:rsidRPr="005B331C" w:rsidR="0098777F">
        <w:rPr>
          <w:rFonts w:ascii="Times New Roman" w:hAnsi="Times New Roman" w:cs="Times New Roman"/>
          <w:sz w:val="24"/>
          <w:szCs w:val="24"/>
        </w:rPr>
        <w:t>perusahaan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perbankan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dapat</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memberikan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peningkatan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kualitas</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kinerja</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keuangan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dari</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perusahaan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perbankan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karena</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kepedulian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terhadap</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lingkungan</w:t>
      </w:r>
      <w:r w:rsidRPr="005B331C" w:rsidR="0098777F">
        <w:rPr>
          <w:rFonts w:ascii="Times New Roman" w:hAnsi="Times New Roman" w:cs="Times New Roman"/>
          <w:sz w:val="24"/>
          <w:szCs w:val="24"/>
        </w:rPr>
        <w:t xml:space="preserve"> dan </w:t>
      </w:r>
      <w:r w:rsidRPr="005B331C" w:rsidR="0098777F">
        <w:rPr>
          <w:rFonts w:ascii="Times New Roman" w:hAnsi="Times New Roman" w:cs="Times New Roman"/>
          <w:sz w:val="24"/>
          <w:szCs w:val="24"/>
        </w:rPr>
        <w:t>sosial</w:t>
      </w:r>
      <w:r w:rsidRPr="005B331C" w:rsidR="0098777F">
        <w:rPr>
          <w:rFonts w:ascii="Times New Roman" w:hAnsi="Times New Roman" w:cs="Times New Roman"/>
          <w:sz w:val="24"/>
          <w:szCs w:val="24"/>
        </w:rPr>
        <w:t xml:space="preserve"> yang </w:t>
      </w:r>
      <w:r w:rsidRPr="005B331C" w:rsidR="0098777F">
        <w:rPr>
          <w:rFonts w:ascii="Times New Roman" w:hAnsi="Times New Roman" w:cs="Times New Roman"/>
          <w:sz w:val="24"/>
          <w:szCs w:val="24"/>
        </w:rPr>
        <w:t>dapat</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meningkat</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sehingga</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nilai</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perusahaan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akan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meningkat</w:t>
      </w:r>
      <w:r w:rsidRPr="005B331C" w:rsidR="0098777F">
        <w:rPr>
          <w:rFonts w:ascii="Times New Roman" w:hAnsi="Times New Roman" w:cs="Times New Roman"/>
          <w:sz w:val="24"/>
          <w:szCs w:val="24"/>
        </w:rPr>
        <w:t xml:space="preserve">. Dimana </w:t>
      </w:r>
      <w:r w:rsidRPr="005B331C" w:rsidR="0098777F">
        <w:rPr>
          <w:rFonts w:ascii="Times New Roman" w:hAnsi="Times New Roman" w:cs="Times New Roman"/>
          <w:sz w:val="24"/>
          <w:szCs w:val="24"/>
        </w:rPr>
        <w:t>hal</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tersebut</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akan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membuat</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peningkatan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dalam</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kinerja</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keuangan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perbankan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karena</w:t>
      </w:r>
      <w:r w:rsidRPr="005B331C" w:rsidR="0098777F">
        <w:rPr>
          <w:rFonts w:ascii="Times New Roman" w:hAnsi="Times New Roman" w:cs="Times New Roman"/>
          <w:sz w:val="24"/>
          <w:szCs w:val="24"/>
        </w:rPr>
        <w:t xml:space="preserve"> para investor </w:t>
      </w:r>
      <w:r w:rsidRPr="005B331C" w:rsidR="0098777F">
        <w:rPr>
          <w:rFonts w:ascii="Times New Roman" w:hAnsi="Times New Roman" w:cs="Times New Roman"/>
          <w:sz w:val="24"/>
          <w:szCs w:val="24"/>
        </w:rPr>
        <w:t>ataupun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masyarakat</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akan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melakukan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transaksi</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dengan</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perbankan</w:t>
      </w:r>
      <w:r w:rsidRPr="005B331C" w:rsidR="0098777F">
        <w:rPr>
          <w:rFonts w:ascii="Times New Roman" w:hAnsi="Times New Roman" w:cs="Times New Roman"/>
          <w:sz w:val="24"/>
          <w:szCs w:val="24"/>
        </w:rPr>
        <w:t xml:space="preserve"> yang </w:t>
      </w:r>
      <w:r w:rsidRPr="005B331C" w:rsidR="0098777F">
        <w:rPr>
          <w:rFonts w:ascii="Times New Roman" w:hAnsi="Times New Roman" w:cs="Times New Roman"/>
          <w:sz w:val="24"/>
          <w:szCs w:val="24"/>
        </w:rPr>
        <w:t>memiliki</w:t>
      </w:r>
      <w:r w:rsidRPr="005B331C" w:rsidR="0098777F">
        <w:rPr>
          <w:rFonts w:ascii="Times New Roman" w:hAnsi="Times New Roman" w:cs="Times New Roman"/>
          <w:sz w:val="24"/>
          <w:szCs w:val="24"/>
        </w:rPr>
        <w:t xml:space="preserve"> </w:t>
      </w:r>
      <w:r w:rsidRPr="005B331C" w:rsidR="0098777F">
        <w:rPr>
          <w:rFonts w:ascii="Times New Roman" w:hAnsi="Times New Roman" w:cs="Times New Roman"/>
          <w:sz w:val="24"/>
          <w:szCs w:val="24"/>
        </w:rPr>
        <w:t>nilai</w:t>
      </w:r>
      <w:r w:rsidRPr="005B331C" w:rsidR="0098777F">
        <w:rPr>
          <w:rFonts w:ascii="Times New Roman" w:hAnsi="Times New Roman" w:cs="Times New Roman"/>
          <w:sz w:val="24"/>
          <w:szCs w:val="24"/>
        </w:rPr>
        <w:t xml:space="preserve"> yang </w:t>
      </w:r>
      <w:r w:rsidRPr="005B331C" w:rsidR="0098777F">
        <w:rPr>
          <w:rFonts w:ascii="Times New Roman" w:hAnsi="Times New Roman" w:cs="Times New Roman"/>
          <w:sz w:val="24"/>
          <w:szCs w:val="24"/>
        </w:rPr>
        <w:t>baik</w:t>
      </w:r>
      <w:r w:rsidRPr="005B331C" w:rsidR="0098777F">
        <w:rPr>
          <w:rFonts w:ascii="Times New Roman" w:hAnsi="Times New Roman" w:cs="Times New Roman"/>
          <w:sz w:val="24"/>
          <w:szCs w:val="24"/>
        </w:rPr>
        <w:t>.</w:t>
      </w:r>
    </w:p>
    <w:p w:rsidR="00715E91" w:rsidP="001D28D7" w14:paraId="516C3C64" w14:textId="588C4FFC">
      <w:pPr>
        <w:pStyle w:val="ListParagraph"/>
        <w:spacing w:after="0" w:line="480" w:lineRule="auto"/>
        <w:ind w:firstLine="720"/>
        <w:jc w:val="both"/>
        <w:rPr>
          <w:rFonts w:ascii="Times New Roman" w:hAnsi="Times New Roman" w:cs="Times New Roman"/>
          <w:sz w:val="24"/>
          <w:szCs w:val="24"/>
        </w:rPr>
      </w:pPr>
      <w:r w:rsidRPr="00D53209">
        <w:rPr>
          <w:rFonts w:ascii="Times New Roman" w:hAnsi="Times New Roman" w:cs="Times New Roman"/>
          <w:sz w:val="24"/>
          <w:szCs w:val="24"/>
        </w:rPr>
        <w:t>Ha</w:t>
      </w:r>
      <w:r>
        <w:rPr>
          <w:rFonts w:ascii="Times New Roman" w:hAnsi="Times New Roman" w:cs="Times New Roman"/>
          <w:sz w:val="24"/>
          <w:szCs w:val="24"/>
        </w:rPr>
        <w:t>sil</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ini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menunjukkan</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bahwa</w:t>
      </w:r>
      <w:r w:rsidRPr="00D53209">
        <w:rPr>
          <w:rFonts w:ascii="Times New Roman" w:hAnsi="Times New Roman" w:cs="Times New Roman"/>
          <w:sz w:val="24"/>
          <w:szCs w:val="24"/>
        </w:rPr>
        <w:t xml:space="preserve"> bank yang </w:t>
      </w:r>
      <w:r w:rsidRPr="00D53209">
        <w:rPr>
          <w:rFonts w:ascii="Times New Roman" w:hAnsi="Times New Roman" w:cs="Times New Roman"/>
          <w:sz w:val="24"/>
          <w:szCs w:val="24"/>
        </w:rPr>
        <w:t>menerapkan</w:t>
      </w:r>
      <w:r w:rsidRPr="00D53209">
        <w:rPr>
          <w:rFonts w:ascii="Times New Roman" w:hAnsi="Times New Roman" w:cs="Times New Roman"/>
          <w:sz w:val="24"/>
          <w:szCs w:val="24"/>
        </w:rPr>
        <w:t xml:space="preserve"> </w:t>
      </w:r>
      <w:r w:rsidRPr="00D53209">
        <w:rPr>
          <w:rFonts w:ascii="Times New Roman" w:hAnsi="Times New Roman" w:cs="Times New Roman"/>
          <w:i/>
          <w:iCs/>
          <w:sz w:val="24"/>
          <w:szCs w:val="24"/>
        </w:rPr>
        <w:t>green banking</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dalam</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operasional</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sehari-hari</w:t>
      </w:r>
      <w:r>
        <w:rPr>
          <w:rFonts w:ascii="Times New Roman" w:hAnsi="Times New Roman" w:cs="Times New Roman"/>
          <w:sz w:val="24"/>
          <w:szCs w:val="24"/>
        </w:rPr>
        <w:t>,</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sudah</w:t>
      </w:r>
      <w:r w:rsidRPr="00D53209">
        <w:rPr>
          <w:rFonts w:ascii="Times New Roman" w:hAnsi="Times New Roman" w:cs="Times New Roman"/>
          <w:sz w:val="24"/>
          <w:szCs w:val="24"/>
        </w:rPr>
        <w:t xml:space="preserve"> optimal </w:t>
      </w:r>
      <w:r w:rsidRPr="00D53209">
        <w:rPr>
          <w:rFonts w:ascii="Times New Roman" w:hAnsi="Times New Roman" w:cs="Times New Roman"/>
          <w:sz w:val="24"/>
          <w:szCs w:val="24"/>
        </w:rPr>
        <w:t>dalam</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memanfaatkan</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teknologi</w:t>
      </w:r>
      <w:r w:rsidRPr="00D53209">
        <w:rPr>
          <w:rFonts w:ascii="Times New Roman" w:hAnsi="Times New Roman" w:cs="Times New Roman"/>
          <w:sz w:val="24"/>
          <w:szCs w:val="24"/>
        </w:rPr>
        <w:t xml:space="preserve"> yang </w:t>
      </w:r>
      <w:r w:rsidRPr="00D53209">
        <w:rPr>
          <w:rFonts w:ascii="Times New Roman" w:hAnsi="Times New Roman" w:cs="Times New Roman"/>
          <w:sz w:val="24"/>
          <w:szCs w:val="24"/>
        </w:rPr>
        <w:t>ada</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sehingga</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kegiatan</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operasional</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menjadi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lebih</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efisien</w:t>
      </w:r>
      <w:r w:rsidRPr="00D53209">
        <w:rPr>
          <w:rFonts w:ascii="Times New Roman" w:hAnsi="Times New Roman" w:cs="Times New Roman"/>
          <w:sz w:val="24"/>
          <w:szCs w:val="24"/>
        </w:rPr>
        <w:t xml:space="preserve"> dan </w:t>
      </w:r>
      <w:r w:rsidRPr="00D53209">
        <w:rPr>
          <w:rFonts w:ascii="Times New Roman" w:hAnsi="Times New Roman" w:cs="Times New Roman"/>
          <w:sz w:val="24"/>
          <w:szCs w:val="24"/>
        </w:rPr>
        <w:t>dari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pihak</w:t>
      </w:r>
      <w:r w:rsidRPr="00D53209">
        <w:rPr>
          <w:rFonts w:ascii="Times New Roman" w:hAnsi="Times New Roman" w:cs="Times New Roman"/>
          <w:sz w:val="24"/>
          <w:szCs w:val="24"/>
        </w:rPr>
        <w:t xml:space="preserve"> bank </w:t>
      </w:r>
      <w:r w:rsidRPr="00D53209">
        <w:rPr>
          <w:rFonts w:ascii="Times New Roman" w:hAnsi="Times New Roman" w:cs="Times New Roman"/>
          <w:sz w:val="24"/>
          <w:szCs w:val="24"/>
        </w:rPr>
        <w:t>secara</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berkala</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mengedukasi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nasabah</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untuk</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bertransaksi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secara</w:t>
      </w:r>
      <w:r w:rsidRPr="00D53209">
        <w:rPr>
          <w:rFonts w:ascii="Times New Roman" w:hAnsi="Times New Roman" w:cs="Times New Roman"/>
          <w:sz w:val="24"/>
          <w:szCs w:val="24"/>
        </w:rPr>
        <w:t xml:space="preserve"> </w:t>
      </w:r>
      <w:r w:rsidRPr="00D53209">
        <w:rPr>
          <w:rFonts w:ascii="Times New Roman" w:hAnsi="Times New Roman" w:cs="Times New Roman"/>
          <w:i/>
          <w:iCs/>
          <w:sz w:val="24"/>
          <w:szCs w:val="24"/>
        </w:rPr>
        <w:t>online</w:t>
      </w:r>
      <w:r w:rsidRPr="00D53209">
        <w:rPr>
          <w:rFonts w:ascii="Times New Roman" w:hAnsi="Times New Roman" w:cs="Times New Roman"/>
          <w:sz w:val="24"/>
          <w:szCs w:val="24"/>
        </w:rPr>
        <w:t xml:space="preserve"> agar </w:t>
      </w:r>
      <w:r w:rsidRPr="00D53209">
        <w:rPr>
          <w:rFonts w:ascii="Times New Roman" w:hAnsi="Times New Roman" w:cs="Times New Roman"/>
          <w:sz w:val="24"/>
          <w:szCs w:val="24"/>
        </w:rPr>
        <w:t>lebih</w:t>
      </w:r>
      <w:r w:rsidRPr="00D53209">
        <w:rPr>
          <w:rFonts w:ascii="Times New Roman" w:hAnsi="Times New Roman" w:cs="Times New Roman"/>
          <w:sz w:val="24"/>
          <w:szCs w:val="24"/>
        </w:rPr>
        <w:t xml:space="preserve"> </w:t>
      </w:r>
      <w:r w:rsidRPr="00D53209">
        <w:rPr>
          <w:rFonts w:ascii="Times New Roman" w:hAnsi="Times New Roman" w:cs="Times New Roman"/>
          <w:i/>
          <w:iCs/>
          <w:sz w:val="24"/>
          <w:szCs w:val="24"/>
        </w:rPr>
        <w:t>paperless</w:t>
      </w:r>
      <w:r w:rsidRPr="00D5320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pengurangan</w:t>
      </w:r>
      <w:r>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rPr>
        <w:t xml:space="preserve"> </w:t>
      </w:r>
      <w:r>
        <w:rPr>
          <w:rFonts w:ascii="Times New Roman" w:hAnsi="Times New Roman" w:cs="Times New Roman"/>
          <w:sz w:val="24"/>
          <w:szCs w:val="24"/>
        </w:rPr>
        <w:t>kertas</w:t>
      </w:r>
      <w:r>
        <w:rPr>
          <w:rFonts w:ascii="Times New Roman" w:hAnsi="Times New Roman" w:cs="Times New Roman"/>
          <w:sz w:val="24"/>
          <w:szCs w:val="24"/>
        </w:rPr>
        <w:t xml:space="preserve">) </w:t>
      </w:r>
      <w:r w:rsidRPr="00D53209">
        <w:rPr>
          <w:rFonts w:ascii="Times New Roman" w:hAnsi="Times New Roman" w:cs="Times New Roman"/>
          <w:sz w:val="24"/>
          <w:szCs w:val="24"/>
        </w:rPr>
        <w:t xml:space="preserve">yang mana </w:t>
      </w:r>
      <w:r w:rsidRPr="00D53209">
        <w:rPr>
          <w:rFonts w:ascii="Times New Roman" w:hAnsi="Times New Roman" w:cs="Times New Roman"/>
          <w:sz w:val="24"/>
          <w:szCs w:val="24"/>
        </w:rPr>
        <w:t>diharapkan</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dapat</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mengurangi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biaya</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operasional</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serta</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meningkatkan</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efisiensi</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mampu</w:t>
      </w:r>
      <w:r w:rsidRPr="00D53209">
        <w:rPr>
          <w:rFonts w:ascii="Times New Roman" w:hAnsi="Times New Roman" w:cs="Times New Roman"/>
          <w:sz w:val="24"/>
          <w:szCs w:val="24"/>
        </w:rPr>
        <w:t xml:space="preserve"> </w:t>
      </w:r>
      <w:r w:rsidRPr="00D53209">
        <w:rPr>
          <w:rFonts w:ascii="Times New Roman" w:hAnsi="Times New Roman" w:cs="Times New Roman"/>
          <w:sz w:val="24"/>
          <w:szCs w:val="24"/>
        </w:rPr>
        <w:t>meningkatkan</w:t>
      </w:r>
      <w:r w:rsidRPr="00D53209">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dikatakan</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menjalankan</w:t>
      </w:r>
      <w:r>
        <w:rPr>
          <w:rFonts w:ascii="Times New Roman" w:hAnsi="Times New Roman" w:cs="Times New Roman"/>
          <w:sz w:val="24"/>
          <w:szCs w:val="24"/>
        </w:rPr>
        <w:t xml:space="preserve"> </w:t>
      </w:r>
      <w:r>
        <w:rPr>
          <w:rFonts w:ascii="Times New Roman" w:hAnsi="Times New Roman" w:cs="Times New Roman"/>
          <w:sz w:val="24"/>
          <w:szCs w:val="24"/>
        </w:rPr>
        <w:t>kontrak</w:t>
      </w:r>
      <w:r>
        <w:rPr>
          <w:rFonts w:ascii="Times New Roman" w:hAnsi="Times New Roman" w:cs="Times New Roman"/>
          <w:sz w:val="24"/>
          <w:szCs w:val="24"/>
        </w:rPr>
        <w:t xml:space="preserve"> </w:t>
      </w:r>
      <w:r>
        <w:rPr>
          <w:rFonts w:ascii="Times New Roman" w:hAnsi="Times New Roman" w:cs="Times New Roman"/>
          <w:sz w:val="24"/>
          <w:szCs w:val="24"/>
        </w:rPr>
        <w:t>sosial</w:t>
      </w:r>
      <w:r>
        <w:rPr>
          <w:rFonts w:ascii="Times New Roman" w:hAnsi="Times New Roman" w:cs="Times New Roman"/>
          <w:sz w:val="24"/>
          <w:szCs w:val="24"/>
        </w:rPr>
        <w:t xml:space="preserve"> </w:t>
      </w:r>
      <w:r>
        <w:rPr>
          <w:rFonts w:ascii="Times New Roman" w:hAnsi="Times New Roman" w:cs="Times New Roman"/>
          <w:sz w:val="24"/>
          <w:szCs w:val="24"/>
        </w:rPr>
        <w:t>dimana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juga </w:t>
      </w:r>
      <w:r>
        <w:rPr>
          <w:rFonts w:ascii="Times New Roman" w:hAnsi="Times New Roman" w:cs="Times New Roman"/>
          <w:sz w:val="24"/>
          <w:szCs w:val="24"/>
        </w:rPr>
        <w:t>mengedukasi</w:t>
      </w:r>
      <w:r>
        <w:rPr>
          <w:rFonts w:ascii="Times New Roman" w:hAnsi="Times New Roman" w:cs="Times New Roman"/>
          <w:sz w:val="24"/>
          <w:szCs w:val="24"/>
        </w:rPr>
        <w:t xml:space="preserve"> </w:t>
      </w:r>
      <w:r>
        <w:rPr>
          <w:rFonts w:ascii="Times New Roman" w:hAnsi="Times New Roman" w:cs="Times New Roman"/>
          <w:sz w:val="24"/>
          <w:szCs w:val="24"/>
        </w:rPr>
        <w:t>masyrakat</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penggunaan</w:t>
      </w:r>
      <w:r>
        <w:rPr>
          <w:rFonts w:ascii="Times New Roman" w:hAnsi="Times New Roman" w:cs="Times New Roman"/>
          <w:sz w:val="24"/>
          <w:szCs w:val="24"/>
        </w:rPr>
        <w:t xml:space="preserve"> </w:t>
      </w:r>
      <w:r>
        <w:rPr>
          <w:rFonts w:ascii="Times New Roman" w:hAnsi="Times New Roman" w:cs="Times New Roman"/>
          <w:sz w:val="24"/>
          <w:szCs w:val="24"/>
        </w:rPr>
        <w:t>teknologi</w:t>
      </w:r>
      <w:r>
        <w:rPr>
          <w:rFonts w:ascii="Times New Roman" w:hAnsi="Times New Roman" w:cs="Times New Roman"/>
          <w:sz w:val="24"/>
          <w:szCs w:val="24"/>
        </w:rPr>
        <w:t xml:space="preserve"> dan </w:t>
      </w:r>
      <w:r>
        <w:rPr>
          <w:rFonts w:ascii="Times New Roman" w:hAnsi="Times New Roman" w:cs="Times New Roman"/>
          <w:sz w:val="24"/>
          <w:szCs w:val="24"/>
        </w:rPr>
        <w:t>ikut</w:t>
      </w:r>
      <w:r>
        <w:rPr>
          <w:rFonts w:ascii="Times New Roman" w:hAnsi="Times New Roman" w:cs="Times New Roman"/>
          <w:sz w:val="24"/>
          <w:szCs w:val="24"/>
        </w:rPr>
        <w:t xml:space="preserve"> </w:t>
      </w:r>
      <w:r>
        <w:rPr>
          <w:rFonts w:ascii="Times New Roman" w:hAnsi="Times New Roman" w:cs="Times New Roman"/>
          <w:sz w:val="24"/>
          <w:szCs w:val="24"/>
        </w:rPr>
        <w:t>melestarikan</w:t>
      </w:r>
      <w:r>
        <w:rPr>
          <w:rFonts w:ascii="Times New Roman" w:hAnsi="Times New Roman" w:cs="Times New Roman"/>
          <w:sz w:val="24"/>
          <w:szCs w:val="24"/>
        </w:rPr>
        <w:t xml:space="preserve"> </w:t>
      </w:r>
      <w:r>
        <w:rPr>
          <w:rFonts w:ascii="Times New Roman" w:hAnsi="Times New Roman" w:cs="Times New Roman"/>
          <w:sz w:val="24"/>
          <w:szCs w:val="24"/>
        </w:rPr>
        <w:t>alam</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mengurangi</w:t>
      </w:r>
      <w:r>
        <w:rPr>
          <w:rFonts w:ascii="Times New Roman" w:hAnsi="Times New Roman" w:cs="Times New Roman"/>
          <w:sz w:val="24"/>
          <w:szCs w:val="24"/>
        </w:rPr>
        <w:t xml:space="preserve"> </w:t>
      </w:r>
      <w:r>
        <w:rPr>
          <w:rFonts w:ascii="Times New Roman" w:hAnsi="Times New Roman" w:cs="Times New Roman"/>
          <w:sz w:val="24"/>
          <w:szCs w:val="24"/>
        </w:rPr>
        <w:t>penggunaan</w:t>
      </w:r>
      <w:r>
        <w:rPr>
          <w:rFonts w:ascii="Times New Roman" w:hAnsi="Times New Roman" w:cs="Times New Roman"/>
          <w:sz w:val="24"/>
          <w:szCs w:val="24"/>
        </w:rPr>
        <w:t xml:space="preserve"> </w:t>
      </w:r>
      <w:r>
        <w:rPr>
          <w:rFonts w:ascii="Times New Roman" w:hAnsi="Times New Roman" w:cs="Times New Roman"/>
          <w:sz w:val="24"/>
          <w:szCs w:val="24"/>
        </w:rPr>
        <w:t>julah</w:t>
      </w:r>
      <w:r>
        <w:rPr>
          <w:rFonts w:ascii="Times New Roman" w:hAnsi="Times New Roman" w:cs="Times New Roman"/>
          <w:sz w:val="24"/>
          <w:szCs w:val="24"/>
        </w:rPr>
        <w:t xml:space="preserve"> </w:t>
      </w:r>
      <w:r>
        <w:rPr>
          <w:rFonts w:ascii="Times New Roman" w:hAnsi="Times New Roman" w:cs="Times New Roman"/>
          <w:sz w:val="24"/>
          <w:szCs w:val="24"/>
        </w:rPr>
        <w:t>kertas</w:t>
      </w:r>
      <w:r>
        <w:rPr>
          <w:rFonts w:ascii="Times New Roman" w:hAnsi="Times New Roman" w:cs="Times New Roman"/>
          <w:sz w:val="24"/>
          <w:szCs w:val="24"/>
        </w:rPr>
        <w:t xml:space="preserve">. </w:t>
      </w:r>
      <w:r w:rsidRPr="005B331C" w:rsidR="0073442A">
        <w:rPr>
          <w:rFonts w:ascii="Times New Roman" w:hAnsi="Times New Roman" w:cs="Times New Roman"/>
          <w:sz w:val="24"/>
          <w:szCs w:val="24"/>
        </w:rPr>
        <w:t xml:space="preserve">Hal </w:t>
      </w:r>
      <w:r w:rsidRPr="005B331C" w:rsidR="0073442A">
        <w:rPr>
          <w:rFonts w:ascii="Times New Roman" w:hAnsi="Times New Roman" w:cs="Times New Roman"/>
          <w:sz w:val="24"/>
          <w:szCs w:val="24"/>
        </w:rPr>
        <w:t>ini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selaras</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dengan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penelitian</w:t>
      </w:r>
      <w:r w:rsidR="00FF66FB">
        <w:rPr>
          <w:rFonts w:ascii="Times New Roman" w:hAnsi="Times New Roman" w:cs="Times New Roman"/>
          <w:sz w:val="24"/>
          <w:szCs w:val="24"/>
        </w:rPr>
        <w:t xml:space="preserve"> </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fldChar w:fldCharType="begin" w:fldLock="1"/>
      </w:r>
      <w:r w:rsidRPr="005B331C" w:rsidR="0073442A">
        <w:rPr>
          <w:rFonts w:ascii="Times New Roman" w:hAnsi="Times New Roman" w:cs="Times New Roman"/>
          <w:sz w:val="24"/>
          <w:szCs w:val="24"/>
        </w:rPr>
        <w:instrText>ADDIN CSL_CITATION {"citationItems":[{"id":"ITEM-1","itemData":{"DOI":"10.26487/jbmi.v17i2.11264","ISSN":"0216-4132","abstract":"Green banking adalah aktivitas operasional perbankan yang ramah lingkungan. Penelitian ini menganalisis penerapan green banking, dan kinerja keuangan terhadap profitabilitas bank di Indonesia periode 2016-2019. Sampel penelitian menggunakan metode purposive sampling dan di peroleh 9 bank yang sesuai kriteria. Pengujian data menggunakan analisis regresi berganda. Hasil penelitian menunjukkan bahwa kebijakan green banking berpengaruh positif signifikan terhadap profitabilitas, kecukupan modal tidak berpengaruh negatif signifikan terhadap profitabilitas, kredit bermasalah tidak berpengaruh negatif signifikan terhadap profitabilitas, efisiensi bank berpengaruh negatif signifikan terhadap profitabilitas, tingkat likuiditas bank tidak berpengaruh positif signifikan terhadap profitabilitas. Green banking is an environmentally friendly banking operational activity. This study analyzes the implementation of green banking and financial performance to profitability of banks in Indonesia period 2016-2019. The research sample used purposive sampling method and obtained 9 banks that match the criteria. Testing data using multiple regression analysis. The results of this study indicate that green banking policy had a significant positive effect on profitability, capital adequacy had no significant negative effect on profitability, non-performing loans had no significant negative effect on profitability, bank efficiency had a significant negative effect on profitability, the level of bank liquidity had no significant positive effect on profitability.","author":[{"dropping-particle":"","family":"Anggraini","given":"Diah","non-dropping-particle":"","parse-names":false,"suffix":""},{"dropping-particle":"","family":"Aryani","given":"Dwinita","non-dropping-particle":"","parse-names":false,"suffix":""},{"dropping-particle":"","family":"Prasetyo","given":"Irawan Budi","non-dropping-particle":"","parse-names":false,"suffix":""}],"container-title":"JBMI (Jurnal Bisnis, Manajemen, dan Informatika)","id":"ITEM-1","issue":"2","issued":{"date-parts":[["2020"]]},"page":"141-161","title":"Analisis Implementasi Green Banking Dan Kinerja Keuangan Terhadap Profitabilitas Bank Di Indonesia (2016-2019)","type":"article-journal","volume":"17"},"uris":["http://www.mendeley.com/documents/?uuid=4ea35341-f8c1-45e4-8c1d-09382fc6cbc3"]}],"mendeley":{"formattedCitation":"(D. Anggraini et al., 2020)","plainTextFormattedCitation":"(D. Anggraini et al., 2020)","previouslyFormattedCitation":"(D. Anggraini et al., 2020)"},"properties":{"noteIndex":0},"schema":"https://github.com/citation-style-language/schema/raw/master/csl-citation.json"}</w:instrText>
      </w:r>
      <w:r w:rsidRPr="005B331C" w:rsidR="0073442A">
        <w:rPr>
          <w:rFonts w:ascii="Times New Roman" w:hAnsi="Times New Roman" w:cs="Times New Roman"/>
          <w:sz w:val="24"/>
          <w:szCs w:val="24"/>
        </w:rPr>
        <w:fldChar w:fldCharType="separate"/>
      </w:r>
      <w:r w:rsidRPr="005B331C" w:rsidR="0073442A">
        <w:rPr>
          <w:rFonts w:ascii="Times New Roman" w:hAnsi="Times New Roman" w:cs="Times New Roman"/>
          <w:noProof/>
          <w:sz w:val="24"/>
          <w:szCs w:val="24"/>
        </w:rPr>
        <w:t xml:space="preserve">D. Anggraini et al., </w:t>
      </w:r>
      <w:r w:rsidR="000304D1">
        <w:rPr>
          <w:rFonts w:ascii="Times New Roman" w:hAnsi="Times New Roman" w:cs="Times New Roman"/>
          <w:noProof/>
          <w:sz w:val="24"/>
          <w:szCs w:val="24"/>
        </w:rPr>
        <w:t>(</w:t>
      </w:r>
      <w:r w:rsidRPr="005B331C" w:rsidR="0073442A">
        <w:rPr>
          <w:rFonts w:ascii="Times New Roman" w:hAnsi="Times New Roman" w:cs="Times New Roman"/>
          <w:noProof/>
          <w:sz w:val="24"/>
          <w:szCs w:val="24"/>
        </w:rPr>
        <w:t>2020)</w:t>
      </w:r>
      <w:r w:rsidRPr="005B331C" w:rsidR="0073442A">
        <w:rPr>
          <w:rFonts w:ascii="Times New Roman" w:hAnsi="Times New Roman" w:cs="Times New Roman"/>
          <w:sz w:val="24"/>
          <w:szCs w:val="24"/>
        </w:rPr>
        <w:fldChar w:fldCharType="end"/>
      </w:r>
      <w:r w:rsidRPr="005B331C" w:rsidR="0073442A">
        <w:rPr>
          <w:rFonts w:ascii="Times New Roman" w:hAnsi="Times New Roman" w:cs="Times New Roman"/>
          <w:sz w:val="24"/>
          <w:szCs w:val="24"/>
        </w:rPr>
        <w:t xml:space="preserve"> yang mana </w:t>
      </w:r>
      <w:r w:rsidRPr="005B331C" w:rsidR="0073442A">
        <w:rPr>
          <w:rFonts w:ascii="Times New Roman" w:hAnsi="Times New Roman" w:cs="Times New Roman"/>
          <w:sz w:val="24"/>
          <w:szCs w:val="24"/>
        </w:rPr>
        <w:t>dikatakan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jika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menerapkan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praktik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i/>
          <w:iCs/>
          <w:sz w:val="24"/>
          <w:szCs w:val="24"/>
        </w:rPr>
        <w:t>green banking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operasionalnya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ini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dapat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meningkatkan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kenyamanan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sehingga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masyarakat</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lebih</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sering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menggunakan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jasa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hal</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itu</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tentunya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meningkatkan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kualitas</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kinerja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keuangan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perusahaan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Seperti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dalam</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penelitian</w:t>
      </w:r>
      <w:r w:rsidR="004038D2">
        <w:rPr>
          <w:rFonts w:ascii="Times New Roman" w:hAnsi="Times New Roman" w:cs="Times New Roman"/>
          <w:sz w:val="24"/>
          <w:szCs w:val="24"/>
        </w:rPr>
        <w:t xml:space="preserve"> </w:t>
      </w:r>
      <w:r w:rsidRPr="00715E91">
        <w:rPr>
          <w:rFonts w:ascii="Times New Roman" w:hAnsi="Times New Roman" w:cs="Times New Roman"/>
          <w:sz w:val="24"/>
          <w:szCs w:val="24"/>
        </w:rPr>
        <w:fldChar w:fldCharType="begin" w:fldLock="1"/>
      </w:r>
      <w:r w:rsidRPr="00715E91">
        <w:rPr>
          <w:rFonts w:ascii="Times New Roman" w:hAnsi="Times New Roman" w:cs="Times New Roman"/>
          <w:sz w:val="24"/>
          <w:szCs w:val="24"/>
        </w:rPr>
        <w:instrText>ADDIN CSL_CITATION {"citationItems":[{"id":"ITEM-1","itemData":{"author":[{"dropping-particle":"","family":"Wrespatiningsih","given":"Hayu Mas","non-dropping-particle":"","parse-names":false,"suffix":""},{"dropping-particle":"","family":"Mahyuni","given":"Luh Putu","non-dropping-particle":"","parse-names":false,"suffix":""}],"container-title":"Jurnal Akuntansi Berkelanjutan Indonesia","id":"ITEM-1","issue":"1","issued":{"date-parts":[["2022"]]},"title":"Praktik Green Banking Dalam Memediasi Pengaruh Corporate Social Responsibility Terhadap Kinerja Perusahaan Perbankan","type":"article-journal","volume":"Vol 5"},"uris":["http://www.mendeley.com/documents/?uuid=7af90762-7ea4-37d4-9186-0322a70948f9"]}],"mendeley":{"formattedCitation":"(Wrespatiningsih &amp; Mahyuni, 2022)","plainTextFormattedCitation":"(Wrespatiningsih &amp; Mahyuni, 2022)","previouslyFormattedCitation":"(Wrespatiningsih &amp; Mahyuni, 2022)"},"properties":{"noteIndex":0},"schema":"https://github.com/citation-style-language/schema/raw/master/csl-citation.json"}</w:instrText>
      </w:r>
      <w:r w:rsidRPr="00715E91">
        <w:rPr>
          <w:rFonts w:ascii="Times New Roman" w:hAnsi="Times New Roman" w:cs="Times New Roman"/>
          <w:sz w:val="24"/>
          <w:szCs w:val="24"/>
        </w:rPr>
        <w:fldChar w:fldCharType="separate"/>
      </w:r>
      <w:r w:rsidRPr="00715E91">
        <w:rPr>
          <w:rFonts w:ascii="Times New Roman" w:hAnsi="Times New Roman" w:cs="Times New Roman"/>
          <w:noProof/>
          <w:sz w:val="24"/>
          <w:szCs w:val="24"/>
        </w:rPr>
        <w:t xml:space="preserve">Wrespatiningsih &amp; Mahyuni, </w:t>
      </w:r>
      <w:r w:rsidR="000304D1">
        <w:rPr>
          <w:rFonts w:ascii="Times New Roman" w:hAnsi="Times New Roman" w:cs="Times New Roman"/>
          <w:noProof/>
          <w:sz w:val="24"/>
          <w:szCs w:val="24"/>
        </w:rPr>
        <w:t>(</w:t>
      </w:r>
      <w:r w:rsidRPr="00715E91">
        <w:rPr>
          <w:rFonts w:ascii="Times New Roman" w:hAnsi="Times New Roman" w:cs="Times New Roman"/>
          <w:noProof/>
          <w:sz w:val="24"/>
          <w:szCs w:val="24"/>
        </w:rPr>
        <w:t>2022)</w:t>
      </w:r>
      <w:r w:rsidRPr="00715E91">
        <w:rPr>
          <w:rFonts w:ascii="Times New Roman" w:hAnsi="Times New Roman" w:cs="Times New Roman"/>
          <w:sz w:val="24"/>
          <w:szCs w:val="24"/>
        </w:rPr>
        <w:fldChar w:fldCharType="end"/>
      </w:r>
      <w:r w:rsidR="00FF66FB">
        <w:rPr>
          <w:rFonts w:ascii="Times New Roman" w:hAnsi="Times New Roman" w:cs="Times New Roman"/>
          <w:sz w:val="24"/>
          <w:szCs w:val="24"/>
        </w:rPr>
        <w:t xml:space="preserve"> &amp; </w:t>
      </w:r>
      <w:r w:rsidR="00FF66FB">
        <w:rPr>
          <w:rFonts w:ascii="Times New Roman" w:hAnsi="Times New Roman" w:cs="Times New Roman"/>
          <w:sz w:val="24"/>
          <w:szCs w:val="24"/>
        </w:rPr>
        <w:fldChar w:fldCharType="begin" w:fldLock="1"/>
      </w:r>
      <w:r w:rsidR="00FF66FB">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Richard","author":[{"dropping-particle":"","family":"Handajani","given":"Lilik","non-dropping-particle":"","parse-names":false,"suffix":""},{"dropping-particle":"","family":"Husnan","given":"Lalu Hamdani","non-dropping-particle":"","parse-names":false,"suffix":""},{"dropping-particle":"","family":"Rifai","given":"Ahmad","non-dropping-particle":"","parse-names":false,"suffix":""}],"container-title":"Jurnal Economia Review of Business and Economics","id":"ITEM-1","issue":"1","issued":{"date-parts":[["2019"]]},"page":"1-16","title":"Kajian Tentang Inisiasi Praktik Green Banking Pada Bank BUMN di Indonesia","type":"article-journal","volume":"15"},"uris":["http://www.mendeley.com/documents/?uuid=1adfeff4-55c9-4ea1-ad28-9f51d664d69a"]}],"mendeley":{"formattedCitation":"(Handajani et al., 2019)","plainTextFormattedCitation":"(Handajani et al., 2019)","previouslyFormattedCitation":"(Handajani et al., 2019)"},"properties":{"noteIndex":0},"schema":"https://github.com/citation-style-language/schema/raw/master/csl-citation.json"}</w:instrText>
      </w:r>
      <w:r w:rsidR="00FF66FB">
        <w:rPr>
          <w:rFonts w:ascii="Times New Roman" w:hAnsi="Times New Roman" w:cs="Times New Roman"/>
          <w:sz w:val="24"/>
          <w:szCs w:val="24"/>
        </w:rPr>
        <w:fldChar w:fldCharType="separate"/>
      </w:r>
      <w:r w:rsidRPr="00A62B5E" w:rsidR="00FF66FB">
        <w:rPr>
          <w:rFonts w:ascii="Times New Roman" w:hAnsi="Times New Roman" w:cs="Times New Roman"/>
          <w:noProof/>
          <w:sz w:val="24"/>
          <w:szCs w:val="24"/>
        </w:rPr>
        <w:t xml:space="preserve">Handajani et al., </w:t>
      </w:r>
      <w:r w:rsidR="000304D1">
        <w:rPr>
          <w:rFonts w:ascii="Times New Roman" w:hAnsi="Times New Roman" w:cs="Times New Roman"/>
          <w:noProof/>
          <w:sz w:val="24"/>
          <w:szCs w:val="24"/>
        </w:rPr>
        <w:t>(</w:t>
      </w:r>
      <w:r w:rsidRPr="00A62B5E" w:rsidR="00FF66FB">
        <w:rPr>
          <w:rFonts w:ascii="Times New Roman" w:hAnsi="Times New Roman" w:cs="Times New Roman"/>
          <w:noProof/>
          <w:sz w:val="24"/>
          <w:szCs w:val="24"/>
        </w:rPr>
        <w:t>2019)</w:t>
      </w:r>
      <w:r w:rsidR="00FF66FB">
        <w:rPr>
          <w:rFonts w:ascii="Times New Roman" w:hAnsi="Times New Roman" w:cs="Times New Roman"/>
          <w:sz w:val="24"/>
          <w:szCs w:val="24"/>
        </w:rPr>
        <w:fldChar w:fldCharType="end"/>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semakin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baik</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penerapan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i/>
          <w:iCs/>
          <w:sz w:val="24"/>
          <w:szCs w:val="24"/>
        </w:rPr>
        <w:t>green banking</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maka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akan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semakin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baik</w:t>
      </w:r>
      <w:r w:rsidRPr="005B331C" w:rsidR="0073442A">
        <w:rPr>
          <w:rFonts w:ascii="Times New Roman" w:hAnsi="Times New Roman" w:cs="Times New Roman"/>
          <w:sz w:val="24"/>
          <w:szCs w:val="24"/>
        </w:rPr>
        <w:t xml:space="preserve"> juga </w:t>
      </w:r>
      <w:r w:rsidRPr="005B331C" w:rsidR="0073442A">
        <w:rPr>
          <w:rFonts w:ascii="Times New Roman" w:hAnsi="Times New Roman" w:cs="Times New Roman"/>
          <w:sz w:val="24"/>
          <w:szCs w:val="24"/>
        </w:rPr>
        <w:t>dari</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kinerja</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keu</w:t>
      </w:r>
      <w:r w:rsidR="00FF66FB">
        <w:rPr>
          <w:rFonts w:ascii="Times New Roman" w:hAnsi="Times New Roman" w:cs="Times New Roman"/>
          <w:sz w:val="24"/>
          <w:szCs w:val="24"/>
        </w:rPr>
        <w:t>a</w:t>
      </w:r>
      <w:r w:rsidRPr="005B331C" w:rsidR="0073442A">
        <w:rPr>
          <w:rFonts w:ascii="Times New Roman" w:hAnsi="Times New Roman" w:cs="Times New Roman"/>
          <w:sz w:val="24"/>
          <w:szCs w:val="24"/>
        </w:rPr>
        <w:t>ngan</w:t>
      </w:r>
      <w:r w:rsidRPr="005B331C" w:rsidR="0073442A">
        <w:rPr>
          <w:rFonts w:ascii="Times New Roman" w:hAnsi="Times New Roman" w:cs="Times New Roman"/>
          <w:sz w:val="24"/>
          <w:szCs w:val="24"/>
        </w:rPr>
        <w:t xml:space="preserve"> </w:t>
      </w:r>
      <w:r w:rsidRPr="005B331C" w:rsidR="0073442A">
        <w:rPr>
          <w:rFonts w:ascii="Times New Roman" w:hAnsi="Times New Roman" w:cs="Times New Roman"/>
          <w:sz w:val="24"/>
          <w:szCs w:val="24"/>
        </w:rPr>
        <w:t>perbankan</w:t>
      </w:r>
      <w:r w:rsidRPr="005B331C" w:rsidR="0073442A">
        <w:rPr>
          <w:rFonts w:ascii="Times New Roman" w:hAnsi="Times New Roman" w:cs="Times New Roman"/>
          <w:sz w:val="24"/>
          <w:szCs w:val="24"/>
        </w:rPr>
        <w:t>.</w:t>
      </w:r>
      <w:r w:rsidR="00BD73DF">
        <w:rPr>
          <w:rFonts w:ascii="Times New Roman" w:hAnsi="Times New Roman" w:cs="Times New Roman"/>
          <w:sz w:val="24"/>
          <w:szCs w:val="24"/>
        </w:rPr>
        <w:t xml:space="preserve"> </w:t>
      </w:r>
      <w:r w:rsidRPr="00520465" w:rsidR="00520465">
        <w:rPr>
          <w:rFonts w:ascii="Times New Roman" w:hAnsi="Times New Roman" w:cs="Times New Roman"/>
          <w:sz w:val="24"/>
          <w:szCs w:val="24"/>
        </w:rPr>
        <w:t xml:space="preserve">Program </w:t>
      </w:r>
      <w:r w:rsidRPr="00520465" w:rsidR="00520465">
        <w:rPr>
          <w:rFonts w:ascii="Times New Roman" w:hAnsi="Times New Roman" w:cs="Times New Roman"/>
          <w:i/>
          <w:iCs/>
          <w:sz w:val="24"/>
          <w:szCs w:val="24"/>
        </w:rPr>
        <w:t>green banking</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ini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merupakan</w:t>
      </w:r>
      <w:r w:rsidRPr="00520465" w:rsidR="00520465">
        <w:rPr>
          <w:rFonts w:ascii="Times New Roman" w:hAnsi="Times New Roman" w:cs="Times New Roman"/>
          <w:sz w:val="24"/>
          <w:szCs w:val="24"/>
        </w:rPr>
        <w:t xml:space="preserve"> program yang </w:t>
      </w:r>
      <w:r w:rsidRPr="00520465" w:rsidR="00520465">
        <w:rPr>
          <w:rFonts w:ascii="Times New Roman" w:hAnsi="Times New Roman" w:cs="Times New Roman"/>
          <w:sz w:val="24"/>
          <w:szCs w:val="24"/>
        </w:rPr>
        <w:t>ramah</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sehingga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aktivitas</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perusahaan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akan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dibuat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semaksimal</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mungkin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tidak</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menggunakan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bahan-bahan</w:t>
      </w:r>
      <w:r w:rsidRPr="00520465" w:rsidR="00520465">
        <w:rPr>
          <w:rFonts w:ascii="Times New Roman" w:hAnsi="Times New Roman" w:cs="Times New Roman"/>
          <w:sz w:val="24"/>
          <w:szCs w:val="24"/>
        </w:rPr>
        <w:t xml:space="preserve"> yang </w:t>
      </w:r>
      <w:r w:rsidRPr="00520465" w:rsidR="00520465">
        <w:rPr>
          <w:rFonts w:ascii="Times New Roman" w:hAnsi="Times New Roman" w:cs="Times New Roman"/>
          <w:sz w:val="24"/>
          <w:szCs w:val="24"/>
        </w:rPr>
        <w:t>dapat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mencemari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w:t>
      </w:r>
      <w:r w:rsidR="00520465">
        <w:rPr>
          <w:rFonts w:ascii="Times New Roman" w:hAnsi="Times New Roman" w:cs="Times New Roman"/>
          <w:sz w:val="24"/>
          <w:szCs w:val="24"/>
        </w:rPr>
        <w:t>A</w:t>
      </w:r>
      <w:r w:rsidRPr="00520465" w:rsidR="00520465">
        <w:rPr>
          <w:rFonts w:ascii="Times New Roman" w:hAnsi="Times New Roman" w:cs="Times New Roman"/>
          <w:sz w:val="24"/>
          <w:szCs w:val="24"/>
        </w:rPr>
        <w:t>palagi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untuk</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sekarang</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pemanfaatan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teknologi</w:t>
      </w:r>
      <w:r w:rsidRPr="00520465" w:rsidR="00520465">
        <w:rPr>
          <w:rFonts w:ascii="Times New Roman" w:hAnsi="Times New Roman" w:cs="Times New Roman"/>
          <w:sz w:val="24"/>
          <w:szCs w:val="24"/>
        </w:rPr>
        <w:t xml:space="preserve"> digital </w:t>
      </w:r>
      <w:r w:rsidRPr="00520465" w:rsidR="00520465">
        <w:rPr>
          <w:rFonts w:ascii="Times New Roman" w:hAnsi="Times New Roman" w:cs="Times New Roman"/>
          <w:sz w:val="24"/>
          <w:szCs w:val="24"/>
        </w:rPr>
        <w:t>semakin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pesat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sehingga</w:t>
      </w:r>
      <w:r w:rsidRPr="00520465" w:rsidR="00520465">
        <w:rPr>
          <w:rFonts w:ascii="Times New Roman" w:hAnsi="Times New Roman" w:cs="Times New Roman"/>
          <w:sz w:val="24"/>
          <w:szCs w:val="24"/>
        </w:rPr>
        <w:t xml:space="preserve"> data-data yang </w:t>
      </w:r>
      <w:r w:rsidRPr="00520465" w:rsidR="00520465">
        <w:rPr>
          <w:rFonts w:ascii="Times New Roman" w:hAnsi="Times New Roman" w:cs="Times New Roman"/>
          <w:sz w:val="24"/>
          <w:szCs w:val="24"/>
        </w:rPr>
        <w:t>biasanya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dicatat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dalam</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kertas</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dapat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dialihkan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kepada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catatan</w:t>
      </w:r>
      <w:r w:rsidRPr="00520465" w:rsidR="00520465">
        <w:rPr>
          <w:rFonts w:ascii="Times New Roman" w:hAnsi="Times New Roman" w:cs="Times New Roman"/>
          <w:sz w:val="24"/>
          <w:szCs w:val="24"/>
        </w:rPr>
        <w:t xml:space="preserve"> digital, </w:t>
      </w:r>
      <w:r w:rsidRPr="00520465" w:rsidR="00520465">
        <w:rPr>
          <w:rFonts w:ascii="Times New Roman" w:hAnsi="Times New Roman" w:cs="Times New Roman"/>
          <w:sz w:val="24"/>
          <w:szCs w:val="24"/>
        </w:rPr>
        <w:t>hal</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ini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tentunya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memberikan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dampak</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positif</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bagi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dan </w:t>
      </w:r>
      <w:r w:rsidRPr="00520465" w:rsidR="00520465">
        <w:rPr>
          <w:rFonts w:ascii="Times New Roman" w:hAnsi="Times New Roman" w:cs="Times New Roman"/>
          <w:sz w:val="24"/>
          <w:szCs w:val="24"/>
        </w:rPr>
        <w:t>ekosistemnya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Praktik</w:t>
      </w:r>
      <w:r w:rsidRPr="00520465" w:rsidR="00520465">
        <w:rPr>
          <w:rFonts w:ascii="Times New Roman" w:hAnsi="Times New Roman" w:cs="Times New Roman"/>
          <w:sz w:val="24"/>
          <w:szCs w:val="24"/>
        </w:rPr>
        <w:t xml:space="preserve"> </w:t>
      </w:r>
      <w:r w:rsidR="00254E59">
        <w:rPr>
          <w:rFonts w:ascii="Times New Roman" w:hAnsi="Times New Roman" w:cs="Times New Roman"/>
          <w:sz w:val="24"/>
          <w:szCs w:val="24"/>
        </w:rPr>
        <w:t>ini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memiliki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prinsip</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dasar</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bahwa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harus</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melindungi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alam</w:t>
      </w:r>
      <w:r w:rsidRPr="00520465" w:rsidR="00520465">
        <w:rPr>
          <w:rFonts w:ascii="Times New Roman" w:hAnsi="Times New Roman" w:cs="Times New Roman"/>
          <w:sz w:val="24"/>
          <w:szCs w:val="24"/>
        </w:rPr>
        <w:t xml:space="preserve"> dan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dari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pencemaran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sehingga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aktivitas</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perusahaan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diusahakan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memperhatikan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kondisi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tersebut</w:t>
      </w:r>
      <w:r w:rsidRPr="00520465" w:rsidR="00520465">
        <w:rPr>
          <w:rFonts w:ascii="Times New Roman" w:hAnsi="Times New Roman" w:cs="Times New Roman"/>
          <w:sz w:val="24"/>
          <w:szCs w:val="24"/>
        </w:rPr>
        <w:t xml:space="preserve">. </w:t>
      </w:r>
      <w:r w:rsidR="00254E59">
        <w:rPr>
          <w:rFonts w:ascii="Times New Roman" w:hAnsi="Times New Roman" w:cs="Times New Roman"/>
          <w:sz w:val="24"/>
          <w:szCs w:val="24"/>
        </w:rPr>
        <w:t>O</w:t>
      </w:r>
      <w:r w:rsidRPr="00520465" w:rsidR="00520465">
        <w:rPr>
          <w:rFonts w:ascii="Times New Roman" w:hAnsi="Times New Roman" w:cs="Times New Roman"/>
          <w:sz w:val="24"/>
          <w:szCs w:val="24"/>
        </w:rPr>
        <w:t xml:space="preserve">leh </w:t>
      </w:r>
      <w:r w:rsidRPr="00520465" w:rsidR="00520465">
        <w:rPr>
          <w:rFonts w:ascii="Times New Roman" w:hAnsi="Times New Roman" w:cs="Times New Roman"/>
          <w:sz w:val="24"/>
          <w:szCs w:val="24"/>
        </w:rPr>
        <w:t>karena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itu</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perusahaa</w:t>
      </w:r>
      <w:r w:rsidR="00254E59">
        <w:rPr>
          <w:rFonts w:ascii="Times New Roman" w:hAnsi="Times New Roman" w:cs="Times New Roman"/>
          <w:sz w:val="24"/>
          <w:szCs w:val="24"/>
        </w:rPr>
        <w:t>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besar</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seperti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perbankan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melakukan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berbagai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upaya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untuk</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menciptakan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perbankan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berkelanjutan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karena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dengan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mencegah</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terjadinya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pencemaran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maka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perusahaan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turut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berpartisipasi</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dalam</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menyelamatkan</w:t>
      </w:r>
      <w:r w:rsidRPr="00520465" w:rsidR="00520465">
        <w:rPr>
          <w:rFonts w:ascii="Times New Roman" w:hAnsi="Times New Roman" w:cs="Times New Roman"/>
          <w:sz w:val="24"/>
          <w:szCs w:val="24"/>
        </w:rPr>
        <w:t xml:space="preserve"> dan </w:t>
      </w:r>
      <w:r w:rsidRPr="00520465" w:rsidR="00520465">
        <w:rPr>
          <w:rFonts w:ascii="Times New Roman" w:hAnsi="Times New Roman" w:cs="Times New Roman"/>
          <w:sz w:val="24"/>
          <w:szCs w:val="24"/>
        </w:rPr>
        <w:t>melestarikan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sehingga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kedepannya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perusahaan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masih</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tetap</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terjaga</w:t>
      </w:r>
      <w:r w:rsidRPr="00520465" w:rsidR="00520465">
        <w:rPr>
          <w:rFonts w:ascii="Times New Roman" w:hAnsi="Times New Roman" w:cs="Times New Roman"/>
          <w:sz w:val="24"/>
          <w:szCs w:val="24"/>
        </w:rPr>
        <w:t xml:space="preserve"> dan </w:t>
      </w:r>
      <w:r w:rsidRPr="00520465" w:rsidR="00520465">
        <w:rPr>
          <w:rFonts w:ascii="Times New Roman" w:hAnsi="Times New Roman" w:cs="Times New Roman"/>
          <w:sz w:val="24"/>
          <w:szCs w:val="24"/>
        </w:rPr>
        <w:t>dapat</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meningkatkan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kinerja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perusahaan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secara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bersamaan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dengan</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kinerja</w:t>
      </w:r>
      <w:r w:rsidRPr="00520465" w:rsidR="00520465">
        <w:rPr>
          <w:rFonts w:ascii="Times New Roman" w:hAnsi="Times New Roman" w:cs="Times New Roman"/>
          <w:sz w:val="24"/>
          <w:szCs w:val="24"/>
        </w:rPr>
        <w:t xml:space="preserve"> </w:t>
      </w:r>
      <w:r w:rsidRPr="00520465" w:rsidR="00520465">
        <w:rPr>
          <w:rFonts w:ascii="Times New Roman" w:hAnsi="Times New Roman" w:cs="Times New Roman"/>
          <w:sz w:val="24"/>
          <w:szCs w:val="24"/>
        </w:rPr>
        <w:t>lingkungannya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Pengembangan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terhadap</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praktik</w:t>
      </w:r>
      <w:r w:rsidR="00A3478B">
        <w:rPr>
          <w:rFonts w:ascii="Times New Roman" w:hAnsi="Times New Roman" w:cs="Times New Roman"/>
          <w:sz w:val="24"/>
          <w:szCs w:val="24"/>
        </w:rPr>
        <w:t xml:space="preserve"> </w:t>
      </w:r>
      <w:r w:rsidRPr="00A3478B" w:rsidR="00A3478B">
        <w:rPr>
          <w:rFonts w:ascii="Times New Roman" w:hAnsi="Times New Roman" w:cs="Times New Roman"/>
          <w:i/>
          <w:iCs/>
          <w:sz w:val="24"/>
          <w:szCs w:val="24"/>
        </w:rPr>
        <w:t>green banking</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menjadi</w:t>
      </w:r>
      <w:r w:rsidR="00A3478B">
        <w:rPr>
          <w:rFonts w:ascii="Times New Roman" w:hAnsi="Times New Roman" w:cs="Times New Roman"/>
          <w:sz w:val="24"/>
          <w:szCs w:val="24"/>
        </w:rPr>
        <w:t xml:space="preserve"> salah </w:t>
      </w:r>
      <w:r w:rsidR="00A3478B">
        <w:rPr>
          <w:rFonts w:ascii="Times New Roman" w:hAnsi="Times New Roman" w:cs="Times New Roman"/>
          <w:sz w:val="24"/>
          <w:szCs w:val="24"/>
        </w:rPr>
        <w:t>satu</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poin</w:t>
      </w:r>
      <w:r w:rsidR="00A3478B">
        <w:rPr>
          <w:rFonts w:ascii="Times New Roman" w:hAnsi="Times New Roman" w:cs="Times New Roman"/>
          <w:sz w:val="24"/>
          <w:szCs w:val="24"/>
        </w:rPr>
        <w:t xml:space="preserve"> yang </w:t>
      </w:r>
      <w:r w:rsidR="00A3478B">
        <w:rPr>
          <w:rFonts w:ascii="Times New Roman" w:hAnsi="Times New Roman" w:cs="Times New Roman"/>
          <w:sz w:val="24"/>
          <w:szCs w:val="24"/>
        </w:rPr>
        <w:t>bisa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dijalankan</w:t>
      </w:r>
      <w:r w:rsidR="00A3478B">
        <w:rPr>
          <w:rFonts w:ascii="Times New Roman" w:hAnsi="Times New Roman" w:cs="Times New Roman"/>
          <w:sz w:val="24"/>
          <w:szCs w:val="24"/>
        </w:rPr>
        <w:t xml:space="preserve"> oleh </w:t>
      </w:r>
      <w:r w:rsidR="00A3478B">
        <w:rPr>
          <w:rFonts w:ascii="Times New Roman" w:hAnsi="Times New Roman" w:cs="Times New Roman"/>
          <w:sz w:val="24"/>
          <w:szCs w:val="24"/>
        </w:rPr>
        <w:t>perbankan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guna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ikut</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dalam</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transformasi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ekonomi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hijau</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dimana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perusahaan</w:t>
      </w:r>
      <w:r w:rsidR="00A3478B">
        <w:rPr>
          <w:rFonts w:ascii="Times New Roman" w:hAnsi="Times New Roman" w:cs="Times New Roman"/>
          <w:sz w:val="24"/>
          <w:szCs w:val="24"/>
        </w:rPr>
        <w:t xml:space="preserve"> juga </w:t>
      </w:r>
      <w:r w:rsidR="00A3478B">
        <w:rPr>
          <w:rFonts w:ascii="Times New Roman" w:hAnsi="Times New Roman" w:cs="Times New Roman"/>
          <w:sz w:val="24"/>
          <w:szCs w:val="24"/>
        </w:rPr>
        <w:t>memperhatikan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sisi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lingkungan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tidak</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hanya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sisi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keuntungan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perusahaan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saja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Variabel</w:t>
      </w:r>
      <w:r w:rsidR="00A3478B">
        <w:rPr>
          <w:rFonts w:ascii="Times New Roman" w:hAnsi="Times New Roman" w:cs="Times New Roman"/>
          <w:sz w:val="24"/>
          <w:szCs w:val="24"/>
        </w:rPr>
        <w:t xml:space="preserve"> </w:t>
      </w:r>
      <w:r w:rsidRPr="00A3478B" w:rsidR="00A3478B">
        <w:rPr>
          <w:rFonts w:ascii="Times New Roman" w:hAnsi="Times New Roman" w:cs="Times New Roman"/>
          <w:i/>
          <w:iCs/>
          <w:sz w:val="24"/>
          <w:szCs w:val="24"/>
        </w:rPr>
        <w:t>green banking</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ini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tergolong</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variabel</w:t>
      </w:r>
      <w:r w:rsidR="00A3478B">
        <w:rPr>
          <w:rFonts w:ascii="Times New Roman" w:hAnsi="Times New Roman" w:cs="Times New Roman"/>
          <w:sz w:val="24"/>
          <w:szCs w:val="24"/>
        </w:rPr>
        <w:t xml:space="preserve"> yang </w:t>
      </w:r>
      <w:r w:rsidR="00A3478B">
        <w:rPr>
          <w:rFonts w:ascii="Times New Roman" w:hAnsi="Times New Roman" w:cs="Times New Roman"/>
          <w:sz w:val="24"/>
          <w:szCs w:val="24"/>
        </w:rPr>
        <w:t>masih</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baru</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dalam</w:t>
      </w:r>
      <w:r w:rsidR="00A3478B">
        <w:rPr>
          <w:rFonts w:ascii="Times New Roman" w:hAnsi="Times New Roman" w:cs="Times New Roman"/>
          <w:sz w:val="24"/>
          <w:szCs w:val="24"/>
        </w:rPr>
        <w:t xml:space="preserve"> dunia </w:t>
      </w:r>
      <w:r w:rsidR="00A3478B">
        <w:rPr>
          <w:rFonts w:ascii="Times New Roman" w:hAnsi="Times New Roman" w:cs="Times New Roman"/>
          <w:sz w:val="24"/>
          <w:szCs w:val="24"/>
        </w:rPr>
        <w:t>perbankan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sehingga</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dalam</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merumuskannya</w:t>
      </w:r>
      <w:r w:rsidR="00A3478B">
        <w:rPr>
          <w:rFonts w:ascii="Times New Roman" w:hAnsi="Times New Roman" w:cs="Times New Roman"/>
          <w:sz w:val="24"/>
          <w:szCs w:val="24"/>
        </w:rPr>
        <w:t xml:space="preserve"> pun </w:t>
      </w:r>
      <w:r w:rsidR="00A3478B">
        <w:rPr>
          <w:rFonts w:ascii="Times New Roman" w:hAnsi="Times New Roman" w:cs="Times New Roman"/>
          <w:sz w:val="24"/>
          <w:szCs w:val="24"/>
        </w:rPr>
        <w:t>mengikuti</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dengan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perkembangan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lingkungan</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yag</w:t>
      </w:r>
      <w:r w:rsidR="00A3478B">
        <w:rPr>
          <w:rFonts w:ascii="Times New Roman" w:hAnsi="Times New Roman" w:cs="Times New Roman"/>
          <w:sz w:val="24"/>
          <w:szCs w:val="24"/>
        </w:rPr>
        <w:t xml:space="preserve"> </w:t>
      </w:r>
      <w:r w:rsidR="00A3478B">
        <w:rPr>
          <w:rFonts w:ascii="Times New Roman" w:hAnsi="Times New Roman" w:cs="Times New Roman"/>
          <w:sz w:val="24"/>
          <w:szCs w:val="24"/>
        </w:rPr>
        <w:t>terjadi</w:t>
      </w:r>
      <w:r w:rsidR="00A3478B">
        <w:rPr>
          <w:rFonts w:ascii="Times New Roman" w:hAnsi="Times New Roman" w:cs="Times New Roman"/>
          <w:sz w:val="24"/>
          <w:szCs w:val="24"/>
        </w:rPr>
        <w:t>.</w:t>
      </w:r>
    </w:p>
    <w:p w:rsidR="00715E91" w:rsidP="001D28D7" w14:paraId="6D325E02" w14:textId="77777777">
      <w:pPr>
        <w:pStyle w:val="ListParagraph"/>
        <w:numPr>
          <w:ilvl w:val="0"/>
          <w:numId w:val="75"/>
        </w:numPr>
        <w:spacing w:after="0" w:line="480" w:lineRule="auto"/>
        <w:jc w:val="both"/>
        <w:rPr>
          <w:rFonts w:ascii="Times New Roman" w:hAnsi="Times New Roman" w:cs="Times New Roman"/>
          <w:b/>
          <w:bCs/>
          <w:sz w:val="24"/>
          <w:szCs w:val="24"/>
        </w:rPr>
      </w:pPr>
      <w:r w:rsidRPr="00715E91">
        <w:rPr>
          <w:rFonts w:ascii="Times New Roman" w:hAnsi="Times New Roman" w:cs="Times New Roman"/>
          <w:b/>
          <w:bCs/>
          <w:sz w:val="24"/>
          <w:szCs w:val="24"/>
        </w:rPr>
        <w:t>Pengaruh</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Penerapan</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Praktik</w:t>
      </w:r>
      <w:r w:rsidRPr="00715E91">
        <w:rPr>
          <w:rFonts w:ascii="Times New Roman" w:hAnsi="Times New Roman" w:cs="Times New Roman"/>
          <w:b/>
          <w:bCs/>
          <w:sz w:val="24"/>
          <w:szCs w:val="24"/>
        </w:rPr>
        <w:t xml:space="preserve"> </w:t>
      </w:r>
      <w:r w:rsidRPr="00715E91">
        <w:rPr>
          <w:rFonts w:ascii="Times New Roman" w:hAnsi="Times New Roman" w:cs="Times New Roman"/>
          <w:b/>
          <w:bCs/>
          <w:i/>
          <w:iCs/>
          <w:sz w:val="24"/>
          <w:szCs w:val="24"/>
        </w:rPr>
        <w:t xml:space="preserve">Green Banking </w:t>
      </w:r>
      <w:r w:rsidRPr="00715E91">
        <w:rPr>
          <w:rFonts w:ascii="Times New Roman" w:hAnsi="Times New Roman" w:cs="Times New Roman"/>
          <w:b/>
          <w:bCs/>
          <w:sz w:val="24"/>
          <w:szCs w:val="24"/>
        </w:rPr>
        <w:t>terhadap</w:t>
      </w:r>
      <w:r w:rsidRPr="00715E91">
        <w:rPr>
          <w:rFonts w:ascii="Times New Roman" w:hAnsi="Times New Roman" w:cs="Times New Roman"/>
          <w:b/>
          <w:bCs/>
          <w:sz w:val="24"/>
          <w:szCs w:val="24"/>
        </w:rPr>
        <w:t xml:space="preserve"> </w:t>
      </w:r>
      <w:r w:rsidRPr="00715E91">
        <w:rPr>
          <w:rFonts w:ascii="Times New Roman" w:hAnsi="Times New Roman" w:cs="Times New Roman"/>
          <w:b/>
          <w:bCs/>
          <w:i/>
          <w:iCs/>
          <w:sz w:val="24"/>
          <w:szCs w:val="24"/>
        </w:rPr>
        <w:t xml:space="preserve">Return </w:t>
      </w:r>
      <w:r w:rsidRPr="00715E91">
        <w:rPr>
          <w:rFonts w:ascii="Times New Roman" w:hAnsi="Times New Roman" w:cs="Times New Roman"/>
          <w:b/>
          <w:bCs/>
          <w:i/>
          <w:iCs/>
          <w:sz w:val="24"/>
          <w:szCs w:val="24"/>
        </w:rPr>
        <w:t>On</w:t>
      </w:r>
      <w:r w:rsidRPr="00715E91">
        <w:rPr>
          <w:rFonts w:ascii="Times New Roman" w:hAnsi="Times New Roman" w:cs="Times New Roman"/>
          <w:b/>
          <w:bCs/>
          <w:i/>
          <w:iCs/>
          <w:sz w:val="24"/>
          <w:szCs w:val="24"/>
        </w:rPr>
        <w:t xml:space="preserve"> Equity</w:t>
      </w:r>
      <w:r w:rsidRPr="00715E91">
        <w:rPr>
          <w:rFonts w:ascii="Times New Roman" w:hAnsi="Times New Roman" w:cs="Times New Roman"/>
          <w:b/>
          <w:bCs/>
          <w:sz w:val="24"/>
          <w:szCs w:val="24"/>
        </w:rPr>
        <w:t xml:space="preserve"> (ROE) pada Sub-</w:t>
      </w:r>
      <w:r w:rsidRPr="00715E91">
        <w:rPr>
          <w:rFonts w:ascii="Times New Roman" w:hAnsi="Times New Roman" w:cs="Times New Roman"/>
          <w:b/>
          <w:bCs/>
          <w:sz w:val="24"/>
          <w:szCs w:val="24"/>
        </w:rPr>
        <w:t>sektor</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Perbankan</w:t>
      </w:r>
      <w:r w:rsidRPr="00715E91">
        <w:rPr>
          <w:rFonts w:ascii="Times New Roman" w:hAnsi="Times New Roman" w:cs="Times New Roman"/>
          <w:b/>
          <w:bCs/>
          <w:sz w:val="24"/>
          <w:szCs w:val="24"/>
        </w:rPr>
        <w:t>.</w:t>
      </w:r>
    </w:p>
    <w:p w:rsidR="00715E91" w:rsidRPr="00FF66FB" w:rsidP="00FF66FB" w14:paraId="6BDE77EF" w14:textId="0E9728A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sidRPr="00715E91" w:rsidR="0073442A">
        <w:rPr>
          <w:rFonts w:ascii="Times New Roman" w:hAnsi="Times New Roman" w:cs="Times New Roman"/>
          <w:sz w:val="24"/>
          <w:szCs w:val="24"/>
        </w:rPr>
        <w:t>penerapan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praktik</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green banking</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memiliki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pengaruh</w:t>
      </w:r>
      <w:r w:rsidRPr="00715E91" w:rsidR="0073442A">
        <w:rPr>
          <w:rFonts w:ascii="Times New Roman" w:hAnsi="Times New Roman" w:cs="Times New Roman"/>
          <w:sz w:val="24"/>
          <w:szCs w:val="24"/>
        </w:rPr>
        <w:t xml:space="preserve"> yang </w:t>
      </w:r>
      <w:r w:rsidRPr="00715E91" w:rsidR="0073442A">
        <w:rPr>
          <w:rFonts w:ascii="Times New Roman" w:hAnsi="Times New Roman" w:cs="Times New Roman"/>
          <w:sz w:val="24"/>
          <w:szCs w:val="24"/>
        </w:rPr>
        <w:t>signifikan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terhadap</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kinerja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keuangan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dengan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proksi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return on equity</w:t>
      </w:r>
      <w:r w:rsidRPr="00715E91" w:rsidR="0073442A">
        <w:rPr>
          <w:rFonts w:ascii="Times New Roman" w:hAnsi="Times New Roman" w:cs="Times New Roman"/>
          <w:sz w:val="24"/>
          <w:szCs w:val="24"/>
        </w:rPr>
        <w:t xml:space="preserve"> (ROE). </w:t>
      </w:r>
      <w:r w:rsidRPr="00715E91" w:rsidR="0073442A">
        <w:rPr>
          <w:rFonts w:ascii="Times New Roman" w:hAnsi="Times New Roman" w:cs="Times New Roman"/>
          <w:sz w:val="24"/>
          <w:szCs w:val="24"/>
        </w:rPr>
        <w:t>Dengan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adanya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penerapan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praktik</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green banking</w:t>
      </w:r>
      <w:r w:rsidRPr="00715E91" w:rsidR="0073442A">
        <w:rPr>
          <w:rFonts w:ascii="Times New Roman" w:hAnsi="Times New Roman" w:cs="Times New Roman"/>
          <w:sz w:val="24"/>
          <w:szCs w:val="24"/>
        </w:rPr>
        <w:t xml:space="preserve"> pada </w:t>
      </w:r>
      <w:r w:rsidRPr="00715E91" w:rsidR="0073442A">
        <w:rPr>
          <w:rFonts w:ascii="Times New Roman" w:hAnsi="Times New Roman" w:cs="Times New Roman"/>
          <w:sz w:val="24"/>
          <w:szCs w:val="24"/>
        </w:rPr>
        <w:t>perusahaan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perbankan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dapat</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memberikan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peningkatan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kualitas</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kinerja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keuangan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dari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perusahaan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perbankan</w:t>
      </w:r>
      <w:r w:rsidRPr="00715E91" w:rsidR="0073442A">
        <w:rPr>
          <w:rFonts w:ascii="Times New Roman" w:hAnsi="Times New Roman" w:cs="Times New Roman"/>
          <w:sz w:val="24"/>
          <w:szCs w:val="24"/>
        </w:rPr>
        <w:t xml:space="preserve">. </w:t>
      </w:r>
      <w:r w:rsidRPr="00637DE3" w:rsidR="0073442A">
        <w:rPr>
          <w:rFonts w:ascii="Times New Roman" w:hAnsi="Times New Roman" w:cs="Times New Roman"/>
          <w:i/>
          <w:iCs/>
          <w:sz w:val="24"/>
          <w:szCs w:val="24"/>
        </w:rPr>
        <w:t>Green banking</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berarti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melakukan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promosi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praktik</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ramah</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lingkungan</w:t>
      </w:r>
      <w:r w:rsidRPr="00637DE3" w:rsidR="0073442A">
        <w:rPr>
          <w:rFonts w:ascii="Times New Roman" w:hAnsi="Times New Roman" w:cs="Times New Roman"/>
          <w:sz w:val="24"/>
          <w:szCs w:val="24"/>
        </w:rPr>
        <w:t xml:space="preserve"> dan </w:t>
      </w:r>
      <w:r w:rsidRPr="00637DE3" w:rsidR="0073442A">
        <w:rPr>
          <w:rFonts w:ascii="Times New Roman" w:hAnsi="Times New Roman" w:cs="Times New Roman"/>
          <w:sz w:val="24"/>
          <w:szCs w:val="24"/>
        </w:rPr>
        <w:t>mengurangi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i/>
          <w:iCs/>
          <w:sz w:val="24"/>
          <w:szCs w:val="24"/>
        </w:rPr>
        <w:t>carbon footprint</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dari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aktivitas</w:t>
      </w:r>
      <w:r w:rsidRPr="00637DE3" w:rsidR="0073442A">
        <w:rPr>
          <w:rFonts w:ascii="Times New Roman" w:hAnsi="Times New Roman" w:cs="Times New Roman"/>
          <w:sz w:val="24"/>
          <w:szCs w:val="24"/>
        </w:rPr>
        <w:t xml:space="preserve"> bank, </w:t>
      </w:r>
      <w:r w:rsidRPr="00637DE3" w:rsidR="0073442A">
        <w:rPr>
          <w:rFonts w:ascii="Times New Roman" w:hAnsi="Times New Roman" w:cs="Times New Roman"/>
          <w:sz w:val="24"/>
          <w:szCs w:val="24"/>
        </w:rPr>
        <w:t>penggunaan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sumber</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daya</w:t>
      </w:r>
      <w:r w:rsidRPr="00637DE3" w:rsidR="0073442A">
        <w:rPr>
          <w:rFonts w:ascii="Times New Roman" w:hAnsi="Times New Roman" w:cs="Times New Roman"/>
          <w:sz w:val="24"/>
          <w:szCs w:val="24"/>
        </w:rPr>
        <w:t xml:space="preserve"> yang </w:t>
      </w:r>
      <w:r w:rsidRPr="00637DE3" w:rsidR="0073442A">
        <w:rPr>
          <w:rFonts w:ascii="Times New Roman" w:hAnsi="Times New Roman" w:cs="Times New Roman"/>
          <w:sz w:val="24"/>
          <w:szCs w:val="24"/>
        </w:rPr>
        <w:t>baik</w:t>
      </w:r>
      <w:r w:rsidRPr="00637DE3" w:rsidR="0073442A">
        <w:rPr>
          <w:rFonts w:ascii="Times New Roman" w:hAnsi="Times New Roman" w:cs="Times New Roman"/>
          <w:sz w:val="24"/>
          <w:szCs w:val="24"/>
        </w:rPr>
        <w:t xml:space="preserve"> dan </w:t>
      </w:r>
      <w:r w:rsidRPr="00637DE3" w:rsidR="0073442A">
        <w:rPr>
          <w:rFonts w:ascii="Times New Roman" w:hAnsi="Times New Roman" w:cs="Times New Roman"/>
          <w:sz w:val="24"/>
          <w:szCs w:val="24"/>
        </w:rPr>
        <w:t>efisien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seperti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penghematan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energi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listrik</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penggunaan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bahan-bahan</w:t>
      </w:r>
      <w:r w:rsidRPr="00637DE3" w:rsidR="0073442A">
        <w:rPr>
          <w:rFonts w:ascii="Times New Roman" w:hAnsi="Times New Roman" w:cs="Times New Roman"/>
          <w:sz w:val="24"/>
          <w:szCs w:val="24"/>
        </w:rPr>
        <w:t xml:space="preserve"> yang </w:t>
      </w:r>
      <w:r w:rsidRPr="00637DE3" w:rsidR="0073442A">
        <w:rPr>
          <w:rFonts w:ascii="Times New Roman" w:hAnsi="Times New Roman" w:cs="Times New Roman"/>
          <w:sz w:val="24"/>
          <w:szCs w:val="24"/>
        </w:rPr>
        <w:t>dapat</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didaur</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ulang</w:t>
      </w:r>
      <w:r w:rsidRPr="00637DE3" w:rsidR="0073442A">
        <w:rPr>
          <w:rFonts w:ascii="Times New Roman" w:hAnsi="Times New Roman" w:cs="Times New Roman"/>
          <w:sz w:val="24"/>
          <w:szCs w:val="24"/>
        </w:rPr>
        <w:t xml:space="preserve">, dan juga </w:t>
      </w:r>
      <w:r w:rsidRPr="00637DE3" w:rsidR="0073442A">
        <w:rPr>
          <w:rFonts w:ascii="Times New Roman" w:hAnsi="Times New Roman" w:cs="Times New Roman"/>
          <w:sz w:val="24"/>
          <w:szCs w:val="24"/>
        </w:rPr>
        <w:t>mengurangi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penggunaan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kertas</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i/>
          <w:iCs/>
          <w:sz w:val="24"/>
          <w:szCs w:val="24"/>
        </w:rPr>
        <w:t>paperless</w:t>
      </w:r>
      <w:r w:rsidRPr="00637DE3" w:rsidR="0073442A">
        <w:rPr>
          <w:rFonts w:ascii="Times New Roman" w:hAnsi="Times New Roman" w:cs="Times New Roman"/>
          <w:sz w:val="24"/>
          <w:szCs w:val="24"/>
        </w:rPr>
        <w:t xml:space="preserve">). Yang mana </w:t>
      </w:r>
      <w:r w:rsidRPr="00637DE3" w:rsidR="0073442A">
        <w:rPr>
          <w:rFonts w:ascii="Times New Roman" w:hAnsi="Times New Roman" w:cs="Times New Roman"/>
          <w:sz w:val="24"/>
          <w:szCs w:val="24"/>
        </w:rPr>
        <w:t>penggunaan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energinya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menjadi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lebih</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sedikit</w:t>
      </w:r>
      <w:r w:rsidRPr="00637DE3" w:rsidR="0073442A">
        <w:rPr>
          <w:rFonts w:ascii="Times New Roman" w:hAnsi="Times New Roman" w:cs="Times New Roman"/>
          <w:sz w:val="24"/>
          <w:szCs w:val="24"/>
        </w:rPr>
        <w:t xml:space="preserve"> dan </w:t>
      </w:r>
      <w:r w:rsidRPr="00637DE3" w:rsidR="0073442A">
        <w:rPr>
          <w:rFonts w:ascii="Times New Roman" w:hAnsi="Times New Roman" w:cs="Times New Roman"/>
          <w:i/>
          <w:iCs/>
          <w:sz w:val="24"/>
          <w:szCs w:val="24"/>
        </w:rPr>
        <w:t>paperless</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dengan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ini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dapat</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mengurangi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biaya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serta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meningkatkan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efisiensi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mampu</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meningkatkan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kinerja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keuangan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perbankan</w:t>
      </w:r>
      <w:r w:rsidRPr="00637DE3" w:rsidR="0073442A">
        <w:rPr>
          <w:rFonts w:ascii="Times New Roman" w:hAnsi="Times New Roman" w:cs="Times New Roman"/>
          <w:sz w:val="24"/>
          <w:szCs w:val="24"/>
        </w:rPr>
        <w:t>.</w:t>
      </w:r>
      <w:r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Isu-isu</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i/>
          <w:iCs/>
          <w:sz w:val="24"/>
          <w:szCs w:val="24"/>
        </w:rPr>
        <w:t>green banking</w:t>
      </w:r>
      <w:r w:rsidRPr="00FF66FB" w:rsidR="00FF66FB">
        <w:rPr>
          <w:rFonts w:ascii="Times New Roman" w:hAnsi="Times New Roman" w:cs="Times New Roman"/>
          <w:sz w:val="24"/>
          <w:szCs w:val="24"/>
        </w:rPr>
        <w:t xml:space="preserve"> </w:t>
      </w:r>
      <w:r w:rsidR="00FF66FB">
        <w:rPr>
          <w:rFonts w:ascii="Times New Roman" w:hAnsi="Times New Roman" w:cs="Times New Roman"/>
          <w:sz w:val="24"/>
          <w:szCs w:val="24"/>
        </w:rPr>
        <w:t xml:space="preserve">juga </w:t>
      </w:r>
      <w:r w:rsidRPr="00FF66FB" w:rsidR="00FF66FB">
        <w:rPr>
          <w:rFonts w:ascii="Times New Roman" w:hAnsi="Times New Roman" w:cs="Times New Roman"/>
          <w:sz w:val="24"/>
          <w:szCs w:val="24"/>
        </w:rPr>
        <w:t>berkaitan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dengan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aspek</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kebijakan</w:t>
      </w:r>
      <w:r w:rsidRPr="00FF66FB" w:rsidR="00FF66FB">
        <w:rPr>
          <w:rFonts w:ascii="Times New Roman" w:hAnsi="Times New Roman" w:cs="Times New Roman"/>
          <w:sz w:val="24"/>
          <w:szCs w:val="24"/>
        </w:rPr>
        <w:t xml:space="preserve"> bank yang</w:t>
      </w:r>
      <w:r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peduli</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terhadap</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lingkungan</w:t>
      </w:r>
      <w:r w:rsidRPr="00FF66FB" w:rsidR="00FF66FB">
        <w:rPr>
          <w:rFonts w:ascii="Times New Roman" w:hAnsi="Times New Roman" w:cs="Times New Roman"/>
          <w:sz w:val="24"/>
          <w:szCs w:val="24"/>
        </w:rPr>
        <w:t xml:space="preserve"> juga </w:t>
      </w:r>
      <w:r w:rsidRPr="00FF66FB" w:rsidR="00FF66FB">
        <w:rPr>
          <w:rFonts w:ascii="Times New Roman" w:hAnsi="Times New Roman" w:cs="Times New Roman"/>
          <w:sz w:val="24"/>
          <w:szCs w:val="24"/>
        </w:rPr>
        <w:t>menjadi</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fokus</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dalam</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implementasi</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i/>
          <w:iCs/>
          <w:sz w:val="24"/>
          <w:szCs w:val="24"/>
        </w:rPr>
        <w:t>green banking</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seperti</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i/>
          <w:iCs/>
          <w:sz w:val="24"/>
          <w:szCs w:val="24"/>
        </w:rPr>
        <w:t>green loan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evaluasi</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penyaluran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kredit</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berbasis</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lingkungan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maupun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membangun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kemitraan</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berbasis</w:t>
      </w:r>
      <w:r w:rsidRPr="00FF66FB" w:rsidR="00FF66FB">
        <w:rPr>
          <w:rFonts w:ascii="Times New Roman" w:hAnsi="Times New Roman" w:cs="Times New Roman"/>
          <w:sz w:val="24"/>
          <w:szCs w:val="24"/>
        </w:rPr>
        <w:t xml:space="preserve"> </w:t>
      </w:r>
      <w:r w:rsidRPr="00FF66FB" w:rsidR="00FF66FB">
        <w:rPr>
          <w:rFonts w:ascii="Times New Roman" w:hAnsi="Times New Roman" w:cs="Times New Roman"/>
          <w:sz w:val="24"/>
          <w:szCs w:val="24"/>
        </w:rPr>
        <w:t>lingkungan</w:t>
      </w:r>
      <w:r w:rsidR="00FF66FB">
        <w:rPr>
          <w:rFonts w:ascii="Times New Roman" w:hAnsi="Times New Roman" w:cs="Times New Roman"/>
          <w:sz w:val="24"/>
          <w:szCs w:val="24"/>
        </w:rPr>
        <w:t xml:space="preserve"> </w:t>
      </w:r>
      <w:r w:rsidR="00FF66FB">
        <w:rPr>
          <w:rFonts w:ascii="Times New Roman" w:hAnsi="Times New Roman" w:cs="Times New Roman"/>
          <w:sz w:val="24"/>
          <w:szCs w:val="24"/>
        </w:rPr>
        <w:fldChar w:fldCharType="begin" w:fldLock="1"/>
      </w:r>
      <w:r w:rsidR="00FF66FB">
        <w:rPr>
          <w:rFonts w:ascii="Times New Roman" w:hAnsi="Times New Roman" w:cs="Times New Roman"/>
          <w:sz w:val="24"/>
          <w:szCs w:val="24"/>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Richard","author":[{"dropping-particle":"","family":"Handajani","given":"Lilik","non-dropping-particle":"","parse-names":false,"suffix":""},{"dropping-particle":"","family":"Husnan","given":"Lalu Hamdani","non-dropping-particle":"","parse-names":false,"suffix":""},{"dropping-particle":"","family":"Rifai","given":"Ahmad","non-dropping-particle":"","parse-names":false,"suffix":""}],"container-title":"Jurnal Economia Review of Business and Economics","id":"ITEM-1","issue":"1","issued":{"date-parts":[["2019"]]},"page":"1-16","title":"Kajian Tentang Inisiasi Praktik Green Banking Pada Bank BUMN di Indonesia","type":"article-journal","volume":"15"},"uris":["http://www.mendeley.com/documents/?uuid=1adfeff4-55c9-4ea1-ad28-9f51d664d69a"]}],"mendeley":{"formattedCitation":"(Handajani et al., 2019)","plainTextFormattedCitation":"(Handajani et al., 2019)","previouslyFormattedCitation":"(Handajani et al., 2019)"},"properties":{"noteIndex":0},"schema":"https://github.com/citation-style-language/schema/raw/master/csl-citation.json"}</w:instrText>
      </w:r>
      <w:r w:rsidR="00FF66FB">
        <w:rPr>
          <w:rFonts w:ascii="Times New Roman" w:hAnsi="Times New Roman" w:cs="Times New Roman"/>
          <w:sz w:val="24"/>
          <w:szCs w:val="24"/>
        </w:rPr>
        <w:fldChar w:fldCharType="separate"/>
      </w:r>
      <w:r w:rsidRPr="00A62B5E" w:rsidR="00FF66FB">
        <w:rPr>
          <w:rFonts w:ascii="Times New Roman" w:hAnsi="Times New Roman" w:cs="Times New Roman"/>
          <w:noProof/>
          <w:sz w:val="24"/>
          <w:szCs w:val="24"/>
        </w:rPr>
        <w:t>(Handajani et al., 2019)</w:t>
      </w:r>
      <w:r w:rsidR="00FF66FB">
        <w:rPr>
          <w:rFonts w:ascii="Times New Roman" w:hAnsi="Times New Roman" w:cs="Times New Roman"/>
          <w:sz w:val="24"/>
          <w:szCs w:val="24"/>
        </w:rPr>
        <w:fldChar w:fldCharType="end"/>
      </w:r>
      <w:r w:rsidRPr="00FF66FB" w:rsidR="00FF66FB">
        <w:rPr>
          <w:rFonts w:ascii="Times New Roman" w:hAnsi="Times New Roman" w:cs="Times New Roman"/>
          <w:sz w:val="24"/>
          <w:szCs w:val="24"/>
        </w:rPr>
        <w:t>. Dalam</w:t>
      </w:r>
      <w:r w:rsidRPr="00FF66FB" w:rsidR="0073442A">
        <w:rPr>
          <w:rFonts w:ascii="Times New Roman" w:hAnsi="Times New Roman" w:cs="Times New Roman"/>
          <w:sz w:val="24"/>
          <w:szCs w:val="24"/>
        </w:rPr>
        <w:t xml:space="preserve"> </w:t>
      </w:r>
      <w:r w:rsidRPr="00FF66FB" w:rsidR="004038D2">
        <w:rPr>
          <w:rFonts w:ascii="Times New Roman" w:hAnsi="Times New Roman" w:cs="Times New Roman"/>
          <w:sz w:val="24"/>
          <w:szCs w:val="24"/>
        </w:rPr>
        <w:t xml:space="preserve">Hal </w:t>
      </w:r>
      <w:r w:rsidRPr="00FF66FB" w:rsidR="004038D2">
        <w:rPr>
          <w:rFonts w:ascii="Times New Roman" w:hAnsi="Times New Roman" w:cs="Times New Roman"/>
          <w:sz w:val="24"/>
          <w:szCs w:val="24"/>
        </w:rPr>
        <w:t>ini</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selaras</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dengan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penelitian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fldChar w:fldCharType="begin" w:fldLock="1"/>
      </w:r>
      <w:r w:rsidRPr="00FF66FB" w:rsidR="004038D2">
        <w:rPr>
          <w:rFonts w:ascii="Times New Roman" w:hAnsi="Times New Roman" w:cs="Times New Roman"/>
          <w:sz w:val="24"/>
          <w:szCs w:val="24"/>
        </w:rPr>
        <w:instrText>ADDIN CSL_CITATION {"citationItems":[{"id":"ITEM-1","itemData":{"DOI":"10.26487/jbmi.v17i2.11264","ISSN":"0216-4132","abstract":"Green banking adalah aktivitas operasional perbankan yang ramah lingkungan. Penelitian ini menganalisis penerapan green banking, dan kinerja keuangan terhadap profitabilitas bank di Indonesia periode 2016-2019. Sampel penelitian menggunakan metode purposive sampling dan di peroleh 9 bank yang sesuai kriteria. Pengujian data menggunakan analisis regresi berganda. Hasil penelitian menunjukkan bahwa kebijakan green banking berpengaruh positif signifikan terhadap profitabilitas, kecukupan modal tidak berpengaruh negatif signifikan terhadap profitabilitas, kredit bermasalah tidak berpengaruh negatif signifikan terhadap profitabilitas, efisiensi bank berpengaruh negatif signifikan terhadap profitabilitas, tingkat likuiditas bank tidak berpengaruh positif signifikan terhadap profitabilitas. Green banking is an environmentally friendly banking operational activity. This study analyzes the implementation of green banking and financial performance to profitability of banks in Indonesia period 2016-2019. The research sample used purposive sampling method and obtained 9 banks that match the criteria. Testing data using multiple regression analysis. The results of this study indicate that green banking policy had a significant positive effect on profitability, capital adequacy had no significant negative effect on profitability, non-performing loans had no significant negative effect on profitability, bank efficiency had a significant negative effect on profitability, the level of bank liquidity had no significant positive effect on profitability.","author":[{"dropping-particle":"","family":"Anggraini","given":"Diah","non-dropping-particle":"","parse-names":false,"suffix":""},{"dropping-particle":"","family":"Aryani","given":"Dwinita","non-dropping-particle":"","parse-names":false,"suffix":""},{"dropping-particle":"","family":"Prasetyo","given":"Irawan Budi","non-dropping-particle":"","parse-names":false,"suffix":""}],"container-title":"JBMI (Jurnal Bisnis, Manajemen, dan Informatika)","id":"ITEM-1","issue":"2","issued":{"date-parts":[["2020"]]},"page":"141-161","title":"Analisis Implementasi Green Banking Dan Kinerja Keuangan Terhadap Profitabilitas Bank Di Indonesia (2016-2019)","type":"article-journal","volume":"17"},"uris":["http://www.mendeley.com/documents/?uuid=4ea35341-f8c1-45e4-8c1d-09382fc6cbc3"]}],"mendeley":{"formattedCitation":"(D. Anggraini et al., 2020)","plainTextFormattedCitation":"(D. Anggraini et al., 2020)","previouslyFormattedCitation":"(D. Anggraini et al., 2020)"},"properties":{"noteIndex":0},"schema":"https://github.com/citation-style-language/schema/raw/master/csl-citation.json"}</w:instrText>
      </w:r>
      <w:r w:rsidRPr="00FF66FB" w:rsidR="004038D2">
        <w:rPr>
          <w:rFonts w:ascii="Times New Roman" w:hAnsi="Times New Roman" w:cs="Times New Roman"/>
          <w:sz w:val="24"/>
          <w:szCs w:val="24"/>
        </w:rPr>
        <w:fldChar w:fldCharType="separate"/>
      </w:r>
      <w:r w:rsidRPr="00FF66FB" w:rsidR="004038D2">
        <w:rPr>
          <w:rFonts w:ascii="Times New Roman" w:hAnsi="Times New Roman" w:cs="Times New Roman"/>
          <w:noProof/>
          <w:sz w:val="24"/>
          <w:szCs w:val="24"/>
        </w:rPr>
        <w:t xml:space="preserve">D. Anggraini et al., </w:t>
      </w:r>
      <w:r w:rsidR="000304D1">
        <w:rPr>
          <w:rFonts w:ascii="Times New Roman" w:hAnsi="Times New Roman" w:cs="Times New Roman"/>
          <w:noProof/>
          <w:sz w:val="24"/>
          <w:szCs w:val="24"/>
        </w:rPr>
        <w:t>(</w:t>
      </w:r>
      <w:r w:rsidRPr="00FF66FB" w:rsidR="004038D2">
        <w:rPr>
          <w:rFonts w:ascii="Times New Roman" w:hAnsi="Times New Roman" w:cs="Times New Roman"/>
          <w:noProof/>
          <w:sz w:val="24"/>
          <w:szCs w:val="24"/>
        </w:rPr>
        <w:t>2020)</w:t>
      </w:r>
      <w:r w:rsidRPr="00FF66FB" w:rsidR="004038D2">
        <w:rPr>
          <w:rFonts w:ascii="Times New Roman" w:hAnsi="Times New Roman" w:cs="Times New Roman"/>
          <w:sz w:val="24"/>
          <w:szCs w:val="24"/>
        </w:rPr>
        <w:fldChar w:fldCharType="end"/>
      </w:r>
      <w:r w:rsidRPr="00FF66FB" w:rsidR="004038D2">
        <w:rPr>
          <w:rFonts w:ascii="Times New Roman" w:hAnsi="Times New Roman" w:cs="Times New Roman"/>
          <w:sz w:val="24"/>
          <w:szCs w:val="24"/>
        </w:rPr>
        <w:t xml:space="preserve"> yang mana </w:t>
      </w:r>
      <w:r w:rsidRPr="00FF66FB" w:rsidR="004038D2">
        <w:rPr>
          <w:rFonts w:ascii="Times New Roman" w:hAnsi="Times New Roman" w:cs="Times New Roman"/>
          <w:sz w:val="24"/>
          <w:szCs w:val="24"/>
        </w:rPr>
        <w:t>dikatakan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jika</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perusahaan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menerapkan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praktik</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i/>
          <w:iCs/>
          <w:sz w:val="24"/>
          <w:szCs w:val="24"/>
        </w:rPr>
        <w:t>green banking</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dalam</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operasionalnya</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ini</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dapat</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meningkatkan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kenyamanan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sehingga</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masyarakat</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akan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lebih</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sering</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menggunakan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jasa</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perbankan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hal</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itu</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tentunya</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akan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meningkatkan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kualitas</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kinerja</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keuangan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perusahaan</w:t>
      </w:r>
      <w:r w:rsidRPr="00FF66FB" w:rsidR="004038D2">
        <w:rPr>
          <w:rFonts w:ascii="Times New Roman" w:hAnsi="Times New Roman" w:cs="Times New Roman"/>
          <w:sz w:val="24"/>
          <w:szCs w:val="24"/>
        </w:rPr>
        <w:t xml:space="preserve"> </w:t>
      </w:r>
      <w:r w:rsidRPr="00FF66FB" w:rsidR="004038D2">
        <w:rPr>
          <w:rFonts w:ascii="Times New Roman" w:hAnsi="Times New Roman" w:cs="Times New Roman"/>
          <w:sz w:val="24"/>
          <w:szCs w:val="24"/>
        </w:rPr>
        <w:t>perbankan</w:t>
      </w:r>
      <w:r w:rsidRPr="00FF66FB" w:rsidR="004038D2">
        <w:rPr>
          <w:rFonts w:ascii="Times New Roman" w:hAnsi="Times New Roman" w:cs="Times New Roman"/>
          <w:sz w:val="24"/>
          <w:szCs w:val="24"/>
        </w:rPr>
        <w:t>.</w:t>
      </w:r>
    </w:p>
    <w:p w:rsidR="00715E91" w:rsidP="001D28D7" w14:paraId="0003A627" w14:textId="048CF9B1">
      <w:pPr>
        <w:pStyle w:val="ListParagraph"/>
        <w:spacing w:after="0" w:line="480" w:lineRule="auto"/>
        <w:ind w:firstLine="720"/>
        <w:jc w:val="both"/>
        <w:rPr>
          <w:rFonts w:ascii="Times New Roman" w:hAnsi="Times New Roman" w:cs="Times New Roman"/>
          <w:sz w:val="24"/>
          <w:szCs w:val="24"/>
        </w:rPr>
      </w:pPr>
      <w:r w:rsidRPr="00BD73DF">
        <w:rPr>
          <w:rFonts w:ascii="Times New Roman" w:hAnsi="Times New Roman" w:cs="Times New Roman"/>
          <w:sz w:val="24"/>
          <w:szCs w:val="24"/>
        </w:rPr>
        <w:t>Kondisi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ini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disebabkan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karena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masyarakat</w:t>
      </w:r>
      <w:r w:rsidRPr="00BD73DF">
        <w:rPr>
          <w:rFonts w:ascii="Times New Roman" w:hAnsi="Times New Roman" w:cs="Times New Roman"/>
          <w:sz w:val="24"/>
          <w:szCs w:val="24"/>
        </w:rPr>
        <w:t xml:space="preserve"> </w:t>
      </w:r>
      <w:r>
        <w:rPr>
          <w:rFonts w:ascii="Times New Roman" w:hAnsi="Times New Roman" w:cs="Times New Roman"/>
          <w:sz w:val="24"/>
          <w:szCs w:val="24"/>
        </w:rPr>
        <w:t>saat</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ini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semakin</w:t>
      </w:r>
      <w:r>
        <w:rPr>
          <w:rFonts w:ascii="Times New Roman" w:hAnsi="Times New Roman" w:cs="Times New Roman"/>
          <w:sz w:val="24"/>
          <w:szCs w:val="24"/>
        </w:rPr>
        <w:t xml:space="preserve"> </w:t>
      </w:r>
      <w:r>
        <w:rPr>
          <w:rFonts w:ascii="Times New Roman" w:hAnsi="Times New Roman" w:cs="Times New Roman"/>
          <w:sz w:val="24"/>
          <w:szCs w:val="24"/>
        </w:rPr>
        <w:t>menyadari</w:t>
      </w:r>
      <w:r>
        <w:rPr>
          <w:rFonts w:ascii="Times New Roman" w:hAnsi="Times New Roman" w:cs="Times New Roman"/>
          <w:sz w:val="24"/>
          <w:szCs w:val="24"/>
        </w:rPr>
        <w:t xml:space="preserve"> </w:t>
      </w:r>
      <w:r w:rsidRPr="00BD73DF">
        <w:rPr>
          <w:rFonts w:ascii="Times New Roman" w:hAnsi="Times New Roman" w:cs="Times New Roman"/>
          <w:sz w:val="24"/>
          <w:szCs w:val="24"/>
        </w:rPr>
        <w:t>dengan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isu-isu</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lingkungan</w:t>
      </w:r>
      <w:r>
        <w:rPr>
          <w:rFonts w:ascii="Times New Roman" w:hAnsi="Times New Roman" w:cs="Times New Roman"/>
          <w:sz w:val="24"/>
          <w:szCs w:val="24"/>
        </w:rPr>
        <w:t xml:space="preserve"> yang </w:t>
      </w:r>
      <w:r>
        <w:rPr>
          <w:rFonts w:ascii="Times New Roman" w:hAnsi="Times New Roman" w:cs="Times New Roman"/>
          <w:sz w:val="24"/>
          <w:szCs w:val="24"/>
        </w:rPr>
        <w:t>ada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sehingga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ketika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perusahaan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mencoba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melakukan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hal-hal</w:t>
      </w:r>
      <w:r w:rsidRPr="00BD73DF">
        <w:rPr>
          <w:rFonts w:ascii="Times New Roman" w:hAnsi="Times New Roman" w:cs="Times New Roman"/>
          <w:sz w:val="24"/>
          <w:szCs w:val="24"/>
        </w:rPr>
        <w:t xml:space="preserve"> yang </w:t>
      </w:r>
      <w:r w:rsidRPr="00BD73DF">
        <w:rPr>
          <w:rFonts w:ascii="Times New Roman" w:hAnsi="Times New Roman" w:cs="Times New Roman"/>
          <w:sz w:val="24"/>
          <w:szCs w:val="24"/>
        </w:rPr>
        <w:t>meminimalisir</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dampak</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negatifnya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terhadap</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lingkungan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akan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mendapatkan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empati</w:t>
      </w:r>
      <w:r w:rsidRPr="00BD73DF">
        <w:rPr>
          <w:rFonts w:ascii="Times New Roman" w:hAnsi="Times New Roman" w:cs="Times New Roman"/>
          <w:sz w:val="24"/>
          <w:szCs w:val="24"/>
        </w:rPr>
        <w:t xml:space="preserve"> yang </w:t>
      </w:r>
      <w:r w:rsidRPr="00BD73DF">
        <w:rPr>
          <w:rFonts w:ascii="Times New Roman" w:hAnsi="Times New Roman" w:cs="Times New Roman"/>
          <w:sz w:val="24"/>
          <w:szCs w:val="24"/>
        </w:rPr>
        <w:t>lebih</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tinggi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dari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masyarakat</w:t>
      </w:r>
      <w:r w:rsidRPr="00BD73DF">
        <w:rPr>
          <w:rFonts w:ascii="Times New Roman" w:hAnsi="Times New Roman" w:cs="Times New Roman"/>
          <w:sz w:val="24"/>
          <w:szCs w:val="24"/>
        </w:rPr>
        <w:t xml:space="preserve">. Hal </w:t>
      </w:r>
      <w:r w:rsidRPr="00BD73DF">
        <w:rPr>
          <w:rFonts w:ascii="Times New Roman" w:hAnsi="Times New Roman" w:cs="Times New Roman"/>
          <w:sz w:val="24"/>
          <w:szCs w:val="24"/>
        </w:rPr>
        <w:t>ini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dapat</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meningkatkan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nilai</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jual</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perusahaan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sehingga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kinerja</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perusahaan</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dapat</w:t>
      </w:r>
      <w:r w:rsidRPr="00BD73DF">
        <w:rPr>
          <w:rFonts w:ascii="Times New Roman" w:hAnsi="Times New Roman" w:cs="Times New Roman"/>
          <w:sz w:val="24"/>
          <w:szCs w:val="24"/>
        </w:rPr>
        <w:t xml:space="preserve"> </w:t>
      </w:r>
      <w:r w:rsidRPr="00BD73DF">
        <w:rPr>
          <w:rFonts w:ascii="Times New Roman" w:hAnsi="Times New Roman" w:cs="Times New Roman"/>
          <w:sz w:val="24"/>
          <w:szCs w:val="24"/>
        </w:rPr>
        <w:t>ditingkatkan</w:t>
      </w:r>
      <w:r w:rsidRPr="00BD73DF">
        <w:rPr>
          <w:rFonts w:ascii="Times New Roman" w:hAnsi="Times New Roman" w:cs="Times New Roman"/>
          <w:sz w:val="24"/>
          <w:szCs w:val="24"/>
        </w:rPr>
        <w:t>.</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Perbankan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perlunya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un</w:t>
      </w:r>
      <w:r w:rsidR="00A3478B">
        <w:rPr>
          <w:rFonts w:ascii="Times New Roman" w:hAnsi="Times New Roman" w:cs="Times New Roman"/>
          <w:sz w:val="24"/>
          <w:szCs w:val="24"/>
        </w:rPr>
        <w:t>tu</w:t>
      </w:r>
      <w:r w:rsidR="00520465">
        <w:rPr>
          <w:rFonts w:ascii="Times New Roman" w:hAnsi="Times New Roman" w:cs="Times New Roman"/>
          <w:sz w:val="24"/>
          <w:szCs w:val="24"/>
        </w:rPr>
        <w:t>k</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lebih</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mengembangkan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konsep</w:t>
      </w:r>
      <w:r w:rsidR="00520465">
        <w:rPr>
          <w:rFonts w:ascii="Times New Roman" w:hAnsi="Times New Roman" w:cs="Times New Roman"/>
          <w:sz w:val="24"/>
          <w:szCs w:val="24"/>
        </w:rPr>
        <w:t xml:space="preserve"> </w:t>
      </w:r>
      <w:r w:rsidRPr="00520465" w:rsidR="00520465">
        <w:rPr>
          <w:rFonts w:ascii="Times New Roman" w:hAnsi="Times New Roman" w:cs="Times New Roman"/>
          <w:i/>
          <w:iCs/>
          <w:sz w:val="24"/>
          <w:szCs w:val="24"/>
        </w:rPr>
        <w:t>green banking</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ini</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dalam</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kegiatan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operasionalnya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karena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unutk</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sekarang</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masyarakat</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lebih</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sadar</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tentang</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d</w:t>
      </w:r>
      <w:r w:rsidR="00A3478B">
        <w:rPr>
          <w:rFonts w:ascii="Times New Roman" w:hAnsi="Times New Roman" w:cs="Times New Roman"/>
          <w:sz w:val="24"/>
          <w:szCs w:val="24"/>
        </w:rPr>
        <w:t>a</w:t>
      </w:r>
      <w:r w:rsidR="00520465">
        <w:rPr>
          <w:rFonts w:ascii="Times New Roman" w:hAnsi="Times New Roman" w:cs="Times New Roman"/>
          <w:sz w:val="24"/>
          <w:szCs w:val="24"/>
        </w:rPr>
        <w:t>mpak-dampak</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lingkungan</w:t>
      </w:r>
      <w:r w:rsidR="00520465">
        <w:rPr>
          <w:rFonts w:ascii="Times New Roman" w:hAnsi="Times New Roman" w:cs="Times New Roman"/>
          <w:sz w:val="24"/>
          <w:szCs w:val="24"/>
        </w:rPr>
        <w:t xml:space="preserve"> yang </w:t>
      </w:r>
      <w:r w:rsidR="00520465">
        <w:rPr>
          <w:rFonts w:ascii="Times New Roman" w:hAnsi="Times New Roman" w:cs="Times New Roman"/>
          <w:sz w:val="24"/>
          <w:szCs w:val="24"/>
        </w:rPr>
        <w:t>terjadi</w:t>
      </w:r>
      <w:r w:rsidR="00520465">
        <w:rPr>
          <w:rFonts w:ascii="Times New Roman" w:hAnsi="Times New Roman" w:cs="Times New Roman"/>
          <w:sz w:val="24"/>
          <w:szCs w:val="24"/>
        </w:rPr>
        <w:t xml:space="preserve"> di </w:t>
      </w:r>
      <w:r w:rsidR="00520465">
        <w:rPr>
          <w:rFonts w:ascii="Times New Roman" w:hAnsi="Times New Roman" w:cs="Times New Roman"/>
          <w:sz w:val="24"/>
          <w:szCs w:val="24"/>
        </w:rPr>
        <w:t>sekitar</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perusahaan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sehingga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dengan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itu</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maka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akan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menigkatkan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citra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dari</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perbankan</w:t>
      </w:r>
      <w:r w:rsidR="00520465">
        <w:rPr>
          <w:rFonts w:ascii="Times New Roman" w:hAnsi="Times New Roman" w:cs="Times New Roman"/>
          <w:sz w:val="24"/>
          <w:szCs w:val="24"/>
        </w:rPr>
        <w:t xml:space="preserve"> yang </w:t>
      </w:r>
      <w:r w:rsidR="00520465">
        <w:rPr>
          <w:rFonts w:ascii="Times New Roman" w:hAnsi="Times New Roman" w:cs="Times New Roman"/>
          <w:sz w:val="24"/>
          <w:szCs w:val="24"/>
        </w:rPr>
        <w:t>lebih</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ramah</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lingkungan</w:t>
      </w:r>
      <w:r w:rsidR="00520465">
        <w:rPr>
          <w:rFonts w:ascii="Times New Roman" w:hAnsi="Times New Roman" w:cs="Times New Roman"/>
          <w:sz w:val="24"/>
          <w:szCs w:val="24"/>
        </w:rPr>
        <w:t xml:space="preserve"> dan </w:t>
      </w:r>
      <w:r w:rsidR="00520465">
        <w:rPr>
          <w:rFonts w:ascii="Times New Roman" w:hAnsi="Times New Roman" w:cs="Times New Roman"/>
          <w:sz w:val="24"/>
          <w:szCs w:val="24"/>
        </w:rPr>
        <w:t>menjaga</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kenyamanan</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dalam</w:t>
      </w:r>
      <w:r w:rsidR="00520465">
        <w:rPr>
          <w:rFonts w:ascii="Times New Roman" w:hAnsi="Times New Roman" w:cs="Times New Roman"/>
          <w:sz w:val="24"/>
          <w:szCs w:val="24"/>
        </w:rPr>
        <w:t xml:space="preserve"> </w:t>
      </w:r>
      <w:r w:rsidR="00520465">
        <w:rPr>
          <w:rFonts w:ascii="Times New Roman" w:hAnsi="Times New Roman" w:cs="Times New Roman"/>
          <w:sz w:val="24"/>
          <w:szCs w:val="24"/>
        </w:rPr>
        <w:t>pelayanannya</w:t>
      </w:r>
      <w:r w:rsidR="00520465">
        <w:rPr>
          <w:rFonts w:ascii="Times New Roman" w:hAnsi="Times New Roman" w:cs="Times New Roman"/>
          <w:sz w:val="24"/>
          <w:szCs w:val="24"/>
        </w:rPr>
        <w:t>.</w:t>
      </w:r>
      <w:r w:rsidR="00A3478B">
        <w:rPr>
          <w:rFonts w:ascii="Times New Roman" w:hAnsi="Times New Roman" w:cs="Times New Roman"/>
          <w:sz w:val="24"/>
          <w:szCs w:val="24"/>
        </w:rPr>
        <w:t xml:space="preserve"> </w:t>
      </w:r>
      <w:r w:rsidR="00577565">
        <w:rPr>
          <w:rFonts w:ascii="Times New Roman" w:hAnsi="Times New Roman" w:cs="Times New Roman"/>
          <w:sz w:val="24"/>
          <w:szCs w:val="24"/>
        </w:rPr>
        <w:t>Pengaruh</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dari</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variabel</w:t>
      </w:r>
      <w:r w:rsidR="00577565">
        <w:rPr>
          <w:rFonts w:ascii="Times New Roman" w:hAnsi="Times New Roman" w:cs="Times New Roman"/>
          <w:sz w:val="24"/>
          <w:szCs w:val="24"/>
        </w:rPr>
        <w:t xml:space="preserve"> green banking </w:t>
      </w:r>
      <w:r w:rsidR="00577565">
        <w:rPr>
          <w:rFonts w:ascii="Times New Roman" w:hAnsi="Times New Roman" w:cs="Times New Roman"/>
          <w:sz w:val="24"/>
          <w:szCs w:val="24"/>
        </w:rPr>
        <w:t>mungkin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dapat</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dirasakan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dalam</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jangka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waktu</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kedepannya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dimana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nantinya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isu</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lingkungan</w:t>
      </w:r>
      <w:r w:rsidR="00577565">
        <w:rPr>
          <w:rFonts w:ascii="Times New Roman" w:hAnsi="Times New Roman" w:cs="Times New Roman"/>
          <w:sz w:val="24"/>
          <w:szCs w:val="24"/>
        </w:rPr>
        <w:t xml:space="preserve"> yang </w:t>
      </w:r>
      <w:r w:rsidR="00577565">
        <w:rPr>
          <w:rFonts w:ascii="Times New Roman" w:hAnsi="Times New Roman" w:cs="Times New Roman"/>
          <w:sz w:val="24"/>
          <w:szCs w:val="24"/>
        </w:rPr>
        <w:t>semakin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banyak</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terjadi</w:t>
      </w:r>
      <w:r w:rsidR="00577565">
        <w:rPr>
          <w:rFonts w:ascii="Times New Roman" w:hAnsi="Times New Roman" w:cs="Times New Roman"/>
          <w:sz w:val="24"/>
          <w:szCs w:val="24"/>
        </w:rPr>
        <w:t xml:space="preserve"> di </w:t>
      </w:r>
      <w:r w:rsidR="00577565">
        <w:rPr>
          <w:rFonts w:ascii="Times New Roman" w:hAnsi="Times New Roman" w:cs="Times New Roman"/>
          <w:sz w:val="24"/>
          <w:szCs w:val="24"/>
        </w:rPr>
        <w:t>dalam</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perekonomian</w:t>
      </w:r>
      <w:r w:rsidR="00577565">
        <w:rPr>
          <w:rFonts w:ascii="Times New Roman" w:hAnsi="Times New Roman" w:cs="Times New Roman"/>
          <w:sz w:val="24"/>
          <w:szCs w:val="24"/>
        </w:rPr>
        <w:t xml:space="preserve">. Oleh </w:t>
      </w:r>
      <w:r w:rsidR="00577565">
        <w:rPr>
          <w:rFonts w:ascii="Times New Roman" w:hAnsi="Times New Roman" w:cs="Times New Roman"/>
          <w:sz w:val="24"/>
          <w:szCs w:val="24"/>
        </w:rPr>
        <w:t>karena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itu</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perlunya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perbankan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lebih</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melakukan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pendekatan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terhadap</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isu-isu</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tersebut</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guna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ikut</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melestarikan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alam</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disekitarnya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serta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untuk</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meningkatkan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citra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perusahaan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dikacamata</w:t>
      </w:r>
      <w:r w:rsidR="00577565">
        <w:rPr>
          <w:rFonts w:ascii="Times New Roman" w:hAnsi="Times New Roman" w:cs="Times New Roman"/>
          <w:sz w:val="24"/>
          <w:szCs w:val="24"/>
        </w:rPr>
        <w:t xml:space="preserve"> </w:t>
      </w:r>
      <w:r w:rsidRPr="00577565" w:rsidR="00577565">
        <w:rPr>
          <w:rFonts w:ascii="Times New Roman" w:hAnsi="Times New Roman" w:cs="Times New Roman"/>
          <w:i/>
          <w:iCs/>
          <w:sz w:val="24"/>
          <w:szCs w:val="24"/>
        </w:rPr>
        <w:t>stakeholder</w:t>
      </w:r>
      <w:r w:rsidR="00577565">
        <w:rPr>
          <w:rFonts w:ascii="Times New Roman" w:hAnsi="Times New Roman" w:cs="Times New Roman"/>
          <w:sz w:val="24"/>
          <w:szCs w:val="24"/>
        </w:rPr>
        <w:t xml:space="preserve"> agar </w:t>
      </w:r>
      <w:r w:rsidR="00577565">
        <w:rPr>
          <w:rFonts w:ascii="Times New Roman" w:hAnsi="Times New Roman" w:cs="Times New Roman"/>
          <w:sz w:val="24"/>
          <w:szCs w:val="24"/>
        </w:rPr>
        <w:t>lebih</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percaya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terhadap</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perusahaan</w:t>
      </w:r>
      <w:r w:rsidR="00577565">
        <w:rPr>
          <w:rFonts w:ascii="Times New Roman" w:hAnsi="Times New Roman" w:cs="Times New Roman"/>
          <w:sz w:val="24"/>
          <w:szCs w:val="24"/>
        </w:rPr>
        <w:t xml:space="preserve"> yang juga </w:t>
      </w:r>
      <w:r w:rsidR="00577565">
        <w:rPr>
          <w:rFonts w:ascii="Times New Roman" w:hAnsi="Times New Roman" w:cs="Times New Roman"/>
          <w:sz w:val="24"/>
          <w:szCs w:val="24"/>
        </w:rPr>
        <w:t>mementingkan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sisi</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lingkungan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tidak</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hanya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sisi</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keuangan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saja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sehingga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dengan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itu</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perusahaan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dapat</w:t>
      </w:r>
      <w:r w:rsidR="00577565">
        <w:rPr>
          <w:rFonts w:ascii="Times New Roman" w:hAnsi="Times New Roman" w:cs="Times New Roman"/>
          <w:sz w:val="24"/>
          <w:szCs w:val="24"/>
        </w:rPr>
        <w:t xml:space="preserve"> juga </w:t>
      </w:r>
      <w:r w:rsidR="00577565">
        <w:rPr>
          <w:rFonts w:ascii="Times New Roman" w:hAnsi="Times New Roman" w:cs="Times New Roman"/>
          <w:sz w:val="24"/>
          <w:szCs w:val="24"/>
        </w:rPr>
        <w:t>menigkatkan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kinerja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perusahaannya</w:t>
      </w:r>
      <w:r w:rsidR="00577565">
        <w:rPr>
          <w:rFonts w:ascii="Times New Roman" w:hAnsi="Times New Roman" w:cs="Times New Roman"/>
          <w:sz w:val="24"/>
          <w:szCs w:val="24"/>
        </w:rPr>
        <w:t>.</w:t>
      </w:r>
    </w:p>
    <w:p w:rsidR="00715E91" w:rsidP="001D28D7" w14:paraId="5CB714FF" w14:textId="77777777">
      <w:pPr>
        <w:pStyle w:val="ListParagraph"/>
        <w:numPr>
          <w:ilvl w:val="0"/>
          <w:numId w:val="75"/>
        </w:numPr>
        <w:spacing w:after="0" w:line="480" w:lineRule="auto"/>
        <w:jc w:val="both"/>
        <w:rPr>
          <w:rFonts w:ascii="Times New Roman" w:hAnsi="Times New Roman" w:cs="Times New Roman"/>
          <w:b/>
          <w:bCs/>
          <w:sz w:val="24"/>
          <w:szCs w:val="24"/>
        </w:rPr>
      </w:pPr>
      <w:r w:rsidRPr="00715E91">
        <w:rPr>
          <w:rFonts w:ascii="Times New Roman" w:hAnsi="Times New Roman" w:cs="Times New Roman"/>
          <w:b/>
          <w:bCs/>
          <w:sz w:val="24"/>
          <w:szCs w:val="24"/>
        </w:rPr>
        <w:t>Pengaruh</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Penerapan</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Praktik</w:t>
      </w:r>
      <w:r w:rsidRPr="00715E91">
        <w:rPr>
          <w:rFonts w:ascii="Times New Roman" w:hAnsi="Times New Roman" w:cs="Times New Roman"/>
          <w:b/>
          <w:bCs/>
          <w:sz w:val="24"/>
          <w:szCs w:val="24"/>
        </w:rPr>
        <w:t xml:space="preserve"> </w:t>
      </w:r>
      <w:r w:rsidRPr="00715E91">
        <w:rPr>
          <w:rFonts w:ascii="Times New Roman" w:hAnsi="Times New Roman" w:cs="Times New Roman"/>
          <w:b/>
          <w:bCs/>
          <w:i/>
          <w:iCs/>
          <w:sz w:val="24"/>
          <w:szCs w:val="24"/>
        </w:rPr>
        <w:t xml:space="preserve">Green Banking </w:t>
      </w:r>
      <w:r w:rsidRPr="00715E91">
        <w:rPr>
          <w:rFonts w:ascii="Times New Roman" w:hAnsi="Times New Roman" w:cs="Times New Roman"/>
          <w:b/>
          <w:bCs/>
          <w:sz w:val="24"/>
          <w:szCs w:val="24"/>
        </w:rPr>
        <w:t>terhadap</w:t>
      </w:r>
      <w:r w:rsidRPr="00715E91">
        <w:rPr>
          <w:rFonts w:ascii="Times New Roman" w:hAnsi="Times New Roman" w:cs="Times New Roman"/>
          <w:b/>
          <w:bCs/>
          <w:sz w:val="24"/>
          <w:szCs w:val="24"/>
        </w:rPr>
        <w:t xml:space="preserve"> </w:t>
      </w:r>
      <w:r w:rsidRPr="00715E91">
        <w:rPr>
          <w:rFonts w:ascii="Times New Roman" w:hAnsi="Times New Roman" w:cs="Times New Roman"/>
          <w:b/>
          <w:bCs/>
          <w:i/>
          <w:iCs/>
          <w:sz w:val="24"/>
          <w:szCs w:val="24"/>
        </w:rPr>
        <w:t>Net Interest Margin</w:t>
      </w:r>
      <w:r w:rsidRPr="00715E91">
        <w:rPr>
          <w:rFonts w:ascii="Times New Roman" w:hAnsi="Times New Roman" w:cs="Times New Roman"/>
          <w:b/>
          <w:bCs/>
          <w:sz w:val="24"/>
          <w:szCs w:val="24"/>
        </w:rPr>
        <w:t xml:space="preserve"> (NIM) pada Sub-</w:t>
      </w:r>
      <w:r w:rsidRPr="00715E91">
        <w:rPr>
          <w:rFonts w:ascii="Times New Roman" w:hAnsi="Times New Roman" w:cs="Times New Roman"/>
          <w:b/>
          <w:bCs/>
          <w:sz w:val="24"/>
          <w:szCs w:val="24"/>
        </w:rPr>
        <w:t>sektor</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Perbankan</w:t>
      </w:r>
      <w:r w:rsidRPr="00715E91">
        <w:rPr>
          <w:rFonts w:ascii="Times New Roman" w:hAnsi="Times New Roman" w:cs="Times New Roman"/>
          <w:b/>
          <w:bCs/>
          <w:sz w:val="24"/>
          <w:szCs w:val="24"/>
        </w:rPr>
        <w:t>.</w:t>
      </w:r>
    </w:p>
    <w:p w:rsidR="00715E91" w:rsidRPr="00637DE3" w:rsidP="001209CC" w14:paraId="16EE170C" w14:textId="715E63D4">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didapatkan</w:t>
      </w:r>
      <w:r w:rsidR="009B594C">
        <w:rPr>
          <w:rFonts w:ascii="Times New Roman" w:hAnsi="Times New Roman" w:cs="Times New Roman"/>
          <w:sz w:val="24"/>
          <w:szCs w:val="24"/>
        </w:rPr>
        <w:t xml:space="preserve"> </w:t>
      </w:r>
      <w:r w:rsidR="009B594C">
        <w:rPr>
          <w:rFonts w:ascii="Times New Roman" w:hAnsi="Times New Roman" w:cs="Times New Roman"/>
          <w:sz w:val="24"/>
          <w:szCs w:val="24"/>
        </w:rPr>
        <w:t>bahwa</w:t>
      </w:r>
      <w:r>
        <w:rPr>
          <w:rFonts w:ascii="Times New Roman" w:hAnsi="Times New Roman" w:cs="Times New Roman"/>
          <w:sz w:val="24"/>
          <w:szCs w:val="24"/>
        </w:rPr>
        <w:t xml:space="preserve"> </w:t>
      </w:r>
      <w:r w:rsidRPr="005B331C">
        <w:rPr>
          <w:rFonts w:ascii="Times New Roman" w:hAnsi="Times New Roman" w:cs="Times New Roman"/>
          <w:sz w:val="24"/>
          <w:szCs w:val="24"/>
        </w:rPr>
        <w:t>penerapan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praktik</w:t>
      </w:r>
      <w:r w:rsidRPr="005B331C">
        <w:rPr>
          <w:rFonts w:ascii="Times New Roman" w:hAnsi="Times New Roman" w:cs="Times New Roman"/>
          <w:sz w:val="24"/>
          <w:szCs w:val="24"/>
        </w:rPr>
        <w:t xml:space="preserve"> </w:t>
      </w:r>
      <w:r w:rsidRPr="005B331C">
        <w:rPr>
          <w:rFonts w:ascii="Times New Roman" w:hAnsi="Times New Roman" w:cs="Times New Roman"/>
          <w:i/>
          <w:iCs/>
          <w:sz w:val="24"/>
          <w:szCs w:val="24"/>
        </w:rPr>
        <w:t>green banking</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memiliki</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pengaruh</w:t>
      </w:r>
      <w:r w:rsidRPr="005B331C">
        <w:rPr>
          <w:rFonts w:ascii="Times New Roman" w:hAnsi="Times New Roman" w:cs="Times New Roman"/>
          <w:sz w:val="24"/>
          <w:szCs w:val="24"/>
        </w:rPr>
        <w:t xml:space="preserve"> yang </w:t>
      </w:r>
      <w:r w:rsidRPr="005B331C">
        <w:rPr>
          <w:rFonts w:ascii="Times New Roman" w:hAnsi="Times New Roman" w:cs="Times New Roman"/>
          <w:sz w:val="24"/>
          <w:szCs w:val="24"/>
        </w:rPr>
        <w:t>signifikan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terhadap</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kinerja</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keuangan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dengan</w:t>
      </w:r>
      <w:r w:rsidRPr="005B331C">
        <w:rPr>
          <w:rFonts w:ascii="Times New Roman" w:hAnsi="Times New Roman" w:cs="Times New Roman"/>
          <w:sz w:val="24"/>
          <w:szCs w:val="24"/>
        </w:rPr>
        <w:t xml:space="preserve"> </w:t>
      </w:r>
      <w:r w:rsidRPr="005B331C">
        <w:rPr>
          <w:rFonts w:ascii="Times New Roman" w:hAnsi="Times New Roman" w:cs="Times New Roman"/>
          <w:sz w:val="24"/>
          <w:szCs w:val="24"/>
        </w:rPr>
        <w:t>proksi</w:t>
      </w:r>
      <w:r w:rsidRPr="005B331C">
        <w:rPr>
          <w:rFonts w:ascii="Times New Roman" w:hAnsi="Times New Roman" w:cs="Times New Roman"/>
          <w:sz w:val="24"/>
          <w:szCs w:val="24"/>
        </w:rPr>
        <w:t xml:space="preserve"> </w:t>
      </w:r>
      <w:r>
        <w:rPr>
          <w:rFonts w:ascii="Times New Roman" w:hAnsi="Times New Roman" w:cs="Times New Roman"/>
          <w:i/>
          <w:iCs/>
          <w:sz w:val="24"/>
          <w:szCs w:val="24"/>
        </w:rPr>
        <w:t>net interest margin</w:t>
      </w:r>
      <w:r w:rsidRPr="005B331C">
        <w:rPr>
          <w:rFonts w:ascii="Times New Roman" w:hAnsi="Times New Roman" w:cs="Times New Roman"/>
          <w:sz w:val="24"/>
          <w:szCs w:val="24"/>
        </w:rPr>
        <w:t xml:space="preserve"> (</w:t>
      </w:r>
      <w:r>
        <w:rPr>
          <w:rFonts w:ascii="Times New Roman" w:hAnsi="Times New Roman" w:cs="Times New Roman"/>
          <w:sz w:val="24"/>
          <w:szCs w:val="24"/>
        </w:rPr>
        <w:t>NIM</w:t>
      </w:r>
      <w:r w:rsidRPr="005B331C">
        <w:rPr>
          <w:rFonts w:ascii="Times New Roman" w:hAnsi="Times New Roman" w:cs="Times New Roman"/>
          <w:sz w:val="24"/>
          <w:szCs w:val="24"/>
        </w:rPr>
        <w:t>)</w:t>
      </w:r>
      <w:r w:rsidRPr="00715E91" w:rsidR="0073442A">
        <w:rPr>
          <w:rFonts w:ascii="Times New Roman" w:hAnsi="Times New Roman" w:cs="Times New Roman"/>
          <w:sz w:val="24"/>
          <w:szCs w:val="24"/>
        </w:rPr>
        <w:t xml:space="preserve">. Hal </w:t>
      </w:r>
      <w:r w:rsidRPr="00715E91" w:rsidR="0073442A">
        <w:rPr>
          <w:rFonts w:ascii="Times New Roman" w:hAnsi="Times New Roman" w:cs="Times New Roman"/>
          <w:sz w:val="24"/>
          <w:szCs w:val="24"/>
        </w:rPr>
        <w:t>ini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menunjukkan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jika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perusahaan</w:t>
      </w:r>
      <w:r w:rsidRPr="00715E91" w:rsidR="0073442A">
        <w:rPr>
          <w:rFonts w:ascii="Times New Roman" w:hAnsi="Times New Roman" w:cs="Times New Roman"/>
          <w:sz w:val="24"/>
          <w:szCs w:val="24"/>
        </w:rPr>
        <w:t xml:space="preserve"> yang </w:t>
      </w:r>
      <w:r w:rsidRPr="00715E91" w:rsidR="0073442A">
        <w:rPr>
          <w:rFonts w:ascii="Times New Roman" w:hAnsi="Times New Roman" w:cs="Times New Roman"/>
          <w:sz w:val="24"/>
          <w:szCs w:val="24"/>
        </w:rPr>
        <w:t>mengungkapkan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penerapan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praktik</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green banking</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dalam</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laporan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keuangan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tahunnya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dapat</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meningkatkan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kualitas</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kinerja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keuangan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perusahaan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perbankan</w:t>
      </w:r>
      <w:r w:rsidRPr="00715E91" w:rsidR="0073442A">
        <w:rPr>
          <w:rFonts w:ascii="Times New Roman" w:hAnsi="Times New Roman" w:cs="Times New Roman"/>
          <w:sz w:val="24"/>
          <w:szCs w:val="24"/>
        </w:rPr>
        <w:t>.</w:t>
      </w:r>
      <w:r>
        <w:rPr>
          <w:rFonts w:ascii="Times New Roman" w:hAnsi="Times New Roman" w:cs="Times New Roman"/>
          <w:sz w:val="24"/>
          <w:szCs w:val="24"/>
        </w:rPr>
        <w:t xml:space="preserve"> </w:t>
      </w:r>
      <w:r w:rsidRPr="00637DE3" w:rsidR="0073442A">
        <w:rPr>
          <w:rFonts w:ascii="Times New Roman" w:hAnsi="Times New Roman" w:cs="Times New Roman"/>
          <w:i/>
          <w:iCs/>
          <w:sz w:val="24"/>
          <w:szCs w:val="24"/>
        </w:rPr>
        <w:t>Green banking</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merupakan</w:t>
      </w:r>
      <w:r w:rsidRPr="00637DE3" w:rsidR="0073442A">
        <w:rPr>
          <w:rFonts w:ascii="Times New Roman" w:hAnsi="Times New Roman" w:cs="Times New Roman"/>
          <w:sz w:val="24"/>
          <w:szCs w:val="24"/>
        </w:rPr>
        <w:t xml:space="preserve"> program </w:t>
      </w:r>
      <w:r w:rsidRPr="00637DE3" w:rsidR="0073442A">
        <w:rPr>
          <w:rFonts w:ascii="Times New Roman" w:hAnsi="Times New Roman" w:cs="Times New Roman"/>
          <w:sz w:val="24"/>
          <w:szCs w:val="24"/>
        </w:rPr>
        <w:t>ramah</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lingkungan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sehingga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kegiatan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operasional</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dilakukan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tanpa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menggunakan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bahan-bahan</w:t>
      </w:r>
      <w:r w:rsidRPr="00637DE3" w:rsidR="0073442A">
        <w:rPr>
          <w:rFonts w:ascii="Times New Roman" w:hAnsi="Times New Roman" w:cs="Times New Roman"/>
          <w:sz w:val="24"/>
          <w:szCs w:val="24"/>
        </w:rPr>
        <w:t xml:space="preserve"> yang </w:t>
      </w:r>
      <w:r w:rsidRPr="00637DE3" w:rsidR="0073442A">
        <w:rPr>
          <w:rFonts w:ascii="Times New Roman" w:hAnsi="Times New Roman" w:cs="Times New Roman"/>
          <w:sz w:val="24"/>
          <w:szCs w:val="24"/>
        </w:rPr>
        <w:t>berbahaya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bagi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lingkungan</w:t>
      </w:r>
      <w:r w:rsidRPr="00637DE3" w:rsidR="0073442A">
        <w:rPr>
          <w:rFonts w:ascii="Times New Roman" w:hAnsi="Times New Roman" w:cs="Times New Roman"/>
          <w:sz w:val="24"/>
          <w:szCs w:val="24"/>
        </w:rPr>
        <w:t>. Perusahaan-</w:t>
      </w:r>
      <w:r w:rsidRPr="00637DE3" w:rsidR="0073442A">
        <w:rPr>
          <w:rFonts w:ascii="Times New Roman" w:hAnsi="Times New Roman" w:cs="Times New Roman"/>
          <w:sz w:val="24"/>
          <w:szCs w:val="24"/>
        </w:rPr>
        <w:t>perusahaan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besar</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seperti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perbankan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melakukan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berbagai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upaya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untuk</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membangun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industri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perbankan</w:t>
      </w:r>
      <w:r w:rsidRPr="00637DE3" w:rsidR="0073442A">
        <w:rPr>
          <w:rFonts w:ascii="Times New Roman" w:hAnsi="Times New Roman" w:cs="Times New Roman"/>
          <w:sz w:val="24"/>
          <w:szCs w:val="24"/>
        </w:rPr>
        <w:t xml:space="preserve"> yang </w:t>
      </w:r>
      <w:r w:rsidRPr="00637DE3" w:rsidR="0073442A">
        <w:rPr>
          <w:rFonts w:ascii="Times New Roman" w:hAnsi="Times New Roman" w:cs="Times New Roman"/>
          <w:sz w:val="24"/>
          <w:szCs w:val="24"/>
        </w:rPr>
        <w:t>berkelanjutan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guna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berkontribusi</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terhadap</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perlindungan</w:t>
      </w:r>
      <w:r w:rsidRPr="00637DE3" w:rsidR="0073442A">
        <w:rPr>
          <w:rFonts w:ascii="Times New Roman" w:hAnsi="Times New Roman" w:cs="Times New Roman"/>
          <w:sz w:val="24"/>
          <w:szCs w:val="24"/>
        </w:rPr>
        <w:t xml:space="preserve"> dan </w:t>
      </w:r>
      <w:r w:rsidRPr="00637DE3" w:rsidR="0073442A">
        <w:rPr>
          <w:rFonts w:ascii="Times New Roman" w:hAnsi="Times New Roman" w:cs="Times New Roman"/>
          <w:sz w:val="24"/>
          <w:szCs w:val="24"/>
        </w:rPr>
        <w:t>pelestarian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lingkungan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hidup</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dengan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mencegah</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pencemaran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lingkungan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menjaga</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lingkungan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perusahaan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untuk</w:t>
      </w:r>
      <w:r w:rsidRPr="00637DE3" w:rsidR="0073442A">
        <w:rPr>
          <w:rFonts w:ascii="Times New Roman" w:hAnsi="Times New Roman" w:cs="Times New Roman"/>
          <w:sz w:val="24"/>
          <w:szCs w:val="24"/>
        </w:rPr>
        <w:t xml:space="preserve"> masa </w:t>
      </w:r>
      <w:r w:rsidRPr="00637DE3" w:rsidR="0073442A">
        <w:rPr>
          <w:rFonts w:ascii="Times New Roman" w:hAnsi="Times New Roman" w:cs="Times New Roman"/>
          <w:sz w:val="24"/>
          <w:szCs w:val="24"/>
        </w:rPr>
        <w:t>depan</w:t>
      </w:r>
      <w:r w:rsidRPr="00637DE3" w:rsidR="0073442A">
        <w:rPr>
          <w:rFonts w:ascii="Times New Roman" w:hAnsi="Times New Roman" w:cs="Times New Roman"/>
          <w:sz w:val="24"/>
          <w:szCs w:val="24"/>
        </w:rPr>
        <w:t xml:space="preserve">, dan </w:t>
      </w:r>
      <w:r w:rsidRPr="00637DE3" w:rsidR="0073442A">
        <w:rPr>
          <w:rFonts w:ascii="Times New Roman" w:hAnsi="Times New Roman" w:cs="Times New Roman"/>
          <w:sz w:val="24"/>
          <w:szCs w:val="24"/>
        </w:rPr>
        <w:t>sekaligus</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bertujuan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untuk</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pengembangan</w:t>
      </w:r>
      <w:r w:rsidRPr="00637DE3" w:rsidR="0073442A">
        <w:rPr>
          <w:rFonts w:ascii="Times New Roman" w:hAnsi="Times New Roman" w:cs="Times New Roman"/>
          <w:sz w:val="24"/>
          <w:szCs w:val="24"/>
        </w:rPr>
        <w:t xml:space="preserve"> </w:t>
      </w:r>
      <w:r w:rsidRPr="00637DE3" w:rsidR="0073442A">
        <w:rPr>
          <w:rFonts w:ascii="Times New Roman" w:hAnsi="Times New Roman" w:cs="Times New Roman"/>
          <w:sz w:val="24"/>
          <w:szCs w:val="24"/>
        </w:rPr>
        <w:t>perusahaan</w:t>
      </w:r>
      <w:r w:rsidRPr="00637DE3" w:rsidR="0073442A">
        <w:rPr>
          <w:rFonts w:ascii="Times New Roman" w:hAnsi="Times New Roman" w:cs="Times New Roman"/>
          <w:sz w:val="24"/>
          <w:szCs w:val="24"/>
        </w:rPr>
        <w:t>.</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Dapat</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dikatakan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bahwa</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kepedulian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lingkungan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merupakan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sebuah</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tanggung</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jawab</w:t>
      </w:r>
      <w:r w:rsidR="00660720">
        <w:rPr>
          <w:rFonts w:ascii="Times New Roman" w:hAnsi="Times New Roman" w:cs="Times New Roman"/>
          <w:sz w:val="24"/>
          <w:szCs w:val="24"/>
        </w:rPr>
        <w:t xml:space="preserve"> yang </w:t>
      </w:r>
      <w:r w:rsidR="00660720">
        <w:rPr>
          <w:rFonts w:ascii="Times New Roman" w:hAnsi="Times New Roman" w:cs="Times New Roman"/>
          <w:sz w:val="24"/>
          <w:szCs w:val="24"/>
        </w:rPr>
        <w:t>harus</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dilaksanakan</w:t>
      </w:r>
      <w:r w:rsidR="00660720">
        <w:rPr>
          <w:rFonts w:ascii="Times New Roman" w:hAnsi="Times New Roman" w:cs="Times New Roman"/>
          <w:sz w:val="24"/>
          <w:szCs w:val="24"/>
        </w:rPr>
        <w:t xml:space="preserve"> oleh </w:t>
      </w:r>
      <w:r w:rsidR="00660720">
        <w:rPr>
          <w:rFonts w:ascii="Times New Roman" w:hAnsi="Times New Roman" w:cs="Times New Roman"/>
          <w:sz w:val="24"/>
          <w:szCs w:val="24"/>
        </w:rPr>
        <w:t>perusahaan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dise</w:t>
      </w:r>
      <w:r w:rsidR="004038D2">
        <w:rPr>
          <w:rFonts w:ascii="Times New Roman" w:hAnsi="Times New Roman" w:cs="Times New Roman"/>
          <w:sz w:val="24"/>
          <w:szCs w:val="24"/>
        </w:rPr>
        <w:t>m</w:t>
      </w:r>
      <w:r w:rsidR="00660720">
        <w:rPr>
          <w:rFonts w:ascii="Times New Roman" w:hAnsi="Times New Roman" w:cs="Times New Roman"/>
          <w:sz w:val="24"/>
          <w:szCs w:val="24"/>
        </w:rPr>
        <w:t>ua</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sektor</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termmasuk</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sektor</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perbankan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walaupun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tidak</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bersi</w:t>
      </w:r>
      <w:r w:rsidR="004038D2">
        <w:rPr>
          <w:rFonts w:ascii="Times New Roman" w:hAnsi="Times New Roman" w:cs="Times New Roman"/>
          <w:sz w:val="24"/>
          <w:szCs w:val="24"/>
        </w:rPr>
        <w:t>n</w:t>
      </w:r>
      <w:r w:rsidR="00660720">
        <w:rPr>
          <w:rFonts w:ascii="Times New Roman" w:hAnsi="Times New Roman" w:cs="Times New Roman"/>
          <w:sz w:val="24"/>
          <w:szCs w:val="24"/>
        </w:rPr>
        <w:t>ggungan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langsung</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dengan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perusakan</w:t>
      </w:r>
      <w:r w:rsidR="00660720">
        <w:rPr>
          <w:rFonts w:ascii="Times New Roman" w:hAnsi="Times New Roman" w:cs="Times New Roman"/>
          <w:sz w:val="24"/>
          <w:szCs w:val="24"/>
        </w:rPr>
        <w:t xml:space="preserve"> </w:t>
      </w:r>
      <w:r w:rsidR="00660720">
        <w:rPr>
          <w:rFonts w:ascii="Times New Roman" w:hAnsi="Times New Roman" w:cs="Times New Roman"/>
          <w:sz w:val="24"/>
          <w:szCs w:val="24"/>
        </w:rPr>
        <w:t>alam</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karena</w:t>
      </w:r>
      <w:r w:rsidR="004038D2">
        <w:rPr>
          <w:rFonts w:ascii="Times New Roman" w:hAnsi="Times New Roman" w:cs="Times New Roman"/>
          <w:sz w:val="24"/>
          <w:szCs w:val="24"/>
        </w:rPr>
        <w:t xml:space="preserve"> pada </w:t>
      </w:r>
      <w:r w:rsidR="004038D2">
        <w:rPr>
          <w:rFonts w:ascii="Times New Roman" w:hAnsi="Times New Roman" w:cs="Times New Roman"/>
          <w:sz w:val="24"/>
          <w:szCs w:val="24"/>
        </w:rPr>
        <w:t>dasarnya</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perusahaan</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memiliki</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tanggung</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jawab</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sosial</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kepada</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masyarakat</w:t>
      </w:r>
      <w:r w:rsidR="004038D2">
        <w:rPr>
          <w:rFonts w:ascii="Times New Roman" w:hAnsi="Times New Roman" w:cs="Times New Roman"/>
          <w:sz w:val="24"/>
          <w:szCs w:val="24"/>
        </w:rPr>
        <w:t xml:space="preserve"> yang </w:t>
      </w:r>
      <w:r w:rsidR="004038D2">
        <w:rPr>
          <w:rFonts w:ascii="Times New Roman" w:hAnsi="Times New Roman" w:cs="Times New Roman"/>
          <w:sz w:val="24"/>
          <w:szCs w:val="24"/>
        </w:rPr>
        <w:t>harus</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dijalankan</w:t>
      </w:r>
      <w:r w:rsidR="004038D2">
        <w:rPr>
          <w:rFonts w:ascii="Times New Roman" w:hAnsi="Times New Roman" w:cs="Times New Roman"/>
          <w:sz w:val="24"/>
          <w:szCs w:val="24"/>
        </w:rPr>
        <w:t xml:space="preserve"> </w:t>
      </w:r>
      <w:r w:rsidR="004038D2">
        <w:rPr>
          <w:rFonts w:ascii="Times New Roman" w:hAnsi="Times New Roman" w:cs="Times New Roman"/>
          <w:sz w:val="24"/>
          <w:szCs w:val="24"/>
        </w:rPr>
        <w:t>perusahaan</w:t>
      </w:r>
      <w:r w:rsidR="004038D2">
        <w:rPr>
          <w:rFonts w:ascii="Times New Roman" w:hAnsi="Times New Roman" w:cs="Times New Roman"/>
          <w:sz w:val="24"/>
          <w:szCs w:val="24"/>
        </w:rPr>
        <w:t xml:space="preserve">. </w:t>
      </w:r>
      <w:r w:rsidRPr="00715E91" w:rsidR="00660720">
        <w:rPr>
          <w:rFonts w:ascii="Times New Roman" w:hAnsi="Times New Roman" w:cs="Times New Roman"/>
          <w:sz w:val="24"/>
          <w:szCs w:val="24"/>
        </w:rPr>
        <w:t xml:space="preserve">Hal </w:t>
      </w:r>
      <w:r w:rsidRPr="00715E91" w:rsidR="00660720">
        <w:rPr>
          <w:rFonts w:ascii="Times New Roman" w:hAnsi="Times New Roman" w:cs="Times New Roman"/>
          <w:sz w:val="24"/>
          <w:szCs w:val="24"/>
        </w:rPr>
        <w:t>ini</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selaras</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dengan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penelitian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fldChar w:fldCharType="begin" w:fldLock="1"/>
      </w:r>
      <w:r w:rsidRPr="00715E91" w:rsidR="00660720">
        <w:rPr>
          <w:rFonts w:ascii="Times New Roman" w:hAnsi="Times New Roman" w:cs="Times New Roman"/>
          <w:sz w:val="24"/>
          <w:szCs w:val="24"/>
        </w:rPr>
        <w:instrText>ADDIN CSL_CITATION {"citationItems":[{"id":"ITEM-1","itemData":{"author":[{"dropping-particle":"","family":"Wrespatiningsih","given":"Hayu Mas","non-dropping-particle":"","parse-names":false,"suffix":""},{"dropping-particle":"","family":"Mahyuni","given":"Luh Putu","non-dropping-particle":"","parse-names":false,"suffix":""}],"container-title":"Jurnal Akuntansi Berkelanjutan Indonesia","id":"ITEM-1","issue":"1","issued":{"date-parts":[["2022"]]},"title":"Praktik Green Banking Dalam Memediasi Pengaruh Corporate Social Responsibility Terhadap Kinerja Perusahaan Perbankan","type":"article-journal","volume":"Vol 5"},"uris":["http://www.mendeley.com/documents/?uuid=7af90762-7ea4-37d4-9186-0322a70948f9"]}],"mendeley":{"formattedCitation":"(Wrespatiningsih &amp; Mahyuni, 2022)","plainTextFormattedCitation":"(Wrespatiningsih &amp; Mahyuni, 2022)","previouslyFormattedCitation":"(Wrespatiningsih &amp; Mahyuni, 2022)"},"properties":{"noteIndex":0},"schema":"https://github.com/citation-style-language/schema/raw/master/csl-citation.json"}</w:instrText>
      </w:r>
      <w:r w:rsidRPr="00715E91" w:rsidR="00660720">
        <w:rPr>
          <w:rFonts w:ascii="Times New Roman" w:hAnsi="Times New Roman" w:cs="Times New Roman"/>
          <w:sz w:val="24"/>
          <w:szCs w:val="24"/>
        </w:rPr>
        <w:fldChar w:fldCharType="separate"/>
      </w:r>
      <w:r w:rsidRPr="00715E91" w:rsidR="00660720">
        <w:rPr>
          <w:rFonts w:ascii="Times New Roman" w:hAnsi="Times New Roman" w:cs="Times New Roman"/>
          <w:noProof/>
          <w:sz w:val="24"/>
          <w:szCs w:val="24"/>
        </w:rPr>
        <w:t>Wrespatiningsih &amp; Mahyuni</w:t>
      </w:r>
      <w:r w:rsidR="000304D1">
        <w:rPr>
          <w:rFonts w:ascii="Times New Roman" w:hAnsi="Times New Roman" w:cs="Times New Roman"/>
          <w:noProof/>
          <w:sz w:val="24"/>
          <w:szCs w:val="24"/>
        </w:rPr>
        <w:t xml:space="preserve"> (</w:t>
      </w:r>
      <w:r w:rsidRPr="00715E91" w:rsidR="00660720">
        <w:rPr>
          <w:rFonts w:ascii="Times New Roman" w:hAnsi="Times New Roman" w:cs="Times New Roman"/>
          <w:noProof/>
          <w:sz w:val="24"/>
          <w:szCs w:val="24"/>
        </w:rPr>
        <w:t>2022)</w:t>
      </w:r>
      <w:r w:rsidRPr="00715E91" w:rsidR="00660720">
        <w:rPr>
          <w:rFonts w:ascii="Times New Roman" w:hAnsi="Times New Roman" w:cs="Times New Roman"/>
          <w:sz w:val="24"/>
          <w:szCs w:val="24"/>
        </w:rPr>
        <w:fldChar w:fldCharType="end"/>
      </w:r>
      <w:r w:rsidRPr="00715E91" w:rsidR="00660720">
        <w:rPr>
          <w:rFonts w:ascii="Times New Roman" w:hAnsi="Times New Roman" w:cs="Times New Roman"/>
          <w:sz w:val="24"/>
          <w:szCs w:val="24"/>
        </w:rPr>
        <w:t xml:space="preserve">, yang mana </w:t>
      </w:r>
      <w:r w:rsidRPr="00715E91" w:rsidR="00660720">
        <w:rPr>
          <w:rFonts w:ascii="Times New Roman" w:hAnsi="Times New Roman" w:cs="Times New Roman"/>
          <w:sz w:val="24"/>
          <w:szCs w:val="24"/>
        </w:rPr>
        <w:t>dijelaskan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bahwa</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semakin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baik</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praktik</w:t>
      </w:r>
      <w:r w:rsidRPr="00715E91" w:rsidR="00660720">
        <w:rPr>
          <w:rFonts w:ascii="Times New Roman" w:hAnsi="Times New Roman" w:cs="Times New Roman"/>
          <w:sz w:val="24"/>
          <w:szCs w:val="24"/>
        </w:rPr>
        <w:t xml:space="preserve"> program</w:t>
      </w:r>
      <w:r w:rsidRPr="00715E91" w:rsidR="00660720">
        <w:rPr>
          <w:rFonts w:ascii="Times New Roman" w:hAnsi="Times New Roman" w:cs="Times New Roman"/>
          <w:i/>
          <w:iCs/>
          <w:sz w:val="24"/>
          <w:szCs w:val="24"/>
        </w:rPr>
        <w:t xml:space="preserve"> green banking </w:t>
      </w:r>
      <w:r w:rsidRPr="00715E91" w:rsidR="00660720">
        <w:rPr>
          <w:rFonts w:ascii="Times New Roman" w:hAnsi="Times New Roman" w:cs="Times New Roman"/>
          <w:sz w:val="24"/>
          <w:szCs w:val="24"/>
        </w:rPr>
        <w:t xml:space="preserve">yang </w:t>
      </w:r>
      <w:r w:rsidRPr="00715E91" w:rsidR="00660720">
        <w:rPr>
          <w:rFonts w:ascii="Times New Roman" w:hAnsi="Times New Roman" w:cs="Times New Roman"/>
          <w:sz w:val="24"/>
          <w:szCs w:val="24"/>
        </w:rPr>
        <w:t>dijalankan</w:t>
      </w:r>
      <w:r w:rsidRPr="00715E91" w:rsidR="00660720">
        <w:rPr>
          <w:rFonts w:ascii="Times New Roman" w:hAnsi="Times New Roman" w:cs="Times New Roman"/>
          <w:sz w:val="24"/>
          <w:szCs w:val="24"/>
        </w:rPr>
        <w:t xml:space="preserve"> oleh </w:t>
      </w:r>
      <w:r w:rsidRPr="00715E91" w:rsidR="00660720">
        <w:rPr>
          <w:rFonts w:ascii="Times New Roman" w:hAnsi="Times New Roman" w:cs="Times New Roman"/>
          <w:sz w:val="24"/>
          <w:szCs w:val="24"/>
        </w:rPr>
        <w:t>perusahaan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akan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memberikan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dampak</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semakin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baik</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terhadap</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perkembangan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kinerja</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perusahaan</w:t>
      </w:r>
      <w:r w:rsidRPr="00715E91" w:rsidR="00660720">
        <w:rPr>
          <w:rFonts w:ascii="Times New Roman" w:hAnsi="Times New Roman" w:cs="Times New Roman"/>
          <w:sz w:val="24"/>
          <w:szCs w:val="24"/>
        </w:rPr>
        <w:t xml:space="preserve"> </w:t>
      </w:r>
      <w:r w:rsidRPr="00715E91" w:rsidR="00660720">
        <w:rPr>
          <w:rFonts w:ascii="Times New Roman" w:hAnsi="Times New Roman" w:cs="Times New Roman"/>
          <w:sz w:val="24"/>
          <w:szCs w:val="24"/>
        </w:rPr>
        <w:t>perbankan</w:t>
      </w:r>
      <w:r w:rsidRPr="00715E91" w:rsidR="00660720">
        <w:rPr>
          <w:rFonts w:ascii="Times New Roman" w:hAnsi="Times New Roman" w:cs="Times New Roman"/>
          <w:sz w:val="24"/>
          <w:szCs w:val="24"/>
        </w:rPr>
        <w:t>.</w:t>
      </w:r>
    </w:p>
    <w:p w:rsidR="00715E91" w:rsidP="001209CC" w14:paraId="31427AEB" w14:textId="6F989993">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Kondisi</w:t>
      </w:r>
      <w:r>
        <w:rPr>
          <w:rFonts w:ascii="Times New Roman" w:hAnsi="Times New Roman" w:cs="Times New Roman"/>
          <w:sz w:val="24"/>
          <w:szCs w:val="24"/>
        </w:rPr>
        <w:t xml:space="preserve"> </w:t>
      </w:r>
      <w:r>
        <w:rPr>
          <w:rFonts w:ascii="Times New Roman" w:hAnsi="Times New Roman" w:cs="Times New Roman"/>
          <w:sz w:val="24"/>
          <w:szCs w:val="24"/>
        </w:rPr>
        <w:t>saat</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dimana</w:t>
      </w:r>
      <w:r>
        <w:rPr>
          <w:rFonts w:ascii="Times New Roman" w:hAnsi="Times New Roman" w:cs="Times New Roman"/>
          <w:sz w:val="24"/>
          <w:szCs w:val="24"/>
        </w:rPr>
        <w:t xml:space="preserve"> </w:t>
      </w:r>
      <w:r w:rsidRPr="00564EC4">
        <w:rPr>
          <w:rFonts w:ascii="Times New Roman" w:hAnsi="Times New Roman" w:cs="Times New Roman"/>
          <w:i/>
          <w:iCs/>
          <w:sz w:val="24"/>
          <w:szCs w:val="24"/>
        </w:rPr>
        <w:t>stakeholder</w:t>
      </w:r>
      <w:r>
        <w:rPr>
          <w:rFonts w:ascii="Times New Roman" w:hAnsi="Times New Roman" w:cs="Times New Roman"/>
          <w:sz w:val="24"/>
          <w:szCs w:val="24"/>
        </w:rPr>
        <w:t xml:space="preserve"> </w:t>
      </w:r>
      <w:r>
        <w:rPr>
          <w:rFonts w:ascii="Times New Roman" w:hAnsi="Times New Roman" w:cs="Times New Roman"/>
          <w:sz w:val="24"/>
          <w:szCs w:val="24"/>
        </w:rPr>
        <w:t>atau</w:t>
      </w:r>
      <w:r>
        <w:rPr>
          <w:rFonts w:ascii="Times New Roman" w:hAnsi="Times New Roman" w:cs="Times New Roman"/>
          <w:sz w:val="24"/>
          <w:szCs w:val="24"/>
        </w:rPr>
        <w:t xml:space="preserve"> investor juga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menyadari</w:t>
      </w:r>
      <w:r>
        <w:rPr>
          <w:rFonts w:ascii="Times New Roman" w:hAnsi="Times New Roman" w:cs="Times New Roman"/>
          <w:sz w:val="24"/>
          <w:szCs w:val="24"/>
        </w:rPr>
        <w:t xml:space="preserve"> </w:t>
      </w:r>
      <w:r>
        <w:rPr>
          <w:rFonts w:ascii="Times New Roman" w:hAnsi="Times New Roman" w:cs="Times New Roman"/>
          <w:sz w:val="24"/>
          <w:szCs w:val="24"/>
        </w:rPr>
        <w:t>tentang</w:t>
      </w:r>
      <w:r>
        <w:rPr>
          <w:rFonts w:ascii="Times New Roman" w:hAnsi="Times New Roman" w:cs="Times New Roman"/>
          <w:sz w:val="24"/>
          <w:szCs w:val="24"/>
        </w:rPr>
        <w:t xml:space="preserve"> </w:t>
      </w:r>
      <w:r>
        <w:rPr>
          <w:rFonts w:ascii="Times New Roman" w:hAnsi="Times New Roman" w:cs="Times New Roman"/>
          <w:sz w:val="24"/>
          <w:szCs w:val="24"/>
        </w:rPr>
        <w:t>isu-isu</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menentukan</w:t>
      </w:r>
      <w:r>
        <w:rPr>
          <w:rFonts w:ascii="Times New Roman" w:hAnsi="Times New Roman" w:cs="Times New Roman"/>
          <w:sz w:val="24"/>
          <w:szCs w:val="24"/>
        </w:rPr>
        <w:t xml:space="preserve"> </w:t>
      </w:r>
      <w:r>
        <w:rPr>
          <w:rFonts w:ascii="Times New Roman" w:hAnsi="Times New Roman" w:cs="Times New Roman"/>
          <w:sz w:val="24"/>
          <w:szCs w:val="24"/>
        </w:rPr>
        <w:t>keputusan</w:t>
      </w:r>
      <w:r>
        <w:rPr>
          <w:rFonts w:ascii="Times New Roman" w:hAnsi="Times New Roman" w:cs="Times New Roman"/>
          <w:sz w:val="24"/>
          <w:szCs w:val="24"/>
        </w:rPr>
        <w:t xml:space="preserve"> </w:t>
      </w:r>
      <w:r>
        <w:rPr>
          <w:rFonts w:ascii="Times New Roman" w:hAnsi="Times New Roman" w:cs="Times New Roman"/>
          <w:sz w:val="24"/>
          <w:szCs w:val="24"/>
        </w:rPr>
        <w:t>investasinya</w:t>
      </w:r>
      <w:r>
        <w:rPr>
          <w:rFonts w:ascii="Times New Roman" w:hAnsi="Times New Roman" w:cs="Times New Roman"/>
          <w:sz w:val="24"/>
          <w:szCs w:val="24"/>
        </w:rPr>
        <w:t xml:space="preserve">. Oleh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itu</w:t>
      </w:r>
      <w:r>
        <w:rPr>
          <w:rFonts w:ascii="Times New Roman" w:hAnsi="Times New Roman" w:cs="Times New Roman"/>
          <w:sz w:val="24"/>
          <w:szCs w:val="24"/>
        </w:rPr>
        <w:t xml:space="preserve">, </w:t>
      </w:r>
      <w:r>
        <w:rPr>
          <w:rFonts w:ascii="Times New Roman" w:hAnsi="Times New Roman" w:cs="Times New Roman"/>
          <w:sz w:val="24"/>
          <w:szCs w:val="24"/>
        </w:rPr>
        <w:t>ketika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sidRPr="009249FF">
        <w:rPr>
          <w:rFonts w:ascii="Times New Roman" w:hAnsi="Times New Roman" w:cs="Times New Roman"/>
          <w:sz w:val="24"/>
          <w:szCs w:val="24"/>
        </w:rPr>
        <w:t>mencoba</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melakukan</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hal-hal</w:t>
      </w:r>
      <w:r w:rsidRPr="009249FF">
        <w:rPr>
          <w:rFonts w:ascii="Times New Roman" w:hAnsi="Times New Roman" w:cs="Times New Roman"/>
          <w:sz w:val="24"/>
          <w:szCs w:val="24"/>
        </w:rPr>
        <w:t xml:space="preserve"> yang </w:t>
      </w:r>
      <w:r>
        <w:rPr>
          <w:rFonts w:ascii="Times New Roman" w:hAnsi="Times New Roman" w:cs="Times New Roman"/>
          <w:sz w:val="24"/>
          <w:szCs w:val="24"/>
        </w:rPr>
        <w:t>dapat</w:t>
      </w:r>
      <w:r>
        <w:rPr>
          <w:rFonts w:ascii="Times New Roman" w:hAnsi="Times New Roman" w:cs="Times New Roman"/>
          <w:sz w:val="24"/>
          <w:szCs w:val="24"/>
        </w:rPr>
        <w:t xml:space="preserve"> </w:t>
      </w:r>
      <w:r w:rsidRPr="009249FF">
        <w:rPr>
          <w:rFonts w:ascii="Times New Roman" w:hAnsi="Times New Roman" w:cs="Times New Roman"/>
          <w:sz w:val="24"/>
          <w:szCs w:val="24"/>
        </w:rPr>
        <w:t>meminimalisir</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dampak</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negatif</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terhadap</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lingkungan</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akan</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mendapatkan</w:t>
      </w:r>
      <w:r w:rsidRPr="009249FF">
        <w:rPr>
          <w:rFonts w:ascii="Times New Roman" w:hAnsi="Times New Roman" w:cs="Times New Roman"/>
          <w:sz w:val="24"/>
          <w:szCs w:val="24"/>
        </w:rPr>
        <w:t xml:space="preserve"> </w:t>
      </w:r>
      <w:r>
        <w:rPr>
          <w:rFonts w:ascii="Times New Roman" w:hAnsi="Times New Roman" w:cs="Times New Roman"/>
          <w:sz w:val="24"/>
          <w:szCs w:val="24"/>
        </w:rPr>
        <w:t>perhatian</w:t>
      </w:r>
      <w:r w:rsidRPr="009249FF">
        <w:rPr>
          <w:rFonts w:ascii="Times New Roman" w:hAnsi="Times New Roman" w:cs="Times New Roman"/>
          <w:sz w:val="24"/>
          <w:szCs w:val="24"/>
        </w:rPr>
        <w:t xml:space="preserve"> yang </w:t>
      </w:r>
      <w:r w:rsidRPr="009249FF">
        <w:rPr>
          <w:rFonts w:ascii="Times New Roman" w:hAnsi="Times New Roman" w:cs="Times New Roman"/>
          <w:sz w:val="24"/>
          <w:szCs w:val="24"/>
        </w:rPr>
        <w:t>lebih</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tinggi</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dari</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masyarakat</w:t>
      </w:r>
      <w:r>
        <w:rPr>
          <w:rFonts w:ascii="Times New Roman" w:hAnsi="Times New Roman" w:cs="Times New Roman"/>
          <w:sz w:val="24"/>
          <w:szCs w:val="24"/>
        </w:rPr>
        <w:t xml:space="preserve">, </w:t>
      </w:r>
      <w:r>
        <w:rPr>
          <w:rFonts w:ascii="Times New Roman" w:hAnsi="Times New Roman" w:cs="Times New Roman"/>
          <w:sz w:val="24"/>
          <w:szCs w:val="24"/>
        </w:rPr>
        <w:t>tentunya</w:t>
      </w:r>
      <w:r>
        <w:rPr>
          <w:rFonts w:ascii="Times New Roman" w:hAnsi="Times New Roman" w:cs="Times New Roman"/>
          <w:sz w:val="24"/>
          <w:szCs w:val="24"/>
        </w:rPr>
        <w:t xml:space="preserve"> </w:t>
      </w:r>
      <w:r>
        <w:rPr>
          <w:rFonts w:ascii="Times New Roman" w:hAnsi="Times New Roman" w:cs="Times New Roman"/>
          <w:sz w:val="24"/>
          <w:szCs w:val="24"/>
        </w:rPr>
        <w:t>h</w:t>
      </w:r>
      <w:r w:rsidRPr="009249FF">
        <w:rPr>
          <w:rFonts w:ascii="Times New Roman" w:hAnsi="Times New Roman" w:cs="Times New Roman"/>
          <w:sz w:val="24"/>
          <w:szCs w:val="24"/>
        </w:rPr>
        <w:t>al</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ini</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dapat</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meningkatkan</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nilai</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jual</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perusahaan</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sehingga</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kinerja</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perusahaan</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dapat</w:t>
      </w:r>
      <w:r w:rsidRPr="009249FF">
        <w:rPr>
          <w:rFonts w:ascii="Times New Roman" w:hAnsi="Times New Roman" w:cs="Times New Roman"/>
          <w:sz w:val="24"/>
          <w:szCs w:val="24"/>
        </w:rPr>
        <w:t xml:space="preserve"> </w:t>
      </w:r>
      <w:r w:rsidRPr="009249FF">
        <w:rPr>
          <w:rFonts w:ascii="Times New Roman" w:hAnsi="Times New Roman" w:cs="Times New Roman"/>
          <w:sz w:val="24"/>
          <w:szCs w:val="24"/>
        </w:rPr>
        <w:t>ditingkatkan</w:t>
      </w:r>
      <w:r w:rsidRPr="009249FF">
        <w:rPr>
          <w:rFonts w:ascii="Times New Roman" w:hAnsi="Times New Roman" w:cs="Times New Roman"/>
          <w:sz w:val="24"/>
          <w:szCs w:val="24"/>
        </w:rPr>
        <w:t>.</w:t>
      </w:r>
      <w:r>
        <w:rPr>
          <w:rFonts w:ascii="Times New Roman" w:hAnsi="Times New Roman" w:cs="Times New Roman"/>
          <w:sz w:val="24"/>
          <w:szCs w:val="24"/>
        </w:rPr>
        <w:t xml:space="preserve"> </w:t>
      </w:r>
      <w:r w:rsidR="00577565">
        <w:rPr>
          <w:rFonts w:ascii="Times New Roman" w:hAnsi="Times New Roman" w:cs="Times New Roman"/>
          <w:sz w:val="24"/>
          <w:szCs w:val="24"/>
        </w:rPr>
        <w:t>Perbankan</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perlunya</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untuk</w:t>
      </w:r>
      <w:r w:rsidR="00577565">
        <w:rPr>
          <w:rFonts w:ascii="Times New Roman" w:hAnsi="Times New Roman" w:cs="Times New Roman"/>
          <w:sz w:val="24"/>
          <w:szCs w:val="24"/>
        </w:rPr>
        <w:t xml:space="preserve"> </w:t>
      </w:r>
      <w:r w:rsidR="00577565">
        <w:rPr>
          <w:rFonts w:ascii="Times New Roman" w:hAnsi="Times New Roman" w:cs="Times New Roman"/>
          <w:sz w:val="24"/>
          <w:szCs w:val="24"/>
        </w:rPr>
        <w:t>lebih</w:t>
      </w:r>
      <w:r w:rsidR="00577565">
        <w:rPr>
          <w:rFonts w:ascii="Times New Roman" w:hAnsi="Times New Roman" w:cs="Times New Roman"/>
          <w:sz w:val="24"/>
          <w:szCs w:val="24"/>
        </w:rPr>
        <w:t xml:space="preserve"> </w:t>
      </w:r>
      <w:r w:rsidR="00610FDD">
        <w:rPr>
          <w:rFonts w:ascii="Times New Roman" w:hAnsi="Times New Roman" w:cs="Times New Roman"/>
          <w:sz w:val="24"/>
          <w:szCs w:val="24"/>
        </w:rPr>
        <w:t>memperhatikan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sisi</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lingkungan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karena</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saat</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ini</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dalam</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konsep</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ekonomi</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hijau</w:t>
      </w:r>
      <w:r w:rsidR="00610FDD">
        <w:rPr>
          <w:rFonts w:ascii="Times New Roman" w:hAnsi="Times New Roman" w:cs="Times New Roman"/>
          <w:sz w:val="24"/>
          <w:szCs w:val="24"/>
        </w:rPr>
        <w:t xml:space="preserve"> yang </w:t>
      </w:r>
      <w:r w:rsidR="00610FDD">
        <w:rPr>
          <w:rFonts w:ascii="Times New Roman" w:hAnsi="Times New Roman" w:cs="Times New Roman"/>
          <w:sz w:val="24"/>
          <w:szCs w:val="24"/>
        </w:rPr>
        <w:t>lebih</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dikedepankan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adalah</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sisi</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kepedulian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lingkungan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perusahaan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segla</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sektor</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perusahaan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termasuk</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perbankan</w:t>
      </w:r>
      <w:r w:rsidR="00610FDD">
        <w:rPr>
          <w:rFonts w:ascii="Times New Roman" w:hAnsi="Times New Roman" w:cs="Times New Roman"/>
          <w:sz w:val="24"/>
          <w:szCs w:val="24"/>
        </w:rPr>
        <w:t xml:space="preserve">. Dalam </w:t>
      </w:r>
      <w:r w:rsidR="00610FDD">
        <w:rPr>
          <w:rFonts w:ascii="Times New Roman" w:hAnsi="Times New Roman" w:cs="Times New Roman"/>
          <w:sz w:val="24"/>
          <w:szCs w:val="24"/>
        </w:rPr>
        <w:t>perbankan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konsep</w:t>
      </w:r>
      <w:r w:rsidR="00610FDD">
        <w:rPr>
          <w:rFonts w:ascii="Times New Roman" w:hAnsi="Times New Roman" w:cs="Times New Roman"/>
          <w:sz w:val="24"/>
          <w:szCs w:val="24"/>
        </w:rPr>
        <w:t xml:space="preserve"> </w:t>
      </w:r>
      <w:r w:rsidRPr="00610FDD" w:rsidR="00610FDD">
        <w:rPr>
          <w:rFonts w:ascii="Times New Roman" w:hAnsi="Times New Roman" w:cs="Times New Roman"/>
          <w:i/>
          <w:iCs/>
          <w:sz w:val="24"/>
          <w:szCs w:val="24"/>
        </w:rPr>
        <w:t>green banking</w:t>
      </w:r>
      <w:r w:rsidR="00610FDD">
        <w:rPr>
          <w:rFonts w:ascii="Times New Roman" w:hAnsi="Times New Roman" w:cs="Times New Roman"/>
          <w:sz w:val="24"/>
          <w:szCs w:val="24"/>
        </w:rPr>
        <w:t xml:space="preserve"> yang </w:t>
      </w:r>
      <w:r w:rsidR="00610FDD">
        <w:rPr>
          <w:rFonts w:ascii="Times New Roman" w:hAnsi="Times New Roman" w:cs="Times New Roman"/>
          <w:sz w:val="24"/>
          <w:szCs w:val="24"/>
        </w:rPr>
        <w:t>baru-baru</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ini</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muncul</w:t>
      </w:r>
      <w:r w:rsidR="00610FDD">
        <w:rPr>
          <w:rFonts w:ascii="Times New Roman" w:hAnsi="Times New Roman" w:cs="Times New Roman"/>
          <w:sz w:val="24"/>
          <w:szCs w:val="24"/>
        </w:rPr>
        <w:t xml:space="preserve"> juga </w:t>
      </w:r>
      <w:r w:rsidR="00610FDD">
        <w:rPr>
          <w:rFonts w:ascii="Times New Roman" w:hAnsi="Times New Roman" w:cs="Times New Roman"/>
          <w:sz w:val="24"/>
          <w:szCs w:val="24"/>
        </w:rPr>
        <w:t>harus</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dipertimbangkan</w:t>
      </w:r>
      <w:r w:rsidR="00610FDD">
        <w:rPr>
          <w:rFonts w:ascii="Times New Roman" w:hAnsi="Times New Roman" w:cs="Times New Roman"/>
          <w:sz w:val="24"/>
          <w:szCs w:val="24"/>
        </w:rPr>
        <w:t xml:space="preserve">, </w:t>
      </w:r>
      <w:r w:rsidR="00610FDD">
        <w:rPr>
          <w:rFonts w:ascii="Times New Roman" w:hAnsi="Times New Roman" w:cs="Times New Roman"/>
          <w:sz w:val="24"/>
          <w:szCs w:val="24"/>
        </w:rPr>
        <w:t>karena</w:t>
      </w:r>
      <w:r w:rsidR="00610FDD">
        <w:rPr>
          <w:rFonts w:ascii="Times New Roman" w:hAnsi="Times New Roman" w:cs="Times New Roman"/>
          <w:sz w:val="24"/>
          <w:szCs w:val="24"/>
        </w:rPr>
        <w:t xml:space="preserve"> </w:t>
      </w:r>
      <w:r w:rsidR="00610FDD">
        <w:rPr>
          <w:rFonts w:ascii="Times New Roman" w:hAnsi="Times New Roman" w:cs="Times New Roman"/>
          <w:i/>
          <w:iCs/>
          <w:sz w:val="24"/>
          <w:szCs w:val="24"/>
        </w:rPr>
        <w:t>g</w:t>
      </w:r>
      <w:r w:rsidRPr="00E334E4">
        <w:rPr>
          <w:rFonts w:ascii="Times New Roman" w:hAnsi="Times New Roman" w:cs="Times New Roman"/>
          <w:i/>
          <w:iCs/>
          <w:sz w:val="24"/>
          <w:szCs w:val="24"/>
        </w:rPr>
        <w:t>reen banking</w:t>
      </w:r>
      <w:r>
        <w:rPr>
          <w:rFonts w:ascii="Times New Roman" w:hAnsi="Times New Roman" w:cs="Times New Roman"/>
          <w:sz w:val="24"/>
          <w:szCs w:val="24"/>
        </w:rPr>
        <w:t xml:space="preserve"> </w:t>
      </w:r>
      <w:r>
        <w:rPr>
          <w:rFonts w:ascii="Times New Roman" w:hAnsi="Times New Roman" w:cs="Times New Roman"/>
          <w:sz w:val="24"/>
          <w:szCs w:val="24"/>
        </w:rPr>
        <w:t>merupakan</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baru</w:t>
      </w:r>
      <w:r>
        <w:rPr>
          <w:rFonts w:ascii="Times New Roman" w:hAnsi="Times New Roman" w:cs="Times New Roman"/>
          <w:sz w:val="24"/>
          <w:szCs w:val="24"/>
        </w:rPr>
        <w:t xml:space="preserve"> yang </w:t>
      </w:r>
      <w:r>
        <w:rPr>
          <w:rFonts w:ascii="Times New Roman" w:hAnsi="Times New Roman" w:cs="Times New Roman"/>
          <w:sz w:val="24"/>
          <w:szCs w:val="24"/>
        </w:rPr>
        <w:t>pengembangannya</w:t>
      </w:r>
      <w:r>
        <w:rPr>
          <w:rFonts w:ascii="Times New Roman" w:hAnsi="Times New Roman" w:cs="Times New Roman"/>
          <w:sz w:val="24"/>
          <w:szCs w:val="24"/>
        </w:rPr>
        <w:t xml:space="preserve"> </w:t>
      </w:r>
      <w:r>
        <w:rPr>
          <w:rFonts w:ascii="Times New Roman" w:hAnsi="Times New Roman" w:cs="Times New Roman"/>
          <w:sz w:val="24"/>
          <w:szCs w:val="24"/>
        </w:rPr>
        <w:t>masih</w:t>
      </w:r>
      <w:r>
        <w:rPr>
          <w:rFonts w:ascii="Times New Roman" w:hAnsi="Times New Roman" w:cs="Times New Roman"/>
          <w:sz w:val="24"/>
          <w:szCs w:val="24"/>
        </w:rPr>
        <w:t xml:space="preserve"> sangat </w:t>
      </w:r>
      <w:r>
        <w:rPr>
          <w:rFonts w:ascii="Times New Roman" w:hAnsi="Times New Roman" w:cs="Times New Roman"/>
          <w:sz w:val="24"/>
          <w:szCs w:val="24"/>
        </w:rPr>
        <w:t>kurang</w:t>
      </w:r>
      <w:r>
        <w:rPr>
          <w:rFonts w:ascii="Times New Roman" w:hAnsi="Times New Roman" w:cs="Times New Roman"/>
          <w:sz w:val="24"/>
          <w:szCs w:val="24"/>
        </w:rPr>
        <w:t xml:space="preserve">, </w:t>
      </w:r>
      <w:r>
        <w:rPr>
          <w:rFonts w:ascii="Times New Roman" w:hAnsi="Times New Roman" w:cs="Times New Roman"/>
          <w:sz w:val="24"/>
          <w:szCs w:val="24"/>
        </w:rPr>
        <w:t>maka</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itu</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perlunya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mengembangkan</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tersebut</w:t>
      </w:r>
      <w:r>
        <w:rPr>
          <w:rFonts w:ascii="Times New Roman" w:hAnsi="Times New Roman" w:cs="Times New Roman"/>
          <w:sz w:val="24"/>
          <w:szCs w:val="24"/>
        </w:rPr>
        <w:t xml:space="preserve"> agar </w:t>
      </w:r>
      <w:r w:rsidR="00E334E4">
        <w:rPr>
          <w:rFonts w:ascii="Times New Roman" w:hAnsi="Times New Roman" w:cs="Times New Roman"/>
          <w:sz w:val="24"/>
          <w:szCs w:val="24"/>
        </w:rPr>
        <w:t>menjadikannya</w:t>
      </w:r>
      <w:r w:rsidR="00E334E4">
        <w:rPr>
          <w:rFonts w:ascii="Times New Roman" w:hAnsi="Times New Roman" w:cs="Times New Roman"/>
          <w:sz w:val="24"/>
          <w:szCs w:val="24"/>
        </w:rPr>
        <w:t xml:space="preserve"> </w:t>
      </w:r>
      <w:r w:rsidR="00E334E4">
        <w:rPr>
          <w:rFonts w:ascii="Times New Roman" w:hAnsi="Times New Roman" w:cs="Times New Roman"/>
          <w:sz w:val="24"/>
          <w:szCs w:val="24"/>
        </w:rPr>
        <w:t>sebagai</w:t>
      </w:r>
      <w:r w:rsidR="00E334E4">
        <w:rPr>
          <w:rFonts w:ascii="Times New Roman" w:hAnsi="Times New Roman" w:cs="Times New Roman"/>
          <w:sz w:val="24"/>
          <w:szCs w:val="24"/>
        </w:rPr>
        <w:t xml:space="preserve"> salah </w:t>
      </w:r>
      <w:r w:rsidR="00E334E4">
        <w:rPr>
          <w:rFonts w:ascii="Times New Roman" w:hAnsi="Times New Roman" w:cs="Times New Roman"/>
          <w:sz w:val="24"/>
          <w:szCs w:val="24"/>
        </w:rPr>
        <w:t>cara</w:t>
      </w:r>
      <w:r w:rsidR="00E334E4">
        <w:rPr>
          <w:rFonts w:ascii="Times New Roman" w:hAnsi="Times New Roman" w:cs="Times New Roman"/>
          <w:sz w:val="24"/>
          <w:szCs w:val="24"/>
        </w:rPr>
        <w:t xml:space="preserve"> yang </w:t>
      </w:r>
      <w:r w:rsidR="00E334E4">
        <w:rPr>
          <w:rFonts w:ascii="Times New Roman" w:hAnsi="Times New Roman" w:cs="Times New Roman"/>
          <w:sz w:val="24"/>
          <w:szCs w:val="24"/>
        </w:rPr>
        <w:t>dapat</w:t>
      </w:r>
      <w:r w:rsidR="00E334E4">
        <w:rPr>
          <w:rFonts w:ascii="Times New Roman" w:hAnsi="Times New Roman" w:cs="Times New Roman"/>
          <w:sz w:val="24"/>
          <w:szCs w:val="24"/>
        </w:rPr>
        <w:t xml:space="preserve"> </w:t>
      </w:r>
      <w:r w:rsidR="00E334E4">
        <w:rPr>
          <w:rFonts w:ascii="Times New Roman" w:hAnsi="Times New Roman" w:cs="Times New Roman"/>
          <w:sz w:val="24"/>
          <w:szCs w:val="24"/>
        </w:rPr>
        <w:t>meningkatkan</w:t>
      </w:r>
      <w:r w:rsidR="00E334E4">
        <w:rPr>
          <w:rFonts w:ascii="Times New Roman" w:hAnsi="Times New Roman" w:cs="Times New Roman"/>
          <w:sz w:val="24"/>
          <w:szCs w:val="24"/>
        </w:rPr>
        <w:t xml:space="preserve"> </w:t>
      </w:r>
      <w:r w:rsidR="00E334E4">
        <w:rPr>
          <w:rFonts w:ascii="Times New Roman" w:hAnsi="Times New Roman" w:cs="Times New Roman"/>
          <w:sz w:val="24"/>
          <w:szCs w:val="24"/>
        </w:rPr>
        <w:t>kinerja</w:t>
      </w:r>
      <w:r w:rsidR="00E334E4">
        <w:rPr>
          <w:rFonts w:ascii="Times New Roman" w:hAnsi="Times New Roman" w:cs="Times New Roman"/>
          <w:sz w:val="24"/>
          <w:szCs w:val="24"/>
        </w:rPr>
        <w:t xml:space="preserve"> </w:t>
      </w:r>
      <w:r w:rsidR="00E334E4">
        <w:rPr>
          <w:rFonts w:ascii="Times New Roman" w:hAnsi="Times New Roman" w:cs="Times New Roman"/>
          <w:sz w:val="24"/>
          <w:szCs w:val="24"/>
        </w:rPr>
        <w:t>perusahaan</w:t>
      </w:r>
      <w:r w:rsidR="00E334E4">
        <w:rPr>
          <w:rFonts w:ascii="Times New Roman" w:hAnsi="Times New Roman" w:cs="Times New Roman"/>
          <w:sz w:val="24"/>
          <w:szCs w:val="24"/>
        </w:rPr>
        <w:t xml:space="preserve">. </w:t>
      </w:r>
      <w:r w:rsidR="00166414">
        <w:rPr>
          <w:rFonts w:ascii="Times New Roman" w:hAnsi="Times New Roman" w:cs="Times New Roman"/>
          <w:sz w:val="24"/>
          <w:szCs w:val="24"/>
        </w:rPr>
        <w:t>N</w:t>
      </w:r>
      <w:r w:rsidR="00E334E4">
        <w:rPr>
          <w:rFonts w:ascii="Times New Roman" w:hAnsi="Times New Roman" w:cs="Times New Roman"/>
          <w:sz w:val="24"/>
          <w:szCs w:val="24"/>
        </w:rPr>
        <w:t>amun</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tidak</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hanya</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kinerja</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saja</w:t>
      </w:r>
      <w:r w:rsidR="00166414">
        <w:rPr>
          <w:rFonts w:ascii="Times New Roman" w:hAnsi="Times New Roman" w:cs="Times New Roman"/>
          <w:sz w:val="24"/>
          <w:szCs w:val="24"/>
        </w:rPr>
        <w:t xml:space="preserve"> yang </w:t>
      </w:r>
      <w:r w:rsidR="00166414">
        <w:rPr>
          <w:rFonts w:ascii="Times New Roman" w:hAnsi="Times New Roman" w:cs="Times New Roman"/>
          <w:sz w:val="24"/>
          <w:szCs w:val="24"/>
        </w:rPr>
        <w:t>meningkat</w:t>
      </w:r>
      <w:r w:rsidR="00166414">
        <w:rPr>
          <w:rFonts w:ascii="Times New Roman" w:hAnsi="Times New Roman" w:cs="Times New Roman"/>
          <w:sz w:val="24"/>
          <w:szCs w:val="24"/>
        </w:rPr>
        <w:t xml:space="preserve"> di </w:t>
      </w:r>
      <w:r w:rsidR="00166414">
        <w:rPr>
          <w:rFonts w:ascii="Times New Roman" w:hAnsi="Times New Roman" w:cs="Times New Roman"/>
          <w:sz w:val="24"/>
          <w:szCs w:val="24"/>
        </w:rPr>
        <w:t>sisi</w:t>
      </w:r>
      <w:r w:rsidR="00166414">
        <w:rPr>
          <w:rFonts w:ascii="Times New Roman" w:hAnsi="Times New Roman" w:cs="Times New Roman"/>
          <w:sz w:val="24"/>
          <w:szCs w:val="24"/>
        </w:rPr>
        <w:t xml:space="preserve"> lain </w:t>
      </w:r>
      <w:r w:rsidR="00166414">
        <w:rPr>
          <w:rFonts w:ascii="Times New Roman" w:hAnsi="Times New Roman" w:cs="Times New Roman"/>
          <w:sz w:val="24"/>
          <w:szCs w:val="24"/>
        </w:rPr>
        <w:t>perusahaan</w:t>
      </w:r>
      <w:r w:rsidR="00166414">
        <w:rPr>
          <w:rFonts w:ascii="Times New Roman" w:hAnsi="Times New Roman" w:cs="Times New Roman"/>
          <w:sz w:val="24"/>
          <w:szCs w:val="24"/>
        </w:rPr>
        <w:t xml:space="preserve"> juga </w:t>
      </w:r>
      <w:r w:rsidR="00166414">
        <w:rPr>
          <w:rFonts w:ascii="Times New Roman" w:hAnsi="Times New Roman" w:cs="Times New Roman"/>
          <w:sz w:val="24"/>
          <w:szCs w:val="24"/>
        </w:rPr>
        <w:t>ikut</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serta</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dalam</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melestarikan</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lingkungan</w:t>
      </w:r>
      <w:r w:rsidR="00166414">
        <w:rPr>
          <w:rFonts w:ascii="Times New Roman" w:hAnsi="Times New Roman" w:cs="Times New Roman"/>
          <w:sz w:val="24"/>
          <w:szCs w:val="24"/>
        </w:rPr>
        <w:t xml:space="preserve"> dan </w:t>
      </w:r>
      <w:r w:rsidR="00166414">
        <w:rPr>
          <w:rFonts w:ascii="Times New Roman" w:hAnsi="Times New Roman" w:cs="Times New Roman"/>
          <w:sz w:val="24"/>
          <w:szCs w:val="24"/>
        </w:rPr>
        <w:t>melaksanakan</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pembangunan</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keuangan</w:t>
      </w:r>
      <w:r w:rsidR="00166414">
        <w:rPr>
          <w:rFonts w:ascii="Times New Roman" w:hAnsi="Times New Roman" w:cs="Times New Roman"/>
          <w:sz w:val="24"/>
          <w:szCs w:val="24"/>
        </w:rPr>
        <w:t xml:space="preserve"> </w:t>
      </w:r>
      <w:r w:rsidR="00166414">
        <w:rPr>
          <w:rFonts w:ascii="Times New Roman" w:hAnsi="Times New Roman" w:cs="Times New Roman"/>
          <w:sz w:val="24"/>
          <w:szCs w:val="24"/>
        </w:rPr>
        <w:t>keberlanjutan</w:t>
      </w:r>
      <w:r w:rsidR="00166414">
        <w:rPr>
          <w:rFonts w:ascii="Times New Roman" w:hAnsi="Times New Roman" w:cs="Times New Roman"/>
          <w:sz w:val="24"/>
          <w:szCs w:val="24"/>
        </w:rPr>
        <w:t>.</w:t>
      </w:r>
      <w:r w:rsidR="00577565">
        <w:rPr>
          <w:rFonts w:ascii="Times New Roman" w:hAnsi="Times New Roman" w:cs="Times New Roman"/>
          <w:sz w:val="24"/>
          <w:szCs w:val="24"/>
        </w:rPr>
        <w:t xml:space="preserve"> </w:t>
      </w:r>
    </w:p>
    <w:p w:rsidR="00715E91" w:rsidP="001D28D7" w14:paraId="00638064" w14:textId="77777777">
      <w:pPr>
        <w:pStyle w:val="ListParagraph"/>
        <w:numPr>
          <w:ilvl w:val="0"/>
          <w:numId w:val="75"/>
        </w:numPr>
        <w:spacing w:after="0" w:line="480" w:lineRule="auto"/>
        <w:jc w:val="both"/>
        <w:rPr>
          <w:rFonts w:ascii="Times New Roman" w:hAnsi="Times New Roman" w:cs="Times New Roman"/>
          <w:b/>
          <w:bCs/>
          <w:sz w:val="24"/>
          <w:szCs w:val="24"/>
        </w:rPr>
      </w:pPr>
      <w:r w:rsidRPr="00715E91">
        <w:rPr>
          <w:rFonts w:ascii="Times New Roman" w:hAnsi="Times New Roman" w:cs="Times New Roman"/>
          <w:b/>
          <w:bCs/>
          <w:sz w:val="24"/>
          <w:szCs w:val="24"/>
        </w:rPr>
        <w:t>Pengaruh</w:t>
      </w:r>
      <w:r w:rsidRPr="00715E91">
        <w:rPr>
          <w:rFonts w:ascii="Times New Roman" w:hAnsi="Times New Roman" w:cs="Times New Roman"/>
          <w:b/>
          <w:bCs/>
          <w:sz w:val="24"/>
          <w:szCs w:val="24"/>
        </w:rPr>
        <w:t xml:space="preserve"> </w:t>
      </w:r>
      <w:r w:rsidRPr="00715E91">
        <w:rPr>
          <w:rFonts w:ascii="Times New Roman" w:hAnsi="Times New Roman" w:cs="Times New Roman"/>
          <w:b/>
          <w:bCs/>
          <w:i/>
          <w:iCs/>
          <w:sz w:val="24"/>
          <w:szCs w:val="24"/>
        </w:rPr>
        <w:t>Green Banking</w:t>
      </w:r>
      <w:r w:rsidRPr="00715E91">
        <w:rPr>
          <w:rFonts w:ascii="Times New Roman" w:hAnsi="Times New Roman" w:cs="Times New Roman"/>
          <w:b/>
          <w:bCs/>
          <w:sz w:val="24"/>
          <w:szCs w:val="24"/>
        </w:rPr>
        <w:t xml:space="preserve"> Dalam </w:t>
      </w:r>
      <w:r w:rsidRPr="00715E91">
        <w:rPr>
          <w:rFonts w:ascii="Times New Roman" w:hAnsi="Times New Roman" w:cs="Times New Roman"/>
          <w:b/>
          <w:bCs/>
          <w:sz w:val="24"/>
          <w:szCs w:val="24"/>
        </w:rPr>
        <w:t>Memediasi</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Pengaruh</w:t>
      </w:r>
      <w:r w:rsidRPr="00715E91">
        <w:rPr>
          <w:rFonts w:ascii="Times New Roman" w:hAnsi="Times New Roman" w:cs="Times New Roman"/>
          <w:b/>
          <w:bCs/>
          <w:sz w:val="24"/>
          <w:szCs w:val="24"/>
        </w:rPr>
        <w:t xml:space="preserve"> </w:t>
      </w:r>
      <w:r w:rsidRPr="00715E91">
        <w:rPr>
          <w:rFonts w:ascii="Times New Roman" w:hAnsi="Times New Roman" w:cs="Times New Roman"/>
          <w:b/>
          <w:bCs/>
          <w:i/>
          <w:iCs/>
          <w:sz w:val="24"/>
          <w:szCs w:val="24"/>
        </w:rPr>
        <w:t>Corporate Social Responsibility</w:t>
      </w:r>
      <w:r w:rsidRPr="00715E91">
        <w:rPr>
          <w:rFonts w:ascii="Times New Roman" w:hAnsi="Times New Roman" w:cs="Times New Roman"/>
          <w:b/>
          <w:bCs/>
          <w:sz w:val="24"/>
          <w:szCs w:val="24"/>
        </w:rPr>
        <w:t xml:space="preserve"> </w:t>
      </w:r>
      <w:r w:rsidRPr="00715E91">
        <w:rPr>
          <w:rFonts w:ascii="Times New Roman" w:hAnsi="Times New Roman" w:cs="Times New Roman"/>
          <w:b/>
          <w:bCs/>
          <w:sz w:val="24"/>
          <w:szCs w:val="24"/>
        </w:rPr>
        <w:t>Terhadap</w:t>
      </w:r>
      <w:r w:rsidRPr="00715E91">
        <w:rPr>
          <w:rFonts w:ascii="Times New Roman" w:hAnsi="Times New Roman" w:cs="Times New Roman"/>
          <w:b/>
          <w:bCs/>
          <w:sz w:val="24"/>
          <w:szCs w:val="24"/>
        </w:rPr>
        <w:t xml:space="preserve"> Kinerja </w:t>
      </w:r>
      <w:r w:rsidRPr="00715E91">
        <w:rPr>
          <w:rFonts w:ascii="Times New Roman" w:hAnsi="Times New Roman" w:cs="Times New Roman"/>
          <w:b/>
          <w:bCs/>
          <w:sz w:val="24"/>
          <w:szCs w:val="24"/>
        </w:rPr>
        <w:t>Keuangan</w:t>
      </w:r>
      <w:r w:rsidRPr="00715E91">
        <w:rPr>
          <w:rFonts w:ascii="Times New Roman" w:hAnsi="Times New Roman" w:cs="Times New Roman"/>
          <w:b/>
          <w:bCs/>
          <w:sz w:val="24"/>
          <w:szCs w:val="24"/>
        </w:rPr>
        <w:t xml:space="preserve"> Perusahaan Sub-Sektor </w:t>
      </w:r>
      <w:r w:rsidRPr="00715E91">
        <w:rPr>
          <w:rFonts w:ascii="Times New Roman" w:hAnsi="Times New Roman" w:cs="Times New Roman"/>
          <w:b/>
          <w:bCs/>
          <w:sz w:val="24"/>
          <w:szCs w:val="24"/>
        </w:rPr>
        <w:t>Perbankan</w:t>
      </w:r>
      <w:r w:rsidRPr="00715E91">
        <w:rPr>
          <w:rFonts w:ascii="Times New Roman" w:hAnsi="Times New Roman" w:cs="Times New Roman"/>
          <w:b/>
          <w:bCs/>
          <w:sz w:val="24"/>
          <w:szCs w:val="24"/>
        </w:rPr>
        <w:t>.</w:t>
      </w:r>
    </w:p>
    <w:p w:rsidR="004038D2" w:rsidP="004038D2" w14:paraId="5190D213" w14:textId="77777777">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menunjukkan</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sidR="002701A7">
        <w:rPr>
          <w:rFonts w:ascii="Times New Roman" w:hAnsi="Times New Roman" w:cs="Times New Roman"/>
          <w:sz w:val="24"/>
          <w:szCs w:val="24"/>
        </w:rPr>
        <w:t>terdapat</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pengaruh</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mediasi</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penerapan</w:t>
      </w:r>
      <w:r w:rsidR="002701A7">
        <w:rPr>
          <w:rFonts w:ascii="Times New Roman" w:hAnsi="Times New Roman" w:cs="Times New Roman"/>
          <w:sz w:val="24"/>
          <w:szCs w:val="24"/>
        </w:rPr>
        <w:t xml:space="preserve"> </w:t>
      </w:r>
      <w:r w:rsidRPr="00266FCF" w:rsidR="002701A7">
        <w:rPr>
          <w:rFonts w:ascii="Times New Roman" w:hAnsi="Times New Roman" w:cs="Times New Roman"/>
          <w:i/>
          <w:iCs/>
          <w:sz w:val="24"/>
          <w:szCs w:val="24"/>
        </w:rPr>
        <w:t>green banking</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dalam</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pengaruh</w:t>
      </w:r>
      <w:r w:rsidR="002701A7">
        <w:rPr>
          <w:rFonts w:ascii="Times New Roman" w:hAnsi="Times New Roman" w:cs="Times New Roman"/>
          <w:sz w:val="24"/>
          <w:szCs w:val="24"/>
        </w:rPr>
        <w:t xml:space="preserve"> corporate social responsibility </w:t>
      </w:r>
      <w:r w:rsidR="002701A7">
        <w:rPr>
          <w:rFonts w:ascii="Times New Roman" w:hAnsi="Times New Roman" w:cs="Times New Roman"/>
          <w:sz w:val="24"/>
          <w:szCs w:val="24"/>
        </w:rPr>
        <w:t>terhadap</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kinerja</w:t>
      </w:r>
      <w:r w:rsidR="002701A7">
        <w:rPr>
          <w:rFonts w:ascii="Times New Roman" w:hAnsi="Times New Roman" w:cs="Times New Roman"/>
          <w:sz w:val="24"/>
          <w:szCs w:val="24"/>
        </w:rPr>
        <w:t xml:space="preserve"> </w:t>
      </w:r>
      <w:r w:rsidR="002701A7">
        <w:rPr>
          <w:rFonts w:ascii="Times New Roman" w:hAnsi="Times New Roman" w:cs="Times New Roman"/>
          <w:sz w:val="24"/>
          <w:szCs w:val="24"/>
        </w:rPr>
        <w:t>keuangan</w:t>
      </w:r>
      <w:r w:rsidR="002701A7">
        <w:rPr>
          <w:rFonts w:ascii="Times New Roman" w:hAnsi="Times New Roman" w:cs="Times New Roman"/>
          <w:sz w:val="24"/>
          <w:szCs w:val="24"/>
        </w:rPr>
        <w:t xml:space="preserve"> </w:t>
      </w:r>
      <w:r w:rsidRPr="00715E91" w:rsidR="0073442A">
        <w:rPr>
          <w:rFonts w:ascii="Times New Roman" w:hAnsi="Times New Roman" w:cs="Times New Roman"/>
          <w:sz w:val="24"/>
          <w:szCs w:val="24"/>
        </w:rPr>
        <w:t>dengan</w:t>
      </w:r>
      <w:r w:rsidRPr="00715E91" w:rsidR="0073442A">
        <w:rPr>
          <w:rFonts w:ascii="Times New Roman" w:hAnsi="Times New Roman" w:cs="Times New Roman"/>
          <w:sz w:val="24"/>
          <w:szCs w:val="24"/>
        </w:rPr>
        <w:t xml:space="preserve"> 3 </w:t>
      </w:r>
      <w:r w:rsidRPr="00715E91" w:rsidR="0073442A">
        <w:rPr>
          <w:rFonts w:ascii="Times New Roman" w:hAnsi="Times New Roman" w:cs="Times New Roman"/>
          <w:sz w:val="24"/>
          <w:szCs w:val="24"/>
        </w:rPr>
        <w:t>proksi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yaitu</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return on assets</w:t>
      </w:r>
      <w:r w:rsidRPr="00715E91" w:rsidR="0073442A">
        <w:rPr>
          <w:rFonts w:ascii="Times New Roman" w:hAnsi="Times New Roman" w:cs="Times New Roman"/>
          <w:sz w:val="24"/>
          <w:szCs w:val="24"/>
        </w:rPr>
        <w:t xml:space="preserve"> (ROA), </w:t>
      </w:r>
      <w:r w:rsidRPr="00715E91" w:rsidR="0073442A">
        <w:rPr>
          <w:rFonts w:ascii="Times New Roman" w:hAnsi="Times New Roman" w:cs="Times New Roman"/>
          <w:i/>
          <w:iCs/>
          <w:sz w:val="24"/>
          <w:szCs w:val="24"/>
        </w:rPr>
        <w:t>return on equity</w:t>
      </w:r>
      <w:r w:rsidRPr="00715E91" w:rsidR="0073442A">
        <w:rPr>
          <w:rFonts w:ascii="Times New Roman" w:hAnsi="Times New Roman" w:cs="Times New Roman"/>
          <w:sz w:val="24"/>
          <w:szCs w:val="24"/>
        </w:rPr>
        <w:t xml:space="preserve"> (ROE), dan </w:t>
      </w:r>
      <w:r w:rsidRPr="00715E91" w:rsidR="0073442A">
        <w:rPr>
          <w:rFonts w:ascii="Times New Roman" w:hAnsi="Times New Roman" w:cs="Times New Roman"/>
          <w:i/>
          <w:iCs/>
          <w:sz w:val="24"/>
          <w:szCs w:val="24"/>
        </w:rPr>
        <w:t>net interest margin</w:t>
      </w:r>
      <w:r w:rsidRPr="00715E91" w:rsidR="0073442A">
        <w:rPr>
          <w:rFonts w:ascii="Times New Roman" w:hAnsi="Times New Roman" w:cs="Times New Roman"/>
          <w:sz w:val="24"/>
          <w:szCs w:val="24"/>
        </w:rPr>
        <w:t xml:space="preserve"> (NIM). </w:t>
      </w:r>
      <w:r w:rsidRPr="00715E91" w:rsidR="0073442A">
        <w:rPr>
          <w:rFonts w:ascii="Times New Roman" w:hAnsi="Times New Roman" w:cs="Times New Roman"/>
          <w:sz w:val="24"/>
          <w:szCs w:val="24"/>
        </w:rPr>
        <w:t>Dapat</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dikatakan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bahwa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hasil</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tersebut</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menunjukkan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bahwa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ada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atau</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tidaknya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perubahan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terhadap</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praktik</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 xml:space="preserve">green banking </w:t>
      </w:r>
      <w:r w:rsidRPr="00715E91" w:rsidR="0073442A">
        <w:rPr>
          <w:rFonts w:ascii="Times New Roman" w:hAnsi="Times New Roman" w:cs="Times New Roman"/>
          <w:sz w:val="24"/>
          <w:szCs w:val="24"/>
        </w:rPr>
        <w:t xml:space="preserve">yang </w:t>
      </w:r>
      <w:r w:rsidRPr="00715E91" w:rsidR="0073442A">
        <w:rPr>
          <w:rFonts w:ascii="Times New Roman" w:hAnsi="Times New Roman" w:cs="Times New Roman"/>
          <w:sz w:val="24"/>
          <w:szCs w:val="24"/>
        </w:rPr>
        <w:t>dilakukan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perbankan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akan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menimbulkan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pengaruh</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terhadap</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hubungan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antara</w:t>
      </w:r>
      <w:r w:rsidRPr="00715E91" w:rsidR="0073442A">
        <w:rPr>
          <w:rFonts w:ascii="Times New Roman" w:hAnsi="Times New Roman" w:cs="Times New Roman"/>
          <w:sz w:val="24"/>
          <w:szCs w:val="24"/>
        </w:rPr>
        <w:t xml:space="preserve"> CSR </w:t>
      </w:r>
      <w:r w:rsidRPr="00715E91" w:rsidR="0073442A">
        <w:rPr>
          <w:rFonts w:ascii="Times New Roman" w:hAnsi="Times New Roman" w:cs="Times New Roman"/>
          <w:sz w:val="24"/>
          <w:szCs w:val="24"/>
        </w:rPr>
        <w:t>kepada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kinerja</w:t>
      </w:r>
      <w:r w:rsidR="00C15D77">
        <w:rPr>
          <w:rFonts w:ascii="Times New Roman" w:hAnsi="Times New Roman" w:cs="Times New Roman"/>
          <w:sz w:val="24"/>
          <w:szCs w:val="24"/>
        </w:rPr>
        <w:t xml:space="preserve"> </w:t>
      </w:r>
      <w:r w:rsidR="00C15D77">
        <w:rPr>
          <w:rFonts w:ascii="Times New Roman" w:hAnsi="Times New Roman" w:cs="Times New Roman"/>
          <w:sz w:val="24"/>
          <w:szCs w:val="24"/>
        </w:rPr>
        <w:t>keuangan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dari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sebuah</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perusahaan</w:t>
      </w:r>
      <w:r w:rsidRPr="00715E91" w:rsidR="0073442A">
        <w:rPr>
          <w:rFonts w:ascii="Times New Roman" w:hAnsi="Times New Roman" w:cs="Times New Roman"/>
          <w:sz w:val="24"/>
          <w:szCs w:val="24"/>
        </w:rPr>
        <w:t xml:space="preserve"> yang </w:t>
      </w:r>
      <w:r w:rsidRPr="00715E91" w:rsidR="0073442A">
        <w:rPr>
          <w:rFonts w:ascii="Times New Roman" w:hAnsi="Times New Roman" w:cs="Times New Roman"/>
          <w:sz w:val="24"/>
          <w:szCs w:val="24"/>
        </w:rPr>
        <w:t>tergabung</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dalam</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perusahaan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perbankan</w:t>
      </w:r>
      <w:r w:rsidRPr="00715E91" w:rsidR="0073442A">
        <w:rPr>
          <w:rFonts w:ascii="Times New Roman" w:hAnsi="Times New Roman" w:cs="Times New Roman"/>
          <w:sz w:val="24"/>
          <w:szCs w:val="24"/>
        </w:rPr>
        <w:t xml:space="preserve"> BEI </w:t>
      </w:r>
      <w:r w:rsidRPr="00715E91" w:rsidR="0073442A">
        <w:rPr>
          <w:rFonts w:ascii="Times New Roman" w:hAnsi="Times New Roman" w:cs="Times New Roman"/>
          <w:sz w:val="24"/>
          <w:szCs w:val="24"/>
        </w:rPr>
        <w:t>Periode</w:t>
      </w:r>
      <w:r w:rsidRPr="00715E91" w:rsidR="0073442A">
        <w:rPr>
          <w:rFonts w:ascii="Times New Roman" w:hAnsi="Times New Roman" w:cs="Times New Roman"/>
          <w:sz w:val="24"/>
          <w:szCs w:val="24"/>
        </w:rPr>
        <w:t xml:space="preserve"> 2019 </w:t>
      </w:r>
      <w:r w:rsidRPr="00715E91" w:rsidR="0073442A">
        <w:rPr>
          <w:rFonts w:ascii="Times New Roman" w:hAnsi="Times New Roman" w:cs="Times New Roman"/>
          <w:sz w:val="24"/>
          <w:szCs w:val="24"/>
        </w:rPr>
        <w:t>hingga</w:t>
      </w:r>
      <w:r w:rsidRPr="00715E91" w:rsidR="0073442A">
        <w:rPr>
          <w:rFonts w:ascii="Times New Roman" w:hAnsi="Times New Roman" w:cs="Times New Roman"/>
          <w:sz w:val="24"/>
          <w:szCs w:val="24"/>
        </w:rPr>
        <w:t xml:space="preserve"> 2023. </w:t>
      </w:r>
      <w:r w:rsidRPr="00715E91" w:rsidR="0073442A">
        <w:rPr>
          <w:rFonts w:ascii="Times New Roman" w:hAnsi="Times New Roman" w:cs="Times New Roman"/>
          <w:sz w:val="24"/>
          <w:szCs w:val="24"/>
        </w:rPr>
        <w:t>Sehingga</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praktik</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i/>
          <w:iCs/>
          <w:sz w:val="24"/>
          <w:szCs w:val="24"/>
        </w:rPr>
        <w:t>green banking</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dikatakan</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mampu</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menjadi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sebuah</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variabel</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pemediasi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dalam</w:t>
      </w:r>
      <w:r w:rsidRPr="00715E91" w:rsidR="0073442A">
        <w:rPr>
          <w:rFonts w:ascii="Times New Roman" w:hAnsi="Times New Roman" w:cs="Times New Roman"/>
          <w:sz w:val="24"/>
          <w:szCs w:val="24"/>
        </w:rPr>
        <w:t xml:space="preserve"> model </w:t>
      </w:r>
      <w:r w:rsidRPr="00715E91" w:rsidR="0073442A">
        <w:rPr>
          <w:rFonts w:ascii="Times New Roman" w:hAnsi="Times New Roman" w:cs="Times New Roman"/>
          <w:sz w:val="24"/>
          <w:szCs w:val="24"/>
        </w:rPr>
        <w:t>regresi</w:t>
      </w:r>
      <w:r w:rsidRPr="00715E91" w:rsidR="0073442A">
        <w:rPr>
          <w:rFonts w:ascii="Times New Roman" w:hAnsi="Times New Roman" w:cs="Times New Roman"/>
          <w:sz w:val="24"/>
          <w:szCs w:val="24"/>
        </w:rPr>
        <w:t xml:space="preserve"> </w:t>
      </w:r>
      <w:r w:rsidRPr="00715E91" w:rsidR="0073442A">
        <w:rPr>
          <w:rFonts w:ascii="Times New Roman" w:hAnsi="Times New Roman" w:cs="Times New Roman"/>
          <w:sz w:val="24"/>
          <w:szCs w:val="24"/>
        </w:rPr>
        <w:t>ini</w:t>
      </w:r>
      <w:r w:rsidRPr="00715E91" w:rsidR="0073442A">
        <w:rPr>
          <w:rFonts w:ascii="Times New Roman" w:hAnsi="Times New Roman" w:cs="Times New Roman"/>
          <w:sz w:val="24"/>
          <w:szCs w:val="24"/>
        </w:rPr>
        <w:t xml:space="preserve">. </w:t>
      </w:r>
    </w:p>
    <w:p w:rsidR="00610FDD" w:rsidRPr="004038D2" w:rsidP="004038D2" w14:paraId="56F0C7EF" w14:textId="2C98FB3C">
      <w:pPr>
        <w:pStyle w:val="ListParagraph"/>
        <w:spacing w:after="0" w:line="480" w:lineRule="auto"/>
        <w:ind w:firstLine="720"/>
        <w:jc w:val="both"/>
        <w:rPr>
          <w:rFonts w:ascii="Times New Roman" w:hAnsi="Times New Roman" w:cs="Times New Roman"/>
          <w:sz w:val="24"/>
          <w:szCs w:val="24"/>
        </w:rPr>
      </w:pPr>
      <w:r w:rsidRPr="004038D2">
        <w:rPr>
          <w:rFonts w:ascii="Times New Roman" w:hAnsi="Times New Roman" w:cs="Times New Roman"/>
          <w:sz w:val="24"/>
          <w:szCs w:val="24"/>
        </w:rPr>
        <w:t xml:space="preserve">Hasil </w:t>
      </w:r>
      <w:r w:rsidRPr="004038D2">
        <w:rPr>
          <w:rFonts w:ascii="Times New Roman" w:hAnsi="Times New Roman" w:cs="Times New Roman"/>
          <w:sz w:val="24"/>
          <w:szCs w:val="24"/>
        </w:rPr>
        <w:t>ini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bisa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dikatakan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sesuai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dengan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teori</w:t>
      </w:r>
      <w:r w:rsidRPr="004038D2">
        <w:rPr>
          <w:rFonts w:ascii="Times New Roman" w:hAnsi="Times New Roman" w:cs="Times New Roman"/>
          <w:sz w:val="24"/>
          <w:szCs w:val="24"/>
        </w:rPr>
        <w:t xml:space="preserve"> yang </w:t>
      </w:r>
      <w:r w:rsidRPr="004038D2">
        <w:rPr>
          <w:rFonts w:ascii="Times New Roman" w:hAnsi="Times New Roman" w:cs="Times New Roman"/>
          <w:sz w:val="24"/>
          <w:szCs w:val="24"/>
        </w:rPr>
        <w:t>diambil</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yaitu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teori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sinyal</w:t>
      </w:r>
      <w:r w:rsidRPr="004038D2">
        <w:rPr>
          <w:rFonts w:ascii="Times New Roman" w:hAnsi="Times New Roman" w:cs="Times New Roman"/>
          <w:sz w:val="24"/>
          <w:szCs w:val="24"/>
        </w:rPr>
        <w:t xml:space="preserve"> dan </w:t>
      </w:r>
      <w:r w:rsidRPr="004038D2">
        <w:rPr>
          <w:rFonts w:ascii="Times New Roman" w:hAnsi="Times New Roman" w:cs="Times New Roman"/>
          <w:sz w:val="24"/>
          <w:szCs w:val="24"/>
        </w:rPr>
        <w:t>teori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legitimasi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dimana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pengungkapan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atau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informasi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mengenai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pada </w:t>
      </w:r>
      <w:r w:rsidRPr="004038D2">
        <w:rPr>
          <w:rFonts w:ascii="Times New Roman" w:hAnsi="Times New Roman" w:cs="Times New Roman"/>
          <w:sz w:val="24"/>
          <w:szCs w:val="24"/>
        </w:rPr>
        <w:t>publik</w:t>
      </w:r>
      <w:r w:rsidRPr="004038D2">
        <w:rPr>
          <w:rFonts w:ascii="Times New Roman" w:hAnsi="Times New Roman" w:cs="Times New Roman"/>
          <w:sz w:val="24"/>
          <w:szCs w:val="24"/>
        </w:rPr>
        <w:t xml:space="preserve"> dan program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yang </w:t>
      </w:r>
      <w:r w:rsidRPr="004038D2">
        <w:rPr>
          <w:rFonts w:ascii="Times New Roman" w:hAnsi="Times New Roman" w:cs="Times New Roman"/>
          <w:sz w:val="24"/>
          <w:szCs w:val="24"/>
        </w:rPr>
        <w:t>fokus</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terhadap</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kontak</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sosial</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seperti</w:t>
      </w:r>
      <w:r w:rsidRPr="004038D2">
        <w:rPr>
          <w:rFonts w:ascii="Times New Roman" w:hAnsi="Times New Roman" w:cs="Times New Roman"/>
          <w:sz w:val="24"/>
          <w:szCs w:val="24"/>
        </w:rPr>
        <w:t xml:space="preserve"> program CSR dan </w:t>
      </w:r>
      <w:r w:rsidRPr="004038D2">
        <w:rPr>
          <w:rFonts w:ascii="Times New Roman" w:hAnsi="Times New Roman" w:cs="Times New Roman"/>
          <w:sz w:val="24"/>
          <w:szCs w:val="24"/>
        </w:rPr>
        <w:t>penerapan</w:t>
      </w:r>
      <w:r w:rsidRPr="004038D2">
        <w:rPr>
          <w:rFonts w:ascii="Times New Roman" w:hAnsi="Times New Roman" w:cs="Times New Roman"/>
          <w:sz w:val="24"/>
          <w:szCs w:val="24"/>
        </w:rPr>
        <w:t xml:space="preserve"> </w:t>
      </w:r>
      <w:r w:rsidRPr="004038D2">
        <w:rPr>
          <w:rFonts w:ascii="Times New Roman" w:hAnsi="Times New Roman" w:cs="Times New Roman"/>
          <w:i/>
          <w:iCs/>
          <w:sz w:val="24"/>
          <w:szCs w:val="24"/>
        </w:rPr>
        <w:t>green banking</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dalam</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operasional</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perbankan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dapat</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mempengaruhi</w:t>
      </w:r>
      <w:r w:rsidRPr="004038D2">
        <w:rPr>
          <w:rFonts w:ascii="Times New Roman" w:hAnsi="Times New Roman" w:cs="Times New Roman"/>
          <w:sz w:val="24"/>
          <w:szCs w:val="24"/>
        </w:rPr>
        <w:t xml:space="preserve"> para investor </w:t>
      </w:r>
      <w:r w:rsidRPr="004038D2">
        <w:rPr>
          <w:rFonts w:ascii="Times New Roman" w:hAnsi="Times New Roman" w:cs="Times New Roman"/>
          <w:sz w:val="24"/>
          <w:szCs w:val="24"/>
        </w:rPr>
        <w:t>atau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masyarakat</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dalam</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menentukan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keputusan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dalam</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berinvestasi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atau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bertransaksi</w:t>
      </w:r>
      <w:r w:rsidRPr="004038D2">
        <w:rPr>
          <w:rFonts w:ascii="Times New Roman" w:hAnsi="Times New Roman" w:cs="Times New Roman"/>
          <w:sz w:val="24"/>
          <w:szCs w:val="24"/>
        </w:rPr>
        <w:t xml:space="preserve"> pada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perbakan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sehingga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hal</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itu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dapat</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meningkatkan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citra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dan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menerima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pengaruh</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positif</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dengan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kenaikan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kinerja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keuangan</w:t>
      </w:r>
      <w:r w:rsidRPr="004038D2">
        <w:rPr>
          <w:rFonts w:ascii="Times New Roman" w:hAnsi="Times New Roman" w:cs="Times New Roman"/>
          <w:sz w:val="24"/>
          <w:szCs w:val="24"/>
        </w:rPr>
        <w:t xml:space="preserve">. </w:t>
      </w:r>
      <w:r w:rsidRPr="004038D2" w:rsidR="0073442A">
        <w:rPr>
          <w:rFonts w:ascii="Times New Roman" w:hAnsi="Times New Roman" w:cs="Times New Roman"/>
          <w:sz w:val="24"/>
          <w:szCs w:val="24"/>
        </w:rPr>
        <w:t>H</w:t>
      </w:r>
      <w:r w:rsidRPr="004038D2">
        <w:rPr>
          <w:rFonts w:ascii="Times New Roman" w:hAnsi="Times New Roman" w:cs="Times New Roman"/>
          <w:sz w:val="24"/>
          <w:szCs w:val="24"/>
        </w:rPr>
        <w:t>al</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ini</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selaras</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dengan</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penelitian</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fldChar w:fldCharType="begin" w:fldLock="1"/>
      </w:r>
      <w:r w:rsidRPr="004038D2" w:rsidR="0073442A">
        <w:rPr>
          <w:rFonts w:ascii="Times New Roman" w:hAnsi="Times New Roman" w:cs="Times New Roman"/>
          <w:sz w:val="24"/>
          <w:szCs w:val="24"/>
        </w:rPr>
        <w:instrText>ADDIN CSL_CITATION {"citationItems":[{"id":"ITEM-1","itemData":{"DOI":"10.1016/j.eneco.2021.105190","ISSN":"01409883","abstract":"Most of the existing studies have ignored the moderating role of green credit in the relationship between corporate social responsibility (CSR) and bank financial performance. Using the data of listed banks in China from 2008 to 2018, this paper investigates the impact of CSR on bank financial performance. Moreover, we document the mediating effect of green credit on their relationship. The results show that CSR would make a negative impact on bank financial performance in the short term. However, this relationship turns out to be positive in the long run. Besides that, green credit does play an important role in this relationship. Furthermore, we do a series of heterogeneity tests. Our conclusion would be useful both to the following researchers and the establishment of environmental policies.","author":[{"dropping-particle":"","family":"Zhou","given":"Guangyou","non-dropping-particle":"","parse-names":false,"suffix":""},{"dropping-particle":"","family":"Sun","given":"Yongkun","non-dropping-particle":"","parse-names":false,"suffix":""},{"dropping-particle":"","family":"Luo","given":"Sumei","non-dropping-particle":"","parse-names":false,"suffix":""},{"dropping-particle":"","family":"Liao","given":"Jiayi","non-dropping-particle":"","parse-names":false,"suffix":""}],"container-title":"Energy Economics","id":"ITEM-1","issued":{"date-parts":[["2021"]]},"page":"105190","publisher":"The Authors","title":"Corporate social responsibility and bank financial performance in China: The moderating role of green credit","type":"article-journal","volume":"97"},"uris":["http://www.mendeley.com/documents/?uuid=c8afdac6-3187-4ccf-b60b-6a4d231c330d"]}],"mendeley":{"formattedCitation":"(Zhou et al., 2021)","plainTextFormattedCitation":"(Zhou et al., 2021)","previouslyFormattedCitation":"(Zhou et al., 2021)"},"properties":{"noteIndex":0},"schema":"https://github.com/citation-style-language/schema/raw/master/csl-citation.json"}</w:instrText>
      </w:r>
      <w:r w:rsidRPr="004038D2" w:rsidR="0073442A">
        <w:rPr>
          <w:rFonts w:ascii="Times New Roman" w:hAnsi="Times New Roman" w:cs="Times New Roman"/>
          <w:sz w:val="24"/>
          <w:szCs w:val="24"/>
        </w:rPr>
        <w:fldChar w:fldCharType="separate"/>
      </w:r>
      <w:r w:rsidRPr="004038D2" w:rsidR="0073442A">
        <w:rPr>
          <w:rFonts w:ascii="Times New Roman" w:hAnsi="Times New Roman" w:cs="Times New Roman"/>
          <w:noProof/>
          <w:sz w:val="24"/>
          <w:szCs w:val="24"/>
        </w:rPr>
        <w:t xml:space="preserve">Zhou et al., </w:t>
      </w:r>
      <w:r w:rsidR="000304D1">
        <w:rPr>
          <w:rFonts w:ascii="Times New Roman" w:hAnsi="Times New Roman" w:cs="Times New Roman"/>
          <w:noProof/>
          <w:sz w:val="24"/>
          <w:szCs w:val="24"/>
        </w:rPr>
        <w:t>(</w:t>
      </w:r>
      <w:r w:rsidRPr="004038D2" w:rsidR="0073442A">
        <w:rPr>
          <w:rFonts w:ascii="Times New Roman" w:hAnsi="Times New Roman" w:cs="Times New Roman"/>
          <w:noProof/>
          <w:sz w:val="24"/>
          <w:szCs w:val="24"/>
        </w:rPr>
        <w:t>2021)</w:t>
      </w:r>
      <w:r w:rsidRPr="004038D2" w:rsidR="0073442A">
        <w:rPr>
          <w:rFonts w:ascii="Times New Roman" w:hAnsi="Times New Roman" w:cs="Times New Roman"/>
          <w:sz w:val="24"/>
          <w:szCs w:val="24"/>
        </w:rPr>
        <w:fldChar w:fldCharType="end"/>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dimana</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mengasilkan</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bahwa</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i/>
          <w:iCs/>
          <w:sz w:val="24"/>
          <w:szCs w:val="24"/>
        </w:rPr>
        <w:t>green credit</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dapat</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meningkatkan</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pengaruh</w:t>
      </w:r>
      <w:r w:rsidRPr="004038D2" w:rsidR="0073442A">
        <w:rPr>
          <w:rFonts w:ascii="Times New Roman" w:hAnsi="Times New Roman" w:cs="Times New Roman"/>
          <w:sz w:val="24"/>
          <w:szCs w:val="24"/>
        </w:rPr>
        <w:t xml:space="preserve"> CSR </w:t>
      </w:r>
      <w:r w:rsidRPr="004038D2" w:rsidR="0073442A">
        <w:rPr>
          <w:rFonts w:ascii="Times New Roman" w:hAnsi="Times New Roman" w:cs="Times New Roman"/>
          <w:sz w:val="24"/>
          <w:szCs w:val="24"/>
        </w:rPr>
        <w:t>terhadap</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kinerja</w:t>
      </w:r>
      <w:r w:rsidRPr="004038D2" w:rsidR="0073442A">
        <w:rPr>
          <w:rFonts w:ascii="Times New Roman" w:hAnsi="Times New Roman" w:cs="Times New Roman"/>
          <w:sz w:val="24"/>
          <w:szCs w:val="24"/>
        </w:rPr>
        <w:t xml:space="preserve"> </w:t>
      </w:r>
      <w:r w:rsidRPr="004038D2" w:rsidR="0073442A">
        <w:rPr>
          <w:rFonts w:ascii="Times New Roman" w:hAnsi="Times New Roman" w:cs="Times New Roman"/>
          <w:sz w:val="24"/>
          <w:szCs w:val="24"/>
        </w:rPr>
        <w:t>keuangan</w:t>
      </w:r>
      <w:r w:rsidRPr="004038D2" w:rsidR="0073442A">
        <w:rPr>
          <w:rFonts w:ascii="Times New Roman" w:hAnsi="Times New Roman" w:cs="Times New Roman"/>
          <w:sz w:val="24"/>
          <w:szCs w:val="24"/>
        </w:rPr>
        <w:t xml:space="preserve"> bank. </w:t>
      </w:r>
      <w:r w:rsidRPr="004038D2" w:rsidR="001209CC">
        <w:rPr>
          <w:rFonts w:ascii="Times New Roman" w:hAnsi="Times New Roman" w:cs="Times New Roman"/>
          <w:sz w:val="24"/>
          <w:szCs w:val="24"/>
        </w:rPr>
        <w:t>Perbankan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kedepannya</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harus</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lebih</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meningkatkan</w:t>
      </w:r>
      <w:r w:rsidRPr="004038D2" w:rsidR="001209CC">
        <w:rPr>
          <w:rFonts w:ascii="Times New Roman" w:hAnsi="Times New Roman" w:cs="Times New Roman"/>
          <w:sz w:val="24"/>
          <w:szCs w:val="24"/>
        </w:rPr>
        <w:t xml:space="preserve"> program yang </w:t>
      </w:r>
      <w:r w:rsidRPr="004038D2" w:rsidR="001209CC">
        <w:rPr>
          <w:rFonts w:ascii="Times New Roman" w:hAnsi="Times New Roman" w:cs="Times New Roman"/>
          <w:sz w:val="24"/>
          <w:szCs w:val="24"/>
        </w:rPr>
        <w:t>mementingkan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sisi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lingkungan</w:t>
      </w:r>
      <w:r w:rsidRPr="004038D2" w:rsidR="001209CC">
        <w:rPr>
          <w:rFonts w:ascii="Times New Roman" w:hAnsi="Times New Roman" w:cs="Times New Roman"/>
          <w:sz w:val="24"/>
          <w:szCs w:val="24"/>
        </w:rPr>
        <w:t xml:space="preserve"> dan </w:t>
      </w:r>
      <w:r w:rsidRPr="004038D2" w:rsidR="001209CC">
        <w:rPr>
          <w:rFonts w:ascii="Times New Roman" w:hAnsi="Times New Roman" w:cs="Times New Roman"/>
          <w:sz w:val="24"/>
          <w:szCs w:val="24"/>
        </w:rPr>
        <w:t>sosial</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ini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 xml:space="preserve">Karena </w:t>
      </w:r>
      <w:r w:rsidRPr="004038D2" w:rsidR="001209CC">
        <w:rPr>
          <w:rFonts w:ascii="Times New Roman" w:hAnsi="Times New Roman" w:cs="Times New Roman"/>
          <w:sz w:val="24"/>
          <w:szCs w:val="24"/>
        </w:rPr>
        <w:t>selain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untuk</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meningkatkan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citra</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perusahaan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dari</w:t>
      </w:r>
      <w:r w:rsidRPr="004038D2" w:rsidR="001209CC">
        <w:rPr>
          <w:rFonts w:ascii="Times New Roman" w:hAnsi="Times New Roman" w:cs="Times New Roman"/>
          <w:i/>
          <w:iCs/>
          <w:sz w:val="24"/>
          <w:szCs w:val="24"/>
        </w:rPr>
        <w:t xml:space="preserve"> stakeholder</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hal</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ini</w:t>
      </w:r>
      <w:r w:rsidRPr="004038D2" w:rsidR="001209CC">
        <w:rPr>
          <w:rFonts w:ascii="Times New Roman" w:hAnsi="Times New Roman" w:cs="Times New Roman"/>
          <w:sz w:val="24"/>
          <w:szCs w:val="24"/>
        </w:rPr>
        <w:t xml:space="preserve"> juga </w:t>
      </w:r>
      <w:r w:rsidRPr="004038D2" w:rsidR="001209CC">
        <w:rPr>
          <w:rFonts w:ascii="Times New Roman" w:hAnsi="Times New Roman" w:cs="Times New Roman"/>
          <w:sz w:val="24"/>
          <w:szCs w:val="24"/>
        </w:rPr>
        <w:t>menunjukkan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perusahaan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mematuhi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peraturan</w:t>
      </w:r>
      <w:r w:rsidRPr="004038D2" w:rsidR="001209CC">
        <w:rPr>
          <w:rFonts w:ascii="Times New Roman" w:hAnsi="Times New Roman" w:cs="Times New Roman"/>
          <w:sz w:val="24"/>
          <w:szCs w:val="24"/>
        </w:rPr>
        <w:t xml:space="preserve"> yang </w:t>
      </w:r>
      <w:r w:rsidRPr="004038D2" w:rsidR="001209CC">
        <w:rPr>
          <w:rFonts w:ascii="Times New Roman" w:hAnsi="Times New Roman" w:cs="Times New Roman"/>
          <w:sz w:val="24"/>
          <w:szCs w:val="24"/>
        </w:rPr>
        <w:t>diberlakukan</w:t>
      </w:r>
      <w:r w:rsidRPr="004038D2" w:rsidR="001209CC">
        <w:rPr>
          <w:rFonts w:ascii="Times New Roman" w:hAnsi="Times New Roman" w:cs="Times New Roman"/>
          <w:sz w:val="24"/>
          <w:szCs w:val="24"/>
        </w:rPr>
        <w:t xml:space="preserve"> dan </w:t>
      </w:r>
      <w:r w:rsidRPr="004038D2" w:rsidR="001209CC">
        <w:rPr>
          <w:rFonts w:ascii="Times New Roman" w:hAnsi="Times New Roman" w:cs="Times New Roman"/>
          <w:sz w:val="24"/>
          <w:szCs w:val="24"/>
        </w:rPr>
        <w:t>ikut</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serta</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dalam</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ekonomi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berkelannjutan</w:t>
      </w:r>
      <w:r w:rsidRPr="004038D2" w:rsidR="001209CC">
        <w:rPr>
          <w:rFonts w:ascii="Times New Roman" w:hAnsi="Times New Roman" w:cs="Times New Roman"/>
          <w:sz w:val="24"/>
          <w:szCs w:val="24"/>
        </w:rPr>
        <w:t xml:space="preserve"> yang </w:t>
      </w:r>
      <w:r w:rsidRPr="004038D2" w:rsidR="001209CC">
        <w:rPr>
          <w:rFonts w:ascii="Times New Roman" w:hAnsi="Times New Roman" w:cs="Times New Roman"/>
          <w:sz w:val="24"/>
          <w:szCs w:val="24"/>
        </w:rPr>
        <w:t>tidak</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hanya</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mementingkan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sisi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pendapatan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tetapi</w:t>
      </w:r>
      <w:r w:rsidRPr="004038D2" w:rsidR="001209CC">
        <w:rPr>
          <w:rFonts w:ascii="Times New Roman" w:hAnsi="Times New Roman" w:cs="Times New Roman"/>
          <w:sz w:val="24"/>
          <w:szCs w:val="24"/>
        </w:rPr>
        <w:t xml:space="preserve"> juga </w:t>
      </w:r>
      <w:r w:rsidRPr="004038D2" w:rsidR="001209CC">
        <w:rPr>
          <w:rFonts w:ascii="Times New Roman" w:hAnsi="Times New Roman" w:cs="Times New Roman"/>
          <w:sz w:val="24"/>
          <w:szCs w:val="24"/>
        </w:rPr>
        <w:t>memperhatikan</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dari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sisi</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lingkungan</w:t>
      </w:r>
      <w:r w:rsidRPr="004038D2" w:rsidR="001209CC">
        <w:rPr>
          <w:rFonts w:ascii="Times New Roman" w:hAnsi="Times New Roman" w:cs="Times New Roman"/>
          <w:sz w:val="24"/>
          <w:szCs w:val="24"/>
        </w:rPr>
        <w:t xml:space="preserve"> dan </w:t>
      </w:r>
      <w:r w:rsidRPr="004038D2" w:rsidR="001209CC">
        <w:rPr>
          <w:rFonts w:ascii="Times New Roman" w:hAnsi="Times New Roman" w:cs="Times New Roman"/>
          <w:sz w:val="24"/>
          <w:szCs w:val="24"/>
        </w:rPr>
        <w:t>sosial</w:t>
      </w:r>
      <w:r w:rsidRPr="004038D2" w:rsidR="001209CC">
        <w:rPr>
          <w:rFonts w:ascii="Times New Roman" w:hAnsi="Times New Roman" w:cs="Times New Roman"/>
          <w:sz w:val="24"/>
          <w:szCs w:val="24"/>
        </w:rPr>
        <w:t xml:space="preserve"> yang </w:t>
      </w:r>
      <w:r w:rsidRPr="004038D2" w:rsidR="001209CC">
        <w:rPr>
          <w:rFonts w:ascii="Times New Roman" w:hAnsi="Times New Roman" w:cs="Times New Roman"/>
          <w:sz w:val="24"/>
          <w:szCs w:val="24"/>
        </w:rPr>
        <w:t>ada</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disekitar</w:t>
      </w:r>
      <w:r w:rsidRPr="004038D2" w:rsidR="001209CC">
        <w:rPr>
          <w:rFonts w:ascii="Times New Roman" w:hAnsi="Times New Roman" w:cs="Times New Roman"/>
          <w:sz w:val="24"/>
          <w:szCs w:val="24"/>
        </w:rPr>
        <w:t xml:space="preserve"> </w:t>
      </w:r>
      <w:r w:rsidRPr="004038D2" w:rsidR="001209CC">
        <w:rPr>
          <w:rFonts w:ascii="Times New Roman" w:hAnsi="Times New Roman" w:cs="Times New Roman"/>
          <w:sz w:val="24"/>
          <w:szCs w:val="24"/>
        </w:rPr>
        <w:t>perusahaan</w:t>
      </w:r>
      <w:r w:rsidRPr="004038D2" w:rsidR="001209CC">
        <w:rPr>
          <w:rFonts w:ascii="Times New Roman" w:hAnsi="Times New Roman" w:cs="Times New Roman"/>
          <w:sz w:val="24"/>
          <w:szCs w:val="24"/>
        </w:rPr>
        <w:t>.</w:t>
      </w:r>
      <w:r w:rsidRPr="004038D2">
        <w:rPr>
          <w:rFonts w:ascii="Times New Roman" w:hAnsi="Times New Roman" w:cs="Times New Roman"/>
          <w:sz w:val="24"/>
          <w:szCs w:val="24"/>
        </w:rPr>
        <w:t xml:space="preserve"> Hasil </w:t>
      </w:r>
      <w:r w:rsidRPr="004038D2">
        <w:rPr>
          <w:rFonts w:ascii="Times New Roman" w:hAnsi="Times New Roman" w:cs="Times New Roman"/>
          <w:sz w:val="24"/>
          <w:szCs w:val="24"/>
        </w:rPr>
        <w:t>ini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menunjukkan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bahwa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perbankan</w:t>
      </w:r>
      <w:r w:rsidRPr="004038D2">
        <w:rPr>
          <w:rFonts w:ascii="Times New Roman" w:hAnsi="Times New Roman" w:cs="Times New Roman"/>
          <w:sz w:val="24"/>
          <w:szCs w:val="24"/>
        </w:rPr>
        <w:t xml:space="preserve"> juga </w:t>
      </w:r>
      <w:r w:rsidRPr="004038D2">
        <w:rPr>
          <w:rFonts w:ascii="Times New Roman" w:hAnsi="Times New Roman" w:cs="Times New Roman"/>
          <w:sz w:val="24"/>
          <w:szCs w:val="24"/>
        </w:rPr>
        <w:t>perlu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untuk</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memperhatikan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sisi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lingkungan</w:t>
      </w:r>
      <w:r w:rsidRPr="004038D2">
        <w:rPr>
          <w:rFonts w:ascii="Times New Roman" w:hAnsi="Times New Roman" w:cs="Times New Roman"/>
          <w:sz w:val="24"/>
          <w:szCs w:val="24"/>
        </w:rPr>
        <w:t xml:space="preserve"> dan </w:t>
      </w:r>
      <w:r w:rsidRPr="004038D2">
        <w:rPr>
          <w:rFonts w:ascii="Times New Roman" w:hAnsi="Times New Roman" w:cs="Times New Roman"/>
          <w:sz w:val="24"/>
          <w:szCs w:val="24"/>
        </w:rPr>
        <w:t>sosial</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tidak</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hanya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mengedepankan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tentang</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keuntungan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karena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semua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telah</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diatur</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dalam</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undang-undang</w:t>
      </w:r>
      <w:r w:rsidRPr="004038D2">
        <w:rPr>
          <w:rFonts w:ascii="Times New Roman" w:hAnsi="Times New Roman" w:cs="Times New Roman"/>
          <w:sz w:val="24"/>
          <w:szCs w:val="24"/>
        </w:rPr>
        <w:t xml:space="preserve"> yang mana </w:t>
      </w:r>
      <w:r w:rsidRPr="004038D2">
        <w:rPr>
          <w:rFonts w:ascii="Times New Roman" w:hAnsi="Times New Roman" w:cs="Times New Roman"/>
          <w:sz w:val="24"/>
          <w:szCs w:val="24"/>
        </w:rPr>
        <w:t>harus</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dipatuhi</w:t>
      </w:r>
      <w:r w:rsidRPr="004038D2">
        <w:rPr>
          <w:rFonts w:ascii="Times New Roman" w:hAnsi="Times New Roman" w:cs="Times New Roman"/>
          <w:sz w:val="24"/>
          <w:szCs w:val="24"/>
        </w:rPr>
        <w:t xml:space="preserve"> oleh </w:t>
      </w:r>
      <w:r w:rsidRPr="004038D2">
        <w:rPr>
          <w:rFonts w:ascii="Times New Roman" w:hAnsi="Times New Roman" w:cs="Times New Roman"/>
          <w:sz w:val="24"/>
          <w:szCs w:val="24"/>
        </w:rPr>
        <w:t>setiap</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sektor</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perusahaan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dengan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itu</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maka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akan</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terciptanya</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konteks</w:t>
      </w:r>
      <w:r w:rsidRPr="004038D2">
        <w:rPr>
          <w:rFonts w:ascii="Times New Roman" w:hAnsi="Times New Roman" w:cs="Times New Roman"/>
          <w:sz w:val="24"/>
          <w:szCs w:val="24"/>
        </w:rPr>
        <w:t xml:space="preserve"> yang </w:t>
      </w:r>
      <w:r w:rsidRPr="004038D2">
        <w:rPr>
          <w:rFonts w:ascii="Times New Roman" w:hAnsi="Times New Roman" w:cs="Times New Roman"/>
          <w:sz w:val="24"/>
          <w:szCs w:val="24"/>
        </w:rPr>
        <w:t>ekonomi</w:t>
      </w:r>
      <w:r w:rsidRPr="004038D2">
        <w:rPr>
          <w:rFonts w:ascii="Times New Roman" w:hAnsi="Times New Roman" w:cs="Times New Roman"/>
          <w:sz w:val="24"/>
          <w:szCs w:val="24"/>
        </w:rPr>
        <w:t xml:space="preserve"> </w:t>
      </w:r>
      <w:r w:rsidRPr="004038D2">
        <w:rPr>
          <w:rFonts w:ascii="Times New Roman" w:hAnsi="Times New Roman" w:cs="Times New Roman"/>
          <w:sz w:val="24"/>
          <w:szCs w:val="24"/>
        </w:rPr>
        <w:t>berkelanjutan</w:t>
      </w:r>
      <w:r w:rsidRPr="004038D2">
        <w:rPr>
          <w:rFonts w:ascii="Times New Roman" w:hAnsi="Times New Roman" w:cs="Times New Roman"/>
          <w:sz w:val="24"/>
          <w:szCs w:val="24"/>
        </w:rPr>
        <w:t xml:space="preserve">. </w:t>
      </w:r>
    </w:p>
    <w:p w:rsidR="0073442A" w:rsidRPr="001209CC" w:rsidP="001D28D7" w14:paraId="29729BC2" w14:textId="6E32FD61">
      <w:pPr>
        <w:pStyle w:val="ListParagraph"/>
        <w:spacing w:after="0" w:line="480" w:lineRule="auto"/>
        <w:ind w:firstLine="720"/>
        <w:jc w:val="both"/>
        <w:rPr>
          <w:rFonts w:ascii="Times New Roman" w:hAnsi="Times New Roman" w:cs="Times New Roman"/>
          <w:b/>
          <w:bCs/>
          <w:sz w:val="24"/>
          <w:szCs w:val="24"/>
        </w:rPr>
      </w:pPr>
    </w:p>
    <w:p w:rsidR="00715E91" w:rsidP="00445691" w14:paraId="03469008" w14:textId="77777777">
      <w:pPr>
        <w:spacing w:after="0" w:line="480" w:lineRule="auto"/>
        <w:jc w:val="center"/>
        <w:rPr>
          <w:rFonts w:ascii="Times New Roman" w:hAnsi="Times New Roman" w:cs="Times New Roman"/>
          <w:b/>
          <w:bCs/>
          <w:sz w:val="24"/>
          <w:szCs w:val="24"/>
        </w:rPr>
      </w:pPr>
    </w:p>
    <w:p w:rsidR="00715E91" w:rsidP="00610FDD" w14:paraId="78E09647" w14:textId="77777777">
      <w:pPr>
        <w:spacing w:after="0" w:line="480" w:lineRule="auto"/>
        <w:rPr>
          <w:rFonts w:ascii="Times New Roman" w:hAnsi="Times New Roman" w:cs="Times New Roman"/>
          <w:b/>
          <w:bCs/>
          <w:sz w:val="24"/>
          <w:szCs w:val="24"/>
        </w:rPr>
      </w:pPr>
    </w:p>
    <w:p w:rsidR="009249FF" w:rsidP="00096B67" w14:paraId="113FA1D1" w14:textId="77777777">
      <w:pPr>
        <w:spacing w:after="0" w:line="480" w:lineRule="auto"/>
        <w:rPr>
          <w:rFonts w:ascii="Times New Roman" w:hAnsi="Times New Roman" w:cs="Times New Roman"/>
          <w:b/>
          <w:bCs/>
          <w:sz w:val="24"/>
          <w:szCs w:val="24"/>
        </w:rPr>
        <w:sectPr w:rsidSect="0050481E">
          <w:headerReference w:type="default" r:id="rId14"/>
          <w:footerReference w:type="default" r:id="rId15"/>
          <w:footerReference w:type="first" r:id="rId16"/>
          <w:pgSz w:w="11906" w:h="16838" w:code="9"/>
          <w:pgMar w:top="2268" w:right="1701" w:bottom="1701" w:left="2268" w:header="709" w:footer="709" w:gutter="0"/>
          <w:pgNumType w:start="73"/>
          <w:cols w:space="708"/>
          <w:titlePg/>
          <w:docGrid w:linePitch="360"/>
        </w:sectPr>
      </w:pPr>
    </w:p>
    <w:p w:rsidR="00E275A3" w:rsidRPr="00E275A3" w:rsidP="00096B67" w14:paraId="4224DB79" w14:textId="693D336F">
      <w:pPr>
        <w:spacing w:after="0" w:line="480" w:lineRule="auto"/>
        <w:jc w:val="center"/>
        <w:rPr>
          <w:rFonts w:ascii="Times New Roman" w:hAnsi="Times New Roman" w:cs="Times New Roman"/>
          <w:b/>
          <w:bCs/>
          <w:sz w:val="24"/>
          <w:szCs w:val="24"/>
        </w:rPr>
      </w:pPr>
      <w:r w:rsidRPr="00E275A3">
        <w:rPr>
          <w:rFonts w:ascii="Times New Roman" w:hAnsi="Times New Roman" w:cs="Times New Roman"/>
          <w:b/>
          <w:bCs/>
          <w:sz w:val="24"/>
          <w:szCs w:val="24"/>
        </w:rPr>
        <w:t>BAB V</w:t>
      </w:r>
    </w:p>
    <w:p w:rsidR="00020F75" w:rsidRPr="00020F75" w:rsidP="00AA2D34" w14:paraId="424E1719" w14:textId="1FF90A8E">
      <w:pPr>
        <w:spacing w:after="0" w:line="480" w:lineRule="auto"/>
        <w:jc w:val="center"/>
        <w:rPr>
          <w:rFonts w:ascii="Times New Roman" w:hAnsi="Times New Roman" w:cs="Times New Roman"/>
          <w:b/>
          <w:bCs/>
          <w:sz w:val="24"/>
          <w:szCs w:val="24"/>
        </w:rPr>
      </w:pPr>
      <w:r w:rsidRPr="00E275A3">
        <w:rPr>
          <w:rFonts w:ascii="Times New Roman" w:hAnsi="Times New Roman" w:cs="Times New Roman"/>
          <w:b/>
          <w:bCs/>
          <w:sz w:val="24"/>
          <w:szCs w:val="24"/>
        </w:rPr>
        <w:t>KESIMPULAN DAN SARAN</w:t>
      </w:r>
      <w:r w:rsidRPr="00020F75">
        <w:rPr>
          <w:rFonts w:ascii="Times New Roman" w:hAnsi="Times New Roman" w:cs="Times New Roman"/>
          <w:sz w:val="24"/>
          <w:szCs w:val="24"/>
        </w:rPr>
        <w:t xml:space="preserve"> </w:t>
      </w:r>
    </w:p>
    <w:p w:rsidR="00020F75" w:rsidP="00AA2D34" w14:paraId="7A78CC5D" w14:textId="7D518D05">
      <w:pPr>
        <w:pStyle w:val="ListParagraph"/>
        <w:numPr>
          <w:ilvl w:val="2"/>
          <w:numId w:val="76"/>
        </w:numPr>
        <w:spacing w:after="0" w:line="480" w:lineRule="auto"/>
        <w:ind w:left="284" w:hanging="284"/>
        <w:rPr>
          <w:rFonts w:ascii="Times New Roman" w:hAnsi="Times New Roman" w:cs="Times New Roman"/>
          <w:b/>
          <w:bCs/>
          <w:sz w:val="24"/>
          <w:szCs w:val="24"/>
        </w:rPr>
      </w:pPr>
      <w:r w:rsidRPr="00020F75">
        <w:rPr>
          <w:rFonts w:ascii="Times New Roman" w:hAnsi="Times New Roman" w:cs="Times New Roman"/>
          <w:b/>
          <w:bCs/>
          <w:sz w:val="24"/>
          <w:szCs w:val="24"/>
        </w:rPr>
        <w:t>Kesimpulan</w:t>
      </w:r>
    </w:p>
    <w:p w:rsidR="00D17BFD" w:rsidP="00864828" w14:paraId="639F710B" w14:textId="5E8DA208">
      <w:pPr>
        <w:pStyle w:val="ListParagraph"/>
        <w:spacing w:after="0" w:line="480" w:lineRule="auto"/>
        <w:ind w:left="284" w:firstLine="360"/>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z w:val="24"/>
          <w:szCs w:val="24"/>
        </w:rPr>
        <w:t xml:space="preserve"> </w:t>
      </w:r>
      <w:r>
        <w:rPr>
          <w:rFonts w:ascii="Times New Roman" w:hAnsi="Times New Roman" w:cs="Times New Roman"/>
          <w:sz w:val="24"/>
          <w:szCs w:val="24"/>
        </w:rPr>
        <w:t>hasil</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dilakukan</w:t>
      </w:r>
      <w:r>
        <w:rPr>
          <w:rFonts w:ascii="Times New Roman" w:hAnsi="Times New Roman" w:cs="Times New Roman"/>
          <w:sz w:val="24"/>
          <w:szCs w:val="24"/>
        </w:rPr>
        <w:t xml:space="preserve"> </w:t>
      </w:r>
      <w:r>
        <w:rPr>
          <w:rFonts w:ascii="Times New Roman" w:hAnsi="Times New Roman" w:cs="Times New Roman"/>
          <w:sz w:val="24"/>
          <w:szCs w:val="24"/>
        </w:rPr>
        <w:t>mengenai</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sidRPr="00AA2D34" w:rsidR="00AA2D34">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AA2D34" w:rsidR="00AA2D34">
        <w:rPr>
          <w:rFonts w:ascii="Times New Roman" w:hAnsi="Times New Roman" w:cs="Times New Roman"/>
          <w:i/>
          <w:iCs/>
          <w:sz w:val="24"/>
          <w:szCs w:val="24"/>
        </w:rPr>
        <w:t>g</w:t>
      </w:r>
      <w:r w:rsidRPr="00AA2D34">
        <w:rPr>
          <w:rFonts w:ascii="Times New Roman" w:hAnsi="Times New Roman" w:cs="Times New Roman"/>
          <w:i/>
          <w:iCs/>
          <w:sz w:val="24"/>
          <w:szCs w:val="24"/>
        </w:rPr>
        <w:t xml:space="preserve">reen </w:t>
      </w:r>
      <w:r w:rsidRPr="00AA2D34" w:rsidR="00AA2D34">
        <w:rPr>
          <w:rFonts w:ascii="Times New Roman" w:hAnsi="Times New Roman" w:cs="Times New Roman"/>
          <w:i/>
          <w:iCs/>
          <w:sz w:val="24"/>
          <w:szCs w:val="24"/>
        </w:rPr>
        <w:t>b</w:t>
      </w:r>
      <w:r w:rsidRPr="00AA2D34">
        <w:rPr>
          <w:rFonts w:ascii="Times New Roman" w:hAnsi="Times New Roman" w:cs="Times New Roman"/>
          <w:i/>
          <w:iCs/>
          <w:sz w:val="24"/>
          <w:szCs w:val="24"/>
        </w:rPr>
        <w:t>anking</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w:t>
      </w:r>
      <w:r w:rsidR="00AA2D34">
        <w:rPr>
          <w:rFonts w:ascii="Times New Roman" w:hAnsi="Times New Roman" w:cs="Times New Roman"/>
          <w:sz w:val="24"/>
          <w:szCs w:val="24"/>
        </w:rPr>
        <w:t>mediasi</w:t>
      </w:r>
      <w:r w:rsidR="00AA2D34">
        <w:rPr>
          <w:rFonts w:ascii="Times New Roman" w:hAnsi="Times New Roman" w:cs="Times New Roman"/>
          <w:sz w:val="24"/>
          <w:szCs w:val="24"/>
        </w:rPr>
        <w:t xml:space="preserve"> </w:t>
      </w:r>
      <w:r>
        <w:rPr>
          <w:rFonts w:ascii="Times New Roman" w:hAnsi="Times New Roman" w:cs="Times New Roman"/>
          <w:sz w:val="24"/>
          <w:szCs w:val="24"/>
        </w:rPr>
        <w:t xml:space="preserve">pada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yang </w:t>
      </w:r>
      <w:r>
        <w:rPr>
          <w:rFonts w:ascii="Times New Roman" w:hAnsi="Times New Roman" w:cs="Times New Roman"/>
          <w:sz w:val="24"/>
          <w:szCs w:val="24"/>
        </w:rPr>
        <w:t>dijadikan</w:t>
      </w:r>
      <w:r>
        <w:rPr>
          <w:rFonts w:ascii="Times New Roman" w:hAnsi="Times New Roman" w:cs="Times New Roman"/>
          <w:sz w:val="24"/>
          <w:szCs w:val="24"/>
        </w:rPr>
        <w:t xml:space="preserve"> </w:t>
      </w:r>
      <w:r>
        <w:rPr>
          <w:rFonts w:ascii="Times New Roman" w:hAnsi="Times New Roman" w:cs="Times New Roman"/>
          <w:sz w:val="24"/>
          <w:szCs w:val="24"/>
        </w:rPr>
        <w:t>sampel</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diambil</w:t>
      </w:r>
      <w:r>
        <w:rPr>
          <w:rFonts w:ascii="Times New Roman" w:hAnsi="Times New Roman" w:cs="Times New Roman"/>
          <w:sz w:val="24"/>
          <w:szCs w:val="24"/>
        </w:rPr>
        <w:t xml:space="preserve"> </w:t>
      </w:r>
      <w:r>
        <w:rPr>
          <w:rFonts w:ascii="Times New Roman" w:hAnsi="Times New Roman" w:cs="Times New Roman"/>
          <w:sz w:val="24"/>
          <w:szCs w:val="24"/>
        </w:rPr>
        <w:t>kesimpulan</w:t>
      </w:r>
      <w:r>
        <w:rPr>
          <w:rFonts w:ascii="Times New Roman" w:hAnsi="Times New Roman" w:cs="Times New Roman"/>
          <w:sz w:val="24"/>
          <w:szCs w:val="24"/>
        </w:rPr>
        <w:t xml:space="preserve">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berikut</w:t>
      </w:r>
      <w:r>
        <w:rPr>
          <w:rFonts w:ascii="Times New Roman" w:hAnsi="Times New Roman" w:cs="Times New Roman"/>
          <w:sz w:val="24"/>
          <w:szCs w:val="24"/>
        </w:rPr>
        <w:t>:</w:t>
      </w:r>
    </w:p>
    <w:p w:rsidR="00AA2D34" w:rsidP="00AA2D34" w14:paraId="2251B0D5" w14:textId="44364706">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Pengungkapan</w:t>
      </w:r>
      <w:r>
        <w:rPr>
          <w:rFonts w:ascii="Times New Roman" w:hAnsi="Times New Roman" w:cs="Times New Roman"/>
          <w:sz w:val="24"/>
          <w:szCs w:val="24"/>
        </w:rPr>
        <w:t xml:space="preserve"> </w:t>
      </w:r>
      <w:r w:rsidRPr="00AA2D34">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berpengaruh</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AA2D34">
        <w:rPr>
          <w:rFonts w:ascii="Times New Roman" w:hAnsi="Times New Roman" w:cs="Times New Roman"/>
          <w:i/>
          <w:iCs/>
          <w:sz w:val="24"/>
          <w:szCs w:val="24"/>
        </w:rPr>
        <w:t>return on assets</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AA2D34" w:rsidP="00AA2D34" w14:paraId="6E16C0D0" w14:textId="4C897243">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Pengungkapan</w:t>
      </w:r>
      <w:r>
        <w:rPr>
          <w:rFonts w:ascii="Times New Roman" w:hAnsi="Times New Roman" w:cs="Times New Roman"/>
          <w:sz w:val="24"/>
          <w:szCs w:val="24"/>
        </w:rPr>
        <w:t xml:space="preserve"> </w:t>
      </w:r>
      <w:r w:rsidRPr="00BC6148">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berpengaruh</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C6148">
        <w:rPr>
          <w:rFonts w:ascii="Times New Roman" w:hAnsi="Times New Roman" w:cs="Times New Roman"/>
          <w:i/>
          <w:iCs/>
          <w:sz w:val="24"/>
          <w:szCs w:val="24"/>
        </w:rPr>
        <w:t>return on equity</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AA2D34" w:rsidP="00AA2D34" w14:paraId="17216737" w14:textId="11A7ECE2">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Pengungkapan</w:t>
      </w:r>
      <w:r>
        <w:rPr>
          <w:rFonts w:ascii="Times New Roman" w:hAnsi="Times New Roman" w:cs="Times New Roman"/>
          <w:sz w:val="24"/>
          <w:szCs w:val="24"/>
        </w:rPr>
        <w:t xml:space="preserve"> </w:t>
      </w:r>
      <w:r w:rsidRPr="00BC6148">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sidR="006D5CFD">
        <w:rPr>
          <w:rFonts w:ascii="Times New Roman" w:hAnsi="Times New Roman" w:cs="Times New Roman"/>
          <w:sz w:val="24"/>
          <w:szCs w:val="24"/>
        </w:rPr>
        <w:t>memiliki</w:t>
      </w:r>
      <w:r w:rsidR="006D5CFD">
        <w:rPr>
          <w:rFonts w:ascii="Times New Roman" w:hAnsi="Times New Roman" w:cs="Times New Roman"/>
          <w:sz w:val="24"/>
          <w:szCs w:val="24"/>
        </w:rPr>
        <w:t xml:space="preserve"> </w:t>
      </w:r>
      <w:r>
        <w:rPr>
          <w:rFonts w:ascii="Times New Roman" w:hAnsi="Times New Roman" w:cs="Times New Roman"/>
          <w:sz w:val="24"/>
          <w:szCs w:val="24"/>
        </w:rPr>
        <w:t>pengaruh</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positif</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C6148">
        <w:rPr>
          <w:rFonts w:ascii="Times New Roman" w:hAnsi="Times New Roman" w:cs="Times New Roman"/>
          <w:i/>
          <w:iCs/>
          <w:sz w:val="24"/>
          <w:szCs w:val="24"/>
        </w:rPr>
        <w:t>net interest margin</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AA2D34" w:rsidP="00AA2D34" w14:paraId="6E66F22E" w14:textId="0741DBFD">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Pengungkapan</w:t>
      </w:r>
      <w:r>
        <w:rPr>
          <w:rFonts w:ascii="Times New Roman" w:hAnsi="Times New Roman" w:cs="Times New Roman"/>
          <w:sz w:val="24"/>
          <w:szCs w:val="24"/>
        </w:rPr>
        <w:t xml:space="preserve"> </w:t>
      </w:r>
      <w:r w:rsidRPr="00BC6148">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berpengaruh</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positif</w:t>
      </w:r>
      <w:r>
        <w:rPr>
          <w:rFonts w:ascii="Times New Roman" w:hAnsi="Times New Roman" w:cs="Times New Roman"/>
          <w:sz w:val="24"/>
          <w:szCs w:val="24"/>
        </w:rPr>
        <w:t xml:space="preserve"> </w:t>
      </w:r>
      <w:r>
        <w:rPr>
          <w:rFonts w:ascii="Times New Roman" w:hAnsi="Times New Roman" w:cs="Times New Roman"/>
          <w:sz w:val="24"/>
          <w:szCs w:val="24"/>
        </w:rPr>
        <w:t>terhada</w:t>
      </w:r>
      <w:r w:rsidR="00BC6148">
        <w:rPr>
          <w:rFonts w:ascii="Times New Roman" w:hAnsi="Times New Roman" w:cs="Times New Roman"/>
          <w:sz w:val="24"/>
          <w:szCs w:val="24"/>
        </w:rPr>
        <w:t>p</w:t>
      </w:r>
      <w:r w:rsidR="00BC6148">
        <w:rPr>
          <w:rFonts w:ascii="Times New Roman" w:hAnsi="Times New Roman" w:cs="Times New Roman"/>
          <w:sz w:val="24"/>
          <w:szCs w:val="24"/>
        </w:rPr>
        <w:t xml:space="preserve"> </w:t>
      </w:r>
      <w:r w:rsidR="00BC6148">
        <w:rPr>
          <w:rFonts w:ascii="Times New Roman" w:hAnsi="Times New Roman" w:cs="Times New Roman"/>
          <w:sz w:val="24"/>
          <w:szCs w:val="24"/>
        </w:rPr>
        <w:t>penerapan</w:t>
      </w:r>
      <w:r w:rsidR="00BC6148">
        <w:rPr>
          <w:rFonts w:ascii="Times New Roman" w:hAnsi="Times New Roman" w:cs="Times New Roman"/>
          <w:sz w:val="24"/>
          <w:szCs w:val="24"/>
        </w:rPr>
        <w:t xml:space="preserve"> </w:t>
      </w:r>
      <w:r w:rsidR="00BC6148">
        <w:rPr>
          <w:rFonts w:ascii="Times New Roman" w:hAnsi="Times New Roman" w:cs="Times New Roman"/>
          <w:sz w:val="24"/>
          <w:szCs w:val="24"/>
        </w:rPr>
        <w:t>praktik</w:t>
      </w:r>
      <w:r w:rsidR="00BC6148">
        <w:rPr>
          <w:rFonts w:ascii="Times New Roman" w:hAnsi="Times New Roman" w:cs="Times New Roman"/>
          <w:sz w:val="24"/>
          <w:szCs w:val="24"/>
        </w:rPr>
        <w:t xml:space="preserve"> </w:t>
      </w:r>
      <w:r w:rsidRPr="00BC6148" w:rsidR="00BC6148">
        <w:rPr>
          <w:rFonts w:ascii="Times New Roman" w:hAnsi="Times New Roman" w:cs="Times New Roman"/>
          <w:i/>
          <w:iCs/>
          <w:sz w:val="24"/>
          <w:szCs w:val="24"/>
        </w:rPr>
        <w:t>green banking</w:t>
      </w:r>
      <w:r w:rsidR="00BC6148">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w:t>
      </w:r>
      <w:r w:rsidR="003F5192">
        <w:rPr>
          <w:rFonts w:ascii="Times New Roman" w:hAnsi="Times New Roman" w:cs="Times New Roman"/>
          <w:sz w:val="24"/>
          <w:szCs w:val="24"/>
        </w:rPr>
        <w:t>3</w:t>
      </w:r>
      <w:r>
        <w:rPr>
          <w:rFonts w:ascii="Times New Roman" w:hAnsi="Times New Roman" w:cs="Times New Roman"/>
          <w:sz w:val="24"/>
          <w:szCs w:val="24"/>
        </w:rPr>
        <w:t>.</w:t>
      </w:r>
    </w:p>
    <w:p w:rsidR="00D17BFD" w:rsidP="00BC6148" w14:paraId="0D06F430" w14:textId="20DCCE9E">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BC6148">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berpengaruh</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positif</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C6148">
        <w:rPr>
          <w:rFonts w:ascii="Times New Roman" w:hAnsi="Times New Roman" w:cs="Times New Roman"/>
          <w:i/>
          <w:iCs/>
          <w:sz w:val="24"/>
          <w:szCs w:val="24"/>
        </w:rPr>
        <w:t>return on assets</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BC6148" w:rsidP="00BC6148" w14:paraId="3FC45557" w14:textId="2AE208AE">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BC6148">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berpengaruh</w:t>
      </w:r>
      <w:r>
        <w:rPr>
          <w:rFonts w:ascii="Times New Roman" w:hAnsi="Times New Roman" w:cs="Times New Roman"/>
          <w:sz w:val="24"/>
          <w:szCs w:val="24"/>
        </w:rPr>
        <w:t xml:space="preserve"> </w:t>
      </w:r>
      <w:r w:rsidR="006D5CFD">
        <w:rPr>
          <w:rFonts w:ascii="Times New Roman" w:hAnsi="Times New Roman" w:cs="Times New Roman"/>
          <w:sz w:val="24"/>
          <w:szCs w:val="24"/>
        </w:rPr>
        <w:t>secara</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signifikan</w:t>
      </w:r>
      <w:r w:rsidR="006D5CFD">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C6148">
        <w:rPr>
          <w:rFonts w:ascii="Times New Roman" w:hAnsi="Times New Roman" w:cs="Times New Roman"/>
          <w:i/>
          <w:iCs/>
          <w:sz w:val="24"/>
          <w:szCs w:val="24"/>
        </w:rPr>
        <w:t>return on equity</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BC6148" w:rsidP="00BC6148" w14:paraId="6A0ABF46" w14:textId="511DD83D">
      <w:pPr>
        <w:pStyle w:val="ListParagraph"/>
        <w:numPr>
          <w:ilvl w:val="0"/>
          <w:numId w:val="6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BC6148">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berpengaruh</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signifikan</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C6148">
        <w:rPr>
          <w:rFonts w:ascii="Times New Roman" w:hAnsi="Times New Roman" w:cs="Times New Roman"/>
          <w:i/>
          <w:iCs/>
          <w:sz w:val="24"/>
          <w:szCs w:val="24"/>
        </w:rPr>
        <w:t>net interest margin</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BC6148" w:rsidP="00BC6148" w14:paraId="2DAAF9F7" w14:textId="3294A452">
      <w:pPr>
        <w:pStyle w:val="ListParagraph"/>
        <w:numPr>
          <w:ilvl w:val="0"/>
          <w:numId w:val="60"/>
        </w:numPr>
        <w:spacing w:after="0" w:line="480" w:lineRule="auto"/>
        <w:jc w:val="both"/>
        <w:rPr>
          <w:rFonts w:ascii="Times New Roman" w:hAnsi="Times New Roman" w:cs="Times New Roman"/>
          <w:sz w:val="24"/>
          <w:szCs w:val="24"/>
        </w:rPr>
      </w:pPr>
      <w:r w:rsidRPr="00BC6148">
        <w:rPr>
          <w:rFonts w:ascii="Times New Roman" w:hAnsi="Times New Roman" w:cs="Times New Roman"/>
          <w:i/>
          <w:iCs/>
          <w:sz w:val="24"/>
          <w:szCs w:val="24"/>
        </w:rPr>
        <w:t>Green banking</w:t>
      </w:r>
      <w:r>
        <w:rPr>
          <w:rFonts w:ascii="Times New Roman" w:hAnsi="Times New Roman" w:cs="Times New Roman"/>
          <w:sz w:val="24"/>
          <w:szCs w:val="24"/>
        </w:rPr>
        <w:t xml:space="preserve"> </w:t>
      </w:r>
      <w:r w:rsidR="00136374">
        <w:rPr>
          <w:rFonts w:ascii="Times New Roman" w:hAnsi="Times New Roman" w:cs="Times New Roman"/>
          <w:sz w:val="24"/>
          <w:szCs w:val="24"/>
        </w:rPr>
        <w:t>dapat</w:t>
      </w:r>
      <w:r w:rsidR="00136374">
        <w:rPr>
          <w:rFonts w:ascii="Times New Roman" w:hAnsi="Times New Roman" w:cs="Times New Roman"/>
          <w:sz w:val="24"/>
          <w:szCs w:val="24"/>
        </w:rPr>
        <w:t xml:space="preserve"> </w:t>
      </w:r>
      <w:r>
        <w:rPr>
          <w:rFonts w:ascii="Times New Roman" w:hAnsi="Times New Roman" w:cs="Times New Roman"/>
          <w:sz w:val="24"/>
          <w:szCs w:val="24"/>
        </w:rPr>
        <w:t>memediasi</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sidRPr="00BC6148">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BC6148">
        <w:rPr>
          <w:rFonts w:ascii="Times New Roman" w:hAnsi="Times New Roman" w:cs="Times New Roman"/>
          <w:i/>
          <w:iCs/>
          <w:sz w:val="24"/>
          <w:szCs w:val="24"/>
        </w:rPr>
        <w:t>return on assets</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BC6148" w:rsidP="00BC6148" w14:paraId="23C284AB" w14:textId="5B406A33">
      <w:pPr>
        <w:pStyle w:val="ListParagraph"/>
        <w:numPr>
          <w:ilvl w:val="0"/>
          <w:numId w:val="60"/>
        </w:numPr>
        <w:spacing w:after="0" w:line="480" w:lineRule="auto"/>
        <w:jc w:val="both"/>
        <w:rPr>
          <w:rFonts w:ascii="Times New Roman" w:hAnsi="Times New Roman" w:cs="Times New Roman"/>
          <w:sz w:val="24"/>
          <w:szCs w:val="24"/>
        </w:rPr>
      </w:pPr>
      <w:r w:rsidRPr="00BC6148">
        <w:rPr>
          <w:rFonts w:ascii="Times New Roman" w:hAnsi="Times New Roman" w:cs="Times New Roman"/>
          <w:i/>
          <w:iCs/>
          <w:sz w:val="24"/>
          <w:szCs w:val="24"/>
        </w:rPr>
        <w:t>Green banking</w:t>
      </w:r>
      <w:r>
        <w:rPr>
          <w:rFonts w:ascii="Times New Roman" w:hAnsi="Times New Roman" w:cs="Times New Roman"/>
          <w:sz w:val="24"/>
          <w:szCs w:val="24"/>
        </w:rPr>
        <w:t xml:space="preserve"> </w:t>
      </w:r>
      <w:r w:rsidR="00136374">
        <w:rPr>
          <w:rFonts w:ascii="Times New Roman" w:hAnsi="Times New Roman" w:cs="Times New Roman"/>
          <w:sz w:val="24"/>
          <w:szCs w:val="24"/>
        </w:rPr>
        <w:t>dapat</w:t>
      </w:r>
      <w:r w:rsidR="00136374">
        <w:rPr>
          <w:rFonts w:ascii="Times New Roman" w:hAnsi="Times New Roman" w:cs="Times New Roman"/>
          <w:sz w:val="24"/>
          <w:szCs w:val="24"/>
        </w:rPr>
        <w:t xml:space="preserve"> </w:t>
      </w:r>
      <w:r>
        <w:rPr>
          <w:rFonts w:ascii="Times New Roman" w:hAnsi="Times New Roman" w:cs="Times New Roman"/>
          <w:sz w:val="24"/>
          <w:szCs w:val="24"/>
        </w:rPr>
        <w:t>memediasi</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sidRPr="0041732A">
        <w:rPr>
          <w:rFonts w:ascii="Times New Roman" w:hAnsi="Times New Roman" w:cs="Times New Roman"/>
          <w:i/>
          <w:iCs/>
          <w:sz w:val="24"/>
          <w:szCs w:val="24"/>
        </w:rPr>
        <w:t xml:space="preserve">corporate social responsibility </w:t>
      </w:r>
      <w:r>
        <w:rPr>
          <w:rFonts w:ascii="Times New Roman" w:hAnsi="Times New Roman" w:cs="Times New Roman"/>
          <w:sz w:val="24"/>
          <w:szCs w:val="24"/>
        </w:rPr>
        <w:t>terhadap</w:t>
      </w:r>
      <w:r>
        <w:rPr>
          <w:rFonts w:ascii="Times New Roman" w:hAnsi="Times New Roman" w:cs="Times New Roman"/>
          <w:sz w:val="24"/>
          <w:szCs w:val="24"/>
        </w:rPr>
        <w:t xml:space="preserve"> </w:t>
      </w:r>
      <w:r w:rsidRPr="0041732A">
        <w:rPr>
          <w:rFonts w:ascii="Times New Roman" w:hAnsi="Times New Roman" w:cs="Times New Roman"/>
          <w:i/>
          <w:iCs/>
          <w:sz w:val="24"/>
          <w:szCs w:val="24"/>
        </w:rPr>
        <w:t>return</w:t>
      </w:r>
      <w:r w:rsidR="0041732A">
        <w:rPr>
          <w:rFonts w:ascii="Times New Roman" w:hAnsi="Times New Roman" w:cs="Times New Roman"/>
          <w:i/>
          <w:iCs/>
          <w:sz w:val="24"/>
          <w:szCs w:val="24"/>
        </w:rPr>
        <w:t xml:space="preserve"> on</w:t>
      </w:r>
      <w:r w:rsidRPr="0041732A">
        <w:rPr>
          <w:rFonts w:ascii="Times New Roman" w:hAnsi="Times New Roman" w:cs="Times New Roman"/>
          <w:i/>
          <w:iCs/>
          <w:sz w:val="24"/>
          <w:szCs w:val="24"/>
        </w:rPr>
        <w:t xml:space="preserve"> equity</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BC6148" w:rsidRPr="00BC6148" w:rsidP="00BC6148" w14:paraId="30C139C2" w14:textId="10B6196B">
      <w:pPr>
        <w:pStyle w:val="ListParagraph"/>
        <w:numPr>
          <w:ilvl w:val="0"/>
          <w:numId w:val="60"/>
        </w:numPr>
        <w:spacing w:after="0" w:line="480" w:lineRule="auto"/>
        <w:jc w:val="both"/>
        <w:rPr>
          <w:rFonts w:ascii="Times New Roman" w:hAnsi="Times New Roman" w:cs="Times New Roman"/>
          <w:sz w:val="24"/>
          <w:szCs w:val="24"/>
        </w:rPr>
      </w:pPr>
      <w:r w:rsidRPr="0041732A">
        <w:rPr>
          <w:rFonts w:ascii="Times New Roman" w:hAnsi="Times New Roman" w:cs="Times New Roman"/>
          <w:i/>
          <w:iCs/>
          <w:sz w:val="24"/>
          <w:szCs w:val="24"/>
        </w:rPr>
        <w:t>Green banking</w:t>
      </w:r>
      <w:r>
        <w:rPr>
          <w:rFonts w:ascii="Times New Roman" w:hAnsi="Times New Roman" w:cs="Times New Roman"/>
          <w:sz w:val="24"/>
          <w:szCs w:val="24"/>
        </w:rPr>
        <w:t xml:space="preserve"> </w:t>
      </w:r>
      <w:r w:rsidR="00136374">
        <w:rPr>
          <w:rFonts w:ascii="Times New Roman" w:hAnsi="Times New Roman" w:cs="Times New Roman"/>
          <w:sz w:val="24"/>
          <w:szCs w:val="24"/>
        </w:rPr>
        <w:t>dapat</w:t>
      </w:r>
      <w:r w:rsidR="00136374">
        <w:rPr>
          <w:rFonts w:ascii="Times New Roman" w:hAnsi="Times New Roman" w:cs="Times New Roman"/>
          <w:sz w:val="24"/>
          <w:szCs w:val="24"/>
        </w:rPr>
        <w:t xml:space="preserve"> </w:t>
      </w:r>
      <w:r>
        <w:rPr>
          <w:rFonts w:ascii="Times New Roman" w:hAnsi="Times New Roman" w:cs="Times New Roman"/>
          <w:sz w:val="24"/>
          <w:szCs w:val="24"/>
        </w:rPr>
        <w:t>memediasi</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sidRPr="0041732A">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41732A">
        <w:rPr>
          <w:rFonts w:ascii="Times New Roman" w:hAnsi="Times New Roman" w:cs="Times New Roman"/>
          <w:i/>
          <w:iCs/>
          <w:sz w:val="24"/>
          <w:szCs w:val="24"/>
        </w:rPr>
        <w:t>net interest margin</w:t>
      </w:r>
      <w:r>
        <w:rPr>
          <w:rFonts w:ascii="Times New Roman" w:hAnsi="Times New Roman" w:cs="Times New Roman"/>
          <w:sz w:val="24"/>
          <w:szCs w:val="24"/>
        </w:rPr>
        <w:t xml:space="preserve"> pada </w:t>
      </w:r>
      <w:r>
        <w:rPr>
          <w:rFonts w:ascii="Times New Roman" w:hAnsi="Times New Roman" w:cs="Times New Roman"/>
          <w:sz w:val="24"/>
          <w:szCs w:val="24"/>
        </w:rPr>
        <w:t>perusahaan</w:t>
      </w:r>
      <w:r>
        <w:rPr>
          <w:rFonts w:ascii="Times New Roman" w:hAnsi="Times New Roman" w:cs="Times New Roman"/>
          <w:sz w:val="24"/>
          <w:szCs w:val="24"/>
        </w:rPr>
        <w:t xml:space="preserve"> sub-</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periode</w:t>
      </w:r>
      <w:r>
        <w:rPr>
          <w:rFonts w:ascii="Times New Roman" w:hAnsi="Times New Roman" w:cs="Times New Roman"/>
          <w:sz w:val="24"/>
          <w:szCs w:val="24"/>
        </w:rPr>
        <w:t xml:space="preserve"> </w:t>
      </w:r>
      <w:r>
        <w:rPr>
          <w:rFonts w:ascii="Times New Roman" w:hAnsi="Times New Roman" w:cs="Times New Roman"/>
          <w:sz w:val="24"/>
          <w:szCs w:val="24"/>
        </w:rPr>
        <w:t>tahun</w:t>
      </w:r>
      <w:r>
        <w:rPr>
          <w:rFonts w:ascii="Times New Roman" w:hAnsi="Times New Roman" w:cs="Times New Roman"/>
          <w:sz w:val="24"/>
          <w:szCs w:val="24"/>
        </w:rPr>
        <w:t xml:space="preserve"> 2019-2023.</w:t>
      </w:r>
    </w:p>
    <w:p w:rsidR="00D84C87" w:rsidP="00D84C87" w14:paraId="12C212F4" w14:textId="77777777">
      <w:pPr>
        <w:pStyle w:val="ListParagraph"/>
        <w:numPr>
          <w:ilvl w:val="2"/>
          <w:numId w:val="76"/>
        </w:numPr>
        <w:spacing w:after="0" w:line="480" w:lineRule="auto"/>
        <w:ind w:left="284" w:hanging="284"/>
        <w:rPr>
          <w:rFonts w:ascii="Times New Roman" w:hAnsi="Times New Roman" w:cs="Times New Roman"/>
          <w:b/>
          <w:bCs/>
          <w:sz w:val="24"/>
          <w:szCs w:val="24"/>
        </w:rPr>
      </w:pPr>
      <w:r w:rsidRPr="00020F75">
        <w:rPr>
          <w:rFonts w:ascii="Times New Roman" w:hAnsi="Times New Roman" w:cs="Times New Roman"/>
          <w:b/>
          <w:bCs/>
          <w:sz w:val="24"/>
          <w:szCs w:val="24"/>
        </w:rPr>
        <w:t>Saran</w:t>
      </w:r>
    </w:p>
    <w:p w:rsidR="00D84C87" w:rsidP="00864828" w14:paraId="374EBE82" w14:textId="77777777">
      <w:pPr>
        <w:pStyle w:val="ListParagraph"/>
        <w:spacing w:after="0" w:line="480" w:lineRule="auto"/>
        <w:ind w:left="284" w:firstLine="360"/>
        <w:jc w:val="both"/>
        <w:rPr>
          <w:rFonts w:ascii="Times New Roman" w:hAnsi="Times New Roman" w:cs="Times New Roman"/>
          <w:sz w:val="24"/>
          <w:szCs w:val="24"/>
        </w:rPr>
      </w:pPr>
      <w:r w:rsidRPr="00D84C87">
        <w:rPr>
          <w:rFonts w:ascii="Times New Roman" w:hAnsi="Times New Roman" w:cs="Times New Roman"/>
          <w:sz w:val="24"/>
          <w:szCs w:val="24"/>
        </w:rPr>
        <w:t>Berdasarkan</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hasil</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pembahasan</w:t>
      </w:r>
      <w:r w:rsidRPr="00D84C87">
        <w:rPr>
          <w:rFonts w:ascii="Times New Roman" w:hAnsi="Times New Roman" w:cs="Times New Roman"/>
          <w:sz w:val="24"/>
          <w:szCs w:val="24"/>
        </w:rPr>
        <w:t xml:space="preserve"> yang </w:t>
      </w:r>
      <w:r w:rsidRPr="00D84C87">
        <w:rPr>
          <w:rFonts w:ascii="Times New Roman" w:hAnsi="Times New Roman" w:cs="Times New Roman"/>
          <w:sz w:val="24"/>
          <w:szCs w:val="24"/>
        </w:rPr>
        <w:t>telah</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dijelaskan</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sebelumnya</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berrikut</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adalah</w:t>
      </w:r>
      <w:r w:rsidRPr="00D84C87">
        <w:rPr>
          <w:rFonts w:ascii="Times New Roman" w:hAnsi="Times New Roman" w:cs="Times New Roman"/>
          <w:sz w:val="24"/>
          <w:szCs w:val="24"/>
        </w:rPr>
        <w:t xml:space="preserve"> saran yang </w:t>
      </w:r>
      <w:r w:rsidRPr="00D84C87">
        <w:rPr>
          <w:rFonts w:ascii="Times New Roman" w:hAnsi="Times New Roman" w:cs="Times New Roman"/>
          <w:sz w:val="24"/>
          <w:szCs w:val="24"/>
        </w:rPr>
        <w:t>mungkin</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dapat</w:t>
      </w:r>
      <w:r w:rsidRPr="00D84C87">
        <w:rPr>
          <w:rFonts w:ascii="Times New Roman" w:hAnsi="Times New Roman" w:cs="Times New Roman"/>
          <w:sz w:val="24"/>
          <w:szCs w:val="24"/>
        </w:rPr>
        <w:t xml:space="preserve"> </w:t>
      </w:r>
      <w:r w:rsidRPr="00D84C87">
        <w:rPr>
          <w:rFonts w:ascii="Times New Roman" w:hAnsi="Times New Roman" w:cs="Times New Roman"/>
          <w:sz w:val="24"/>
          <w:szCs w:val="24"/>
        </w:rPr>
        <w:t>diberikan</w:t>
      </w:r>
      <w:r w:rsidRPr="00D84C87">
        <w:rPr>
          <w:rFonts w:ascii="Times New Roman" w:hAnsi="Times New Roman" w:cs="Times New Roman"/>
          <w:sz w:val="24"/>
          <w:szCs w:val="24"/>
        </w:rPr>
        <w:t xml:space="preserve"> oleh </w:t>
      </w:r>
      <w:r w:rsidRPr="00D84C87">
        <w:rPr>
          <w:rFonts w:ascii="Times New Roman" w:hAnsi="Times New Roman" w:cs="Times New Roman"/>
          <w:sz w:val="24"/>
          <w:szCs w:val="24"/>
        </w:rPr>
        <w:t>penulis</w:t>
      </w:r>
      <w:r w:rsidRPr="00D84C87">
        <w:rPr>
          <w:rFonts w:ascii="Times New Roman" w:hAnsi="Times New Roman" w:cs="Times New Roman"/>
          <w:sz w:val="24"/>
          <w:szCs w:val="24"/>
        </w:rPr>
        <w:t>:</w:t>
      </w:r>
    </w:p>
    <w:p w:rsidR="0021565E" w:rsidP="0021565E" w14:paraId="2AFACD3D" w14:textId="4D26D2E6">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seharusnya</w:t>
      </w:r>
      <w:r>
        <w:rPr>
          <w:rFonts w:ascii="Times New Roman" w:hAnsi="Times New Roman" w:cs="Times New Roman"/>
          <w:sz w:val="24"/>
          <w:szCs w:val="24"/>
        </w:rPr>
        <w:t xml:space="preserve"> </w:t>
      </w:r>
      <w:r>
        <w:rPr>
          <w:rFonts w:ascii="Times New Roman" w:hAnsi="Times New Roman" w:cs="Times New Roman"/>
          <w:sz w:val="24"/>
          <w:szCs w:val="24"/>
        </w:rPr>
        <w:t>memberikan</w:t>
      </w:r>
      <w:r>
        <w:rPr>
          <w:rFonts w:ascii="Times New Roman" w:hAnsi="Times New Roman" w:cs="Times New Roman"/>
          <w:sz w:val="24"/>
          <w:szCs w:val="24"/>
        </w:rPr>
        <w:t xml:space="preserve"> </w:t>
      </w:r>
      <w:r>
        <w:rPr>
          <w:rFonts w:ascii="Times New Roman" w:hAnsi="Times New Roman" w:cs="Times New Roman"/>
          <w:sz w:val="24"/>
          <w:szCs w:val="24"/>
        </w:rPr>
        <w:t>perhatian</w:t>
      </w:r>
      <w:r>
        <w:rPr>
          <w:rFonts w:ascii="Times New Roman" w:hAnsi="Times New Roman" w:cs="Times New Roman"/>
          <w:sz w:val="24"/>
          <w:szCs w:val="24"/>
        </w:rPr>
        <w:t xml:space="preserve"> yang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besar</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sidRPr="00276BFD">
        <w:rPr>
          <w:rFonts w:ascii="Times New Roman" w:hAnsi="Times New Roman" w:cs="Times New Roman"/>
          <w:i/>
          <w:iCs/>
          <w:sz w:val="24"/>
          <w:szCs w:val="24"/>
        </w:rPr>
        <w:t xml:space="preserve">corporate social </w:t>
      </w:r>
      <w:r w:rsidRPr="00276BFD">
        <w:rPr>
          <w:rFonts w:ascii="Times New Roman" w:hAnsi="Times New Roman" w:cs="Times New Roman"/>
          <w:i/>
          <w:iCs/>
          <w:sz w:val="24"/>
          <w:szCs w:val="24"/>
        </w:rPr>
        <w:t>resposbility</w:t>
      </w:r>
      <w:r>
        <w:rPr>
          <w:rFonts w:ascii="Times New Roman" w:hAnsi="Times New Roman" w:cs="Times New Roman"/>
          <w:sz w:val="24"/>
          <w:szCs w:val="24"/>
        </w:rPr>
        <w:t xml:space="preserve"> (CSR) dan </w:t>
      </w:r>
      <w:r>
        <w:rPr>
          <w:rFonts w:ascii="Times New Roman" w:hAnsi="Times New Roman" w:cs="Times New Roman"/>
          <w:sz w:val="24"/>
          <w:szCs w:val="24"/>
        </w:rPr>
        <w:t>perlu</w:t>
      </w:r>
      <w:r>
        <w:rPr>
          <w:rFonts w:ascii="Times New Roman" w:hAnsi="Times New Roman" w:cs="Times New Roman"/>
          <w:sz w:val="24"/>
          <w:szCs w:val="24"/>
        </w:rPr>
        <w:t xml:space="preserve"> </w:t>
      </w:r>
      <w:r>
        <w:rPr>
          <w:rFonts w:ascii="Times New Roman" w:hAnsi="Times New Roman" w:cs="Times New Roman"/>
          <w:sz w:val="24"/>
          <w:szCs w:val="24"/>
        </w:rPr>
        <w:t>un</w:t>
      </w:r>
      <w:r w:rsidR="00276BFD">
        <w:rPr>
          <w:rFonts w:ascii="Times New Roman" w:hAnsi="Times New Roman" w:cs="Times New Roman"/>
          <w:sz w:val="24"/>
          <w:szCs w:val="24"/>
        </w:rPr>
        <w:t>tu</w:t>
      </w:r>
      <w:r>
        <w:rPr>
          <w:rFonts w:ascii="Times New Roman" w:hAnsi="Times New Roman" w:cs="Times New Roman"/>
          <w:sz w:val="24"/>
          <w:szCs w:val="24"/>
        </w:rPr>
        <w:t>k</w:t>
      </w:r>
      <w:r>
        <w:rPr>
          <w:rFonts w:ascii="Times New Roman" w:hAnsi="Times New Roman" w:cs="Times New Roman"/>
          <w:sz w:val="24"/>
          <w:szCs w:val="24"/>
        </w:rPr>
        <w:t xml:space="preserve"> </w:t>
      </w:r>
      <w:r>
        <w:rPr>
          <w:rFonts w:ascii="Times New Roman" w:hAnsi="Times New Roman" w:cs="Times New Roman"/>
          <w:sz w:val="24"/>
          <w:szCs w:val="24"/>
        </w:rPr>
        <w:t>memberikan</w:t>
      </w:r>
      <w:r>
        <w:rPr>
          <w:rFonts w:ascii="Times New Roman" w:hAnsi="Times New Roman" w:cs="Times New Roman"/>
          <w:sz w:val="24"/>
          <w:szCs w:val="24"/>
        </w:rPr>
        <w:t xml:space="preserve"> </w:t>
      </w:r>
      <w:r>
        <w:rPr>
          <w:rFonts w:ascii="Times New Roman" w:hAnsi="Times New Roman" w:cs="Times New Roman"/>
          <w:sz w:val="24"/>
          <w:szCs w:val="24"/>
        </w:rPr>
        <w:t>pendekatan</w:t>
      </w:r>
      <w:r>
        <w:rPr>
          <w:rFonts w:ascii="Times New Roman" w:hAnsi="Times New Roman" w:cs="Times New Roman"/>
          <w:sz w:val="24"/>
          <w:szCs w:val="24"/>
        </w:rPr>
        <w:t xml:space="preserve"> yang </w:t>
      </w:r>
      <w:r>
        <w:rPr>
          <w:rFonts w:ascii="Times New Roman" w:hAnsi="Times New Roman" w:cs="Times New Roman"/>
          <w:sz w:val="24"/>
          <w:szCs w:val="24"/>
        </w:rPr>
        <w:t>efektif</w:t>
      </w:r>
      <w:r>
        <w:rPr>
          <w:rFonts w:ascii="Times New Roman" w:hAnsi="Times New Roman" w:cs="Times New Roman"/>
          <w:sz w:val="24"/>
          <w:szCs w:val="24"/>
        </w:rPr>
        <w:t xml:space="preserve"> </w:t>
      </w:r>
      <w:r>
        <w:rPr>
          <w:rFonts w:ascii="Times New Roman" w:hAnsi="Times New Roman" w:cs="Times New Roman"/>
          <w:sz w:val="24"/>
          <w:szCs w:val="24"/>
        </w:rPr>
        <w:t>terh</w:t>
      </w:r>
      <w:r w:rsidR="007D1DED">
        <w:rPr>
          <w:rFonts w:ascii="Times New Roman" w:hAnsi="Times New Roman" w:cs="Times New Roman"/>
          <w:sz w:val="24"/>
          <w:szCs w:val="24"/>
        </w:rPr>
        <w:t>a</w:t>
      </w:r>
      <w:r>
        <w:rPr>
          <w:rFonts w:ascii="Times New Roman" w:hAnsi="Times New Roman" w:cs="Times New Roman"/>
          <w:sz w:val="24"/>
          <w:szCs w:val="24"/>
        </w:rPr>
        <w:t>dap</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dan </w:t>
      </w:r>
      <w:r>
        <w:rPr>
          <w:rFonts w:ascii="Times New Roman" w:hAnsi="Times New Roman" w:cs="Times New Roman"/>
          <w:sz w:val="24"/>
          <w:szCs w:val="24"/>
        </w:rPr>
        <w:t>masyarakat</w:t>
      </w:r>
      <w:r>
        <w:rPr>
          <w:rFonts w:ascii="Times New Roman" w:hAnsi="Times New Roman" w:cs="Times New Roman"/>
          <w:sz w:val="24"/>
          <w:szCs w:val="24"/>
        </w:rPr>
        <w:t xml:space="preserve"> agar program CSR </w:t>
      </w:r>
      <w:r>
        <w:rPr>
          <w:rFonts w:ascii="Times New Roman" w:hAnsi="Times New Roman" w:cs="Times New Roman"/>
          <w:sz w:val="24"/>
          <w:szCs w:val="24"/>
        </w:rPr>
        <w:t>menjadi</w:t>
      </w:r>
      <w:r>
        <w:rPr>
          <w:rFonts w:ascii="Times New Roman" w:hAnsi="Times New Roman" w:cs="Times New Roman"/>
          <w:sz w:val="24"/>
          <w:szCs w:val="24"/>
        </w:rPr>
        <w:t xml:space="preserve"> salah </w:t>
      </w:r>
      <w:r>
        <w:rPr>
          <w:rFonts w:ascii="Times New Roman" w:hAnsi="Times New Roman" w:cs="Times New Roman"/>
          <w:sz w:val="24"/>
          <w:szCs w:val="24"/>
        </w:rPr>
        <w:t>satu</w:t>
      </w:r>
      <w:r>
        <w:rPr>
          <w:rFonts w:ascii="Times New Roman" w:hAnsi="Times New Roman" w:cs="Times New Roman"/>
          <w:sz w:val="24"/>
          <w:szCs w:val="24"/>
        </w:rPr>
        <w:t xml:space="preserve"> </w:t>
      </w:r>
      <w:r>
        <w:rPr>
          <w:rFonts w:ascii="Times New Roman" w:hAnsi="Times New Roman" w:cs="Times New Roman"/>
          <w:sz w:val="24"/>
          <w:szCs w:val="24"/>
        </w:rPr>
        <w:t>cara</w:t>
      </w:r>
      <w:r>
        <w:rPr>
          <w:rFonts w:ascii="Times New Roman" w:hAnsi="Times New Roman" w:cs="Times New Roman"/>
          <w:sz w:val="24"/>
          <w:szCs w:val="24"/>
        </w:rPr>
        <w:t xml:space="preserve"> </w:t>
      </w:r>
      <w:r>
        <w:rPr>
          <w:rFonts w:ascii="Times New Roman" w:hAnsi="Times New Roman" w:cs="Times New Roman"/>
          <w:sz w:val="24"/>
          <w:szCs w:val="24"/>
        </w:rPr>
        <w:t>un</w:t>
      </w:r>
      <w:r w:rsidR="00F04136">
        <w:rPr>
          <w:rFonts w:ascii="Times New Roman" w:hAnsi="Times New Roman" w:cs="Times New Roman"/>
          <w:sz w:val="24"/>
          <w:szCs w:val="24"/>
        </w:rPr>
        <w:t>tu</w:t>
      </w:r>
      <w:r>
        <w:rPr>
          <w:rFonts w:ascii="Times New Roman" w:hAnsi="Times New Roman" w:cs="Times New Roman"/>
          <w:sz w:val="24"/>
          <w:szCs w:val="24"/>
        </w:rPr>
        <w:t>k</w:t>
      </w:r>
      <w:r>
        <w:rPr>
          <w:rFonts w:ascii="Times New Roman" w:hAnsi="Times New Roman" w:cs="Times New Roman"/>
          <w:sz w:val="24"/>
          <w:szCs w:val="24"/>
        </w:rPr>
        <w:t xml:space="preserve"> </w:t>
      </w:r>
      <w:r>
        <w:rPr>
          <w:rFonts w:ascii="Times New Roman" w:hAnsi="Times New Roman" w:cs="Times New Roman"/>
          <w:sz w:val="24"/>
          <w:szCs w:val="24"/>
        </w:rPr>
        <w:t>meningkatkan</w:t>
      </w:r>
      <w:r>
        <w:rPr>
          <w:rFonts w:ascii="Times New Roman" w:hAnsi="Times New Roman" w:cs="Times New Roman"/>
          <w:sz w:val="24"/>
          <w:szCs w:val="24"/>
        </w:rPr>
        <w:t xml:space="preserve"> </w:t>
      </w:r>
      <w:r>
        <w:rPr>
          <w:rFonts w:ascii="Times New Roman" w:hAnsi="Times New Roman" w:cs="Times New Roman"/>
          <w:sz w:val="24"/>
          <w:szCs w:val="24"/>
        </w:rPr>
        <w:t>kualitas</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w:t>
      </w:r>
    </w:p>
    <w:p w:rsidR="00266FCF" w:rsidP="0021565E" w14:paraId="1C2EEB89" w14:textId="510D7BB1">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perlunya</w:t>
      </w:r>
      <w:r>
        <w:rPr>
          <w:rFonts w:ascii="Times New Roman" w:hAnsi="Times New Roman" w:cs="Times New Roman"/>
          <w:sz w:val="24"/>
          <w:szCs w:val="24"/>
        </w:rPr>
        <w:t xml:space="preserve"> </w:t>
      </w:r>
      <w:r>
        <w:rPr>
          <w:rFonts w:ascii="Times New Roman" w:hAnsi="Times New Roman" w:cs="Times New Roman"/>
          <w:sz w:val="24"/>
          <w:szCs w:val="24"/>
        </w:rPr>
        <w:t>melakukan</w:t>
      </w:r>
      <w:r>
        <w:rPr>
          <w:rFonts w:ascii="Times New Roman" w:hAnsi="Times New Roman" w:cs="Times New Roman"/>
          <w:sz w:val="24"/>
          <w:szCs w:val="24"/>
        </w:rPr>
        <w:t xml:space="preserve"> </w:t>
      </w:r>
      <w:r>
        <w:rPr>
          <w:rFonts w:ascii="Times New Roman" w:hAnsi="Times New Roman" w:cs="Times New Roman"/>
          <w:sz w:val="24"/>
          <w:szCs w:val="24"/>
        </w:rPr>
        <w:t>pengembangan</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pengungkapan</w:t>
      </w:r>
      <w:r>
        <w:rPr>
          <w:rFonts w:ascii="Times New Roman" w:hAnsi="Times New Roman" w:cs="Times New Roman"/>
          <w:sz w:val="24"/>
          <w:szCs w:val="24"/>
        </w:rPr>
        <w:t xml:space="preserve"> </w:t>
      </w:r>
      <w:r w:rsidRPr="00992E4B">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dan </w:t>
      </w: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992E4B">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dal</w:t>
      </w:r>
      <w:r w:rsidR="00992E4B">
        <w:rPr>
          <w:rFonts w:ascii="Times New Roman" w:hAnsi="Times New Roman" w:cs="Times New Roman"/>
          <w:sz w:val="24"/>
          <w:szCs w:val="24"/>
        </w:rPr>
        <w:t>am</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kegiatan</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operasional</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perbankan</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karena</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saat</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ini</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masyarakat</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mulai</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menyadari</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tentang</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isu-isu</w:t>
      </w:r>
      <w:r w:rsidR="00992E4B">
        <w:rPr>
          <w:rFonts w:ascii="Times New Roman" w:hAnsi="Times New Roman" w:cs="Times New Roman"/>
          <w:sz w:val="24"/>
          <w:szCs w:val="24"/>
        </w:rPr>
        <w:t xml:space="preserve"> </w:t>
      </w:r>
      <w:r w:rsidR="00992E4B">
        <w:rPr>
          <w:rFonts w:ascii="Times New Roman" w:hAnsi="Times New Roman" w:cs="Times New Roman"/>
          <w:sz w:val="24"/>
          <w:szCs w:val="24"/>
        </w:rPr>
        <w:t>lingkungan</w:t>
      </w:r>
      <w:r w:rsidR="00992E4B">
        <w:rPr>
          <w:rFonts w:ascii="Times New Roman" w:hAnsi="Times New Roman" w:cs="Times New Roman"/>
          <w:sz w:val="24"/>
          <w:szCs w:val="24"/>
        </w:rPr>
        <w:t xml:space="preserve"> dan </w:t>
      </w:r>
      <w:r w:rsidR="00992E4B">
        <w:rPr>
          <w:rFonts w:ascii="Times New Roman" w:hAnsi="Times New Roman" w:cs="Times New Roman"/>
          <w:sz w:val="24"/>
          <w:szCs w:val="24"/>
        </w:rPr>
        <w:t>sosial</w:t>
      </w:r>
      <w:r w:rsidR="00992E4B">
        <w:rPr>
          <w:rFonts w:ascii="Times New Roman" w:hAnsi="Times New Roman" w:cs="Times New Roman"/>
          <w:sz w:val="24"/>
          <w:szCs w:val="24"/>
        </w:rPr>
        <w:t>.</w:t>
      </w:r>
    </w:p>
    <w:p w:rsidR="00992E4B" w:rsidP="0021565E" w14:paraId="2E4C5B02" w14:textId="20B7E3F6">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seharusnya</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menyadari</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Pr>
          <w:rFonts w:ascii="Times New Roman" w:hAnsi="Times New Roman" w:cs="Times New Roman"/>
          <w:sz w:val="24"/>
          <w:szCs w:val="24"/>
        </w:rPr>
        <w:t>saat</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selain</w:t>
      </w:r>
      <w:r>
        <w:rPr>
          <w:rFonts w:ascii="Times New Roman" w:hAnsi="Times New Roman" w:cs="Times New Roman"/>
          <w:sz w:val="24"/>
          <w:szCs w:val="24"/>
        </w:rPr>
        <w:t xml:space="preserve"> </w:t>
      </w:r>
      <w:r>
        <w:rPr>
          <w:rFonts w:ascii="Times New Roman" w:hAnsi="Times New Roman" w:cs="Times New Roman"/>
          <w:sz w:val="24"/>
          <w:szCs w:val="24"/>
        </w:rPr>
        <w:t>mempertimbangkan</w:t>
      </w:r>
      <w:r>
        <w:rPr>
          <w:rFonts w:ascii="Times New Roman" w:hAnsi="Times New Roman" w:cs="Times New Roman"/>
          <w:sz w:val="24"/>
          <w:szCs w:val="24"/>
        </w:rPr>
        <w:t xml:space="preserve"> </w:t>
      </w:r>
      <w:r>
        <w:rPr>
          <w:rFonts w:ascii="Times New Roman" w:hAnsi="Times New Roman" w:cs="Times New Roman"/>
          <w:sz w:val="24"/>
          <w:szCs w:val="24"/>
        </w:rPr>
        <w:t>faktor</w:t>
      </w:r>
      <w:r>
        <w:rPr>
          <w:rFonts w:ascii="Times New Roman" w:hAnsi="Times New Roman" w:cs="Times New Roman"/>
          <w:sz w:val="24"/>
          <w:szCs w:val="24"/>
        </w:rPr>
        <w:t xml:space="preserve"> profit, </w:t>
      </w:r>
      <w:r>
        <w:rPr>
          <w:rFonts w:ascii="Times New Roman" w:hAnsi="Times New Roman" w:cs="Times New Roman"/>
          <w:sz w:val="24"/>
          <w:szCs w:val="24"/>
        </w:rPr>
        <w:t>masyarakat</w:t>
      </w:r>
      <w:r>
        <w:rPr>
          <w:rFonts w:ascii="Times New Roman" w:hAnsi="Times New Roman" w:cs="Times New Roman"/>
          <w:sz w:val="24"/>
          <w:szCs w:val="24"/>
        </w:rPr>
        <w:t xml:space="preserve"> juga </w:t>
      </w:r>
      <w:r>
        <w:rPr>
          <w:rFonts w:ascii="Times New Roman" w:hAnsi="Times New Roman" w:cs="Times New Roman"/>
          <w:sz w:val="24"/>
          <w:szCs w:val="24"/>
        </w:rPr>
        <w:t>memperhatikan</w:t>
      </w:r>
      <w:r>
        <w:rPr>
          <w:rFonts w:ascii="Times New Roman" w:hAnsi="Times New Roman" w:cs="Times New Roman"/>
          <w:sz w:val="24"/>
          <w:szCs w:val="24"/>
        </w:rPr>
        <w:t xml:space="preserve"> </w:t>
      </w:r>
      <w:r>
        <w:rPr>
          <w:rFonts w:ascii="Times New Roman" w:hAnsi="Times New Roman" w:cs="Times New Roman"/>
          <w:sz w:val="24"/>
          <w:szCs w:val="24"/>
        </w:rPr>
        <w:t>sisi</w:t>
      </w:r>
      <w:r>
        <w:rPr>
          <w:rFonts w:ascii="Times New Roman" w:hAnsi="Times New Roman" w:cs="Times New Roman"/>
          <w:sz w:val="24"/>
          <w:szCs w:val="24"/>
        </w:rPr>
        <w:t xml:space="preserve"> </w:t>
      </w:r>
      <w:r>
        <w:rPr>
          <w:rFonts w:ascii="Times New Roman" w:hAnsi="Times New Roman" w:cs="Times New Roman"/>
          <w:sz w:val="24"/>
          <w:szCs w:val="24"/>
        </w:rPr>
        <w:t>kepedulian</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w:t>
      </w:r>
      <w:r>
        <w:rPr>
          <w:rFonts w:ascii="Times New Roman" w:hAnsi="Times New Roman" w:cs="Times New Roman"/>
          <w:sz w:val="24"/>
          <w:szCs w:val="24"/>
        </w:rPr>
        <w:t>disekitarnya</w:t>
      </w:r>
      <w:r>
        <w:rPr>
          <w:rFonts w:ascii="Times New Roman" w:hAnsi="Times New Roman" w:cs="Times New Roman"/>
          <w:sz w:val="24"/>
          <w:szCs w:val="24"/>
        </w:rPr>
        <w:t xml:space="preserve">. Oleh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itu</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perlu</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meningkatkan</w:t>
      </w:r>
      <w:r>
        <w:rPr>
          <w:rFonts w:ascii="Times New Roman" w:hAnsi="Times New Roman" w:cs="Times New Roman"/>
          <w:sz w:val="24"/>
          <w:szCs w:val="24"/>
        </w:rPr>
        <w:t xml:space="preserve"> </w:t>
      </w:r>
      <w:r>
        <w:rPr>
          <w:rFonts w:ascii="Times New Roman" w:hAnsi="Times New Roman" w:cs="Times New Roman"/>
          <w:sz w:val="24"/>
          <w:szCs w:val="24"/>
        </w:rPr>
        <w:t>faktor</w:t>
      </w:r>
      <w:r>
        <w:rPr>
          <w:rFonts w:ascii="Times New Roman" w:hAnsi="Times New Roman" w:cs="Times New Roman"/>
          <w:sz w:val="24"/>
          <w:szCs w:val="24"/>
        </w:rPr>
        <w:t xml:space="preserve"> </w:t>
      </w:r>
      <w:r>
        <w:rPr>
          <w:rFonts w:ascii="Times New Roman" w:hAnsi="Times New Roman" w:cs="Times New Roman"/>
          <w:sz w:val="24"/>
          <w:szCs w:val="24"/>
        </w:rPr>
        <w:t>kepedulian</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agar </w:t>
      </w:r>
      <w:r>
        <w:rPr>
          <w:rFonts w:ascii="Times New Roman" w:hAnsi="Times New Roman" w:cs="Times New Roman"/>
          <w:sz w:val="24"/>
          <w:szCs w:val="24"/>
        </w:rPr>
        <w:t>citra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meningkat</w:t>
      </w:r>
      <w:r>
        <w:rPr>
          <w:rFonts w:ascii="Times New Roman" w:hAnsi="Times New Roman" w:cs="Times New Roman"/>
          <w:sz w:val="24"/>
          <w:szCs w:val="24"/>
        </w:rPr>
        <w:t xml:space="preserve"> dan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juga </w:t>
      </w:r>
      <w:r>
        <w:rPr>
          <w:rFonts w:ascii="Times New Roman" w:hAnsi="Times New Roman" w:cs="Times New Roman"/>
          <w:sz w:val="24"/>
          <w:szCs w:val="24"/>
        </w:rPr>
        <w:t>ditingkatkan</w:t>
      </w:r>
      <w:r>
        <w:rPr>
          <w:rFonts w:ascii="Times New Roman" w:hAnsi="Times New Roman" w:cs="Times New Roman"/>
          <w:sz w:val="24"/>
          <w:szCs w:val="24"/>
        </w:rPr>
        <w:t>.</w:t>
      </w:r>
    </w:p>
    <w:p w:rsidR="0073703A" w:rsidP="0021565E" w14:paraId="7F63B1AE" w14:textId="21F8DB26">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perlunya</w:t>
      </w:r>
      <w:r>
        <w:rPr>
          <w:rFonts w:ascii="Times New Roman" w:hAnsi="Times New Roman" w:cs="Times New Roman"/>
          <w:sz w:val="24"/>
          <w:szCs w:val="24"/>
        </w:rPr>
        <w:t xml:space="preserve"> </w:t>
      </w:r>
      <w:r>
        <w:rPr>
          <w:rFonts w:ascii="Times New Roman" w:hAnsi="Times New Roman" w:cs="Times New Roman"/>
          <w:sz w:val="24"/>
          <w:szCs w:val="24"/>
        </w:rPr>
        <w:t>un</w:t>
      </w:r>
      <w:r w:rsidR="007D1DED">
        <w:rPr>
          <w:rFonts w:ascii="Times New Roman" w:hAnsi="Times New Roman" w:cs="Times New Roman"/>
          <w:sz w:val="24"/>
          <w:szCs w:val="24"/>
        </w:rPr>
        <w:t>tu</w:t>
      </w:r>
      <w:r>
        <w:rPr>
          <w:rFonts w:ascii="Times New Roman" w:hAnsi="Times New Roman" w:cs="Times New Roman"/>
          <w:sz w:val="24"/>
          <w:szCs w:val="24"/>
        </w:rPr>
        <w:t>k</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meningkakan</w:t>
      </w:r>
      <w:r>
        <w:rPr>
          <w:rFonts w:ascii="Times New Roman" w:hAnsi="Times New Roman" w:cs="Times New Roman"/>
          <w:sz w:val="24"/>
          <w:szCs w:val="24"/>
        </w:rPr>
        <w:t xml:space="preserve"> program </w:t>
      </w:r>
      <w:r>
        <w:rPr>
          <w:rFonts w:ascii="Times New Roman" w:hAnsi="Times New Roman" w:cs="Times New Roman"/>
          <w:sz w:val="24"/>
          <w:szCs w:val="24"/>
        </w:rPr>
        <w:t>praktik</w:t>
      </w:r>
      <w:r>
        <w:rPr>
          <w:rFonts w:ascii="Times New Roman" w:hAnsi="Times New Roman" w:cs="Times New Roman"/>
          <w:sz w:val="24"/>
          <w:szCs w:val="24"/>
        </w:rPr>
        <w:t xml:space="preserve"> </w:t>
      </w:r>
      <w:r w:rsidRPr="007D1DED">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operasional</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saat</w:t>
      </w:r>
      <w:r>
        <w:rPr>
          <w:rFonts w:ascii="Times New Roman" w:hAnsi="Times New Roman" w:cs="Times New Roman"/>
          <w:sz w:val="24"/>
          <w:szCs w:val="24"/>
        </w:rPr>
        <w:t xml:space="preserve"> </w:t>
      </w:r>
      <w:r>
        <w:rPr>
          <w:rFonts w:ascii="Times New Roman" w:hAnsi="Times New Roman" w:cs="Times New Roman"/>
          <w:sz w:val="24"/>
          <w:szCs w:val="24"/>
        </w:rPr>
        <w:t>ini</w:t>
      </w:r>
      <w:r>
        <w:rPr>
          <w:rFonts w:ascii="Times New Roman" w:hAnsi="Times New Roman" w:cs="Times New Roman"/>
          <w:sz w:val="24"/>
          <w:szCs w:val="24"/>
        </w:rPr>
        <w:t xml:space="preserve"> </w:t>
      </w:r>
      <w:r>
        <w:rPr>
          <w:rFonts w:ascii="Times New Roman" w:hAnsi="Times New Roman" w:cs="Times New Roman"/>
          <w:sz w:val="24"/>
          <w:szCs w:val="24"/>
        </w:rPr>
        <w:t>segala</w:t>
      </w:r>
      <w:r>
        <w:rPr>
          <w:rFonts w:ascii="Times New Roman" w:hAnsi="Times New Roman" w:cs="Times New Roman"/>
          <w:sz w:val="24"/>
          <w:szCs w:val="24"/>
        </w:rPr>
        <w:t xml:space="preserve"> </w:t>
      </w:r>
      <w:r>
        <w:rPr>
          <w:rFonts w:ascii="Times New Roman" w:hAnsi="Times New Roman" w:cs="Times New Roman"/>
          <w:sz w:val="24"/>
          <w:szCs w:val="24"/>
        </w:rPr>
        <w:t>sektor</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berusaha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menerapkan</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ekonomi</w:t>
      </w:r>
      <w:r>
        <w:rPr>
          <w:rFonts w:ascii="Times New Roman" w:hAnsi="Times New Roman" w:cs="Times New Roman"/>
          <w:sz w:val="24"/>
          <w:szCs w:val="24"/>
        </w:rPr>
        <w:t xml:space="preserve"> </w:t>
      </w:r>
      <w:r>
        <w:rPr>
          <w:rFonts w:ascii="Times New Roman" w:hAnsi="Times New Roman" w:cs="Times New Roman"/>
          <w:sz w:val="24"/>
          <w:szCs w:val="24"/>
        </w:rPr>
        <w:t>hijau</w:t>
      </w:r>
      <w:r>
        <w:rPr>
          <w:rFonts w:ascii="Times New Roman" w:hAnsi="Times New Roman" w:cs="Times New Roman"/>
          <w:sz w:val="24"/>
          <w:szCs w:val="24"/>
        </w:rPr>
        <w:t xml:space="preserve"> yang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mengedepankan</w:t>
      </w:r>
      <w:r>
        <w:rPr>
          <w:rFonts w:ascii="Times New Roman" w:hAnsi="Times New Roman" w:cs="Times New Roman"/>
          <w:sz w:val="24"/>
          <w:szCs w:val="24"/>
        </w:rPr>
        <w:t xml:space="preserve"> </w:t>
      </w:r>
      <w:r>
        <w:rPr>
          <w:rFonts w:ascii="Times New Roman" w:hAnsi="Times New Roman" w:cs="Times New Roman"/>
          <w:sz w:val="24"/>
          <w:szCs w:val="24"/>
        </w:rPr>
        <w:t>tentang</w:t>
      </w:r>
      <w:r>
        <w:rPr>
          <w:rFonts w:ascii="Times New Roman" w:hAnsi="Times New Roman" w:cs="Times New Roman"/>
          <w:sz w:val="24"/>
          <w:szCs w:val="24"/>
        </w:rPr>
        <w:t xml:space="preserve"> </w:t>
      </w:r>
      <w:r>
        <w:rPr>
          <w:rFonts w:ascii="Times New Roman" w:hAnsi="Times New Roman" w:cs="Times New Roman"/>
          <w:sz w:val="24"/>
          <w:szCs w:val="24"/>
        </w:rPr>
        <w:t>isu</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w:t>
      </w:r>
      <w:r>
        <w:rPr>
          <w:rFonts w:ascii="Times New Roman" w:hAnsi="Times New Roman" w:cs="Times New Roman"/>
          <w:sz w:val="24"/>
          <w:szCs w:val="24"/>
        </w:rPr>
        <w:t>Dengan</w:t>
      </w:r>
      <w:r>
        <w:rPr>
          <w:rFonts w:ascii="Times New Roman" w:hAnsi="Times New Roman" w:cs="Times New Roman"/>
          <w:sz w:val="24"/>
          <w:szCs w:val="24"/>
        </w:rPr>
        <w:t xml:space="preserve"> </w:t>
      </w:r>
      <w:r>
        <w:rPr>
          <w:rFonts w:ascii="Times New Roman" w:hAnsi="Times New Roman" w:cs="Times New Roman"/>
          <w:sz w:val="24"/>
          <w:szCs w:val="24"/>
        </w:rPr>
        <w:t>hal</w:t>
      </w:r>
      <w:r>
        <w:rPr>
          <w:rFonts w:ascii="Times New Roman" w:hAnsi="Times New Roman" w:cs="Times New Roman"/>
          <w:sz w:val="24"/>
          <w:szCs w:val="24"/>
        </w:rPr>
        <w:t xml:space="preserve"> </w:t>
      </w:r>
      <w:r>
        <w:rPr>
          <w:rFonts w:ascii="Times New Roman" w:hAnsi="Times New Roman" w:cs="Times New Roman"/>
          <w:sz w:val="24"/>
          <w:szCs w:val="24"/>
        </w:rPr>
        <w:t>itu</w:t>
      </w:r>
      <w:r>
        <w:rPr>
          <w:rFonts w:ascii="Times New Roman" w:hAnsi="Times New Roman" w:cs="Times New Roman"/>
          <w:sz w:val="24"/>
          <w:szCs w:val="24"/>
        </w:rPr>
        <w:t xml:space="preserve"> </w:t>
      </w:r>
      <w:r>
        <w:rPr>
          <w:rFonts w:ascii="Times New Roman" w:hAnsi="Times New Roman" w:cs="Times New Roman"/>
          <w:sz w:val="24"/>
          <w:szCs w:val="24"/>
        </w:rPr>
        <w:t>tentunya</w:t>
      </w:r>
      <w:r>
        <w:rPr>
          <w:rFonts w:ascii="Times New Roman" w:hAnsi="Times New Roman" w:cs="Times New Roman"/>
          <w:sz w:val="24"/>
          <w:szCs w:val="24"/>
        </w:rPr>
        <w:t xml:space="preserve"> </w:t>
      </w:r>
      <w:r>
        <w:rPr>
          <w:rFonts w:ascii="Times New Roman" w:hAnsi="Times New Roman" w:cs="Times New Roman"/>
          <w:sz w:val="24"/>
          <w:szCs w:val="24"/>
        </w:rPr>
        <w:t>akan</w:t>
      </w:r>
      <w:r>
        <w:rPr>
          <w:rFonts w:ascii="Times New Roman" w:hAnsi="Times New Roman" w:cs="Times New Roman"/>
          <w:sz w:val="24"/>
          <w:szCs w:val="24"/>
        </w:rPr>
        <w:t xml:space="preserve"> </w:t>
      </w:r>
      <w:r>
        <w:rPr>
          <w:rFonts w:ascii="Times New Roman" w:hAnsi="Times New Roman" w:cs="Times New Roman"/>
          <w:sz w:val="24"/>
          <w:szCs w:val="24"/>
        </w:rPr>
        <w:t>berdampak</w:t>
      </w:r>
      <w:r>
        <w:rPr>
          <w:rFonts w:ascii="Times New Roman" w:hAnsi="Times New Roman" w:cs="Times New Roman"/>
          <w:sz w:val="24"/>
          <w:szCs w:val="24"/>
        </w:rPr>
        <w:t xml:space="preserve"> </w:t>
      </w:r>
      <w:r>
        <w:rPr>
          <w:rFonts w:ascii="Times New Roman" w:hAnsi="Times New Roman" w:cs="Times New Roman"/>
          <w:sz w:val="24"/>
          <w:szCs w:val="24"/>
        </w:rPr>
        <w:t>positif</w:t>
      </w:r>
      <w:r>
        <w:rPr>
          <w:rFonts w:ascii="Times New Roman" w:hAnsi="Times New Roman" w:cs="Times New Roman"/>
          <w:sz w:val="24"/>
          <w:szCs w:val="24"/>
        </w:rPr>
        <w:t xml:space="preserve"> </w:t>
      </w:r>
      <w:r>
        <w:rPr>
          <w:rFonts w:ascii="Times New Roman" w:hAnsi="Times New Roman" w:cs="Times New Roman"/>
          <w:sz w:val="24"/>
          <w:szCs w:val="24"/>
        </w:rPr>
        <w:t>dimana</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tidak</w:t>
      </w:r>
      <w:r>
        <w:rPr>
          <w:rFonts w:ascii="Times New Roman" w:hAnsi="Times New Roman" w:cs="Times New Roman"/>
          <w:sz w:val="24"/>
          <w:szCs w:val="24"/>
        </w:rPr>
        <w:t xml:space="preserve"> </w:t>
      </w:r>
      <w:r>
        <w:rPr>
          <w:rFonts w:ascii="Times New Roman" w:hAnsi="Times New Roman" w:cs="Times New Roman"/>
          <w:sz w:val="24"/>
          <w:szCs w:val="24"/>
        </w:rPr>
        <w:t>hanya</w:t>
      </w:r>
      <w:r>
        <w:rPr>
          <w:rFonts w:ascii="Times New Roman" w:hAnsi="Times New Roman" w:cs="Times New Roman"/>
          <w:sz w:val="24"/>
          <w:szCs w:val="24"/>
        </w:rPr>
        <w:t xml:space="preserve"> </w:t>
      </w:r>
      <w:r>
        <w:rPr>
          <w:rFonts w:ascii="Times New Roman" w:hAnsi="Times New Roman" w:cs="Times New Roman"/>
          <w:sz w:val="24"/>
          <w:szCs w:val="24"/>
        </w:rPr>
        <w:t>meningkatkan</w:t>
      </w:r>
      <w:r>
        <w:rPr>
          <w:rFonts w:ascii="Times New Roman" w:hAnsi="Times New Roman" w:cs="Times New Roman"/>
          <w:sz w:val="24"/>
          <w:szCs w:val="24"/>
        </w:rPr>
        <w:t xml:space="preserve"> </w:t>
      </w:r>
      <w:r>
        <w:rPr>
          <w:rFonts w:ascii="Times New Roman" w:hAnsi="Times New Roman" w:cs="Times New Roman"/>
          <w:sz w:val="24"/>
          <w:szCs w:val="24"/>
        </w:rPr>
        <w:t>citranya</w:t>
      </w:r>
      <w:r>
        <w:rPr>
          <w:rFonts w:ascii="Times New Roman" w:hAnsi="Times New Roman" w:cs="Times New Roman"/>
          <w:sz w:val="24"/>
          <w:szCs w:val="24"/>
        </w:rPr>
        <w:t xml:space="preserve"> </w:t>
      </w:r>
      <w:r>
        <w:rPr>
          <w:rFonts w:ascii="Times New Roman" w:hAnsi="Times New Roman" w:cs="Times New Roman"/>
          <w:sz w:val="24"/>
          <w:szCs w:val="24"/>
        </w:rPr>
        <w:t>namun</w:t>
      </w:r>
      <w:r>
        <w:rPr>
          <w:rFonts w:ascii="Times New Roman" w:hAnsi="Times New Roman" w:cs="Times New Roman"/>
          <w:sz w:val="24"/>
          <w:szCs w:val="24"/>
        </w:rPr>
        <w:t xml:space="preserve"> juga </w:t>
      </w:r>
      <w:r>
        <w:rPr>
          <w:rFonts w:ascii="Times New Roman" w:hAnsi="Times New Roman" w:cs="Times New Roman"/>
          <w:sz w:val="24"/>
          <w:szCs w:val="24"/>
        </w:rPr>
        <w:t>ikut</w:t>
      </w:r>
      <w:r>
        <w:rPr>
          <w:rFonts w:ascii="Times New Roman" w:hAnsi="Times New Roman" w:cs="Times New Roman"/>
          <w:sz w:val="24"/>
          <w:szCs w:val="24"/>
        </w:rPr>
        <w:t xml:space="preserve"> </w:t>
      </w:r>
      <w:r>
        <w:rPr>
          <w:rFonts w:ascii="Times New Roman" w:hAnsi="Times New Roman" w:cs="Times New Roman"/>
          <w:sz w:val="24"/>
          <w:szCs w:val="24"/>
        </w:rPr>
        <w:t>melestarikan</w:t>
      </w:r>
      <w:r>
        <w:rPr>
          <w:rFonts w:ascii="Times New Roman" w:hAnsi="Times New Roman" w:cs="Times New Roman"/>
          <w:sz w:val="24"/>
          <w:szCs w:val="24"/>
        </w:rPr>
        <w:t xml:space="preserve"> </w:t>
      </w:r>
      <w:r>
        <w:rPr>
          <w:rFonts w:ascii="Times New Roman" w:hAnsi="Times New Roman" w:cs="Times New Roman"/>
          <w:sz w:val="24"/>
          <w:szCs w:val="24"/>
        </w:rPr>
        <w:t>alam</w:t>
      </w:r>
      <w:r>
        <w:rPr>
          <w:rFonts w:ascii="Times New Roman" w:hAnsi="Times New Roman" w:cs="Times New Roman"/>
          <w:sz w:val="24"/>
          <w:szCs w:val="24"/>
        </w:rPr>
        <w:t xml:space="preserve"> yang </w:t>
      </w:r>
      <w:r>
        <w:rPr>
          <w:rFonts w:ascii="Times New Roman" w:hAnsi="Times New Roman" w:cs="Times New Roman"/>
          <w:sz w:val="24"/>
          <w:szCs w:val="24"/>
        </w:rPr>
        <w:t>ada</w:t>
      </w:r>
      <w:r>
        <w:rPr>
          <w:rFonts w:ascii="Times New Roman" w:hAnsi="Times New Roman" w:cs="Times New Roman"/>
          <w:sz w:val="24"/>
          <w:szCs w:val="24"/>
        </w:rPr>
        <w:t xml:space="preserve">. </w:t>
      </w:r>
      <w:r>
        <w:rPr>
          <w:rFonts w:ascii="Times New Roman" w:hAnsi="Times New Roman" w:cs="Times New Roman"/>
          <w:sz w:val="24"/>
          <w:szCs w:val="24"/>
        </w:rPr>
        <w:t>Sehingga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juga </w:t>
      </w:r>
      <w:r>
        <w:rPr>
          <w:rFonts w:ascii="Times New Roman" w:hAnsi="Times New Roman" w:cs="Times New Roman"/>
          <w:sz w:val="24"/>
          <w:szCs w:val="24"/>
        </w:rPr>
        <w:t>unutk</w:t>
      </w:r>
      <w:r>
        <w:rPr>
          <w:rFonts w:ascii="Times New Roman" w:hAnsi="Times New Roman" w:cs="Times New Roman"/>
          <w:sz w:val="24"/>
          <w:szCs w:val="24"/>
        </w:rPr>
        <w:t xml:space="preserve"> </w:t>
      </w:r>
      <w:r>
        <w:rPr>
          <w:rFonts w:ascii="Times New Roman" w:hAnsi="Times New Roman" w:cs="Times New Roman"/>
          <w:sz w:val="24"/>
          <w:szCs w:val="24"/>
        </w:rPr>
        <w:t>m</w:t>
      </w:r>
      <w:r w:rsidR="000864C2">
        <w:rPr>
          <w:rFonts w:ascii="Times New Roman" w:hAnsi="Times New Roman" w:cs="Times New Roman"/>
          <w:sz w:val="24"/>
          <w:szCs w:val="24"/>
        </w:rPr>
        <w:t>e</w:t>
      </w:r>
      <w:r>
        <w:rPr>
          <w:rFonts w:ascii="Times New Roman" w:hAnsi="Times New Roman" w:cs="Times New Roman"/>
          <w:sz w:val="24"/>
          <w:szCs w:val="24"/>
        </w:rPr>
        <w:t>ningkatkan</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karena</w:t>
      </w:r>
      <w:r>
        <w:rPr>
          <w:rFonts w:ascii="Times New Roman" w:hAnsi="Times New Roman" w:cs="Times New Roman"/>
          <w:sz w:val="24"/>
          <w:szCs w:val="24"/>
        </w:rPr>
        <w:t xml:space="preserve"> </w:t>
      </w:r>
      <w:r>
        <w:rPr>
          <w:rFonts w:ascii="Times New Roman" w:hAnsi="Times New Roman" w:cs="Times New Roman"/>
          <w:sz w:val="24"/>
          <w:szCs w:val="24"/>
        </w:rPr>
        <w:t>masyarakat</w:t>
      </w:r>
      <w:r>
        <w:rPr>
          <w:rFonts w:ascii="Times New Roman" w:hAnsi="Times New Roman" w:cs="Times New Roman"/>
          <w:sz w:val="24"/>
          <w:szCs w:val="24"/>
        </w:rPr>
        <w:t xml:space="preserve"> juga </w:t>
      </w:r>
      <w:r>
        <w:rPr>
          <w:rFonts w:ascii="Times New Roman" w:hAnsi="Times New Roman" w:cs="Times New Roman"/>
          <w:sz w:val="24"/>
          <w:szCs w:val="24"/>
        </w:rPr>
        <w:t>akan</w:t>
      </w:r>
      <w:r>
        <w:rPr>
          <w:rFonts w:ascii="Times New Roman" w:hAnsi="Times New Roman" w:cs="Times New Roman"/>
          <w:sz w:val="24"/>
          <w:szCs w:val="24"/>
        </w:rPr>
        <w:t xml:space="preserve"> </w:t>
      </w:r>
      <w:r>
        <w:rPr>
          <w:rFonts w:ascii="Times New Roman" w:hAnsi="Times New Roman" w:cs="Times New Roman"/>
          <w:sz w:val="24"/>
          <w:szCs w:val="24"/>
        </w:rPr>
        <w:t>lebih</w:t>
      </w:r>
      <w:r>
        <w:rPr>
          <w:rFonts w:ascii="Times New Roman" w:hAnsi="Times New Roman" w:cs="Times New Roman"/>
          <w:sz w:val="24"/>
          <w:szCs w:val="24"/>
        </w:rPr>
        <w:t xml:space="preserve"> </w:t>
      </w:r>
      <w:r>
        <w:rPr>
          <w:rFonts w:ascii="Times New Roman" w:hAnsi="Times New Roman" w:cs="Times New Roman"/>
          <w:sz w:val="24"/>
          <w:szCs w:val="24"/>
        </w:rPr>
        <w:t>simpatik</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yang </w:t>
      </w:r>
      <w:r>
        <w:rPr>
          <w:rFonts w:ascii="Times New Roman" w:hAnsi="Times New Roman" w:cs="Times New Roman"/>
          <w:sz w:val="24"/>
          <w:szCs w:val="24"/>
        </w:rPr>
        <w:t>memiliki</w:t>
      </w:r>
      <w:r>
        <w:rPr>
          <w:rFonts w:ascii="Times New Roman" w:hAnsi="Times New Roman" w:cs="Times New Roman"/>
          <w:sz w:val="24"/>
          <w:szCs w:val="24"/>
        </w:rPr>
        <w:t xml:space="preserve"> </w:t>
      </w:r>
      <w:r>
        <w:rPr>
          <w:rFonts w:ascii="Times New Roman" w:hAnsi="Times New Roman" w:cs="Times New Roman"/>
          <w:sz w:val="24"/>
          <w:szCs w:val="24"/>
        </w:rPr>
        <w:t>kepedulian</w:t>
      </w:r>
      <w:r>
        <w:rPr>
          <w:rFonts w:ascii="Times New Roman" w:hAnsi="Times New Roman" w:cs="Times New Roman"/>
          <w:sz w:val="24"/>
          <w:szCs w:val="24"/>
        </w:rPr>
        <w:t xml:space="preserve"> </w:t>
      </w:r>
      <w:r>
        <w:rPr>
          <w:rFonts w:ascii="Times New Roman" w:hAnsi="Times New Roman" w:cs="Times New Roman"/>
          <w:sz w:val="24"/>
          <w:szCs w:val="24"/>
        </w:rPr>
        <w:t>lingkunngan</w:t>
      </w:r>
      <w:r>
        <w:rPr>
          <w:rFonts w:ascii="Times New Roman" w:hAnsi="Times New Roman" w:cs="Times New Roman"/>
          <w:sz w:val="24"/>
          <w:szCs w:val="24"/>
        </w:rPr>
        <w:t>.</w:t>
      </w:r>
    </w:p>
    <w:p w:rsidR="005C0858" w:rsidP="0021565E" w14:paraId="1AB08FD5" w14:textId="046E66A4">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seharusnya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mengungkapkan</w:t>
      </w:r>
      <w:r>
        <w:rPr>
          <w:rFonts w:ascii="Times New Roman" w:hAnsi="Times New Roman" w:cs="Times New Roman"/>
          <w:sz w:val="24"/>
          <w:szCs w:val="24"/>
        </w:rPr>
        <w:t xml:space="preserve"> </w:t>
      </w:r>
      <w:r w:rsidRPr="005C0858">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dan </w:t>
      </w:r>
      <w:r>
        <w:rPr>
          <w:rFonts w:ascii="Times New Roman" w:hAnsi="Times New Roman" w:cs="Times New Roman"/>
          <w:sz w:val="24"/>
          <w:szCs w:val="24"/>
        </w:rPr>
        <w:t>praktik</w:t>
      </w:r>
      <w:r>
        <w:rPr>
          <w:rFonts w:ascii="Times New Roman" w:hAnsi="Times New Roman" w:cs="Times New Roman"/>
          <w:sz w:val="24"/>
          <w:szCs w:val="24"/>
        </w:rPr>
        <w:t xml:space="preserve"> </w:t>
      </w:r>
      <w:r w:rsidRPr="005C0858">
        <w:rPr>
          <w:rFonts w:ascii="Times New Roman" w:hAnsi="Times New Roman" w:cs="Times New Roman"/>
          <w:i/>
          <w:iCs/>
          <w:sz w:val="24"/>
          <w:szCs w:val="24"/>
        </w:rPr>
        <w:t>green banking</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laporan</w:t>
      </w:r>
      <w:r>
        <w:rPr>
          <w:rFonts w:ascii="Times New Roman" w:hAnsi="Times New Roman" w:cs="Times New Roman"/>
          <w:sz w:val="24"/>
          <w:szCs w:val="24"/>
        </w:rPr>
        <w:t xml:space="preserve"> </w:t>
      </w:r>
      <w:r>
        <w:rPr>
          <w:rFonts w:ascii="Times New Roman" w:hAnsi="Times New Roman" w:cs="Times New Roman"/>
          <w:sz w:val="24"/>
          <w:szCs w:val="24"/>
        </w:rPr>
        <w:t>tahunan</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selain</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ikut</w:t>
      </w:r>
      <w:r>
        <w:rPr>
          <w:rFonts w:ascii="Times New Roman" w:hAnsi="Times New Roman" w:cs="Times New Roman"/>
          <w:sz w:val="24"/>
          <w:szCs w:val="24"/>
        </w:rPr>
        <w:t xml:space="preserve"> </w:t>
      </w:r>
      <w:r>
        <w:rPr>
          <w:rFonts w:ascii="Times New Roman" w:hAnsi="Times New Roman" w:cs="Times New Roman"/>
          <w:sz w:val="24"/>
          <w:szCs w:val="24"/>
        </w:rPr>
        <w:t>dalam</w:t>
      </w:r>
      <w:r>
        <w:rPr>
          <w:rFonts w:ascii="Times New Roman" w:hAnsi="Times New Roman" w:cs="Times New Roman"/>
          <w:sz w:val="24"/>
          <w:szCs w:val="24"/>
        </w:rPr>
        <w:t xml:space="preserve"> </w:t>
      </w: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ekonomi</w:t>
      </w:r>
      <w:r>
        <w:rPr>
          <w:rFonts w:ascii="Times New Roman" w:hAnsi="Times New Roman" w:cs="Times New Roman"/>
          <w:sz w:val="24"/>
          <w:szCs w:val="24"/>
        </w:rPr>
        <w:t xml:space="preserve"> </w:t>
      </w:r>
      <w:r>
        <w:rPr>
          <w:rFonts w:ascii="Times New Roman" w:hAnsi="Times New Roman" w:cs="Times New Roman"/>
          <w:sz w:val="24"/>
          <w:szCs w:val="24"/>
        </w:rPr>
        <w:t>hijau</w:t>
      </w:r>
      <w:r>
        <w:rPr>
          <w:rFonts w:ascii="Times New Roman" w:hAnsi="Times New Roman" w:cs="Times New Roman"/>
          <w:sz w:val="24"/>
          <w:szCs w:val="24"/>
        </w:rPr>
        <w:t xml:space="preserve">, </w:t>
      </w:r>
      <w:r>
        <w:rPr>
          <w:rFonts w:ascii="Times New Roman" w:hAnsi="Times New Roman" w:cs="Times New Roman"/>
          <w:sz w:val="24"/>
          <w:szCs w:val="24"/>
        </w:rPr>
        <w:t>namun</w:t>
      </w:r>
      <w:r>
        <w:rPr>
          <w:rFonts w:ascii="Times New Roman" w:hAnsi="Times New Roman" w:cs="Times New Roman"/>
          <w:sz w:val="24"/>
          <w:szCs w:val="24"/>
        </w:rPr>
        <w:t xml:space="preserve"> juga </w:t>
      </w:r>
      <w:r>
        <w:rPr>
          <w:rFonts w:ascii="Times New Roman" w:hAnsi="Times New Roman" w:cs="Times New Roman"/>
          <w:sz w:val="24"/>
          <w:szCs w:val="24"/>
        </w:rPr>
        <w:t>sebagai</w:t>
      </w:r>
      <w:r>
        <w:rPr>
          <w:rFonts w:ascii="Times New Roman" w:hAnsi="Times New Roman" w:cs="Times New Roman"/>
          <w:sz w:val="24"/>
          <w:szCs w:val="24"/>
        </w:rPr>
        <w:t xml:space="preserve"> </w:t>
      </w:r>
      <w:r>
        <w:rPr>
          <w:rFonts w:ascii="Times New Roman" w:hAnsi="Times New Roman" w:cs="Times New Roman"/>
          <w:sz w:val="24"/>
          <w:szCs w:val="24"/>
        </w:rPr>
        <w:t>bukti</w:t>
      </w:r>
      <w:r>
        <w:rPr>
          <w:rFonts w:ascii="Times New Roman" w:hAnsi="Times New Roman" w:cs="Times New Roman"/>
          <w:sz w:val="24"/>
          <w:szCs w:val="24"/>
        </w:rPr>
        <w:t xml:space="preserve"> </w:t>
      </w:r>
      <w:r>
        <w:rPr>
          <w:rFonts w:ascii="Times New Roman" w:hAnsi="Times New Roman" w:cs="Times New Roman"/>
          <w:sz w:val="24"/>
          <w:szCs w:val="24"/>
        </w:rPr>
        <w:t>bahwa</w:t>
      </w:r>
      <w:r>
        <w:rPr>
          <w:rFonts w:ascii="Times New Roman" w:hAnsi="Times New Roman" w:cs="Times New Roman"/>
          <w:sz w:val="24"/>
          <w:szCs w:val="24"/>
        </w:rPr>
        <w:t xml:space="preserve"> </w:t>
      </w:r>
      <w:r>
        <w:rPr>
          <w:rFonts w:ascii="Times New Roman" w:hAnsi="Times New Roman" w:cs="Times New Roman"/>
          <w:sz w:val="24"/>
          <w:szCs w:val="24"/>
        </w:rPr>
        <w:t>perbankan</w:t>
      </w:r>
      <w:r>
        <w:rPr>
          <w:rFonts w:ascii="Times New Roman" w:hAnsi="Times New Roman" w:cs="Times New Roman"/>
          <w:sz w:val="24"/>
          <w:szCs w:val="24"/>
        </w:rPr>
        <w:t xml:space="preserve"> </w:t>
      </w:r>
      <w:r>
        <w:rPr>
          <w:rFonts w:ascii="Times New Roman" w:hAnsi="Times New Roman" w:cs="Times New Roman"/>
          <w:sz w:val="24"/>
          <w:szCs w:val="24"/>
        </w:rPr>
        <w:t>menrapkan</w:t>
      </w:r>
      <w:r>
        <w:rPr>
          <w:rFonts w:ascii="Times New Roman" w:hAnsi="Times New Roman" w:cs="Times New Roman"/>
          <w:sz w:val="24"/>
          <w:szCs w:val="24"/>
        </w:rPr>
        <w:t xml:space="preserve"> </w:t>
      </w:r>
      <w:r>
        <w:rPr>
          <w:rFonts w:ascii="Times New Roman" w:hAnsi="Times New Roman" w:cs="Times New Roman"/>
          <w:sz w:val="24"/>
          <w:szCs w:val="24"/>
        </w:rPr>
        <w:t>peraturan</w:t>
      </w:r>
      <w:r>
        <w:rPr>
          <w:rFonts w:ascii="Times New Roman" w:hAnsi="Times New Roman" w:cs="Times New Roman"/>
          <w:sz w:val="24"/>
          <w:szCs w:val="24"/>
        </w:rPr>
        <w:t xml:space="preserve"> yang </w:t>
      </w:r>
      <w:r>
        <w:rPr>
          <w:rFonts w:ascii="Times New Roman" w:hAnsi="Times New Roman" w:cs="Times New Roman"/>
          <w:sz w:val="24"/>
          <w:szCs w:val="24"/>
        </w:rPr>
        <w:t>telah</w:t>
      </w:r>
      <w:r>
        <w:rPr>
          <w:rFonts w:ascii="Times New Roman" w:hAnsi="Times New Roman" w:cs="Times New Roman"/>
          <w:sz w:val="24"/>
          <w:szCs w:val="24"/>
        </w:rPr>
        <w:t xml:space="preserve"> </w:t>
      </w:r>
      <w:r>
        <w:rPr>
          <w:rFonts w:ascii="Times New Roman" w:hAnsi="Times New Roman" w:cs="Times New Roman"/>
          <w:sz w:val="24"/>
          <w:szCs w:val="24"/>
        </w:rPr>
        <w:t>berlaku</w:t>
      </w:r>
      <w:r>
        <w:rPr>
          <w:rFonts w:ascii="Times New Roman" w:hAnsi="Times New Roman" w:cs="Times New Roman"/>
          <w:sz w:val="24"/>
          <w:szCs w:val="24"/>
        </w:rPr>
        <w:t xml:space="preserve"> di negara Indonesia.</w:t>
      </w:r>
    </w:p>
    <w:p w:rsidR="00992E4B" w:rsidP="0021565E" w14:paraId="5559E0DA" w14:textId="4655212C">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rPr>
        <w:t>peneliti</w:t>
      </w:r>
      <w:r>
        <w:rPr>
          <w:rFonts w:ascii="Times New Roman" w:hAnsi="Times New Roman" w:cs="Times New Roman"/>
          <w:sz w:val="24"/>
          <w:szCs w:val="24"/>
        </w:rPr>
        <w:t xml:space="preserve"> </w:t>
      </w:r>
      <w:r>
        <w:rPr>
          <w:rFonts w:ascii="Times New Roman" w:hAnsi="Times New Roman" w:cs="Times New Roman"/>
          <w:sz w:val="24"/>
          <w:szCs w:val="24"/>
        </w:rPr>
        <w:t>selanjutnya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menggunakan</w:t>
      </w:r>
      <w:r>
        <w:rPr>
          <w:rFonts w:ascii="Times New Roman" w:hAnsi="Times New Roman" w:cs="Times New Roman"/>
          <w:sz w:val="24"/>
          <w:szCs w:val="24"/>
        </w:rPr>
        <w:t xml:space="preserve"> </w:t>
      </w:r>
      <w:r>
        <w:rPr>
          <w:rFonts w:ascii="Times New Roman" w:hAnsi="Times New Roman" w:cs="Times New Roman"/>
          <w:sz w:val="24"/>
          <w:szCs w:val="24"/>
        </w:rPr>
        <w:t>indikator</w:t>
      </w:r>
      <w:r>
        <w:rPr>
          <w:rFonts w:ascii="Times New Roman" w:hAnsi="Times New Roman" w:cs="Times New Roman"/>
          <w:sz w:val="24"/>
          <w:szCs w:val="24"/>
        </w:rPr>
        <w:t xml:space="preserve"> yang </w:t>
      </w:r>
      <w:r>
        <w:rPr>
          <w:rFonts w:ascii="Times New Roman" w:hAnsi="Times New Roman" w:cs="Times New Roman"/>
          <w:sz w:val="24"/>
          <w:szCs w:val="24"/>
        </w:rPr>
        <w:t>berbeda</w:t>
      </w:r>
      <w:r>
        <w:rPr>
          <w:rFonts w:ascii="Times New Roman" w:hAnsi="Times New Roman" w:cs="Times New Roman"/>
          <w:sz w:val="24"/>
          <w:szCs w:val="24"/>
        </w:rPr>
        <w:t xml:space="preserve">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mengukur</w:t>
      </w:r>
      <w:r>
        <w:rPr>
          <w:rFonts w:ascii="Times New Roman" w:hAnsi="Times New Roman" w:cs="Times New Roman"/>
          <w:sz w:val="24"/>
          <w:szCs w:val="24"/>
        </w:rPr>
        <w:t xml:space="preserve"> </w:t>
      </w:r>
      <w:r>
        <w:rPr>
          <w:rFonts w:ascii="Times New Roman" w:hAnsi="Times New Roman" w:cs="Times New Roman"/>
          <w:sz w:val="24"/>
          <w:szCs w:val="24"/>
        </w:rPr>
        <w:t>pengungkapan</w:t>
      </w:r>
      <w:r>
        <w:rPr>
          <w:rFonts w:ascii="Times New Roman" w:hAnsi="Times New Roman" w:cs="Times New Roman"/>
          <w:sz w:val="24"/>
          <w:szCs w:val="24"/>
        </w:rPr>
        <w:t xml:space="preserve"> </w:t>
      </w:r>
      <w:r w:rsidRPr="0021565E">
        <w:rPr>
          <w:rFonts w:ascii="Times New Roman" w:hAnsi="Times New Roman" w:cs="Times New Roman"/>
          <w:i/>
          <w:iCs/>
          <w:sz w:val="24"/>
          <w:szCs w:val="24"/>
        </w:rPr>
        <w:t>corporate social responsibility</w:t>
      </w:r>
      <w:r>
        <w:rPr>
          <w:rFonts w:ascii="Times New Roman" w:hAnsi="Times New Roman" w:cs="Times New Roman"/>
          <w:sz w:val="24"/>
          <w:szCs w:val="24"/>
        </w:rPr>
        <w:t xml:space="preserve"> dan </w:t>
      </w:r>
      <w:r>
        <w:rPr>
          <w:rFonts w:ascii="Times New Roman" w:hAnsi="Times New Roman" w:cs="Times New Roman"/>
          <w:sz w:val="24"/>
          <w:szCs w:val="24"/>
        </w:rPr>
        <w:t>penerapan</w:t>
      </w:r>
      <w:r>
        <w:rPr>
          <w:rFonts w:ascii="Times New Roman" w:hAnsi="Times New Roman" w:cs="Times New Roman"/>
          <w:sz w:val="24"/>
          <w:szCs w:val="24"/>
        </w:rPr>
        <w:t xml:space="preserve"> </w:t>
      </w:r>
      <w:r>
        <w:rPr>
          <w:rFonts w:ascii="Times New Roman" w:hAnsi="Times New Roman" w:cs="Times New Roman"/>
          <w:sz w:val="24"/>
          <w:szCs w:val="24"/>
        </w:rPr>
        <w:t>praktik</w:t>
      </w:r>
      <w:r>
        <w:rPr>
          <w:rFonts w:ascii="Times New Roman" w:hAnsi="Times New Roman" w:cs="Times New Roman"/>
          <w:sz w:val="24"/>
          <w:szCs w:val="24"/>
        </w:rPr>
        <w:t xml:space="preserve"> </w:t>
      </w:r>
      <w:r w:rsidRPr="00276BFD">
        <w:rPr>
          <w:rFonts w:ascii="Times New Roman" w:hAnsi="Times New Roman" w:cs="Times New Roman"/>
          <w:i/>
          <w:iCs/>
          <w:sz w:val="24"/>
          <w:szCs w:val="24"/>
        </w:rPr>
        <w:t>green banking</w:t>
      </w:r>
      <w:r>
        <w:rPr>
          <w:rFonts w:ascii="Times New Roman" w:hAnsi="Times New Roman" w:cs="Times New Roman"/>
          <w:sz w:val="24"/>
          <w:szCs w:val="24"/>
        </w:rPr>
        <w:t xml:space="preserve"> pada </w:t>
      </w:r>
      <w:r>
        <w:rPr>
          <w:rFonts w:ascii="Times New Roman" w:hAnsi="Times New Roman" w:cs="Times New Roman"/>
          <w:sz w:val="24"/>
          <w:szCs w:val="24"/>
        </w:rPr>
        <w:t>perbankan</w:t>
      </w:r>
      <w:r>
        <w:rPr>
          <w:rFonts w:ascii="Times New Roman" w:hAnsi="Times New Roman" w:cs="Times New Roman"/>
          <w:sz w:val="24"/>
          <w:szCs w:val="24"/>
        </w:rPr>
        <w:t>.</w:t>
      </w:r>
      <w:r>
        <w:rPr>
          <w:rFonts w:ascii="Times New Roman" w:hAnsi="Times New Roman" w:cs="Times New Roman"/>
          <w:sz w:val="24"/>
          <w:szCs w:val="24"/>
        </w:rPr>
        <w:t xml:space="preserve"> Karena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tersebut</w:t>
      </w:r>
      <w:r>
        <w:rPr>
          <w:rFonts w:ascii="Times New Roman" w:hAnsi="Times New Roman" w:cs="Times New Roman"/>
          <w:sz w:val="24"/>
          <w:szCs w:val="24"/>
        </w:rPr>
        <w:t xml:space="preserve"> </w:t>
      </w:r>
      <w:r>
        <w:rPr>
          <w:rFonts w:ascii="Times New Roman" w:hAnsi="Times New Roman" w:cs="Times New Roman"/>
          <w:sz w:val="24"/>
          <w:szCs w:val="24"/>
        </w:rPr>
        <w:t>masih</w:t>
      </w:r>
      <w:r>
        <w:rPr>
          <w:rFonts w:ascii="Times New Roman" w:hAnsi="Times New Roman" w:cs="Times New Roman"/>
          <w:sz w:val="24"/>
          <w:szCs w:val="24"/>
        </w:rPr>
        <w:t xml:space="preserve"> </w:t>
      </w:r>
      <w:r>
        <w:rPr>
          <w:rFonts w:ascii="Times New Roman" w:hAnsi="Times New Roman" w:cs="Times New Roman"/>
          <w:sz w:val="24"/>
          <w:szCs w:val="24"/>
        </w:rPr>
        <w:t>tergolong</w:t>
      </w:r>
      <w:r>
        <w:rPr>
          <w:rFonts w:ascii="Times New Roman" w:hAnsi="Times New Roman" w:cs="Times New Roman"/>
          <w:sz w:val="24"/>
          <w:szCs w:val="24"/>
        </w:rPr>
        <w:t xml:space="preserve"> </w:t>
      </w:r>
      <w:r>
        <w:rPr>
          <w:rFonts w:ascii="Times New Roman" w:hAnsi="Times New Roman" w:cs="Times New Roman"/>
          <w:sz w:val="24"/>
          <w:szCs w:val="24"/>
        </w:rPr>
        <w:t>konsep</w:t>
      </w:r>
      <w:r>
        <w:rPr>
          <w:rFonts w:ascii="Times New Roman" w:hAnsi="Times New Roman" w:cs="Times New Roman"/>
          <w:sz w:val="24"/>
          <w:szCs w:val="24"/>
        </w:rPr>
        <w:t xml:space="preserve"> </w:t>
      </w:r>
      <w:r>
        <w:rPr>
          <w:rFonts w:ascii="Times New Roman" w:hAnsi="Times New Roman" w:cs="Times New Roman"/>
          <w:sz w:val="24"/>
          <w:szCs w:val="24"/>
        </w:rPr>
        <w:t>baru</w:t>
      </w:r>
      <w:r>
        <w:rPr>
          <w:rFonts w:ascii="Times New Roman" w:hAnsi="Times New Roman" w:cs="Times New Roman"/>
          <w:sz w:val="24"/>
          <w:szCs w:val="24"/>
        </w:rPr>
        <w:t xml:space="preserve"> yang </w:t>
      </w:r>
      <w:r>
        <w:rPr>
          <w:rFonts w:ascii="Times New Roman" w:hAnsi="Times New Roman" w:cs="Times New Roman"/>
          <w:sz w:val="24"/>
          <w:szCs w:val="24"/>
        </w:rPr>
        <w:t>indikatornya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berbeda</w:t>
      </w:r>
      <w:r>
        <w:rPr>
          <w:rFonts w:ascii="Times New Roman" w:hAnsi="Times New Roman" w:cs="Times New Roman"/>
          <w:sz w:val="24"/>
          <w:szCs w:val="24"/>
        </w:rPr>
        <w:t xml:space="preserve"> </w:t>
      </w:r>
      <w:r>
        <w:rPr>
          <w:rFonts w:ascii="Times New Roman" w:hAnsi="Times New Roman" w:cs="Times New Roman"/>
          <w:sz w:val="24"/>
          <w:szCs w:val="24"/>
        </w:rPr>
        <w:t>mengikuti</w:t>
      </w:r>
      <w:r>
        <w:rPr>
          <w:rFonts w:ascii="Times New Roman" w:hAnsi="Times New Roman" w:cs="Times New Roman"/>
          <w:sz w:val="24"/>
          <w:szCs w:val="24"/>
        </w:rPr>
        <w:t xml:space="preserve"> </w:t>
      </w:r>
      <w:r>
        <w:rPr>
          <w:rFonts w:ascii="Times New Roman" w:hAnsi="Times New Roman" w:cs="Times New Roman"/>
          <w:sz w:val="24"/>
          <w:szCs w:val="24"/>
        </w:rPr>
        <w:t>isu</w:t>
      </w:r>
      <w:r>
        <w:rPr>
          <w:rFonts w:ascii="Times New Roman" w:hAnsi="Times New Roman" w:cs="Times New Roman"/>
          <w:sz w:val="24"/>
          <w:szCs w:val="24"/>
        </w:rPr>
        <w:t xml:space="preserve"> </w:t>
      </w:r>
      <w:r>
        <w:rPr>
          <w:rFonts w:ascii="Times New Roman" w:hAnsi="Times New Roman" w:cs="Times New Roman"/>
          <w:sz w:val="24"/>
          <w:szCs w:val="24"/>
        </w:rPr>
        <w:t>lingkungan</w:t>
      </w:r>
      <w:r>
        <w:rPr>
          <w:rFonts w:ascii="Times New Roman" w:hAnsi="Times New Roman" w:cs="Times New Roman"/>
          <w:sz w:val="24"/>
          <w:szCs w:val="24"/>
        </w:rPr>
        <w:t xml:space="preserve"> yang </w:t>
      </w:r>
      <w:r>
        <w:rPr>
          <w:rFonts w:ascii="Times New Roman" w:hAnsi="Times New Roman" w:cs="Times New Roman"/>
          <w:sz w:val="24"/>
          <w:szCs w:val="24"/>
        </w:rPr>
        <w:t>terjadi</w:t>
      </w:r>
      <w:r>
        <w:rPr>
          <w:rFonts w:ascii="Times New Roman" w:hAnsi="Times New Roman" w:cs="Times New Roman"/>
          <w:sz w:val="24"/>
          <w:szCs w:val="24"/>
        </w:rPr>
        <w:t>.</w:t>
      </w:r>
    </w:p>
    <w:p w:rsidR="0021565E" w:rsidP="0021565E" w14:paraId="748B551D" w14:textId="333EAA69">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rPr>
        <w:t>peneliti</w:t>
      </w:r>
      <w:r>
        <w:rPr>
          <w:rFonts w:ascii="Times New Roman" w:hAnsi="Times New Roman" w:cs="Times New Roman"/>
          <w:sz w:val="24"/>
          <w:szCs w:val="24"/>
        </w:rPr>
        <w:t xml:space="preserve"> </w:t>
      </w:r>
      <w:r>
        <w:rPr>
          <w:rFonts w:ascii="Times New Roman" w:hAnsi="Times New Roman" w:cs="Times New Roman"/>
          <w:sz w:val="24"/>
          <w:szCs w:val="24"/>
        </w:rPr>
        <w:t>selanjutnya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juga </w:t>
      </w:r>
      <w:r>
        <w:rPr>
          <w:rFonts w:ascii="Times New Roman" w:hAnsi="Times New Roman" w:cs="Times New Roman"/>
          <w:sz w:val="24"/>
          <w:szCs w:val="24"/>
        </w:rPr>
        <w:t>menambahkan</w:t>
      </w:r>
      <w:r>
        <w:rPr>
          <w:rFonts w:ascii="Times New Roman" w:hAnsi="Times New Roman" w:cs="Times New Roman"/>
          <w:sz w:val="24"/>
          <w:szCs w:val="24"/>
        </w:rPr>
        <w:t xml:space="preserve"> </w:t>
      </w:r>
      <w:r>
        <w:rPr>
          <w:rFonts w:ascii="Times New Roman" w:hAnsi="Times New Roman" w:cs="Times New Roman"/>
          <w:sz w:val="24"/>
          <w:szCs w:val="24"/>
        </w:rPr>
        <w:t>variabel</w:t>
      </w:r>
      <w:r>
        <w:rPr>
          <w:rFonts w:ascii="Times New Roman" w:hAnsi="Times New Roman" w:cs="Times New Roman"/>
          <w:sz w:val="24"/>
          <w:szCs w:val="24"/>
        </w:rPr>
        <w:t xml:space="preserve"> lain </w:t>
      </w:r>
      <w:r w:rsidR="006D5CFD">
        <w:rPr>
          <w:rFonts w:ascii="Times New Roman" w:hAnsi="Times New Roman" w:cs="Times New Roman"/>
          <w:sz w:val="24"/>
          <w:szCs w:val="24"/>
        </w:rPr>
        <w:t>seperti</w:t>
      </w:r>
      <w:r w:rsidR="006D5CFD">
        <w:rPr>
          <w:rFonts w:ascii="Times New Roman" w:hAnsi="Times New Roman" w:cs="Times New Roman"/>
          <w:sz w:val="24"/>
          <w:szCs w:val="24"/>
        </w:rPr>
        <w:t xml:space="preserve"> </w:t>
      </w:r>
      <w:r w:rsidRPr="006D5CFD" w:rsidR="006D5CFD">
        <w:rPr>
          <w:rFonts w:ascii="Times New Roman" w:hAnsi="Times New Roman" w:cs="Times New Roman"/>
          <w:i/>
          <w:iCs/>
          <w:sz w:val="24"/>
          <w:szCs w:val="24"/>
        </w:rPr>
        <w:t>good corporate governance</w:t>
      </w:r>
      <w:r w:rsidR="006D5CFD">
        <w:rPr>
          <w:rFonts w:ascii="Times New Roman" w:hAnsi="Times New Roman" w:cs="Times New Roman"/>
          <w:sz w:val="24"/>
          <w:szCs w:val="24"/>
        </w:rPr>
        <w:t xml:space="preserve">, </w:t>
      </w:r>
      <w:r w:rsidRPr="006D5CFD" w:rsidR="006D5CFD">
        <w:rPr>
          <w:rFonts w:ascii="Times New Roman" w:hAnsi="Times New Roman" w:cs="Times New Roman"/>
          <w:i/>
          <w:iCs/>
          <w:sz w:val="24"/>
          <w:szCs w:val="24"/>
        </w:rPr>
        <w:t>firm size</w:t>
      </w:r>
      <w:r w:rsidR="006D5CFD">
        <w:rPr>
          <w:rFonts w:ascii="Times New Roman" w:hAnsi="Times New Roman" w:cs="Times New Roman"/>
          <w:sz w:val="24"/>
          <w:szCs w:val="24"/>
        </w:rPr>
        <w:t xml:space="preserve">, dan </w:t>
      </w:r>
      <w:r w:rsidR="006D5CFD">
        <w:rPr>
          <w:rFonts w:ascii="Times New Roman" w:hAnsi="Times New Roman" w:cs="Times New Roman"/>
          <w:sz w:val="24"/>
          <w:szCs w:val="24"/>
        </w:rPr>
        <w:t>nilai</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perusahaan</w:t>
      </w:r>
      <w:r w:rsidR="006D5CFD">
        <w:rPr>
          <w:rFonts w:ascii="Times New Roman" w:hAnsi="Times New Roman" w:cs="Times New Roman"/>
          <w:sz w:val="24"/>
          <w:szCs w:val="24"/>
        </w:rPr>
        <w:t xml:space="preserve"> </w:t>
      </w:r>
      <w:r>
        <w:rPr>
          <w:rFonts w:ascii="Times New Roman" w:hAnsi="Times New Roman" w:cs="Times New Roman"/>
          <w:sz w:val="24"/>
          <w:szCs w:val="24"/>
        </w:rPr>
        <w:t xml:space="preserve">yang </w:t>
      </w:r>
      <w:r>
        <w:rPr>
          <w:rFonts w:ascii="Times New Roman" w:hAnsi="Times New Roman" w:cs="Times New Roman"/>
          <w:sz w:val="24"/>
          <w:szCs w:val="24"/>
        </w:rPr>
        <w:t>dapat</w:t>
      </w:r>
      <w:r>
        <w:rPr>
          <w:rFonts w:ascii="Times New Roman" w:hAnsi="Times New Roman" w:cs="Times New Roman"/>
          <w:sz w:val="24"/>
          <w:szCs w:val="24"/>
        </w:rPr>
        <w:t xml:space="preserve"> </w:t>
      </w:r>
      <w:r>
        <w:rPr>
          <w:rFonts w:ascii="Times New Roman" w:hAnsi="Times New Roman" w:cs="Times New Roman"/>
          <w:sz w:val="24"/>
          <w:szCs w:val="24"/>
        </w:rPr>
        <w:t>memberikan</w:t>
      </w:r>
      <w:r>
        <w:rPr>
          <w:rFonts w:ascii="Times New Roman" w:hAnsi="Times New Roman" w:cs="Times New Roman"/>
          <w:sz w:val="24"/>
          <w:szCs w:val="24"/>
        </w:rPr>
        <w:t xml:space="preserve"> </w:t>
      </w:r>
      <w:r>
        <w:rPr>
          <w:rFonts w:ascii="Times New Roman" w:hAnsi="Times New Roman" w:cs="Times New Roman"/>
          <w:sz w:val="24"/>
          <w:szCs w:val="24"/>
        </w:rPr>
        <w:t>nilai</w:t>
      </w:r>
      <w:r>
        <w:rPr>
          <w:rFonts w:ascii="Times New Roman" w:hAnsi="Times New Roman" w:cs="Times New Roman"/>
          <w:sz w:val="24"/>
          <w:szCs w:val="24"/>
        </w:rPr>
        <w:t xml:space="preserve"> </w:t>
      </w:r>
      <w:r>
        <w:rPr>
          <w:rFonts w:ascii="Times New Roman" w:hAnsi="Times New Roman" w:cs="Times New Roman"/>
          <w:sz w:val="24"/>
          <w:szCs w:val="24"/>
        </w:rPr>
        <w:t>pengaruh</w:t>
      </w:r>
      <w:r>
        <w:rPr>
          <w:rFonts w:ascii="Times New Roman" w:hAnsi="Times New Roman" w:cs="Times New Roman"/>
          <w:sz w:val="24"/>
          <w:szCs w:val="24"/>
        </w:rPr>
        <w:t xml:space="preserve"> </w:t>
      </w:r>
      <w:r>
        <w:rPr>
          <w:rFonts w:ascii="Times New Roman" w:hAnsi="Times New Roman" w:cs="Times New Roman"/>
          <w:sz w:val="24"/>
          <w:szCs w:val="24"/>
        </w:rPr>
        <w:t>terhadap</w:t>
      </w:r>
      <w:r>
        <w:rPr>
          <w:rFonts w:ascii="Times New Roman" w:hAnsi="Times New Roman" w:cs="Times New Roman"/>
          <w:sz w:val="24"/>
          <w:szCs w:val="24"/>
        </w:rPr>
        <w:t xml:space="preserve"> </w:t>
      </w:r>
      <w:r>
        <w:rPr>
          <w:rFonts w:ascii="Times New Roman" w:hAnsi="Times New Roman" w:cs="Times New Roman"/>
          <w:sz w:val="24"/>
          <w:szCs w:val="24"/>
        </w:rPr>
        <w:t>kinerja</w:t>
      </w:r>
      <w:r>
        <w:rPr>
          <w:rFonts w:ascii="Times New Roman" w:hAnsi="Times New Roman" w:cs="Times New Roman"/>
          <w:sz w:val="24"/>
          <w:szCs w:val="24"/>
        </w:rPr>
        <w:t xml:space="preserve"> </w:t>
      </w:r>
      <w:r>
        <w:rPr>
          <w:rFonts w:ascii="Times New Roman" w:hAnsi="Times New Roman" w:cs="Times New Roman"/>
          <w:sz w:val="24"/>
          <w:szCs w:val="24"/>
        </w:rPr>
        <w:t>keuangan</w:t>
      </w:r>
      <w:r>
        <w:rPr>
          <w:rFonts w:ascii="Times New Roman" w:hAnsi="Times New Roman" w:cs="Times New Roman"/>
          <w:sz w:val="24"/>
          <w:szCs w:val="24"/>
        </w:rPr>
        <w:t xml:space="preserve"> </w:t>
      </w:r>
      <w:r>
        <w:rPr>
          <w:rFonts w:ascii="Times New Roman" w:hAnsi="Times New Roman" w:cs="Times New Roman"/>
          <w:sz w:val="24"/>
          <w:szCs w:val="24"/>
        </w:rPr>
        <w:t>perusahaan</w:t>
      </w:r>
      <w:r>
        <w:rPr>
          <w:rFonts w:ascii="Times New Roman" w:hAnsi="Times New Roman" w:cs="Times New Roman"/>
          <w:sz w:val="24"/>
          <w:szCs w:val="24"/>
        </w:rPr>
        <w:t xml:space="preserve"> </w:t>
      </w:r>
      <w:r>
        <w:rPr>
          <w:rFonts w:ascii="Times New Roman" w:hAnsi="Times New Roman" w:cs="Times New Roman"/>
          <w:sz w:val="24"/>
          <w:szCs w:val="24"/>
        </w:rPr>
        <w:t>perbankan</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karena</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variabel</w:t>
      </w:r>
      <w:r w:rsidR="0073703A">
        <w:rPr>
          <w:rFonts w:ascii="Times New Roman" w:hAnsi="Times New Roman" w:cs="Times New Roman"/>
          <w:sz w:val="24"/>
          <w:szCs w:val="24"/>
        </w:rPr>
        <w:t xml:space="preserve"> </w:t>
      </w:r>
      <w:r w:rsidRPr="0073703A" w:rsidR="0073703A">
        <w:rPr>
          <w:rFonts w:ascii="Times New Roman" w:hAnsi="Times New Roman" w:cs="Times New Roman"/>
          <w:i/>
          <w:iCs/>
          <w:sz w:val="24"/>
          <w:szCs w:val="24"/>
        </w:rPr>
        <w:t>corporate social responsibility</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tidak</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mempengaruhi</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kinerja</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keuangan</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secara</w:t>
      </w:r>
      <w:r w:rsidR="0073703A">
        <w:rPr>
          <w:rFonts w:ascii="Times New Roman" w:hAnsi="Times New Roman" w:cs="Times New Roman"/>
          <w:sz w:val="24"/>
          <w:szCs w:val="24"/>
        </w:rPr>
        <w:t xml:space="preserve"> </w:t>
      </w:r>
      <w:r w:rsidR="0073703A">
        <w:rPr>
          <w:rFonts w:ascii="Times New Roman" w:hAnsi="Times New Roman" w:cs="Times New Roman"/>
          <w:sz w:val="24"/>
          <w:szCs w:val="24"/>
        </w:rPr>
        <w:t>penuh</w:t>
      </w:r>
      <w:r w:rsidR="0073703A">
        <w:rPr>
          <w:rFonts w:ascii="Times New Roman" w:hAnsi="Times New Roman" w:cs="Times New Roman"/>
          <w:sz w:val="24"/>
          <w:szCs w:val="24"/>
        </w:rPr>
        <w:t>.</w:t>
      </w:r>
    </w:p>
    <w:p w:rsidR="0073703A" w:rsidP="0021565E" w14:paraId="75622801" w14:textId="4DDF2D79">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penelitian</w:t>
      </w:r>
      <w:r>
        <w:rPr>
          <w:rFonts w:ascii="Times New Roman" w:hAnsi="Times New Roman" w:cs="Times New Roman"/>
          <w:sz w:val="24"/>
          <w:szCs w:val="24"/>
        </w:rPr>
        <w:t xml:space="preserve"> </w:t>
      </w:r>
      <w:r>
        <w:rPr>
          <w:rFonts w:ascii="Times New Roman" w:hAnsi="Times New Roman" w:cs="Times New Roman"/>
          <w:sz w:val="24"/>
          <w:szCs w:val="24"/>
        </w:rPr>
        <w:t>berikutnya</w:t>
      </w:r>
      <w:r>
        <w:rPr>
          <w:rFonts w:ascii="Times New Roman" w:hAnsi="Times New Roman" w:cs="Times New Roman"/>
          <w:sz w:val="24"/>
          <w:szCs w:val="24"/>
        </w:rPr>
        <w:t xml:space="preserve"> </w:t>
      </w:r>
      <w:r>
        <w:rPr>
          <w:rFonts w:ascii="Times New Roman" w:hAnsi="Times New Roman" w:cs="Times New Roman"/>
          <w:sz w:val="24"/>
          <w:szCs w:val="24"/>
        </w:rPr>
        <w:t>dapat</w:t>
      </w:r>
      <w:r>
        <w:rPr>
          <w:rFonts w:ascii="Times New Roman" w:hAnsi="Times New Roman" w:cs="Times New Roman"/>
          <w:sz w:val="24"/>
          <w:szCs w:val="24"/>
        </w:rPr>
        <w:t xml:space="preserve"> juga </w:t>
      </w:r>
      <w:r>
        <w:rPr>
          <w:rFonts w:ascii="Times New Roman" w:hAnsi="Times New Roman" w:cs="Times New Roman"/>
          <w:sz w:val="24"/>
          <w:szCs w:val="24"/>
        </w:rPr>
        <w:t>untuk</w:t>
      </w:r>
      <w:r>
        <w:rPr>
          <w:rFonts w:ascii="Times New Roman" w:hAnsi="Times New Roman" w:cs="Times New Roman"/>
          <w:sz w:val="24"/>
          <w:szCs w:val="24"/>
        </w:rPr>
        <w:t xml:space="preserve"> </w:t>
      </w:r>
      <w:r>
        <w:rPr>
          <w:rFonts w:ascii="Times New Roman" w:hAnsi="Times New Roman" w:cs="Times New Roman"/>
          <w:sz w:val="24"/>
          <w:szCs w:val="24"/>
        </w:rPr>
        <w:t>men</w:t>
      </w:r>
      <w:r w:rsidR="006D5CFD">
        <w:rPr>
          <w:rFonts w:ascii="Times New Roman" w:hAnsi="Times New Roman" w:cs="Times New Roman"/>
          <w:sz w:val="24"/>
          <w:szCs w:val="24"/>
        </w:rPr>
        <w:t>ingkatkan</w:t>
      </w:r>
      <w:r>
        <w:rPr>
          <w:rFonts w:ascii="Times New Roman" w:hAnsi="Times New Roman" w:cs="Times New Roman"/>
          <w:sz w:val="24"/>
          <w:szCs w:val="24"/>
        </w:rPr>
        <w:t xml:space="preserve"> </w:t>
      </w:r>
      <w:r>
        <w:rPr>
          <w:rFonts w:ascii="Times New Roman" w:hAnsi="Times New Roman" w:cs="Times New Roman"/>
          <w:sz w:val="24"/>
          <w:szCs w:val="24"/>
        </w:rPr>
        <w:t>jumlah</w:t>
      </w:r>
      <w:r>
        <w:rPr>
          <w:rFonts w:ascii="Times New Roman" w:hAnsi="Times New Roman" w:cs="Times New Roman"/>
          <w:sz w:val="24"/>
          <w:szCs w:val="24"/>
        </w:rPr>
        <w:t xml:space="preserve"> </w:t>
      </w:r>
      <w:r>
        <w:rPr>
          <w:rFonts w:ascii="Times New Roman" w:hAnsi="Times New Roman" w:cs="Times New Roman"/>
          <w:sz w:val="24"/>
          <w:szCs w:val="24"/>
        </w:rPr>
        <w:t>sampel</w:t>
      </w:r>
      <w:r>
        <w:rPr>
          <w:rFonts w:ascii="Times New Roman" w:hAnsi="Times New Roman" w:cs="Times New Roman"/>
          <w:sz w:val="24"/>
          <w:szCs w:val="24"/>
        </w:rPr>
        <w:t xml:space="preserve"> </w:t>
      </w:r>
      <w:r w:rsidR="006D5CFD">
        <w:rPr>
          <w:rFonts w:ascii="Times New Roman" w:hAnsi="Times New Roman" w:cs="Times New Roman"/>
          <w:sz w:val="24"/>
          <w:szCs w:val="24"/>
        </w:rPr>
        <w:t>dalam</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penelitian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atau</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menggunakan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sampel</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jenuh</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unutk</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mendapatkan</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hasil</w:t>
      </w:r>
      <w:r w:rsidR="006D5CFD">
        <w:rPr>
          <w:rFonts w:ascii="Times New Roman" w:hAnsi="Times New Roman" w:cs="Times New Roman"/>
          <w:sz w:val="24"/>
          <w:szCs w:val="24"/>
        </w:rPr>
        <w:t xml:space="preserve"> yang </w:t>
      </w:r>
      <w:r w:rsidR="006D5CFD">
        <w:rPr>
          <w:rFonts w:ascii="Times New Roman" w:hAnsi="Times New Roman" w:cs="Times New Roman"/>
          <w:sz w:val="24"/>
          <w:szCs w:val="24"/>
        </w:rPr>
        <w:t>lebih</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menyeluruh</w:t>
      </w:r>
      <w:r w:rsidR="006D5CFD">
        <w:rPr>
          <w:rFonts w:ascii="Times New Roman" w:hAnsi="Times New Roman" w:cs="Times New Roman"/>
          <w:sz w:val="24"/>
          <w:szCs w:val="24"/>
        </w:rPr>
        <w:t>.</w:t>
      </w:r>
    </w:p>
    <w:p w:rsidR="0021565E" w:rsidRPr="00D84C87" w:rsidP="0021565E" w14:paraId="29834987" w14:textId="5F842062">
      <w:pPr>
        <w:pStyle w:val="ListParagraph"/>
        <w:numPr>
          <w:ilvl w:val="0"/>
          <w:numId w:val="6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rPr>
        <w:t>peneliti</w:t>
      </w:r>
      <w:r>
        <w:rPr>
          <w:rFonts w:ascii="Times New Roman" w:hAnsi="Times New Roman" w:cs="Times New Roman"/>
          <w:sz w:val="24"/>
          <w:szCs w:val="24"/>
        </w:rPr>
        <w:t xml:space="preserve"> </w:t>
      </w:r>
      <w:r>
        <w:rPr>
          <w:rFonts w:ascii="Times New Roman" w:hAnsi="Times New Roman" w:cs="Times New Roman"/>
          <w:sz w:val="24"/>
          <w:szCs w:val="24"/>
        </w:rPr>
        <w:t>selanjutnya</w:t>
      </w:r>
      <w:r>
        <w:rPr>
          <w:rFonts w:ascii="Times New Roman" w:hAnsi="Times New Roman" w:cs="Times New Roman"/>
          <w:sz w:val="24"/>
          <w:szCs w:val="24"/>
        </w:rPr>
        <w:t xml:space="preserve"> </w:t>
      </w:r>
      <w:r w:rsidR="00DF6DE7">
        <w:rPr>
          <w:rFonts w:ascii="Times New Roman" w:hAnsi="Times New Roman" w:cs="Times New Roman"/>
          <w:sz w:val="24"/>
          <w:szCs w:val="24"/>
        </w:rPr>
        <w:t>dapat</w:t>
      </w:r>
      <w:r w:rsidR="00DF6DE7">
        <w:rPr>
          <w:rFonts w:ascii="Times New Roman" w:hAnsi="Times New Roman" w:cs="Times New Roman"/>
          <w:sz w:val="24"/>
          <w:szCs w:val="24"/>
        </w:rPr>
        <w:t xml:space="preserve"> juga </w:t>
      </w:r>
      <w:r w:rsidR="00117885">
        <w:rPr>
          <w:rFonts w:ascii="Times New Roman" w:hAnsi="Times New Roman" w:cs="Times New Roman"/>
          <w:sz w:val="24"/>
          <w:szCs w:val="24"/>
        </w:rPr>
        <w:t>mengganti</w:t>
      </w:r>
      <w:r w:rsidR="00117885">
        <w:rPr>
          <w:rFonts w:ascii="Times New Roman" w:hAnsi="Times New Roman" w:cs="Times New Roman"/>
          <w:sz w:val="24"/>
          <w:szCs w:val="24"/>
        </w:rPr>
        <w:t xml:space="preserve"> </w:t>
      </w:r>
      <w:r w:rsidR="00117885">
        <w:rPr>
          <w:rFonts w:ascii="Times New Roman" w:hAnsi="Times New Roman" w:cs="Times New Roman"/>
          <w:sz w:val="24"/>
          <w:szCs w:val="24"/>
        </w:rPr>
        <w:t>sam</w:t>
      </w:r>
      <w:r w:rsidR="00276BFD">
        <w:rPr>
          <w:rFonts w:ascii="Times New Roman" w:hAnsi="Times New Roman" w:cs="Times New Roman"/>
          <w:sz w:val="24"/>
          <w:szCs w:val="24"/>
        </w:rPr>
        <w:t>pel</w:t>
      </w:r>
      <w:r w:rsidR="00117885">
        <w:rPr>
          <w:rFonts w:ascii="Times New Roman" w:hAnsi="Times New Roman" w:cs="Times New Roman"/>
          <w:sz w:val="24"/>
          <w:szCs w:val="24"/>
        </w:rPr>
        <w:t xml:space="preserve"> pada </w:t>
      </w:r>
      <w:r w:rsidR="00117885">
        <w:rPr>
          <w:rFonts w:ascii="Times New Roman" w:hAnsi="Times New Roman" w:cs="Times New Roman"/>
          <w:sz w:val="24"/>
          <w:szCs w:val="24"/>
        </w:rPr>
        <w:t>perusahaan</w:t>
      </w:r>
      <w:r w:rsidR="00117885">
        <w:rPr>
          <w:rFonts w:ascii="Times New Roman" w:hAnsi="Times New Roman" w:cs="Times New Roman"/>
          <w:sz w:val="24"/>
          <w:szCs w:val="24"/>
        </w:rPr>
        <w:t xml:space="preserve"> di </w:t>
      </w:r>
      <w:r w:rsidR="00117885">
        <w:rPr>
          <w:rFonts w:ascii="Times New Roman" w:hAnsi="Times New Roman" w:cs="Times New Roman"/>
          <w:sz w:val="24"/>
          <w:szCs w:val="24"/>
        </w:rPr>
        <w:t>sektor</w:t>
      </w:r>
      <w:r w:rsidR="00117885">
        <w:rPr>
          <w:rFonts w:ascii="Times New Roman" w:hAnsi="Times New Roman" w:cs="Times New Roman"/>
          <w:sz w:val="24"/>
          <w:szCs w:val="24"/>
        </w:rPr>
        <w:t xml:space="preserve"> </w:t>
      </w:r>
      <w:r w:rsidR="006D5CFD">
        <w:rPr>
          <w:rFonts w:ascii="Times New Roman" w:hAnsi="Times New Roman" w:cs="Times New Roman"/>
          <w:sz w:val="24"/>
          <w:szCs w:val="24"/>
        </w:rPr>
        <w:t xml:space="preserve">lain </w:t>
      </w:r>
      <w:r w:rsidR="006D5CFD">
        <w:rPr>
          <w:rFonts w:ascii="Times New Roman" w:hAnsi="Times New Roman" w:cs="Times New Roman"/>
          <w:sz w:val="24"/>
          <w:szCs w:val="24"/>
        </w:rPr>
        <w:t>seperti</w:t>
      </w:r>
      <w:r w:rsidR="006D5CFD">
        <w:rPr>
          <w:rFonts w:ascii="Times New Roman" w:hAnsi="Times New Roman" w:cs="Times New Roman"/>
          <w:sz w:val="24"/>
          <w:szCs w:val="24"/>
        </w:rPr>
        <w:t xml:space="preserve"> </w:t>
      </w:r>
      <w:r w:rsidR="006D5CFD">
        <w:rPr>
          <w:rFonts w:ascii="Times New Roman" w:hAnsi="Times New Roman" w:cs="Times New Roman"/>
          <w:sz w:val="24"/>
          <w:szCs w:val="24"/>
        </w:rPr>
        <w:t>sektor</w:t>
      </w:r>
      <w:r w:rsidR="006D5CFD">
        <w:rPr>
          <w:rFonts w:ascii="Times New Roman" w:hAnsi="Times New Roman" w:cs="Times New Roman"/>
          <w:sz w:val="24"/>
          <w:szCs w:val="24"/>
        </w:rPr>
        <w:t xml:space="preserve"> </w:t>
      </w:r>
      <w:r w:rsidR="00DF6DE7">
        <w:rPr>
          <w:rFonts w:ascii="Times New Roman" w:hAnsi="Times New Roman" w:cs="Times New Roman"/>
          <w:sz w:val="24"/>
          <w:szCs w:val="24"/>
        </w:rPr>
        <w:t>p</w:t>
      </w:r>
      <w:r w:rsidR="006D5CFD">
        <w:rPr>
          <w:rFonts w:ascii="Times New Roman" w:hAnsi="Times New Roman" w:cs="Times New Roman"/>
          <w:sz w:val="24"/>
          <w:szCs w:val="24"/>
        </w:rPr>
        <w:t>e</w:t>
      </w:r>
      <w:r w:rsidR="00DF6DE7">
        <w:rPr>
          <w:rFonts w:ascii="Times New Roman" w:hAnsi="Times New Roman" w:cs="Times New Roman"/>
          <w:sz w:val="24"/>
          <w:szCs w:val="24"/>
        </w:rPr>
        <w:t>rtambangan</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atau</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industri</w:t>
      </w:r>
      <w:r w:rsidR="00DF6DE7">
        <w:rPr>
          <w:rFonts w:ascii="Times New Roman" w:hAnsi="Times New Roman" w:cs="Times New Roman"/>
          <w:sz w:val="24"/>
          <w:szCs w:val="24"/>
        </w:rPr>
        <w:t xml:space="preserve"> yang </w:t>
      </w:r>
      <w:r w:rsidR="00DF6DE7">
        <w:rPr>
          <w:rFonts w:ascii="Times New Roman" w:hAnsi="Times New Roman" w:cs="Times New Roman"/>
          <w:sz w:val="24"/>
          <w:szCs w:val="24"/>
        </w:rPr>
        <w:t>terkait</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secara</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langsung</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dengan</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perusakan</w:t>
      </w:r>
      <w:r w:rsidR="00DF6DE7">
        <w:rPr>
          <w:rFonts w:ascii="Times New Roman" w:hAnsi="Times New Roman" w:cs="Times New Roman"/>
          <w:sz w:val="24"/>
          <w:szCs w:val="24"/>
        </w:rPr>
        <w:t xml:space="preserve"> </w:t>
      </w:r>
      <w:r w:rsidR="00DF6DE7">
        <w:rPr>
          <w:rFonts w:ascii="Times New Roman" w:hAnsi="Times New Roman" w:cs="Times New Roman"/>
          <w:sz w:val="24"/>
          <w:szCs w:val="24"/>
        </w:rPr>
        <w:t>lingkungan</w:t>
      </w:r>
      <w:r w:rsidR="00DF6DE7">
        <w:rPr>
          <w:rFonts w:ascii="Times New Roman" w:hAnsi="Times New Roman" w:cs="Times New Roman"/>
          <w:sz w:val="24"/>
          <w:szCs w:val="24"/>
        </w:rPr>
        <w:t>.</w:t>
      </w:r>
    </w:p>
    <w:sectPr w:rsidSect="0050481E">
      <w:pgSz w:w="11906" w:h="16838" w:code="9"/>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6C85" w:rsidRPr="00445691" w:rsidP="00445691" w14:paraId="32363927" w14:textId="17130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5102031"/>
      <w:docPartObj>
        <w:docPartGallery w:val="Page Numbers (Bottom of Page)"/>
        <w:docPartUnique/>
      </w:docPartObj>
    </w:sdtPr>
    <w:sdtEndPr>
      <w:rPr>
        <w:rFonts w:ascii="Times New Roman" w:hAnsi="Times New Roman" w:cs="Times New Roman"/>
        <w:noProof/>
        <w:sz w:val="24"/>
        <w:szCs w:val="24"/>
      </w:rPr>
    </w:sdtEndPr>
    <w:sdtContent>
      <w:p w:rsidR="00467367" w:rsidRPr="00C92F2B" w14:paraId="7E00272C" w14:textId="00711349">
        <w:pPr>
          <w:pStyle w:val="Footer"/>
          <w:jc w:val="center"/>
          <w:rPr>
            <w:rFonts w:ascii="Times New Roman" w:hAnsi="Times New Roman" w:cs="Times New Roman"/>
            <w:sz w:val="24"/>
            <w:szCs w:val="24"/>
          </w:rPr>
        </w:pPr>
        <w:r w:rsidRPr="00C92F2B">
          <w:rPr>
            <w:rFonts w:ascii="Times New Roman" w:hAnsi="Times New Roman" w:cs="Times New Roman"/>
            <w:sz w:val="24"/>
            <w:szCs w:val="24"/>
          </w:rPr>
          <w:fldChar w:fldCharType="begin"/>
        </w:r>
        <w:r w:rsidRPr="00C92F2B">
          <w:rPr>
            <w:rFonts w:ascii="Times New Roman" w:hAnsi="Times New Roman" w:cs="Times New Roman"/>
            <w:sz w:val="24"/>
            <w:szCs w:val="24"/>
          </w:rPr>
          <w:instrText xml:space="preserve"> PAGE   \* MERGEFORMAT </w:instrText>
        </w:r>
        <w:r w:rsidRPr="00C92F2B">
          <w:rPr>
            <w:rFonts w:ascii="Times New Roman" w:hAnsi="Times New Roman" w:cs="Times New Roman"/>
            <w:sz w:val="24"/>
            <w:szCs w:val="24"/>
          </w:rPr>
          <w:fldChar w:fldCharType="separate"/>
        </w:r>
        <w:r w:rsidRPr="00C92F2B">
          <w:rPr>
            <w:rFonts w:ascii="Times New Roman" w:hAnsi="Times New Roman" w:cs="Times New Roman"/>
            <w:noProof/>
            <w:sz w:val="24"/>
            <w:szCs w:val="24"/>
          </w:rPr>
          <w:t>123</w:t>
        </w:r>
        <w:r w:rsidRPr="00C92F2B">
          <w:rPr>
            <w:rFonts w:ascii="Times New Roman" w:hAnsi="Times New Roman" w:cs="Times New Roman"/>
            <w:noProof/>
            <w:sz w:val="24"/>
            <w:szCs w:val="24"/>
          </w:rPr>
          <w:fldChar w:fldCharType="end"/>
        </w:r>
      </w:p>
    </w:sdtContent>
  </w:sdt>
  <w:p w:rsidR="00467367" w14:paraId="6278B5E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2245849"/>
      <w:docPartObj>
        <w:docPartGallery w:val="Page Numbers (Top of Page)"/>
        <w:docPartUnique/>
      </w:docPartObj>
    </w:sdtPr>
    <w:sdtEndPr>
      <w:rPr>
        <w:noProof/>
      </w:rPr>
    </w:sdtEndPr>
    <w:sdtContent>
      <w:p w:rsidR="00445691" w14:paraId="5146B995" w14:textId="4D282A64">
        <w:pPr>
          <w:pStyle w:val="Header"/>
          <w:jc w:val="right"/>
        </w:pPr>
        <w:r>
          <w:fldChar w:fldCharType="begin"/>
        </w:r>
        <w:r>
          <w:instrText xml:space="preserve"> PAGE   \* MERGEFORMAT </w:instrText>
        </w:r>
        <w:r>
          <w:fldChar w:fldCharType="separate"/>
        </w:r>
        <w:r>
          <w:rPr>
            <w:noProof/>
          </w:rPr>
          <w:t>126</w:t>
        </w:r>
        <w:r>
          <w:rPr>
            <w:noProof/>
          </w:rPr>
          <w:fldChar w:fldCharType="end"/>
        </w:r>
      </w:p>
    </w:sdtContent>
  </w:sdt>
  <w:p w:rsidR="002A2360" w14:paraId="4649A5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32ADE"/>
    <w:multiLevelType w:val="hybridMultilevel"/>
    <w:tmpl w:val="052EF382"/>
    <w:lvl w:ilvl="0">
      <w:start w:val="1"/>
      <w:numFmt w:val="lowerLetter"/>
      <w:lvlText w:val="%1."/>
      <w:lvlJc w:val="left"/>
      <w:pPr>
        <w:ind w:left="1212" w:hanging="360"/>
      </w:pPr>
      <w:rPr>
        <w:rFonts w:hint="default"/>
      </w:rPr>
    </w:lvl>
    <w:lvl w:ilvl="1">
      <w:start w:val="1"/>
      <w:numFmt w:val="decimal"/>
      <w:lvlText w:val="%2."/>
      <w:lvlJc w:val="left"/>
      <w:pPr>
        <w:ind w:left="785" w:hanging="360"/>
      </w:pPr>
      <w:rPr>
        <w:rFonts w:hint="default"/>
      </w:rPr>
    </w:lvl>
    <w:lvl w:ilvl="2">
      <w:start w:val="1"/>
      <w:numFmt w:val="upperLetter"/>
      <w:lvlText w:val="%3."/>
      <w:lvlJc w:val="left"/>
      <w:pPr>
        <w:ind w:left="2832" w:hanging="360"/>
      </w:pPr>
      <w:rPr>
        <w:rFonts w:hint="default"/>
        <w:b/>
      </w:r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1">
    <w:nsid w:val="00D3512F"/>
    <w:multiLevelType w:val="hybridMultilevel"/>
    <w:tmpl w:val="984AE1FC"/>
    <w:lvl w:ilvl="0">
      <w:start w:val="1"/>
      <w:numFmt w:val="decimal"/>
      <w:lvlText w:val="%1."/>
      <w:lvlJc w:val="left"/>
      <w:pPr>
        <w:ind w:left="1145" w:hanging="360"/>
      </w:pPr>
      <w:rPr>
        <w:rFonts w:hint="default"/>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2">
    <w:nsid w:val="05C467CA"/>
    <w:multiLevelType w:val="hybridMultilevel"/>
    <w:tmpl w:val="8B3AA7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53612B"/>
    <w:multiLevelType w:val="hybridMultilevel"/>
    <w:tmpl w:val="A460AA56"/>
    <w:lvl w:ilvl="0">
      <w:start w:val="1"/>
      <w:numFmt w:val="decimal"/>
      <w:lvlText w:val="%1)"/>
      <w:lvlJc w:val="left"/>
      <w:pPr>
        <w:ind w:left="1506" w:hanging="360"/>
      </w:pPr>
      <w:rPr>
        <w:rFonts w:hint="default"/>
      </w:r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4">
    <w:nsid w:val="0E0F0049"/>
    <w:multiLevelType w:val="hybridMultilevel"/>
    <w:tmpl w:val="B31CC8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EA4CED"/>
    <w:multiLevelType w:val="hybridMultilevel"/>
    <w:tmpl w:val="C63A2A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C87B3C"/>
    <w:multiLevelType w:val="hybridMultilevel"/>
    <w:tmpl w:val="950A49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E65C2E"/>
    <w:multiLevelType w:val="hybridMultilevel"/>
    <w:tmpl w:val="C80CF49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
    <w:nsid w:val="15DF3C4F"/>
    <w:multiLevelType w:val="hybridMultilevel"/>
    <w:tmpl w:val="577217B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4A2177"/>
    <w:multiLevelType w:val="hybridMultilevel"/>
    <w:tmpl w:val="3D1A780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78E6142"/>
    <w:multiLevelType w:val="hybridMultilevel"/>
    <w:tmpl w:val="3836D250"/>
    <w:lvl w:ilvl="0">
      <w:start w:val="1"/>
      <w:numFmt w:val="decimal"/>
      <w:lvlText w:val="%1."/>
      <w:lvlJc w:val="left"/>
      <w:pPr>
        <w:ind w:left="1494" w:hanging="360"/>
      </w:pPr>
      <w:rPr>
        <w:rFonts w:hint="default"/>
        <w:b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nsid w:val="1A0D0E64"/>
    <w:multiLevelType w:val="hybridMultilevel"/>
    <w:tmpl w:val="B6FEDD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64096B"/>
    <w:multiLevelType w:val="hybridMultilevel"/>
    <w:tmpl w:val="D8F613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DF45A7"/>
    <w:multiLevelType w:val="hybridMultilevel"/>
    <w:tmpl w:val="06D0BC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511AA2"/>
    <w:multiLevelType w:val="hybridMultilevel"/>
    <w:tmpl w:val="3BD269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FC865F3"/>
    <w:multiLevelType w:val="hybridMultilevel"/>
    <w:tmpl w:val="0E5A067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07F5163"/>
    <w:multiLevelType w:val="hybridMultilevel"/>
    <w:tmpl w:val="4666461E"/>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17">
    <w:nsid w:val="20FD481E"/>
    <w:multiLevelType w:val="hybridMultilevel"/>
    <w:tmpl w:val="80CC79A6"/>
    <w:lvl w:ilvl="0">
      <w:start w:val="1"/>
      <w:numFmt w:val="decimal"/>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2CF207B"/>
    <w:multiLevelType w:val="hybridMultilevel"/>
    <w:tmpl w:val="055E5918"/>
    <w:lvl w:ilvl="0">
      <w:start w:val="1"/>
      <w:numFmt w:val="lowerLetter"/>
      <w:lvlText w:val="%1."/>
      <w:lvlJc w:val="left"/>
      <w:pPr>
        <w:ind w:left="1430" w:hanging="360"/>
      </w:pPr>
      <w:rPr>
        <w:rFonts w:hint="default"/>
      </w:rPr>
    </w:lvl>
    <w:lvl w:ilvl="1" w:tentative="1">
      <w:start w:val="1"/>
      <w:numFmt w:val="lowerLetter"/>
      <w:lvlText w:val="%2."/>
      <w:lvlJc w:val="left"/>
      <w:pPr>
        <w:ind w:left="2150" w:hanging="360"/>
      </w:pPr>
    </w:lvl>
    <w:lvl w:ilvl="2" w:tentative="1">
      <w:start w:val="1"/>
      <w:numFmt w:val="lowerRoman"/>
      <w:lvlText w:val="%3."/>
      <w:lvlJc w:val="right"/>
      <w:pPr>
        <w:ind w:left="2870" w:hanging="180"/>
      </w:pPr>
    </w:lvl>
    <w:lvl w:ilvl="3" w:tentative="1">
      <w:start w:val="1"/>
      <w:numFmt w:val="decimal"/>
      <w:lvlText w:val="%4."/>
      <w:lvlJc w:val="left"/>
      <w:pPr>
        <w:ind w:left="3590" w:hanging="360"/>
      </w:pPr>
    </w:lvl>
    <w:lvl w:ilvl="4" w:tentative="1">
      <w:start w:val="1"/>
      <w:numFmt w:val="lowerLetter"/>
      <w:lvlText w:val="%5."/>
      <w:lvlJc w:val="left"/>
      <w:pPr>
        <w:ind w:left="4310" w:hanging="360"/>
      </w:pPr>
    </w:lvl>
    <w:lvl w:ilvl="5" w:tentative="1">
      <w:start w:val="1"/>
      <w:numFmt w:val="lowerRoman"/>
      <w:lvlText w:val="%6."/>
      <w:lvlJc w:val="right"/>
      <w:pPr>
        <w:ind w:left="5030" w:hanging="180"/>
      </w:pPr>
    </w:lvl>
    <w:lvl w:ilvl="6" w:tentative="1">
      <w:start w:val="1"/>
      <w:numFmt w:val="decimal"/>
      <w:lvlText w:val="%7."/>
      <w:lvlJc w:val="left"/>
      <w:pPr>
        <w:ind w:left="5750" w:hanging="360"/>
      </w:pPr>
    </w:lvl>
    <w:lvl w:ilvl="7" w:tentative="1">
      <w:start w:val="1"/>
      <w:numFmt w:val="lowerLetter"/>
      <w:lvlText w:val="%8."/>
      <w:lvlJc w:val="left"/>
      <w:pPr>
        <w:ind w:left="6470" w:hanging="360"/>
      </w:pPr>
    </w:lvl>
    <w:lvl w:ilvl="8" w:tentative="1">
      <w:start w:val="1"/>
      <w:numFmt w:val="lowerRoman"/>
      <w:lvlText w:val="%9."/>
      <w:lvlJc w:val="right"/>
      <w:pPr>
        <w:ind w:left="7190" w:hanging="180"/>
      </w:pPr>
    </w:lvl>
  </w:abstractNum>
  <w:abstractNum w:abstractNumId="19">
    <w:nsid w:val="22F257AE"/>
    <w:multiLevelType w:val="hybridMultilevel"/>
    <w:tmpl w:val="9BCA2A4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FD395D"/>
    <w:multiLevelType w:val="hybridMultilevel"/>
    <w:tmpl w:val="18B43566"/>
    <w:lvl w:ilvl="0">
      <w:start w:val="1"/>
      <w:numFmt w:val="decimal"/>
      <w:lvlText w:val="%1."/>
      <w:lvlJc w:val="left"/>
      <w:pPr>
        <w:ind w:left="1866" w:hanging="360"/>
      </w:pPr>
      <w:rPr>
        <w:rFonts w:hint="default"/>
      </w:r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21">
    <w:nsid w:val="25724001"/>
    <w:multiLevelType w:val="hybridMultilevel"/>
    <w:tmpl w:val="3BB63CD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EE0CEF"/>
    <w:multiLevelType w:val="hybridMultilevel"/>
    <w:tmpl w:val="D57EE890"/>
    <w:lvl w:ilvl="0">
      <w:start w:val="1"/>
      <w:numFmt w:val="lowerLetter"/>
      <w:lvlText w:val="%1."/>
      <w:lvlJc w:val="left"/>
      <w:pPr>
        <w:ind w:left="1080" w:hanging="360"/>
      </w:pPr>
      <w:rPr>
        <w:rFonts w:hint="default"/>
        <w:b/>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B44113D"/>
    <w:multiLevelType w:val="hybridMultilevel"/>
    <w:tmpl w:val="60B46D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E261C53"/>
    <w:multiLevelType w:val="hybridMultilevel"/>
    <w:tmpl w:val="CC94F1E4"/>
    <w:lvl w:ilvl="0">
      <w:start w:val="1"/>
      <w:numFmt w:val="lowerLetter"/>
      <w:lvlText w:val="%1."/>
      <w:lvlJc w:val="left"/>
      <w:pPr>
        <w:ind w:left="1495" w:hanging="360"/>
      </w:pPr>
      <w:rPr>
        <w:rFonts w:hint="default"/>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25">
    <w:nsid w:val="2FD5336B"/>
    <w:multiLevelType w:val="hybridMultilevel"/>
    <w:tmpl w:val="77881C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CA5B6A"/>
    <w:multiLevelType w:val="hybridMultilevel"/>
    <w:tmpl w:val="8E4ED314"/>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32A52056"/>
    <w:multiLevelType w:val="hybridMultilevel"/>
    <w:tmpl w:val="A57AD48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36800686"/>
    <w:multiLevelType w:val="hybridMultilevel"/>
    <w:tmpl w:val="86F259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38491267"/>
    <w:multiLevelType w:val="hybridMultilevel"/>
    <w:tmpl w:val="C5723602"/>
    <w:lvl w:ilvl="0">
      <w:start w:val="1"/>
      <w:numFmt w:val="decimal"/>
      <w:lvlText w:val="%1."/>
      <w:lvlJc w:val="left"/>
      <w:pPr>
        <w:ind w:left="786" w:hanging="360"/>
      </w:pPr>
      <w:rPr>
        <w:rFonts w:hint="default"/>
        <w:b/>
        <w:bCs/>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0">
    <w:nsid w:val="3891615D"/>
    <w:multiLevelType w:val="hybridMultilevel"/>
    <w:tmpl w:val="72268E4E"/>
    <w:lvl w:ilvl="0">
      <w:start w:val="1"/>
      <w:numFmt w:val="lowerLetter"/>
      <w:lvlText w:val="%1."/>
      <w:lvlJc w:val="left"/>
      <w:pPr>
        <w:ind w:left="1866" w:hanging="360"/>
      </w:pPr>
      <w:rPr>
        <w:rFonts w:hint="default"/>
        <w:b w:val="0"/>
        <w:bCs w:val="0"/>
      </w:rPr>
    </w:lvl>
    <w:lvl w:ilvl="1" w:tentative="1">
      <w:start w:val="1"/>
      <w:numFmt w:val="lowerLetter"/>
      <w:lvlText w:val="%2."/>
      <w:lvlJc w:val="left"/>
      <w:pPr>
        <w:ind w:left="2586" w:hanging="360"/>
      </w:pPr>
    </w:lvl>
    <w:lvl w:ilvl="2" w:tentative="1">
      <w:start w:val="1"/>
      <w:numFmt w:val="lowerRoman"/>
      <w:lvlText w:val="%3."/>
      <w:lvlJc w:val="right"/>
      <w:pPr>
        <w:ind w:left="3306" w:hanging="180"/>
      </w:pPr>
    </w:lvl>
    <w:lvl w:ilvl="3" w:tentative="1">
      <w:start w:val="1"/>
      <w:numFmt w:val="decimal"/>
      <w:lvlText w:val="%4."/>
      <w:lvlJc w:val="left"/>
      <w:pPr>
        <w:ind w:left="4026" w:hanging="360"/>
      </w:pPr>
    </w:lvl>
    <w:lvl w:ilvl="4" w:tentative="1">
      <w:start w:val="1"/>
      <w:numFmt w:val="lowerLetter"/>
      <w:lvlText w:val="%5."/>
      <w:lvlJc w:val="left"/>
      <w:pPr>
        <w:ind w:left="4746" w:hanging="360"/>
      </w:pPr>
    </w:lvl>
    <w:lvl w:ilvl="5" w:tentative="1">
      <w:start w:val="1"/>
      <w:numFmt w:val="lowerRoman"/>
      <w:lvlText w:val="%6."/>
      <w:lvlJc w:val="right"/>
      <w:pPr>
        <w:ind w:left="5466" w:hanging="180"/>
      </w:pPr>
    </w:lvl>
    <w:lvl w:ilvl="6" w:tentative="1">
      <w:start w:val="1"/>
      <w:numFmt w:val="decimal"/>
      <w:lvlText w:val="%7."/>
      <w:lvlJc w:val="left"/>
      <w:pPr>
        <w:ind w:left="6186" w:hanging="360"/>
      </w:pPr>
    </w:lvl>
    <w:lvl w:ilvl="7" w:tentative="1">
      <w:start w:val="1"/>
      <w:numFmt w:val="lowerLetter"/>
      <w:lvlText w:val="%8."/>
      <w:lvlJc w:val="left"/>
      <w:pPr>
        <w:ind w:left="6906" w:hanging="360"/>
      </w:pPr>
    </w:lvl>
    <w:lvl w:ilvl="8" w:tentative="1">
      <w:start w:val="1"/>
      <w:numFmt w:val="lowerRoman"/>
      <w:lvlText w:val="%9."/>
      <w:lvlJc w:val="right"/>
      <w:pPr>
        <w:ind w:left="7626" w:hanging="180"/>
      </w:pPr>
    </w:lvl>
  </w:abstractNum>
  <w:abstractNum w:abstractNumId="31">
    <w:nsid w:val="38B772E6"/>
    <w:multiLevelType w:val="hybridMultilevel"/>
    <w:tmpl w:val="C7FE12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9250676"/>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AC26080"/>
    <w:multiLevelType w:val="hybridMultilevel"/>
    <w:tmpl w:val="619E7834"/>
    <w:lvl w:ilvl="0">
      <w:start w:val="1"/>
      <w:numFmt w:val="decimal"/>
      <w:lvlText w:val="%1."/>
      <w:lvlJc w:val="left"/>
      <w:pPr>
        <w:ind w:left="371" w:hanging="360"/>
      </w:pPr>
      <w:rPr>
        <w:rFonts w:hint="default"/>
      </w:rPr>
    </w:lvl>
    <w:lvl w:ilvl="1" w:tentative="1">
      <w:start w:val="1"/>
      <w:numFmt w:val="lowerLetter"/>
      <w:lvlText w:val="%2."/>
      <w:lvlJc w:val="left"/>
      <w:pPr>
        <w:ind w:left="1091" w:hanging="360"/>
      </w:pPr>
    </w:lvl>
    <w:lvl w:ilvl="2" w:tentative="1">
      <w:start w:val="1"/>
      <w:numFmt w:val="lowerRoman"/>
      <w:lvlText w:val="%3."/>
      <w:lvlJc w:val="right"/>
      <w:pPr>
        <w:ind w:left="1811" w:hanging="180"/>
      </w:pPr>
    </w:lvl>
    <w:lvl w:ilvl="3" w:tentative="1">
      <w:start w:val="1"/>
      <w:numFmt w:val="decimal"/>
      <w:lvlText w:val="%4."/>
      <w:lvlJc w:val="left"/>
      <w:pPr>
        <w:ind w:left="2531" w:hanging="360"/>
      </w:pPr>
    </w:lvl>
    <w:lvl w:ilvl="4" w:tentative="1">
      <w:start w:val="1"/>
      <w:numFmt w:val="lowerLetter"/>
      <w:lvlText w:val="%5."/>
      <w:lvlJc w:val="left"/>
      <w:pPr>
        <w:ind w:left="3251" w:hanging="360"/>
      </w:pPr>
    </w:lvl>
    <w:lvl w:ilvl="5" w:tentative="1">
      <w:start w:val="1"/>
      <w:numFmt w:val="lowerRoman"/>
      <w:lvlText w:val="%6."/>
      <w:lvlJc w:val="right"/>
      <w:pPr>
        <w:ind w:left="3971" w:hanging="180"/>
      </w:pPr>
    </w:lvl>
    <w:lvl w:ilvl="6" w:tentative="1">
      <w:start w:val="1"/>
      <w:numFmt w:val="decimal"/>
      <w:lvlText w:val="%7."/>
      <w:lvlJc w:val="left"/>
      <w:pPr>
        <w:ind w:left="4691" w:hanging="360"/>
      </w:pPr>
    </w:lvl>
    <w:lvl w:ilvl="7" w:tentative="1">
      <w:start w:val="1"/>
      <w:numFmt w:val="lowerLetter"/>
      <w:lvlText w:val="%8."/>
      <w:lvlJc w:val="left"/>
      <w:pPr>
        <w:ind w:left="5411" w:hanging="360"/>
      </w:pPr>
    </w:lvl>
    <w:lvl w:ilvl="8" w:tentative="1">
      <w:start w:val="1"/>
      <w:numFmt w:val="lowerRoman"/>
      <w:lvlText w:val="%9."/>
      <w:lvlJc w:val="right"/>
      <w:pPr>
        <w:ind w:left="6131" w:hanging="180"/>
      </w:pPr>
    </w:lvl>
  </w:abstractNum>
  <w:abstractNum w:abstractNumId="34">
    <w:nsid w:val="3E627431"/>
    <w:multiLevelType w:val="hybridMultilevel"/>
    <w:tmpl w:val="2A1A6F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42241232"/>
    <w:multiLevelType w:val="hybridMultilevel"/>
    <w:tmpl w:val="84D69D3C"/>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6">
    <w:nsid w:val="4316780B"/>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4DD04DB"/>
    <w:multiLevelType w:val="hybridMultilevel"/>
    <w:tmpl w:val="69288BF4"/>
    <w:lvl w:ilvl="0">
      <w:start w:val="1"/>
      <w:numFmt w:val="lowerLetter"/>
      <w:lvlText w:val="%1."/>
      <w:lvlJc w:val="left"/>
      <w:pPr>
        <w:ind w:left="2062" w:hanging="360"/>
      </w:pPr>
      <w:rPr>
        <w:rFonts w:hint="default"/>
        <w:i w:val="0"/>
        <w:iCs w:val="0"/>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8">
    <w:nsid w:val="461F592E"/>
    <w:multiLevelType w:val="hybridMultilevel"/>
    <w:tmpl w:val="1862E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5740CF"/>
    <w:multiLevelType w:val="hybridMultilevel"/>
    <w:tmpl w:val="4482B80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4B664DCB"/>
    <w:multiLevelType w:val="hybridMultilevel"/>
    <w:tmpl w:val="6374E0E8"/>
    <w:lvl w:ilvl="0">
      <w:start w:val="1"/>
      <w:numFmt w:val="decimal"/>
      <w:lvlText w:val="%1."/>
      <w:lvlJc w:val="left"/>
      <w:pPr>
        <w:ind w:left="1637" w:hanging="360"/>
      </w:p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41">
    <w:nsid w:val="4BE01AD3"/>
    <w:multiLevelType w:val="hybridMultilevel"/>
    <w:tmpl w:val="5A4C71C8"/>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42">
    <w:nsid w:val="4E2D4D12"/>
    <w:multiLevelType w:val="hybridMultilevel"/>
    <w:tmpl w:val="D2E2B96A"/>
    <w:lvl w:ilvl="0">
      <w:start w:val="1"/>
      <w:numFmt w:val="decimal"/>
      <w:lvlText w:val="%1."/>
      <w:lvlJc w:val="left"/>
      <w:pPr>
        <w:ind w:left="2204" w:hanging="360"/>
      </w:pPr>
      <w:rPr>
        <w:rFonts w:hint="default"/>
      </w:rPr>
    </w:lvl>
    <w:lvl w:ilvl="1" w:tentative="1">
      <w:start w:val="1"/>
      <w:numFmt w:val="lowerLetter"/>
      <w:lvlText w:val="%2."/>
      <w:lvlJc w:val="left"/>
      <w:pPr>
        <w:ind w:left="2924" w:hanging="360"/>
      </w:pPr>
    </w:lvl>
    <w:lvl w:ilvl="2" w:tentative="1">
      <w:start w:val="1"/>
      <w:numFmt w:val="lowerRoman"/>
      <w:lvlText w:val="%3."/>
      <w:lvlJc w:val="right"/>
      <w:pPr>
        <w:ind w:left="3644" w:hanging="180"/>
      </w:pPr>
    </w:lvl>
    <w:lvl w:ilvl="3" w:tentative="1">
      <w:start w:val="1"/>
      <w:numFmt w:val="decimal"/>
      <w:lvlText w:val="%4."/>
      <w:lvlJc w:val="left"/>
      <w:pPr>
        <w:ind w:left="4364" w:hanging="360"/>
      </w:pPr>
    </w:lvl>
    <w:lvl w:ilvl="4" w:tentative="1">
      <w:start w:val="1"/>
      <w:numFmt w:val="lowerLetter"/>
      <w:lvlText w:val="%5."/>
      <w:lvlJc w:val="left"/>
      <w:pPr>
        <w:ind w:left="5084" w:hanging="360"/>
      </w:pPr>
    </w:lvl>
    <w:lvl w:ilvl="5" w:tentative="1">
      <w:start w:val="1"/>
      <w:numFmt w:val="lowerRoman"/>
      <w:lvlText w:val="%6."/>
      <w:lvlJc w:val="right"/>
      <w:pPr>
        <w:ind w:left="5804" w:hanging="180"/>
      </w:pPr>
    </w:lvl>
    <w:lvl w:ilvl="6" w:tentative="1">
      <w:start w:val="1"/>
      <w:numFmt w:val="decimal"/>
      <w:lvlText w:val="%7."/>
      <w:lvlJc w:val="left"/>
      <w:pPr>
        <w:ind w:left="6524" w:hanging="360"/>
      </w:pPr>
    </w:lvl>
    <w:lvl w:ilvl="7" w:tentative="1">
      <w:start w:val="1"/>
      <w:numFmt w:val="lowerLetter"/>
      <w:lvlText w:val="%8."/>
      <w:lvlJc w:val="left"/>
      <w:pPr>
        <w:ind w:left="7244" w:hanging="360"/>
      </w:pPr>
    </w:lvl>
    <w:lvl w:ilvl="8" w:tentative="1">
      <w:start w:val="1"/>
      <w:numFmt w:val="lowerRoman"/>
      <w:lvlText w:val="%9."/>
      <w:lvlJc w:val="right"/>
      <w:pPr>
        <w:ind w:left="7964" w:hanging="180"/>
      </w:pPr>
    </w:lvl>
  </w:abstractNum>
  <w:abstractNum w:abstractNumId="43">
    <w:nsid w:val="53AA725E"/>
    <w:multiLevelType w:val="hybridMultilevel"/>
    <w:tmpl w:val="9056D6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68F61FD"/>
    <w:multiLevelType w:val="hybridMultilevel"/>
    <w:tmpl w:val="B6F0C68A"/>
    <w:lvl w:ilvl="0">
      <w:start w:val="1"/>
      <w:numFmt w:val="decimal"/>
      <w:lvlText w:val="%1)"/>
      <w:lvlJc w:val="left"/>
      <w:pPr>
        <w:ind w:left="1506" w:hanging="360"/>
      </w:pPr>
      <w:rPr>
        <w:rFonts w:hint="default"/>
        <w:i w:val="0"/>
        <w:iCs w:val="0"/>
      </w:rPr>
    </w:lvl>
    <w:lvl w:ilvl="1" w:tentative="1">
      <w:start w:val="1"/>
      <w:numFmt w:val="lowerLetter"/>
      <w:lvlText w:val="%2."/>
      <w:lvlJc w:val="left"/>
      <w:pPr>
        <w:ind w:left="2226" w:hanging="360"/>
      </w:p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45">
    <w:nsid w:val="588943D3"/>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9CB1C2D"/>
    <w:multiLevelType w:val="hybridMultilevel"/>
    <w:tmpl w:val="60B46D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5ACC7E79"/>
    <w:multiLevelType w:val="hybridMultilevel"/>
    <w:tmpl w:val="235E2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C3C4018"/>
    <w:multiLevelType w:val="hybridMultilevel"/>
    <w:tmpl w:val="886ADF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DB956F9"/>
    <w:multiLevelType w:val="hybridMultilevel"/>
    <w:tmpl w:val="55760ECA"/>
    <w:lvl w:ilvl="0">
      <w:start w:val="1"/>
      <w:numFmt w:val="decimal"/>
      <w:lvlText w:val="%1."/>
      <w:lvlJc w:val="left"/>
      <w:pPr>
        <w:ind w:left="1495" w:hanging="360"/>
      </w:pPr>
      <w:rPr>
        <w:rFonts w:hint="default"/>
      </w:rPr>
    </w:lvl>
    <w:lvl w:ilvl="1" w:tentative="1">
      <w:start w:val="1"/>
      <w:numFmt w:val="lowerLetter"/>
      <w:lvlText w:val="%2."/>
      <w:lvlJc w:val="left"/>
      <w:pPr>
        <w:ind w:left="2215" w:hanging="360"/>
      </w:pPr>
    </w:lvl>
    <w:lvl w:ilvl="2" w:tentative="1">
      <w:start w:val="1"/>
      <w:numFmt w:val="lowerRoman"/>
      <w:lvlText w:val="%3."/>
      <w:lvlJc w:val="right"/>
      <w:pPr>
        <w:ind w:left="2935" w:hanging="180"/>
      </w:pPr>
    </w:lvl>
    <w:lvl w:ilvl="3" w:tentative="1">
      <w:start w:val="1"/>
      <w:numFmt w:val="decimal"/>
      <w:lvlText w:val="%4."/>
      <w:lvlJc w:val="left"/>
      <w:pPr>
        <w:ind w:left="3655" w:hanging="360"/>
      </w:pPr>
    </w:lvl>
    <w:lvl w:ilvl="4" w:tentative="1">
      <w:start w:val="1"/>
      <w:numFmt w:val="lowerLetter"/>
      <w:lvlText w:val="%5."/>
      <w:lvlJc w:val="left"/>
      <w:pPr>
        <w:ind w:left="4375" w:hanging="360"/>
      </w:pPr>
    </w:lvl>
    <w:lvl w:ilvl="5" w:tentative="1">
      <w:start w:val="1"/>
      <w:numFmt w:val="lowerRoman"/>
      <w:lvlText w:val="%6."/>
      <w:lvlJc w:val="right"/>
      <w:pPr>
        <w:ind w:left="5095" w:hanging="180"/>
      </w:pPr>
    </w:lvl>
    <w:lvl w:ilvl="6" w:tentative="1">
      <w:start w:val="1"/>
      <w:numFmt w:val="decimal"/>
      <w:lvlText w:val="%7."/>
      <w:lvlJc w:val="left"/>
      <w:pPr>
        <w:ind w:left="5815" w:hanging="360"/>
      </w:pPr>
    </w:lvl>
    <w:lvl w:ilvl="7" w:tentative="1">
      <w:start w:val="1"/>
      <w:numFmt w:val="lowerLetter"/>
      <w:lvlText w:val="%8."/>
      <w:lvlJc w:val="left"/>
      <w:pPr>
        <w:ind w:left="6535" w:hanging="360"/>
      </w:pPr>
    </w:lvl>
    <w:lvl w:ilvl="8" w:tentative="1">
      <w:start w:val="1"/>
      <w:numFmt w:val="lowerRoman"/>
      <w:lvlText w:val="%9."/>
      <w:lvlJc w:val="right"/>
      <w:pPr>
        <w:ind w:left="7255" w:hanging="180"/>
      </w:pPr>
    </w:lvl>
  </w:abstractNum>
  <w:abstractNum w:abstractNumId="50">
    <w:nsid w:val="612E6013"/>
    <w:multiLevelType w:val="hybridMultilevel"/>
    <w:tmpl w:val="02F4B8FA"/>
    <w:lvl w:ilvl="0">
      <w:start w:val="1"/>
      <w:numFmt w:val="decimal"/>
      <w:lvlText w:val="%1."/>
      <w:lvlJc w:val="left"/>
      <w:pPr>
        <w:ind w:left="180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3027D1F"/>
    <w:multiLevelType w:val="hybridMultilevel"/>
    <w:tmpl w:val="F87402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5D26E4C"/>
    <w:multiLevelType w:val="hybridMultilevel"/>
    <w:tmpl w:val="2CE47EE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671441C0"/>
    <w:multiLevelType w:val="hybridMultilevel"/>
    <w:tmpl w:val="AC6AEE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82174A0"/>
    <w:multiLevelType w:val="hybridMultilevel"/>
    <w:tmpl w:val="28D6DF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B23690"/>
    <w:multiLevelType w:val="hybridMultilevel"/>
    <w:tmpl w:val="BEAC65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8EB4BA4"/>
    <w:multiLevelType w:val="hybridMultilevel"/>
    <w:tmpl w:val="41C6DF2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9A23D56"/>
    <w:multiLevelType w:val="hybridMultilevel"/>
    <w:tmpl w:val="44144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BD2CB4"/>
    <w:multiLevelType w:val="hybridMultilevel"/>
    <w:tmpl w:val="989ADF80"/>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9">
    <w:nsid w:val="6AC13129"/>
    <w:multiLevelType w:val="hybridMultilevel"/>
    <w:tmpl w:val="3FB8FE1E"/>
    <w:lvl w:ilvl="0">
      <w:start w:val="1"/>
      <w:numFmt w:val="decimal"/>
      <w:lvlText w:val="%1."/>
      <w:lvlJc w:val="left"/>
      <w:pPr>
        <w:ind w:left="1212" w:hanging="360"/>
      </w:pPr>
      <w:rPr>
        <w:rFonts w:hint="default"/>
      </w:rPr>
    </w:lvl>
    <w:lvl w:ilvl="1" w:tentative="1">
      <w:start w:val="1"/>
      <w:numFmt w:val="lowerLetter"/>
      <w:lvlText w:val="%2."/>
      <w:lvlJc w:val="left"/>
      <w:pPr>
        <w:ind w:left="1932" w:hanging="360"/>
      </w:pPr>
    </w:lvl>
    <w:lvl w:ilvl="2" w:tentative="1">
      <w:start w:val="1"/>
      <w:numFmt w:val="lowerRoman"/>
      <w:lvlText w:val="%3."/>
      <w:lvlJc w:val="right"/>
      <w:pPr>
        <w:ind w:left="2652" w:hanging="180"/>
      </w:p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abstractNum w:abstractNumId="60">
    <w:nsid w:val="6AFB7932"/>
    <w:multiLevelType w:val="hybridMultilevel"/>
    <w:tmpl w:val="02ACF2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70012383"/>
    <w:multiLevelType w:val="hybridMultilevel"/>
    <w:tmpl w:val="45BEDC0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2">
    <w:nsid w:val="700B18F0"/>
    <w:multiLevelType w:val="hybridMultilevel"/>
    <w:tmpl w:val="8C840A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707A37C7"/>
    <w:multiLevelType w:val="hybridMultilevel"/>
    <w:tmpl w:val="E5825E0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70D90F7B"/>
    <w:multiLevelType w:val="hybridMultilevel"/>
    <w:tmpl w:val="028C2AFE"/>
    <w:lvl w:ilvl="0">
      <w:start w:val="1"/>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24C15C1"/>
    <w:multiLevelType w:val="hybridMultilevel"/>
    <w:tmpl w:val="CD66624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6">
    <w:nsid w:val="738C144E"/>
    <w:multiLevelType w:val="hybridMultilevel"/>
    <w:tmpl w:val="ABD23562"/>
    <w:lvl w:ilvl="0">
      <w:start w:val="1"/>
      <w:numFmt w:val="lowerLetter"/>
      <w:lvlText w:val="%1."/>
      <w:lvlJc w:val="left"/>
      <w:pPr>
        <w:ind w:left="1495"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75AC0C48"/>
    <w:multiLevelType w:val="hybridMultilevel"/>
    <w:tmpl w:val="3C7CCEF0"/>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68">
    <w:nsid w:val="77E858DC"/>
    <w:multiLevelType w:val="hybridMultilevel"/>
    <w:tmpl w:val="7820D4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78691AD5"/>
    <w:multiLevelType w:val="hybridMultilevel"/>
    <w:tmpl w:val="9CC6F3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78BA3CD4"/>
    <w:multiLevelType w:val="hybridMultilevel"/>
    <w:tmpl w:val="E8F6B3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90800F9"/>
    <w:multiLevelType w:val="hybridMultilevel"/>
    <w:tmpl w:val="103E59F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2">
    <w:nsid w:val="791C76D3"/>
    <w:multiLevelType w:val="hybridMultilevel"/>
    <w:tmpl w:val="74960E7C"/>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3">
    <w:nsid w:val="7CF1053F"/>
    <w:multiLevelType w:val="hybridMultilevel"/>
    <w:tmpl w:val="DB62EAA0"/>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74">
    <w:nsid w:val="7E13045E"/>
    <w:multiLevelType w:val="hybridMultilevel"/>
    <w:tmpl w:val="3522E158"/>
    <w:lvl w:ilvl="0">
      <w:start w:val="1"/>
      <w:numFmt w:val="lowerLetter"/>
      <w:lvlText w:val="%1."/>
      <w:lvlJc w:val="left"/>
      <w:pPr>
        <w:ind w:left="1080" w:hanging="360"/>
      </w:pPr>
      <w:rPr>
        <w:rFonts w:hint="default"/>
        <w:b/>
        <w:bCs/>
        <w:i/>
        <w:i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7E13045F"/>
    <w:multiLevelType w:val="hybridMultilevel"/>
    <w:tmpl w:val="052EF382"/>
    <w:lvl w:ilvl="0">
      <w:start w:val="1"/>
      <w:numFmt w:val="lowerLetter"/>
      <w:lvlText w:val="%1."/>
      <w:lvlJc w:val="left"/>
      <w:pPr>
        <w:ind w:left="1212" w:hanging="360"/>
      </w:pPr>
      <w:rPr>
        <w:rFonts w:hint="default"/>
      </w:rPr>
    </w:lvl>
    <w:lvl w:ilvl="1">
      <w:start w:val="1"/>
      <w:numFmt w:val="decimal"/>
      <w:lvlText w:val="%2."/>
      <w:lvlJc w:val="left"/>
      <w:pPr>
        <w:ind w:left="785" w:hanging="360"/>
      </w:pPr>
      <w:rPr>
        <w:rFonts w:hint="default"/>
      </w:rPr>
    </w:lvl>
    <w:lvl w:ilvl="2">
      <w:start w:val="1"/>
      <w:numFmt w:val="upperLetter"/>
      <w:lvlText w:val="%3."/>
      <w:lvlJc w:val="left"/>
      <w:pPr>
        <w:ind w:left="2832" w:hanging="360"/>
      </w:pPr>
      <w:rPr>
        <w:rFonts w:hint="default"/>
        <w:b/>
      </w:rPr>
    </w:lvl>
    <w:lvl w:ilvl="3" w:tentative="1">
      <w:start w:val="1"/>
      <w:numFmt w:val="decimal"/>
      <w:lvlText w:val="%4."/>
      <w:lvlJc w:val="left"/>
      <w:pPr>
        <w:ind w:left="3372" w:hanging="360"/>
      </w:pPr>
    </w:lvl>
    <w:lvl w:ilvl="4" w:tentative="1">
      <w:start w:val="1"/>
      <w:numFmt w:val="lowerLetter"/>
      <w:lvlText w:val="%5."/>
      <w:lvlJc w:val="left"/>
      <w:pPr>
        <w:ind w:left="4092" w:hanging="360"/>
      </w:pPr>
    </w:lvl>
    <w:lvl w:ilvl="5" w:tentative="1">
      <w:start w:val="1"/>
      <w:numFmt w:val="lowerRoman"/>
      <w:lvlText w:val="%6."/>
      <w:lvlJc w:val="right"/>
      <w:pPr>
        <w:ind w:left="4812" w:hanging="180"/>
      </w:pPr>
    </w:lvl>
    <w:lvl w:ilvl="6" w:tentative="1">
      <w:start w:val="1"/>
      <w:numFmt w:val="decimal"/>
      <w:lvlText w:val="%7."/>
      <w:lvlJc w:val="left"/>
      <w:pPr>
        <w:ind w:left="5532" w:hanging="360"/>
      </w:pPr>
    </w:lvl>
    <w:lvl w:ilvl="7" w:tentative="1">
      <w:start w:val="1"/>
      <w:numFmt w:val="lowerLetter"/>
      <w:lvlText w:val="%8."/>
      <w:lvlJc w:val="left"/>
      <w:pPr>
        <w:ind w:left="6252" w:hanging="360"/>
      </w:pPr>
    </w:lvl>
    <w:lvl w:ilvl="8" w:tentative="1">
      <w:start w:val="1"/>
      <w:numFmt w:val="lowerRoman"/>
      <w:lvlText w:val="%9."/>
      <w:lvlJc w:val="right"/>
      <w:pPr>
        <w:ind w:left="6972" w:hanging="180"/>
      </w:pPr>
    </w:lvl>
  </w:abstractNum>
  <w:num w:numId="1" w16cid:durableId="738485056">
    <w:abstractNumId w:val="56"/>
  </w:num>
  <w:num w:numId="2" w16cid:durableId="654573781">
    <w:abstractNumId w:val="14"/>
  </w:num>
  <w:num w:numId="3" w16cid:durableId="51732720">
    <w:abstractNumId w:val="26"/>
  </w:num>
  <w:num w:numId="4" w16cid:durableId="1637645004">
    <w:abstractNumId w:val="2"/>
  </w:num>
  <w:num w:numId="5" w16cid:durableId="1752433883">
    <w:abstractNumId w:val="31"/>
  </w:num>
  <w:num w:numId="6" w16cid:durableId="1952860489">
    <w:abstractNumId w:val="25"/>
  </w:num>
  <w:num w:numId="7" w16cid:durableId="1008216212">
    <w:abstractNumId w:val="64"/>
  </w:num>
  <w:num w:numId="8" w16cid:durableId="2121290029">
    <w:abstractNumId w:val="66"/>
  </w:num>
  <w:num w:numId="9" w16cid:durableId="721102143">
    <w:abstractNumId w:val="24"/>
  </w:num>
  <w:num w:numId="10" w16cid:durableId="647826407">
    <w:abstractNumId w:val="11"/>
  </w:num>
  <w:num w:numId="11" w16cid:durableId="1027684913">
    <w:abstractNumId w:val="52"/>
  </w:num>
  <w:num w:numId="12" w16cid:durableId="1862889689">
    <w:abstractNumId w:val="38"/>
  </w:num>
  <w:num w:numId="13" w16cid:durableId="63381417">
    <w:abstractNumId w:val="55"/>
  </w:num>
  <w:num w:numId="14" w16cid:durableId="1850093927">
    <w:abstractNumId w:val="63"/>
  </w:num>
  <w:num w:numId="15" w16cid:durableId="757407313">
    <w:abstractNumId w:val="48"/>
  </w:num>
  <w:num w:numId="16" w16cid:durableId="1320963866">
    <w:abstractNumId w:val="45"/>
  </w:num>
  <w:num w:numId="17" w16cid:durableId="556745058">
    <w:abstractNumId w:val="36"/>
  </w:num>
  <w:num w:numId="18" w16cid:durableId="304941338">
    <w:abstractNumId w:val="32"/>
  </w:num>
  <w:num w:numId="19" w16cid:durableId="1025330066">
    <w:abstractNumId w:val="68"/>
  </w:num>
  <w:num w:numId="20" w16cid:durableId="123888782">
    <w:abstractNumId w:val="59"/>
  </w:num>
  <w:num w:numId="21" w16cid:durableId="647709251">
    <w:abstractNumId w:val="53"/>
  </w:num>
  <w:num w:numId="22" w16cid:durableId="2137796793">
    <w:abstractNumId w:val="7"/>
  </w:num>
  <w:num w:numId="23" w16cid:durableId="522212053">
    <w:abstractNumId w:val="10"/>
  </w:num>
  <w:num w:numId="24" w16cid:durableId="2052341805">
    <w:abstractNumId w:val="16"/>
  </w:num>
  <w:num w:numId="25" w16cid:durableId="738987336">
    <w:abstractNumId w:val="74"/>
  </w:num>
  <w:num w:numId="26" w16cid:durableId="1663968186">
    <w:abstractNumId w:val="29"/>
  </w:num>
  <w:num w:numId="27" w16cid:durableId="370035649">
    <w:abstractNumId w:val="5"/>
  </w:num>
  <w:num w:numId="28" w16cid:durableId="1274434624">
    <w:abstractNumId w:val="60"/>
  </w:num>
  <w:num w:numId="29" w16cid:durableId="1407343421">
    <w:abstractNumId w:val="39"/>
  </w:num>
  <w:num w:numId="30" w16cid:durableId="424307675">
    <w:abstractNumId w:val="51"/>
  </w:num>
  <w:num w:numId="31" w16cid:durableId="67266340">
    <w:abstractNumId w:val="54"/>
  </w:num>
  <w:num w:numId="32" w16cid:durableId="380255868">
    <w:abstractNumId w:val="4"/>
  </w:num>
  <w:num w:numId="33" w16cid:durableId="2105494893">
    <w:abstractNumId w:val="17"/>
  </w:num>
  <w:num w:numId="34" w16cid:durableId="549027538">
    <w:abstractNumId w:val="21"/>
  </w:num>
  <w:num w:numId="35" w16cid:durableId="2063164476">
    <w:abstractNumId w:val="8"/>
  </w:num>
  <w:num w:numId="36" w16cid:durableId="275911077">
    <w:abstractNumId w:val="9"/>
  </w:num>
  <w:num w:numId="37" w16cid:durableId="1204364661">
    <w:abstractNumId w:val="28"/>
  </w:num>
  <w:num w:numId="38" w16cid:durableId="1633511384">
    <w:abstractNumId w:val="61"/>
  </w:num>
  <w:num w:numId="39" w16cid:durableId="1188954193">
    <w:abstractNumId w:val="67"/>
  </w:num>
  <w:num w:numId="40" w16cid:durableId="1557862294">
    <w:abstractNumId w:val="71"/>
  </w:num>
  <w:num w:numId="41" w16cid:durableId="747270749">
    <w:abstractNumId w:val="23"/>
  </w:num>
  <w:num w:numId="42" w16cid:durableId="676080055">
    <w:abstractNumId w:val="46"/>
  </w:num>
  <w:num w:numId="43" w16cid:durableId="144901251">
    <w:abstractNumId w:val="42"/>
  </w:num>
  <w:num w:numId="44" w16cid:durableId="1880555986">
    <w:abstractNumId w:val="33"/>
  </w:num>
  <w:num w:numId="45" w16cid:durableId="1742211794">
    <w:abstractNumId w:val="19"/>
  </w:num>
  <w:num w:numId="46" w16cid:durableId="616063724">
    <w:abstractNumId w:val="43"/>
  </w:num>
  <w:num w:numId="47" w16cid:durableId="122618536">
    <w:abstractNumId w:val="15"/>
  </w:num>
  <w:num w:numId="48" w16cid:durableId="520240758">
    <w:abstractNumId w:val="62"/>
  </w:num>
  <w:num w:numId="49" w16cid:durableId="1564945894">
    <w:abstractNumId w:val="35"/>
  </w:num>
  <w:num w:numId="50" w16cid:durableId="1815564431">
    <w:abstractNumId w:val="0"/>
  </w:num>
  <w:num w:numId="51" w16cid:durableId="745106514">
    <w:abstractNumId w:val="37"/>
  </w:num>
  <w:num w:numId="52" w16cid:durableId="846018445">
    <w:abstractNumId w:val="40"/>
  </w:num>
  <w:num w:numId="53" w16cid:durableId="226917250">
    <w:abstractNumId w:val="73"/>
  </w:num>
  <w:num w:numId="54" w16cid:durableId="1372539473">
    <w:abstractNumId w:val="49"/>
  </w:num>
  <w:num w:numId="55" w16cid:durableId="1233005465">
    <w:abstractNumId w:val="18"/>
  </w:num>
  <w:num w:numId="56" w16cid:durableId="1770077174">
    <w:abstractNumId w:val="50"/>
  </w:num>
  <w:num w:numId="57" w16cid:durableId="2101295363">
    <w:abstractNumId w:val="1"/>
  </w:num>
  <w:num w:numId="58" w16cid:durableId="1286111155">
    <w:abstractNumId w:val="6"/>
  </w:num>
  <w:num w:numId="59" w16cid:durableId="1862088771">
    <w:abstractNumId w:val="47"/>
  </w:num>
  <w:num w:numId="60" w16cid:durableId="974408177">
    <w:abstractNumId w:val="72"/>
  </w:num>
  <w:num w:numId="61" w16cid:durableId="833376646">
    <w:abstractNumId w:val="27"/>
  </w:num>
  <w:num w:numId="62" w16cid:durableId="1367096527">
    <w:abstractNumId w:val="65"/>
  </w:num>
  <w:num w:numId="63" w16cid:durableId="1464350983">
    <w:abstractNumId w:val="41"/>
  </w:num>
  <w:num w:numId="64" w16cid:durableId="1788045570">
    <w:abstractNumId w:val="69"/>
  </w:num>
  <w:num w:numId="65" w16cid:durableId="851841981">
    <w:abstractNumId w:val="70"/>
  </w:num>
  <w:num w:numId="66" w16cid:durableId="988708812">
    <w:abstractNumId w:val="12"/>
  </w:num>
  <w:num w:numId="67" w16cid:durableId="140974517">
    <w:abstractNumId w:val="34"/>
  </w:num>
  <w:num w:numId="68" w16cid:durableId="248925066">
    <w:abstractNumId w:val="58"/>
  </w:num>
  <w:num w:numId="69" w16cid:durableId="531580627">
    <w:abstractNumId w:val="44"/>
  </w:num>
  <w:num w:numId="70" w16cid:durableId="121459513">
    <w:abstractNumId w:val="30"/>
  </w:num>
  <w:num w:numId="71" w16cid:durableId="579103366">
    <w:abstractNumId w:val="3"/>
  </w:num>
  <w:num w:numId="72" w16cid:durableId="1635482873">
    <w:abstractNumId w:val="20"/>
  </w:num>
  <w:num w:numId="73" w16cid:durableId="354043344">
    <w:abstractNumId w:val="57"/>
  </w:num>
  <w:num w:numId="74" w16cid:durableId="1992978923">
    <w:abstractNumId w:val="22"/>
  </w:num>
  <w:num w:numId="75" w16cid:durableId="1223129255">
    <w:abstractNumId w:val="13"/>
  </w:num>
  <w:num w:numId="76">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BD"/>
    <w:rsid w:val="00001FE9"/>
    <w:rsid w:val="0000247C"/>
    <w:rsid w:val="0000415D"/>
    <w:rsid w:val="00004DEF"/>
    <w:rsid w:val="00013CB5"/>
    <w:rsid w:val="00013D0E"/>
    <w:rsid w:val="000154A2"/>
    <w:rsid w:val="00020F75"/>
    <w:rsid w:val="000231E4"/>
    <w:rsid w:val="000304D1"/>
    <w:rsid w:val="000309B3"/>
    <w:rsid w:val="00031C6B"/>
    <w:rsid w:val="0003381A"/>
    <w:rsid w:val="000353EA"/>
    <w:rsid w:val="00035D7E"/>
    <w:rsid w:val="000366E2"/>
    <w:rsid w:val="000368BE"/>
    <w:rsid w:val="00037DA7"/>
    <w:rsid w:val="0004203F"/>
    <w:rsid w:val="00045102"/>
    <w:rsid w:val="00046AEC"/>
    <w:rsid w:val="00050103"/>
    <w:rsid w:val="0005105F"/>
    <w:rsid w:val="000532AD"/>
    <w:rsid w:val="00056378"/>
    <w:rsid w:val="00056EC8"/>
    <w:rsid w:val="00060754"/>
    <w:rsid w:val="0006161B"/>
    <w:rsid w:val="00063287"/>
    <w:rsid w:val="00063C61"/>
    <w:rsid w:val="00064CE2"/>
    <w:rsid w:val="00067239"/>
    <w:rsid w:val="00070CE6"/>
    <w:rsid w:val="00071B50"/>
    <w:rsid w:val="0007257C"/>
    <w:rsid w:val="00072D1A"/>
    <w:rsid w:val="00073834"/>
    <w:rsid w:val="00075892"/>
    <w:rsid w:val="00083821"/>
    <w:rsid w:val="000864C2"/>
    <w:rsid w:val="0008677E"/>
    <w:rsid w:val="000874B2"/>
    <w:rsid w:val="000903D6"/>
    <w:rsid w:val="00094A16"/>
    <w:rsid w:val="0009584B"/>
    <w:rsid w:val="00096B67"/>
    <w:rsid w:val="000976A2"/>
    <w:rsid w:val="000977F8"/>
    <w:rsid w:val="000A15A7"/>
    <w:rsid w:val="000A1ED3"/>
    <w:rsid w:val="000A229F"/>
    <w:rsid w:val="000A2BBB"/>
    <w:rsid w:val="000A32B3"/>
    <w:rsid w:val="000A39D1"/>
    <w:rsid w:val="000B3103"/>
    <w:rsid w:val="000B56D0"/>
    <w:rsid w:val="000C25FF"/>
    <w:rsid w:val="000C3A7A"/>
    <w:rsid w:val="000D0CA6"/>
    <w:rsid w:val="000D20A5"/>
    <w:rsid w:val="000D40FC"/>
    <w:rsid w:val="000D421B"/>
    <w:rsid w:val="000D5380"/>
    <w:rsid w:val="000E2137"/>
    <w:rsid w:val="000E2DFF"/>
    <w:rsid w:val="000E4749"/>
    <w:rsid w:val="000E4D15"/>
    <w:rsid w:val="000E5208"/>
    <w:rsid w:val="000F5BCF"/>
    <w:rsid w:val="00100527"/>
    <w:rsid w:val="0010054F"/>
    <w:rsid w:val="001009A2"/>
    <w:rsid w:val="00102CFD"/>
    <w:rsid w:val="00106ED2"/>
    <w:rsid w:val="00112463"/>
    <w:rsid w:val="00114143"/>
    <w:rsid w:val="00117885"/>
    <w:rsid w:val="00120396"/>
    <w:rsid w:val="001209CC"/>
    <w:rsid w:val="00122073"/>
    <w:rsid w:val="001268FF"/>
    <w:rsid w:val="00131AF7"/>
    <w:rsid w:val="00136374"/>
    <w:rsid w:val="0014483A"/>
    <w:rsid w:val="00152DEE"/>
    <w:rsid w:val="00154755"/>
    <w:rsid w:val="00155D45"/>
    <w:rsid w:val="00160F57"/>
    <w:rsid w:val="00161719"/>
    <w:rsid w:val="00161C1E"/>
    <w:rsid w:val="00162004"/>
    <w:rsid w:val="00162F9B"/>
    <w:rsid w:val="0016456B"/>
    <w:rsid w:val="00165C97"/>
    <w:rsid w:val="00166414"/>
    <w:rsid w:val="001718E0"/>
    <w:rsid w:val="001737B3"/>
    <w:rsid w:val="00173FA1"/>
    <w:rsid w:val="00176233"/>
    <w:rsid w:val="00181D4C"/>
    <w:rsid w:val="00181DD0"/>
    <w:rsid w:val="00183EFC"/>
    <w:rsid w:val="00185892"/>
    <w:rsid w:val="00191CFB"/>
    <w:rsid w:val="001947A3"/>
    <w:rsid w:val="00195373"/>
    <w:rsid w:val="001962E0"/>
    <w:rsid w:val="001A134F"/>
    <w:rsid w:val="001A1BE2"/>
    <w:rsid w:val="001A1E6F"/>
    <w:rsid w:val="001A2188"/>
    <w:rsid w:val="001A4AC0"/>
    <w:rsid w:val="001A7E4E"/>
    <w:rsid w:val="001A7E74"/>
    <w:rsid w:val="001B0A12"/>
    <w:rsid w:val="001B226D"/>
    <w:rsid w:val="001B28A5"/>
    <w:rsid w:val="001B3060"/>
    <w:rsid w:val="001B310E"/>
    <w:rsid w:val="001B3BF9"/>
    <w:rsid w:val="001B4012"/>
    <w:rsid w:val="001B58EA"/>
    <w:rsid w:val="001C0308"/>
    <w:rsid w:val="001C04D7"/>
    <w:rsid w:val="001C0BFF"/>
    <w:rsid w:val="001C177B"/>
    <w:rsid w:val="001C2228"/>
    <w:rsid w:val="001C2B8A"/>
    <w:rsid w:val="001C5178"/>
    <w:rsid w:val="001C6248"/>
    <w:rsid w:val="001D0D47"/>
    <w:rsid w:val="001D20C6"/>
    <w:rsid w:val="001D28D7"/>
    <w:rsid w:val="001D2C08"/>
    <w:rsid w:val="001D30A2"/>
    <w:rsid w:val="001D6087"/>
    <w:rsid w:val="001E0C2C"/>
    <w:rsid w:val="001E32FC"/>
    <w:rsid w:val="001E3BCD"/>
    <w:rsid w:val="001E5C3E"/>
    <w:rsid w:val="001E6162"/>
    <w:rsid w:val="001F2A17"/>
    <w:rsid w:val="001F73C7"/>
    <w:rsid w:val="00200543"/>
    <w:rsid w:val="002051B1"/>
    <w:rsid w:val="002138F4"/>
    <w:rsid w:val="0021524C"/>
    <w:rsid w:val="0021565E"/>
    <w:rsid w:val="0021588E"/>
    <w:rsid w:val="00216E3C"/>
    <w:rsid w:val="00217359"/>
    <w:rsid w:val="00220492"/>
    <w:rsid w:val="002230E1"/>
    <w:rsid w:val="00234B30"/>
    <w:rsid w:val="002350E7"/>
    <w:rsid w:val="00235BA0"/>
    <w:rsid w:val="00241602"/>
    <w:rsid w:val="0024654E"/>
    <w:rsid w:val="002465F5"/>
    <w:rsid w:val="00246702"/>
    <w:rsid w:val="00246E25"/>
    <w:rsid w:val="00250776"/>
    <w:rsid w:val="002511D4"/>
    <w:rsid w:val="00251984"/>
    <w:rsid w:val="002529AC"/>
    <w:rsid w:val="00253BEF"/>
    <w:rsid w:val="002545D2"/>
    <w:rsid w:val="00254E59"/>
    <w:rsid w:val="002615FB"/>
    <w:rsid w:val="002624CF"/>
    <w:rsid w:val="00262DD7"/>
    <w:rsid w:val="00262EE2"/>
    <w:rsid w:val="00266FCF"/>
    <w:rsid w:val="002701A7"/>
    <w:rsid w:val="00270437"/>
    <w:rsid w:val="00271108"/>
    <w:rsid w:val="00271AC2"/>
    <w:rsid w:val="0027308A"/>
    <w:rsid w:val="00273176"/>
    <w:rsid w:val="00274DB3"/>
    <w:rsid w:val="0027662F"/>
    <w:rsid w:val="00276BFD"/>
    <w:rsid w:val="00277AEB"/>
    <w:rsid w:val="00280426"/>
    <w:rsid w:val="00280EE3"/>
    <w:rsid w:val="002810D0"/>
    <w:rsid w:val="00282EB5"/>
    <w:rsid w:val="00285040"/>
    <w:rsid w:val="002866A4"/>
    <w:rsid w:val="0028685A"/>
    <w:rsid w:val="002868E8"/>
    <w:rsid w:val="00290494"/>
    <w:rsid w:val="00290BA1"/>
    <w:rsid w:val="00290E69"/>
    <w:rsid w:val="0029167A"/>
    <w:rsid w:val="0029219B"/>
    <w:rsid w:val="00295D25"/>
    <w:rsid w:val="00296F5F"/>
    <w:rsid w:val="002A0F64"/>
    <w:rsid w:val="002A2360"/>
    <w:rsid w:val="002A3642"/>
    <w:rsid w:val="002A65CC"/>
    <w:rsid w:val="002A7D01"/>
    <w:rsid w:val="002A7F0C"/>
    <w:rsid w:val="002B1798"/>
    <w:rsid w:val="002B2D10"/>
    <w:rsid w:val="002B3586"/>
    <w:rsid w:val="002B3D7E"/>
    <w:rsid w:val="002B59DD"/>
    <w:rsid w:val="002B78F3"/>
    <w:rsid w:val="002B7AC4"/>
    <w:rsid w:val="002C12C9"/>
    <w:rsid w:val="002C1F47"/>
    <w:rsid w:val="002C2257"/>
    <w:rsid w:val="002C31FA"/>
    <w:rsid w:val="002D3FF5"/>
    <w:rsid w:val="002D7997"/>
    <w:rsid w:val="002D7CF6"/>
    <w:rsid w:val="002E01F9"/>
    <w:rsid w:val="002E0554"/>
    <w:rsid w:val="002E58D6"/>
    <w:rsid w:val="002E7E0F"/>
    <w:rsid w:val="002F5BFD"/>
    <w:rsid w:val="002F6657"/>
    <w:rsid w:val="002F6F0F"/>
    <w:rsid w:val="00300524"/>
    <w:rsid w:val="00300916"/>
    <w:rsid w:val="00301A9B"/>
    <w:rsid w:val="00302179"/>
    <w:rsid w:val="003041DE"/>
    <w:rsid w:val="00304A20"/>
    <w:rsid w:val="003055F1"/>
    <w:rsid w:val="0031068D"/>
    <w:rsid w:val="00310B05"/>
    <w:rsid w:val="003127F7"/>
    <w:rsid w:val="0031417F"/>
    <w:rsid w:val="00315751"/>
    <w:rsid w:val="00316AE1"/>
    <w:rsid w:val="00320962"/>
    <w:rsid w:val="00321A2F"/>
    <w:rsid w:val="00323C79"/>
    <w:rsid w:val="00331311"/>
    <w:rsid w:val="003323A8"/>
    <w:rsid w:val="003345F6"/>
    <w:rsid w:val="00334956"/>
    <w:rsid w:val="00335D50"/>
    <w:rsid w:val="0033762F"/>
    <w:rsid w:val="00337C5D"/>
    <w:rsid w:val="00340EC6"/>
    <w:rsid w:val="0034355C"/>
    <w:rsid w:val="003449BC"/>
    <w:rsid w:val="0034511E"/>
    <w:rsid w:val="003508C5"/>
    <w:rsid w:val="00354CA7"/>
    <w:rsid w:val="00354E7A"/>
    <w:rsid w:val="00355860"/>
    <w:rsid w:val="00357609"/>
    <w:rsid w:val="003642F1"/>
    <w:rsid w:val="00364DDF"/>
    <w:rsid w:val="003675EF"/>
    <w:rsid w:val="00370EC2"/>
    <w:rsid w:val="00373CC2"/>
    <w:rsid w:val="003774BE"/>
    <w:rsid w:val="003815F1"/>
    <w:rsid w:val="00383137"/>
    <w:rsid w:val="00383D4D"/>
    <w:rsid w:val="00394DBF"/>
    <w:rsid w:val="00395EB9"/>
    <w:rsid w:val="0039684D"/>
    <w:rsid w:val="003A2087"/>
    <w:rsid w:val="003A2D22"/>
    <w:rsid w:val="003A5B7A"/>
    <w:rsid w:val="003B2794"/>
    <w:rsid w:val="003B4E79"/>
    <w:rsid w:val="003B6A66"/>
    <w:rsid w:val="003C6E74"/>
    <w:rsid w:val="003C7B0A"/>
    <w:rsid w:val="003C7E4B"/>
    <w:rsid w:val="003D4003"/>
    <w:rsid w:val="003D47A0"/>
    <w:rsid w:val="003D4D4E"/>
    <w:rsid w:val="003D77C7"/>
    <w:rsid w:val="003E0CC9"/>
    <w:rsid w:val="003E4282"/>
    <w:rsid w:val="003E50A8"/>
    <w:rsid w:val="003F5192"/>
    <w:rsid w:val="003F5C17"/>
    <w:rsid w:val="003F6441"/>
    <w:rsid w:val="003F6A5D"/>
    <w:rsid w:val="003F6A5E"/>
    <w:rsid w:val="003F6AAF"/>
    <w:rsid w:val="003F73C8"/>
    <w:rsid w:val="00402D0B"/>
    <w:rsid w:val="004038D2"/>
    <w:rsid w:val="00404859"/>
    <w:rsid w:val="004052E3"/>
    <w:rsid w:val="00405D1C"/>
    <w:rsid w:val="0040609C"/>
    <w:rsid w:val="00407096"/>
    <w:rsid w:val="00407C49"/>
    <w:rsid w:val="00416A19"/>
    <w:rsid w:val="0041732A"/>
    <w:rsid w:val="00424985"/>
    <w:rsid w:val="00425FFC"/>
    <w:rsid w:val="00431E36"/>
    <w:rsid w:val="004324BE"/>
    <w:rsid w:val="00432EA9"/>
    <w:rsid w:val="00433BE5"/>
    <w:rsid w:val="004361B6"/>
    <w:rsid w:val="004422A6"/>
    <w:rsid w:val="00443195"/>
    <w:rsid w:val="00443827"/>
    <w:rsid w:val="00443F0B"/>
    <w:rsid w:val="00445691"/>
    <w:rsid w:val="00450E06"/>
    <w:rsid w:val="00453B19"/>
    <w:rsid w:val="004609E5"/>
    <w:rsid w:val="0046277E"/>
    <w:rsid w:val="00462A73"/>
    <w:rsid w:val="0046716C"/>
    <w:rsid w:val="00467367"/>
    <w:rsid w:val="004741B8"/>
    <w:rsid w:val="0048096D"/>
    <w:rsid w:val="00480F5D"/>
    <w:rsid w:val="00482711"/>
    <w:rsid w:val="00486A74"/>
    <w:rsid w:val="0048764D"/>
    <w:rsid w:val="004877C6"/>
    <w:rsid w:val="00490C00"/>
    <w:rsid w:val="00490C32"/>
    <w:rsid w:val="00494DDF"/>
    <w:rsid w:val="004A0B9D"/>
    <w:rsid w:val="004A12FF"/>
    <w:rsid w:val="004A5F43"/>
    <w:rsid w:val="004A7A48"/>
    <w:rsid w:val="004B21E5"/>
    <w:rsid w:val="004B23C9"/>
    <w:rsid w:val="004B2D18"/>
    <w:rsid w:val="004B5634"/>
    <w:rsid w:val="004C073B"/>
    <w:rsid w:val="004C07DA"/>
    <w:rsid w:val="004C0938"/>
    <w:rsid w:val="004C1A47"/>
    <w:rsid w:val="004C2E91"/>
    <w:rsid w:val="004C61F9"/>
    <w:rsid w:val="004C7EE0"/>
    <w:rsid w:val="004C7F27"/>
    <w:rsid w:val="004D0A90"/>
    <w:rsid w:val="004D33BF"/>
    <w:rsid w:val="004D3DE8"/>
    <w:rsid w:val="004D4A31"/>
    <w:rsid w:val="004D64EE"/>
    <w:rsid w:val="004E24E1"/>
    <w:rsid w:val="004E53A5"/>
    <w:rsid w:val="004E5DC5"/>
    <w:rsid w:val="004E7DEB"/>
    <w:rsid w:val="004F0422"/>
    <w:rsid w:val="004F126B"/>
    <w:rsid w:val="004F1D6B"/>
    <w:rsid w:val="004F40A0"/>
    <w:rsid w:val="004F7094"/>
    <w:rsid w:val="004F7A9C"/>
    <w:rsid w:val="00500B49"/>
    <w:rsid w:val="00501584"/>
    <w:rsid w:val="005038E7"/>
    <w:rsid w:val="00504192"/>
    <w:rsid w:val="0050481E"/>
    <w:rsid w:val="00504CAC"/>
    <w:rsid w:val="00505862"/>
    <w:rsid w:val="00510BB4"/>
    <w:rsid w:val="00511BE2"/>
    <w:rsid w:val="00511D9D"/>
    <w:rsid w:val="00512CF4"/>
    <w:rsid w:val="00513B83"/>
    <w:rsid w:val="00514B86"/>
    <w:rsid w:val="0051598C"/>
    <w:rsid w:val="005164D1"/>
    <w:rsid w:val="005200F2"/>
    <w:rsid w:val="005203E2"/>
    <w:rsid w:val="00520465"/>
    <w:rsid w:val="00523A49"/>
    <w:rsid w:val="00527D28"/>
    <w:rsid w:val="00531939"/>
    <w:rsid w:val="00532A95"/>
    <w:rsid w:val="00532FC9"/>
    <w:rsid w:val="005339A4"/>
    <w:rsid w:val="005342FF"/>
    <w:rsid w:val="005344DD"/>
    <w:rsid w:val="005410A5"/>
    <w:rsid w:val="00541C1F"/>
    <w:rsid w:val="00542FDB"/>
    <w:rsid w:val="0054334E"/>
    <w:rsid w:val="00544906"/>
    <w:rsid w:val="00544BFF"/>
    <w:rsid w:val="00546B21"/>
    <w:rsid w:val="00552321"/>
    <w:rsid w:val="00552DC6"/>
    <w:rsid w:val="00553349"/>
    <w:rsid w:val="00554A0C"/>
    <w:rsid w:val="00556FBA"/>
    <w:rsid w:val="00562267"/>
    <w:rsid w:val="00564591"/>
    <w:rsid w:val="005646F1"/>
    <w:rsid w:val="00564EC4"/>
    <w:rsid w:val="00566174"/>
    <w:rsid w:val="0057062A"/>
    <w:rsid w:val="0057128F"/>
    <w:rsid w:val="00572386"/>
    <w:rsid w:val="00574EAC"/>
    <w:rsid w:val="00575BF0"/>
    <w:rsid w:val="00575CBB"/>
    <w:rsid w:val="00575D4F"/>
    <w:rsid w:val="005761EC"/>
    <w:rsid w:val="00577565"/>
    <w:rsid w:val="005803FD"/>
    <w:rsid w:val="005819E7"/>
    <w:rsid w:val="00581E30"/>
    <w:rsid w:val="005826E7"/>
    <w:rsid w:val="00583F8F"/>
    <w:rsid w:val="00587210"/>
    <w:rsid w:val="00590A88"/>
    <w:rsid w:val="00590CAD"/>
    <w:rsid w:val="00592765"/>
    <w:rsid w:val="00596707"/>
    <w:rsid w:val="005975DC"/>
    <w:rsid w:val="005A1A80"/>
    <w:rsid w:val="005A1D36"/>
    <w:rsid w:val="005A210B"/>
    <w:rsid w:val="005A63BC"/>
    <w:rsid w:val="005B331C"/>
    <w:rsid w:val="005B7809"/>
    <w:rsid w:val="005B789B"/>
    <w:rsid w:val="005C07CD"/>
    <w:rsid w:val="005C0858"/>
    <w:rsid w:val="005C4152"/>
    <w:rsid w:val="005C44E2"/>
    <w:rsid w:val="005C50C5"/>
    <w:rsid w:val="005C581E"/>
    <w:rsid w:val="005C5DB6"/>
    <w:rsid w:val="005C61E1"/>
    <w:rsid w:val="005D24AC"/>
    <w:rsid w:val="005D3D61"/>
    <w:rsid w:val="005D40BA"/>
    <w:rsid w:val="005D41B8"/>
    <w:rsid w:val="005D4758"/>
    <w:rsid w:val="005E16C3"/>
    <w:rsid w:val="005E46D3"/>
    <w:rsid w:val="005E6A41"/>
    <w:rsid w:val="005F061C"/>
    <w:rsid w:val="005F66C6"/>
    <w:rsid w:val="005F7996"/>
    <w:rsid w:val="00600157"/>
    <w:rsid w:val="00601725"/>
    <w:rsid w:val="00604BED"/>
    <w:rsid w:val="00605766"/>
    <w:rsid w:val="00606AFA"/>
    <w:rsid w:val="00610FDD"/>
    <w:rsid w:val="006144C3"/>
    <w:rsid w:val="00615013"/>
    <w:rsid w:val="006174B5"/>
    <w:rsid w:val="0061761A"/>
    <w:rsid w:val="006178E3"/>
    <w:rsid w:val="00617E2B"/>
    <w:rsid w:val="0062122A"/>
    <w:rsid w:val="00621279"/>
    <w:rsid w:val="00621EF8"/>
    <w:rsid w:val="00623218"/>
    <w:rsid w:val="006275D0"/>
    <w:rsid w:val="006306D2"/>
    <w:rsid w:val="00631361"/>
    <w:rsid w:val="006338CA"/>
    <w:rsid w:val="00636F58"/>
    <w:rsid w:val="00637DE3"/>
    <w:rsid w:val="00640DF5"/>
    <w:rsid w:val="00642E18"/>
    <w:rsid w:val="006459B3"/>
    <w:rsid w:val="00646F09"/>
    <w:rsid w:val="00650B7D"/>
    <w:rsid w:val="00650C9F"/>
    <w:rsid w:val="006522E2"/>
    <w:rsid w:val="00654BEA"/>
    <w:rsid w:val="00655473"/>
    <w:rsid w:val="006559D6"/>
    <w:rsid w:val="00657C1F"/>
    <w:rsid w:val="006605B1"/>
    <w:rsid w:val="00660720"/>
    <w:rsid w:val="006611EF"/>
    <w:rsid w:val="00665555"/>
    <w:rsid w:val="006672CB"/>
    <w:rsid w:val="0066770B"/>
    <w:rsid w:val="00670C90"/>
    <w:rsid w:val="0067140C"/>
    <w:rsid w:val="00671DDD"/>
    <w:rsid w:val="00672108"/>
    <w:rsid w:val="0067456E"/>
    <w:rsid w:val="00675167"/>
    <w:rsid w:val="00675179"/>
    <w:rsid w:val="00677015"/>
    <w:rsid w:val="0068135D"/>
    <w:rsid w:val="00681CBD"/>
    <w:rsid w:val="0068274A"/>
    <w:rsid w:val="00682DCD"/>
    <w:rsid w:val="00692571"/>
    <w:rsid w:val="00693681"/>
    <w:rsid w:val="00694711"/>
    <w:rsid w:val="00694E8F"/>
    <w:rsid w:val="006952A8"/>
    <w:rsid w:val="00696A18"/>
    <w:rsid w:val="006A0993"/>
    <w:rsid w:val="006A099C"/>
    <w:rsid w:val="006A201F"/>
    <w:rsid w:val="006A230C"/>
    <w:rsid w:val="006A25CD"/>
    <w:rsid w:val="006B0FF3"/>
    <w:rsid w:val="006B130B"/>
    <w:rsid w:val="006B2FEA"/>
    <w:rsid w:val="006B3C66"/>
    <w:rsid w:val="006B59A1"/>
    <w:rsid w:val="006B6EF0"/>
    <w:rsid w:val="006C1B46"/>
    <w:rsid w:val="006C4368"/>
    <w:rsid w:val="006C4667"/>
    <w:rsid w:val="006C4D6B"/>
    <w:rsid w:val="006D21AE"/>
    <w:rsid w:val="006D257E"/>
    <w:rsid w:val="006D3290"/>
    <w:rsid w:val="006D32A6"/>
    <w:rsid w:val="006D5CFD"/>
    <w:rsid w:val="006D791F"/>
    <w:rsid w:val="006D7BF6"/>
    <w:rsid w:val="006E5584"/>
    <w:rsid w:val="006E5808"/>
    <w:rsid w:val="006E5BA5"/>
    <w:rsid w:val="006E5C04"/>
    <w:rsid w:val="006E6745"/>
    <w:rsid w:val="006E6942"/>
    <w:rsid w:val="006F0C5B"/>
    <w:rsid w:val="006F1038"/>
    <w:rsid w:val="006F2318"/>
    <w:rsid w:val="006F728B"/>
    <w:rsid w:val="006F7A52"/>
    <w:rsid w:val="00700807"/>
    <w:rsid w:val="0070294F"/>
    <w:rsid w:val="00703132"/>
    <w:rsid w:val="00703377"/>
    <w:rsid w:val="00706739"/>
    <w:rsid w:val="00707EF9"/>
    <w:rsid w:val="0071262F"/>
    <w:rsid w:val="007159DD"/>
    <w:rsid w:val="00715E91"/>
    <w:rsid w:val="007160EB"/>
    <w:rsid w:val="007208DA"/>
    <w:rsid w:val="00722FDB"/>
    <w:rsid w:val="0072404D"/>
    <w:rsid w:val="00724505"/>
    <w:rsid w:val="00724605"/>
    <w:rsid w:val="0072601B"/>
    <w:rsid w:val="00727BBF"/>
    <w:rsid w:val="00730497"/>
    <w:rsid w:val="007305CA"/>
    <w:rsid w:val="00733165"/>
    <w:rsid w:val="00733859"/>
    <w:rsid w:val="00733EF6"/>
    <w:rsid w:val="0073442A"/>
    <w:rsid w:val="0073703A"/>
    <w:rsid w:val="00737FD7"/>
    <w:rsid w:val="007415BC"/>
    <w:rsid w:val="00743B39"/>
    <w:rsid w:val="00743B69"/>
    <w:rsid w:val="00744B99"/>
    <w:rsid w:val="00751A19"/>
    <w:rsid w:val="00753458"/>
    <w:rsid w:val="0075604C"/>
    <w:rsid w:val="007604F7"/>
    <w:rsid w:val="00760968"/>
    <w:rsid w:val="00763366"/>
    <w:rsid w:val="007648E7"/>
    <w:rsid w:val="00764DC6"/>
    <w:rsid w:val="0076547E"/>
    <w:rsid w:val="00772128"/>
    <w:rsid w:val="00773808"/>
    <w:rsid w:val="007766B6"/>
    <w:rsid w:val="007776F9"/>
    <w:rsid w:val="007801DB"/>
    <w:rsid w:val="00784151"/>
    <w:rsid w:val="007846E1"/>
    <w:rsid w:val="007852DA"/>
    <w:rsid w:val="00790058"/>
    <w:rsid w:val="007934DC"/>
    <w:rsid w:val="007A0086"/>
    <w:rsid w:val="007A0A65"/>
    <w:rsid w:val="007A2643"/>
    <w:rsid w:val="007A28E3"/>
    <w:rsid w:val="007A63C0"/>
    <w:rsid w:val="007A77B5"/>
    <w:rsid w:val="007B0CDF"/>
    <w:rsid w:val="007B0E22"/>
    <w:rsid w:val="007B32BD"/>
    <w:rsid w:val="007B3501"/>
    <w:rsid w:val="007C2581"/>
    <w:rsid w:val="007C3ED7"/>
    <w:rsid w:val="007C4311"/>
    <w:rsid w:val="007D1DED"/>
    <w:rsid w:val="007D2815"/>
    <w:rsid w:val="007D6C85"/>
    <w:rsid w:val="007E016F"/>
    <w:rsid w:val="007E29DA"/>
    <w:rsid w:val="007E4FBE"/>
    <w:rsid w:val="007E5DA2"/>
    <w:rsid w:val="007F0E1B"/>
    <w:rsid w:val="007F55A3"/>
    <w:rsid w:val="007F57D7"/>
    <w:rsid w:val="007F66C6"/>
    <w:rsid w:val="008031B6"/>
    <w:rsid w:val="00803C42"/>
    <w:rsid w:val="008046A4"/>
    <w:rsid w:val="00805FB6"/>
    <w:rsid w:val="00806F01"/>
    <w:rsid w:val="008071A5"/>
    <w:rsid w:val="00814DE0"/>
    <w:rsid w:val="00817726"/>
    <w:rsid w:val="00817886"/>
    <w:rsid w:val="00817AC7"/>
    <w:rsid w:val="00822675"/>
    <w:rsid w:val="0082298E"/>
    <w:rsid w:val="00827419"/>
    <w:rsid w:val="00830769"/>
    <w:rsid w:val="00834B17"/>
    <w:rsid w:val="00840C2A"/>
    <w:rsid w:val="008453FA"/>
    <w:rsid w:val="00850DE9"/>
    <w:rsid w:val="00851CC1"/>
    <w:rsid w:val="008529FE"/>
    <w:rsid w:val="008543A4"/>
    <w:rsid w:val="00854E18"/>
    <w:rsid w:val="0086131F"/>
    <w:rsid w:val="0086351E"/>
    <w:rsid w:val="00864828"/>
    <w:rsid w:val="00866BB8"/>
    <w:rsid w:val="00867B8D"/>
    <w:rsid w:val="0087358C"/>
    <w:rsid w:val="00874963"/>
    <w:rsid w:val="0087557F"/>
    <w:rsid w:val="00876B04"/>
    <w:rsid w:val="008774DE"/>
    <w:rsid w:val="008806B4"/>
    <w:rsid w:val="00880C97"/>
    <w:rsid w:val="0088242B"/>
    <w:rsid w:val="00885468"/>
    <w:rsid w:val="00891365"/>
    <w:rsid w:val="00891DE6"/>
    <w:rsid w:val="00892CC6"/>
    <w:rsid w:val="008937C2"/>
    <w:rsid w:val="008939B3"/>
    <w:rsid w:val="00894CCF"/>
    <w:rsid w:val="00897A75"/>
    <w:rsid w:val="008A0692"/>
    <w:rsid w:val="008A1FD0"/>
    <w:rsid w:val="008A2B5A"/>
    <w:rsid w:val="008A3A15"/>
    <w:rsid w:val="008A54C9"/>
    <w:rsid w:val="008A6E5E"/>
    <w:rsid w:val="008A7EC3"/>
    <w:rsid w:val="008B087F"/>
    <w:rsid w:val="008B0FFA"/>
    <w:rsid w:val="008B247C"/>
    <w:rsid w:val="008B381B"/>
    <w:rsid w:val="008B566C"/>
    <w:rsid w:val="008B71CC"/>
    <w:rsid w:val="008B75C3"/>
    <w:rsid w:val="008B79CA"/>
    <w:rsid w:val="008B7E53"/>
    <w:rsid w:val="008C1ECE"/>
    <w:rsid w:val="008D000D"/>
    <w:rsid w:val="008D1C95"/>
    <w:rsid w:val="008D44D1"/>
    <w:rsid w:val="008D7897"/>
    <w:rsid w:val="008E0816"/>
    <w:rsid w:val="008F020F"/>
    <w:rsid w:val="008F43EF"/>
    <w:rsid w:val="008F5B7A"/>
    <w:rsid w:val="008F606F"/>
    <w:rsid w:val="00901FA2"/>
    <w:rsid w:val="00902382"/>
    <w:rsid w:val="0090347F"/>
    <w:rsid w:val="00910852"/>
    <w:rsid w:val="00912387"/>
    <w:rsid w:val="00912DD0"/>
    <w:rsid w:val="00913207"/>
    <w:rsid w:val="009154B6"/>
    <w:rsid w:val="00917F63"/>
    <w:rsid w:val="009237FE"/>
    <w:rsid w:val="00923AEA"/>
    <w:rsid w:val="009243CE"/>
    <w:rsid w:val="009249FF"/>
    <w:rsid w:val="00924B13"/>
    <w:rsid w:val="0092641F"/>
    <w:rsid w:val="00926BDD"/>
    <w:rsid w:val="00926D21"/>
    <w:rsid w:val="009303FA"/>
    <w:rsid w:val="009312FB"/>
    <w:rsid w:val="00931A23"/>
    <w:rsid w:val="009326F4"/>
    <w:rsid w:val="00932ADC"/>
    <w:rsid w:val="00933E3A"/>
    <w:rsid w:val="00936308"/>
    <w:rsid w:val="009363FB"/>
    <w:rsid w:val="00937D49"/>
    <w:rsid w:val="009405AB"/>
    <w:rsid w:val="009407FF"/>
    <w:rsid w:val="00941723"/>
    <w:rsid w:val="00944B50"/>
    <w:rsid w:val="009464E1"/>
    <w:rsid w:val="00947B0B"/>
    <w:rsid w:val="009507FE"/>
    <w:rsid w:val="009529C2"/>
    <w:rsid w:val="00955AD0"/>
    <w:rsid w:val="00956123"/>
    <w:rsid w:val="00960863"/>
    <w:rsid w:val="00961D33"/>
    <w:rsid w:val="009628ED"/>
    <w:rsid w:val="00962E44"/>
    <w:rsid w:val="00962F3A"/>
    <w:rsid w:val="00963486"/>
    <w:rsid w:val="00963AB6"/>
    <w:rsid w:val="00964DD6"/>
    <w:rsid w:val="00966C7B"/>
    <w:rsid w:val="0097047E"/>
    <w:rsid w:val="009710C1"/>
    <w:rsid w:val="009717C6"/>
    <w:rsid w:val="00972662"/>
    <w:rsid w:val="00977A39"/>
    <w:rsid w:val="00977E7A"/>
    <w:rsid w:val="00982D99"/>
    <w:rsid w:val="009840E0"/>
    <w:rsid w:val="00985F2E"/>
    <w:rsid w:val="009871A2"/>
    <w:rsid w:val="009872F3"/>
    <w:rsid w:val="00987686"/>
    <w:rsid w:val="0098777F"/>
    <w:rsid w:val="0099009A"/>
    <w:rsid w:val="00992E4B"/>
    <w:rsid w:val="009955B7"/>
    <w:rsid w:val="009A0BA7"/>
    <w:rsid w:val="009A1126"/>
    <w:rsid w:val="009A49D8"/>
    <w:rsid w:val="009B076D"/>
    <w:rsid w:val="009B08A3"/>
    <w:rsid w:val="009B594C"/>
    <w:rsid w:val="009B6866"/>
    <w:rsid w:val="009C0A4F"/>
    <w:rsid w:val="009D0E8D"/>
    <w:rsid w:val="009D589E"/>
    <w:rsid w:val="009E0450"/>
    <w:rsid w:val="009E2829"/>
    <w:rsid w:val="009E388C"/>
    <w:rsid w:val="009E3EA7"/>
    <w:rsid w:val="009E3FFC"/>
    <w:rsid w:val="009E4C8F"/>
    <w:rsid w:val="009E56BE"/>
    <w:rsid w:val="009E675A"/>
    <w:rsid w:val="00A000CB"/>
    <w:rsid w:val="00A00347"/>
    <w:rsid w:val="00A00A4D"/>
    <w:rsid w:val="00A038A6"/>
    <w:rsid w:val="00A05AE8"/>
    <w:rsid w:val="00A063A7"/>
    <w:rsid w:val="00A12203"/>
    <w:rsid w:val="00A1315C"/>
    <w:rsid w:val="00A13366"/>
    <w:rsid w:val="00A13543"/>
    <w:rsid w:val="00A16437"/>
    <w:rsid w:val="00A21ACD"/>
    <w:rsid w:val="00A3177D"/>
    <w:rsid w:val="00A32762"/>
    <w:rsid w:val="00A3478B"/>
    <w:rsid w:val="00A34898"/>
    <w:rsid w:val="00A3691F"/>
    <w:rsid w:val="00A37068"/>
    <w:rsid w:val="00A37732"/>
    <w:rsid w:val="00A40572"/>
    <w:rsid w:val="00A418A1"/>
    <w:rsid w:val="00A44C6D"/>
    <w:rsid w:val="00A47D4E"/>
    <w:rsid w:val="00A50546"/>
    <w:rsid w:val="00A51E25"/>
    <w:rsid w:val="00A54195"/>
    <w:rsid w:val="00A5462F"/>
    <w:rsid w:val="00A558F8"/>
    <w:rsid w:val="00A55D47"/>
    <w:rsid w:val="00A57B3B"/>
    <w:rsid w:val="00A60CD3"/>
    <w:rsid w:val="00A625BE"/>
    <w:rsid w:val="00A62B5E"/>
    <w:rsid w:val="00A63C9B"/>
    <w:rsid w:val="00A64339"/>
    <w:rsid w:val="00A7581A"/>
    <w:rsid w:val="00A7708C"/>
    <w:rsid w:val="00A776B4"/>
    <w:rsid w:val="00A77CA2"/>
    <w:rsid w:val="00A8141F"/>
    <w:rsid w:val="00A8162A"/>
    <w:rsid w:val="00A81EBD"/>
    <w:rsid w:val="00A82F11"/>
    <w:rsid w:val="00A8470D"/>
    <w:rsid w:val="00A8508B"/>
    <w:rsid w:val="00A85461"/>
    <w:rsid w:val="00A878A0"/>
    <w:rsid w:val="00A90736"/>
    <w:rsid w:val="00A92384"/>
    <w:rsid w:val="00A93C93"/>
    <w:rsid w:val="00A94818"/>
    <w:rsid w:val="00AA0820"/>
    <w:rsid w:val="00AA2D34"/>
    <w:rsid w:val="00AA2DA2"/>
    <w:rsid w:val="00AA36ED"/>
    <w:rsid w:val="00AA397D"/>
    <w:rsid w:val="00AA6548"/>
    <w:rsid w:val="00AA75E9"/>
    <w:rsid w:val="00AB06AB"/>
    <w:rsid w:val="00AB1925"/>
    <w:rsid w:val="00AB1990"/>
    <w:rsid w:val="00AB1F33"/>
    <w:rsid w:val="00AC27F9"/>
    <w:rsid w:val="00AC65BA"/>
    <w:rsid w:val="00AD03D4"/>
    <w:rsid w:val="00AD05C3"/>
    <w:rsid w:val="00AD140A"/>
    <w:rsid w:val="00AD3031"/>
    <w:rsid w:val="00AD3706"/>
    <w:rsid w:val="00AD4DBF"/>
    <w:rsid w:val="00AE4E8D"/>
    <w:rsid w:val="00AE5CAD"/>
    <w:rsid w:val="00AE7C28"/>
    <w:rsid w:val="00AF11A2"/>
    <w:rsid w:val="00AF3841"/>
    <w:rsid w:val="00B01C81"/>
    <w:rsid w:val="00B01EBE"/>
    <w:rsid w:val="00B04C4C"/>
    <w:rsid w:val="00B074E3"/>
    <w:rsid w:val="00B142D4"/>
    <w:rsid w:val="00B222D2"/>
    <w:rsid w:val="00B23032"/>
    <w:rsid w:val="00B24051"/>
    <w:rsid w:val="00B25760"/>
    <w:rsid w:val="00B3206F"/>
    <w:rsid w:val="00B3291B"/>
    <w:rsid w:val="00B357A8"/>
    <w:rsid w:val="00B40D73"/>
    <w:rsid w:val="00B44F54"/>
    <w:rsid w:val="00B45CB9"/>
    <w:rsid w:val="00B45D1A"/>
    <w:rsid w:val="00B4660B"/>
    <w:rsid w:val="00B511BF"/>
    <w:rsid w:val="00B5237C"/>
    <w:rsid w:val="00B54403"/>
    <w:rsid w:val="00B54ABA"/>
    <w:rsid w:val="00B560AE"/>
    <w:rsid w:val="00B571BC"/>
    <w:rsid w:val="00B60BFD"/>
    <w:rsid w:val="00B63C26"/>
    <w:rsid w:val="00B653E1"/>
    <w:rsid w:val="00B6540B"/>
    <w:rsid w:val="00B65585"/>
    <w:rsid w:val="00B7016C"/>
    <w:rsid w:val="00B704BA"/>
    <w:rsid w:val="00B72BCC"/>
    <w:rsid w:val="00B7334F"/>
    <w:rsid w:val="00B756CB"/>
    <w:rsid w:val="00B80896"/>
    <w:rsid w:val="00B8094C"/>
    <w:rsid w:val="00B80BA0"/>
    <w:rsid w:val="00B816F1"/>
    <w:rsid w:val="00B82582"/>
    <w:rsid w:val="00B8289B"/>
    <w:rsid w:val="00B831DA"/>
    <w:rsid w:val="00B84163"/>
    <w:rsid w:val="00B86D43"/>
    <w:rsid w:val="00B93F4D"/>
    <w:rsid w:val="00B94010"/>
    <w:rsid w:val="00B97E9C"/>
    <w:rsid w:val="00BA08F6"/>
    <w:rsid w:val="00BA1B84"/>
    <w:rsid w:val="00BA6E2E"/>
    <w:rsid w:val="00BA7BC7"/>
    <w:rsid w:val="00BB09BE"/>
    <w:rsid w:val="00BB0B42"/>
    <w:rsid w:val="00BB1890"/>
    <w:rsid w:val="00BB2AFF"/>
    <w:rsid w:val="00BB50B7"/>
    <w:rsid w:val="00BB55AA"/>
    <w:rsid w:val="00BB7B68"/>
    <w:rsid w:val="00BB7F07"/>
    <w:rsid w:val="00BC308B"/>
    <w:rsid w:val="00BC34C9"/>
    <w:rsid w:val="00BC3965"/>
    <w:rsid w:val="00BC4347"/>
    <w:rsid w:val="00BC46E4"/>
    <w:rsid w:val="00BC6148"/>
    <w:rsid w:val="00BC668C"/>
    <w:rsid w:val="00BC7847"/>
    <w:rsid w:val="00BC7FC5"/>
    <w:rsid w:val="00BD3072"/>
    <w:rsid w:val="00BD34C5"/>
    <w:rsid w:val="00BD73DF"/>
    <w:rsid w:val="00BE05E5"/>
    <w:rsid w:val="00BE51FE"/>
    <w:rsid w:val="00BE6B92"/>
    <w:rsid w:val="00BF170B"/>
    <w:rsid w:val="00BF17A6"/>
    <w:rsid w:val="00BF25C1"/>
    <w:rsid w:val="00BF2AF3"/>
    <w:rsid w:val="00BF51BD"/>
    <w:rsid w:val="00BF5CE0"/>
    <w:rsid w:val="00BF6CBB"/>
    <w:rsid w:val="00BF7B78"/>
    <w:rsid w:val="00C01333"/>
    <w:rsid w:val="00C0187B"/>
    <w:rsid w:val="00C018F9"/>
    <w:rsid w:val="00C0227B"/>
    <w:rsid w:val="00C0456F"/>
    <w:rsid w:val="00C05041"/>
    <w:rsid w:val="00C050A6"/>
    <w:rsid w:val="00C05B43"/>
    <w:rsid w:val="00C05B64"/>
    <w:rsid w:val="00C06BA1"/>
    <w:rsid w:val="00C10FF1"/>
    <w:rsid w:val="00C1198B"/>
    <w:rsid w:val="00C1228A"/>
    <w:rsid w:val="00C15D77"/>
    <w:rsid w:val="00C22428"/>
    <w:rsid w:val="00C22FAB"/>
    <w:rsid w:val="00C237F3"/>
    <w:rsid w:val="00C239D5"/>
    <w:rsid w:val="00C256E0"/>
    <w:rsid w:val="00C273ED"/>
    <w:rsid w:val="00C27A21"/>
    <w:rsid w:val="00C321D9"/>
    <w:rsid w:val="00C32694"/>
    <w:rsid w:val="00C32E48"/>
    <w:rsid w:val="00C33F32"/>
    <w:rsid w:val="00C345CF"/>
    <w:rsid w:val="00C35521"/>
    <w:rsid w:val="00C36625"/>
    <w:rsid w:val="00C3671C"/>
    <w:rsid w:val="00C37B26"/>
    <w:rsid w:val="00C40930"/>
    <w:rsid w:val="00C40BA6"/>
    <w:rsid w:val="00C41697"/>
    <w:rsid w:val="00C444BF"/>
    <w:rsid w:val="00C4554E"/>
    <w:rsid w:val="00C4676B"/>
    <w:rsid w:val="00C476B4"/>
    <w:rsid w:val="00C479F3"/>
    <w:rsid w:val="00C5002A"/>
    <w:rsid w:val="00C504FB"/>
    <w:rsid w:val="00C5536C"/>
    <w:rsid w:val="00C554C4"/>
    <w:rsid w:val="00C602CD"/>
    <w:rsid w:val="00C65E53"/>
    <w:rsid w:val="00C66C1D"/>
    <w:rsid w:val="00C66EAA"/>
    <w:rsid w:val="00C715C7"/>
    <w:rsid w:val="00C7191C"/>
    <w:rsid w:val="00C71F64"/>
    <w:rsid w:val="00C728ED"/>
    <w:rsid w:val="00C737AF"/>
    <w:rsid w:val="00C7653F"/>
    <w:rsid w:val="00C76926"/>
    <w:rsid w:val="00C76A90"/>
    <w:rsid w:val="00C76B51"/>
    <w:rsid w:val="00C80623"/>
    <w:rsid w:val="00C80B0C"/>
    <w:rsid w:val="00C80F6E"/>
    <w:rsid w:val="00C81CA2"/>
    <w:rsid w:val="00C81E76"/>
    <w:rsid w:val="00C85462"/>
    <w:rsid w:val="00C85B82"/>
    <w:rsid w:val="00C912BE"/>
    <w:rsid w:val="00C920C5"/>
    <w:rsid w:val="00C9273C"/>
    <w:rsid w:val="00C92953"/>
    <w:rsid w:val="00C92AFE"/>
    <w:rsid w:val="00C92F2B"/>
    <w:rsid w:val="00C93A67"/>
    <w:rsid w:val="00C94488"/>
    <w:rsid w:val="00C962E4"/>
    <w:rsid w:val="00C96729"/>
    <w:rsid w:val="00C968D3"/>
    <w:rsid w:val="00C9780C"/>
    <w:rsid w:val="00CA00E1"/>
    <w:rsid w:val="00CA14A7"/>
    <w:rsid w:val="00CA209F"/>
    <w:rsid w:val="00CA219B"/>
    <w:rsid w:val="00CA2BAE"/>
    <w:rsid w:val="00CA3A0F"/>
    <w:rsid w:val="00CA583D"/>
    <w:rsid w:val="00CA75A6"/>
    <w:rsid w:val="00CB021B"/>
    <w:rsid w:val="00CB045D"/>
    <w:rsid w:val="00CB2091"/>
    <w:rsid w:val="00CB2277"/>
    <w:rsid w:val="00CB2F9E"/>
    <w:rsid w:val="00CB7E7C"/>
    <w:rsid w:val="00CC0179"/>
    <w:rsid w:val="00CC2C9F"/>
    <w:rsid w:val="00CD178D"/>
    <w:rsid w:val="00CD1AFF"/>
    <w:rsid w:val="00CD1FB3"/>
    <w:rsid w:val="00CD285F"/>
    <w:rsid w:val="00CD30B5"/>
    <w:rsid w:val="00CD3886"/>
    <w:rsid w:val="00CD3905"/>
    <w:rsid w:val="00CD3C16"/>
    <w:rsid w:val="00CD5092"/>
    <w:rsid w:val="00CE37AE"/>
    <w:rsid w:val="00CE3C76"/>
    <w:rsid w:val="00CE46FA"/>
    <w:rsid w:val="00CE5674"/>
    <w:rsid w:val="00CE627E"/>
    <w:rsid w:val="00CF02F5"/>
    <w:rsid w:val="00CF22C1"/>
    <w:rsid w:val="00CF268E"/>
    <w:rsid w:val="00CF67B4"/>
    <w:rsid w:val="00CF6871"/>
    <w:rsid w:val="00D018F2"/>
    <w:rsid w:val="00D04C58"/>
    <w:rsid w:val="00D075A6"/>
    <w:rsid w:val="00D07E78"/>
    <w:rsid w:val="00D1014C"/>
    <w:rsid w:val="00D10DD9"/>
    <w:rsid w:val="00D11392"/>
    <w:rsid w:val="00D128EC"/>
    <w:rsid w:val="00D131AA"/>
    <w:rsid w:val="00D13395"/>
    <w:rsid w:val="00D13865"/>
    <w:rsid w:val="00D140D5"/>
    <w:rsid w:val="00D17BB0"/>
    <w:rsid w:val="00D17BFD"/>
    <w:rsid w:val="00D17C2A"/>
    <w:rsid w:val="00D20013"/>
    <w:rsid w:val="00D22F89"/>
    <w:rsid w:val="00D25619"/>
    <w:rsid w:val="00D27AE6"/>
    <w:rsid w:val="00D311D9"/>
    <w:rsid w:val="00D3224A"/>
    <w:rsid w:val="00D3314C"/>
    <w:rsid w:val="00D333AE"/>
    <w:rsid w:val="00D336EC"/>
    <w:rsid w:val="00D33D39"/>
    <w:rsid w:val="00D34719"/>
    <w:rsid w:val="00D3755B"/>
    <w:rsid w:val="00D41110"/>
    <w:rsid w:val="00D432B9"/>
    <w:rsid w:val="00D43B42"/>
    <w:rsid w:val="00D446D9"/>
    <w:rsid w:val="00D44B28"/>
    <w:rsid w:val="00D44EEA"/>
    <w:rsid w:val="00D50F52"/>
    <w:rsid w:val="00D51F6F"/>
    <w:rsid w:val="00D528E6"/>
    <w:rsid w:val="00D53209"/>
    <w:rsid w:val="00D546C6"/>
    <w:rsid w:val="00D5624D"/>
    <w:rsid w:val="00D61598"/>
    <w:rsid w:val="00D61727"/>
    <w:rsid w:val="00D618A0"/>
    <w:rsid w:val="00D6223D"/>
    <w:rsid w:val="00D62471"/>
    <w:rsid w:val="00D62B76"/>
    <w:rsid w:val="00D62BCB"/>
    <w:rsid w:val="00D631E7"/>
    <w:rsid w:val="00D63D3C"/>
    <w:rsid w:val="00D67FBE"/>
    <w:rsid w:val="00D700C1"/>
    <w:rsid w:val="00D70DF1"/>
    <w:rsid w:val="00D7124E"/>
    <w:rsid w:val="00D72922"/>
    <w:rsid w:val="00D731D3"/>
    <w:rsid w:val="00D76FC2"/>
    <w:rsid w:val="00D771BC"/>
    <w:rsid w:val="00D84C87"/>
    <w:rsid w:val="00D85A71"/>
    <w:rsid w:val="00D90468"/>
    <w:rsid w:val="00D958F8"/>
    <w:rsid w:val="00D9629C"/>
    <w:rsid w:val="00D977B4"/>
    <w:rsid w:val="00D97E79"/>
    <w:rsid w:val="00DA3F6C"/>
    <w:rsid w:val="00DB0C51"/>
    <w:rsid w:val="00DB1E3F"/>
    <w:rsid w:val="00DB1F21"/>
    <w:rsid w:val="00DB23E9"/>
    <w:rsid w:val="00DB34EF"/>
    <w:rsid w:val="00DB37B4"/>
    <w:rsid w:val="00DB3EC3"/>
    <w:rsid w:val="00DB5032"/>
    <w:rsid w:val="00DB50F2"/>
    <w:rsid w:val="00DB7304"/>
    <w:rsid w:val="00DC4461"/>
    <w:rsid w:val="00DC55EE"/>
    <w:rsid w:val="00DC7759"/>
    <w:rsid w:val="00DC7E41"/>
    <w:rsid w:val="00DD4093"/>
    <w:rsid w:val="00DD444C"/>
    <w:rsid w:val="00DD47CD"/>
    <w:rsid w:val="00DD5957"/>
    <w:rsid w:val="00DE089D"/>
    <w:rsid w:val="00DE0D51"/>
    <w:rsid w:val="00DE1260"/>
    <w:rsid w:val="00DE13F1"/>
    <w:rsid w:val="00DE1467"/>
    <w:rsid w:val="00DE329A"/>
    <w:rsid w:val="00DE3469"/>
    <w:rsid w:val="00DE440E"/>
    <w:rsid w:val="00DE46B8"/>
    <w:rsid w:val="00DE47A9"/>
    <w:rsid w:val="00DF0BE1"/>
    <w:rsid w:val="00DF3BD7"/>
    <w:rsid w:val="00DF475D"/>
    <w:rsid w:val="00DF5904"/>
    <w:rsid w:val="00DF616A"/>
    <w:rsid w:val="00DF6DE7"/>
    <w:rsid w:val="00DF7981"/>
    <w:rsid w:val="00E0088B"/>
    <w:rsid w:val="00E0145E"/>
    <w:rsid w:val="00E0195D"/>
    <w:rsid w:val="00E05FF0"/>
    <w:rsid w:val="00E0655D"/>
    <w:rsid w:val="00E068C4"/>
    <w:rsid w:val="00E06FDE"/>
    <w:rsid w:val="00E11229"/>
    <w:rsid w:val="00E12899"/>
    <w:rsid w:val="00E1352C"/>
    <w:rsid w:val="00E158C4"/>
    <w:rsid w:val="00E1595F"/>
    <w:rsid w:val="00E205DC"/>
    <w:rsid w:val="00E20D14"/>
    <w:rsid w:val="00E211A6"/>
    <w:rsid w:val="00E2125E"/>
    <w:rsid w:val="00E220A5"/>
    <w:rsid w:val="00E245D3"/>
    <w:rsid w:val="00E249BC"/>
    <w:rsid w:val="00E256F8"/>
    <w:rsid w:val="00E275A3"/>
    <w:rsid w:val="00E301D3"/>
    <w:rsid w:val="00E334E4"/>
    <w:rsid w:val="00E37AD3"/>
    <w:rsid w:val="00E44929"/>
    <w:rsid w:val="00E46119"/>
    <w:rsid w:val="00E510B5"/>
    <w:rsid w:val="00E616BE"/>
    <w:rsid w:val="00E6235D"/>
    <w:rsid w:val="00E64D5B"/>
    <w:rsid w:val="00E704F8"/>
    <w:rsid w:val="00E730D2"/>
    <w:rsid w:val="00E75514"/>
    <w:rsid w:val="00E803DD"/>
    <w:rsid w:val="00E80B4A"/>
    <w:rsid w:val="00E80F07"/>
    <w:rsid w:val="00E81012"/>
    <w:rsid w:val="00E814AB"/>
    <w:rsid w:val="00E8362C"/>
    <w:rsid w:val="00E84253"/>
    <w:rsid w:val="00E847B3"/>
    <w:rsid w:val="00E862E7"/>
    <w:rsid w:val="00E86649"/>
    <w:rsid w:val="00E8704F"/>
    <w:rsid w:val="00E879FE"/>
    <w:rsid w:val="00E90F22"/>
    <w:rsid w:val="00E9767E"/>
    <w:rsid w:val="00EA1157"/>
    <w:rsid w:val="00EA232C"/>
    <w:rsid w:val="00EA434B"/>
    <w:rsid w:val="00EA4974"/>
    <w:rsid w:val="00EA5741"/>
    <w:rsid w:val="00EA586E"/>
    <w:rsid w:val="00EA5E2C"/>
    <w:rsid w:val="00EA77DE"/>
    <w:rsid w:val="00EB2B0A"/>
    <w:rsid w:val="00EB4109"/>
    <w:rsid w:val="00EB56B9"/>
    <w:rsid w:val="00EB768E"/>
    <w:rsid w:val="00EC3DA5"/>
    <w:rsid w:val="00EC4151"/>
    <w:rsid w:val="00EC455C"/>
    <w:rsid w:val="00EC4B43"/>
    <w:rsid w:val="00EC50E5"/>
    <w:rsid w:val="00ED3A28"/>
    <w:rsid w:val="00ED4AF7"/>
    <w:rsid w:val="00ED5F3B"/>
    <w:rsid w:val="00ED6A22"/>
    <w:rsid w:val="00ED707F"/>
    <w:rsid w:val="00EE025D"/>
    <w:rsid w:val="00EE3298"/>
    <w:rsid w:val="00EE448A"/>
    <w:rsid w:val="00EF0486"/>
    <w:rsid w:val="00EF28AD"/>
    <w:rsid w:val="00EF402D"/>
    <w:rsid w:val="00EF55FB"/>
    <w:rsid w:val="00EF590C"/>
    <w:rsid w:val="00EF7990"/>
    <w:rsid w:val="00F00189"/>
    <w:rsid w:val="00F04136"/>
    <w:rsid w:val="00F06660"/>
    <w:rsid w:val="00F101FA"/>
    <w:rsid w:val="00F155BC"/>
    <w:rsid w:val="00F16E2A"/>
    <w:rsid w:val="00F20C57"/>
    <w:rsid w:val="00F21813"/>
    <w:rsid w:val="00F26F57"/>
    <w:rsid w:val="00F334F8"/>
    <w:rsid w:val="00F441F6"/>
    <w:rsid w:val="00F45AF7"/>
    <w:rsid w:val="00F47F74"/>
    <w:rsid w:val="00F5030B"/>
    <w:rsid w:val="00F52100"/>
    <w:rsid w:val="00F542FB"/>
    <w:rsid w:val="00F5567E"/>
    <w:rsid w:val="00F6152A"/>
    <w:rsid w:val="00F61555"/>
    <w:rsid w:val="00F63353"/>
    <w:rsid w:val="00F6681B"/>
    <w:rsid w:val="00F70725"/>
    <w:rsid w:val="00F715AF"/>
    <w:rsid w:val="00F71A6B"/>
    <w:rsid w:val="00F72270"/>
    <w:rsid w:val="00F73018"/>
    <w:rsid w:val="00F7483F"/>
    <w:rsid w:val="00F7700E"/>
    <w:rsid w:val="00F77EBE"/>
    <w:rsid w:val="00F83BA4"/>
    <w:rsid w:val="00F904E8"/>
    <w:rsid w:val="00F910D4"/>
    <w:rsid w:val="00F91353"/>
    <w:rsid w:val="00F91EC4"/>
    <w:rsid w:val="00F92929"/>
    <w:rsid w:val="00F92B4E"/>
    <w:rsid w:val="00F952C1"/>
    <w:rsid w:val="00FA1226"/>
    <w:rsid w:val="00FA1C68"/>
    <w:rsid w:val="00FA2D68"/>
    <w:rsid w:val="00FA3F1C"/>
    <w:rsid w:val="00FA43CB"/>
    <w:rsid w:val="00FA545E"/>
    <w:rsid w:val="00FA5EE6"/>
    <w:rsid w:val="00FA646C"/>
    <w:rsid w:val="00FB0563"/>
    <w:rsid w:val="00FB0E34"/>
    <w:rsid w:val="00FB11C7"/>
    <w:rsid w:val="00FB32FC"/>
    <w:rsid w:val="00FB3CEF"/>
    <w:rsid w:val="00FB7127"/>
    <w:rsid w:val="00FB7FC9"/>
    <w:rsid w:val="00FC0DC3"/>
    <w:rsid w:val="00FC1070"/>
    <w:rsid w:val="00FC17E9"/>
    <w:rsid w:val="00FC1FB9"/>
    <w:rsid w:val="00FC38A4"/>
    <w:rsid w:val="00FC635D"/>
    <w:rsid w:val="00FC63F0"/>
    <w:rsid w:val="00FD0226"/>
    <w:rsid w:val="00FD0C90"/>
    <w:rsid w:val="00FD1304"/>
    <w:rsid w:val="00FD52F2"/>
    <w:rsid w:val="00FE0334"/>
    <w:rsid w:val="00FE087A"/>
    <w:rsid w:val="00FE4DD2"/>
    <w:rsid w:val="00FE78F0"/>
    <w:rsid w:val="00FF1FEF"/>
    <w:rsid w:val="00FF45ED"/>
    <w:rsid w:val="00FF66FB"/>
    <w:rsid w:val="00FF6A7C"/>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7CB7AD0F"/>
  <w15:chartTrackingRefBased/>
  <w15:docId w15:val="{D3323F37-1F5D-44C9-BA07-44611CCC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179"/>
  </w:style>
  <w:style w:type="paragraph" w:styleId="Footer">
    <w:name w:val="footer"/>
    <w:basedOn w:val="Normal"/>
    <w:link w:val="FooterChar"/>
    <w:uiPriority w:val="99"/>
    <w:unhideWhenUsed/>
    <w:rsid w:val="00CC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179"/>
  </w:style>
  <w:style w:type="paragraph" w:styleId="ListParagraph">
    <w:name w:val="List Paragraph"/>
    <w:basedOn w:val="Normal"/>
    <w:uiPriority w:val="1"/>
    <w:qFormat/>
    <w:rsid w:val="00262DD7"/>
    <w:pPr>
      <w:ind w:left="720"/>
      <w:contextualSpacing/>
    </w:pPr>
  </w:style>
  <w:style w:type="table" w:styleId="TableGrid">
    <w:name w:val="Table Grid"/>
    <w:basedOn w:val="TableNormal"/>
    <w:uiPriority w:val="39"/>
    <w:rsid w:val="00763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E4FBE"/>
    <w:rPr>
      <w:i/>
      <w:iCs/>
    </w:rPr>
  </w:style>
  <w:style w:type="character" w:styleId="Hyperlink">
    <w:name w:val="Hyperlink"/>
    <w:basedOn w:val="DefaultParagraphFont"/>
    <w:uiPriority w:val="99"/>
    <w:unhideWhenUsed/>
    <w:rsid w:val="00C76B51"/>
    <w:rPr>
      <w:color w:val="0563C1" w:themeColor="hyperlink"/>
      <w:u w:val="single"/>
    </w:rPr>
  </w:style>
  <w:style w:type="character" w:styleId="UnresolvedMention">
    <w:name w:val="Unresolved Mention"/>
    <w:basedOn w:val="DefaultParagraphFont"/>
    <w:uiPriority w:val="99"/>
    <w:semiHidden/>
    <w:unhideWhenUsed/>
    <w:rsid w:val="00C76B51"/>
    <w:rPr>
      <w:color w:val="605E5C"/>
      <w:shd w:val="clear" w:color="auto" w:fill="E1DFDD"/>
    </w:rPr>
  </w:style>
  <w:style w:type="character" w:styleId="PlaceholderText">
    <w:name w:val="Placeholder Text"/>
    <w:basedOn w:val="DefaultParagraphFont"/>
    <w:uiPriority w:val="99"/>
    <w:semiHidden/>
    <w:rsid w:val="000F5BCF"/>
    <w:rPr>
      <w:color w:val="666666"/>
    </w:rPr>
  </w:style>
  <w:style w:type="paragraph" w:customStyle="1" w:styleId="TableParagraph">
    <w:name w:val="Table Paragraph"/>
    <w:basedOn w:val="Normal"/>
    <w:uiPriority w:val="1"/>
    <w:qFormat/>
    <w:rsid w:val="00E1352C"/>
    <w:pPr>
      <w:widowControl w:val="0"/>
      <w:autoSpaceDE w:val="0"/>
      <w:autoSpaceDN w:val="0"/>
      <w:spacing w:after="0" w:line="240" w:lineRule="auto"/>
      <w:jc w:val="center"/>
    </w:pPr>
    <w:rPr>
      <w:rFonts w:ascii="Times New Roman" w:eastAsia="Times New Roman" w:hAnsi="Times New Roman" w:cs="Times New Roman"/>
      <w:lang w:val="id"/>
    </w:rPr>
  </w:style>
  <w:style w:type="paragraph" w:customStyle="1" w:styleId="msonormal">
    <w:name w:val="msonormal"/>
    <w:basedOn w:val="Normal"/>
    <w:rsid w:val="00161719"/>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BodyText">
    <w:name w:val="Body Text"/>
    <w:basedOn w:val="Normal"/>
    <w:link w:val="BodyTextChar"/>
    <w:uiPriority w:val="1"/>
    <w:semiHidden/>
    <w:unhideWhenUsed/>
    <w:qFormat/>
    <w:rsid w:val="00161719"/>
    <w:pPr>
      <w:widowControl w:val="0"/>
      <w:autoSpaceDE w:val="0"/>
      <w:autoSpaceDN w:val="0"/>
      <w:spacing w:before="15" w:after="1" w:line="240" w:lineRule="auto"/>
    </w:pPr>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semiHidden/>
    <w:rsid w:val="00161719"/>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idx.co.id"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F905-9B78-470F-926A-AF6F9481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175</Pages>
  <Words>56852</Words>
  <Characters>324058</Characters>
  <Application>Microsoft Office Word</Application>
  <DocSecurity>0</DocSecurity>
  <Lines>2700</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Vikri Bagus Maulana</dc:creator>
  <cp:lastModifiedBy>Vikri Bagus Maulana</cp:lastModifiedBy>
  <cp:revision>26</cp:revision>
  <cp:lastPrinted>2024-07-19T04:58:00Z</cp:lastPrinted>
  <dcterms:created xsi:type="dcterms:W3CDTF">2024-07-17T03:59:00Z</dcterms:created>
  <dcterms:modified xsi:type="dcterms:W3CDTF">2024-07-23T22:10:00Z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8770a31e-ae5c-35dc-b4b0-3d3be9a1ff57</vt:lpwstr>
  </property>
</Properties>
</file>